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A06EF" w14:textId="00FC1335" w:rsidR="00C204D0" w:rsidRPr="003B5469" w:rsidRDefault="00C204D0" w:rsidP="00C204D0">
      <w:pPr>
        <w:pStyle w:val="Heading1"/>
      </w:pPr>
      <w:r w:rsidRPr="003B5469">
        <w:t>Part 1: Australian Government Budget Outcome 20</w:t>
      </w:r>
      <w:r w:rsidR="00AF7E4E" w:rsidRPr="003B5469">
        <w:t>20–</w:t>
      </w:r>
      <w:r w:rsidRPr="003B5469">
        <w:t>2</w:t>
      </w:r>
      <w:r w:rsidR="00AF7E4E" w:rsidRPr="003B5469">
        <w:t>1</w:t>
      </w:r>
    </w:p>
    <w:p w14:paraId="2D08B7FF" w14:textId="77777777" w:rsidR="00C204D0" w:rsidRPr="003B5469" w:rsidRDefault="00C204D0" w:rsidP="00C204D0">
      <w:pPr>
        <w:pStyle w:val="Heading2"/>
      </w:pPr>
      <w:r w:rsidRPr="003B5469">
        <w:t>Overview</w:t>
      </w:r>
    </w:p>
    <w:p w14:paraId="0CD5ADBB" w14:textId="06814BC2" w:rsidR="009867C2" w:rsidRPr="003B5469" w:rsidRDefault="00C204D0" w:rsidP="003B264F">
      <w:r w:rsidRPr="003B5469">
        <w:t>In</w:t>
      </w:r>
      <w:r w:rsidR="00360F18" w:rsidRPr="003B5469">
        <w:t xml:space="preserve"> </w:t>
      </w:r>
      <w:r w:rsidR="069BBC1F" w:rsidRPr="003B5469">
        <w:t>20</w:t>
      </w:r>
      <w:r w:rsidR="68BD5209" w:rsidRPr="003B5469">
        <w:t>20</w:t>
      </w:r>
      <w:r w:rsidR="00A36B1E" w:rsidRPr="003B5469">
        <w:noBreakHyphen/>
      </w:r>
      <w:r w:rsidR="68BD5209" w:rsidRPr="003B5469">
        <w:t>21</w:t>
      </w:r>
      <w:r w:rsidRPr="003B5469">
        <w:t>, the Australian Government general government sector recorded an underlying cash deficit of $</w:t>
      </w:r>
      <w:r w:rsidR="5A175132" w:rsidRPr="003B5469">
        <w:t>134.</w:t>
      </w:r>
      <w:r w:rsidR="00BE29A4" w:rsidRPr="003B5469">
        <w:t>2</w:t>
      </w:r>
      <w:r w:rsidRPr="003B5469">
        <w:t xml:space="preserve"> billion (</w:t>
      </w:r>
      <w:r w:rsidR="34FCA81A" w:rsidRPr="003B5469">
        <w:t>6.5</w:t>
      </w:r>
      <w:r w:rsidRPr="003B5469">
        <w:t xml:space="preserve"> per cent of gross domestic product (GDP)). </w:t>
      </w:r>
    </w:p>
    <w:p w14:paraId="322E6AC0" w14:textId="24356C28" w:rsidR="00193AF4" w:rsidRPr="000175E1" w:rsidRDefault="00193AF4" w:rsidP="00193AF4">
      <w:r w:rsidRPr="003B5469">
        <w:t xml:space="preserve">Since the start of the pandemic, the Government has committed more than $311 billion in economic and health support. In 2020-21, unprecedented levels of economic support </w:t>
      </w:r>
      <w:r w:rsidR="00275189" w:rsidRPr="003B5469">
        <w:t>were</w:t>
      </w:r>
      <w:r w:rsidRPr="003B5469">
        <w:t xml:space="preserve"> provided to protect lives and livelihoods through the </w:t>
      </w:r>
      <w:proofErr w:type="spellStart"/>
      <w:r w:rsidRPr="003B5469">
        <w:t>JobKeeper</w:t>
      </w:r>
      <w:proofErr w:type="spellEnd"/>
      <w:r w:rsidRPr="003B5469">
        <w:t xml:space="preserve"> Payment, the Boosting Cash Flow for Employers, Coronavirus Supplement, the bring forward of Stage</w:t>
      </w:r>
      <w:r w:rsidR="000311AC">
        <w:t> </w:t>
      </w:r>
      <w:r w:rsidRPr="003B5469">
        <w:t>2 of the Government’s Personal Income Tax Plan and business investment incentives (Table 2). The Government’s decisive actions have been central to Australia’s stronger</w:t>
      </w:r>
      <w:r w:rsidR="0074516D" w:rsidRPr="003B5469">
        <w:noBreakHyphen/>
      </w:r>
      <w:r w:rsidRPr="003B5469">
        <w:t xml:space="preserve">than-expected economic recovery, which resulted in the deficit in 2020-21 being significantly smaller than expected at the time of the 2020-21 and 2021-22 Budgets. </w:t>
      </w:r>
    </w:p>
    <w:p w14:paraId="0EC3AE85" w14:textId="7F1C4991" w:rsidR="00C204D0" w:rsidRPr="003B5469" w:rsidRDefault="00C204D0" w:rsidP="00CD36C5">
      <w:r w:rsidRPr="003B5469">
        <w:t xml:space="preserve">The Final Budget Outcome for </w:t>
      </w:r>
      <w:r w:rsidR="3D2D213D" w:rsidRPr="003B5469">
        <w:t>2020</w:t>
      </w:r>
      <w:r w:rsidR="00A36B1E" w:rsidRPr="003B5469">
        <w:noBreakHyphen/>
      </w:r>
      <w:r w:rsidR="3D2D213D" w:rsidRPr="003B5469">
        <w:t>21</w:t>
      </w:r>
      <w:r w:rsidRPr="003B5469">
        <w:t xml:space="preserve"> is </w:t>
      </w:r>
      <w:r w:rsidR="2F929DD5" w:rsidRPr="003B5469">
        <w:t xml:space="preserve">an improvement </w:t>
      </w:r>
      <w:r w:rsidRPr="003B5469">
        <w:t>of $</w:t>
      </w:r>
      <w:r w:rsidR="19F03074" w:rsidRPr="003B5469">
        <w:t>26.</w:t>
      </w:r>
      <w:r w:rsidR="00EB5A31" w:rsidRPr="003B5469">
        <w:t>8</w:t>
      </w:r>
      <w:r w:rsidRPr="003B5469">
        <w:t xml:space="preserve"> billion </w:t>
      </w:r>
      <w:r w:rsidR="0A5B87A3" w:rsidRPr="003B5469">
        <w:t xml:space="preserve">compared with </w:t>
      </w:r>
      <w:r w:rsidRPr="003B5469">
        <w:t xml:space="preserve">the </w:t>
      </w:r>
      <w:r w:rsidR="0A5B87A3" w:rsidRPr="003B5469">
        <w:t xml:space="preserve">underlying cash </w:t>
      </w:r>
      <w:r w:rsidR="03139448" w:rsidRPr="003B5469">
        <w:t>deficit</w:t>
      </w:r>
      <w:r w:rsidR="0A5B87A3" w:rsidRPr="003B5469">
        <w:t xml:space="preserve"> estimate</w:t>
      </w:r>
      <w:r w:rsidR="03139448" w:rsidRPr="003B5469">
        <w:t>d</w:t>
      </w:r>
      <w:r w:rsidRPr="003B5469">
        <w:t xml:space="preserve"> </w:t>
      </w:r>
      <w:r w:rsidR="2BCE6090" w:rsidRPr="003B5469">
        <w:t>in</w:t>
      </w:r>
      <w:r w:rsidR="29DB5996" w:rsidRPr="003B5469">
        <w:t xml:space="preserve"> the </w:t>
      </w:r>
      <w:r w:rsidR="19F03074" w:rsidRPr="003B5469">
        <w:t>202</w:t>
      </w:r>
      <w:r w:rsidR="7C10124F" w:rsidRPr="003B5469">
        <w:t>1</w:t>
      </w:r>
      <w:r w:rsidR="00A36B1E" w:rsidRPr="003B5469">
        <w:noBreakHyphen/>
      </w:r>
      <w:r w:rsidR="19F03074" w:rsidRPr="003B5469">
        <w:t>2</w:t>
      </w:r>
      <w:r w:rsidR="2BCE6090" w:rsidRPr="003B5469">
        <w:t>2</w:t>
      </w:r>
      <w:r w:rsidR="29DB5996" w:rsidRPr="003B5469">
        <w:t xml:space="preserve"> Budget</w:t>
      </w:r>
      <w:r w:rsidRPr="003B5469">
        <w:t xml:space="preserve">. </w:t>
      </w:r>
      <w:r w:rsidR="00E648B9" w:rsidRPr="003B5469">
        <w:t>This improvement was primarily due to the stronger</w:t>
      </w:r>
      <w:r w:rsidR="00A36B1E" w:rsidRPr="003B5469">
        <w:noBreakHyphen/>
      </w:r>
      <w:r w:rsidR="00E648B9" w:rsidRPr="003B5469">
        <w:t>than</w:t>
      </w:r>
      <w:r w:rsidR="00A36B1E" w:rsidRPr="003B5469">
        <w:noBreakHyphen/>
      </w:r>
      <w:r w:rsidR="00E648B9" w:rsidRPr="003B5469">
        <w:t xml:space="preserve">expected economic recovery from the </w:t>
      </w:r>
      <w:r w:rsidR="00555C05" w:rsidRPr="003B5469">
        <w:t xml:space="preserve">early effects of the </w:t>
      </w:r>
      <w:r w:rsidR="00E648B9" w:rsidRPr="003B5469">
        <w:t>COVID</w:t>
      </w:r>
      <w:r w:rsidR="00A36B1E" w:rsidRPr="003B5469">
        <w:noBreakHyphen/>
      </w:r>
      <w:r w:rsidR="00E648B9" w:rsidRPr="003B5469">
        <w:t>19</w:t>
      </w:r>
      <w:r w:rsidR="00320177" w:rsidRPr="003B5469">
        <w:t> </w:t>
      </w:r>
      <w:r w:rsidR="00E648B9" w:rsidRPr="003B5469">
        <w:t xml:space="preserve">pandemic </w:t>
      </w:r>
      <w:r w:rsidR="2CC2F9B7" w:rsidRPr="003B5469">
        <w:t xml:space="preserve">which is reflected in </w:t>
      </w:r>
      <w:r w:rsidR="5E32F09F" w:rsidRPr="003B5469">
        <w:t>higher total receipts ($</w:t>
      </w:r>
      <w:r w:rsidR="0098342D" w:rsidRPr="003B5469">
        <w:t>20.1</w:t>
      </w:r>
      <w:r w:rsidR="5E32F09F" w:rsidRPr="003B5469">
        <w:t xml:space="preserve"> billion) and lower total payments (</w:t>
      </w:r>
      <w:r w:rsidR="0098342D" w:rsidRPr="003B5469">
        <w:t>$6.7</w:t>
      </w:r>
      <w:r w:rsidR="006100A1" w:rsidRPr="003B5469">
        <w:t> </w:t>
      </w:r>
      <w:r w:rsidR="5E32F09F" w:rsidRPr="003B5469">
        <w:t>billion)</w:t>
      </w:r>
      <w:r w:rsidR="00A36B1E" w:rsidRPr="003B5469">
        <w:t xml:space="preserve">. </w:t>
      </w:r>
    </w:p>
    <w:p w14:paraId="48D6F680" w14:textId="6168DC4C" w:rsidR="00BB45E8" w:rsidRPr="003B5469" w:rsidRDefault="001B0852" w:rsidP="00411CCD">
      <w:r w:rsidRPr="003B5469">
        <w:t xml:space="preserve">The </w:t>
      </w:r>
      <w:r w:rsidR="003A457A" w:rsidRPr="003B5469">
        <w:t xml:space="preserve">improvement in </w:t>
      </w:r>
      <w:r w:rsidR="00F855E6" w:rsidRPr="003B5469">
        <w:t xml:space="preserve">the </w:t>
      </w:r>
      <w:r w:rsidRPr="003B5469">
        <w:t xml:space="preserve">underlying cash deficit </w:t>
      </w:r>
      <w:r w:rsidR="00F855E6" w:rsidRPr="003B5469">
        <w:t>from what was estimated</w:t>
      </w:r>
      <w:r w:rsidRPr="003B5469">
        <w:t xml:space="preserve"> at the time of the 2020</w:t>
      </w:r>
      <w:r w:rsidR="00A36B1E" w:rsidRPr="003B5469">
        <w:noBreakHyphen/>
      </w:r>
      <w:r w:rsidRPr="003B5469">
        <w:t>21 Budget</w:t>
      </w:r>
      <w:r w:rsidR="00F855E6" w:rsidRPr="003B5469">
        <w:t xml:space="preserve"> is even larger at $79.5 billion</w:t>
      </w:r>
      <w:r w:rsidRPr="003B5469">
        <w:t>. This improvement was the result of higher total receipts ($5</w:t>
      </w:r>
      <w:r w:rsidR="009B5F76" w:rsidRPr="003B5469">
        <w:t>6.1</w:t>
      </w:r>
      <w:r w:rsidRPr="003B5469">
        <w:t xml:space="preserve"> billion) and lower total payments (</w:t>
      </w:r>
      <w:r w:rsidR="009B5F76" w:rsidRPr="003B5469">
        <w:t>$23.3</w:t>
      </w:r>
      <w:r w:rsidRPr="003B5469">
        <w:t xml:space="preserve"> billion) compared to the estimates in the 2020</w:t>
      </w:r>
      <w:r w:rsidR="00A36B1E" w:rsidRPr="003B5469">
        <w:noBreakHyphen/>
      </w:r>
      <w:r w:rsidRPr="003B5469">
        <w:t xml:space="preserve">21 Budget. </w:t>
      </w:r>
    </w:p>
    <w:p w14:paraId="599B86A0" w14:textId="77777777" w:rsidR="00BB45E8" w:rsidRPr="003B5469" w:rsidRDefault="00BB45E8">
      <w:pPr>
        <w:spacing w:after="160" w:line="259" w:lineRule="auto"/>
        <w:jc w:val="left"/>
      </w:pPr>
      <w:r w:rsidRPr="003B5469">
        <w:br w:type="page"/>
      </w:r>
    </w:p>
    <w:p w14:paraId="453F05A1" w14:textId="659A456F" w:rsidR="00D86700" w:rsidRPr="003B5469" w:rsidRDefault="00C204D0" w:rsidP="00D86700">
      <w:pPr>
        <w:pStyle w:val="TableHeading"/>
        <w:rPr>
          <w:rFonts w:asciiTheme="minorHAnsi" w:eastAsiaTheme="minorHAnsi" w:hAnsiTheme="minorHAnsi" w:cstheme="minorBidi"/>
          <w:b w:val="0"/>
          <w:sz w:val="22"/>
          <w:szCs w:val="22"/>
          <w:lang w:eastAsia="en-US"/>
        </w:rPr>
      </w:pPr>
      <w:r w:rsidRPr="003B5469">
        <w:lastRenderedPageBreak/>
        <w:t xml:space="preserve">Table 1: </w:t>
      </w:r>
      <w:r w:rsidR="00E4058A" w:rsidRPr="003B5469">
        <w:t>Overview of key A</w:t>
      </w:r>
      <w:r w:rsidRPr="003B5469">
        <w:t>ustralian Government general government sector budget aggregates</w:t>
      </w:r>
      <w:bookmarkStart w:id="0" w:name="_1693631269"/>
      <w:bookmarkEnd w:id="0"/>
    </w:p>
    <w:tbl>
      <w:tblPr>
        <w:tblW w:w="5000" w:type="pct"/>
        <w:tblCellMar>
          <w:left w:w="0" w:type="dxa"/>
          <w:right w:w="28" w:type="dxa"/>
        </w:tblCellMar>
        <w:tblLook w:val="04A0" w:firstRow="1" w:lastRow="0" w:firstColumn="1" w:lastColumn="0" w:noHBand="0" w:noVBand="1"/>
      </w:tblPr>
      <w:tblGrid>
        <w:gridCol w:w="3127"/>
        <w:gridCol w:w="918"/>
        <w:gridCol w:w="917"/>
        <w:gridCol w:w="917"/>
        <w:gridCol w:w="917"/>
        <w:gridCol w:w="914"/>
      </w:tblGrid>
      <w:tr w:rsidR="00D86700" w:rsidRPr="00513ED7" w14:paraId="5A3DA252" w14:textId="77777777" w:rsidTr="00D86700">
        <w:trPr>
          <w:divId w:val="1648777074"/>
          <w:trHeight w:hRule="exact" w:val="225"/>
        </w:trPr>
        <w:tc>
          <w:tcPr>
            <w:tcW w:w="2027" w:type="pct"/>
            <w:tcBorders>
              <w:top w:val="single" w:sz="4" w:space="0" w:color="000000"/>
              <w:left w:val="nil"/>
              <w:bottom w:val="nil"/>
              <w:right w:val="nil"/>
            </w:tcBorders>
            <w:shd w:val="clear" w:color="000000" w:fill="FFFFFF"/>
            <w:noWrap/>
            <w:vAlign w:val="center"/>
            <w:hideMark/>
          </w:tcPr>
          <w:p w14:paraId="58C6EB99" w14:textId="3A7568B7" w:rsidR="00D86700" w:rsidRPr="003B5469" w:rsidRDefault="00D86700" w:rsidP="00D86700">
            <w:pPr>
              <w:spacing w:after="0" w:line="240" w:lineRule="auto"/>
              <w:rPr>
                <w:rFonts w:ascii="Arial" w:hAnsi="Arial" w:cs="Arial"/>
                <w:color w:val="000000"/>
                <w:sz w:val="16"/>
                <w:szCs w:val="16"/>
              </w:rPr>
            </w:pPr>
            <w:r w:rsidRPr="003B5469">
              <w:rPr>
                <w:rFonts w:ascii="Arial" w:hAnsi="Arial" w:cs="Arial"/>
                <w:color w:val="000000"/>
                <w:sz w:val="16"/>
                <w:szCs w:val="16"/>
              </w:rPr>
              <w:t> </w:t>
            </w:r>
          </w:p>
        </w:tc>
        <w:tc>
          <w:tcPr>
            <w:tcW w:w="595" w:type="pct"/>
            <w:tcBorders>
              <w:top w:val="single" w:sz="4" w:space="0" w:color="000000"/>
              <w:left w:val="nil"/>
              <w:bottom w:val="nil"/>
              <w:right w:val="nil"/>
            </w:tcBorders>
            <w:shd w:val="clear" w:color="000000" w:fill="FFFFFF"/>
            <w:noWrap/>
            <w:vAlign w:val="center"/>
            <w:hideMark/>
          </w:tcPr>
          <w:p w14:paraId="62492EF6" w14:textId="1AD117DE"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595" w:type="pct"/>
            <w:tcBorders>
              <w:top w:val="single" w:sz="4" w:space="0" w:color="000000"/>
              <w:left w:val="nil"/>
              <w:bottom w:val="nil"/>
              <w:right w:val="nil"/>
            </w:tcBorders>
            <w:shd w:val="clear" w:color="000000" w:fill="FFFFFF"/>
            <w:noWrap/>
            <w:vAlign w:val="center"/>
            <w:hideMark/>
          </w:tcPr>
          <w:p w14:paraId="2C9B802A" w14:textId="649ACEB3"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595" w:type="pct"/>
            <w:tcBorders>
              <w:top w:val="single" w:sz="4" w:space="0" w:color="000000"/>
              <w:left w:val="nil"/>
              <w:bottom w:val="nil"/>
              <w:right w:val="nil"/>
            </w:tcBorders>
            <w:shd w:val="clear" w:color="000000" w:fill="EBFFFF"/>
            <w:noWrap/>
            <w:vAlign w:val="center"/>
            <w:hideMark/>
          </w:tcPr>
          <w:p w14:paraId="64909B34" w14:textId="56092D16"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595" w:type="pct"/>
            <w:tcBorders>
              <w:top w:val="single" w:sz="4" w:space="0" w:color="000000"/>
              <w:left w:val="nil"/>
              <w:bottom w:val="nil"/>
              <w:right w:val="nil"/>
            </w:tcBorders>
            <w:shd w:val="clear" w:color="000000" w:fill="FFFFFF"/>
            <w:noWrap/>
            <w:vAlign w:val="center"/>
            <w:hideMark/>
          </w:tcPr>
          <w:p w14:paraId="1A9F12D4"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Change on</w:t>
            </w:r>
          </w:p>
        </w:tc>
        <w:tc>
          <w:tcPr>
            <w:tcW w:w="595" w:type="pct"/>
            <w:tcBorders>
              <w:top w:val="single" w:sz="4" w:space="0" w:color="000000"/>
              <w:left w:val="nil"/>
              <w:bottom w:val="nil"/>
              <w:right w:val="nil"/>
            </w:tcBorders>
            <w:shd w:val="clear" w:color="000000" w:fill="FFFFFF"/>
            <w:noWrap/>
            <w:vAlign w:val="center"/>
            <w:hideMark/>
          </w:tcPr>
          <w:p w14:paraId="63A208EF"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Change on</w:t>
            </w:r>
          </w:p>
        </w:tc>
      </w:tr>
      <w:tr w:rsidR="00D86700" w:rsidRPr="00513ED7" w14:paraId="1B58287C" w14:textId="77777777" w:rsidTr="00D86700">
        <w:trPr>
          <w:divId w:val="1648777074"/>
          <w:trHeight w:hRule="exact" w:val="225"/>
        </w:trPr>
        <w:tc>
          <w:tcPr>
            <w:tcW w:w="2027" w:type="pct"/>
            <w:tcBorders>
              <w:top w:val="nil"/>
              <w:left w:val="nil"/>
              <w:bottom w:val="nil"/>
              <w:right w:val="nil"/>
            </w:tcBorders>
            <w:shd w:val="clear" w:color="000000" w:fill="FFFFFF"/>
            <w:noWrap/>
            <w:vAlign w:val="center"/>
            <w:hideMark/>
          </w:tcPr>
          <w:p w14:paraId="09891A67" w14:textId="77777777" w:rsidR="00D86700" w:rsidRPr="003B5469" w:rsidRDefault="00D86700" w:rsidP="00D86700">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595" w:type="pct"/>
            <w:tcBorders>
              <w:top w:val="nil"/>
              <w:left w:val="nil"/>
              <w:bottom w:val="nil"/>
              <w:right w:val="nil"/>
            </w:tcBorders>
            <w:shd w:val="clear" w:color="000000" w:fill="FFFFFF"/>
            <w:noWrap/>
            <w:vAlign w:val="center"/>
            <w:hideMark/>
          </w:tcPr>
          <w:p w14:paraId="6BC6A97F"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Estimates at</w:t>
            </w:r>
          </w:p>
        </w:tc>
        <w:tc>
          <w:tcPr>
            <w:tcW w:w="595" w:type="pct"/>
            <w:tcBorders>
              <w:top w:val="nil"/>
              <w:left w:val="nil"/>
              <w:bottom w:val="nil"/>
              <w:right w:val="nil"/>
            </w:tcBorders>
            <w:shd w:val="clear" w:color="000000" w:fill="FFFFFF"/>
            <w:noWrap/>
            <w:vAlign w:val="center"/>
            <w:hideMark/>
          </w:tcPr>
          <w:p w14:paraId="3F61634D"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Estimate at</w:t>
            </w:r>
          </w:p>
        </w:tc>
        <w:tc>
          <w:tcPr>
            <w:tcW w:w="595" w:type="pct"/>
            <w:tcBorders>
              <w:top w:val="nil"/>
              <w:left w:val="nil"/>
              <w:bottom w:val="nil"/>
              <w:right w:val="nil"/>
            </w:tcBorders>
            <w:shd w:val="clear" w:color="000000" w:fill="EBFFFF"/>
            <w:noWrap/>
            <w:vAlign w:val="center"/>
            <w:hideMark/>
          </w:tcPr>
          <w:p w14:paraId="162B45AF"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Outcome</w:t>
            </w:r>
          </w:p>
        </w:tc>
        <w:tc>
          <w:tcPr>
            <w:tcW w:w="595" w:type="pct"/>
            <w:tcBorders>
              <w:top w:val="nil"/>
              <w:left w:val="nil"/>
              <w:bottom w:val="nil"/>
              <w:right w:val="nil"/>
            </w:tcBorders>
            <w:shd w:val="clear" w:color="000000" w:fill="FFFFFF"/>
            <w:noWrap/>
            <w:vAlign w:val="center"/>
            <w:hideMark/>
          </w:tcPr>
          <w:p w14:paraId="151D13B5" w14:textId="3DB30F01"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595" w:type="pct"/>
            <w:tcBorders>
              <w:top w:val="nil"/>
              <w:left w:val="nil"/>
              <w:bottom w:val="nil"/>
              <w:right w:val="nil"/>
            </w:tcBorders>
            <w:shd w:val="clear" w:color="000000" w:fill="FFFFFF"/>
            <w:noWrap/>
            <w:vAlign w:val="center"/>
            <w:hideMark/>
          </w:tcPr>
          <w:p w14:paraId="1789C506" w14:textId="3368AD31"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2021</w:t>
            </w:r>
            <w:r w:rsidR="00A36B1E" w:rsidRPr="003B5469">
              <w:rPr>
                <w:rFonts w:ascii="Arial" w:hAnsi="Arial" w:cs="Arial"/>
                <w:sz w:val="16"/>
                <w:szCs w:val="16"/>
              </w:rPr>
              <w:noBreakHyphen/>
            </w:r>
            <w:r w:rsidRPr="003B5469">
              <w:rPr>
                <w:rFonts w:ascii="Arial" w:hAnsi="Arial" w:cs="Arial"/>
                <w:sz w:val="16"/>
                <w:szCs w:val="16"/>
              </w:rPr>
              <w:t>22</w:t>
            </w:r>
          </w:p>
        </w:tc>
      </w:tr>
      <w:tr w:rsidR="00D86700" w:rsidRPr="00513ED7" w14:paraId="46FFEADA" w14:textId="77777777" w:rsidTr="00D86700">
        <w:trPr>
          <w:divId w:val="1648777074"/>
          <w:trHeight w:hRule="exact" w:val="225"/>
        </w:trPr>
        <w:tc>
          <w:tcPr>
            <w:tcW w:w="2027" w:type="pct"/>
            <w:tcBorders>
              <w:top w:val="nil"/>
              <w:left w:val="nil"/>
              <w:bottom w:val="nil"/>
              <w:right w:val="nil"/>
            </w:tcBorders>
            <w:shd w:val="clear" w:color="000000" w:fill="FFFFFF"/>
            <w:noWrap/>
            <w:vAlign w:val="center"/>
            <w:hideMark/>
          </w:tcPr>
          <w:p w14:paraId="2015E475" w14:textId="77777777" w:rsidR="00D86700" w:rsidRPr="003B5469" w:rsidRDefault="00D86700" w:rsidP="00D86700">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595" w:type="pct"/>
            <w:tcBorders>
              <w:top w:val="nil"/>
              <w:left w:val="nil"/>
              <w:bottom w:val="nil"/>
              <w:right w:val="nil"/>
            </w:tcBorders>
            <w:shd w:val="clear" w:color="000000" w:fill="FFFFFF"/>
            <w:noWrap/>
            <w:vAlign w:val="center"/>
            <w:hideMark/>
          </w:tcPr>
          <w:p w14:paraId="02EA13F4" w14:textId="253D4EB2"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595" w:type="pct"/>
            <w:tcBorders>
              <w:top w:val="nil"/>
              <w:left w:val="nil"/>
              <w:bottom w:val="nil"/>
              <w:right w:val="nil"/>
            </w:tcBorders>
            <w:shd w:val="clear" w:color="000000" w:fill="FFFFFF"/>
            <w:noWrap/>
            <w:vAlign w:val="center"/>
            <w:hideMark/>
          </w:tcPr>
          <w:p w14:paraId="690C3B00" w14:textId="06AB02F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2021</w:t>
            </w:r>
            <w:r w:rsidR="00A36B1E" w:rsidRPr="003B5469">
              <w:rPr>
                <w:rFonts w:ascii="Arial" w:hAnsi="Arial" w:cs="Arial"/>
                <w:sz w:val="16"/>
                <w:szCs w:val="16"/>
              </w:rPr>
              <w:noBreakHyphen/>
            </w:r>
            <w:r w:rsidRPr="003B5469">
              <w:rPr>
                <w:rFonts w:ascii="Arial" w:hAnsi="Arial" w:cs="Arial"/>
                <w:sz w:val="16"/>
                <w:szCs w:val="16"/>
              </w:rPr>
              <w:t>22</w:t>
            </w:r>
          </w:p>
        </w:tc>
        <w:tc>
          <w:tcPr>
            <w:tcW w:w="595" w:type="pct"/>
            <w:tcBorders>
              <w:top w:val="nil"/>
              <w:left w:val="nil"/>
              <w:bottom w:val="nil"/>
              <w:right w:val="nil"/>
            </w:tcBorders>
            <w:shd w:val="clear" w:color="000000" w:fill="EBFFFF"/>
            <w:noWrap/>
            <w:vAlign w:val="center"/>
            <w:hideMark/>
          </w:tcPr>
          <w:p w14:paraId="15405429"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 </w:t>
            </w:r>
          </w:p>
        </w:tc>
        <w:tc>
          <w:tcPr>
            <w:tcW w:w="595" w:type="pct"/>
            <w:tcBorders>
              <w:top w:val="nil"/>
              <w:left w:val="nil"/>
              <w:bottom w:val="nil"/>
              <w:right w:val="nil"/>
            </w:tcBorders>
            <w:shd w:val="clear" w:color="000000" w:fill="FFFFFF"/>
            <w:noWrap/>
            <w:vAlign w:val="center"/>
            <w:hideMark/>
          </w:tcPr>
          <w:p w14:paraId="5FE95540"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Budget</w:t>
            </w:r>
          </w:p>
        </w:tc>
        <w:tc>
          <w:tcPr>
            <w:tcW w:w="595" w:type="pct"/>
            <w:tcBorders>
              <w:top w:val="nil"/>
              <w:left w:val="nil"/>
              <w:bottom w:val="nil"/>
              <w:right w:val="nil"/>
            </w:tcBorders>
            <w:shd w:val="clear" w:color="000000" w:fill="FFFFFF"/>
            <w:noWrap/>
            <w:vAlign w:val="center"/>
            <w:hideMark/>
          </w:tcPr>
          <w:p w14:paraId="15786679"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Budget</w:t>
            </w:r>
          </w:p>
        </w:tc>
      </w:tr>
      <w:tr w:rsidR="00D86700" w:rsidRPr="00513ED7" w14:paraId="2CF9461A" w14:textId="77777777" w:rsidTr="00D86700">
        <w:trPr>
          <w:divId w:val="1648777074"/>
          <w:trHeight w:hRule="exact" w:val="225"/>
        </w:trPr>
        <w:tc>
          <w:tcPr>
            <w:tcW w:w="2027" w:type="pct"/>
            <w:tcBorders>
              <w:top w:val="nil"/>
              <w:left w:val="nil"/>
              <w:bottom w:val="nil"/>
              <w:right w:val="nil"/>
            </w:tcBorders>
            <w:shd w:val="clear" w:color="000000" w:fill="FFFFFF"/>
            <w:noWrap/>
            <w:vAlign w:val="center"/>
            <w:hideMark/>
          </w:tcPr>
          <w:p w14:paraId="62E17E31" w14:textId="77777777" w:rsidR="00D86700" w:rsidRPr="003B5469" w:rsidRDefault="00D86700" w:rsidP="00D86700">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595" w:type="pct"/>
            <w:tcBorders>
              <w:top w:val="nil"/>
              <w:left w:val="nil"/>
              <w:bottom w:val="nil"/>
              <w:right w:val="nil"/>
            </w:tcBorders>
            <w:shd w:val="clear" w:color="000000" w:fill="FFFFFF"/>
            <w:noWrap/>
            <w:vAlign w:val="center"/>
            <w:hideMark/>
          </w:tcPr>
          <w:p w14:paraId="7FB30533"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Budget</w:t>
            </w:r>
          </w:p>
        </w:tc>
        <w:tc>
          <w:tcPr>
            <w:tcW w:w="595" w:type="pct"/>
            <w:tcBorders>
              <w:top w:val="nil"/>
              <w:left w:val="nil"/>
              <w:bottom w:val="nil"/>
              <w:right w:val="nil"/>
            </w:tcBorders>
            <w:shd w:val="clear" w:color="000000" w:fill="FFFFFF"/>
            <w:noWrap/>
            <w:vAlign w:val="center"/>
            <w:hideMark/>
          </w:tcPr>
          <w:p w14:paraId="11DB68D8"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Budget</w:t>
            </w:r>
          </w:p>
        </w:tc>
        <w:tc>
          <w:tcPr>
            <w:tcW w:w="595" w:type="pct"/>
            <w:tcBorders>
              <w:top w:val="nil"/>
              <w:left w:val="nil"/>
              <w:bottom w:val="nil"/>
              <w:right w:val="nil"/>
            </w:tcBorders>
            <w:shd w:val="clear" w:color="000000" w:fill="EBFFFF"/>
            <w:noWrap/>
            <w:vAlign w:val="center"/>
            <w:hideMark/>
          </w:tcPr>
          <w:p w14:paraId="2951EEED"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 </w:t>
            </w:r>
          </w:p>
        </w:tc>
        <w:tc>
          <w:tcPr>
            <w:tcW w:w="595" w:type="pct"/>
            <w:tcBorders>
              <w:top w:val="nil"/>
              <w:left w:val="nil"/>
              <w:bottom w:val="nil"/>
              <w:right w:val="nil"/>
            </w:tcBorders>
            <w:shd w:val="clear" w:color="000000" w:fill="FFFFFF"/>
            <w:noWrap/>
            <w:vAlign w:val="center"/>
            <w:hideMark/>
          </w:tcPr>
          <w:p w14:paraId="4747C660"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 </w:t>
            </w:r>
          </w:p>
        </w:tc>
        <w:tc>
          <w:tcPr>
            <w:tcW w:w="595" w:type="pct"/>
            <w:tcBorders>
              <w:top w:val="nil"/>
              <w:left w:val="nil"/>
              <w:bottom w:val="nil"/>
              <w:right w:val="nil"/>
            </w:tcBorders>
            <w:shd w:val="clear" w:color="000000" w:fill="FFFFFF"/>
            <w:noWrap/>
            <w:vAlign w:val="center"/>
            <w:hideMark/>
          </w:tcPr>
          <w:p w14:paraId="27922745"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 </w:t>
            </w:r>
          </w:p>
        </w:tc>
      </w:tr>
      <w:tr w:rsidR="00D86700" w:rsidRPr="00513ED7" w14:paraId="577DBDC1" w14:textId="77777777" w:rsidTr="00D86700">
        <w:trPr>
          <w:divId w:val="1648777074"/>
          <w:trHeight w:hRule="exact" w:val="225"/>
        </w:trPr>
        <w:tc>
          <w:tcPr>
            <w:tcW w:w="2027" w:type="pct"/>
            <w:tcBorders>
              <w:top w:val="nil"/>
              <w:left w:val="nil"/>
              <w:bottom w:val="nil"/>
              <w:right w:val="nil"/>
            </w:tcBorders>
            <w:shd w:val="clear" w:color="000000" w:fill="FFFFFF"/>
            <w:noWrap/>
            <w:vAlign w:val="center"/>
            <w:hideMark/>
          </w:tcPr>
          <w:p w14:paraId="72032A96" w14:textId="77777777" w:rsidR="00D86700" w:rsidRPr="003B5469" w:rsidRDefault="00D86700" w:rsidP="00D86700">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595" w:type="pct"/>
            <w:tcBorders>
              <w:top w:val="nil"/>
              <w:left w:val="nil"/>
              <w:bottom w:val="single" w:sz="4" w:space="0" w:color="000000"/>
              <w:right w:val="nil"/>
            </w:tcBorders>
            <w:shd w:val="clear" w:color="000000" w:fill="FFFFFF"/>
            <w:noWrap/>
            <w:vAlign w:val="center"/>
            <w:hideMark/>
          </w:tcPr>
          <w:p w14:paraId="7E859FD8" w14:textId="77777777" w:rsidR="00D86700" w:rsidRPr="003B5469" w:rsidRDefault="00D86700" w:rsidP="00D86700">
            <w:pPr>
              <w:spacing w:after="0" w:line="240" w:lineRule="auto"/>
              <w:jc w:val="right"/>
              <w:rPr>
                <w:rFonts w:ascii="Arial" w:hAnsi="Arial" w:cs="Arial"/>
                <w:color w:val="000000"/>
                <w:sz w:val="16"/>
                <w:szCs w:val="16"/>
              </w:rPr>
            </w:pPr>
            <w:r w:rsidRPr="003B5469">
              <w:rPr>
                <w:rFonts w:ascii="Arial" w:hAnsi="Arial" w:cs="Arial"/>
                <w:color w:val="000000"/>
                <w:sz w:val="16"/>
                <w:szCs w:val="16"/>
              </w:rPr>
              <w:t>$b</w:t>
            </w:r>
          </w:p>
        </w:tc>
        <w:tc>
          <w:tcPr>
            <w:tcW w:w="595" w:type="pct"/>
            <w:tcBorders>
              <w:top w:val="nil"/>
              <w:left w:val="nil"/>
              <w:bottom w:val="single" w:sz="4" w:space="0" w:color="000000"/>
              <w:right w:val="nil"/>
            </w:tcBorders>
            <w:shd w:val="clear" w:color="000000" w:fill="FFFFFF"/>
            <w:noWrap/>
            <w:vAlign w:val="center"/>
            <w:hideMark/>
          </w:tcPr>
          <w:p w14:paraId="67521C46" w14:textId="77777777" w:rsidR="00D86700" w:rsidRPr="003B5469" w:rsidRDefault="00D86700" w:rsidP="00D86700">
            <w:pPr>
              <w:spacing w:after="0" w:line="240" w:lineRule="auto"/>
              <w:jc w:val="right"/>
              <w:rPr>
                <w:rFonts w:ascii="Arial" w:hAnsi="Arial" w:cs="Arial"/>
                <w:color w:val="000000"/>
                <w:sz w:val="16"/>
                <w:szCs w:val="16"/>
              </w:rPr>
            </w:pPr>
            <w:r w:rsidRPr="003B5469">
              <w:rPr>
                <w:rFonts w:ascii="Arial" w:hAnsi="Arial" w:cs="Arial"/>
                <w:color w:val="000000"/>
                <w:sz w:val="16"/>
                <w:szCs w:val="16"/>
              </w:rPr>
              <w:t>$b</w:t>
            </w:r>
          </w:p>
        </w:tc>
        <w:tc>
          <w:tcPr>
            <w:tcW w:w="595" w:type="pct"/>
            <w:tcBorders>
              <w:top w:val="nil"/>
              <w:left w:val="nil"/>
              <w:bottom w:val="single" w:sz="4" w:space="0" w:color="000000"/>
              <w:right w:val="nil"/>
            </w:tcBorders>
            <w:shd w:val="clear" w:color="000000" w:fill="EBFFFF"/>
            <w:noWrap/>
            <w:vAlign w:val="center"/>
            <w:hideMark/>
          </w:tcPr>
          <w:p w14:paraId="54139E8B" w14:textId="77777777" w:rsidR="00D86700" w:rsidRPr="003B5469" w:rsidRDefault="00D86700" w:rsidP="00D86700">
            <w:pPr>
              <w:spacing w:after="0" w:line="240" w:lineRule="auto"/>
              <w:jc w:val="right"/>
              <w:rPr>
                <w:rFonts w:ascii="Arial" w:hAnsi="Arial" w:cs="Arial"/>
                <w:color w:val="000000"/>
                <w:sz w:val="16"/>
                <w:szCs w:val="16"/>
              </w:rPr>
            </w:pPr>
            <w:r w:rsidRPr="003B5469">
              <w:rPr>
                <w:rFonts w:ascii="Arial" w:hAnsi="Arial" w:cs="Arial"/>
                <w:color w:val="000000"/>
                <w:sz w:val="16"/>
                <w:szCs w:val="16"/>
              </w:rPr>
              <w:t>$b</w:t>
            </w:r>
          </w:p>
        </w:tc>
        <w:tc>
          <w:tcPr>
            <w:tcW w:w="595" w:type="pct"/>
            <w:tcBorders>
              <w:top w:val="nil"/>
              <w:left w:val="nil"/>
              <w:bottom w:val="single" w:sz="4" w:space="0" w:color="000000"/>
              <w:right w:val="nil"/>
            </w:tcBorders>
            <w:shd w:val="clear" w:color="000000" w:fill="FFFFFF"/>
            <w:noWrap/>
            <w:vAlign w:val="center"/>
            <w:hideMark/>
          </w:tcPr>
          <w:p w14:paraId="0FB610AB" w14:textId="77777777" w:rsidR="00D86700" w:rsidRPr="003B5469" w:rsidRDefault="00D86700" w:rsidP="00D86700">
            <w:pPr>
              <w:spacing w:after="0" w:line="240" w:lineRule="auto"/>
              <w:jc w:val="right"/>
              <w:rPr>
                <w:rFonts w:ascii="Arial" w:hAnsi="Arial" w:cs="Arial"/>
                <w:color w:val="000000"/>
                <w:sz w:val="16"/>
                <w:szCs w:val="16"/>
              </w:rPr>
            </w:pPr>
            <w:r w:rsidRPr="003B5469">
              <w:rPr>
                <w:rFonts w:ascii="Arial" w:hAnsi="Arial" w:cs="Arial"/>
                <w:color w:val="000000"/>
                <w:sz w:val="16"/>
                <w:szCs w:val="16"/>
              </w:rPr>
              <w:t>$b</w:t>
            </w:r>
          </w:p>
        </w:tc>
        <w:tc>
          <w:tcPr>
            <w:tcW w:w="595" w:type="pct"/>
            <w:tcBorders>
              <w:top w:val="nil"/>
              <w:left w:val="nil"/>
              <w:bottom w:val="single" w:sz="4" w:space="0" w:color="000000"/>
              <w:right w:val="nil"/>
            </w:tcBorders>
            <w:shd w:val="clear" w:color="000000" w:fill="FFFFFF"/>
            <w:noWrap/>
            <w:vAlign w:val="center"/>
            <w:hideMark/>
          </w:tcPr>
          <w:p w14:paraId="56AA1F40" w14:textId="77777777" w:rsidR="00D86700" w:rsidRPr="003B5469" w:rsidRDefault="00D86700" w:rsidP="00D86700">
            <w:pPr>
              <w:spacing w:after="0" w:line="240" w:lineRule="auto"/>
              <w:jc w:val="right"/>
              <w:rPr>
                <w:rFonts w:ascii="Arial" w:hAnsi="Arial" w:cs="Arial"/>
                <w:color w:val="000000"/>
                <w:sz w:val="16"/>
                <w:szCs w:val="16"/>
              </w:rPr>
            </w:pPr>
            <w:r w:rsidRPr="003B5469">
              <w:rPr>
                <w:rFonts w:ascii="Arial" w:hAnsi="Arial" w:cs="Arial"/>
                <w:color w:val="000000"/>
                <w:sz w:val="16"/>
                <w:szCs w:val="16"/>
              </w:rPr>
              <w:t>$b</w:t>
            </w:r>
          </w:p>
        </w:tc>
      </w:tr>
      <w:tr w:rsidR="00D86700" w:rsidRPr="00513ED7" w14:paraId="5F392F5F" w14:textId="77777777" w:rsidTr="00D86700">
        <w:trPr>
          <w:divId w:val="1648777074"/>
          <w:trHeight w:hRule="exact" w:val="225"/>
        </w:trPr>
        <w:tc>
          <w:tcPr>
            <w:tcW w:w="2027" w:type="pct"/>
            <w:tcBorders>
              <w:top w:val="nil"/>
              <w:left w:val="nil"/>
              <w:bottom w:val="nil"/>
              <w:right w:val="nil"/>
            </w:tcBorders>
            <w:shd w:val="clear" w:color="000000" w:fill="FFFFFF"/>
            <w:noWrap/>
            <w:vAlign w:val="center"/>
            <w:hideMark/>
          </w:tcPr>
          <w:p w14:paraId="0DE57759" w14:textId="77777777" w:rsidR="00D86700" w:rsidRPr="003B5469" w:rsidRDefault="00D86700" w:rsidP="00D86700">
            <w:pPr>
              <w:spacing w:after="0" w:line="240" w:lineRule="auto"/>
              <w:jc w:val="left"/>
              <w:rPr>
                <w:rFonts w:ascii="Arial" w:hAnsi="Arial" w:cs="Arial"/>
                <w:b/>
                <w:color w:val="000000"/>
                <w:sz w:val="16"/>
                <w:szCs w:val="16"/>
              </w:rPr>
            </w:pPr>
            <w:r w:rsidRPr="003B5469">
              <w:rPr>
                <w:rFonts w:ascii="Arial" w:hAnsi="Arial" w:cs="Arial"/>
                <w:b/>
                <w:color w:val="000000"/>
                <w:sz w:val="16"/>
                <w:szCs w:val="16"/>
              </w:rPr>
              <w:t>Receipts</w:t>
            </w:r>
          </w:p>
        </w:tc>
        <w:tc>
          <w:tcPr>
            <w:tcW w:w="595" w:type="pct"/>
            <w:tcBorders>
              <w:top w:val="nil"/>
              <w:left w:val="nil"/>
              <w:bottom w:val="nil"/>
              <w:right w:val="nil"/>
            </w:tcBorders>
            <w:shd w:val="clear" w:color="000000" w:fill="FFFFFF"/>
            <w:noWrap/>
            <w:vAlign w:val="center"/>
            <w:hideMark/>
          </w:tcPr>
          <w:p w14:paraId="372049D4" w14:textId="77777777" w:rsidR="00D86700" w:rsidRPr="003B5469" w:rsidRDefault="00D86700" w:rsidP="00D86700">
            <w:pPr>
              <w:spacing w:after="0" w:line="240" w:lineRule="auto"/>
              <w:jc w:val="right"/>
              <w:rPr>
                <w:rFonts w:ascii="Arial" w:hAnsi="Arial" w:cs="Arial"/>
                <w:b/>
                <w:color w:val="000000"/>
                <w:sz w:val="16"/>
                <w:szCs w:val="16"/>
              </w:rPr>
            </w:pPr>
            <w:r w:rsidRPr="003B5469">
              <w:rPr>
                <w:rFonts w:ascii="Arial" w:hAnsi="Arial" w:cs="Arial"/>
                <w:b/>
                <w:color w:val="000000"/>
                <w:sz w:val="16"/>
                <w:szCs w:val="16"/>
              </w:rPr>
              <w:t>463.8</w:t>
            </w:r>
          </w:p>
        </w:tc>
        <w:tc>
          <w:tcPr>
            <w:tcW w:w="595" w:type="pct"/>
            <w:tcBorders>
              <w:top w:val="nil"/>
              <w:left w:val="nil"/>
              <w:bottom w:val="nil"/>
              <w:right w:val="nil"/>
            </w:tcBorders>
            <w:shd w:val="clear" w:color="000000" w:fill="FFFFFF"/>
            <w:noWrap/>
            <w:vAlign w:val="center"/>
            <w:hideMark/>
          </w:tcPr>
          <w:p w14:paraId="6CBD2234" w14:textId="77777777" w:rsidR="00D86700" w:rsidRPr="003B5469" w:rsidRDefault="00D86700" w:rsidP="00D86700">
            <w:pPr>
              <w:spacing w:after="0" w:line="240" w:lineRule="auto"/>
              <w:jc w:val="right"/>
              <w:rPr>
                <w:rFonts w:ascii="Arial" w:hAnsi="Arial" w:cs="Arial"/>
                <w:b/>
                <w:color w:val="000000"/>
                <w:sz w:val="16"/>
                <w:szCs w:val="16"/>
              </w:rPr>
            </w:pPr>
            <w:r w:rsidRPr="003B5469">
              <w:rPr>
                <w:rFonts w:ascii="Arial" w:hAnsi="Arial" w:cs="Arial"/>
                <w:b/>
                <w:color w:val="000000"/>
                <w:sz w:val="16"/>
                <w:szCs w:val="16"/>
              </w:rPr>
              <w:t>499.8</w:t>
            </w:r>
          </w:p>
        </w:tc>
        <w:tc>
          <w:tcPr>
            <w:tcW w:w="595" w:type="pct"/>
            <w:tcBorders>
              <w:top w:val="nil"/>
              <w:left w:val="nil"/>
              <w:bottom w:val="nil"/>
              <w:right w:val="nil"/>
            </w:tcBorders>
            <w:shd w:val="clear" w:color="000000" w:fill="EBFFFF"/>
            <w:noWrap/>
            <w:vAlign w:val="center"/>
            <w:hideMark/>
          </w:tcPr>
          <w:p w14:paraId="2ED61D14" w14:textId="77777777" w:rsidR="00D86700" w:rsidRPr="003B5469" w:rsidRDefault="00D86700" w:rsidP="00D86700">
            <w:pPr>
              <w:spacing w:after="0" w:line="240" w:lineRule="auto"/>
              <w:jc w:val="right"/>
              <w:rPr>
                <w:rFonts w:ascii="Arial" w:hAnsi="Arial" w:cs="Arial"/>
                <w:b/>
                <w:color w:val="000000"/>
                <w:sz w:val="16"/>
                <w:szCs w:val="16"/>
              </w:rPr>
            </w:pPr>
            <w:r w:rsidRPr="003B5469">
              <w:rPr>
                <w:rFonts w:ascii="Arial" w:hAnsi="Arial" w:cs="Arial"/>
                <w:b/>
                <w:color w:val="000000"/>
                <w:sz w:val="16"/>
                <w:szCs w:val="16"/>
              </w:rPr>
              <w:t>519.9</w:t>
            </w:r>
          </w:p>
        </w:tc>
        <w:tc>
          <w:tcPr>
            <w:tcW w:w="595" w:type="pct"/>
            <w:tcBorders>
              <w:top w:val="nil"/>
              <w:left w:val="nil"/>
              <w:bottom w:val="nil"/>
              <w:right w:val="nil"/>
            </w:tcBorders>
            <w:shd w:val="clear" w:color="000000" w:fill="FFFFFF"/>
            <w:noWrap/>
            <w:vAlign w:val="center"/>
            <w:hideMark/>
          </w:tcPr>
          <w:p w14:paraId="6726493A" w14:textId="77777777" w:rsidR="00D86700" w:rsidRPr="003B5469" w:rsidRDefault="00D86700" w:rsidP="00D86700">
            <w:pPr>
              <w:spacing w:after="0" w:line="240" w:lineRule="auto"/>
              <w:jc w:val="right"/>
              <w:rPr>
                <w:rFonts w:ascii="Arial" w:hAnsi="Arial" w:cs="Arial"/>
                <w:b/>
                <w:color w:val="000000"/>
                <w:sz w:val="16"/>
                <w:szCs w:val="16"/>
              </w:rPr>
            </w:pPr>
            <w:r w:rsidRPr="003B5469">
              <w:rPr>
                <w:rFonts w:ascii="Arial" w:hAnsi="Arial" w:cs="Arial"/>
                <w:b/>
                <w:color w:val="000000"/>
                <w:sz w:val="16"/>
                <w:szCs w:val="16"/>
              </w:rPr>
              <w:t>56.1</w:t>
            </w:r>
          </w:p>
        </w:tc>
        <w:tc>
          <w:tcPr>
            <w:tcW w:w="595" w:type="pct"/>
            <w:tcBorders>
              <w:top w:val="nil"/>
              <w:left w:val="nil"/>
              <w:bottom w:val="nil"/>
              <w:right w:val="nil"/>
            </w:tcBorders>
            <w:shd w:val="clear" w:color="000000" w:fill="FFFFFF"/>
            <w:noWrap/>
            <w:vAlign w:val="center"/>
            <w:hideMark/>
          </w:tcPr>
          <w:p w14:paraId="42D4226B" w14:textId="77777777" w:rsidR="00D86700" w:rsidRPr="003B5469" w:rsidRDefault="00D86700" w:rsidP="00D86700">
            <w:pPr>
              <w:spacing w:after="0" w:line="240" w:lineRule="auto"/>
              <w:jc w:val="right"/>
              <w:rPr>
                <w:rFonts w:ascii="Arial" w:hAnsi="Arial" w:cs="Arial"/>
                <w:b/>
                <w:color w:val="000000"/>
                <w:sz w:val="16"/>
                <w:szCs w:val="16"/>
              </w:rPr>
            </w:pPr>
            <w:r w:rsidRPr="003B5469">
              <w:rPr>
                <w:rFonts w:ascii="Arial" w:hAnsi="Arial" w:cs="Arial"/>
                <w:b/>
                <w:color w:val="000000"/>
                <w:sz w:val="16"/>
                <w:szCs w:val="16"/>
              </w:rPr>
              <w:t>20.1</w:t>
            </w:r>
          </w:p>
        </w:tc>
      </w:tr>
      <w:tr w:rsidR="00D86700" w:rsidRPr="00513ED7" w14:paraId="23781606" w14:textId="77777777" w:rsidTr="00D86700">
        <w:trPr>
          <w:divId w:val="1648777074"/>
          <w:trHeight w:hRule="exact" w:val="225"/>
        </w:trPr>
        <w:tc>
          <w:tcPr>
            <w:tcW w:w="2027" w:type="pct"/>
            <w:tcBorders>
              <w:top w:val="nil"/>
              <w:left w:val="nil"/>
              <w:bottom w:val="nil"/>
              <w:right w:val="nil"/>
            </w:tcBorders>
            <w:shd w:val="clear" w:color="000000" w:fill="FFFFFF"/>
            <w:noWrap/>
            <w:vAlign w:val="center"/>
            <w:hideMark/>
          </w:tcPr>
          <w:p w14:paraId="2FDB3ACF" w14:textId="77777777" w:rsidR="00D86700" w:rsidRPr="003B5469" w:rsidRDefault="00D86700" w:rsidP="00D86700">
            <w:pPr>
              <w:spacing w:after="0" w:line="240" w:lineRule="auto"/>
              <w:jc w:val="left"/>
              <w:rPr>
                <w:rFonts w:ascii="Arial" w:hAnsi="Arial" w:cs="Arial"/>
                <w:color w:val="000000"/>
                <w:sz w:val="16"/>
                <w:szCs w:val="16"/>
              </w:rPr>
            </w:pPr>
            <w:r w:rsidRPr="003B5469">
              <w:rPr>
                <w:rFonts w:ascii="Arial" w:hAnsi="Arial" w:cs="Arial"/>
                <w:color w:val="000000"/>
                <w:sz w:val="16"/>
                <w:szCs w:val="16"/>
              </w:rPr>
              <w:t>Per cent of GDP</w:t>
            </w:r>
          </w:p>
        </w:tc>
        <w:tc>
          <w:tcPr>
            <w:tcW w:w="595" w:type="pct"/>
            <w:tcBorders>
              <w:top w:val="nil"/>
              <w:left w:val="nil"/>
              <w:bottom w:val="nil"/>
              <w:right w:val="nil"/>
            </w:tcBorders>
            <w:shd w:val="clear" w:color="000000" w:fill="FFFFFF"/>
            <w:noWrap/>
            <w:vAlign w:val="center"/>
            <w:hideMark/>
          </w:tcPr>
          <w:p w14:paraId="086BF53D"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23.8</w:t>
            </w:r>
          </w:p>
        </w:tc>
        <w:tc>
          <w:tcPr>
            <w:tcW w:w="595" w:type="pct"/>
            <w:tcBorders>
              <w:top w:val="nil"/>
              <w:left w:val="nil"/>
              <w:bottom w:val="nil"/>
              <w:right w:val="nil"/>
            </w:tcBorders>
            <w:shd w:val="clear" w:color="000000" w:fill="FFFFFF"/>
            <w:noWrap/>
            <w:vAlign w:val="center"/>
            <w:hideMark/>
          </w:tcPr>
          <w:p w14:paraId="30ABD710"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24.3</w:t>
            </w:r>
          </w:p>
        </w:tc>
        <w:tc>
          <w:tcPr>
            <w:tcW w:w="595" w:type="pct"/>
            <w:tcBorders>
              <w:top w:val="nil"/>
              <w:left w:val="nil"/>
              <w:bottom w:val="nil"/>
              <w:right w:val="nil"/>
            </w:tcBorders>
            <w:shd w:val="clear" w:color="000000" w:fill="EBFFFF"/>
            <w:noWrap/>
            <w:vAlign w:val="center"/>
            <w:hideMark/>
          </w:tcPr>
          <w:p w14:paraId="4B66599A"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25.1</w:t>
            </w:r>
          </w:p>
        </w:tc>
        <w:tc>
          <w:tcPr>
            <w:tcW w:w="595" w:type="pct"/>
            <w:tcBorders>
              <w:top w:val="nil"/>
              <w:left w:val="nil"/>
              <w:bottom w:val="nil"/>
              <w:right w:val="nil"/>
            </w:tcBorders>
            <w:shd w:val="clear" w:color="000000" w:fill="FFFFFF"/>
            <w:noWrap/>
            <w:vAlign w:val="center"/>
            <w:hideMark/>
          </w:tcPr>
          <w:p w14:paraId="30884C27"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 </w:t>
            </w:r>
          </w:p>
        </w:tc>
        <w:tc>
          <w:tcPr>
            <w:tcW w:w="595" w:type="pct"/>
            <w:tcBorders>
              <w:top w:val="nil"/>
              <w:left w:val="nil"/>
              <w:bottom w:val="nil"/>
              <w:right w:val="nil"/>
            </w:tcBorders>
            <w:shd w:val="clear" w:color="000000" w:fill="FFFFFF"/>
            <w:noWrap/>
            <w:vAlign w:val="center"/>
            <w:hideMark/>
          </w:tcPr>
          <w:p w14:paraId="77DE3A86"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 </w:t>
            </w:r>
          </w:p>
        </w:tc>
      </w:tr>
      <w:tr w:rsidR="00D86700" w:rsidRPr="00513ED7" w14:paraId="78E6DCB3" w14:textId="77777777" w:rsidTr="00D86700">
        <w:trPr>
          <w:divId w:val="1648777074"/>
          <w:trHeight w:hRule="exact" w:val="60"/>
        </w:trPr>
        <w:tc>
          <w:tcPr>
            <w:tcW w:w="2027" w:type="pct"/>
            <w:tcBorders>
              <w:top w:val="nil"/>
              <w:left w:val="nil"/>
              <w:bottom w:val="nil"/>
              <w:right w:val="nil"/>
            </w:tcBorders>
            <w:shd w:val="clear" w:color="000000" w:fill="FFFFFF"/>
            <w:noWrap/>
            <w:vAlign w:val="center"/>
            <w:hideMark/>
          </w:tcPr>
          <w:p w14:paraId="50F1BB05" w14:textId="77777777" w:rsidR="00D86700" w:rsidRPr="003B5469" w:rsidRDefault="00D86700" w:rsidP="00D86700">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595" w:type="pct"/>
            <w:tcBorders>
              <w:top w:val="nil"/>
              <w:left w:val="nil"/>
              <w:bottom w:val="nil"/>
              <w:right w:val="nil"/>
            </w:tcBorders>
            <w:shd w:val="clear" w:color="000000" w:fill="FFFFFF"/>
            <w:noWrap/>
            <w:vAlign w:val="center"/>
            <w:hideMark/>
          </w:tcPr>
          <w:p w14:paraId="64A09CA9" w14:textId="77777777" w:rsidR="00D86700" w:rsidRPr="003B5469" w:rsidRDefault="00D86700" w:rsidP="00D86700">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595" w:type="pct"/>
            <w:tcBorders>
              <w:top w:val="nil"/>
              <w:left w:val="nil"/>
              <w:bottom w:val="nil"/>
              <w:right w:val="nil"/>
            </w:tcBorders>
            <w:shd w:val="clear" w:color="000000" w:fill="FFFFFF"/>
            <w:noWrap/>
            <w:vAlign w:val="center"/>
            <w:hideMark/>
          </w:tcPr>
          <w:p w14:paraId="00A6E42D" w14:textId="77777777" w:rsidR="00D86700" w:rsidRPr="003B5469" w:rsidRDefault="00D86700" w:rsidP="00D86700">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595" w:type="pct"/>
            <w:tcBorders>
              <w:top w:val="nil"/>
              <w:left w:val="nil"/>
              <w:bottom w:val="nil"/>
              <w:right w:val="nil"/>
            </w:tcBorders>
            <w:shd w:val="clear" w:color="000000" w:fill="EBFFFF"/>
            <w:noWrap/>
            <w:vAlign w:val="center"/>
            <w:hideMark/>
          </w:tcPr>
          <w:p w14:paraId="1D8C5197" w14:textId="77777777" w:rsidR="00D86700" w:rsidRPr="003B5469" w:rsidRDefault="00D86700" w:rsidP="00D86700">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595" w:type="pct"/>
            <w:tcBorders>
              <w:top w:val="nil"/>
              <w:left w:val="nil"/>
              <w:bottom w:val="nil"/>
              <w:right w:val="nil"/>
            </w:tcBorders>
            <w:shd w:val="clear" w:color="000000" w:fill="FFFFFF"/>
            <w:noWrap/>
            <w:vAlign w:val="center"/>
            <w:hideMark/>
          </w:tcPr>
          <w:p w14:paraId="2B22CD06" w14:textId="77777777" w:rsidR="00D86700" w:rsidRPr="003B5469" w:rsidRDefault="00D86700" w:rsidP="00D86700">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595" w:type="pct"/>
            <w:tcBorders>
              <w:top w:val="nil"/>
              <w:left w:val="nil"/>
              <w:bottom w:val="nil"/>
              <w:right w:val="nil"/>
            </w:tcBorders>
            <w:shd w:val="clear" w:color="000000" w:fill="FFFFFF"/>
            <w:noWrap/>
            <w:vAlign w:val="center"/>
            <w:hideMark/>
          </w:tcPr>
          <w:p w14:paraId="712022E0" w14:textId="77777777" w:rsidR="00D86700" w:rsidRPr="003B5469" w:rsidRDefault="00D86700" w:rsidP="00D86700">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D86700" w:rsidRPr="00513ED7" w14:paraId="12F1FA87" w14:textId="77777777" w:rsidTr="00D86700">
        <w:trPr>
          <w:divId w:val="1648777074"/>
          <w:trHeight w:hRule="exact" w:val="225"/>
        </w:trPr>
        <w:tc>
          <w:tcPr>
            <w:tcW w:w="2027" w:type="pct"/>
            <w:tcBorders>
              <w:top w:val="nil"/>
              <w:left w:val="nil"/>
              <w:bottom w:val="nil"/>
              <w:right w:val="nil"/>
            </w:tcBorders>
            <w:shd w:val="clear" w:color="000000" w:fill="FFFFFF"/>
            <w:noWrap/>
            <w:vAlign w:val="center"/>
            <w:hideMark/>
          </w:tcPr>
          <w:p w14:paraId="4BADC838" w14:textId="77777777" w:rsidR="00D86700" w:rsidRPr="003B5469" w:rsidRDefault="00D86700" w:rsidP="00D86700">
            <w:pPr>
              <w:spacing w:after="0" w:line="240" w:lineRule="auto"/>
              <w:jc w:val="left"/>
              <w:rPr>
                <w:rFonts w:ascii="Arial" w:hAnsi="Arial" w:cs="Arial"/>
                <w:b/>
                <w:color w:val="000000"/>
                <w:sz w:val="16"/>
                <w:szCs w:val="16"/>
              </w:rPr>
            </w:pPr>
            <w:r w:rsidRPr="003B5469">
              <w:rPr>
                <w:rFonts w:ascii="Arial" w:hAnsi="Arial" w:cs="Arial"/>
                <w:b/>
                <w:color w:val="000000"/>
                <w:sz w:val="16"/>
                <w:szCs w:val="16"/>
              </w:rPr>
              <w:t>Payments(a)</w:t>
            </w:r>
          </w:p>
        </w:tc>
        <w:tc>
          <w:tcPr>
            <w:tcW w:w="595" w:type="pct"/>
            <w:tcBorders>
              <w:top w:val="nil"/>
              <w:left w:val="nil"/>
              <w:bottom w:val="nil"/>
              <w:right w:val="nil"/>
            </w:tcBorders>
            <w:shd w:val="clear" w:color="000000" w:fill="FFFFFF"/>
            <w:noWrap/>
            <w:vAlign w:val="center"/>
            <w:hideMark/>
          </w:tcPr>
          <w:p w14:paraId="64E6FCA9" w14:textId="77777777" w:rsidR="00D86700" w:rsidRPr="003B5469" w:rsidRDefault="00D86700" w:rsidP="00D86700">
            <w:pPr>
              <w:spacing w:after="0" w:line="240" w:lineRule="auto"/>
              <w:jc w:val="right"/>
              <w:rPr>
                <w:rFonts w:ascii="Arial" w:hAnsi="Arial" w:cs="Arial"/>
                <w:b/>
                <w:color w:val="000000"/>
                <w:sz w:val="16"/>
                <w:szCs w:val="16"/>
              </w:rPr>
            </w:pPr>
            <w:r w:rsidRPr="003B5469">
              <w:rPr>
                <w:rFonts w:ascii="Arial" w:hAnsi="Arial" w:cs="Arial"/>
                <w:b/>
                <w:color w:val="000000"/>
                <w:sz w:val="16"/>
                <w:szCs w:val="16"/>
              </w:rPr>
              <w:t>677.4</w:t>
            </w:r>
          </w:p>
        </w:tc>
        <w:tc>
          <w:tcPr>
            <w:tcW w:w="595" w:type="pct"/>
            <w:tcBorders>
              <w:top w:val="nil"/>
              <w:left w:val="nil"/>
              <w:bottom w:val="nil"/>
              <w:right w:val="nil"/>
            </w:tcBorders>
            <w:shd w:val="clear" w:color="000000" w:fill="FFFFFF"/>
            <w:noWrap/>
            <w:vAlign w:val="center"/>
            <w:hideMark/>
          </w:tcPr>
          <w:p w14:paraId="0C77C3F4" w14:textId="77777777" w:rsidR="00D86700" w:rsidRPr="003B5469" w:rsidRDefault="00D86700" w:rsidP="00D86700">
            <w:pPr>
              <w:spacing w:after="0" w:line="240" w:lineRule="auto"/>
              <w:jc w:val="right"/>
              <w:rPr>
                <w:rFonts w:ascii="Arial" w:hAnsi="Arial" w:cs="Arial"/>
                <w:b/>
                <w:color w:val="000000"/>
                <w:sz w:val="16"/>
                <w:szCs w:val="16"/>
              </w:rPr>
            </w:pPr>
            <w:r w:rsidRPr="003B5469">
              <w:rPr>
                <w:rFonts w:ascii="Arial" w:hAnsi="Arial" w:cs="Arial"/>
                <w:b/>
                <w:color w:val="000000"/>
                <w:sz w:val="16"/>
                <w:szCs w:val="16"/>
              </w:rPr>
              <w:t>660.8</w:t>
            </w:r>
          </w:p>
        </w:tc>
        <w:tc>
          <w:tcPr>
            <w:tcW w:w="595" w:type="pct"/>
            <w:tcBorders>
              <w:top w:val="nil"/>
              <w:left w:val="nil"/>
              <w:bottom w:val="nil"/>
              <w:right w:val="nil"/>
            </w:tcBorders>
            <w:shd w:val="clear" w:color="000000" w:fill="EBFFFF"/>
            <w:noWrap/>
            <w:vAlign w:val="center"/>
            <w:hideMark/>
          </w:tcPr>
          <w:p w14:paraId="69A511F9" w14:textId="77777777" w:rsidR="00D86700" w:rsidRPr="003B5469" w:rsidRDefault="00D86700" w:rsidP="00D86700">
            <w:pPr>
              <w:spacing w:after="0" w:line="240" w:lineRule="auto"/>
              <w:jc w:val="right"/>
              <w:rPr>
                <w:rFonts w:ascii="Arial" w:hAnsi="Arial" w:cs="Arial"/>
                <w:b/>
                <w:color w:val="000000"/>
                <w:sz w:val="16"/>
                <w:szCs w:val="16"/>
              </w:rPr>
            </w:pPr>
            <w:r w:rsidRPr="003B5469">
              <w:rPr>
                <w:rFonts w:ascii="Arial" w:hAnsi="Arial" w:cs="Arial"/>
                <w:b/>
                <w:color w:val="000000"/>
                <w:sz w:val="16"/>
                <w:szCs w:val="16"/>
              </w:rPr>
              <w:t>654.1</w:t>
            </w:r>
          </w:p>
        </w:tc>
        <w:tc>
          <w:tcPr>
            <w:tcW w:w="595" w:type="pct"/>
            <w:tcBorders>
              <w:top w:val="nil"/>
              <w:left w:val="nil"/>
              <w:bottom w:val="nil"/>
              <w:right w:val="nil"/>
            </w:tcBorders>
            <w:shd w:val="clear" w:color="000000" w:fill="FFFFFF"/>
            <w:noWrap/>
            <w:vAlign w:val="center"/>
            <w:hideMark/>
          </w:tcPr>
          <w:p w14:paraId="7CAF6F58" w14:textId="55ED885E" w:rsidR="00D86700" w:rsidRPr="003B5469" w:rsidRDefault="00A36B1E" w:rsidP="00D86700">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D86700" w:rsidRPr="003B5469">
              <w:rPr>
                <w:rFonts w:ascii="Arial" w:hAnsi="Arial" w:cs="Arial"/>
                <w:b/>
                <w:color w:val="000000"/>
                <w:sz w:val="16"/>
                <w:szCs w:val="16"/>
              </w:rPr>
              <w:t>23.3</w:t>
            </w:r>
          </w:p>
        </w:tc>
        <w:tc>
          <w:tcPr>
            <w:tcW w:w="595" w:type="pct"/>
            <w:tcBorders>
              <w:top w:val="nil"/>
              <w:left w:val="nil"/>
              <w:bottom w:val="nil"/>
              <w:right w:val="nil"/>
            </w:tcBorders>
            <w:shd w:val="clear" w:color="000000" w:fill="FFFFFF"/>
            <w:noWrap/>
            <w:vAlign w:val="center"/>
            <w:hideMark/>
          </w:tcPr>
          <w:p w14:paraId="714F86C4" w14:textId="4209A350" w:rsidR="00D86700" w:rsidRPr="003B5469" w:rsidRDefault="00A36B1E" w:rsidP="00D86700">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D86700" w:rsidRPr="003B5469">
              <w:rPr>
                <w:rFonts w:ascii="Arial" w:hAnsi="Arial" w:cs="Arial"/>
                <w:b/>
                <w:color w:val="000000"/>
                <w:sz w:val="16"/>
                <w:szCs w:val="16"/>
              </w:rPr>
              <w:t>6.7</w:t>
            </w:r>
          </w:p>
        </w:tc>
      </w:tr>
      <w:tr w:rsidR="00D86700" w:rsidRPr="00513ED7" w14:paraId="0D94E69F" w14:textId="77777777" w:rsidTr="00D86700">
        <w:trPr>
          <w:divId w:val="1648777074"/>
          <w:trHeight w:hRule="exact" w:val="225"/>
        </w:trPr>
        <w:tc>
          <w:tcPr>
            <w:tcW w:w="2027" w:type="pct"/>
            <w:tcBorders>
              <w:top w:val="nil"/>
              <w:left w:val="nil"/>
              <w:bottom w:val="nil"/>
              <w:right w:val="nil"/>
            </w:tcBorders>
            <w:shd w:val="clear" w:color="000000" w:fill="FFFFFF"/>
            <w:noWrap/>
            <w:vAlign w:val="center"/>
            <w:hideMark/>
          </w:tcPr>
          <w:p w14:paraId="6824C11E" w14:textId="77777777" w:rsidR="00D86700" w:rsidRPr="003B5469" w:rsidRDefault="00D86700" w:rsidP="00D86700">
            <w:pPr>
              <w:spacing w:after="0" w:line="240" w:lineRule="auto"/>
              <w:jc w:val="left"/>
              <w:rPr>
                <w:rFonts w:ascii="Arial" w:hAnsi="Arial" w:cs="Arial"/>
                <w:color w:val="000000"/>
                <w:sz w:val="16"/>
                <w:szCs w:val="16"/>
              </w:rPr>
            </w:pPr>
            <w:r w:rsidRPr="003B5469">
              <w:rPr>
                <w:rFonts w:ascii="Arial" w:hAnsi="Arial" w:cs="Arial"/>
                <w:color w:val="000000"/>
                <w:sz w:val="16"/>
                <w:szCs w:val="16"/>
              </w:rPr>
              <w:t>Per cent of GDP</w:t>
            </w:r>
          </w:p>
        </w:tc>
        <w:tc>
          <w:tcPr>
            <w:tcW w:w="595" w:type="pct"/>
            <w:tcBorders>
              <w:top w:val="nil"/>
              <w:left w:val="nil"/>
              <w:bottom w:val="nil"/>
              <w:right w:val="nil"/>
            </w:tcBorders>
            <w:shd w:val="clear" w:color="000000" w:fill="FFFFFF"/>
            <w:noWrap/>
            <w:vAlign w:val="center"/>
            <w:hideMark/>
          </w:tcPr>
          <w:p w14:paraId="65117EF4"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34.8</w:t>
            </w:r>
          </w:p>
        </w:tc>
        <w:tc>
          <w:tcPr>
            <w:tcW w:w="595" w:type="pct"/>
            <w:tcBorders>
              <w:top w:val="nil"/>
              <w:left w:val="nil"/>
              <w:bottom w:val="nil"/>
              <w:right w:val="nil"/>
            </w:tcBorders>
            <w:shd w:val="clear" w:color="000000" w:fill="FFFFFF"/>
            <w:noWrap/>
            <w:vAlign w:val="center"/>
            <w:hideMark/>
          </w:tcPr>
          <w:p w14:paraId="6B40356C"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32.1</w:t>
            </w:r>
          </w:p>
        </w:tc>
        <w:tc>
          <w:tcPr>
            <w:tcW w:w="595" w:type="pct"/>
            <w:tcBorders>
              <w:top w:val="nil"/>
              <w:left w:val="nil"/>
              <w:bottom w:val="nil"/>
              <w:right w:val="nil"/>
            </w:tcBorders>
            <w:shd w:val="clear" w:color="000000" w:fill="EBFFFF"/>
            <w:noWrap/>
            <w:vAlign w:val="center"/>
            <w:hideMark/>
          </w:tcPr>
          <w:p w14:paraId="194E67D3"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31.6</w:t>
            </w:r>
          </w:p>
        </w:tc>
        <w:tc>
          <w:tcPr>
            <w:tcW w:w="595" w:type="pct"/>
            <w:tcBorders>
              <w:top w:val="nil"/>
              <w:left w:val="nil"/>
              <w:bottom w:val="nil"/>
              <w:right w:val="nil"/>
            </w:tcBorders>
            <w:shd w:val="clear" w:color="000000" w:fill="FFFFFF"/>
            <w:noWrap/>
            <w:vAlign w:val="center"/>
            <w:hideMark/>
          </w:tcPr>
          <w:p w14:paraId="6FF1B93B"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 </w:t>
            </w:r>
          </w:p>
        </w:tc>
        <w:tc>
          <w:tcPr>
            <w:tcW w:w="595" w:type="pct"/>
            <w:tcBorders>
              <w:top w:val="nil"/>
              <w:left w:val="nil"/>
              <w:bottom w:val="nil"/>
              <w:right w:val="nil"/>
            </w:tcBorders>
            <w:shd w:val="clear" w:color="000000" w:fill="FFFFFF"/>
            <w:noWrap/>
            <w:vAlign w:val="center"/>
            <w:hideMark/>
          </w:tcPr>
          <w:p w14:paraId="275BF363"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 </w:t>
            </w:r>
          </w:p>
        </w:tc>
      </w:tr>
      <w:tr w:rsidR="00D86700" w:rsidRPr="00513ED7" w14:paraId="7F1816E9" w14:textId="77777777" w:rsidTr="00D86700">
        <w:trPr>
          <w:divId w:val="1648777074"/>
          <w:trHeight w:hRule="exact" w:val="60"/>
        </w:trPr>
        <w:tc>
          <w:tcPr>
            <w:tcW w:w="2027" w:type="pct"/>
            <w:tcBorders>
              <w:top w:val="nil"/>
              <w:left w:val="nil"/>
              <w:bottom w:val="nil"/>
              <w:right w:val="nil"/>
            </w:tcBorders>
            <w:shd w:val="clear" w:color="000000" w:fill="FFFFFF"/>
            <w:noWrap/>
            <w:vAlign w:val="center"/>
            <w:hideMark/>
          </w:tcPr>
          <w:p w14:paraId="24602A72" w14:textId="77777777" w:rsidR="00D86700" w:rsidRPr="003B5469" w:rsidRDefault="00D86700" w:rsidP="00D86700">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595" w:type="pct"/>
            <w:tcBorders>
              <w:top w:val="nil"/>
              <w:left w:val="nil"/>
              <w:bottom w:val="nil"/>
              <w:right w:val="nil"/>
            </w:tcBorders>
            <w:shd w:val="clear" w:color="000000" w:fill="FFFFFF"/>
            <w:noWrap/>
            <w:vAlign w:val="center"/>
            <w:hideMark/>
          </w:tcPr>
          <w:p w14:paraId="1849123C" w14:textId="77777777" w:rsidR="00D86700" w:rsidRPr="003B5469" w:rsidRDefault="00D86700" w:rsidP="00D86700">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595" w:type="pct"/>
            <w:tcBorders>
              <w:top w:val="nil"/>
              <w:left w:val="nil"/>
              <w:bottom w:val="nil"/>
              <w:right w:val="nil"/>
            </w:tcBorders>
            <w:shd w:val="clear" w:color="000000" w:fill="FFFFFF"/>
            <w:noWrap/>
            <w:vAlign w:val="center"/>
            <w:hideMark/>
          </w:tcPr>
          <w:p w14:paraId="464D51D3" w14:textId="77777777" w:rsidR="00D86700" w:rsidRPr="003B5469" w:rsidRDefault="00D86700" w:rsidP="00D86700">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595" w:type="pct"/>
            <w:tcBorders>
              <w:top w:val="nil"/>
              <w:left w:val="nil"/>
              <w:bottom w:val="nil"/>
              <w:right w:val="nil"/>
            </w:tcBorders>
            <w:shd w:val="clear" w:color="000000" w:fill="EBFFFF"/>
            <w:noWrap/>
            <w:vAlign w:val="center"/>
            <w:hideMark/>
          </w:tcPr>
          <w:p w14:paraId="1F48F72D" w14:textId="77777777" w:rsidR="00D86700" w:rsidRPr="003B5469" w:rsidRDefault="00D86700" w:rsidP="00D86700">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595" w:type="pct"/>
            <w:tcBorders>
              <w:top w:val="nil"/>
              <w:left w:val="nil"/>
              <w:bottom w:val="nil"/>
              <w:right w:val="nil"/>
            </w:tcBorders>
            <w:shd w:val="clear" w:color="000000" w:fill="FFFFFF"/>
            <w:noWrap/>
            <w:vAlign w:val="center"/>
            <w:hideMark/>
          </w:tcPr>
          <w:p w14:paraId="4D3F45ED" w14:textId="77777777" w:rsidR="00D86700" w:rsidRPr="003B5469" w:rsidRDefault="00D86700" w:rsidP="00D86700">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595" w:type="pct"/>
            <w:tcBorders>
              <w:top w:val="nil"/>
              <w:left w:val="nil"/>
              <w:bottom w:val="nil"/>
              <w:right w:val="nil"/>
            </w:tcBorders>
            <w:shd w:val="clear" w:color="000000" w:fill="FFFFFF"/>
            <w:noWrap/>
            <w:vAlign w:val="center"/>
            <w:hideMark/>
          </w:tcPr>
          <w:p w14:paraId="0F6A6101" w14:textId="77777777" w:rsidR="00D86700" w:rsidRPr="003B5469" w:rsidRDefault="00D86700" w:rsidP="00D86700">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D86700" w:rsidRPr="00513ED7" w14:paraId="23EC55E0" w14:textId="77777777" w:rsidTr="00D86700">
        <w:trPr>
          <w:divId w:val="1648777074"/>
          <w:trHeight w:hRule="exact" w:val="225"/>
        </w:trPr>
        <w:tc>
          <w:tcPr>
            <w:tcW w:w="2027" w:type="pct"/>
            <w:tcBorders>
              <w:top w:val="nil"/>
              <w:left w:val="nil"/>
              <w:bottom w:val="nil"/>
              <w:right w:val="nil"/>
            </w:tcBorders>
            <w:shd w:val="clear" w:color="000000" w:fill="FFFFFF"/>
            <w:noWrap/>
            <w:vAlign w:val="center"/>
            <w:hideMark/>
          </w:tcPr>
          <w:p w14:paraId="5A33E7A6" w14:textId="77777777" w:rsidR="00D86700" w:rsidRPr="003B5469" w:rsidRDefault="00D86700" w:rsidP="00D86700">
            <w:pPr>
              <w:spacing w:after="0" w:line="240" w:lineRule="auto"/>
              <w:jc w:val="left"/>
              <w:rPr>
                <w:rFonts w:ascii="Arial" w:hAnsi="Arial" w:cs="Arial"/>
                <w:b/>
                <w:sz w:val="16"/>
                <w:szCs w:val="16"/>
              </w:rPr>
            </w:pPr>
            <w:r w:rsidRPr="003B5469">
              <w:rPr>
                <w:rFonts w:ascii="Arial" w:hAnsi="Arial" w:cs="Arial"/>
                <w:b/>
                <w:sz w:val="16"/>
                <w:szCs w:val="16"/>
              </w:rPr>
              <w:t>Underlying cash balance</w:t>
            </w:r>
          </w:p>
        </w:tc>
        <w:tc>
          <w:tcPr>
            <w:tcW w:w="595" w:type="pct"/>
            <w:tcBorders>
              <w:top w:val="nil"/>
              <w:left w:val="nil"/>
              <w:bottom w:val="nil"/>
              <w:right w:val="nil"/>
            </w:tcBorders>
            <w:shd w:val="clear" w:color="000000" w:fill="FFFFFF"/>
            <w:noWrap/>
            <w:vAlign w:val="center"/>
            <w:hideMark/>
          </w:tcPr>
          <w:p w14:paraId="144AA0A7" w14:textId="36C749C1" w:rsidR="00D86700" w:rsidRPr="003B5469" w:rsidRDefault="00A36B1E" w:rsidP="00D86700">
            <w:pPr>
              <w:spacing w:after="0" w:line="240" w:lineRule="auto"/>
              <w:jc w:val="right"/>
              <w:rPr>
                <w:rFonts w:ascii="Arial" w:hAnsi="Arial" w:cs="Arial"/>
                <w:b/>
                <w:sz w:val="16"/>
                <w:szCs w:val="16"/>
              </w:rPr>
            </w:pPr>
            <w:r w:rsidRPr="003B5469">
              <w:rPr>
                <w:rFonts w:ascii="Arial" w:hAnsi="Arial" w:cs="Arial"/>
                <w:b/>
                <w:sz w:val="16"/>
                <w:szCs w:val="16"/>
              </w:rPr>
              <w:noBreakHyphen/>
            </w:r>
            <w:r w:rsidR="00D86700" w:rsidRPr="003B5469">
              <w:rPr>
                <w:rFonts w:ascii="Arial" w:hAnsi="Arial" w:cs="Arial"/>
                <w:b/>
                <w:sz w:val="16"/>
                <w:szCs w:val="16"/>
              </w:rPr>
              <w:t>213.7</w:t>
            </w:r>
          </w:p>
        </w:tc>
        <w:tc>
          <w:tcPr>
            <w:tcW w:w="595" w:type="pct"/>
            <w:tcBorders>
              <w:top w:val="nil"/>
              <w:left w:val="nil"/>
              <w:bottom w:val="nil"/>
              <w:right w:val="nil"/>
            </w:tcBorders>
            <w:shd w:val="clear" w:color="000000" w:fill="FFFFFF"/>
            <w:noWrap/>
            <w:vAlign w:val="center"/>
            <w:hideMark/>
          </w:tcPr>
          <w:p w14:paraId="0E01D5E0" w14:textId="46B72749" w:rsidR="00D86700" w:rsidRPr="003B5469" w:rsidRDefault="00A36B1E" w:rsidP="00D86700">
            <w:pPr>
              <w:spacing w:after="0" w:line="240" w:lineRule="auto"/>
              <w:jc w:val="right"/>
              <w:rPr>
                <w:rFonts w:ascii="Arial" w:hAnsi="Arial" w:cs="Arial"/>
                <w:b/>
                <w:sz w:val="16"/>
                <w:szCs w:val="16"/>
              </w:rPr>
            </w:pPr>
            <w:r w:rsidRPr="003B5469">
              <w:rPr>
                <w:rFonts w:ascii="Arial" w:hAnsi="Arial" w:cs="Arial"/>
                <w:b/>
                <w:sz w:val="16"/>
                <w:szCs w:val="16"/>
              </w:rPr>
              <w:noBreakHyphen/>
            </w:r>
            <w:r w:rsidR="00D86700" w:rsidRPr="003B5469">
              <w:rPr>
                <w:rFonts w:ascii="Arial" w:hAnsi="Arial" w:cs="Arial"/>
                <w:b/>
                <w:sz w:val="16"/>
                <w:szCs w:val="16"/>
              </w:rPr>
              <w:t>161.0</w:t>
            </w:r>
          </w:p>
        </w:tc>
        <w:tc>
          <w:tcPr>
            <w:tcW w:w="595" w:type="pct"/>
            <w:tcBorders>
              <w:top w:val="nil"/>
              <w:left w:val="nil"/>
              <w:bottom w:val="nil"/>
              <w:right w:val="nil"/>
            </w:tcBorders>
            <w:shd w:val="clear" w:color="000000" w:fill="EBFFFF"/>
            <w:noWrap/>
            <w:vAlign w:val="center"/>
            <w:hideMark/>
          </w:tcPr>
          <w:p w14:paraId="7776B67B" w14:textId="53F71DB4" w:rsidR="00D86700" w:rsidRPr="003B5469" w:rsidRDefault="00A36B1E" w:rsidP="00D86700">
            <w:pPr>
              <w:spacing w:after="0" w:line="240" w:lineRule="auto"/>
              <w:jc w:val="right"/>
              <w:rPr>
                <w:rFonts w:ascii="Arial" w:hAnsi="Arial" w:cs="Arial"/>
                <w:b/>
                <w:sz w:val="16"/>
                <w:szCs w:val="16"/>
              </w:rPr>
            </w:pPr>
            <w:r w:rsidRPr="003B5469">
              <w:rPr>
                <w:rFonts w:ascii="Arial" w:hAnsi="Arial" w:cs="Arial"/>
                <w:b/>
                <w:sz w:val="16"/>
                <w:szCs w:val="16"/>
              </w:rPr>
              <w:noBreakHyphen/>
            </w:r>
            <w:r w:rsidR="00D86700" w:rsidRPr="003B5469">
              <w:rPr>
                <w:rFonts w:ascii="Arial" w:hAnsi="Arial" w:cs="Arial"/>
                <w:b/>
                <w:sz w:val="16"/>
                <w:szCs w:val="16"/>
              </w:rPr>
              <w:t>134.2</w:t>
            </w:r>
          </w:p>
        </w:tc>
        <w:tc>
          <w:tcPr>
            <w:tcW w:w="595" w:type="pct"/>
            <w:tcBorders>
              <w:top w:val="nil"/>
              <w:left w:val="nil"/>
              <w:bottom w:val="nil"/>
              <w:right w:val="nil"/>
            </w:tcBorders>
            <w:shd w:val="clear" w:color="000000" w:fill="FFFFFF"/>
            <w:noWrap/>
            <w:vAlign w:val="center"/>
            <w:hideMark/>
          </w:tcPr>
          <w:p w14:paraId="20439129" w14:textId="77777777" w:rsidR="00D86700" w:rsidRPr="003B5469" w:rsidRDefault="00D86700" w:rsidP="00D86700">
            <w:pPr>
              <w:spacing w:after="0" w:line="240" w:lineRule="auto"/>
              <w:jc w:val="right"/>
              <w:rPr>
                <w:rFonts w:ascii="Arial" w:hAnsi="Arial" w:cs="Arial"/>
                <w:b/>
                <w:color w:val="000000"/>
                <w:sz w:val="16"/>
                <w:szCs w:val="16"/>
              </w:rPr>
            </w:pPr>
            <w:r w:rsidRPr="003B5469">
              <w:rPr>
                <w:rFonts w:ascii="Arial" w:hAnsi="Arial" w:cs="Arial"/>
                <w:b/>
                <w:color w:val="000000"/>
                <w:sz w:val="16"/>
                <w:szCs w:val="16"/>
              </w:rPr>
              <w:t>79.5</w:t>
            </w:r>
          </w:p>
        </w:tc>
        <w:tc>
          <w:tcPr>
            <w:tcW w:w="595" w:type="pct"/>
            <w:tcBorders>
              <w:top w:val="nil"/>
              <w:left w:val="nil"/>
              <w:bottom w:val="nil"/>
              <w:right w:val="nil"/>
            </w:tcBorders>
            <w:shd w:val="clear" w:color="000000" w:fill="FFFFFF"/>
            <w:noWrap/>
            <w:vAlign w:val="center"/>
            <w:hideMark/>
          </w:tcPr>
          <w:p w14:paraId="5B248AC4" w14:textId="77777777" w:rsidR="00D86700" w:rsidRPr="003B5469" w:rsidRDefault="00D86700" w:rsidP="00D86700">
            <w:pPr>
              <w:spacing w:after="0" w:line="240" w:lineRule="auto"/>
              <w:jc w:val="right"/>
              <w:rPr>
                <w:rFonts w:ascii="Arial" w:hAnsi="Arial" w:cs="Arial"/>
                <w:b/>
                <w:color w:val="000000"/>
                <w:sz w:val="16"/>
                <w:szCs w:val="16"/>
              </w:rPr>
            </w:pPr>
            <w:r w:rsidRPr="003B5469">
              <w:rPr>
                <w:rFonts w:ascii="Arial" w:hAnsi="Arial" w:cs="Arial"/>
                <w:b/>
                <w:color w:val="000000"/>
                <w:sz w:val="16"/>
                <w:szCs w:val="16"/>
              </w:rPr>
              <w:t>26.8</w:t>
            </w:r>
          </w:p>
        </w:tc>
      </w:tr>
      <w:tr w:rsidR="00D86700" w:rsidRPr="00513ED7" w14:paraId="4CFEBED1" w14:textId="77777777" w:rsidTr="00D86700">
        <w:trPr>
          <w:divId w:val="1648777074"/>
          <w:trHeight w:hRule="exact" w:val="225"/>
        </w:trPr>
        <w:tc>
          <w:tcPr>
            <w:tcW w:w="2027" w:type="pct"/>
            <w:tcBorders>
              <w:top w:val="nil"/>
              <w:left w:val="nil"/>
              <w:bottom w:val="single" w:sz="4" w:space="0" w:color="000000"/>
              <w:right w:val="nil"/>
            </w:tcBorders>
            <w:shd w:val="clear" w:color="000000" w:fill="FFFFFF"/>
            <w:noWrap/>
            <w:vAlign w:val="center"/>
            <w:hideMark/>
          </w:tcPr>
          <w:p w14:paraId="3CA72F98" w14:textId="77777777" w:rsidR="00D86700" w:rsidRPr="003B5469" w:rsidRDefault="00D86700" w:rsidP="00D86700">
            <w:pPr>
              <w:spacing w:after="0" w:line="240" w:lineRule="auto"/>
              <w:jc w:val="left"/>
              <w:rPr>
                <w:rFonts w:ascii="Arial" w:hAnsi="Arial" w:cs="Arial"/>
                <w:sz w:val="16"/>
                <w:szCs w:val="16"/>
              </w:rPr>
            </w:pPr>
            <w:r w:rsidRPr="003B5469">
              <w:rPr>
                <w:rFonts w:ascii="Arial" w:hAnsi="Arial" w:cs="Arial"/>
                <w:sz w:val="16"/>
                <w:szCs w:val="16"/>
              </w:rPr>
              <w:t>Per cent of GDP</w:t>
            </w:r>
          </w:p>
        </w:tc>
        <w:tc>
          <w:tcPr>
            <w:tcW w:w="595" w:type="pct"/>
            <w:tcBorders>
              <w:top w:val="nil"/>
              <w:left w:val="nil"/>
              <w:bottom w:val="single" w:sz="4" w:space="0" w:color="auto"/>
              <w:right w:val="nil"/>
            </w:tcBorders>
            <w:shd w:val="clear" w:color="000000" w:fill="FFFFFF"/>
            <w:noWrap/>
            <w:vAlign w:val="center"/>
            <w:hideMark/>
          </w:tcPr>
          <w:p w14:paraId="74D99D0D" w14:textId="60D865EB" w:rsidR="00D86700" w:rsidRPr="003B5469" w:rsidRDefault="00A36B1E" w:rsidP="00D86700">
            <w:pPr>
              <w:spacing w:after="0" w:line="240" w:lineRule="auto"/>
              <w:jc w:val="right"/>
              <w:rPr>
                <w:rFonts w:ascii="Arial" w:hAnsi="Arial" w:cs="Arial"/>
                <w:sz w:val="16"/>
                <w:szCs w:val="16"/>
              </w:rPr>
            </w:pPr>
            <w:r w:rsidRPr="003B5469">
              <w:rPr>
                <w:rFonts w:ascii="Arial" w:hAnsi="Arial" w:cs="Arial"/>
                <w:sz w:val="16"/>
                <w:szCs w:val="16"/>
              </w:rPr>
              <w:noBreakHyphen/>
            </w:r>
            <w:r w:rsidR="00D86700" w:rsidRPr="003B5469">
              <w:rPr>
                <w:rFonts w:ascii="Arial" w:hAnsi="Arial" w:cs="Arial"/>
                <w:sz w:val="16"/>
                <w:szCs w:val="16"/>
              </w:rPr>
              <w:t>11.0</w:t>
            </w:r>
          </w:p>
        </w:tc>
        <w:tc>
          <w:tcPr>
            <w:tcW w:w="595" w:type="pct"/>
            <w:tcBorders>
              <w:top w:val="nil"/>
              <w:left w:val="nil"/>
              <w:bottom w:val="single" w:sz="4" w:space="0" w:color="auto"/>
              <w:right w:val="nil"/>
            </w:tcBorders>
            <w:shd w:val="clear" w:color="000000" w:fill="FFFFFF"/>
            <w:noWrap/>
            <w:vAlign w:val="center"/>
            <w:hideMark/>
          </w:tcPr>
          <w:p w14:paraId="5B6AFCD3" w14:textId="45446665" w:rsidR="00D86700" w:rsidRPr="003B5469" w:rsidRDefault="00A36B1E" w:rsidP="00D86700">
            <w:pPr>
              <w:spacing w:after="0" w:line="240" w:lineRule="auto"/>
              <w:jc w:val="right"/>
              <w:rPr>
                <w:rFonts w:ascii="Arial" w:hAnsi="Arial" w:cs="Arial"/>
                <w:sz w:val="16"/>
                <w:szCs w:val="16"/>
              </w:rPr>
            </w:pPr>
            <w:r w:rsidRPr="003B5469">
              <w:rPr>
                <w:rFonts w:ascii="Arial" w:hAnsi="Arial" w:cs="Arial"/>
                <w:sz w:val="16"/>
                <w:szCs w:val="16"/>
              </w:rPr>
              <w:noBreakHyphen/>
            </w:r>
            <w:r w:rsidR="00D86700" w:rsidRPr="003B5469">
              <w:rPr>
                <w:rFonts w:ascii="Arial" w:hAnsi="Arial" w:cs="Arial"/>
                <w:sz w:val="16"/>
                <w:szCs w:val="16"/>
              </w:rPr>
              <w:t>7.8</w:t>
            </w:r>
          </w:p>
        </w:tc>
        <w:tc>
          <w:tcPr>
            <w:tcW w:w="595" w:type="pct"/>
            <w:tcBorders>
              <w:top w:val="nil"/>
              <w:left w:val="nil"/>
              <w:bottom w:val="single" w:sz="4" w:space="0" w:color="auto"/>
              <w:right w:val="nil"/>
            </w:tcBorders>
            <w:shd w:val="clear" w:color="000000" w:fill="EBFFFF"/>
            <w:noWrap/>
            <w:vAlign w:val="center"/>
            <w:hideMark/>
          </w:tcPr>
          <w:p w14:paraId="3272034B" w14:textId="1537B1CB" w:rsidR="00D86700" w:rsidRPr="003B5469" w:rsidRDefault="00A36B1E" w:rsidP="00D86700">
            <w:pPr>
              <w:spacing w:after="0" w:line="240" w:lineRule="auto"/>
              <w:jc w:val="right"/>
              <w:rPr>
                <w:rFonts w:ascii="Arial" w:hAnsi="Arial" w:cs="Arial"/>
                <w:sz w:val="16"/>
                <w:szCs w:val="16"/>
              </w:rPr>
            </w:pPr>
            <w:r w:rsidRPr="003B5469">
              <w:rPr>
                <w:rFonts w:ascii="Arial" w:hAnsi="Arial" w:cs="Arial"/>
                <w:sz w:val="16"/>
                <w:szCs w:val="16"/>
              </w:rPr>
              <w:noBreakHyphen/>
            </w:r>
            <w:r w:rsidR="00D86700" w:rsidRPr="003B5469">
              <w:rPr>
                <w:rFonts w:ascii="Arial" w:hAnsi="Arial" w:cs="Arial"/>
                <w:sz w:val="16"/>
                <w:szCs w:val="16"/>
              </w:rPr>
              <w:t>6.5</w:t>
            </w:r>
          </w:p>
        </w:tc>
        <w:tc>
          <w:tcPr>
            <w:tcW w:w="595" w:type="pct"/>
            <w:tcBorders>
              <w:top w:val="nil"/>
              <w:left w:val="nil"/>
              <w:bottom w:val="single" w:sz="4" w:space="0" w:color="000000"/>
              <w:right w:val="nil"/>
            </w:tcBorders>
            <w:shd w:val="clear" w:color="000000" w:fill="FFFFFF"/>
            <w:noWrap/>
            <w:vAlign w:val="center"/>
            <w:hideMark/>
          </w:tcPr>
          <w:p w14:paraId="5AF52983"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 </w:t>
            </w:r>
          </w:p>
        </w:tc>
        <w:tc>
          <w:tcPr>
            <w:tcW w:w="595" w:type="pct"/>
            <w:tcBorders>
              <w:top w:val="nil"/>
              <w:left w:val="nil"/>
              <w:bottom w:val="single" w:sz="4" w:space="0" w:color="000000"/>
              <w:right w:val="nil"/>
            </w:tcBorders>
            <w:shd w:val="clear" w:color="000000" w:fill="FFFFFF"/>
            <w:noWrap/>
            <w:vAlign w:val="center"/>
            <w:hideMark/>
          </w:tcPr>
          <w:p w14:paraId="0A467B8E"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 </w:t>
            </w:r>
          </w:p>
        </w:tc>
      </w:tr>
      <w:tr w:rsidR="00D86700" w:rsidRPr="00513ED7" w14:paraId="11452C6C" w14:textId="77777777" w:rsidTr="00D86700">
        <w:trPr>
          <w:divId w:val="1648777074"/>
          <w:trHeight w:hRule="exact" w:val="60"/>
        </w:trPr>
        <w:tc>
          <w:tcPr>
            <w:tcW w:w="2027" w:type="pct"/>
            <w:tcBorders>
              <w:top w:val="nil"/>
              <w:left w:val="nil"/>
              <w:bottom w:val="nil"/>
              <w:right w:val="nil"/>
            </w:tcBorders>
            <w:shd w:val="clear" w:color="000000" w:fill="FFFFFF"/>
            <w:noWrap/>
            <w:vAlign w:val="center"/>
            <w:hideMark/>
          </w:tcPr>
          <w:p w14:paraId="63EB35A9" w14:textId="77777777" w:rsidR="00D86700" w:rsidRPr="003B5469" w:rsidRDefault="00D86700" w:rsidP="00D86700">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595" w:type="pct"/>
            <w:tcBorders>
              <w:top w:val="nil"/>
              <w:left w:val="nil"/>
              <w:bottom w:val="nil"/>
              <w:right w:val="nil"/>
            </w:tcBorders>
            <w:shd w:val="clear" w:color="000000" w:fill="FFFFFF"/>
            <w:noWrap/>
            <w:vAlign w:val="center"/>
            <w:hideMark/>
          </w:tcPr>
          <w:p w14:paraId="51767726"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 </w:t>
            </w:r>
          </w:p>
        </w:tc>
        <w:tc>
          <w:tcPr>
            <w:tcW w:w="595" w:type="pct"/>
            <w:tcBorders>
              <w:top w:val="nil"/>
              <w:left w:val="nil"/>
              <w:bottom w:val="nil"/>
              <w:right w:val="nil"/>
            </w:tcBorders>
            <w:shd w:val="clear" w:color="000000" w:fill="FFFFFF"/>
            <w:noWrap/>
            <w:vAlign w:val="center"/>
            <w:hideMark/>
          </w:tcPr>
          <w:p w14:paraId="48C5D614"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 </w:t>
            </w:r>
          </w:p>
        </w:tc>
        <w:tc>
          <w:tcPr>
            <w:tcW w:w="595" w:type="pct"/>
            <w:tcBorders>
              <w:top w:val="nil"/>
              <w:left w:val="nil"/>
              <w:bottom w:val="nil"/>
              <w:right w:val="nil"/>
            </w:tcBorders>
            <w:shd w:val="clear" w:color="000000" w:fill="EBFFFF"/>
            <w:noWrap/>
            <w:vAlign w:val="center"/>
            <w:hideMark/>
          </w:tcPr>
          <w:p w14:paraId="68B29EF8"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 </w:t>
            </w:r>
          </w:p>
        </w:tc>
        <w:tc>
          <w:tcPr>
            <w:tcW w:w="595" w:type="pct"/>
            <w:tcBorders>
              <w:top w:val="nil"/>
              <w:left w:val="nil"/>
              <w:bottom w:val="nil"/>
              <w:right w:val="nil"/>
            </w:tcBorders>
            <w:shd w:val="clear" w:color="000000" w:fill="FFFFFF"/>
            <w:noWrap/>
            <w:vAlign w:val="center"/>
            <w:hideMark/>
          </w:tcPr>
          <w:p w14:paraId="27898AE7"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 </w:t>
            </w:r>
          </w:p>
        </w:tc>
        <w:tc>
          <w:tcPr>
            <w:tcW w:w="595" w:type="pct"/>
            <w:tcBorders>
              <w:top w:val="nil"/>
              <w:left w:val="nil"/>
              <w:bottom w:val="nil"/>
              <w:right w:val="nil"/>
            </w:tcBorders>
            <w:shd w:val="clear" w:color="000000" w:fill="FFFFFF"/>
            <w:noWrap/>
            <w:vAlign w:val="center"/>
            <w:hideMark/>
          </w:tcPr>
          <w:p w14:paraId="62A28E97"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 </w:t>
            </w:r>
          </w:p>
        </w:tc>
      </w:tr>
      <w:tr w:rsidR="00D86700" w:rsidRPr="00513ED7" w14:paraId="6E2133C4" w14:textId="77777777" w:rsidTr="00D86700">
        <w:trPr>
          <w:divId w:val="1648777074"/>
          <w:trHeight w:hRule="exact" w:val="200"/>
        </w:trPr>
        <w:tc>
          <w:tcPr>
            <w:tcW w:w="2027" w:type="pct"/>
            <w:tcBorders>
              <w:top w:val="nil"/>
              <w:left w:val="nil"/>
              <w:bottom w:val="nil"/>
              <w:right w:val="nil"/>
            </w:tcBorders>
            <w:shd w:val="clear" w:color="000000" w:fill="FFFFFF"/>
            <w:noWrap/>
            <w:vAlign w:val="center"/>
            <w:hideMark/>
          </w:tcPr>
          <w:p w14:paraId="25C5DE7D" w14:textId="77777777" w:rsidR="00D86700" w:rsidRPr="003B5469" w:rsidRDefault="00D86700" w:rsidP="00D86700">
            <w:pPr>
              <w:spacing w:after="0" w:line="240" w:lineRule="auto"/>
              <w:jc w:val="left"/>
              <w:rPr>
                <w:rFonts w:ascii="Arial" w:hAnsi="Arial" w:cs="Arial"/>
                <w:b/>
                <w:sz w:val="16"/>
                <w:szCs w:val="16"/>
              </w:rPr>
            </w:pPr>
            <w:r w:rsidRPr="003B5469">
              <w:rPr>
                <w:rFonts w:ascii="Arial" w:hAnsi="Arial" w:cs="Arial"/>
                <w:b/>
                <w:sz w:val="16"/>
                <w:szCs w:val="16"/>
              </w:rPr>
              <w:t>Net debt(b)</w:t>
            </w:r>
          </w:p>
        </w:tc>
        <w:tc>
          <w:tcPr>
            <w:tcW w:w="595" w:type="pct"/>
            <w:tcBorders>
              <w:top w:val="nil"/>
              <w:left w:val="nil"/>
              <w:bottom w:val="nil"/>
              <w:right w:val="nil"/>
            </w:tcBorders>
            <w:shd w:val="clear" w:color="000000" w:fill="FFFFFF"/>
            <w:noWrap/>
            <w:vAlign w:val="center"/>
            <w:hideMark/>
          </w:tcPr>
          <w:p w14:paraId="32F51E2E" w14:textId="77777777" w:rsidR="00D86700" w:rsidRPr="003B5469" w:rsidRDefault="00D86700" w:rsidP="00D86700">
            <w:pPr>
              <w:spacing w:after="0" w:line="240" w:lineRule="auto"/>
              <w:jc w:val="right"/>
              <w:rPr>
                <w:rFonts w:ascii="Arial" w:hAnsi="Arial" w:cs="Arial"/>
                <w:b/>
                <w:sz w:val="16"/>
                <w:szCs w:val="16"/>
              </w:rPr>
            </w:pPr>
            <w:r w:rsidRPr="003B5469">
              <w:rPr>
                <w:rFonts w:ascii="Arial" w:hAnsi="Arial" w:cs="Arial"/>
                <w:b/>
                <w:sz w:val="16"/>
                <w:szCs w:val="16"/>
              </w:rPr>
              <w:t>703.2</w:t>
            </w:r>
          </w:p>
        </w:tc>
        <w:tc>
          <w:tcPr>
            <w:tcW w:w="595" w:type="pct"/>
            <w:tcBorders>
              <w:top w:val="nil"/>
              <w:left w:val="nil"/>
              <w:bottom w:val="nil"/>
              <w:right w:val="nil"/>
            </w:tcBorders>
            <w:shd w:val="clear" w:color="000000" w:fill="FFFFFF"/>
            <w:noWrap/>
            <w:vAlign w:val="center"/>
            <w:hideMark/>
          </w:tcPr>
          <w:p w14:paraId="00938A1B" w14:textId="77777777" w:rsidR="00D86700" w:rsidRPr="003B5469" w:rsidRDefault="00D86700" w:rsidP="00D86700">
            <w:pPr>
              <w:spacing w:after="0" w:line="240" w:lineRule="auto"/>
              <w:jc w:val="right"/>
              <w:rPr>
                <w:rFonts w:ascii="Arial" w:hAnsi="Arial" w:cs="Arial"/>
                <w:b/>
                <w:sz w:val="16"/>
                <w:szCs w:val="16"/>
              </w:rPr>
            </w:pPr>
            <w:r w:rsidRPr="003B5469">
              <w:rPr>
                <w:rFonts w:ascii="Arial" w:hAnsi="Arial" w:cs="Arial"/>
                <w:b/>
                <w:sz w:val="16"/>
                <w:szCs w:val="16"/>
              </w:rPr>
              <w:t>617.5</w:t>
            </w:r>
          </w:p>
        </w:tc>
        <w:tc>
          <w:tcPr>
            <w:tcW w:w="595" w:type="pct"/>
            <w:tcBorders>
              <w:top w:val="nil"/>
              <w:left w:val="nil"/>
              <w:bottom w:val="nil"/>
              <w:right w:val="nil"/>
            </w:tcBorders>
            <w:shd w:val="clear" w:color="000000" w:fill="EBFFFF"/>
            <w:noWrap/>
            <w:vAlign w:val="center"/>
            <w:hideMark/>
          </w:tcPr>
          <w:p w14:paraId="3725D48C" w14:textId="77777777" w:rsidR="00D86700" w:rsidRPr="003B5469" w:rsidRDefault="00D86700" w:rsidP="00D86700">
            <w:pPr>
              <w:spacing w:after="0" w:line="240" w:lineRule="auto"/>
              <w:jc w:val="right"/>
              <w:rPr>
                <w:rFonts w:ascii="Arial" w:hAnsi="Arial" w:cs="Arial"/>
                <w:b/>
                <w:sz w:val="16"/>
                <w:szCs w:val="16"/>
              </w:rPr>
            </w:pPr>
            <w:r w:rsidRPr="003B5469">
              <w:rPr>
                <w:rFonts w:ascii="Arial" w:hAnsi="Arial" w:cs="Arial"/>
                <w:b/>
                <w:sz w:val="16"/>
                <w:szCs w:val="16"/>
              </w:rPr>
              <w:t>592.2</w:t>
            </w:r>
          </w:p>
        </w:tc>
        <w:tc>
          <w:tcPr>
            <w:tcW w:w="595" w:type="pct"/>
            <w:tcBorders>
              <w:top w:val="nil"/>
              <w:left w:val="nil"/>
              <w:bottom w:val="nil"/>
              <w:right w:val="nil"/>
            </w:tcBorders>
            <w:shd w:val="clear" w:color="000000" w:fill="FFFFFF"/>
            <w:noWrap/>
            <w:vAlign w:val="center"/>
            <w:hideMark/>
          </w:tcPr>
          <w:p w14:paraId="4157D52E" w14:textId="34CF233E" w:rsidR="00D86700" w:rsidRPr="003B5469" w:rsidRDefault="00A36B1E" w:rsidP="00D86700">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D86700" w:rsidRPr="003B5469">
              <w:rPr>
                <w:rFonts w:ascii="Arial" w:hAnsi="Arial" w:cs="Arial"/>
                <w:b/>
                <w:color w:val="000000"/>
                <w:sz w:val="16"/>
                <w:szCs w:val="16"/>
              </w:rPr>
              <w:t>111.0</w:t>
            </w:r>
          </w:p>
        </w:tc>
        <w:tc>
          <w:tcPr>
            <w:tcW w:w="595" w:type="pct"/>
            <w:tcBorders>
              <w:top w:val="nil"/>
              <w:left w:val="nil"/>
              <w:bottom w:val="nil"/>
              <w:right w:val="nil"/>
            </w:tcBorders>
            <w:shd w:val="clear" w:color="000000" w:fill="FFFFFF"/>
            <w:noWrap/>
            <w:vAlign w:val="center"/>
            <w:hideMark/>
          </w:tcPr>
          <w:p w14:paraId="619A0E3D" w14:textId="3C088FAE" w:rsidR="00D86700" w:rsidRPr="003B5469" w:rsidRDefault="00A36B1E" w:rsidP="00D86700">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D86700" w:rsidRPr="003B5469">
              <w:rPr>
                <w:rFonts w:ascii="Arial" w:hAnsi="Arial" w:cs="Arial"/>
                <w:b/>
                <w:color w:val="000000"/>
                <w:sz w:val="16"/>
                <w:szCs w:val="16"/>
              </w:rPr>
              <w:t>25.3</w:t>
            </w:r>
          </w:p>
        </w:tc>
      </w:tr>
      <w:tr w:rsidR="00D86700" w:rsidRPr="00513ED7" w14:paraId="7A95BE9C" w14:textId="77777777" w:rsidTr="00D86700">
        <w:trPr>
          <w:divId w:val="1648777074"/>
          <w:trHeight w:hRule="exact" w:val="200"/>
        </w:trPr>
        <w:tc>
          <w:tcPr>
            <w:tcW w:w="2027" w:type="pct"/>
            <w:tcBorders>
              <w:top w:val="nil"/>
              <w:left w:val="nil"/>
              <w:bottom w:val="single" w:sz="4" w:space="0" w:color="000000"/>
              <w:right w:val="nil"/>
            </w:tcBorders>
            <w:shd w:val="clear" w:color="000000" w:fill="FFFFFF"/>
            <w:noWrap/>
            <w:vAlign w:val="center"/>
            <w:hideMark/>
          </w:tcPr>
          <w:p w14:paraId="0ACBDED7" w14:textId="77777777" w:rsidR="00D86700" w:rsidRPr="003B5469" w:rsidRDefault="00D86700" w:rsidP="00D86700">
            <w:pPr>
              <w:spacing w:after="0" w:line="240" w:lineRule="auto"/>
              <w:jc w:val="left"/>
              <w:rPr>
                <w:rFonts w:ascii="Arial" w:hAnsi="Arial" w:cs="Arial"/>
                <w:sz w:val="16"/>
                <w:szCs w:val="16"/>
              </w:rPr>
            </w:pPr>
            <w:r w:rsidRPr="003B5469">
              <w:rPr>
                <w:rFonts w:ascii="Arial" w:hAnsi="Arial" w:cs="Arial"/>
                <w:sz w:val="16"/>
                <w:szCs w:val="16"/>
              </w:rPr>
              <w:t>Per cent of GDP</w:t>
            </w:r>
          </w:p>
        </w:tc>
        <w:tc>
          <w:tcPr>
            <w:tcW w:w="595" w:type="pct"/>
            <w:tcBorders>
              <w:top w:val="nil"/>
              <w:left w:val="nil"/>
              <w:bottom w:val="single" w:sz="4" w:space="0" w:color="000000"/>
              <w:right w:val="nil"/>
            </w:tcBorders>
            <w:shd w:val="clear" w:color="000000" w:fill="FFFFFF"/>
            <w:noWrap/>
            <w:vAlign w:val="center"/>
            <w:hideMark/>
          </w:tcPr>
          <w:p w14:paraId="4A30A2AA"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36.1</w:t>
            </w:r>
          </w:p>
        </w:tc>
        <w:tc>
          <w:tcPr>
            <w:tcW w:w="595" w:type="pct"/>
            <w:tcBorders>
              <w:top w:val="nil"/>
              <w:left w:val="nil"/>
              <w:bottom w:val="single" w:sz="4" w:space="0" w:color="000000"/>
              <w:right w:val="nil"/>
            </w:tcBorders>
            <w:shd w:val="clear" w:color="000000" w:fill="FFFFFF"/>
            <w:noWrap/>
            <w:vAlign w:val="center"/>
            <w:hideMark/>
          </w:tcPr>
          <w:p w14:paraId="46DD3550"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30.0</w:t>
            </w:r>
          </w:p>
        </w:tc>
        <w:tc>
          <w:tcPr>
            <w:tcW w:w="595" w:type="pct"/>
            <w:tcBorders>
              <w:top w:val="nil"/>
              <w:left w:val="nil"/>
              <w:bottom w:val="single" w:sz="4" w:space="0" w:color="000000"/>
              <w:right w:val="nil"/>
            </w:tcBorders>
            <w:shd w:val="clear" w:color="000000" w:fill="EBFFFF"/>
            <w:noWrap/>
            <w:vAlign w:val="center"/>
            <w:hideMark/>
          </w:tcPr>
          <w:p w14:paraId="2F532AEF"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28.6</w:t>
            </w:r>
          </w:p>
        </w:tc>
        <w:tc>
          <w:tcPr>
            <w:tcW w:w="595" w:type="pct"/>
            <w:tcBorders>
              <w:top w:val="nil"/>
              <w:left w:val="nil"/>
              <w:bottom w:val="single" w:sz="4" w:space="0" w:color="000000"/>
              <w:right w:val="nil"/>
            </w:tcBorders>
            <w:shd w:val="clear" w:color="000000" w:fill="FFFFFF"/>
            <w:noWrap/>
            <w:vAlign w:val="center"/>
            <w:hideMark/>
          </w:tcPr>
          <w:p w14:paraId="24A2E9BE"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 </w:t>
            </w:r>
          </w:p>
        </w:tc>
        <w:tc>
          <w:tcPr>
            <w:tcW w:w="595" w:type="pct"/>
            <w:tcBorders>
              <w:top w:val="nil"/>
              <w:left w:val="nil"/>
              <w:bottom w:val="single" w:sz="4" w:space="0" w:color="000000"/>
              <w:right w:val="nil"/>
            </w:tcBorders>
            <w:shd w:val="clear" w:color="000000" w:fill="FFFFFF"/>
            <w:noWrap/>
            <w:vAlign w:val="center"/>
            <w:hideMark/>
          </w:tcPr>
          <w:p w14:paraId="18EDEC7A" w14:textId="77777777" w:rsidR="00D86700" w:rsidRPr="003B5469" w:rsidRDefault="00D86700" w:rsidP="00D86700">
            <w:pPr>
              <w:spacing w:after="0" w:line="240" w:lineRule="auto"/>
              <w:jc w:val="right"/>
              <w:rPr>
                <w:rFonts w:ascii="Arial" w:hAnsi="Arial" w:cs="Arial"/>
                <w:sz w:val="16"/>
                <w:szCs w:val="16"/>
              </w:rPr>
            </w:pPr>
            <w:r w:rsidRPr="003B5469">
              <w:rPr>
                <w:rFonts w:ascii="Arial" w:hAnsi="Arial" w:cs="Arial"/>
                <w:sz w:val="16"/>
                <w:szCs w:val="16"/>
              </w:rPr>
              <w:t> </w:t>
            </w:r>
          </w:p>
        </w:tc>
      </w:tr>
    </w:tbl>
    <w:p w14:paraId="6330E2E5" w14:textId="66A60DA2" w:rsidR="00C204D0" w:rsidRPr="003B5469" w:rsidRDefault="00C204D0" w:rsidP="00A963BC">
      <w:pPr>
        <w:pStyle w:val="ChartandTableFootnoteAlpha"/>
        <w:tabs>
          <w:tab w:val="clear" w:pos="852"/>
          <w:tab w:val="num" w:pos="284"/>
        </w:tabs>
        <w:ind w:left="284"/>
      </w:pPr>
      <w:r w:rsidRPr="003B5469">
        <w:t>Equivalent to cash payments for operating activities, purchases of non</w:t>
      </w:r>
      <w:r w:rsidR="00A36B1E" w:rsidRPr="003B5469">
        <w:noBreakHyphen/>
      </w:r>
      <w:r w:rsidRPr="003B5469">
        <w:t>financial assets and net cash flows from financing activities for leases.</w:t>
      </w:r>
    </w:p>
    <w:p w14:paraId="4AF59444" w14:textId="709D4EA9" w:rsidR="00D560BD" w:rsidRPr="00513ED7" w:rsidRDefault="00C204D0" w:rsidP="00A963BC">
      <w:pPr>
        <w:pStyle w:val="ChartandTableFootnoteAlpha"/>
        <w:tabs>
          <w:tab w:val="clear" w:pos="852"/>
          <w:tab w:val="num" w:pos="284"/>
        </w:tabs>
        <w:ind w:left="284"/>
      </w:pPr>
      <w:r w:rsidRPr="003B5469">
        <w:t xml:space="preserve">Net debt is the sum of </w:t>
      </w:r>
      <w:proofErr w:type="gramStart"/>
      <w:r w:rsidRPr="003B5469">
        <w:t>interest bearing</w:t>
      </w:r>
      <w:proofErr w:type="gramEnd"/>
      <w:r w:rsidRPr="003B5469">
        <w:t xml:space="preserve"> liabilities </w:t>
      </w:r>
      <w:r w:rsidRPr="003B5469">
        <w:rPr>
          <w:i/>
        </w:rPr>
        <w:t>less</w:t>
      </w:r>
      <w:r w:rsidRPr="003B5469">
        <w:t xml:space="preserve"> the sum of selected financial assets (cash and deposits, advances paid, and investments, loans and placements).</w:t>
      </w:r>
      <w:r w:rsidR="00982559" w:rsidRPr="003B5469">
        <w:t xml:space="preserve"> </w:t>
      </w:r>
    </w:p>
    <w:p w14:paraId="718B5DDE" w14:textId="77777777" w:rsidR="00BB45E8" w:rsidRPr="00513ED7" w:rsidRDefault="00BB45E8" w:rsidP="00E43745">
      <w:pPr>
        <w:pStyle w:val="SingleParagraph"/>
      </w:pPr>
    </w:p>
    <w:p w14:paraId="6DDCAC83" w14:textId="7D779BB4" w:rsidR="00411CCD" w:rsidRPr="003B5469" w:rsidRDefault="008D569D" w:rsidP="00411CCD">
      <w:pPr>
        <w:pStyle w:val="TableHeading"/>
        <w:rPr>
          <w:rFonts w:asciiTheme="minorHAnsi" w:eastAsiaTheme="minorEastAsia" w:hAnsiTheme="minorHAnsi" w:cstheme="minorBidi"/>
          <w:sz w:val="22"/>
          <w:szCs w:val="22"/>
          <w:lang w:eastAsia="en-US"/>
        </w:rPr>
      </w:pPr>
      <w:r w:rsidRPr="003B5469">
        <w:t xml:space="preserve">Table 2: Summary of </w:t>
      </w:r>
      <w:r w:rsidR="004E4B89" w:rsidRPr="003B5469">
        <w:t xml:space="preserve">key </w:t>
      </w:r>
      <w:r w:rsidR="1AFC2358" w:rsidRPr="003B5469">
        <w:t>economic</w:t>
      </w:r>
      <w:r w:rsidR="0075662C" w:rsidRPr="003B5469">
        <w:t xml:space="preserve"> and health</w:t>
      </w:r>
      <w:r w:rsidRPr="003B5469">
        <w:t xml:space="preserve"> support </w:t>
      </w:r>
      <w:r w:rsidR="6FB4331F" w:rsidRPr="003B5469">
        <w:t xml:space="preserve">payment </w:t>
      </w:r>
      <w:r w:rsidRPr="003B5469">
        <w:t>measures</w:t>
      </w:r>
      <w:r w:rsidR="008370AF" w:rsidRPr="003B5469">
        <w:t xml:space="preserve"> in 2020</w:t>
      </w:r>
      <w:r w:rsidR="00A36B1E" w:rsidRPr="003B5469">
        <w:noBreakHyphen/>
      </w:r>
      <w:r w:rsidR="008370AF" w:rsidRPr="003B5469">
        <w:t>21</w:t>
      </w:r>
      <w:r w:rsidR="005856C8" w:rsidRPr="003B5469">
        <w:rPr>
          <w:vertAlign w:val="superscript"/>
        </w:rPr>
        <w:t>(a)</w:t>
      </w:r>
    </w:p>
    <w:tbl>
      <w:tblPr>
        <w:tblW w:w="5000" w:type="pct"/>
        <w:tblCellMar>
          <w:left w:w="0" w:type="dxa"/>
          <w:right w:w="28" w:type="dxa"/>
        </w:tblCellMar>
        <w:tblLook w:val="04A0" w:firstRow="1" w:lastRow="0" w:firstColumn="1" w:lastColumn="0" w:noHBand="0" w:noVBand="1"/>
      </w:tblPr>
      <w:tblGrid>
        <w:gridCol w:w="6504"/>
        <w:gridCol w:w="1206"/>
      </w:tblGrid>
      <w:tr w:rsidR="00411CCD" w:rsidRPr="00513ED7" w14:paraId="0B25B925" w14:textId="77777777" w:rsidTr="00411CCD">
        <w:trPr>
          <w:trHeight w:hRule="exact" w:val="675"/>
        </w:trPr>
        <w:tc>
          <w:tcPr>
            <w:tcW w:w="4218" w:type="pct"/>
            <w:tcBorders>
              <w:top w:val="single" w:sz="4" w:space="0" w:color="auto"/>
              <w:left w:val="nil"/>
              <w:bottom w:val="nil"/>
              <w:right w:val="nil"/>
            </w:tcBorders>
            <w:shd w:val="clear" w:color="auto" w:fill="auto"/>
            <w:noWrap/>
            <w:vAlign w:val="bottom"/>
            <w:hideMark/>
          </w:tcPr>
          <w:p w14:paraId="5094B0AB" w14:textId="58A5DB58" w:rsidR="00411CCD" w:rsidRPr="003B5469" w:rsidRDefault="00411CCD" w:rsidP="00411CCD">
            <w:pPr>
              <w:spacing w:after="0" w:line="240" w:lineRule="auto"/>
              <w:rPr>
                <w:rFonts w:ascii="Arial" w:hAnsi="Arial" w:cs="Arial"/>
                <w:color w:val="000000"/>
                <w:sz w:val="16"/>
                <w:szCs w:val="16"/>
              </w:rPr>
            </w:pPr>
            <w:r w:rsidRPr="003B5469">
              <w:rPr>
                <w:rFonts w:ascii="Arial" w:hAnsi="Arial" w:cs="Arial"/>
                <w:color w:val="000000"/>
                <w:sz w:val="16"/>
                <w:szCs w:val="16"/>
              </w:rPr>
              <w:t> </w:t>
            </w:r>
          </w:p>
        </w:tc>
        <w:tc>
          <w:tcPr>
            <w:tcW w:w="782" w:type="pct"/>
            <w:tcBorders>
              <w:top w:val="single" w:sz="4" w:space="0" w:color="auto"/>
              <w:left w:val="nil"/>
              <w:bottom w:val="single" w:sz="4" w:space="0" w:color="auto"/>
              <w:right w:val="nil"/>
            </w:tcBorders>
            <w:shd w:val="clear" w:color="000000" w:fill="EBFFFF"/>
            <w:vAlign w:val="center"/>
            <w:hideMark/>
          </w:tcPr>
          <w:p w14:paraId="734A798B" w14:textId="64A4EC92" w:rsidR="00411CCD" w:rsidRPr="003B5469" w:rsidRDefault="00411CCD" w:rsidP="00411CCD">
            <w:pPr>
              <w:spacing w:after="0" w:line="240" w:lineRule="auto"/>
              <w:jc w:val="right"/>
              <w:rPr>
                <w:rFonts w:ascii="Arial" w:hAnsi="Arial" w:cs="Arial"/>
                <w:color w:val="000000"/>
                <w:sz w:val="16"/>
                <w:szCs w:val="16"/>
              </w:rPr>
            </w:pPr>
            <w:r w:rsidRPr="003B5469">
              <w:rPr>
                <w:rFonts w:ascii="Arial" w:hAnsi="Arial" w:cs="Arial"/>
                <w:color w:val="000000"/>
                <w:sz w:val="16"/>
                <w:szCs w:val="16"/>
              </w:rPr>
              <w:t>2020</w:t>
            </w:r>
            <w:r w:rsidR="00A36B1E" w:rsidRPr="003B5469">
              <w:rPr>
                <w:rFonts w:ascii="Arial" w:hAnsi="Arial" w:cs="Arial"/>
                <w:color w:val="000000"/>
                <w:sz w:val="16"/>
                <w:szCs w:val="16"/>
              </w:rPr>
              <w:noBreakHyphen/>
            </w:r>
            <w:r w:rsidRPr="003B5469">
              <w:rPr>
                <w:rFonts w:ascii="Arial" w:hAnsi="Arial" w:cs="Arial"/>
                <w:color w:val="000000"/>
                <w:sz w:val="16"/>
                <w:szCs w:val="16"/>
              </w:rPr>
              <w:t xml:space="preserve">21 Outcome </w:t>
            </w:r>
            <w:r w:rsidRPr="003B5469">
              <w:rPr>
                <w:rFonts w:ascii="Arial" w:hAnsi="Arial" w:cs="Arial"/>
                <w:color w:val="000000"/>
                <w:sz w:val="16"/>
                <w:szCs w:val="16"/>
              </w:rPr>
              <w:br/>
              <w:t>$b</w:t>
            </w:r>
          </w:p>
        </w:tc>
      </w:tr>
      <w:tr w:rsidR="00411CCD" w:rsidRPr="00513ED7" w14:paraId="39B29B11" w14:textId="77777777" w:rsidTr="00411CCD">
        <w:trPr>
          <w:trHeight w:hRule="exact" w:val="300"/>
        </w:trPr>
        <w:tc>
          <w:tcPr>
            <w:tcW w:w="4218" w:type="pct"/>
            <w:tcBorders>
              <w:top w:val="nil"/>
              <w:left w:val="nil"/>
              <w:bottom w:val="nil"/>
              <w:right w:val="nil"/>
            </w:tcBorders>
            <w:shd w:val="clear" w:color="auto" w:fill="auto"/>
            <w:noWrap/>
            <w:vAlign w:val="center"/>
            <w:hideMark/>
          </w:tcPr>
          <w:p w14:paraId="413C666E" w14:textId="77777777" w:rsidR="00411CCD" w:rsidRPr="003B5469" w:rsidRDefault="00411CCD" w:rsidP="00411CCD">
            <w:pPr>
              <w:spacing w:after="0" w:line="240" w:lineRule="auto"/>
              <w:jc w:val="left"/>
              <w:rPr>
                <w:rFonts w:ascii="Arial" w:hAnsi="Arial" w:cs="Arial"/>
                <w:color w:val="000000"/>
                <w:sz w:val="16"/>
                <w:szCs w:val="16"/>
              </w:rPr>
            </w:pPr>
            <w:proofErr w:type="spellStart"/>
            <w:r w:rsidRPr="003B5469">
              <w:rPr>
                <w:rFonts w:ascii="Arial" w:hAnsi="Arial" w:cs="Arial"/>
                <w:color w:val="000000"/>
                <w:sz w:val="16"/>
                <w:szCs w:val="16"/>
              </w:rPr>
              <w:t>JobKeeper</w:t>
            </w:r>
            <w:proofErr w:type="spellEnd"/>
            <w:r w:rsidRPr="003B5469">
              <w:rPr>
                <w:rFonts w:ascii="Arial" w:hAnsi="Arial" w:cs="Arial"/>
                <w:color w:val="000000"/>
                <w:sz w:val="16"/>
                <w:szCs w:val="16"/>
              </w:rPr>
              <w:t xml:space="preserve"> Payment</w:t>
            </w:r>
          </w:p>
        </w:tc>
        <w:tc>
          <w:tcPr>
            <w:tcW w:w="782" w:type="pct"/>
            <w:tcBorders>
              <w:top w:val="nil"/>
              <w:left w:val="nil"/>
              <w:bottom w:val="nil"/>
              <w:right w:val="nil"/>
            </w:tcBorders>
            <w:shd w:val="clear" w:color="000000" w:fill="EBFFFF"/>
            <w:noWrap/>
            <w:vAlign w:val="center"/>
            <w:hideMark/>
          </w:tcPr>
          <w:p w14:paraId="45326752" w14:textId="77777777" w:rsidR="00411CCD" w:rsidRPr="003B5469" w:rsidRDefault="00411CCD" w:rsidP="00411CCD">
            <w:pPr>
              <w:spacing w:after="0" w:line="240" w:lineRule="auto"/>
              <w:jc w:val="right"/>
              <w:rPr>
                <w:rFonts w:ascii="Arial" w:hAnsi="Arial" w:cs="Arial"/>
                <w:color w:val="000000"/>
                <w:sz w:val="16"/>
                <w:szCs w:val="16"/>
              </w:rPr>
            </w:pPr>
            <w:r w:rsidRPr="003B5469">
              <w:rPr>
                <w:rFonts w:ascii="Arial" w:hAnsi="Arial" w:cs="Arial"/>
                <w:color w:val="000000"/>
                <w:sz w:val="16"/>
                <w:szCs w:val="16"/>
              </w:rPr>
              <w:t>68.2</w:t>
            </w:r>
          </w:p>
        </w:tc>
      </w:tr>
      <w:tr w:rsidR="00411CCD" w:rsidRPr="00513ED7" w14:paraId="3446CE68" w14:textId="77777777" w:rsidTr="00411CCD">
        <w:trPr>
          <w:trHeight w:hRule="exact" w:val="300"/>
        </w:trPr>
        <w:tc>
          <w:tcPr>
            <w:tcW w:w="4218" w:type="pct"/>
            <w:tcBorders>
              <w:top w:val="nil"/>
              <w:left w:val="nil"/>
              <w:bottom w:val="nil"/>
              <w:right w:val="nil"/>
            </w:tcBorders>
            <w:shd w:val="clear" w:color="auto" w:fill="auto"/>
            <w:noWrap/>
            <w:vAlign w:val="center"/>
            <w:hideMark/>
          </w:tcPr>
          <w:p w14:paraId="13F3B2B2" w14:textId="77777777" w:rsidR="00411CCD" w:rsidRPr="003B5469" w:rsidRDefault="00411CCD" w:rsidP="00411CCD">
            <w:pPr>
              <w:spacing w:after="0" w:line="240" w:lineRule="auto"/>
              <w:jc w:val="left"/>
              <w:rPr>
                <w:rFonts w:ascii="Arial" w:hAnsi="Arial" w:cs="Arial"/>
                <w:color w:val="000000"/>
                <w:sz w:val="16"/>
                <w:szCs w:val="16"/>
              </w:rPr>
            </w:pPr>
            <w:r w:rsidRPr="003B5469">
              <w:rPr>
                <w:rFonts w:ascii="Arial" w:hAnsi="Arial" w:cs="Arial"/>
                <w:color w:val="000000"/>
                <w:sz w:val="16"/>
                <w:szCs w:val="16"/>
              </w:rPr>
              <w:t>Boosting cash flow for employers</w:t>
            </w:r>
          </w:p>
        </w:tc>
        <w:tc>
          <w:tcPr>
            <w:tcW w:w="782" w:type="pct"/>
            <w:tcBorders>
              <w:top w:val="nil"/>
              <w:left w:val="nil"/>
              <w:bottom w:val="nil"/>
              <w:right w:val="nil"/>
            </w:tcBorders>
            <w:shd w:val="clear" w:color="000000" w:fill="EBFFFF"/>
            <w:noWrap/>
            <w:vAlign w:val="center"/>
            <w:hideMark/>
          </w:tcPr>
          <w:p w14:paraId="071B1023" w14:textId="77777777" w:rsidR="00411CCD" w:rsidRPr="003B5469" w:rsidRDefault="00411CCD" w:rsidP="00411CCD">
            <w:pPr>
              <w:spacing w:after="0" w:line="240" w:lineRule="auto"/>
              <w:jc w:val="right"/>
              <w:rPr>
                <w:rFonts w:ascii="Arial" w:hAnsi="Arial" w:cs="Arial"/>
                <w:color w:val="000000"/>
                <w:sz w:val="16"/>
                <w:szCs w:val="16"/>
              </w:rPr>
            </w:pPr>
            <w:r w:rsidRPr="003B5469">
              <w:rPr>
                <w:rFonts w:ascii="Arial" w:hAnsi="Arial" w:cs="Arial"/>
                <w:color w:val="000000"/>
                <w:sz w:val="16"/>
                <w:szCs w:val="16"/>
              </w:rPr>
              <w:t>20.9</w:t>
            </w:r>
          </w:p>
        </w:tc>
      </w:tr>
      <w:tr w:rsidR="00411CCD" w:rsidRPr="00513ED7" w14:paraId="173F5F9C" w14:textId="77777777" w:rsidTr="00411CCD">
        <w:trPr>
          <w:trHeight w:hRule="exact" w:val="300"/>
        </w:trPr>
        <w:tc>
          <w:tcPr>
            <w:tcW w:w="4218" w:type="pct"/>
            <w:tcBorders>
              <w:top w:val="nil"/>
              <w:left w:val="nil"/>
              <w:bottom w:val="nil"/>
              <w:right w:val="nil"/>
            </w:tcBorders>
            <w:shd w:val="clear" w:color="auto" w:fill="auto"/>
            <w:noWrap/>
            <w:vAlign w:val="center"/>
            <w:hideMark/>
          </w:tcPr>
          <w:p w14:paraId="1B692E65" w14:textId="77777777" w:rsidR="00411CCD" w:rsidRPr="003B5469" w:rsidRDefault="00411CCD" w:rsidP="00411CCD">
            <w:pPr>
              <w:spacing w:after="0" w:line="240" w:lineRule="auto"/>
              <w:jc w:val="left"/>
              <w:rPr>
                <w:rFonts w:ascii="Arial" w:hAnsi="Arial" w:cs="Arial"/>
                <w:color w:val="000000"/>
                <w:sz w:val="16"/>
                <w:szCs w:val="16"/>
              </w:rPr>
            </w:pPr>
            <w:r w:rsidRPr="003B5469">
              <w:rPr>
                <w:rFonts w:ascii="Arial" w:hAnsi="Arial" w:cs="Arial"/>
                <w:color w:val="000000"/>
                <w:sz w:val="16"/>
                <w:szCs w:val="16"/>
              </w:rPr>
              <w:t>Coronavirus supplement</w:t>
            </w:r>
          </w:p>
        </w:tc>
        <w:tc>
          <w:tcPr>
            <w:tcW w:w="782" w:type="pct"/>
            <w:tcBorders>
              <w:top w:val="nil"/>
              <w:left w:val="nil"/>
              <w:bottom w:val="nil"/>
              <w:right w:val="nil"/>
            </w:tcBorders>
            <w:shd w:val="clear" w:color="000000" w:fill="EBFFFF"/>
            <w:noWrap/>
            <w:vAlign w:val="center"/>
            <w:hideMark/>
          </w:tcPr>
          <w:p w14:paraId="2D259E87" w14:textId="77777777" w:rsidR="00411CCD" w:rsidRPr="003B5469" w:rsidRDefault="00411CCD" w:rsidP="00411CCD">
            <w:pPr>
              <w:spacing w:after="0" w:line="240" w:lineRule="auto"/>
              <w:jc w:val="right"/>
              <w:rPr>
                <w:rFonts w:ascii="Arial" w:hAnsi="Arial" w:cs="Arial"/>
                <w:color w:val="000000"/>
                <w:sz w:val="16"/>
                <w:szCs w:val="16"/>
              </w:rPr>
            </w:pPr>
            <w:r w:rsidRPr="003B5469">
              <w:rPr>
                <w:rFonts w:ascii="Arial" w:hAnsi="Arial" w:cs="Arial"/>
                <w:color w:val="000000"/>
                <w:sz w:val="16"/>
                <w:szCs w:val="16"/>
              </w:rPr>
              <w:t>14.8</w:t>
            </w:r>
          </w:p>
        </w:tc>
      </w:tr>
      <w:tr w:rsidR="00411CCD" w:rsidRPr="00513ED7" w14:paraId="122F2849" w14:textId="77777777" w:rsidTr="00411CCD">
        <w:trPr>
          <w:trHeight w:hRule="exact" w:val="300"/>
        </w:trPr>
        <w:tc>
          <w:tcPr>
            <w:tcW w:w="4218" w:type="pct"/>
            <w:tcBorders>
              <w:top w:val="nil"/>
              <w:left w:val="nil"/>
              <w:bottom w:val="nil"/>
              <w:right w:val="nil"/>
            </w:tcBorders>
            <w:shd w:val="clear" w:color="auto" w:fill="auto"/>
            <w:noWrap/>
            <w:vAlign w:val="center"/>
            <w:hideMark/>
          </w:tcPr>
          <w:p w14:paraId="7543B0D8" w14:textId="77777777" w:rsidR="00411CCD" w:rsidRPr="003B5469" w:rsidRDefault="00411CCD" w:rsidP="00411CCD">
            <w:pPr>
              <w:spacing w:after="0" w:line="240" w:lineRule="auto"/>
              <w:jc w:val="left"/>
              <w:rPr>
                <w:rFonts w:ascii="Arial" w:hAnsi="Arial" w:cs="Arial"/>
                <w:color w:val="000000"/>
                <w:sz w:val="16"/>
                <w:szCs w:val="16"/>
              </w:rPr>
            </w:pPr>
            <w:r w:rsidRPr="003B5469">
              <w:rPr>
                <w:rFonts w:ascii="Arial" w:hAnsi="Arial" w:cs="Arial"/>
                <w:color w:val="000000"/>
                <w:sz w:val="16"/>
                <w:szCs w:val="16"/>
              </w:rPr>
              <w:t>Economic support payments</w:t>
            </w:r>
          </w:p>
        </w:tc>
        <w:tc>
          <w:tcPr>
            <w:tcW w:w="782" w:type="pct"/>
            <w:tcBorders>
              <w:top w:val="nil"/>
              <w:left w:val="nil"/>
              <w:bottom w:val="nil"/>
              <w:right w:val="nil"/>
            </w:tcBorders>
            <w:shd w:val="clear" w:color="000000" w:fill="EBFFFF"/>
            <w:noWrap/>
            <w:vAlign w:val="center"/>
            <w:hideMark/>
          </w:tcPr>
          <w:p w14:paraId="40E4521E" w14:textId="77777777" w:rsidR="00411CCD" w:rsidRPr="003B5469" w:rsidRDefault="00411CCD" w:rsidP="00411CCD">
            <w:pPr>
              <w:spacing w:after="0" w:line="240" w:lineRule="auto"/>
              <w:jc w:val="right"/>
              <w:rPr>
                <w:rFonts w:ascii="Arial" w:hAnsi="Arial" w:cs="Arial"/>
                <w:color w:val="000000"/>
                <w:sz w:val="16"/>
                <w:szCs w:val="16"/>
              </w:rPr>
            </w:pPr>
            <w:r w:rsidRPr="003B5469">
              <w:rPr>
                <w:rFonts w:ascii="Arial" w:hAnsi="Arial" w:cs="Arial"/>
                <w:color w:val="000000"/>
                <w:sz w:val="16"/>
                <w:szCs w:val="16"/>
              </w:rPr>
              <w:t>6.1</w:t>
            </w:r>
          </w:p>
        </w:tc>
      </w:tr>
      <w:tr w:rsidR="00411CCD" w:rsidRPr="00513ED7" w14:paraId="7612C04B" w14:textId="77777777" w:rsidTr="00411CCD">
        <w:trPr>
          <w:trHeight w:hRule="exact" w:val="300"/>
        </w:trPr>
        <w:tc>
          <w:tcPr>
            <w:tcW w:w="4218" w:type="pct"/>
            <w:tcBorders>
              <w:top w:val="nil"/>
              <w:left w:val="nil"/>
              <w:bottom w:val="nil"/>
              <w:right w:val="nil"/>
            </w:tcBorders>
            <w:shd w:val="clear" w:color="auto" w:fill="auto"/>
            <w:noWrap/>
            <w:vAlign w:val="center"/>
            <w:hideMark/>
          </w:tcPr>
          <w:p w14:paraId="362934C3" w14:textId="77777777" w:rsidR="00411CCD" w:rsidRPr="003B5469" w:rsidRDefault="00411CCD" w:rsidP="00411CCD">
            <w:pPr>
              <w:spacing w:after="0" w:line="240" w:lineRule="auto"/>
              <w:jc w:val="left"/>
              <w:rPr>
                <w:rFonts w:ascii="Arial" w:hAnsi="Arial" w:cs="Arial"/>
                <w:color w:val="000000"/>
                <w:sz w:val="16"/>
                <w:szCs w:val="16"/>
              </w:rPr>
            </w:pPr>
            <w:r w:rsidRPr="003B5469">
              <w:rPr>
                <w:rFonts w:ascii="Arial" w:hAnsi="Arial" w:cs="Arial"/>
                <w:color w:val="000000"/>
                <w:sz w:val="16"/>
                <w:szCs w:val="16"/>
              </w:rPr>
              <w:t>Aviation measures</w:t>
            </w:r>
          </w:p>
        </w:tc>
        <w:tc>
          <w:tcPr>
            <w:tcW w:w="782" w:type="pct"/>
            <w:tcBorders>
              <w:top w:val="nil"/>
              <w:left w:val="nil"/>
              <w:bottom w:val="nil"/>
              <w:right w:val="nil"/>
            </w:tcBorders>
            <w:shd w:val="clear" w:color="000000" w:fill="EBFFFF"/>
            <w:noWrap/>
            <w:vAlign w:val="center"/>
            <w:hideMark/>
          </w:tcPr>
          <w:p w14:paraId="65D9F82D" w14:textId="77777777" w:rsidR="00411CCD" w:rsidRPr="003B5469" w:rsidRDefault="00411CCD" w:rsidP="00411CCD">
            <w:pPr>
              <w:spacing w:after="0" w:line="240" w:lineRule="auto"/>
              <w:jc w:val="right"/>
              <w:rPr>
                <w:rFonts w:ascii="Arial" w:hAnsi="Arial" w:cs="Arial"/>
                <w:color w:val="000000"/>
                <w:sz w:val="16"/>
                <w:szCs w:val="16"/>
              </w:rPr>
            </w:pPr>
            <w:r w:rsidRPr="003B5469">
              <w:rPr>
                <w:rFonts w:ascii="Arial" w:hAnsi="Arial" w:cs="Arial"/>
                <w:color w:val="000000"/>
                <w:sz w:val="16"/>
                <w:szCs w:val="16"/>
              </w:rPr>
              <w:t>1.8</w:t>
            </w:r>
          </w:p>
        </w:tc>
      </w:tr>
      <w:tr w:rsidR="00411CCD" w:rsidRPr="00513ED7" w14:paraId="7ADA6800" w14:textId="77777777" w:rsidTr="00411CCD">
        <w:trPr>
          <w:trHeight w:hRule="exact" w:val="300"/>
        </w:trPr>
        <w:tc>
          <w:tcPr>
            <w:tcW w:w="4218" w:type="pct"/>
            <w:tcBorders>
              <w:top w:val="nil"/>
              <w:left w:val="nil"/>
              <w:bottom w:val="nil"/>
              <w:right w:val="nil"/>
            </w:tcBorders>
            <w:shd w:val="clear" w:color="auto" w:fill="auto"/>
            <w:noWrap/>
            <w:vAlign w:val="center"/>
            <w:hideMark/>
          </w:tcPr>
          <w:p w14:paraId="4867F74E" w14:textId="77777777" w:rsidR="00411CCD" w:rsidRPr="003B5469" w:rsidRDefault="00411CCD" w:rsidP="00411CCD">
            <w:pPr>
              <w:spacing w:after="0" w:line="240" w:lineRule="auto"/>
              <w:jc w:val="left"/>
              <w:rPr>
                <w:rFonts w:ascii="Arial" w:hAnsi="Arial" w:cs="Arial"/>
                <w:color w:val="000000"/>
                <w:sz w:val="16"/>
                <w:szCs w:val="16"/>
              </w:rPr>
            </w:pPr>
            <w:r w:rsidRPr="003B5469">
              <w:rPr>
                <w:rFonts w:ascii="Arial" w:hAnsi="Arial" w:cs="Arial"/>
                <w:color w:val="000000"/>
                <w:sz w:val="16"/>
                <w:szCs w:val="16"/>
              </w:rPr>
              <w:t>Supporting apprentices and trainees</w:t>
            </w:r>
          </w:p>
        </w:tc>
        <w:tc>
          <w:tcPr>
            <w:tcW w:w="782" w:type="pct"/>
            <w:tcBorders>
              <w:top w:val="nil"/>
              <w:left w:val="nil"/>
              <w:bottom w:val="nil"/>
              <w:right w:val="nil"/>
            </w:tcBorders>
            <w:shd w:val="clear" w:color="000000" w:fill="EBFFFF"/>
            <w:noWrap/>
            <w:vAlign w:val="center"/>
            <w:hideMark/>
          </w:tcPr>
          <w:p w14:paraId="57874121" w14:textId="77777777" w:rsidR="00411CCD" w:rsidRPr="003B5469" w:rsidRDefault="00411CCD" w:rsidP="00411CCD">
            <w:pPr>
              <w:spacing w:after="0" w:line="240" w:lineRule="auto"/>
              <w:jc w:val="right"/>
              <w:rPr>
                <w:rFonts w:ascii="Arial" w:hAnsi="Arial" w:cs="Arial"/>
                <w:color w:val="000000"/>
                <w:sz w:val="16"/>
                <w:szCs w:val="16"/>
              </w:rPr>
            </w:pPr>
            <w:r w:rsidRPr="003B5469">
              <w:rPr>
                <w:rFonts w:ascii="Arial" w:hAnsi="Arial" w:cs="Arial"/>
                <w:color w:val="000000"/>
                <w:sz w:val="16"/>
                <w:szCs w:val="16"/>
              </w:rPr>
              <w:t>1.2</w:t>
            </w:r>
          </w:p>
        </w:tc>
      </w:tr>
      <w:tr w:rsidR="00411CCD" w:rsidRPr="00513ED7" w14:paraId="10CE5562" w14:textId="77777777" w:rsidTr="00411CCD">
        <w:trPr>
          <w:trHeight w:hRule="exact" w:val="300"/>
        </w:trPr>
        <w:tc>
          <w:tcPr>
            <w:tcW w:w="4218" w:type="pct"/>
            <w:tcBorders>
              <w:top w:val="nil"/>
              <w:left w:val="nil"/>
              <w:bottom w:val="nil"/>
              <w:right w:val="nil"/>
            </w:tcBorders>
            <w:shd w:val="clear" w:color="auto" w:fill="auto"/>
            <w:noWrap/>
            <w:vAlign w:val="center"/>
            <w:hideMark/>
          </w:tcPr>
          <w:p w14:paraId="27D4C01D" w14:textId="77777777" w:rsidR="00411CCD" w:rsidRPr="003B5469" w:rsidRDefault="00411CCD" w:rsidP="00411CCD">
            <w:pPr>
              <w:spacing w:after="0" w:line="240" w:lineRule="auto"/>
              <w:jc w:val="left"/>
              <w:rPr>
                <w:rFonts w:ascii="Arial" w:hAnsi="Arial" w:cs="Arial"/>
                <w:color w:val="000000"/>
                <w:sz w:val="16"/>
                <w:szCs w:val="16"/>
              </w:rPr>
            </w:pPr>
            <w:proofErr w:type="spellStart"/>
            <w:r w:rsidRPr="003B5469">
              <w:rPr>
                <w:rFonts w:ascii="Arial" w:hAnsi="Arial" w:cs="Arial"/>
                <w:color w:val="000000"/>
                <w:sz w:val="16"/>
                <w:szCs w:val="16"/>
              </w:rPr>
              <w:t>HomeBuilder</w:t>
            </w:r>
            <w:proofErr w:type="spellEnd"/>
          </w:p>
        </w:tc>
        <w:tc>
          <w:tcPr>
            <w:tcW w:w="782" w:type="pct"/>
            <w:tcBorders>
              <w:top w:val="nil"/>
              <w:left w:val="nil"/>
              <w:bottom w:val="nil"/>
              <w:right w:val="nil"/>
            </w:tcBorders>
            <w:shd w:val="clear" w:color="000000" w:fill="EBFFFF"/>
            <w:noWrap/>
            <w:vAlign w:val="center"/>
            <w:hideMark/>
          </w:tcPr>
          <w:p w14:paraId="27DAD29B" w14:textId="77777777" w:rsidR="00411CCD" w:rsidRPr="003B5469" w:rsidRDefault="00411CCD" w:rsidP="00411CCD">
            <w:pPr>
              <w:spacing w:after="0" w:line="240" w:lineRule="auto"/>
              <w:jc w:val="right"/>
              <w:rPr>
                <w:rFonts w:ascii="Arial" w:hAnsi="Arial" w:cs="Arial"/>
                <w:color w:val="000000"/>
                <w:sz w:val="16"/>
                <w:szCs w:val="16"/>
              </w:rPr>
            </w:pPr>
            <w:r w:rsidRPr="003B5469">
              <w:rPr>
                <w:rFonts w:ascii="Arial" w:hAnsi="Arial" w:cs="Arial"/>
                <w:color w:val="000000"/>
                <w:sz w:val="16"/>
                <w:szCs w:val="16"/>
              </w:rPr>
              <w:t>0.6</w:t>
            </w:r>
          </w:p>
        </w:tc>
      </w:tr>
      <w:tr w:rsidR="00411CCD" w:rsidRPr="00513ED7" w14:paraId="43341A9E" w14:textId="77777777" w:rsidTr="00411CCD">
        <w:trPr>
          <w:trHeight w:hRule="exact" w:val="300"/>
        </w:trPr>
        <w:tc>
          <w:tcPr>
            <w:tcW w:w="4218" w:type="pct"/>
            <w:tcBorders>
              <w:top w:val="nil"/>
              <w:left w:val="nil"/>
              <w:bottom w:val="single" w:sz="4" w:space="0" w:color="auto"/>
              <w:right w:val="nil"/>
            </w:tcBorders>
            <w:shd w:val="clear" w:color="auto" w:fill="auto"/>
            <w:noWrap/>
            <w:vAlign w:val="center"/>
            <w:hideMark/>
          </w:tcPr>
          <w:p w14:paraId="56AE589B" w14:textId="77777777" w:rsidR="00411CCD" w:rsidRPr="003B5469" w:rsidRDefault="00411CCD" w:rsidP="00411CCD">
            <w:pPr>
              <w:spacing w:after="0" w:line="240" w:lineRule="auto"/>
              <w:jc w:val="left"/>
              <w:rPr>
                <w:rFonts w:ascii="Arial" w:hAnsi="Arial" w:cs="Arial"/>
                <w:color w:val="000000"/>
                <w:sz w:val="16"/>
                <w:szCs w:val="16"/>
              </w:rPr>
            </w:pPr>
            <w:r w:rsidRPr="003B5469">
              <w:rPr>
                <w:rFonts w:ascii="Arial" w:hAnsi="Arial" w:cs="Arial"/>
                <w:color w:val="000000"/>
                <w:sz w:val="16"/>
                <w:szCs w:val="16"/>
              </w:rPr>
              <w:t>Health measures</w:t>
            </w:r>
          </w:p>
        </w:tc>
        <w:tc>
          <w:tcPr>
            <w:tcW w:w="782" w:type="pct"/>
            <w:tcBorders>
              <w:top w:val="nil"/>
              <w:left w:val="nil"/>
              <w:bottom w:val="single" w:sz="4" w:space="0" w:color="auto"/>
              <w:right w:val="nil"/>
            </w:tcBorders>
            <w:shd w:val="clear" w:color="000000" w:fill="EBFFFF"/>
            <w:noWrap/>
            <w:vAlign w:val="center"/>
            <w:hideMark/>
          </w:tcPr>
          <w:p w14:paraId="798A2180" w14:textId="77777777" w:rsidR="00411CCD" w:rsidRPr="003B5469" w:rsidRDefault="00411CCD" w:rsidP="00411CCD">
            <w:pPr>
              <w:spacing w:after="0" w:line="240" w:lineRule="auto"/>
              <w:jc w:val="right"/>
              <w:rPr>
                <w:rFonts w:ascii="Arial" w:hAnsi="Arial" w:cs="Arial"/>
                <w:color w:val="000000"/>
                <w:sz w:val="16"/>
                <w:szCs w:val="16"/>
              </w:rPr>
            </w:pPr>
            <w:r w:rsidRPr="003B5469">
              <w:rPr>
                <w:rFonts w:ascii="Arial" w:hAnsi="Arial" w:cs="Arial"/>
                <w:color w:val="000000"/>
                <w:sz w:val="16"/>
                <w:szCs w:val="16"/>
              </w:rPr>
              <w:t>10.6</w:t>
            </w:r>
          </w:p>
        </w:tc>
      </w:tr>
    </w:tbl>
    <w:p w14:paraId="036891BE" w14:textId="422B49C5" w:rsidR="00A21BB7" w:rsidRPr="003B5469" w:rsidRDefault="002474F7" w:rsidP="00761C23">
      <w:pPr>
        <w:pStyle w:val="ChartandTableFootnoteAlpha"/>
        <w:numPr>
          <w:ilvl w:val="0"/>
          <w:numId w:val="12"/>
        </w:numPr>
        <w:tabs>
          <w:tab w:val="clear" w:pos="852"/>
        </w:tabs>
        <w:ind w:left="284"/>
      </w:pPr>
      <w:r w:rsidRPr="003B5469">
        <w:t>F</w:t>
      </w:r>
      <w:r w:rsidR="003247D4" w:rsidRPr="003B5469">
        <w:t>igures are based on cash payments made during the period 1 July 2020 to 30 June 2021</w:t>
      </w:r>
    </w:p>
    <w:p w14:paraId="6C42122C" w14:textId="50C700D4" w:rsidR="003A246B" w:rsidRPr="00513ED7" w:rsidRDefault="003A246B" w:rsidP="00F04B82">
      <w:pPr>
        <w:pStyle w:val="SingleParagraph"/>
      </w:pPr>
    </w:p>
    <w:p w14:paraId="6FD1BAC5" w14:textId="7AFCD6BD" w:rsidR="005B21D6" w:rsidRPr="00513ED7" w:rsidRDefault="7B6CCB6C" w:rsidP="00341645">
      <w:r w:rsidRPr="003B5469">
        <w:t>The improvement in the underlying cash deficit primarily reflects the stronger</w:t>
      </w:r>
      <w:r w:rsidR="00A36B1E" w:rsidRPr="003B5469">
        <w:noBreakHyphen/>
      </w:r>
      <w:r w:rsidRPr="003B5469">
        <w:t>than</w:t>
      </w:r>
      <w:r w:rsidR="00A36B1E" w:rsidRPr="003B5469">
        <w:noBreakHyphen/>
      </w:r>
      <w:r w:rsidRPr="003B5469">
        <w:t xml:space="preserve">expected </w:t>
      </w:r>
      <w:r w:rsidR="75BAF7CC" w:rsidRPr="003B5469">
        <w:t xml:space="preserve">economic </w:t>
      </w:r>
      <w:r w:rsidRPr="003B5469">
        <w:t xml:space="preserve">recovery </w:t>
      </w:r>
      <w:r w:rsidR="00CA02D0" w:rsidRPr="003B5469">
        <w:t xml:space="preserve">following </w:t>
      </w:r>
      <w:r w:rsidR="2B0AE2C3" w:rsidRPr="003B5469">
        <w:t>the</w:t>
      </w:r>
      <w:r w:rsidRPr="003B5469">
        <w:t xml:space="preserve"> early COVID</w:t>
      </w:r>
      <w:r w:rsidR="00A36B1E" w:rsidRPr="003B5469">
        <w:noBreakHyphen/>
      </w:r>
      <w:r w:rsidRPr="003B5469">
        <w:t>19 outbreaks</w:t>
      </w:r>
      <w:r w:rsidR="00B00B1F" w:rsidRPr="003B5469">
        <w:t>, with economic activity improving and rising above pre</w:t>
      </w:r>
      <w:r w:rsidR="00A36B1E" w:rsidRPr="003B5469">
        <w:noBreakHyphen/>
      </w:r>
      <w:r w:rsidR="00B00B1F" w:rsidRPr="003B5469">
        <w:t>pandemic levels</w:t>
      </w:r>
      <w:r w:rsidR="2147C498" w:rsidRPr="003B5469">
        <w:t xml:space="preserve"> in the first half of 2021</w:t>
      </w:r>
      <w:r w:rsidR="00A36B1E" w:rsidRPr="003B5469">
        <w:t xml:space="preserve">. </w:t>
      </w:r>
    </w:p>
    <w:p w14:paraId="4AAE8DFA" w14:textId="05DFD503" w:rsidR="00C204D0" w:rsidRPr="003B5469" w:rsidRDefault="11508C1D" w:rsidP="00341645">
      <w:r w:rsidRPr="003B5469">
        <w:t>Real GDP grew by 1.4 per cent in 202</w:t>
      </w:r>
      <w:r w:rsidR="4994BC0F" w:rsidRPr="003B5469">
        <w:t>0</w:t>
      </w:r>
      <w:r w:rsidR="00A36B1E" w:rsidRPr="003B5469">
        <w:noBreakHyphen/>
      </w:r>
      <w:r w:rsidR="4994BC0F" w:rsidRPr="003B5469">
        <w:t xml:space="preserve">21, stronger than the 1¼ per cent forecast at </w:t>
      </w:r>
      <w:r w:rsidR="004D7799" w:rsidRPr="003B5469">
        <w:t xml:space="preserve">the </w:t>
      </w:r>
      <w:r w:rsidR="0131BD6F" w:rsidRPr="003B5469">
        <w:t>2021</w:t>
      </w:r>
      <w:r w:rsidR="00A36B1E" w:rsidRPr="003B5469">
        <w:noBreakHyphen/>
      </w:r>
      <w:r w:rsidR="0131BD6F" w:rsidRPr="003B5469">
        <w:t>22</w:t>
      </w:r>
      <w:r w:rsidR="0001581E" w:rsidRPr="003B5469">
        <w:t xml:space="preserve"> </w:t>
      </w:r>
      <w:r w:rsidR="009E0357" w:rsidRPr="003B5469">
        <w:t xml:space="preserve">Budget </w:t>
      </w:r>
      <w:r w:rsidR="0001581E" w:rsidRPr="003B5469">
        <w:t xml:space="preserve">and significantly </w:t>
      </w:r>
      <w:r w:rsidR="098A87C2" w:rsidRPr="003B5469">
        <w:t xml:space="preserve">stronger than </w:t>
      </w:r>
      <w:r w:rsidR="0001581E" w:rsidRPr="003B5469">
        <w:t xml:space="preserve">the </w:t>
      </w:r>
      <w:r w:rsidR="009A17E8" w:rsidRPr="003B5469">
        <w:t xml:space="preserve">1½ per cent fall in GDP forecast at </w:t>
      </w:r>
      <w:r w:rsidR="004D7799" w:rsidRPr="003B5469">
        <w:t xml:space="preserve">the </w:t>
      </w:r>
      <w:r w:rsidR="009A17E8" w:rsidRPr="003B5469">
        <w:t>2020</w:t>
      </w:r>
      <w:r w:rsidR="00A36B1E" w:rsidRPr="003B5469">
        <w:noBreakHyphen/>
      </w:r>
      <w:r w:rsidR="009A17E8" w:rsidRPr="003B5469">
        <w:t>21</w:t>
      </w:r>
      <w:r w:rsidR="00BF422E" w:rsidRPr="003B5469">
        <w:t xml:space="preserve"> </w:t>
      </w:r>
      <w:r w:rsidR="009A17E8" w:rsidRPr="003B5469">
        <w:t>Budget</w:t>
      </w:r>
      <w:r w:rsidR="4994BC0F" w:rsidRPr="003B5469">
        <w:t xml:space="preserve">. This growth was largely driven by an increase in </w:t>
      </w:r>
      <w:r w:rsidR="002A0E1C" w:rsidRPr="003B5469">
        <w:t>household</w:t>
      </w:r>
      <w:r w:rsidR="00D57FEB" w:rsidRPr="003B5469">
        <w:t xml:space="preserve"> </w:t>
      </w:r>
      <w:r w:rsidR="007158AC" w:rsidRPr="003B5469">
        <w:t xml:space="preserve">activity and public </w:t>
      </w:r>
      <w:r w:rsidR="007158AC" w:rsidRPr="003B5469" w:rsidDel="003332F2">
        <w:t>consumption</w:t>
      </w:r>
      <w:r w:rsidR="007158AC" w:rsidRPr="003B5469">
        <w:t xml:space="preserve">. </w:t>
      </w:r>
      <w:r w:rsidR="007158AC" w:rsidRPr="003B5469">
        <w:rPr>
          <w:rFonts w:eastAsia="Book Antiqua" w:cs="Book Antiqua"/>
        </w:rPr>
        <w:t xml:space="preserve">Growth in household consumption was underpinned by strong household balance sheets supported by the Government’s economic support and eased restrictions. Dwelling investment increased in late 2020 driven by low interest </w:t>
      </w:r>
      <w:r w:rsidR="007158AC" w:rsidRPr="003B5469">
        <w:rPr>
          <w:rFonts w:eastAsia="Book Antiqua" w:cs="Book Antiqua"/>
        </w:rPr>
        <w:lastRenderedPageBreak/>
        <w:t>rates and government incentives.</w:t>
      </w:r>
      <w:r w:rsidR="002A0E1C" w:rsidRPr="003B5469">
        <w:rPr>
          <w:rFonts w:eastAsia="Book Antiqua" w:cs="Book Antiqua"/>
        </w:rPr>
        <w:t xml:space="preserve"> </w:t>
      </w:r>
      <w:r w:rsidR="002A0E1C" w:rsidRPr="003B5469">
        <w:t>The increase</w:t>
      </w:r>
      <w:r w:rsidR="4994BC0F" w:rsidRPr="003B5469">
        <w:t xml:space="preserve"> in </w:t>
      </w:r>
      <w:r w:rsidR="00137F3C" w:rsidRPr="003B5469">
        <w:t xml:space="preserve">public </w:t>
      </w:r>
      <w:r w:rsidR="002A0E1C" w:rsidRPr="003B5469">
        <w:t>consumption reflects</w:t>
      </w:r>
      <w:r w:rsidR="5CA2D725" w:rsidRPr="003B5469">
        <w:t xml:space="preserve"> continuing direct economic and health support provided by the </w:t>
      </w:r>
      <w:r w:rsidR="00EF5BC0" w:rsidRPr="003B5469">
        <w:t xml:space="preserve">Commonwealth as well </w:t>
      </w:r>
      <w:r w:rsidR="006100A1" w:rsidRPr="003B5469">
        <w:t>as</w:t>
      </w:r>
      <w:r w:rsidR="00EF5BC0" w:rsidRPr="003B5469">
        <w:t xml:space="preserve"> State, Territory and local governments</w:t>
      </w:r>
      <w:r w:rsidR="196D90FE" w:rsidRPr="003B5469">
        <w:t>.</w:t>
      </w:r>
      <w:r w:rsidR="4994BC0F" w:rsidRPr="003B5469">
        <w:t xml:space="preserve"> </w:t>
      </w:r>
      <w:r w:rsidR="6ADF6638" w:rsidRPr="003B5469">
        <w:rPr>
          <w:rFonts w:eastAsia="Book Antiqua" w:cs="Book Antiqua"/>
          <w:color w:val="000000" w:themeColor="text1"/>
        </w:rPr>
        <w:t xml:space="preserve">This was partially offset by a fall in net exports </w:t>
      </w:r>
      <w:r w:rsidR="2BCF2CB8" w:rsidRPr="003B5469">
        <w:rPr>
          <w:rFonts w:eastAsia="Book Antiqua" w:cs="Book Antiqua"/>
          <w:color w:val="000000" w:themeColor="text1"/>
        </w:rPr>
        <w:t>due to increasing demand for imported goods from businesses and households</w:t>
      </w:r>
      <w:r w:rsidR="005D3903" w:rsidRPr="003B5469">
        <w:rPr>
          <w:rFonts w:eastAsia="Book Antiqua" w:cs="Book Antiqua"/>
          <w:color w:val="000000" w:themeColor="text1"/>
        </w:rPr>
        <w:t>,</w:t>
      </w:r>
      <w:r w:rsidR="2BCF2CB8" w:rsidRPr="003B5469">
        <w:rPr>
          <w:rFonts w:eastAsia="Book Antiqua" w:cs="Book Antiqua"/>
          <w:color w:val="000000" w:themeColor="text1"/>
        </w:rPr>
        <w:t xml:space="preserve"> and lower goods exports.</w:t>
      </w:r>
      <w:r w:rsidR="3976AABF" w:rsidRPr="003B5469">
        <w:rPr>
          <w:rFonts w:eastAsia="Book Antiqua" w:cs="Book Antiqua"/>
          <w:color w:val="000000" w:themeColor="text1"/>
        </w:rPr>
        <w:t xml:space="preserve"> Nominal GDP grew by </w:t>
      </w:r>
      <w:r w:rsidR="5A078739" w:rsidRPr="003B5469">
        <w:rPr>
          <w:rFonts w:eastAsia="Book Antiqua" w:cs="Book Antiqua"/>
          <w:color w:val="000000" w:themeColor="text1"/>
        </w:rPr>
        <w:t>4.</w:t>
      </w:r>
      <w:r w:rsidR="00352C55" w:rsidRPr="003B5469">
        <w:rPr>
          <w:rFonts w:eastAsia="Book Antiqua" w:cs="Book Antiqua"/>
          <w:color w:val="000000" w:themeColor="text1"/>
        </w:rPr>
        <w:t>1</w:t>
      </w:r>
      <w:r w:rsidR="00BC5BEA" w:rsidRPr="003B5469">
        <w:rPr>
          <w:rFonts w:eastAsia="Book Antiqua" w:cs="Book Antiqua"/>
          <w:color w:val="000000" w:themeColor="text1"/>
        </w:rPr>
        <w:t> </w:t>
      </w:r>
      <w:r w:rsidR="3976AABF" w:rsidRPr="003B5469">
        <w:rPr>
          <w:rFonts w:eastAsia="Book Antiqua" w:cs="Book Antiqua"/>
          <w:color w:val="000000" w:themeColor="text1"/>
        </w:rPr>
        <w:t>per</w:t>
      </w:r>
      <w:r w:rsidR="00BC5BEA" w:rsidRPr="003B5469">
        <w:rPr>
          <w:rFonts w:eastAsia="Book Antiqua" w:cs="Book Antiqua"/>
          <w:color w:val="000000" w:themeColor="text1"/>
        </w:rPr>
        <w:t> </w:t>
      </w:r>
      <w:r w:rsidR="3976AABF" w:rsidRPr="003B5469">
        <w:rPr>
          <w:rFonts w:eastAsia="Book Antiqua" w:cs="Book Antiqua"/>
          <w:color w:val="000000" w:themeColor="text1"/>
        </w:rPr>
        <w:t>cent in 2020</w:t>
      </w:r>
      <w:r w:rsidR="00A36B1E" w:rsidRPr="003B5469">
        <w:rPr>
          <w:rFonts w:eastAsia="Book Antiqua" w:cs="Book Antiqua"/>
          <w:color w:val="000000" w:themeColor="text1"/>
        </w:rPr>
        <w:noBreakHyphen/>
      </w:r>
      <w:r w:rsidR="3976AABF" w:rsidRPr="003B5469">
        <w:rPr>
          <w:rFonts w:eastAsia="Book Antiqua" w:cs="Book Antiqua"/>
          <w:color w:val="000000" w:themeColor="text1"/>
        </w:rPr>
        <w:t>21</w:t>
      </w:r>
      <w:r w:rsidR="045C43A2" w:rsidRPr="003B5469">
        <w:rPr>
          <w:rFonts w:eastAsia="Book Antiqua" w:cs="Book Antiqua"/>
          <w:color w:val="000000" w:themeColor="text1"/>
        </w:rPr>
        <w:t>, partially owing to a sharp increase in the price of non</w:t>
      </w:r>
      <w:r w:rsidR="00A36B1E" w:rsidRPr="003B5469">
        <w:rPr>
          <w:rFonts w:eastAsia="Book Antiqua" w:cs="Book Antiqua"/>
          <w:color w:val="000000" w:themeColor="text1"/>
        </w:rPr>
        <w:noBreakHyphen/>
      </w:r>
      <w:r w:rsidR="045C43A2" w:rsidRPr="003B5469">
        <w:rPr>
          <w:rFonts w:eastAsia="Book Antiqua" w:cs="Book Antiqua"/>
          <w:color w:val="000000" w:themeColor="text1"/>
        </w:rPr>
        <w:t xml:space="preserve">rural </w:t>
      </w:r>
      <w:r w:rsidR="2BCF2CB8" w:rsidRPr="003B5469">
        <w:rPr>
          <w:rFonts w:eastAsia="Book Antiqua" w:cs="Book Antiqua"/>
          <w:color w:val="000000" w:themeColor="text1"/>
        </w:rPr>
        <w:t>commodities</w:t>
      </w:r>
      <w:r w:rsidR="001564F5" w:rsidRPr="003B5469">
        <w:rPr>
          <w:rFonts w:eastAsia="Book Antiqua" w:cs="Book Antiqua"/>
          <w:color w:val="000000" w:themeColor="text1"/>
        </w:rPr>
        <w:t xml:space="preserve">, </w:t>
      </w:r>
      <w:proofErr w:type="gramStart"/>
      <w:r w:rsidR="001564F5" w:rsidRPr="003B5469">
        <w:rPr>
          <w:rFonts w:eastAsia="Book Antiqua" w:cs="Book Antiqua"/>
          <w:color w:val="000000" w:themeColor="text1"/>
        </w:rPr>
        <w:t>in particular iron</w:t>
      </w:r>
      <w:proofErr w:type="gramEnd"/>
      <w:r w:rsidR="001564F5" w:rsidRPr="003B5469">
        <w:rPr>
          <w:rFonts w:eastAsia="Book Antiqua" w:cs="Book Antiqua"/>
          <w:color w:val="000000" w:themeColor="text1"/>
        </w:rPr>
        <w:t xml:space="preserve"> ore prices. </w:t>
      </w:r>
    </w:p>
    <w:p w14:paraId="7E28C731" w14:textId="7DD0649E" w:rsidR="020E3555" w:rsidRPr="003B5469" w:rsidRDefault="020E3555">
      <w:pPr>
        <w:rPr>
          <w:rFonts w:eastAsia="Book Antiqua" w:cs="Book Antiqua"/>
        </w:rPr>
      </w:pPr>
      <w:r w:rsidRPr="003B5469">
        <w:rPr>
          <w:rFonts w:eastAsia="Book Antiqua" w:cs="Book Antiqua"/>
        </w:rPr>
        <w:t xml:space="preserve">Labour market conditions </w:t>
      </w:r>
      <w:r w:rsidR="00D65E81" w:rsidRPr="003B5469">
        <w:rPr>
          <w:rFonts w:eastAsia="Book Antiqua" w:cs="Book Antiqua"/>
        </w:rPr>
        <w:t>continued to strengthen</w:t>
      </w:r>
      <w:r w:rsidRPr="003B5469">
        <w:rPr>
          <w:rFonts w:eastAsia="Book Antiqua" w:cs="Book Antiqua"/>
        </w:rPr>
        <w:t xml:space="preserve"> </w:t>
      </w:r>
      <w:r w:rsidRPr="003B5469">
        <w:rPr>
          <w:rFonts w:eastAsia="Book Antiqua"/>
        </w:rPr>
        <w:t xml:space="preserve">in the first half of </w:t>
      </w:r>
      <w:r w:rsidR="00BC5BEA" w:rsidRPr="003B5469">
        <w:rPr>
          <w:rFonts w:eastAsia="Book Antiqua"/>
        </w:rPr>
        <w:t>calendar year</w:t>
      </w:r>
      <w:r w:rsidR="730972EE" w:rsidRPr="003B5469">
        <w:rPr>
          <w:rFonts w:eastAsia="Book Antiqua"/>
        </w:rPr>
        <w:t xml:space="preserve"> </w:t>
      </w:r>
      <w:r w:rsidRPr="003B5469">
        <w:rPr>
          <w:rFonts w:eastAsia="Book Antiqua"/>
        </w:rPr>
        <w:t xml:space="preserve">2021, with </w:t>
      </w:r>
      <w:r w:rsidR="03DDB642" w:rsidRPr="003B5469">
        <w:rPr>
          <w:rFonts w:eastAsia="Book Antiqua"/>
        </w:rPr>
        <w:t>employment exceeding pre</w:t>
      </w:r>
      <w:r w:rsidR="00D65E81" w:rsidRPr="003B5469">
        <w:rPr>
          <w:rFonts w:eastAsia="Book Antiqua"/>
        </w:rPr>
        <w:t>-</w:t>
      </w:r>
      <w:r w:rsidR="03DDB642" w:rsidRPr="003B5469">
        <w:rPr>
          <w:rFonts w:eastAsia="Book Antiqua"/>
        </w:rPr>
        <w:t>pandemic levels by March 2021</w:t>
      </w:r>
      <w:r w:rsidR="601ECB48" w:rsidRPr="003B5469">
        <w:t>.</w:t>
      </w:r>
      <w:r w:rsidRPr="003B5469">
        <w:rPr>
          <w:rFonts w:eastAsia="Book Antiqua"/>
        </w:rPr>
        <w:t xml:space="preserve"> The employment to population ratio and</w:t>
      </w:r>
      <w:r w:rsidRPr="003B5469">
        <w:rPr>
          <w:rFonts w:eastAsia="Book Antiqua" w:cs="Book Antiqua"/>
        </w:rPr>
        <w:t xml:space="preserve"> the participation rate reached record highs, while the unemployment rate fell below 5</w:t>
      </w:r>
      <w:r w:rsidR="00BC5BEA" w:rsidRPr="003B5469">
        <w:rPr>
          <w:rFonts w:eastAsia="Book Antiqua" w:cs="Book Antiqua"/>
        </w:rPr>
        <w:t> </w:t>
      </w:r>
      <w:r w:rsidRPr="003B5469">
        <w:rPr>
          <w:rFonts w:eastAsia="Book Antiqua" w:cs="Book Antiqua"/>
        </w:rPr>
        <w:t>per</w:t>
      </w:r>
      <w:r w:rsidR="00BC5BEA" w:rsidRPr="003B5469">
        <w:rPr>
          <w:rFonts w:eastAsia="Book Antiqua" w:cs="Book Antiqua"/>
        </w:rPr>
        <w:t> </w:t>
      </w:r>
      <w:r w:rsidRPr="003B5469">
        <w:rPr>
          <w:rFonts w:eastAsia="Book Antiqua" w:cs="Book Antiqua"/>
        </w:rPr>
        <w:t>cent for the first time since 2011</w:t>
      </w:r>
      <w:r w:rsidR="00784E76" w:rsidRPr="003B5469">
        <w:rPr>
          <w:rFonts w:eastAsia="Book Antiqua" w:cs="Book Antiqua"/>
        </w:rPr>
        <w:t xml:space="preserve">, </w:t>
      </w:r>
      <w:r w:rsidR="00AD19F9" w:rsidRPr="003B5469">
        <w:rPr>
          <w:rFonts w:eastAsia="Book Antiqua" w:cs="Book Antiqua"/>
        </w:rPr>
        <w:t>which</w:t>
      </w:r>
      <w:r w:rsidR="00515439" w:rsidRPr="003B5469">
        <w:rPr>
          <w:rFonts w:eastAsia="Book Antiqua" w:cs="Book Antiqua"/>
        </w:rPr>
        <w:t xml:space="preserve"> at </w:t>
      </w:r>
      <w:r w:rsidR="00AD6895" w:rsidRPr="003B5469">
        <w:rPr>
          <w:rFonts w:eastAsia="Book Antiqua" w:cs="Book Antiqua"/>
        </w:rPr>
        <w:t>the 2021</w:t>
      </w:r>
      <w:r w:rsidR="00A36B1E" w:rsidRPr="003B5469">
        <w:rPr>
          <w:rFonts w:eastAsia="Book Antiqua" w:cs="Book Antiqua"/>
        </w:rPr>
        <w:noBreakHyphen/>
      </w:r>
      <w:r w:rsidR="00AD6895" w:rsidRPr="003B5469">
        <w:rPr>
          <w:rFonts w:eastAsia="Book Antiqua" w:cs="Book Antiqua"/>
        </w:rPr>
        <w:t xml:space="preserve">22 </w:t>
      </w:r>
      <w:r w:rsidR="00515439" w:rsidRPr="003B5469">
        <w:rPr>
          <w:rFonts w:eastAsia="Book Antiqua" w:cs="Book Antiqua"/>
        </w:rPr>
        <w:t xml:space="preserve">Budget </w:t>
      </w:r>
      <w:r w:rsidR="00AD19F9" w:rsidRPr="003B5469">
        <w:rPr>
          <w:rFonts w:eastAsia="Book Antiqua" w:cs="Book Antiqua"/>
        </w:rPr>
        <w:t xml:space="preserve">was not expected until </w:t>
      </w:r>
      <w:r w:rsidR="002F4BBE" w:rsidRPr="003B5469">
        <w:rPr>
          <w:rFonts w:eastAsia="Book Antiqua" w:cs="Book Antiqua"/>
        </w:rPr>
        <w:t>late</w:t>
      </w:r>
      <w:r w:rsidR="00AD19F9" w:rsidRPr="003B5469">
        <w:rPr>
          <w:rFonts w:eastAsia="Book Antiqua" w:cs="Book Antiqua"/>
        </w:rPr>
        <w:t xml:space="preserve"> 2022</w:t>
      </w:r>
      <w:r w:rsidRPr="003B5469">
        <w:rPr>
          <w:rFonts w:eastAsia="Book Antiqua" w:cs="Book Antiqua"/>
        </w:rPr>
        <w:t xml:space="preserve">. </w:t>
      </w:r>
      <w:r w:rsidR="00D65E81" w:rsidRPr="003B5469">
        <w:rPr>
          <w:rFonts w:eastAsia="Book Antiqua" w:cs="Book Antiqua"/>
        </w:rPr>
        <w:t>The wage price index increased</w:t>
      </w:r>
      <w:r w:rsidRPr="003B5469">
        <w:rPr>
          <w:rFonts w:eastAsia="Book Antiqua" w:cs="Book Antiqua"/>
        </w:rPr>
        <w:t xml:space="preserve"> 1.</w:t>
      </w:r>
      <w:r w:rsidR="730972EE" w:rsidRPr="003B5469">
        <w:rPr>
          <w:rFonts w:eastAsia="Book Antiqua" w:cs="Book Antiqua"/>
        </w:rPr>
        <w:t>7</w:t>
      </w:r>
      <w:r w:rsidR="0095073F" w:rsidRPr="003B5469">
        <w:rPr>
          <w:rFonts w:eastAsia="Book Antiqua" w:cs="Book Antiqua"/>
        </w:rPr>
        <w:t> </w:t>
      </w:r>
      <w:r w:rsidR="730972EE" w:rsidRPr="003B5469">
        <w:rPr>
          <w:rFonts w:eastAsia="Book Antiqua" w:cs="Book Antiqua"/>
        </w:rPr>
        <w:t>per</w:t>
      </w:r>
      <w:r w:rsidR="0095073F" w:rsidRPr="003B5469">
        <w:rPr>
          <w:rFonts w:eastAsia="Book Antiqua" w:cs="Book Antiqua"/>
        </w:rPr>
        <w:t> </w:t>
      </w:r>
      <w:r w:rsidRPr="003B5469">
        <w:rPr>
          <w:rFonts w:eastAsia="Book Antiqua" w:cs="Book Antiqua"/>
        </w:rPr>
        <w:t xml:space="preserve">cent through the year to the June quarter of 2021 </w:t>
      </w:r>
      <w:r w:rsidR="00C9201C" w:rsidRPr="003B5469">
        <w:rPr>
          <w:rFonts w:eastAsia="Book Antiqua" w:cs="Book Antiqua"/>
        </w:rPr>
        <w:t xml:space="preserve">while </w:t>
      </w:r>
      <w:r w:rsidRPr="003B5469">
        <w:rPr>
          <w:rFonts w:eastAsia="Book Antiqua" w:cs="Book Antiqua"/>
        </w:rPr>
        <w:t>compensation of employees rose by 3.3 per cent in 2020</w:t>
      </w:r>
      <w:r w:rsidR="00D65E81" w:rsidRPr="003B5469">
        <w:rPr>
          <w:rFonts w:eastAsia="Book Antiqua" w:cs="Book Antiqua"/>
        </w:rPr>
        <w:t>-21.</w:t>
      </w:r>
      <w:r w:rsidRPr="003B5469">
        <w:rPr>
          <w:rFonts w:eastAsia="Book Antiqua" w:cs="Book Antiqua"/>
        </w:rPr>
        <w:t xml:space="preserve"> The consumer price index (CPI) rose by 3.8</w:t>
      </w:r>
      <w:r w:rsidR="00BC5BEA" w:rsidRPr="003B5469">
        <w:rPr>
          <w:rFonts w:eastAsia="Book Antiqua" w:cs="Book Antiqua"/>
        </w:rPr>
        <w:t> </w:t>
      </w:r>
      <w:r w:rsidRPr="003B5469">
        <w:rPr>
          <w:rFonts w:eastAsia="Book Antiqua" w:cs="Book Antiqua"/>
        </w:rPr>
        <w:t>per</w:t>
      </w:r>
      <w:r w:rsidR="00BC5BEA" w:rsidRPr="003B5469">
        <w:rPr>
          <w:rFonts w:eastAsia="Book Antiqua" w:cs="Book Antiqua"/>
        </w:rPr>
        <w:t> </w:t>
      </w:r>
      <w:r w:rsidRPr="003B5469">
        <w:rPr>
          <w:rFonts w:eastAsia="Book Antiqua" w:cs="Book Antiqua"/>
        </w:rPr>
        <w:t>cent through the year to</w:t>
      </w:r>
      <w:r w:rsidR="00297B1E" w:rsidRPr="003B5469">
        <w:rPr>
          <w:rFonts w:eastAsia="Book Antiqua" w:cs="Book Antiqua"/>
        </w:rPr>
        <w:t xml:space="preserve"> the</w:t>
      </w:r>
      <w:r w:rsidRPr="003B5469">
        <w:rPr>
          <w:rFonts w:eastAsia="Book Antiqua" w:cs="Book Antiqua"/>
        </w:rPr>
        <w:t xml:space="preserve"> June quarter of 202</w:t>
      </w:r>
      <w:r w:rsidR="00957136" w:rsidRPr="003B5469">
        <w:rPr>
          <w:rFonts w:eastAsia="Book Antiqua" w:cs="Book Antiqua"/>
        </w:rPr>
        <w:t>1</w:t>
      </w:r>
      <w:r w:rsidRPr="003B5469">
        <w:rPr>
          <w:rFonts w:eastAsia="Book Antiqua" w:cs="Book Antiqua"/>
        </w:rPr>
        <w:t xml:space="preserve">, </w:t>
      </w:r>
      <w:r w:rsidRPr="003B5469" w:rsidDel="003A0954">
        <w:rPr>
          <w:rFonts w:eastAsia="Book Antiqua" w:cs="Book Antiqua"/>
        </w:rPr>
        <w:t xml:space="preserve">reflecting </w:t>
      </w:r>
      <w:r w:rsidR="003A0954" w:rsidRPr="003B5469">
        <w:rPr>
          <w:rFonts w:eastAsia="Book Antiqua" w:cs="Book Antiqua"/>
        </w:rPr>
        <w:t xml:space="preserve">a </w:t>
      </w:r>
      <w:r w:rsidR="002F4BBE" w:rsidRPr="003B5469">
        <w:rPr>
          <w:rFonts w:eastAsia="Book Antiqua" w:cs="Book Antiqua"/>
        </w:rPr>
        <w:t>bounce back</w:t>
      </w:r>
      <w:r w:rsidR="00AD19F9" w:rsidRPr="003B5469">
        <w:rPr>
          <w:rFonts w:eastAsia="Book Antiqua" w:cs="Book Antiqua"/>
        </w:rPr>
        <w:t xml:space="preserve"> in childcare prices following </w:t>
      </w:r>
      <w:r w:rsidR="00CA02D0" w:rsidRPr="003B5469">
        <w:rPr>
          <w:rFonts w:eastAsia="Book Antiqua" w:cs="Book Antiqua"/>
        </w:rPr>
        <w:t xml:space="preserve">ending of </w:t>
      </w:r>
      <w:r w:rsidR="00AD19F9" w:rsidRPr="003B5469">
        <w:rPr>
          <w:rFonts w:eastAsia="Book Antiqua" w:cs="Book Antiqua"/>
        </w:rPr>
        <w:t>the Government</w:t>
      </w:r>
      <w:r w:rsidR="00A36B1E" w:rsidRPr="003B5469">
        <w:rPr>
          <w:rFonts w:eastAsia="Book Antiqua" w:cs="Book Antiqua"/>
        </w:rPr>
        <w:t>’</w:t>
      </w:r>
      <w:r w:rsidR="00AD19F9" w:rsidRPr="003B5469">
        <w:rPr>
          <w:rFonts w:eastAsia="Book Antiqua" w:cs="Book Antiqua"/>
        </w:rPr>
        <w:t xml:space="preserve">s free childcare policy </w:t>
      </w:r>
      <w:r w:rsidR="00CC7A1D" w:rsidRPr="003B5469">
        <w:rPr>
          <w:rFonts w:eastAsia="Book Antiqua" w:cs="Book Antiqua"/>
        </w:rPr>
        <w:t>in June 20</w:t>
      </w:r>
      <w:r w:rsidR="00EC286A" w:rsidRPr="003B5469">
        <w:rPr>
          <w:rFonts w:eastAsia="Book Antiqua" w:cs="Book Antiqua"/>
        </w:rPr>
        <w:t>20</w:t>
      </w:r>
      <w:r w:rsidRPr="003B5469">
        <w:rPr>
          <w:rFonts w:eastAsia="Book Antiqua" w:cs="Book Antiqua"/>
        </w:rPr>
        <w:t>, alongside the continued recovery in oil prices.</w:t>
      </w:r>
      <w:r w:rsidR="00297B1E" w:rsidRPr="003B5469">
        <w:rPr>
          <w:rFonts w:eastAsia="Book Antiqua" w:cs="Book Antiqua"/>
        </w:rPr>
        <w:t xml:space="preserve"> The underlying inflation rate</w:t>
      </w:r>
      <w:r w:rsidR="000C4B82" w:rsidRPr="003B5469">
        <w:rPr>
          <w:rFonts w:eastAsia="Book Antiqua" w:cs="Book Antiqua"/>
        </w:rPr>
        <w:t>, as measured by the trimmed mean,</w:t>
      </w:r>
      <w:r w:rsidR="00297B1E" w:rsidRPr="003B5469">
        <w:rPr>
          <w:rFonts w:eastAsia="Book Antiqua" w:cs="Book Antiqua"/>
        </w:rPr>
        <w:t xml:space="preserve"> was </w:t>
      </w:r>
      <w:r w:rsidR="000C4B82" w:rsidRPr="003B5469">
        <w:rPr>
          <w:rFonts w:eastAsia="Book Antiqua" w:cs="Book Antiqua"/>
        </w:rPr>
        <w:t>1.</w:t>
      </w:r>
      <w:r w:rsidR="00DC5312" w:rsidRPr="003B5469">
        <w:rPr>
          <w:rFonts w:eastAsia="Book Antiqua" w:cs="Book Antiqua"/>
        </w:rPr>
        <w:t>6</w:t>
      </w:r>
      <w:r w:rsidR="00297B1E" w:rsidRPr="003B5469">
        <w:rPr>
          <w:rFonts w:eastAsia="Book Antiqua" w:cs="Book Antiqua"/>
        </w:rPr>
        <w:t xml:space="preserve"> </w:t>
      </w:r>
      <w:r w:rsidR="00F757D9" w:rsidRPr="003B5469">
        <w:rPr>
          <w:rFonts w:eastAsia="Book Antiqua" w:cs="Book Antiqua"/>
        </w:rPr>
        <w:t>per cent</w:t>
      </w:r>
      <w:r w:rsidR="00297B1E" w:rsidRPr="003B5469">
        <w:rPr>
          <w:rFonts w:eastAsia="Book Antiqua" w:cs="Book Antiqua"/>
        </w:rPr>
        <w:t xml:space="preserve"> through the year to the June quarter of 2021.</w:t>
      </w:r>
    </w:p>
    <w:p w14:paraId="261D04F8" w14:textId="326FCB87" w:rsidR="004B31FC" w:rsidRPr="003B5469" w:rsidRDefault="00C204D0" w:rsidP="004B31FC">
      <w:r w:rsidRPr="003B5469">
        <w:t xml:space="preserve">Australian Government general government sector net debt was </w:t>
      </w:r>
      <w:r w:rsidR="000975B9" w:rsidRPr="003B5469">
        <w:t>$59</w:t>
      </w:r>
      <w:r w:rsidR="003317FF" w:rsidRPr="003B5469">
        <w:t>2</w:t>
      </w:r>
      <w:r w:rsidR="000975B9" w:rsidRPr="003B5469">
        <w:t>.</w:t>
      </w:r>
      <w:r w:rsidR="003317FF" w:rsidRPr="003B5469">
        <w:t>2</w:t>
      </w:r>
      <w:r w:rsidR="000975B9" w:rsidRPr="003B5469">
        <w:t xml:space="preserve"> </w:t>
      </w:r>
      <w:r w:rsidRPr="003B5469">
        <w:t>billion (</w:t>
      </w:r>
      <w:r w:rsidR="00E37E9C" w:rsidRPr="003B5469">
        <w:t>28.6</w:t>
      </w:r>
      <w:r w:rsidR="00FC7E31" w:rsidRPr="003B5469">
        <w:t> </w:t>
      </w:r>
      <w:r w:rsidRPr="003B5469">
        <w:t>per</w:t>
      </w:r>
      <w:r w:rsidR="00E37E9C" w:rsidRPr="003B5469">
        <w:t> </w:t>
      </w:r>
      <w:r w:rsidRPr="003B5469">
        <w:t xml:space="preserve">cent of GDP) at the end of </w:t>
      </w:r>
      <w:r w:rsidR="004F235C" w:rsidRPr="003B5469">
        <w:t>2020</w:t>
      </w:r>
      <w:r w:rsidR="00A36B1E" w:rsidRPr="003B5469">
        <w:noBreakHyphen/>
      </w:r>
      <w:r w:rsidR="004F235C" w:rsidRPr="003B5469">
        <w:t>21</w:t>
      </w:r>
      <w:r w:rsidRPr="003B5469">
        <w:t>, which was $</w:t>
      </w:r>
      <w:r w:rsidR="00691F9E" w:rsidRPr="003B5469">
        <w:t>2</w:t>
      </w:r>
      <w:r w:rsidR="000B7FD6" w:rsidRPr="003B5469">
        <w:t>5</w:t>
      </w:r>
      <w:r w:rsidR="00691F9E" w:rsidRPr="003B5469">
        <w:t>.</w:t>
      </w:r>
      <w:r w:rsidR="000B7FD6" w:rsidRPr="003B5469">
        <w:t>3</w:t>
      </w:r>
      <w:r w:rsidRPr="003B5469">
        <w:t xml:space="preserve"> billion </w:t>
      </w:r>
      <w:r w:rsidR="00691F9E" w:rsidRPr="003B5469">
        <w:t xml:space="preserve">lower </w:t>
      </w:r>
      <w:r w:rsidRPr="003B5469">
        <w:t xml:space="preserve">than estimated at the time of the </w:t>
      </w:r>
      <w:r w:rsidR="004F235C" w:rsidRPr="003B5469">
        <w:t>202</w:t>
      </w:r>
      <w:r w:rsidR="00221F50" w:rsidRPr="003B5469">
        <w:t>1</w:t>
      </w:r>
      <w:r w:rsidR="00A36B1E" w:rsidRPr="003B5469">
        <w:noBreakHyphen/>
      </w:r>
      <w:r w:rsidR="00221F50" w:rsidRPr="003B5469">
        <w:t xml:space="preserve">22 </w:t>
      </w:r>
      <w:r w:rsidR="004F235C" w:rsidRPr="003B5469">
        <w:t xml:space="preserve">Budget, </w:t>
      </w:r>
      <w:r w:rsidRPr="003B5469">
        <w:t xml:space="preserve">and </w:t>
      </w:r>
      <w:r w:rsidR="00221F50" w:rsidRPr="003B5469">
        <w:t>$1</w:t>
      </w:r>
      <w:r w:rsidR="000B7FD6" w:rsidRPr="003B5469">
        <w:t>11.0</w:t>
      </w:r>
      <w:r w:rsidR="00221F50" w:rsidRPr="003B5469">
        <w:t xml:space="preserve"> billion</w:t>
      </w:r>
      <w:r w:rsidRPr="003B5469">
        <w:t xml:space="preserve"> </w:t>
      </w:r>
      <w:r w:rsidR="00221F50" w:rsidRPr="003B5469">
        <w:t>lower than estimated in the 2020</w:t>
      </w:r>
      <w:r w:rsidR="00A36B1E" w:rsidRPr="003B5469">
        <w:noBreakHyphen/>
      </w:r>
      <w:r w:rsidR="00221F50" w:rsidRPr="003B5469">
        <w:t>21</w:t>
      </w:r>
      <w:r w:rsidR="004F235C" w:rsidRPr="003B5469">
        <w:t xml:space="preserve"> Budget</w:t>
      </w:r>
      <w:r w:rsidRPr="003B5469">
        <w:t xml:space="preserve">. This primarily reflects the </w:t>
      </w:r>
      <w:r w:rsidR="00221F50" w:rsidRPr="003B5469">
        <w:t>decreased</w:t>
      </w:r>
      <w:r w:rsidRPr="003B5469">
        <w:t xml:space="preserve"> borrowing requirement due to the </w:t>
      </w:r>
      <w:r w:rsidR="00221F50" w:rsidRPr="003B5469">
        <w:t>improvement</w:t>
      </w:r>
      <w:r w:rsidRPr="003B5469">
        <w:t xml:space="preserve"> in the underlying cash balance. Australian</w:t>
      </w:r>
      <w:r w:rsidR="00D93499" w:rsidRPr="003B5469">
        <w:t> </w:t>
      </w:r>
      <w:r w:rsidRPr="003B5469">
        <w:t>Government general government sector net financial worth was negative $</w:t>
      </w:r>
      <w:r w:rsidR="00696E93" w:rsidRPr="003B5469">
        <w:t>905.9</w:t>
      </w:r>
      <w:r w:rsidRPr="003B5469">
        <w:t xml:space="preserve"> billion and net worth was negative $</w:t>
      </w:r>
      <w:r w:rsidR="007B5A51" w:rsidRPr="003B5469">
        <w:t>7</w:t>
      </w:r>
      <w:r w:rsidR="00E636C6" w:rsidRPr="003B5469">
        <w:t>25.2</w:t>
      </w:r>
      <w:r w:rsidRPr="003B5469">
        <w:t xml:space="preserve"> billion at the end of </w:t>
      </w:r>
      <w:r w:rsidR="004F6BAC" w:rsidRPr="003B5469">
        <w:t>2020</w:t>
      </w:r>
      <w:r w:rsidR="00A36B1E" w:rsidRPr="003B5469">
        <w:noBreakHyphen/>
      </w:r>
      <w:r w:rsidR="004F6BAC" w:rsidRPr="003B5469">
        <w:t>21</w:t>
      </w:r>
      <w:r w:rsidRPr="003B5469">
        <w:t>.</w:t>
      </w:r>
    </w:p>
    <w:p w14:paraId="628F1BBC" w14:textId="34E4A245" w:rsidR="00DF39C4" w:rsidRPr="003B5469" w:rsidRDefault="00DF39C4">
      <w:pPr>
        <w:spacing w:after="160" w:line="259" w:lineRule="auto"/>
        <w:jc w:val="left"/>
        <w:rPr>
          <w:rFonts w:ascii="Arial Bold" w:hAnsi="Arial Bold"/>
          <w:b/>
          <w:sz w:val="26"/>
          <w:szCs w:val="26"/>
        </w:rPr>
      </w:pPr>
      <w:r w:rsidRPr="003B5469">
        <w:br w:type="page"/>
      </w:r>
    </w:p>
    <w:p w14:paraId="5086B031" w14:textId="791981A2" w:rsidR="006D0AF6" w:rsidRPr="003B5469" w:rsidRDefault="006D0AF6" w:rsidP="00742247">
      <w:pPr>
        <w:pStyle w:val="Heading2"/>
      </w:pPr>
      <w:r w:rsidRPr="003B5469">
        <w:lastRenderedPageBreak/>
        <w:t>Budget aggregates</w:t>
      </w:r>
    </w:p>
    <w:p w14:paraId="6A5DB06C" w14:textId="7CE09F94" w:rsidR="0099075C" w:rsidRPr="003B5469" w:rsidRDefault="00C204D0" w:rsidP="0099075C">
      <w:pPr>
        <w:pStyle w:val="TableHeading"/>
      </w:pPr>
      <w:r w:rsidRPr="003B5469">
        <w:t xml:space="preserve">Table </w:t>
      </w:r>
      <w:r w:rsidR="0001752C" w:rsidRPr="003B5469">
        <w:t>3</w:t>
      </w:r>
      <w:r w:rsidRPr="003B5469">
        <w:t>: Australian Government general government sector budget aggregates</w:t>
      </w:r>
      <w:bookmarkStart w:id="1" w:name="_1693631313"/>
      <w:bookmarkEnd w:id="1"/>
    </w:p>
    <w:tbl>
      <w:tblPr>
        <w:tblW w:w="5000" w:type="pct"/>
        <w:tblCellMar>
          <w:left w:w="0" w:type="dxa"/>
          <w:right w:w="28" w:type="dxa"/>
        </w:tblCellMar>
        <w:tblLook w:val="04A0" w:firstRow="1" w:lastRow="0" w:firstColumn="1" w:lastColumn="0" w:noHBand="0" w:noVBand="1"/>
      </w:tblPr>
      <w:tblGrid>
        <w:gridCol w:w="3548"/>
        <w:gridCol w:w="1041"/>
        <w:gridCol w:w="1041"/>
        <w:gridCol w:w="1041"/>
        <w:gridCol w:w="1039"/>
      </w:tblGrid>
      <w:tr w:rsidR="0099075C" w:rsidRPr="00513ED7" w14:paraId="38CCF9A9" w14:textId="77777777" w:rsidTr="0099075C">
        <w:trPr>
          <w:trHeight w:hRule="exact" w:val="225"/>
        </w:trPr>
        <w:tc>
          <w:tcPr>
            <w:tcW w:w="2301" w:type="pct"/>
            <w:tcBorders>
              <w:top w:val="single" w:sz="4" w:space="0" w:color="000000"/>
              <w:left w:val="nil"/>
              <w:bottom w:val="nil"/>
              <w:right w:val="nil"/>
            </w:tcBorders>
            <w:shd w:val="clear" w:color="000000" w:fill="FFFFFF"/>
            <w:noWrap/>
            <w:vAlign w:val="center"/>
            <w:hideMark/>
          </w:tcPr>
          <w:p w14:paraId="011E737B" w14:textId="50410B5C" w:rsidR="0099075C" w:rsidRPr="003B5469" w:rsidRDefault="0099075C" w:rsidP="0099075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75" w:type="pct"/>
            <w:tcBorders>
              <w:top w:val="single" w:sz="4" w:space="0" w:color="000000"/>
              <w:left w:val="nil"/>
              <w:bottom w:val="nil"/>
              <w:right w:val="nil"/>
            </w:tcBorders>
            <w:shd w:val="clear" w:color="000000" w:fill="FFFFFF"/>
            <w:noWrap/>
            <w:vAlign w:val="center"/>
            <w:hideMark/>
          </w:tcPr>
          <w:p w14:paraId="0840E4F8" w14:textId="426F3201"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2019</w:t>
            </w:r>
            <w:r w:rsidR="00A36B1E" w:rsidRPr="003B5469">
              <w:rPr>
                <w:rFonts w:ascii="Arial" w:hAnsi="Arial" w:cs="Arial"/>
                <w:sz w:val="16"/>
                <w:szCs w:val="16"/>
              </w:rPr>
              <w:noBreakHyphen/>
            </w:r>
            <w:r w:rsidRPr="003B5469">
              <w:rPr>
                <w:rFonts w:ascii="Arial" w:hAnsi="Arial" w:cs="Arial"/>
                <w:sz w:val="16"/>
                <w:szCs w:val="16"/>
              </w:rPr>
              <w:t>20</w:t>
            </w:r>
          </w:p>
        </w:tc>
        <w:tc>
          <w:tcPr>
            <w:tcW w:w="675" w:type="pct"/>
            <w:tcBorders>
              <w:top w:val="single" w:sz="4" w:space="0" w:color="000000"/>
              <w:left w:val="nil"/>
              <w:bottom w:val="nil"/>
              <w:right w:val="nil"/>
            </w:tcBorders>
            <w:shd w:val="clear" w:color="000000" w:fill="FFFFFF"/>
            <w:noWrap/>
            <w:vAlign w:val="center"/>
            <w:hideMark/>
          </w:tcPr>
          <w:p w14:paraId="3C9CA2CF" w14:textId="69459E3F"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675" w:type="pct"/>
            <w:tcBorders>
              <w:top w:val="single" w:sz="4" w:space="0" w:color="000000"/>
              <w:left w:val="nil"/>
              <w:bottom w:val="nil"/>
              <w:right w:val="nil"/>
            </w:tcBorders>
            <w:shd w:val="clear" w:color="000000" w:fill="EBFFFF"/>
            <w:noWrap/>
            <w:vAlign w:val="center"/>
            <w:hideMark/>
          </w:tcPr>
          <w:p w14:paraId="601EC4B0" w14:textId="324FECF0"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675" w:type="pct"/>
            <w:tcBorders>
              <w:top w:val="single" w:sz="4" w:space="0" w:color="000000"/>
              <w:left w:val="nil"/>
              <w:bottom w:val="nil"/>
              <w:right w:val="nil"/>
            </w:tcBorders>
            <w:shd w:val="clear" w:color="000000" w:fill="FFFFFF"/>
            <w:noWrap/>
            <w:vAlign w:val="center"/>
            <w:hideMark/>
          </w:tcPr>
          <w:p w14:paraId="176C823C"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Change on</w:t>
            </w:r>
          </w:p>
        </w:tc>
      </w:tr>
      <w:tr w:rsidR="0099075C" w:rsidRPr="00513ED7" w14:paraId="09ECFFBE" w14:textId="77777777" w:rsidTr="0099075C">
        <w:trPr>
          <w:trHeight w:hRule="exact" w:val="225"/>
        </w:trPr>
        <w:tc>
          <w:tcPr>
            <w:tcW w:w="2301" w:type="pct"/>
            <w:tcBorders>
              <w:top w:val="nil"/>
              <w:left w:val="nil"/>
              <w:bottom w:val="nil"/>
              <w:right w:val="nil"/>
            </w:tcBorders>
            <w:shd w:val="clear" w:color="000000" w:fill="FFFFFF"/>
            <w:noWrap/>
            <w:vAlign w:val="center"/>
            <w:hideMark/>
          </w:tcPr>
          <w:p w14:paraId="2A929546" w14:textId="77777777" w:rsidR="0099075C" w:rsidRPr="003B5469" w:rsidRDefault="0099075C" w:rsidP="0099075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75" w:type="pct"/>
            <w:tcBorders>
              <w:top w:val="nil"/>
              <w:left w:val="nil"/>
              <w:bottom w:val="nil"/>
              <w:right w:val="nil"/>
            </w:tcBorders>
            <w:shd w:val="clear" w:color="000000" w:fill="FFFFFF"/>
            <w:noWrap/>
            <w:vAlign w:val="center"/>
            <w:hideMark/>
          </w:tcPr>
          <w:p w14:paraId="54755FD7"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Outcome</w:t>
            </w:r>
          </w:p>
        </w:tc>
        <w:tc>
          <w:tcPr>
            <w:tcW w:w="675" w:type="pct"/>
            <w:tcBorders>
              <w:top w:val="nil"/>
              <w:left w:val="nil"/>
              <w:bottom w:val="nil"/>
              <w:right w:val="nil"/>
            </w:tcBorders>
            <w:shd w:val="clear" w:color="000000" w:fill="FFFFFF"/>
            <w:noWrap/>
            <w:vAlign w:val="center"/>
            <w:hideMark/>
          </w:tcPr>
          <w:p w14:paraId="35EAAAE6"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Estimate at</w:t>
            </w:r>
          </w:p>
        </w:tc>
        <w:tc>
          <w:tcPr>
            <w:tcW w:w="675" w:type="pct"/>
            <w:tcBorders>
              <w:top w:val="nil"/>
              <w:left w:val="nil"/>
              <w:bottom w:val="nil"/>
              <w:right w:val="nil"/>
            </w:tcBorders>
            <w:shd w:val="clear" w:color="000000" w:fill="EBFFFF"/>
            <w:noWrap/>
            <w:vAlign w:val="center"/>
            <w:hideMark/>
          </w:tcPr>
          <w:p w14:paraId="06AB13B2"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Outcome</w:t>
            </w:r>
          </w:p>
        </w:tc>
        <w:tc>
          <w:tcPr>
            <w:tcW w:w="675" w:type="pct"/>
            <w:tcBorders>
              <w:top w:val="nil"/>
              <w:left w:val="nil"/>
              <w:bottom w:val="nil"/>
              <w:right w:val="nil"/>
            </w:tcBorders>
            <w:shd w:val="clear" w:color="000000" w:fill="FFFFFF"/>
            <w:noWrap/>
            <w:vAlign w:val="center"/>
            <w:hideMark/>
          </w:tcPr>
          <w:p w14:paraId="6C1F5AD8" w14:textId="51812F11"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2021</w:t>
            </w:r>
            <w:r w:rsidR="00A36B1E" w:rsidRPr="003B5469">
              <w:rPr>
                <w:rFonts w:ascii="Arial" w:hAnsi="Arial" w:cs="Arial"/>
                <w:sz w:val="16"/>
                <w:szCs w:val="16"/>
              </w:rPr>
              <w:noBreakHyphen/>
            </w:r>
            <w:r w:rsidRPr="003B5469">
              <w:rPr>
                <w:rFonts w:ascii="Arial" w:hAnsi="Arial" w:cs="Arial"/>
                <w:sz w:val="16"/>
                <w:szCs w:val="16"/>
              </w:rPr>
              <w:t>22</w:t>
            </w:r>
          </w:p>
        </w:tc>
      </w:tr>
      <w:tr w:rsidR="0099075C" w:rsidRPr="00513ED7" w14:paraId="1AF6090B" w14:textId="77777777" w:rsidTr="0099075C">
        <w:trPr>
          <w:trHeight w:hRule="exact" w:val="225"/>
        </w:trPr>
        <w:tc>
          <w:tcPr>
            <w:tcW w:w="2301" w:type="pct"/>
            <w:tcBorders>
              <w:top w:val="nil"/>
              <w:left w:val="nil"/>
              <w:bottom w:val="nil"/>
              <w:right w:val="nil"/>
            </w:tcBorders>
            <w:shd w:val="clear" w:color="000000" w:fill="FFFFFF"/>
            <w:noWrap/>
            <w:vAlign w:val="center"/>
            <w:hideMark/>
          </w:tcPr>
          <w:p w14:paraId="641BC575" w14:textId="77777777" w:rsidR="0099075C" w:rsidRPr="003B5469" w:rsidRDefault="0099075C" w:rsidP="0099075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75" w:type="pct"/>
            <w:tcBorders>
              <w:top w:val="nil"/>
              <w:left w:val="nil"/>
              <w:bottom w:val="nil"/>
              <w:right w:val="nil"/>
            </w:tcBorders>
            <w:shd w:val="clear" w:color="000000" w:fill="FFFFFF"/>
            <w:noWrap/>
            <w:vAlign w:val="center"/>
            <w:hideMark/>
          </w:tcPr>
          <w:p w14:paraId="18730481" w14:textId="77777777" w:rsidR="0099075C" w:rsidRPr="003B5469" w:rsidRDefault="0099075C" w:rsidP="0099075C">
            <w:pPr>
              <w:spacing w:after="0" w:line="240" w:lineRule="auto"/>
              <w:jc w:val="lef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0F808B07" w14:textId="292F3183"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2021</w:t>
            </w:r>
            <w:r w:rsidR="00A36B1E" w:rsidRPr="003B5469">
              <w:rPr>
                <w:rFonts w:ascii="Arial" w:hAnsi="Arial" w:cs="Arial"/>
                <w:sz w:val="16"/>
                <w:szCs w:val="16"/>
              </w:rPr>
              <w:noBreakHyphen/>
            </w:r>
            <w:r w:rsidRPr="003B5469">
              <w:rPr>
                <w:rFonts w:ascii="Arial" w:hAnsi="Arial" w:cs="Arial"/>
                <w:sz w:val="16"/>
                <w:szCs w:val="16"/>
              </w:rPr>
              <w:t>22</w:t>
            </w:r>
          </w:p>
        </w:tc>
        <w:tc>
          <w:tcPr>
            <w:tcW w:w="675" w:type="pct"/>
            <w:tcBorders>
              <w:top w:val="nil"/>
              <w:left w:val="nil"/>
              <w:bottom w:val="nil"/>
              <w:right w:val="nil"/>
            </w:tcBorders>
            <w:shd w:val="clear" w:color="000000" w:fill="EBFFFF"/>
            <w:noWrap/>
            <w:vAlign w:val="center"/>
            <w:hideMark/>
          </w:tcPr>
          <w:p w14:paraId="51624DEE"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43547AC1"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Budget</w:t>
            </w:r>
          </w:p>
        </w:tc>
      </w:tr>
      <w:tr w:rsidR="0099075C" w:rsidRPr="00513ED7" w14:paraId="7C8CE0BD" w14:textId="77777777" w:rsidTr="0099075C">
        <w:trPr>
          <w:trHeight w:hRule="exact" w:val="225"/>
        </w:trPr>
        <w:tc>
          <w:tcPr>
            <w:tcW w:w="2301" w:type="pct"/>
            <w:tcBorders>
              <w:top w:val="nil"/>
              <w:left w:val="nil"/>
              <w:bottom w:val="nil"/>
              <w:right w:val="nil"/>
            </w:tcBorders>
            <w:shd w:val="clear" w:color="000000" w:fill="FFFFFF"/>
            <w:noWrap/>
            <w:vAlign w:val="center"/>
            <w:hideMark/>
          </w:tcPr>
          <w:p w14:paraId="6BC5B70C" w14:textId="77777777" w:rsidR="0099075C" w:rsidRPr="003B5469" w:rsidRDefault="0099075C" w:rsidP="0099075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75" w:type="pct"/>
            <w:tcBorders>
              <w:top w:val="nil"/>
              <w:left w:val="nil"/>
              <w:bottom w:val="nil"/>
              <w:right w:val="nil"/>
            </w:tcBorders>
            <w:shd w:val="clear" w:color="000000" w:fill="FFFFFF"/>
            <w:noWrap/>
            <w:vAlign w:val="center"/>
            <w:hideMark/>
          </w:tcPr>
          <w:p w14:paraId="1B0C2F36" w14:textId="77777777" w:rsidR="0099075C" w:rsidRPr="003B5469" w:rsidRDefault="0099075C" w:rsidP="0099075C">
            <w:pPr>
              <w:spacing w:after="0" w:line="240" w:lineRule="auto"/>
              <w:jc w:val="lef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3D7BFB2A"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Budget</w:t>
            </w:r>
          </w:p>
        </w:tc>
        <w:tc>
          <w:tcPr>
            <w:tcW w:w="675" w:type="pct"/>
            <w:tcBorders>
              <w:top w:val="nil"/>
              <w:left w:val="nil"/>
              <w:bottom w:val="nil"/>
              <w:right w:val="nil"/>
            </w:tcBorders>
            <w:shd w:val="clear" w:color="000000" w:fill="EBFFFF"/>
            <w:noWrap/>
            <w:vAlign w:val="center"/>
            <w:hideMark/>
          </w:tcPr>
          <w:p w14:paraId="585F5E36"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5DAE234B"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r>
      <w:tr w:rsidR="0099075C" w:rsidRPr="00513ED7" w14:paraId="1442C63A" w14:textId="77777777" w:rsidTr="0099075C">
        <w:trPr>
          <w:trHeight w:hRule="exact" w:val="225"/>
        </w:trPr>
        <w:tc>
          <w:tcPr>
            <w:tcW w:w="2301" w:type="pct"/>
            <w:tcBorders>
              <w:top w:val="nil"/>
              <w:left w:val="nil"/>
              <w:bottom w:val="nil"/>
              <w:right w:val="nil"/>
            </w:tcBorders>
            <w:shd w:val="clear" w:color="000000" w:fill="FFFFFF"/>
            <w:noWrap/>
            <w:vAlign w:val="center"/>
            <w:hideMark/>
          </w:tcPr>
          <w:p w14:paraId="4396B376" w14:textId="77777777" w:rsidR="0099075C" w:rsidRPr="003B5469" w:rsidRDefault="0099075C" w:rsidP="0099075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75" w:type="pct"/>
            <w:tcBorders>
              <w:top w:val="nil"/>
              <w:left w:val="nil"/>
              <w:bottom w:val="single" w:sz="4" w:space="0" w:color="000000"/>
              <w:right w:val="nil"/>
            </w:tcBorders>
            <w:shd w:val="clear" w:color="000000" w:fill="FFFFFF"/>
            <w:noWrap/>
            <w:vAlign w:val="center"/>
            <w:hideMark/>
          </w:tcPr>
          <w:p w14:paraId="076F9900"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$b</w:t>
            </w:r>
          </w:p>
        </w:tc>
        <w:tc>
          <w:tcPr>
            <w:tcW w:w="675" w:type="pct"/>
            <w:tcBorders>
              <w:top w:val="nil"/>
              <w:left w:val="nil"/>
              <w:bottom w:val="single" w:sz="4" w:space="0" w:color="000000"/>
              <w:right w:val="nil"/>
            </w:tcBorders>
            <w:shd w:val="clear" w:color="000000" w:fill="FFFFFF"/>
            <w:noWrap/>
            <w:vAlign w:val="center"/>
            <w:hideMark/>
          </w:tcPr>
          <w:p w14:paraId="5F4D5463"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$b</w:t>
            </w:r>
          </w:p>
        </w:tc>
        <w:tc>
          <w:tcPr>
            <w:tcW w:w="675" w:type="pct"/>
            <w:tcBorders>
              <w:top w:val="nil"/>
              <w:left w:val="nil"/>
              <w:bottom w:val="single" w:sz="4" w:space="0" w:color="000000"/>
              <w:right w:val="nil"/>
            </w:tcBorders>
            <w:shd w:val="clear" w:color="000000" w:fill="EBFFFF"/>
            <w:noWrap/>
            <w:vAlign w:val="center"/>
            <w:hideMark/>
          </w:tcPr>
          <w:p w14:paraId="34AB4D6E"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$b</w:t>
            </w:r>
          </w:p>
        </w:tc>
        <w:tc>
          <w:tcPr>
            <w:tcW w:w="675" w:type="pct"/>
            <w:tcBorders>
              <w:top w:val="nil"/>
              <w:left w:val="nil"/>
              <w:bottom w:val="single" w:sz="4" w:space="0" w:color="000000"/>
              <w:right w:val="nil"/>
            </w:tcBorders>
            <w:shd w:val="clear" w:color="000000" w:fill="FFFFFF"/>
            <w:noWrap/>
            <w:vAlign w:val="center"/>
            <w:hideMark/>
          </w:tcPr>
          <w:p w14:paraId="2AC64B48"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$b</w:t>
            </w:r>
          </w:p>
        </w:tc>
      </w:tr>
      <w:tr w:rsidR="0099075C" w:rsidRPr="00513ED7" w14:paraId="022527D7" w14:textId="77777777" w:rsidTr="0099075C">
        <w:trPr>
          <w:trHeight w:hRule="exact" w:val="225"/>
        </w:trPr>
        <w:tc>
          <w:tcPr>
            <w:tcW w:w="2301" w:type="pct"/>
            <w:tcBorders>
              <w:top w:val="nil"/>
              <w:left w:val="nil"/>
              <w:bottom w:val="nil"/>
              <w:right w:val="nil"/>
            </w:tcBorders>
            <w:shd w:val="clear" w:color="000000" w:fill="FFFFFF"/>
            <w:noWrap/>
            <w:vAlign w:val="center"/>
            <w:hideMark/>
          </w:tcPr>
          <w:p w14:paraId="60BB53F8" w14:textId="77777777" w:rsidR="0099075C" w:rsidRPr="003B5469" w:rsidRDefault="0099075C" w:rsidP="0099075C">
            <w:pPr>
              <w:spacing w:after="0" w:line="240" w:lineRule="auto"/>
              <w:jc w:val="left"/>
              <w:rPr>
                <w:rFonts w:ascii="Arial" w:hAnsi="Arial" w:cs="Arial"/>
                <w:b/>
                <w:color w:val="000000"/>
                <w:sz w:val="16"/>
                <w:szCs w:val="16"/>
              </w:rPr>
            </w:pPr>
            <w:r w:rsidRPr="003B5469">
              <w:rPr>
                <w:rFonts w:ascii="Arial" w:hAnsi="Arial" w:cs="Arial"/>
                <w:b/>
                <w:color w:val="000000"/>
                <w:sz w:val="16"/>
                <w:szCs w:val="16"/>
              </w:rPr>
              <w:t>Receipts</w:t>
            </w:r>
          </w:p>
        </w:tc>
        <w:tc>
          <w:tcPr>
            <w:tcW w:w="675" w:type="pct"/>
            <w:tcBorders>
              <w:top w:val="nil"/>
              <w:left w:val="nil"/>
              <w:bottom w:val="nil"/>
              <w:right w:val="nil"/>
            </w:tcBorders>
            <w:shd w:val="clear" w:color="000000" w:fill="FFFFFF"/>
            <w:noWrap/>
            <w:vAlign w:val="center"/>
            <w:hideMark/>
          </w:tcPr>
          <w:p w14:paraId="0D913414" w14:textId="77777777" w:rsidR="0099075C" w:rsidRPr="003B5469" w:rsidRDefault="0099075C" w:rsidP="0099075C">
            <w:pPr>
              <w:spacing w:after="0" w:line="240" w:lineRule="auto"/>
              <w:jc w:val="right"/>
              <w:rPr>
                <w:rFonts w:ascii="Arial" w:hAnsi="Arial" w:cs="Arial"/>
                <w:b/>
                <w:color w:val="000000"/>
                <w:sz w:val="16"/>
                <w:szCs w:val="16"/>
              </w:rPr>
            </w:pPr>
            <w:r w:rsidRPr="003B5469">
              <w:rPr>
                <w:rFonts w:ascii="Arial" w:hAnsi="Arial" w:cs="Arial"/>
                <w:b/>
                <w:color w:val="000000"/>
                <w:sz w:val="16"/>
                <w:szCs w:val="16"/>
              </w:rPr>
              <w:t>469.4</w:t>
            </w:r>
          </w:p>
        </w:tc>
        <w:tc>
          <w:tcPr>
            <w:tcW w:w="675" w:type="pct"/>
            <w:tcBorders>
              <w:top w:val="nil"/>
              <w:left w:val="nil"/>
              <w:bottom w:val="nil"/>
              <w:right w:val="nil"/>
            </w:tcBorders>
            <w:shd w:val="clear" w:color="000000" w:fill="FFFFFF"/>
            <w:noWrap/>
            <w:vAlign w:val="center"/>
            <w:hideMark/>
          </w:tcPr>
          <w:p w14:paraId="168794B9" w14:textId="77777777" w:rsidR="0099075C" w:rsidRPr="003B5469" w:rsidRDefault="0099075C" w:rsidP="0099075C">
            <w:pPr>
              <w:spacing w:after="0" w:line="240" w:lineRule="auto"/>
              <w:jc w:val="right"/>
              <w:rPr>
                <w:rFonts w:ascii="Arial" w:hAnsi="Arial" w:cs="Arial"/>
                <w:b/>
                <w:color w:val="000000"/>
                <w:sz w:val="16"/>
                <w:szCs w:val="16"/>
              </w:rPr>
            </w:pPr>
            <w:r w:rsidRPr="003B5469">
              <w:rPr>
                <w:rFonts w:ascii="Arial" w:hAnsi="Arial" w:cs="Arial"/>
                <w:b/>
                <w:color w:val="000000"/>
                <w:sz w:val="16"/>
                <w:szCs w:val="16"/>
              </w:rPr>
              <w:t>499.8</w:t>
            </w:r>
          </w:p>
        </w:tc>
        <w:tc>
          <w:tcPr>
            <w:tcW w:w="675" w:type="pct"/>
            <w:tcBorders>
              <w:top w:val="nil"/>
              <w:left w:val="nil"/>
              <w:bottom w:val="nil"/>
              <w:right w:val="nil"/>
            </w:tcBorders>
            <w:shd w:val="clear" w:color="000000" w:fill="EBFFFF"/>
            <w:noWrap/>
            <w:vAlign w:val="center"/>
            <w:hideMark/>
          </w:tcPr>
          <w:p w14:paraId="6A612C2F" w14:textId="77777777" w:rsidR="0099075C" w:rsidRPr="003B5469" w:rsidRDefault="0099075C" w:rsidP="0099075C">
            <w:pPr>
              <w:spacing w:after="0" w:line="240" w:lineRule="auto"/>
              <w:jc w:val="right"/>
              <w:rPr>
                <w:rFonts w:ascii="Arial" w:hAnsi="Arial" w:cs="Arial"/>
                <w:b/>
                <w:color w:val="000000"/>
                <w:sz w:val="16"/>
                <w:szCs w:val="16"/>
              </w:rPr>
            </w:pPr>
            <w:r w:rsidRPr="003B5469">
              <w:rPr>
                <w:rFonts w:ascii="Arial" w:hAnsi="Arial" w:cs="Arial"/>
                <w:b/>
                <w:color w:val="000000"/>
                <w:sz w:val="16"/>
                <w:szCs w:val="16"/>
              </w:rPr>
              <w:t>519.9</w:t>
            </w:r>
          </w:p>
        </w:tc>
        <w:tc>
          <w:tcPr>
            <w:tcW w:w="675" w:type="pct"/>
            <w:tcBorders>
              <w:top w:val="nil"/>
              <w:left w:val="nil"/>
              <w:bottom w:val="nil"/>
              <w:right w:val="nil"/>
            </w:tcBorders>
            <w:shd w:val="clear" w:color="000000" w:fill="FFFFFF"/>
            <w:noWrap/>
            <w:vAlign w:val="center"/>
            <w:hideMark/>
          </w:tcPr>
          <w:p w14:paraId="2CE90302" w14:textId="77777777" w:rsidR="0099075C" w:rsidRPr="003B5469" w:rsidRDefault="0099075C" w:rsidP="0099075C">
            <w:pPr>
              <w:spacing w:after="0" w:line="240" w:lineRule="auto"/>
              <w:jc w:val="right"/>
              <w:rPr>
                <w:rFonts w:ascii="Arial" w:hAnsi="Arial" w:cs="Arial"/>
                <w:b/>
                <w:color w:val="000000"/>
                <w:sz w:val="16"/>
                <w:szCs w:val="16"/>
              </w:rPr>
            </w:pPr>
            <w:r w:rsidRPr="003B5469">
              <w:rPr>
                <w:rFonts w:ascii="Arial" w:hAnsi="Arial" w:cs="Arial"/>
                <w:b/>
                <w:color w:val="000000"/>
                <w:sz w:val="16"/>
                <w:szCs w:val="16"/>
              </w:rPr>
              <w:t>20.1</w:t>
            </w:r>
          </w:p>
        </w:tc>
      </w:tr>
      <w:tr w:rsidR="0099075C" w:rsidRPr="00513ED7" w14:paraId="32D35CF0" w14:textId="77777777" w:rsidTr="0099075C">
        <w:trPr>
          <w:trHeight w:hRule="exact" w:val="225"/>
        </w:trPr>
        <w:tc>
          <w:tcPr>
            <w:tcW w:w="2301" w:type="pct"/>
            <w:tcBorders>
              <w:top w:val="nil"/>
              <w:left w:val="nil"/>
              <w:bottom w:val="nil"/>
              <w:right w:val="nil"/>
            </w:tcBorders>
            <w:shd w:val="clear" w:color="000000" w:fill="FFFFFF"/>
            <w:noWrap/>
            <w:vAlign w:val="center"/>
            <w:hideMark/>
          </w:tcPr>
          <w:p w14:paraId="66761ADA" w14:textId="77777777" w:rsidR="0099075C" w:rsidRPr="003B5469" w:rsidRDefault="0099075C" w:rsidP="0099075C">
            <w:pPr>
              <w:spacing w:after="0" w:line="240" w:lineRule="auto"/>
              <w:jc w:val="left"/>
              <w:rPr>
                <w:rFonts w:ascii="Arial" w:hAnsi="Arial" w:cs="Arial"/>
                <w:color w:val="000000"/>
                <w:sz w:val="16"/>
                <w:szCs w:val="16"/>
              </w:rPr>
            </w:pPr>
            <w:r w:rsidRPr="003B5469">
              <w:rPr>
                <w:rFonts w:ascii="Arial" w:hAnsi="Arial" w:cs="Arial"/>
                <w:color w:val="000000"/>
                <w:sz w:val="16"/>
                <w:szCs w:val="16"/>
              </w:rPr>
              <w:t>Per cent of GDP</w:t>
            </w:r>
          </w:p>
        </w:tc>
        <w:tc>
          <w:tcPr>
            <w:tcW w:w="675" w:type="pct"/>
            <w:tcBorders>
              <w:top w:val="nil"/>
              <w:left w:val="nil"/>
              <w:bottom w:val="nil"/>
              <w:right w:val="nil"/>
            </w:tcBorders>
            <w:shd w:val="clear" w:color="000000" w:fill="FFFFFF"/>
            <w:noWrap/>
            <w:vAlign w:val="center"/>
            <w:hideMark/>
          </w:tcPr>
          <w:p w14:paraId="5BF0FC6E"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23.6</w:t>
            </w:r>
          </w:p>
        </w:tc>
        <w:tc>
          <w:tcPr>
            <w:tcW w:w="675" w:type="pct"/>
            <w:tcBorders>
              <w:top w:val="nil"/>
              <w:left w:val="nil"/>
              <w:bottom w:val="nil"/>
              <w:right w:val="nil"/>
            </w:tcBorders>
            <w:shd w:val="clear" w:color="000000" w:fill="FFFFFF"/>
            <w:noWrap/>
            <w:vAlign w:val="center"/>
            <w:hideMark/>
          </w:tcPr>
          <w:p w14:paraId="4710F3A2"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24.3</w:t>
            </w:r>
          </w:p>
        </w:tc>
        <w:tc>
          <w:tcPr>
            <w:tcW w:w="675" w:type="pct"/>
            <w:tcBorders>
              <w:top w:val="nil"/>
              <w:left w:val="nil"/>
              <w:bottom w:val="nil"/>
              <w:right w:val="nil"/>
            </w:tcBorders>
            <w:shd w:val="clear" w:color="000000" w:fill="EBFFFF"/>
            <w:noWrap/>
            <w:vAlign w:val="center"/>
            <w:hideMark/>
          </w:tcPr>
          <w:p w14:paraId="705F685D"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25.1</w:t>
            </w:r>
          </w:p>
        </w:tc>
        <w:tc>
          <w:tcPr>
            <w:tcW w:w="675" w:type="pct"/>
            <w:tcBorders>
              <w:top w:val="nil"/>
              <w:left w:val="nil"/>
              <w:bottom w:val="nil"/>
              <w:right w:val="nil"/>
            </w:tcBorders>
            <w:shd w:val="clear" w:color="000000" w:fill="FFFFFF"/>
            <w:noWrap/>
            <w:vAlign w:val="center"/>
            <w:hideMark/>
          </w:tcPr>
          <w:p w14:paraId="1733A1D0"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r>
      <w:tr w:rsidR="0099075C" w:rsidRPr="00513ED7" w14:paraId="6EB6775A" w14:textId="77777777" w:rsidTr="0099075C">
        <w:trPr>
          <w:trHeight w:hRule="exact" w:val="60"/>
        </w:trPr>
        <w:tc>
          <w:tcPr>
            <w:tcW w:w="2301" w:type="pct"/>
            <w:tcBorders>
              <w:top w:val="nil"/>
              <w:left w:val="nil"/>
              <w:bottom w:val="nil"/>
              <w:right w:val="nil"/>
            </w:tcBorders>
            <w:shd w:val="clear" w:color="000000" w:fill="FFFFFF"/>
            <w:noWrap/>
            <w:vAlign w:val="center"/>
            <w:hideMark/>
          </w:tcPr>
          <w:p w14:paraId="71A13BC0" w14:textId="77777777" w:rsidR="0099075C" w:rsidRPr="003B5469" w:rsidRDefault="0099075C" w:rsidP="0099075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75" w:type="pct"/>
            <w:tcBorders>
              <w:top w:val="nil"/>
              <w:left w:val="nil"/>
              <w:bottom w:val="nil"/>
              <w:right w:val="nil"/>
            </w:tcBorders>
            <w:shd w:val="clear" w:color="000000" w:fill="FFFFFF"/>
            <w:noWrap/>
            <w:vAlign w:val="center"/>
            <w:hideMark/>
          </w:tcPr>
          <w:p w14:paraId="517E296A"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75" w:type="pct"/>
            <w:tcBorders>
              <w:top w:val="nil"/>
              <w:left w:val="nil"/>
              <w:bottom w:val="nil"/>
              <w:right w:val="nil"/>
            </w:tcBorders>
            <w:shd w:val="clear" w:color="000000" w:fill="FFFFFF"/>
            <w:noWrap/>
            <w:vAlign w:val="center"/>
            <w:hideMark/>
          </w:tcPr>
          <w:p w14:paraId="70079A4D"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75" w:type="pct"/>
            <w:tcBorders>
              <w:top w:val="nil"/>
              <w:left w:val="nil"/>
              <w:bottom w:val="nil"/>
              <w:right w:val="nil"/>
            </w:tcBorders>
            <w:shd w:val="clear" w:color="000000" w:fill="EBFFFF"/>
            <w:noWrap/>
            <w:vAlign w:val="center"/>
            <w:hideMark/>
          </w:tcPr>
          <w:p w14:paraId="6EB77128"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75" w:type="pct"/>
            <w:tcBorders>
              <w:top w:val="nil"/>
              <w:left w:val="nil"/>
              <w:bottom w:val="nil"/>
              <w:right w:val="nil"/>
            </w:tcBorders>
            <w:shd w:val="clear" w:color="000000" w:fill="FFFFFF"/>
            <w:noWrap/>
            <w:vAlign w:val="center"/>
            <w:hideMark/>
          </w:tcPr>
          <w:p w14:paraId="0E7D0F09"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99075C" w:rsidRPr="00513ED7" w14:paraId="09D94F57" w14:textId="77777777" w:rsidTr="0099075C">
        <w:trPr>
          <w:trHeight w:hRule="exact" w:val="225"/>
        </w:trPr>
        <w:tc>
          <w:tcPr>
            <w:tcW w:w="2301" w:type="pct"/>
            <w:tcBorders>
              <w:top w:val="nil"/>
              <w:left w:val="nil"/>
              <w:bottom w:val="nil"/>
              <w:right w:val="nil"/>
            </w:tcBorders>
            <w:shd w:val="clear" w:color="000000" w:fill="FFFFFF"/>
            <w:noWrap/>
            <w:vAlign w:val="center"/>
            <w:hideMark/>
          </w:tcPr>
          <w:p w14:paraId="690DA28A" w14:textId="77777777" w:rsidR="0099075C" w:rsidRPr="003B5469" w:rsidRDefault="0099075C" w:rsidP="0099075C">
            <w:pPr>
              <w:spacing w:after="0" w:line="240" w:lineRule="auto"/>
              <w:jc w:val="left"/>
              <w:rPr>
                <w:rFonts w:ascii="Arial" w:hAnsi="Arial" w:cs="Arial"/>
                <w:b/>
                <w:color w:val="000000"/>
                <w:sz w:val="16"/>
                <w:szCs w:val="16"/>
              </w:rPr>
            </w:pPr>
            <w:r w:rsidRPr="003B5469">
              <w:rPr>
                <w:rFonts w:ascii="Arial" w:hAnsi="Arial" w:cs="Arial"/>
                <w:b/>
                <w:color w:val="000000"/>
                <w:sz w:val="16"/>
                <w:szCs w:val="16"/>
              </w:rPr>
              <w:t>Payments(a)</w:t>
            </w:r>
          </w:p>
        </w:tc>
        <w:tc>
          <w:tcPr>
            <w:tcW w:w="675" w:type="pct"/>
            <w:tcBorders>
              <w:top w:val="nil"/>
              <w:left w:val="nil"/>
              <w:bottom w:val="nil"/>
              <w:right w:val="nil"/>
            </w:tcBorders>
            <w:shd w:val="clear" w:color="000000" w:fill="FFFFFF"/>
            <w:noWrap/>
            <w:vAlign w:val="center"/>
            <w:hideMark/>
          </w:tcPr>
          <w:p w14:paraId="4B21893C" w14:textId="77777777" w:rsidR="0099075C" w:rsidRPr="003B5469" w:rsidRDefault="0099075C" w:rsidP="0099075C">
            <w:pPr>
              <w:spacing w:after="0" w:line="240" w:lineRule="auto"/>
              <w:jc w:val="right"/>
              <w:rPr>
                <w:rFonts w:ascii="Arial" w:hAnsi="Arial" w:cs="Arial"/>
                <w:b/>
                <w:color w:val="000000"/>
                <w:sz w:val="16"/>
                <w:szCs w:val="16"/>
              </w:rPr>
            </w:pPr>
            <w:r w:rsidRPr="003B5469">
              <w:rPr>
                <w:rFonts w:ascii="Arial" w:hAnsi="Arial" w:cs="Arial"/>
                <w:b/>
                <w:color w:val="000000"/>
                <w:sz w:val="16"/>
                <w:szCs w:val="16"/>
              </w:rPr>
              <w:t>549.6</w:t>
            </w:r>
          </w:p>
        </w:tc>
        <w:tc>
          <w:tcPr>
            <w:tcW w:w="675" w:type="pct"/>
            <w:tcBorders>
              <w:top w:val="nil"/>
              <w:left w:val="nil"/>
              <w:bottom w:val="nil"/>
              <w:right w:val="nil"/>
            </w:tcBorders>
            <w:shd w:val="clear" w:color="000000" w:fill="FFFFFF"/>
            <w:noWrap/>
            <w:vAlign w:val="center"/>
            <w:hideMark/>
          </w:tcPr>
          <w:p w14:paraId="609A9B5C" w14:textId="77777777" w:rsidR="0099075C" w:rsidRPr="003B5469" w:rsidRDefault="0099075C" w:rsidP="0099075C">
            <w:pPr>
              <w:spacing w:after="0" w:line="240" w:lineRule="auto"/>
              <w:jc w:val="right"/>
              <w:rPr>
                <w:rFonts w:ascii="Arial" w:hAnsi="Arial" w:cs="Arial"/>
                <w:b/>
                <w:color w:val="000000"/>
                <w:sz w:val="16"/>
                <w:szCs w:val="16"/>
              </w:rPr>
            </w:pPr>
            <w:r w:rsidRPr="003B5469">
              <w:rPr>
                <w:rFonts w:ascii="Arial" w:hAnsi="Arial" w:cs="Arial"/>
                <w:b/>
                <w:color w:val="000000"/>
                <w:sz w:val="16"/>
                <w:szCs w:val="16"/>
              </w:rPr>
              <w:t>660.8</w:t>
            </w:r>
          </w:p>
        </w:tc>
        <w:tc>
          <w:tcPr>
            <w:tcW w:w="675" w:type="pct"/>
            <w:tcBorders>
              <w:top w:val="nil"/>
              <w:left w:val="nil"/>
              <w:bottom w:val="nil"/>
              <w:right w:val="nil"/>
            </w:tcBorders>
            <w:shd w:val="clear" w:color="000000" w:fill="EBFFFF"/>
            <w:noWrap/>
            <w:vAlign w:val="center"/>
            <w:hideMark/>
          </w:tcPr>
          <w:p w14:paraId="26470D16" w14:textId="77777777" w:rsidR="0099075C" w:rsidRPr="003B5469" w:rsidRDefault="0099075C" w:rsidP="0099075C">
            <w:pPr>
              <w:spacing w:after="0" w:line="240" w:lineRule="auto"/>
              <w:jc w:val="right"/>
              <w:rPr>
                <w:rFonts w:ascii="Arial" w:hAnsi="Arial" w:cs="Arial"/>
                <w:b/>
                <w:color w:val="000000"/>
                <w:sz w:val="16"/>
                <w:szCs w:val="16"/>
              </w:rPr>
            </w:pPr>
            <w:r w:rsidRPr="003B5469">
              <w:rPr>
                <w:rFonts w:ascii="Arial" w:hAnsi="Arial" w:cs="Arial"/>
                <w:b/>
                <w:color w:val="000000"/>
                <w:sz w:val="16"/>
                <w:szCs w:val="16"/>
              </w:rPr>
              <w:t>654.1</w:t>
            </w:r>
          </w:p>
        </w:tc>
        <w:tc>
          <w:tcPr>
            <w:tcW w:w="675" w:type="pct"/>
            <w:tcBorders>
              <w:top w:val="nil"/>
              <w:left w:val="nil"/>
              <w:bottom w:val="nil"/>
              <w:right w:val="nil"/>
            </w:tcBorders>
            <w:shd w:val="clear" w:color="000000" w:fill="FFFFFF"/>
            <w:noWrap/>
            <w:vAlign w:val="center"/>
            <w:hideMark/>
          </w:tcPr>
          <w:p w14:paraId="0ECDD7B7" w14:textId="03891F98" w:rsidR="0099075C" w:rsidRPr="003B5469" w:rsidRDefault="00A36B1E" w:rsidP="0099075C">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99075C" w:rsidRPr="003B5469">
              <w:rPr>
                <w:rFonts w:ascii="Arial" w:hAnsi="Arial" w:cs="Arial"/>
                <w:b/>
                <w:color w:val="000000"/>
                <w:sz w:val="16"/>
                <w:szCs w:val="16"/>
              </w:rPr>
              <w:t>6.7</w:t>
            </w:r>
          </w:p>
        </w:tc>
      </w:tr>
      <w:tr w:rsidR="0099075C" w:rsidRPr="00513ED7" w14:paraId="48925476" w14:textId="77777777" w:rsidTr="0099075C">
        <w:trPr>
          <w:trHeight w:hRule="exact" w:val="225"/>
        </w:trPr>
        <w:tc>
          <w:tcPr>
            <w:tcW w:w="2301" w:type="pct"/>
            <w:tcBorders>
              <w:top w:val="nil"/>
              <w:left w:val="nil"/>
              <w:bottom w:val="nil"/>
              <w:right w:val="nil"/>
            </w:tcBorders>
            <w:shd w:val="clear" w:color="000000" w:fill="FFFFFF"/>
            <w:noWrap/>
            <w:vAlign w:val="center"/>
            <w:hideMark/>
          </w:tcPr>
          <w:p w14:paraId="70C5777F" w14:textId="77777777" w:rsidR="0099075C" w:rsidRPr="003B5469" w:rsidRDefault="0099075C" w:rsidP="0099075C">
            <w:pPr>
              <w:spacing w:after="0" w:line="240" w:lineRule="auto"/>
              <w:jc w:val="left"/>
              <w:rPr>
                <w:rFonts w:ascii="Arial" w:hAnsi="Arial" w:cs="Arial"/>
                <w:color w:val="000000"/>
                <w:sz w:val="16"/>
                <w:szCs w:val="16"/>
              </w:rPr>
            </w:pPr>
            <w:r w:rsidRPr="003B5469">
              <w:rPr>
                <w:rFonts w:ascii="Arial" w:hAnsi="Arial" w:cs="Arial"/>
                <w:color w:val="000000"/>
                <w:sz w:val="16"/>
                <w:szCs w:val="16"/>
              </w:rPr>
              <w:t>Per cent of GDP</w:t>
            </w:r>
          </w:p>
        </w:tc>
        <w:tc>
          <w:tcPr>
            <w:tcW w:w="675" w:type="pct"/>
            <w:tcBorders>
              <w:top w:val="nil"/>
              <w:left w:val="nil"/>
              <w:bottom w:val="nil"/>
              <w:right w:val="nil"/>
            </w:tcBorders>
            <w:shd w:val="clear" w:color="000000" w:fill="FFFFFF"/>
            <w:noWrap/>
            <w:vAlign w:val="center"/>
            <w:hideMark/>
          </w:tcPr>
          <w:p w14:paraId="62863A7F"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27.7</w:t>
            </w:r>
          </w:p>
        </w:tc>
        <w:tc>
          <w:tcPr>
            <w:tcW w:w="675" w:type="pct"/>
            <w:tcBorders>
              <w:top w:val="nil"/>
              <w:left w:val="nil"/>
              <w:bottom w:val="nil"/>
              <w:right w:val="nil"/>
            </w:tcBorders>
            <w:shd w:val="clear" w:color="000000" w:fill="FFFFFF"/>
            <w:noWrap/>
            <w:vAlign w:val="center"/>
            <w:hideMark/>
          </w:tcPr>
          <w:p w14:paraId="527F019D"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32.1</w:t>
            </w:r>
          </w:p>
        </w:tc>
        <w:tc>
          <w:tcPr>
            <w:tcW w:w="675" w:type="pct"/>
            <w:tcBorders>
              <w:top w:val="nil"/>
              <w:left w:val="nil"/>
              <w:bottom w:val="nil"/>
              <w:right w:val="nil"/>
            </w:tcBorders>
            <w:shd w:val="clear" w:color="000000" w:fill="EBFFFF"/>
            <w:noWrap/>
            <w:vAlign w:val="center"/>
            <w:hideMark/>
          </w:tcPr>
          <w:p w14:paraId="6D6DB7F4"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31.6</w:t>
            </w:r>
          </w:p>
        </w:tc>
        <w:tc>
          <w:tcPr>
            <w:tcW w:w="675" w:type="pct"/>
            <w:tcBorders>
              <w:top w:val="nil"/>
              <w:left w:val="nil"/>
              <w:bottom w:val="nil"/>
              <w:right w:val="nil"/>
            </w:tcBorders>
            <w:shd w:val="clear" w:color="000000" w:fill="FFFFFF"/>
            <w:noWrap/>
            <w:vAlign w:val="center"/>
            <w:hideMark/>
          </w:tcPr>
          <w:p w14:paraId="2536F644"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r>
      <w:tr w:rsidR="0099075C" w:rsidRPr="00513ED7" w14:paraId="718E046C" w14:textId="77777777" w:rsidTr="0099075C">
        <w:trPr>
          <w:trHeight w:hRule="exact" w:val="60"/>
        </w:trPr>
        <w:tc>
          <w:tcPr>
            <w:tcW w:w="2301" w:type="pct"/>
            <w:tcBorders>
              <w:top w:val="nil"/>
              <w:left w:val="nil"/>
              <w:bottom w:val="nil"/>
              <w:right w:val="nil"/>
            </w:tcBorders>
            <w:shd w:val="clear" w:color="000000" w:fill="FFFFFF"/>
            <w:noWrap/>
            <w:vAlign w:val="center"/>
            <w:hideMark/>
          </w:tcPr>
          <w:p w14:paraId="30BF10D4" w14:textId="77777777" w:rsidR="0099075C" w:rsidRPr="003B5469" w:rsidRDefault="0099075C" w:rsidP="0099075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75" w:type="pct"/>
            <w:tcBorders>
              <w:top w:val="nil"/>
              <w:left w:val="nil"/>
              <w:bottom w:val="nil"/>
              <w:right w:val="nil"/>
            </w:tcBorders>
            <w:shd w:val="clear" w:color="000000" w:fill="FFFFFF"/>
            <w:noWrap/>
            <w:vAlign w:val="center"/>
            <w:hideMark/>
          </w:tcPr>
          <w:p w14:paraId="2CF56650"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75" w:type="pct"/>
            <w:tcBorders>
              <w:top w:val="nil"/>
              <w:left w:val="nil"/>
              <w:bottom w:val="nil"/>
              <w:right w:val="nil"/>
            </w:tcBorders>
            <w:shd w:val="clear" w:color="000000" w:fill="FFFFFF"/>
            <w:noWrap/>
            <w:vAlign w:val="center"/>
            <w:hideMark/>
          </w:tcPr>
          <w:p w14:paraId="5D62E7F9"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75" w:type="pct"/>
            <w:tcBorders>
              <w:top w:val="nil"/>
              <w:left w:val="nil"/>
              <w:bottom w:val="nil"/>
              <w:right w:val="nil"/>
            </w:tcBorders>
            <w:shd w:val="clear" w:color="000000" w:fill="EBFFFF"/>
            <w:noWrap/>
            <w:vAlign w:val="center"/>
            <w:hideMark/>
          </w:tcPr>
          <w:p w14:paraId="366A1E4A"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75" w:type="pct"/>
            <w:tcBorders>
              <w:top w:val="nil"/>
              <w:left w:val="nil"/>
              <w:bottom w:val="nil"/>
              <w:right w:val="nil"/>
            </w:tcBorders>
            <w:shd w:val="clear" w:color="000000" w:fill="FFFFFF"/>
            <w:noWrap/>
            <w:vAlign w:val="center"/>
            <w:hideMark/>
          </w:tcPr>
          <w:p w14:paraId="2018C6C4"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99075C" w:rsidRPr="00513ED7" w14:paraId="32FE513D" w14:textId="77777777" w:rsidTr="0099075C">
        <w:trPr>
          <w:trHeight w:hRule="exact" w:val="220"/>
        </w:trPr>
        <w:tc>
          <w:tcPr>
            <w:tcW w:w="2301" w:type="pct"/>
            <w:tcBorders>
              <w:top w:val="nil"/>
              <w:left w:val="nil"/>
              <w:bottom w:val="nil"/>
              <w:right w:val="nil"/>
            </w:tcBorders>
            <w:shd w:val="clear" w:color="000000" w:fill="FFFFFF"/>
            <w:noWrap/>
            <w:vAlign w:val="center"/>
            <w:hideMark/>
          </w:tcPr>
          <w:p w14:paraId="704C9E6A" w14:textId="77777777" w:rsidR="0099075C" w:rsidRPr="003B5469" w:rsidRDefault="0099075C" w:rsidP="0099075C">
            <w:pPr>
              <w:spacing w:after="0" w:line="240" w:lineRule="auto"/>
              <w:jc w:val="left"/>
              <w:rPr>
                <w:rFonts w:ascii="Arial" w:hAnsi="Arial" w:cs="Arial"/>
                <w:color w:val="000000"/>
                <w:sz w:val="16"/>
                <w:szCs w:val="16"/>
              </w:rPr>
            </w:pPr>
            <w:r w:rsidRPr="003B5469">
              <w:rPr>
                <w:rFonts w:ascii="Arial" w:hAnsi="Arial" w:cs="Arial"/>
                <w:color w:val="000000"/>
                <w:sz w:val="16"/>
                <w:szCs w:val="16"/>
              </w:rPr>
              <w:t>Net Future Fund earnings(b)</w:t>
            </w:r>
          </w:p>
        </w:tc>
        <w:tc>
          <w:tcPr>
            <w:tcW w:w="675" w:type="pct"/>
            <w:tcBorders>
              <w:top w:val="nil"/>
              <w:left w:val="nil"/>
              <w:bottom w:val="nil"/>
              <w:right w:val="nil"/>
            </w:tcBorders>
            <w:shd w:val="clear" w:color="000000" w:fill="FFFFFF"/>
            <w:noWrap/>
            <w:vAlign w:val="center"/>
            <w:hideMark/>
          </w:tcPr>
          <w:p w14:paraId="46663A06"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5.0</w:t>
            </w:r>
          </w:p>
        </w:tc>
        <w:tc>
          <w:tcPr>
            <w:tcW w:w="675" w:type="pct"/>
            <w:tcBorders>
              <w:top w:val="nil"/>
              <w:left w:val="nil"/>
              <w:bottom w:val="nil"/>
              <w:right w:val="nil"/>
            </w:tcBorders>
            <w:shd w:val="clear" w:color="000000" w:fill="FFFFFF"/>
            <w:noWrap/>
            <w:vAlign w:val="center"/>
            <w:hideMark/>
          </w:tcPr>
          <w:p w14:paraId="5ACCD936" w14:textId="77777777" w:rsidR="0099075C" w:rsidRPr="003B5469" w:rsidRDefault="0099075C" w:rsidP="0099075C">
            <w:pPr>
              <w:spacing w:after="0" w:line="240" w:lineRule="auto"/>
              <w:jc w:val="right"/>
              <w:rPr>
                <w:rFonts w:ascii="Arial" w:hAnsi="Arial" w:cs="Arial"/>
                <w:color w:val="000000"/>
                <w:sz w:val="16"/>
                <w:szCs w:val="16"/>
              </w:rPr>
            </w:pPr>
            <w:proofErr w:type="spellStart"/>
            <w:r w:rsidRPr="003B5469">
              <w:rPr>
                <w:rFonts w:ascii="Arial" w:hAnsi="Arial" w:cs="Arial"/>
                <w:color w:val="000000"/>
                <w:sz w:val="16"/>
                <w:szCs w:val="16"/>
              </w:rPr>
              <w:t>na</w:t>
            </w:r>
            <w:proofErr w:type="spellEnd"/>
          </w:p>
        </w:tc>
        <w:tc>
          <w:tcPr>
            <w:tcW w:w="675" w:type="pct"/>
            <w:tcBorders>
              <w:top w:val="nil"/>
              <w:left w:val="nil"/>
              <w:bottom w:val="nil"/>
              <w:right w:val="nil"/>
            </w:tcBorders>
            <w:shd w:val="clear" w:color="000000" w:fill="EBFFFF"/>
            <w:noWrap/>
            <w:vAlign w:val="center"/>
            <w:hideMark/>
          </w:tcPr>
          <w:p w14:paraId="7FB5CF12" w14:textId="77777777" w:rsidR="0099075C" w:rsidRPr="003B5469" w:rsidRDefault="0099075C" w:rsidP="0099075C">
            <w:pPr>
              <w:spacing w:after="0" w:line="240" w:lineRule="auto"/>
              <w:jc w:val="right"/>
              <w:rPr>
                <w:rFonts w:ascii="Arial" w:hAnsi="Arial" w:cs="Arial"/>
                <w:color w:val="000000"/>
                <w:sz w:val="16"/>
                <w:szCs w:val="16"/>
              </w:rPr>
            </w:pPr>
            <w:proofErr w:type="spellStart"/>
            <w:r w:rsidRPr="003B5469">
              <w:rPr>
                <w:rFonts w:ascii="Arial" w:hAnsi="Arial" w:cs="Arial"/>
                <w:color w:val="000000"/>
                <w:sz w:val="16"/>
                <w:szCs w:val="16"/>
              </w:rPr>
              <w:t>na</w:t>
            </w:r>
            <w:proofErr w:type="spellEnd"/>
          </w:p>
        </w:tc>
        <w:tc>
          <w:tcPr>
            <w:tcW w:w="675" w:type="pct"/>
            <w:tcBorders>
              <w:top w:val="nil"/>
              <w:left w:val="nil"/>
              <w:bottom w:val="nil"/>
              <w:right w:val="nil"/>
            </w:tcBorders>
            <w:shd w:val="clear" w:color="000000" w:fill="FFFFFF"/>
            <w:noWrap/>
            <w:vAlign w:val="center"/>
            <w:hideMark/>
          </w:tcPr>
          <w:p w14:paraId="7CD5D94D" w14:textId="77777777" w:rsidR="0099075C" w:rsidRPr="003B5469" w:rsidRDefault="0099075C" w:rsidP="0099075C">
            <w:pPr>
              <w:spacing w:after="0" w:line="240" w:lineRule="auto"/>
              <w:jc w:val="right"/>
              <w:rPr>
                <w:rFonts w:ascii="Arial" w:hAnsi="Arial" w:cs="Arial"/>
                <w:color w:val="000000"/>
                <w:sz w:val="16"/>
                <w:szCs w:val="16"/>
              </w:rPr>
            </w:pPr>
            <w:proofErr w:type="spellStart"/>
            <w:r w:rsidRPr="003B5469">
              <w:rPr>
                <w:rFonts w:ascii="Arial" w:hAnsi="Arial" w:cs="Arial"/>
                <w:color w:val="000000"/>
                <w:sz w:val="16"/>
                <w:szCs w:val="16"/>
              </w:rPr>
              <w:t>na</w:t>
            </w:r>
            <w:proofErr w:type="spellEnd"/>
          </w:p>
        </w:tc>
      </w:tr>
      <w:tr w:rsidR="0099075C" w:rsidRPr="00513ED7" w14:paraId="6BF8F3B5" w14:textId="77777777" w:rsidTr="0099075C">
        <w:trPr>
          <w:trHeight w:hRule="exact" w:val="60"/>
        </w:trPr>
        <w:tc>
          <w:tcPr>
            <w:tcW w:w="2301" w:type="pct"/>
            <w:tcBorders>
              <w:top w:val="nil"/>
              <w:left w:val="nil"/>
              <w:bottom w:val="nil"/>
              <w:right w:val="nil"/>
            </w:tcBorders>
            <w:shd w:val="clear" w:color="000000" w:fill="FFFFFF"/>
            <w:noWrap/>
            <w:vAlign w:val="center"/>
            <w:hideMark/>
          </w:tcPr>
          <w:p w14:paraId="617F6B26" w14:textId="77777777" w:rsidR="0099075C" w:rsidRPr="003B5469" w:rsidRDefault="0099075C" w:rsidP="0099075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75" w:type="pct"/>
            <w:tcBorders>
              <w:top w:val="nil"/>
              <w:left w:val="nil"/>
              <w:bottom w:val="nil"/>
              <w:right w:val="nil"/>
            </w:tcBorders>
            <w:shd w:val="clear" w:color="000000" w:fill="FFFFFF"/>
            <w:noWrap/>
            <w:vAlign w:val="center"/>
            <w:hideMark/>
          </w:tcPr>
          <w:p w14:paraId="703E7069"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75" w:type="pct"/>
            <w:tcBorders>
              <w:top w:val="nil"/>
              <w:left w:val="nil"/>
              <w:bottom w:val="nil"/>
              <w:right w:val="nil"/>
            </w:tcBorders>
            <w:shd w:val="clear" w:color="000000" w:fill="FFFFFF"/>
            <w:noWrap/>
            <w:vAlign w:val="center"/>
            <w:hideMark/>
          </w:tcPr>
          <w:p w14:paraId="266B63A8"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75" w:type="pct"/>
            <w:tcBorders>
              <w:top w:val="nil"/>
              <w:left w:val="nil"/>
              <w:bottom w:val="nil"/>
              <w:right w:val="nil"/>
            </w:tcBorders>
            <w:shd w:val="clear" w:color="000000" w:fill="EBFFFF"/>
            <w:noWrap/>
            <w:vAlign w:val="center"/>
            <w:hideMark/>
          </w:tcPr>
          <w:p w14:paraId="00DAF316"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75" w:type="pct"/>
            <w:tcBorders>
              <w:top w:val="nil"/>
              <w:left w:val="nil"/>
              <w:bottom w:val="nil"/>
              <w:right w:val="nil"/>
            </w:tcBorders>
            <w:shd w:val="clear" w:color="000000" w:fill="FFFFFF"/>
            <w:noWrap/>
            <w:vAlign w:val="center"/>
            <w:hideMark/>
          </w:tcPr>
          <w:p w14:paraId="6AAC384E"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99075C" w:rsidRPr="00513ED7" w14:paraId="18FD26FD" w14:textId="77777777" w:rsidTr="0099075C">
        <w:trPr>
          <w:trHeight w:hRule="exact" w:val="225"/>
        </w:trPr>
        <w:tc>
          <w:tcPr>
            <w:tcW w:w="2301" w:type="pct"/>
            <w:tcBorders>
              <w:top w:val="nil"/>
              <w:left w:val="nil"/>
              <w:bottom w:val="nil"/>
              <w:right w:val="nil"/>
            </w:tcBorders>
            <w:shd w:val="clear" w:color="000000" w:fill="FFFFFF"/>
            <w:noWrap/>
            <w:vAlign w:val="center"/>
            <w:hideMark/>
          </w:tcPr>
          <w:p w14:paraId="48AA5739" w14:textId="77777777" w:rsidR="0099075C" w:rsidRPr="003B5469" w:rsidRDefault="0099075C" w:rsidP="0099075C">
            <w:pPr>
              <w:spacing w:after="0" w:line="240" w:lineRule="auto"/>
              <w:jc w:val="left"/>
              <w:rPr>
                <w:rFonts w:ascii="Arial" w:hAnsi="Arial" w:cs="Arial"/>
                <w:b/>
                <w:sz w:val="16"/>
                <w:szCs w:val="16"/>
              </w:rPr>
            </w:pPr>
            <w:r w:rsidRPr="003B5469">
              <w:rPr>
                <w:rFonts w:ascii="Arial" w:hAnsi="Arial" w:cs="Arial"/>
                <w:b/>
                <w:sz w:val="16"/>
                <w:szCs w:val="16"/>
              </w:rPr>
              <w:t>Underlying cash balance(c)</w:t>
            </w:r>
          </w:p>
        </w:tc>
        <w:tc>
          <w:tcPr>
            <w:tcW w:w="675" w:type="pct"/>
            <w:tcBorders>
              <w:top w:val="nil"/>
              <w:left w:val="nil"/>
              <w:bottom w:val="nil"/>
              <w:right w:val="nil"/>
            </w:tcBorders>
            <w:shd w:val="clear" w:color="000000" w:fill="FFFFFF"/>
            <w:noWrap/>
            <w:vAlign w:val="center"/>
            <w:hideMark/>
          </w:tcPr>
          <w:p w14:paraId="49E0F1E9" w14:textId="60317622" w:rsidR="0099075C" w:rsidRPr="003B5469" w:rsidRDefault="00A36B1E" w:rsidP="0099075C">
            <w:pPr>
              <w:spacing w:after="0" w:line="240" w:lineRule="auto"/>
              <w:jc w:val="right"/>
              <w:rPr>
                <w:rFonts w:ascii="Arial" w:hAnsi="Arial" w:cs="Arial"/>
                <w:b/>
                <w:sz w:val="16"/>
                <w:szCs w:val="16"/>
              </w:rPr>
            </w:pPr>
            <w:r w:rsidRPr="003B5469">
              <w:rPr>
                <w:rFonts w:ascii="Arial" w:hAnsi="Arial" w:cs="Arial"/>
                <w:b/>
                <w:sz w:val="16"/>
                <w:szCs w:val="16"/>
              </w:rPr>
              <w:noBreakHyphen/>
            </w:r>
            <w:r w:rsidR="0099075C" w:rsidRPr="003B5469">
              <w:rPr>
                <w:rFonts w:ascii="Arial" w:hAnsi="Arial" w:cs="Arial"/>
                <w:b/>
                <w:sz w:val="16"/>
                <w:szCs w:val="16"/>
              </w:rPr>
              <w:t>85.3</w:t>
            </w:r>
          </w:p>
        </w:tc>
        <w:tc>
          <w:tcPr>
            <w:tcW w:w="675" w:type="pct"/>
            <w:tcBorders>
              <w:top w:val="nil"/>
              <w:left w:val="nil"/>
              <w:bottom w:val="nil"/>
              <w:right w:val="nil"/>
            </w:tcBorders>
            <w:shd w:val="clear" w:color="000000" w:fill="FFFFFF"/>
            <w:noWrap/>
            <w:vAlign w:val="center"/>
            <w:hideMark/>
          </w:tcPr>
          <w:p w14:paraId="55AD4711" w14:textId="3380AB0C" w:rsidR="0099075C" w:rsidRPr="003B5469" w:rsidRDefault="00A36B1E" w:rsidP="0099075C">
            <w:pPr>
              <w:spacing w:after="0" w:line="240" w:lineRule="auto"/>
              <w:jc w:val="right"/>
              <w:rPr>
                <w:rFonts w:ascii="Arial" w:hAnsi="Arial" w:cs="Arial"/>
                <w:b/>
                <w:sz w:val="16"/>
                <w:szCs w:val="16"/>
              </w:rPr>
            </w:pPr>
            <w:r w:rsidRPr="003B5469">
              <w:rPr>
                <w:rFonts w:ascii="Arial" w:hAnsi="Arial" w:cs="Arial"/>
                <w:b/>
                <w:sz w:val="16"/>
                <w:szCs w:val="16"/>
              </w:rPr>
              <w:noBreakHyphen/>
            </w:r>
            <w:r w:rsidR="0099075C" w:rsidRPr="003B5469">
              <w:rPr>
                <w:rFonts w:ascii="Arial" w:hAnsi="Arial" w:cs="Arial"/>
                <w:b/>
                <w:sz w:val="16"/>
                <w:szCs w:val="16"/>
              </w:rPr>
              <w:t>161.0</w:t>
            </w:r>
          </w:p>
        </w:tc>
        <w:tc>
          <w:tcPr>
            <w:tcW w:w="675" w:type="pct"/>
            <w:tcBorders>
              <w:top w:val="nil"/>
              <w:left w:val="nil"/>
              <w:bottom w:val="nil"/>
              <w:right w:val="nil"/>
            </w:tcBorders>
            <w:shd w:val="clear" w:color="000000" w:fill="EBFFFF"/>
            <w:noWrap/>
            <w:vAlign w:val="center"/>
            <w:hideMark/>
          </w:tcPr>
          <w:p w14:paraId="738C45B1" w14:textId="1C000D5A" w:rsidR="0099075C" w:rsidRPr="003B5469" w:rsidRDefault="00A36B1E" w:rsidP="0099075C">
            <w:pPr>
              <w:spacing w:after="0" w:line="240" w:lineRule="auto"/>
              <w:jc w:val="right"/>
              <w:rPr>
                <w:rFonts w:ascii="Arial" w:hAnsi="Arial" w:cs="Arial"/>
                <w:b/>
                <w:sz w:val="16"/>
                <w:szCs w:val="16"/>
              </w:rPr>
            </w:pPr>
            <w:r w:rsidRPr="003B5469">
              <w:rPr>
                <w:rFonts w:ascii="Arial" w:hAnsi="Arial" w:cs="Arial"/>
                <w:b/>
                <w:sz w:val="16"/>
                <w:szCs w:val="16"/>
              </w:rPr>
              <w:noBreakHyphen/>
            </w:r>
            <w:r w:rsidR="0099075C" w:rsidRPr="003B5469">
              <w:rPr>
                <w:rFonts w:ascii="Arial" w:hAnsi="Arial" w:cs="Arial"/>
                <w:b/>
                <w:sz w:val="16"/>
                <w:szCs w:val="16"/>
              </w:rPr>
              <w:t>134.2</w:t>
            </w:r>
          </w:p>
        </w:tc>
        <w:tc>
          <w:tcPr>
            <w:tcW w:w="675" w:type="pct"/>
            <w:tcBorders>
              <w:top w:val="nil"/>
              <w:left w:val="nil"/>
              <w:bottom w:val="nil"/>
              <w:right w:val="nil"/>
            </w:tcBorders>
            <w:shd w:val="clear" w:color="000000" w:fill="FFFFFF"/>
            <w:noWrap/>
            <w:vAlign w:val="center"/>
            <w:hideMark/>
          </w:tcPr>
          <w:p w14:paraId="675A946E" w14:textId="77777777" w:rsidR="0099075C" w:rsidRPr="003B5469" w:rsidRDefault="0099075C" w:rsidP="0099075C">
            <w:pPr>
              <w:spacing w:after="0" w:line="240" w:lineRule="auto"/>
              <w:jc w:val="right"/>
              <w:rPr>
                <w:rFonts w:ascii="Arial" w:hAnsi="Arial" w:cs="Arial"/>
                <w:b/>
                <w:color w:val="000000"/>
                <w:sz w:val="16"/>
                <w:szCs w:val="16"/>
              </w:rPr>
            </w:pPr>
            <w:r w:rsidRPr="003B5469">
              <w:rPr>
                <w:rFonts w:ascii="Arial" w:hAnsi="Arial" w:cs="Arial"/>
                <w:b/>
                <w:color w:val="000000"/>
                <w:sz w:val="16"/>
                <w:szCs w:val="16"/>
              </w:rPr>
              <w:t>26.8</w:t>
            </w:r>
          </w:p>
        </w:tc>
      </w:tr>
      <w:tr w:rsidR="0099075C" w:rsidRPr="00513ED7" w14:paraId="23463874" w14:textId="77777777" w:rsidTr="0099075C">
        <w:trPr>
          <w:trHeight w:hRule="exact" w:val="225"/>
        </w:trPr>
        <w:tc>
          <w:tcPr>
            <w:tcW w:w="2301" w:type="pct"/>
            <w:tcBorders>
              <w:top w:val="nil"/>
              <w:left w:val="nil"/>
              <w:bottom w:val="single" w:sz="4" w:space="0" w:color="000000"/>
              <w:right w:val="nil"/>
            </w:tcBorders>
            <w:shd w:val="clear" w:color="000000" w:fill="FFFFFF"/>
            <w:noWrap/>
            <w:vAlign w:val="center"/>
            <w:hideMark/>
          </w:tcPr>
          <w:p w14:paraId="42CD8862" w14:textId="77777777" w:rsidR="0099075C" w:rsidRPr="003B5469" w:rsidRDefault="0099075C" w:rsidP="0099075C">
            <w:pPr>
              <w:spacing w:after="0" w:line="240" w:lineRule="auto"/>
              <w:jc w:val="left"/>
              <w:rPr>
                <w:rFonts w:ascii="Arial" w:hAnsi="Arial" w:cs="Arial"/>
                <w:sz w:val="16"/>
                <w:szCs w:val="16"/>
              </w:rPr>
            </w:pPr>
            <w:r w:rsidRPr="003B5469">
              <w:rPr>
                <w:rFonts w:ascii="Arial" w:hAnsi="Arial" w:cs="Arial"/>
                <w:sz w:val="16"/>
                <w:szCs w:val="16"/>
              </w:rPr>
              <w:t>Per cent of GDP</w:t>
            </w:r>
          </w:p>
        </w:tc>
        <w:tc>
          <w:tcPr>
            <w:tcW w:w="675" w:type="pct"/>
            <w:tcBorders>
              <w:top w:val="nil"/>
              <w:left w:val="nil"/>
              <w:bottom w:val="single" w:sz="4" w:space="0" w:color="auto"/>
              <w:right w:val="nil"/>
            </w:tcBorders>
            <w:shd w:val="clear" w:color="000000" w:fill="FFFFFF"/>
            <w:noWrap/>
            <w:vAlign w:val="center"/>
            <w:hideMark/>
          </w:tcPr>
          <w:p w14:paraId="61F5F496" w14:textId="133F81C8" w:rsidR="0099075C" w:rsidRPr="003B5469" w:rsidRDefault="00A36B1E" w:rsidP="0099075C">
            <w:pPr>
              <w:spacing w:after="0" w:line="240" w:lineRule="auto"/>
              <w:jc w:val="right"/>
              <w:rPr>
                <w:rFonts w:ascii="Arial" w:hAnsi="Arial" w:cs="Arial"/>
                <w:sz w:val="16"/>
                <w:szCs w:val="16"/>
              </w:rPr>
            </w:pPr>
            <w:r w:rsidRPr="003B5469">
              <w:rPr>
                <w:rFonts w:ascii="Arial" w:hAnsi="Arial" w:cs="Arial"/>
                <w:sz w:val="16"/>
                <w:szCs w:val="16"/>
              </w:rPr>
              <w:noBreakHyphen/>
            </w:r>
            <w:r w:rsidR="0099075C" w:rsidRPr="003B5469">
              <w:rPr>
                <w:rFonts w:ascii="Arial" w:hAnsi="Arial" w:cs="Arial"/>
                <w:sz w:val="16"/>
                <w:szCs w:val="16"/>
              </w:rPr>
              <w:t>4.3</w:t>
            </w:r>
          </w:p>
        </w:tc>
        <w:tc>
          <w:tcPr>
            <w:tcW w:w="675" w:type="pct"/>
            <w:tcBorders>
              <w:top w:val="nil"/>
              <w:left w:val="nil"/>
              <w:bottom w:val="single" w:sz="4" w:space="0" w:color="auto"/>
              <w:right w:val="nil"/>
            </w:tcBorders>
            <w:shd w:val="clear" w:color="000000" w:fill="FFFFFF"/>
            <w:noWrap/>
            <w:vAlign w:val="center"/>
            <w:hideMark/>
          </w:tcPr>
          <w:p w14:paraId="33B5084B" w14:textId="114CDFD3" w:rsidR="0099075C" w:rsidRPr="003B5469" w:rsidRDefault="00A36B1E" w:rsidP="0099075C">
            <w:pPr>
              <w:spacing w:after="0" w:line="240" w:lineRule="auto"/>
              <w:jc w:val="right"/>
              <w:rPr>
                <w:rFonts w:ascii="Arial" w:hAnsi="Arial" w:cs="Arial"/>
                <w:sz w:val="16"/>
                <w:szCs w:val="16"/>
              </w:rPr>
            </w:pPr>
            <w:r w:rsidRPr="003B5469">
              <w:rPr>
                <w:rFonts w:ascii="Arial" w:hAnsi="Arial" w:cs="Arial"/>
                <w:sz w:val="16"/>
                <w:szCs w:val="16"/>
              </w:rPr>
              <w:noBreakHyphen/>
            </w:r>
            <w:r w:rsidR="0099075C" w:rsidRPr="003B5469">
              <w:rPr>
                <w:rFonts w:ascii="Arial" w:hAnsi="Arial" w:cs="Arial"/>
                <w:sz w:val="16"/>
                <w:szCs w:val="16"/>
              </w:rPr>
              <w:t>7.8</w:t>
            </w:r>
          </w:p>
        </w:tc>
        <w:tc>
          <w:tcPr>
            <w:tcW w:w="675" w:type="pct"/>
            <w:tcBorders>
              <w:top w:val="nil"/>
              <w:left w:val="nil"/>
              <w:bottom w:val="single" w:sz="4" w:space="0" w:color="auto"/>
              <w:right w:val="nil"/>
            </w:tcBorders>
            <w:shd w:val="clear" w:color="000000" w:fill="EBFFFF"/>
            <w:noWrap/>
            <w:vAlign w:val="center"/>
            <w:hideMark/>
          </w:tcPr>
          <w:p w14:paraId="430BEB01" w14:textId="4410D346" w:rsidR="0099075C" w:rsidRPr="003B5469" w:rsidRDefault="00A36B1E" w:rsidP="0099075C">
            <w:pPr>
              <w:spacing w:after="0" w:line="240" w:lineRule="auto"/>
              <w:jc w:val="right"/>
              <w:rPr>
                <w:rFonts w:ascii="Arial" w:hAnsi="Arial" w:cs="Arial"/>
                <w:sz w:val="16"/>
                <w:szCs w:val="16"/>
              </w:rPr>
            </w:pPr>
            <w:r w:rsidRPr="003B5469">
              <w:rPr>
                <w:rFonts w:ascii="Arial" w:hAnsi="Arial" w:cs="Arial"/>
                <w:sz w:val="16"/>
                <w:szCs w:val="16"/>
              </w:rPr>
              <w:noBreakHyphen/>
            </w:r>
            <w:r w:rsidR="0099075C" w:rsidRPr="003B5469">
              <w:rPr>
                <w:rFonts w:ascii="Arial" w:hAnsi="Arial" w:cs="Arial"/>
                <w:sz w:val="16"/>
                <w:szCs w:val="16"/>
              </w:rPr>
              <w:t>6.5</w:t>
            </w:r>
          </w:p>
        </w:tc>
        <w:tc>
          <w:tcPr>
            <w:tcW w:w="675" w:type="pct"/>
            <w:tcBorders>
              <w:top w:val="nil"/>
              <w:left w:val="nil"/>
              <w:bottom w:val="single" w:sz="4" w:space="0" w:color="000000"/>
              <w:right w:val="nil"/>
            </w:tcBorders>
            <w:shd w:val="clear" w:color="000000" w:fill="FFFFFF"/>
            <w:noWrap/>
            <w:vAlign w:val="center"/>
            <w:hideMark/>
          </w:tcPr>
          <w:p w14:paraId="3B436353"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r>
      <w:tr w:rsidR="0099075C" w:rsidRPr="00513ED7" w14:paraId="0F362F72" w14:textId="77777777" w:rsidTr="0099075C">
        <w:trPr>
          <w:trHeight w:hRule="exact" w:val="60"/>
        </w:trPr>
        <w:tc>
          <w:tcPr>
            <w:tcW w:w="2301" w:type="pct"/>
            <w:tcBorders>
              <w:top w:val="nil"/>
              <w:left w:val="nil"/>
              <w:bottom w:val="nil"/>
              <w:right w:val="nil"/>
            </w:tcBorders>
            <w:shd w:val="clear" w:color="000000" w:fill="FFFFFF"/>
            <w:noWrap/>
            <w:vAlign w:val="center"/>
            <w:hideMark/>
          </w:tcPr>
          <w:p w14:paraId="57F070B0" w14:textId="77777777" w:rsidR="0099075C" w:rsidRPr="003B5469" w:rsidRDefault="0099075C" w:rsidP="0099075C">
            <w:pPr>
              <w:spacing w:after="0" w:line="240" w:lineRule="auto"/>
              <w:jc w:val="lef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3E1FF2C5"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6AB13972"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EBFFFF"/>
            <w:noWrap/>
            <w:vAlign w:val="center"/>
            <w:hideMark/>
          </w:tcPr>
          <w:p w14:paraId="2BF5A800"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0A3ADCD3"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r>
      <w:tr w:rsidR="0099075C" w:rsidRPr="00513ED7" w14:paraId="11DBCB33" w14:textId="77777777" w:rsidTr="0099075C">
        <w:trPr>
          <w:trHeight w:hRule="exact" w:val="225"/>
        </w:trPr>
        <w:tc>
          <w:tcPr>
            <w:tcW w:w="2301" w:type="pct"/>
            <w:tcBorders>
              <w:top w:val="nil"/>
              <w:left w:val="nil"/>
              <w:bottom w:val="nil"/>
              <w:right w:val="nil"/>
            </w:tcBorders>
            <w:shd w:val="clear" w:color="000000" w:fill="FFFFFF"/>
            <w:noWrap/>
            <w:vAlign w:val="center"/>
            <w:hideMark/>
          </w:tcPr>
          <w:p w14:paraId="2CC6E302" w14:textId="77777777" w:rsidR="0099075C" w:rsidRPr="003B5469" w:rsidRDefault="0099075C" w:rsidP="0099075C">
            <w:pPr>
              <w:spacing w:after="0" w:line="240" w:lineRule="auto"/>
              <w:jc w:val="left"/>
              <w:rPr>
                <w:rFonts w:ascii="Arial" w:hAnsi="Arial" w:cs="Arial"/>
                <w:b/>
                <w:color w:val="000000"/>
                <w:sz w:val="16"/>
                <w:szCs w:val="16"/>
              </w:rPr>
            </w:pPr>
            <w:r w:rsidRPr="003B5469">
              <w:rPr>
                <w:rFonts w:ascii="Arial" w:hAnsi="Arial" w:cs="Arial"/>
                <w:b/>
                <w:color w:val="000000"/>
                <w:sz w:val="16"/>
                <w:szCs w:val="16"/>
              </w:rPr>
              <w:t>Revenue</w:t>
            </w:r>
          </w:p>
        </w:tc>
        <w:tc>
          <w:tcPr>
            <w:tcW w:w="675" w:type="pct"/>
            <w:tcBorders>
              <w:top w:val="nil"/>
              <w:left w:val="nil"/>
              <w:bottom w:val="nil"/>
              <w:right w:val="nil"/>
            </w:tcBorders>
            <w:shd w:val="clear" w:color="000000" w:fill="FFFFFF"/>
            <w:noWrap/>
            <w:vAlign w:val="center"/>
            <w:hideMark/>
          </w:tcPr>
          <w:p w14:paraId="64FF9F36" w14:textId="77777777" w:rsidR="0099075C" w:rsidRPr="003B5469" w:rsidRDefault="0099075C" w:rsidP="0099075C">
            <w:pPr>
              <w:spacing w:after="0" w:line="240" w:lineRule="auto"/>
              <w:jc w:val="right"/>
              <w:rPr>
                <w:rFonts w:ascii="Arial" w:hAnsi="Arial" w:cs="Arial"/>
                <w:b/>
                <w:color w:val="000000"/>
                <w:sz w:val="16"/>
                <w:szCs w:val="16"/>
              </w:rPr>
            </w:pPr>
            <w:r w:rsidRPr="003B5469">
              <w:rPr>
                <w:rFonts w:ascii="Arial" w:hAnsi="Arial" w:cs="Arial"/>
                <w:b/>
                <w:color w:val="000000"/>
                <w:sz w:val="16"/>
                <w:szCs w:val="16"/>
              </w:rPr>
              <w:t>486.3</w:t>
            </w:r>
          </w:p>
        </w:tc>
        <w:tc>
          <w:tcPr>
            <w:tcW w:w="675" w:type="pct"/>
            <w:tcBorders>
              <w:top w:val="nil"/>
              <w:left w:val="nil"/>
              <w:bottom w:val="nil"/>
              <w:right w:val="nil"/>
            </w:tcBorders>
            <w:shd w:val="clear" w:color="000000" w:fill="FFFFFF"/>
            <w:noWrap/>
            <w:vAlign w:val="center"/>
            <w:hideMark/>
          </w:tcPr>
          <w:p w14:paraId="3D8BD281" w14:textId="77777777" w:rsidR="0099075C" w:rsidRPr="003B5469" w:rsidRDefault="0099075C" w:rsidP="0099075C">
            <w:pPr>
              <w:spacing w:after="0" w:line="240" w:lineRule="auto"/>
              <w:jc w:val="right"/>
              <w:rPr>
                <w:rFonts w:ascii="Arial" w:hAnsi="Arial" w:cs="Arial"/>
                <w:b/>
                <w:color w:val="000000"/>
                <w:sz w:val="16"/>
                <w:szCs w:val="16"/>
              </w:rPr>
            </w:pPr>
            <w:r w:rsidRPr="003B5469">
              <w:rPr>
                <w:rFonts w:ascii="Arial" w:hAnsi="Arial" w:cs="Arial"/>
                <w:b/>
                <w:color w:val="000000"/>
                <w:sz w:val="16"/>
                <w:szCs w:val="16"/>
              </w:rPr>
              <w:t>504.9</w:t>
            </w:r>
          </w:p>
        </w:tc>
        <w:tc>
          <w:tcPr>
            <w:tcW w:w="675" w:type="pct"/>
            <w:tcBorders>
              <w:top w:val="nil"/>
              <w:left w:val="nil"/>
              <w:bottom w:val="nil"/>
              <w:right w:val="nil"/>
            </w:tcBorders>
            <w:shd w:val="clear" w:color="000000" w:fill="EBFFFF"/>
            <w:noWrap/>
            <w:vAlign w:val="center"/>
            <w:hideMark/>
          </w:tcPr>
          <w:p w14:paraId="38176A51" w14:textId="77777777" w:rsidR="0099075C" w:rsidRPr="003B5469" w:rsidRDefault="0099075C" w:rsidP="0099075C">
            <w:pPr>
              <w:spacing w:after="0" w:line="240" w:lineRule="auto"/>
              <w:jc w:val="right"/>
              <w:rPr>
                <w:rFonts w:ascii="Arial" w:hAnsi="Arial" w:cs="Arial"/>
                <w:b/>
                <w:color w:val="000000"/>
                <w:sz w:val="16"/>
                <w:szCs w:val="16"/>
              </w:rPr>
            </w:pPr>
            <w:r w:rsidRPr="003B5469">
              <w:rPr>
                <w:rFonts w:ascii="Arial" w:hAnsi="Arial" w:cs="Arial"/>
                <w:b/>
                <w:color w:val="000000"/>
                <w:sz w:val="16"/>
                <w:szCs w:val="16"/>
              </w:rPr>
              <w:t>523.0</w:t>
            </w:r>
          </w:p>
        </w:tc>
        <w:tc>
          <w:tcPr>
            <w:tcW w:w="675" w:type="pct"/>
            <w:tcBorders>
              <w:top w:val="nil"/>
              <w:left w:val="nil"/>
              <w:bottom w:val="nil"/>
              <w:right w:val="nil"/>
            </w:tcBorders>
            <w:shd w:val="clear" w:color="000000" w:fill="FFFFFF"/>
            <w:noWrap/>
            <w:vAlign w:val="center"/>
            <w:hideMark/>
          </w:tcPr>
          <w:p w14:paraId="75567BE4" w14:textId="77777777" w:rsidR="0099075C" w:rsidRPr="003B5469" w:rsidRDefault="0099075C" w:rsidP="0099075C">
            <w:pPr>
              <w:spacing w:after="0" w:line="240" w:lineRule="auto"/>
              <w:jc w:val="right"/>
              <w:rPr>
                <w:rFonts w:ascii="Arial" w:hAnsi="Arial" w:cs="Arial"/>
                <w:b/>
                <w:color w:val="000000"/>
                <w:sz w:val="16"/>
                <w:szCs w:val="16"/>
              </w:rPr>
            </w:pPr>
            <w:r w:rsidRPr="003B5469">
              <w:rPr>
                <w:rFonts w:ascii="Arial" w:hAnsi="Arial" w:cs="Arial"/>
                <w:b/>
                <w:color w:val="000000"/>
                <w:sz w:val="16"/>
                <w:szCs w:val="16"/>
              </w:rPr>
              <w:t>18.1</w:t>
            </w:r>
          </w:p>
        </w:tc>
      </w:tr>
      <w:tr w:rsidR="0099075C" w:rsidRPr="00513ED7" w14:paraId="47F3775A" w14:textId="77777777" w:rsidTr="0099075C">
        <w:trPr>
          <w:trHeight w:hRule="exact" w:val="225"/>
        </w:trPr>
        <w:tc>
          <w:tcPr>
            <w:tcW w:w="2301" w:type="pct"/>
            <w:tcBorders>
              <w:top w:val="nil"/>
              <w:left w:val="nil"/>
              <w:bottom w:val="nil"/>
              <w:right w:val="nil"/>
            </w:tcBorders>
            <w:shd w:val="clear" w:color="000000" w:fill="FFFFFF"/>
            <w:noWrap/>
            <w:vAlign w:val="center"/>
            <w:hideMark/>
          </w:tcPr>
          <w:p w14:paraId="380F1043" w14:textId="77777777" w:rsidR="0099075C" w:rsidRPr="003B5469" w:rsidRDefault="0099075C" w:rsidP="0099075C">
            <w:pPr>
              <w:spacing w:after="0" w:line="240" w:lineRule="auto"/>
              <w:jc w:val="left"/>
              <w:rPr>
                <w:rFonts w:ascii="Arial" w:hAnsi="Arial" w:cs="Arial"/>
                <w:sz w:val="16"/>
                <w:szCs w:val="16"/>
              </w:rPr>
            </w:pPr>
            <w:r w:rsidRPr="003B5469">
              <w:rPr>
                <w:rFonts w:ascii="Arial" w:hAnsi="Arial" w:cs="Arial"/>
                <w:sz w:val="16"/>
                <w:szCs w:val="16"/>
              </w:rPr>
              <w:t>Per cent of GDP</w:t>
            </w:r>
          </w:p>
        </w:tc>
        <w:tc>
          <w:tcPr>
            <w:tcW w:w="675" w:type="pct"/>
            <w:tcBorders>
              <w:top w:val="nil"/>
              <w:left w:val="nil"/>
              <w:bottom w:val="nil"/>
              <w:right w:val="nil"/>
            </w:tcBorders>
            <w:shd w:val="clear" w:color="000000" w:fill="FFFFFF"/>
            <w:noWrap/>
            <w:vAlign w:val="center"/>
            <w:hideMark/>
          </w:tcPr>
          <w:p w14:paraId="34EF9EAD"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24.5</w:t>
            </w:r>
          </w:p>
        </w:tc>
        <w:tc>
          <w:tcPr>
            <w:tcW w:w="675" w:type="pct"/>
            <w:tcBorders>
              <w:top w:val="nil"/>
              <w:left w:val="nil"/>
              <w:bottom w:val="nil"/>
              <w:right w:val="nil"/>
            </w:tcBorders>
            <w:shd w:val="clear" w:color="000000" w:fill="FFFFFF"/>
            <w:noWrap/>
            <w:vAlign w:val="center"/>
            <w:hideMark/>
          </w:tcPr>
          <w:p w14:paraId="67A71F7F"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24.5</w:t>
            </w:r>
          </w:p>
        </w:tc>
        <w:tc>
          <w:tcPr>
            <w:tcW w:w="675" w:type="pct"/>
            <w:tcBorders>
              <w:top w:val="nil"/>
              <w:left w:val="nil"/>
              <w:bottom w:val="nil"/>
              <w:right w:val="nil"/>
            </w:tcBorders>
            <w:shd w:val="clear" w:color="000000" w:fill="EBFFFF"/>
            <w:noWrap/>
            <w:vAlign w:val="center"/>
            <w:hideMark/>
          </w:tcPr>
          <w:p w14:paraId="11704460"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25.3</w:t>
            </w:r>
          </w:p>
        </w:tc>
        <w:tc>
          <w:tcPr>
            <w:tcW w:w="675" w:type="pct"/>
            <w:tcBorders>
              <w:top w:val="nil"/>
              <w:left w:val="nil"/>
              <w:bottom w:val="nil"/>
              <w:right w:val="nil"/>
            </w:tcBorders>
            <w:shd w:val="clear" w:color="000000" w:fill="FFFFFF"/>
            <w:noWrap/>
            <w:vAlign w:val="center"/>
            <w:hideMark/>
          </w:tcPr>
          <w:p w14:paraId="1AFBC64F"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r>
      <w:tr w:rsidR="0099075C" w:rsidRPr="00513ED7" w14:paraId="05BB12F2" w14:textId="77777777" w:rsidTr="0099075C">
        <w:trPr>
          <w:trHeight w:hRule="exact" w:val="60"/>
        </w:trPr>
        <w:tc>
          <w:tcPr>
            <w:tcW w:w="2301" w:type="pct"/>
            <w:tcBorders>
              <w:top w:val="nil"/>
              <w:left w:val="nil"/>
              <w:bottom w:val="nil"/>
              <w:right w:val="nil"/>
            </w:tcBorders>
            <w:shd w:val="clear" w:color="000000" w:fill="FFFFFF"/>
            <w:noWrap/>
            <w:vAlign w:val="center"/>
            <w:hideMark/>
          </w:tcPr>
          <w:p w14:paraId="62368971" w14:textId="77777777" w:rsidR="0099075C" w:rsidRPr="003B5469" w:rsidRDefault="0099075C" w:rsidP="0099075C">
            <w:pPr>
              <w:spacing w:after="0" w:line="240" w:lineRule="auto"/>
              <w:jc w:val="lef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61439468"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78A14A3F"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EBFFFF"/>
            <w:noWrap/>
            <w:vAlign w:val="center"/>
            <w:hideMark/>
          </w:tcPr>
          <w:p w14:paraId="5EAA4560"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453462B2"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r>
      <w:tr w:rsidR="0099075C" w:rsidRPr="00513ED7" w14:paraId="6EDB28E2" w14:textId="77777777" w:rsidTr="0099075C">
        <w:trPr>
          <w:trHeight w:hRule="exact" w:val="225"/>
        </w:trPr>
        <w:tc>
          <w:tcPr>
            <w:tcW w:w="2301" w:type="pct"/>
            <w:tcBorders>
              <w:top w:val="nil"/>
              <w:left w:val="nil"/>
              <w:bottom w:val="nil"/>
              <w:right w:val="nil"/>
            </w:tcBorders>
            <w:shd w:val="clear" w:color="000000" w:fill="FFFFFF"/>
            <w:noWrap/>
            <w:vAlign w:val="center"/>
            <w:hideMark/>
          </w:tcPr>
          <w:p w14:paraId="74D27DF1" w14:textId="77777777" w:rsidR="0099075C" w:rsidRPr="003B5469" w:rsidRDefault="0099075C" w:rsidP="0099075C">
            <w:pPr>
              <w:spacing w:after="0" w:line="240" w:lineRule="auto"/>
              <w:jc w:val="left"/>
              <w:rPr>
                <w:rFonts w:ascii="Arial" w:hAnsi="Arial" w:cs="Arial"/>
                <w:b/>
                <w:sz w:val="16"/>
                <w:szCs w:val="16"/>
              </w:rPr>
            </w:pPr>
            <w:r w:rsidRPr="003B5469">
              <w:rPr>
                <w:rFonts w:ascii="Arial" w:hAnsi="Arial" w:cs="Arial"/>
                <w:b/>
                <w:sz w:val="16"/>
                <w:szCs w:val="16"/>
              </w:rPr>
              <w:t>Expenses</w:t>
            </w:r>
          </w:p>
        </w:tc>
        <w:tc>
          <w:tcPr>
            <w:tcW w:w="675" w:type="pct"/>
            <w:tcBorders>
              <w:top w:val="nil"/>
              <w:left w:val="nil"/>
              <w:bottom w:val="nil"/>
              <w:right w:val="nil"/>
            </w:tcBorders>
            <w:shd w:val="clear" w:color="000000" w:fill="FFFFFF"/>
            <w:noWrap/>
            <w:vAlign w:val="center"/>
            <w:hideMark/>
          </w:tcPr>
          <w:p w14:paraId="4A3670F3" w14:textId="77777777" w:rsidR="0099075C" w:rsidRPr="003B5469" w:rsidRDefault="0099075C" w:rsidP="0099075C">
            <w:pPr>
              <w:spacing w:after="0" w:line="240" w:lineRule="auto"/>
              <w:jc w:val="right"/>
              <w:rPr>
                <w:rFonts w:ascii="Arial" w:hAnsi="Arial" w:cs="Arial"/>
                <w:b/>
                <w:sz w:val="16"/>
                <w:szCs w:val="16"/>
              </w:rPr>
            </w:pPr>
            <w:r w:rsidRPr="003B5469">
              <w:rPr>
                <w:rFonts w:ascii="Arial" w:hAnsi="Arial" w:cs="Arial"/>
                <w:b/>
                <w:sz w:val="16"/>
                <w:szCs w:val="16"/>
              </w:rPr>
              <w:t>578.5</w:t>
            </w:r>
          </w:p>
        </w:tc>
        <w:tc>
          <w:tcPr>
            <w:tcW w:w="675" w:type="pct"/>
            <w:tcBorders>
              <w:top w:val="nil"/>
              <w:left w:val="nil"/>
              <w:bottom w:val="nil"/>
              <w:right w:val="nil"/>
            </w:tcBorders>
            <w:shd w:val="clear" w:color="000000" w:fill="FFFFFF"/>
            <w:noWrap/>
            <w:vAlign w:val="center"/>
            <w:hideMark/>
          </w:tcPr>
          <w:p w14:paraId="2597F16C" w14:textId="77777777" w:rsidR="0099075C" w:rsidRPr="003B5469" w:rsidRDefault="0099075C" w:rsidP="0099075C">
            <w:pPr>
              <w:spacing w:after="0" w:line="240" w:lineRule="auto"/>
              <w:jc w:val="right"/>
              <w:rPr>
                <w:rFonts w:ascii="Arial" w:hAnsi="Arial" w:cs="Arial"/>
                <w:b/>
                <w:sz w:val="16"/>
                <w:szCs w:val="16"/>
              </w:rPr>
            </w:pPr>
            <w:r w:rsidRPr="003B5469">
              <w:rPr>
                <w:rFonts w:ascii="Arial" w:hAnsi="Arial" w:cs="Arial"/>
                <w:b/>
                <w:sz w:val="16"/>
                <w:szCs w:val="16"/>
              </w:rPr>
              <w:t>659.4</w:t>
            </w:r>
          </w:p>
        </w:tc>
        <w:tc>
          <w:tcPr>
            <w:tcW w:w="675" w:type="pct"/>
            <w:tcBorders>
              <w:top w:val="nil"/>
              <w:left w:val="nil"/>
              <w:bottom w:val="nil"/>
              <w:right w:val="nil"/>
            </w:tcBorders>
            <w:shd w:val="clear" w:color="000000" w:fill="EBFFFF"/>
            <w:noWrap/>
            <w:vAlign w:val="center"/>
            <w:hideMark/>
          </w:tcPr>
          <w:p w14:paraId="5115793A" w14:textId="77777777" w:rsidR="0099075C" w:rsidRPr="003B5469" w:rsidRDefault="0099075C" w:rsidP="0099075C">
            <w:pPr>
              <w:spacing w:after="0" w:line="240" w:lineRule="auto"/>
              <w:jc w:val="right"/>
              <w:rPr>
                <w:rFonts w:ascii="Arial" w:hAnsi="Arial" w:cs="Arial"/>
                <w:b/>
                <w:sz w:val="16"/>
                <w:szCs w:val="16"/>
              </w:rPr>
            </w:pPr>
            <w:r w:rsidRPr="003B5469">
              <w:rPr>
                <w:rFonts w:ascii="Arial" w:hAnsi="Arial" w:cs="Arial"/>
                <w:b/>
                <w:sz w:val="16"/>
                <w:szCs w:val="16"/>
              </w:rPr>
              <w:t>651.9</w:t>
            </w:r>
          </w:p>
        </w:tc>
        <w:tc>
          <w:tcPr>
            <w:tcW w:w="675" w:type="pct"/>
            <w:tcBorders>
              <w:top w:val="nil"/>
              <w:left w:val="nil"/>
              <w:bottom w:val="nil"/>
              <w:right w:val="nil"/>
            </w:tcBorders>
            <w:shd w:val="clear" w:color="000000" w:fill="FFFFFF"/>
            <w:noWrap/>
            <w:vAlign w:val="center"/>
            <w:hideMark/>
          </w:tcPr>
          <w:p w14:paraId="3FD87A5D" w14:textId="34334655" w:rsidR="0099075C" w:rsidRPr="003B5469" w:rsidRDefault="00A36B1E" w:rsidP="0099075C">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99075C" w:rsidRPr="003B5469">
              <w:rPr>
                <w:rFonts w:ascii="Arial" w:hAnsi="Arial" w:cs="Arial"/>
                <w:b/>
                <w:color w:val="000000"/>
                <w:sz w:val="16"/>
                <w:szCs w:val="16"/>
              </w:rPr>
              <w:t>7.5</w:t>
            </w:r>
          </w:p>
        </w:tc>
      </w:tr>
      <w:tr w:rsidR="0099075C" w:rsidRPr="00513ED7" w14:paraId="7FC46D93" w14:textId="77777777" w:rsidTr="0099075C">
        <w:trPr>
          <w:trHeight w:hRule="exact" w:val="225"/>
        </w:trPr>
        <w:tc>
          <w:tcPr>
            <w:tcW w:w="2301" w:type="pct"/>
            <w:tcBorders>
              <w:top w:val="nil"/>
              <w:left w:val="nil"/>
              <w:bottom w:val="nil"/>
              <w:right w:val="nil"/>
            </w:tcBorders>
            <w:shd w:val="clear" w:color="000000" w:fill="FFFFFF"/>
            <w:noWrap/>
            <w:vAlign w:val="center"/>
            <w:hideMark/>
          </w:tcPr>
          <w:p w14:paraId="68BC63E7" w14:textId="77777777" w:rsidR="0099075C" w:rsidRPr="003B5469" w:rsidRDefault="0099075C" w:rsidP="0099075C">
            <w:pPr>
              <w:spacing w:after="0" w:line="240" w:lineRule="auto"/>
              <w:jc w:val="left"/>
              <w:rPr>
                <w:rFonts w:ascii="Arial" w:hAnsi="Arial" w:cs="Arial"/>
                <w:sz w:val="16"/>
                <w:szCs w:val="16"/>
              </w:rPr>
            </w:pPr>
            <w:r w:rsidRPr="003B5469">
              <w:rPr>
                <w:rFonts w:ascii="Arial" w:hAnsi="Arial" w:cs="Arial"/>
                <w:sz w:val="16"/>
                <w:szCs w:val="16"/>
              </w:rPr>
              <w:t>Per cent of GDP</w:t>
            </w:r>
          </w:p>
        </w:tc>
        <w:tc>
          <w:tcPr>
            <w:tcW w:w="675" w:type="pct"/>
            <w:tcBorders>
              <w:top w:val="nil"/>
              <w:left w:val="nil"/>
              <w:bottom w:val="nil"/>
              <w:right w:val="nil"/>
            </w:tcBorders>
            <w:shd w:val="clear" w:color="000000" w:fill="FFFFFF"/>
            <w:noWrap/>
            <w:vAlign w:val="center"/>
            <w:hideMark/>
          </w:tcPr>
          <w:p w14:paraId="1E519439"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29.2</w:t>
            </w:r>
          </w:p>
        </w:tc>
        <w:tc>
          <w:tcPr>
            <w:tcW w:w="675" w:type="pct"/>
            <w:tcBorders>
              <w:top w:val="nil"/>
              <w:left w:val="nil"/>
              <w:bottom w:val="nil"/>
              <w:right w:val="nil"/>
            </w:tcBorders>
            <w:shd w:val="clear" w:color="000000" w:fill="FFFFFF"/>
            <w:noWrap/>
            <w:vAlign w:val="center"/>
            <w:hideMark/>
          </w:tcPr>
          <w:p w14:paraId="3AB0197C"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32.0</w:t>
            </w:r>
          </w:p>
        </w:tc>
        <w:tc>
          <w:tcPr>
            <w:tcW w:w="675" w:type="pct"/>
            <w:tcBorders>
              <w:top w:val="nil"/>
              <w:left w:val="nil"/>
              <w:bottom w:val="nil"/>
              <w:right w:val="nil"/>
            </w:tcBorders>
            <w:shd w:val="clear" w:color="000000" w:fill="EBFFFF"/>
            <w:noWrap/>
            <w:vAlign w:val="center"/>
            <w:hideMark/>
          </w:tcPr>
          <w:p w14:paraId="10CE8E87"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31.5</w:t>
            </w:r>
          </w:p>
        </w:tc>
        <w:tc>
          <w:tcPr>
            <w:tcW w:w="675" w:type="pct"/>
            <w:tcBorders>
              <w:top w:val="nil"/>
              <w:left w:val="nil"/>
              <w:bottom w:val="nil"/>
              <w:right w:val="nil"/>
            </w:tcBorders>
            <w:shd w:val="clear" w:color="000000" w:fill="FFFFFF"/>
            <w:noWrap/>
            <w:vAlign w:val="center"/>
            <w:hideMark/>
          </w:tcPr>
          <w:p w14:paraId="5F3E9AC5"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r>
      <w:tr w:rsidR="0099075C" w:rsidRPr="00513ED7" w14:paraId="26E76438" w14:textId="77777777" w:rsidTr="0099075C">
        <w:trPr>
          <w:trHeight w:hRule="exact" w:val="60"/>
        </w:trPr>
        <w:tc>
          <w:tcPr>
            <w:tcW w:w="2301" w:type="pct"/>
            <w:tcBorders>
              <w:top w:val="nil"/>
              <w:left w:val="nil"/>
              <w:bottom w:val="nil"/>
              <w:right w:val="nil"/>
            </w:tcBorders>
            <w:shd w:val="clear" w:color="000000" w:fill="FFFFFF"/>
            <w:noWrap/>
            <w:vAlign w:val="center"/>
            <w:hideMark/>
          </w:tcPr>
          <w:p w14:paraId="2DACA3D4" w14:textId="77777777" w:rsidR="0099075C" w:rsidRPr="003B5469" w:rsidRDefault="0099075C" w:rsidP="0099075C">
            <w:pPr>
              <w:spacing w:after="0" w:line="240" w:lineRule="auto"/>
              <w:jc w:val="lef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5315C692"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056F9E9E"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EBFFFF"/>
            <w:noWrap/>
            <w:vAlign w:val="center"/>
            <w:hideMark/>
          </w:tcPr>
          <w:p w14:paraId="2624C321"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6B5E9783"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r>
      <w:tr w:rsidR="0099075C" w:rsidRPr="00513ED7" w14:paraId="3D1A3851" w14:textId="77777777" w:rsidTr="0099075C">
        <w:trPr>
          <w:trHeight w:hRule="exact" w:val="225"/>
        </w:trPr>
        <w:tc>
          <w:tcPr>
            <w:tcW w:w="2301" w:type="pct"/>
            <w:tcBorders>
              <w:top w:val="nil"/>
              <w:left w:val="nil"/>
              <w:bottom w:val="nil"/>
              <w:right w:val="nil"/>
            </w:tcBorders>
            <w:shd w:val="clear" w:color="000000" w:fill="FFFFFF"/>
            <w:noWrap/>
            <w:vAlign w:val="center"/>
            <w:hideMark/>
          </w:tcPr>
          <w:p w14:paraId="15FC73EA" w14:textId="77777777" w:rsidR="0099075C" w:rsidRPr="003B5469" w:rsidRDefault="0099075C" w:rsidP="0099075C">
            <w:pPr>
              <w:spacing w:after="0" w:line="240" w:lineRule="auto"/>
              <w:jc w:val="left"/>
              <w:rPr>
                <w:rFonts w:ascii="Arial" w:hAnsi="Arial" w:cs="Arial"/>
                <w:b/>
                <w:sz w:val="16"/>
                <w:szCs w:val="16"/>
              </w:rPr>
            </w:pPr>
            <w:r w:rsidRPr="003B5469">
              <w:rPr>
                <w:rFonts w:ascii="Arial" w:hAnsi="Arial" w:cs="Arial"/>
                <w:b/>
                <w:sz w:val="16"/>
                <w:szCs w:val="16"/>
              </w:rPr>
              <w:t>Net operating balance</w:t>
            </w:r>
          </w:p>
        </w:tc>
        <w:tc>
          <w:tcPr>
            <w:tcW w:w="675" w:type="pct"/>
            <w:tcBorders>
              <w:top w:val="nil"/>
              <w:left w:val="nil"/>
              <w:bottom w:val="nil"/>
              <w:right w:val="nil"/>
            </w:tcBorders>
            <w:shd w:val="clear" w:color="000000" w:fill="FFFFFF"/>
            <w:noWrap/>
            <w:vAlign w:val="center"/>
            <w:hideMark/>
          </w:tcPr>
          <w:p w14:paraId="10F79AFF" w14:textId="50B07820" w:rsidR="0099075C" w:rsidRPr="003B5469" w:rsidRDefault="00A36B1E" w:rsidP="0099075C">
            <w:pPr>
              <w:spacing w:after="0" w:line="240" w:lineRule="auto"/>
              <w:jc w:val="right"/>
              <w:rPr>
                <w:rFonts w:ascii="Arial" w:hAnsi="Arial" w:cs="Arial"/>
                <w:b/>
                <w:sz w:val="16"/>
                <w:szCs w:val="16"/>
              </w:rPr>
            </w:pPr>
            <w:r w:rsidRPr="003B5469">
              <w:rPr>
                <w:rFonts w:ascii="Arial" w:hAnsi="Arial" w:cs="Arial"/>
                <w:b/>
                <w:sz w:val="16"/>
                <w:szCs w:val="16"/>
              </w:rPr>
              <w:noBreakHyphen/>
            </w:r>
            <w:r w:rsidR="0099075C" w:rsidRPr="003B5469">
              <w:rPr>
                <w:rFonts w:ascii="Arial" w:hAnsi="Arial" w:cs="Arial"/>
                <w:b/>
                <w:sz w:val="16"/>
                <w:szCs w:val="16"/>
              </w:rPr>
              <w:t>92.3</w:t>
            </w:r>
          </w:p>
        </w:tc>
        <w:tc>
          <w:tcPr>
            <w:tcW w:w="675" w:type="pct"/>
            <w:tcBorders>
              <w:top w:val="nil"/>
              <w:left w:val="nil"/>
              <w:bottom w:val="nil"/>
              <w:right w:val="nil"/>
            </w:tcBorders>
            <w:shd w:val="clear" w:color="000000" w:fill="FFFFFF"/>
            <w:noWrap/>
            <w:vAlign w:val="center"/>
            <w:hideMark/>
          </w:tcPr>
          <w:p w14:paraId="0601EAF4" w14:textId="3E0003CD" w:rsidR="0099075C" w:rsidRPr="003B5469" w:rsidRDefault="00A36B1E" w:rsidP="0099075C">
            <w:pPr>
              <w:spacing w:after="0" w:line="240" w:lineRule="auto"/>
              <w:jc w:val="right"/>
              <w:rPr>
                <w:rFonts w:ascii="Arial" w:hAnsi="Arial" w:cs="Arial"/>
                <w:b/>
                <w:sz w:val="16"/>
                <w:szCs w:val="16"/>
              </w:rPr>
            </w:pPr>
            <w:r w:rsidRPr="003B5469">
              <w:rPr>
                <w:rFonts w:ascii="Arial" w:hAnsi="Arial" w:cs="Arial"/>
                <w:b/>
                <w:sz w:val="16"/>
                <w:szCs w:val="16"/>
              </w:rPr>
              <w:noBreakHyphen/>
            </w:r>
            <w:r w:rsidR="0099075C" w:rsidRPr="003B5469">
              <w:rPr>
                <w:rFonts w:ascii="Arial" w:hAnsi="Arial" w:cs="Arial"/>
                <w:b/>
                <w:sz w:val="16"/>
                <w:szCs w:val="16"/>
              </w:rPr>
              <w:t>154.5</w:t>
            </w:r>
          </w:p>
        </w:tc>
        <w:tc>
          <w:tcPr>
            <w:tcW w:w="675" w:type="pct"/>
            <w:tcBorders>
              <w:top w:val="nil"/>
              <w:left w:val="nil"/>
              <w:bottom w:val="nil"/>
              <w:right w:val="nil"/>
            </w:tcBorders>
            <w:shd w:val="clear" w:color="000000" w:fill="EBFFFF"/>
            <w:noWrap/>
            <w:vAlign w:val="center"/>
            <w:hideMark/>
          </w:tcPr>
          <w:p w14:paraId="129F3C9B" w14:textId="60E03C11" w:rsidR="0099075C" w:rsidRPr="003B5469" w:rsidRDefault="00A36B1E" w:rsidP="0099075C">
            <w:pPr>
              <w:spacing w:after="0" w:line="240" w:lineRule="auto"/>
              <w:jc w:val="right"/>
              <w:rPr>
                <w:rFonts w:ascii="Arial" w:hAnsi="Arial" w:cs="Arial"/>
                <w:b/>
                <w:sz w:val="16"/>
                <w:szCs w:val="16"/>
              </w:rPr>
            </w:pPr>
            <w:r w:rsidRPr="003B5469">
              <w:rPr>
                <w:rFonts w:ascii="Arial" w:hAnsi="Arial" w:cs="Arial"/>
                <w:b/>
                <w:sz w:val="16"/>
                <w:szCs w:val="16"/>
              </w:rPr>
              <w:noBreakHyphen/>
            </w:r>
            <w:r w:rsidR="0099075C" w:rsidRPr="003B5469">
              <w:rPr>
                <w:rFonts w:ascii="Arial" w:hAnsi="Arial" w:cs="Arial"/>
                <w:b/>
                <w:sz w:val="16"/>
                <w:szCs w:val="16"/>
              </w:rPr>
              <w:t>128.9</w:t>
            </w:r>
          </w:p>
        </w:tc>
        <w:tc>
          <w:tcPr>
            <w:tcW w:w="675" w:type="pct"/>
            <w:tcBorders>
              <w:top w:val="nil"/>
              <w:left w:val="nil"/>
              <w:bottom w:val="nil"/>
              <w:right w:val="nil"/>
            </w:tcBorders>
            <w:shd w:val="clear" w:color="000000" w:fill="FFFFFF"/>
            <w:noWrap/>
            <w:vAlign w:val="center"/>
            <w:hideMark/>
          </w:tcPr>
          <w:p w14:paraId="01E4AF00" w14:textId="77777777" w:rsidR="0099075C" w:rsidRPr="003B5469" w:rsidRDefault="0099075C" w:rsidP="0099075C">
            <w:pPr>
              <w:spacing w:after="0" w:line="240" w:lineRule="auto"/>
              <w:jc w:val="right"/>
              <w:rPr>
                <w:rFonts w:ascii="Arial" w:hAnsi="Arial" w:cs="Arial"/>
                <w:b/>
                <w:color w:val="000000"/>
                <w:sz w:val="16"/>
                <w:szCs w:val="16"/>
              </w:rPr>
            </w:pPr>
            <w:r w:rsidRPr="003B5469">
              <w:rPr>
                <w:rFonts w:ascii="Arial" w:hAnsi="Arial" w:cs="Arial"/>
                <w:b/>
                <w:color w:val="000000"/>
                <w:sz w:val="16"/>
                <w:szCs w:val="16"/>
              </w:rPr>
              <w:t>25.6</w:t>
            </w:r>
          </w:p>
        </w:tc>
      </w:tr>
      <w:tr w:rsidR="0099075C" w:rsidRPr="00513ED7" w14:paraId="669C5331" w14:textId="77777777" w:rsidTr="0099075C">
        <w:trPr>
          <w:trHeight w:hRule="exact" w:val="225"/>
        </w:trPr>
        <w:tc>
          <w:tcPr>
            <w:tcW w:w="2301" w:type="pct"/>
            <w:tcBorders>
              <w:top w:val="nil"/>
              <w:left w:val="nil"/>
              <w:bottom w:val="nil"/>
              <w:right w:val="nil"/>
            </w:tcBorders>
            <w:shd w:val="clear" w:color="000000" w:fill="FFFFFF"/>
            <w:noWrap/>
            <w:vAlign w:val="center"/>
            <w:hideMark/>
          </w:tcPr>
          <w:p w14:paraId="31EF4070" w14:textId="77777777" w:rsidR="0099075C" w:rsidRPr="003B5469" w:rsidRDefault="0099075C" w:rsidP="0099075C">
            <w:pPr>
              <w:spacing w:after="0" w:line="240" w:lineRule="auto"/>
              <w:jc w:val="left"/>
              <w:rPr>
                <w:rFonts w:ascii="Arial" w:hAnsi="Arial" w:cs="Arial"/>
                <w:sz w:val="16"/>
                <w:szCs w:val="16"/>
              </w:rPr>
            </w:pPr>
            <w:r w:rsidRPr="003B5469">
              <w:rPr>
                <w:rFonts w:ascii="Arial" w:hAnsi="Arial" w:cs="Arial"/>
                <w:sz w:val="16"/>
                <w:szCs w:val="16"/>
              </w:rPr>
              <w:t>Per cent of GDP</w:t>
            </w:r>
          </w:p>
        </w:tc>
        <w:tc>
          <w:tcPr>
            <w:tcW w:w="675" w:type="pct"/>
            <w:tcBorders>
              <w:top w:val="nil"/>
              <w:left w:val="nil"/>
              <w:bottom w:val="nil"/>
              <w:right w:val="nil"/>
            </w:tcBorders>
            <w:shd w:val="clear" w:color="000000" w:fill="FFFFFF"/>
            <w:noWrap/>
            <w:vAlign w:val="center"/>
            <w:hideMark/>
          </w:tcPr>
          <w:p w14:paraId="4287DE55" w14:textId="1B0A5F45" w:rsidR="0099075C" w:rsidRPr="003B5469" w:rsidRDefault="00A36B1E" w:rsidP="0099075C">
            <w:pPr>
              <w:spacing w:after="0" w:line="240" w:lineRule="auto"/>
              <w:jc w:val="right"/>
              <w:rPr>
                <w:rFonts w:ascii="Arial" w:hAnsi="Arial" w:cs="Arial"/>
                <w:sz w:val="16"/>
                <w:szCs w:val="16"/>
              </w:rPr>
            </w:pPr>
            <w:r w:rsidRPr="003B5469">
              <w:rPr>
                <w:rFonts w:ascii="Arial" w:hAnsi="Arial" w:cs="Arial"/>
                <w:sz w:val="16"/>
                <w:szCs w:val="16"/>
              </w:rPr>
              <w:noBreakHyphen/>
            </w:r>
            <w:r w:rsidR="0099075C" w:rsidRPr="003B5469">
              <w:rPr>
                <w:rFonts w:ascii="Arial" w:hAnsi="Arial" w:cs="Arial"/>
                <w:sz w:val="16"/>
                <w:szCs w:val="16"/>
              </w:rPr>
              <w:t>4.7</w:t>
            </w:r>
          </w:p>
        </w:tc>
        <w:tc>
          <w:tcPr>
            <w:tcW w:w="675" w:type="pct"/>
            <w:tcBorders>
              <w:top w:val="nil"/>
              <w:left w:val="nil"/>
              <w:bottom w:val="nil"/>
              <w:right w:val="nil"/>
            </w:tcBorders>
            <w:shd w:val="clear" w:color="000000" w:fill="FFFFFF"/>
            <w:noWrap/>
            <w:vAlign w:val="center"/>
            <w:hideMark/>
          </w:tcPr>
          <w:p w14:paraId="71692DF4" w14:textId="270F47F3" w:rsidR="0099075C" w:rsidRPr="003B5469" w:rsidRDefault="00A36B1E" w:rsidP="0099075C">
            <w:pPr>
              <w:spacing w:after="0" w:line="240" w:lineRule="auto"/>
              <w:jc w:val="right"/>
              <w:rPr>
                <w:rFonts w:ascii="Arial" w:hAnsi="Arial" w:cs="Arial"/>
                <w:sz w:val="16"/>
                <w:szCs w:val="16"/>
              </w:rPr>
            </w:pPr>
            <w:r w:rsidRPr="003B5469">
              <w:rPr>
                <w:rFonts w:ascii="Arial" w:hAnsi="Arial" w:cs="Arial"/>
                <w:sz w:val="16"/>
                <w:szCs w:val="16"/>
              </w:rPr>
              <w:noBreakHyphen/>
            </w:r>
            <w:r w:rsidR="0099075C" w:rsidRPr="003B5469">
              <w:rPr>
                <w:rFonts w:ascii="Arial" w:hAnsi="Arial" w:cs="Arial"/>
                <w:sz w:val="16"/>
                <w:szCs w:val="16"/>
              </w:rPr>
              <w:t>7.5</w:t>
            </w:r>
          </w:p>
        </w:tc>
        <w:tc>
          <w:tcPr>
            <w:tcW w:w="675" w:type="pct"/>
            <w:tcBorders>
              <w:top w:val="nil"/>
              <w:left w:val="nil"/>
              <w:bottom w:val="nil"/>
              <w:right w:val="nil"/>
            </w:tcBorders>
            <w:shd w:val="clear" w:color="000000" w:fill="EBFFFF"/>
            <w:noWrap/>
            <w:vAlign w:val="center"/>
            <w:hideMark/>
          </w:tcPr>
          <w:p w14:paraId="6B14E9FE" w14:textId="326B3DC5" w:rsidR="0099075C" w:rsidRPr="003B5469" w:rsidRDefault="00A36B1E" w:rsidP="0099075C">
            <w:pPr>
              <w:spacing w:after="0" w:line="240" w:lineRule="auto"/>
              <w:jc w:val="right"/>
              <w:rPr>
                <w:rFonts w:ascii="Arial" w:hAnsi="Arial" w:cs="Arial"/>
                <w:sz w:val="16"/>
                <w:szCs w:val="16"/>
              </w:rPr>
            </w:pPr>
            <w:r w:rsidRPr="003B5469">
              <w:rPr>
                <w:rFonts w:ascii="Arial" w:hAnsi="Arial" w:cs="Arial"/>
                <w:sz w:val="16"/>
                <w:szCs w:val="16"/>
              </w:rPr>
              <w:noBreakHyphen/>
            </w:r>
            <w:r w:rsidR="0099075C" w:rsidRPr="003B5469">
              <w:rPr>
                <w:rFonts w:ascii="Arial" w:hAnsi="Arial" w:cs="Arial"/>
                <w:sz w:val="16"/>
                <w:szCs w:val="16"/>
              </w:rPr>
              <w:t>6.2</w:t>
            </w:r>
          </w:p>
        </w:tc>
        <w:tc>
          <w:tcPr>
            <w:tcW w:w="675" w:type="pct"/>
            <w:tcBorders>
              <w:top w:val="nil"/>
              <w:left w:val="nil"/>
              <w:bottom w:val="nil"/>
              <w:right w:val="nil"/>
            </w:tcBorders>
            <w:shd w:val="clear" w:color="000000" w:fill="FFFFFF"/>
            <w:noWrap/>
            <w:vAlign w:val="center"/>
            <w:hideMark/>
          </w:tcPr>
          <w:p w14:paraId="1C6194F6"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99075C" w:rsidRPr="00513ED7" w14:paraId="56764DF1" w14:textId="77777777" w:rsidTr="0099075C">
        <w:trPr>
          <w:trHeight w:hRule="exact" w:val="60"/>
        </w:trPr>
        <w:tc>
          <w:tcPr>
            <w:tcW w:w="2301" w:type="pct"/>
            <w:tcBorders>
              <w:top w:val="nil"/>
              <w:left w:val="nil"/>
              <w:bottom w:val="nil"/>
              <w:right w:val="nil"/>
            </w:tcBorders>
            <w:shd w:val="clear" w:color="000000" w:fill="FFFFFF"/>
            <w:noWrap/>
            <w:vAlign w:val="center"/>
            <w:hideMark/>
          </w:tcPr>
          <w:p w14:paraId="163076FD" w14:textId="77777777" w:rsidR="0099075C" w:rsidRPr="003B5469" w:rsidRDefault="0099075C" w:rsidP="0099075C">
            <w:pPr>
              <w:spacing w:after="0" w:line="240" w:lineRule="auto"/>
              <w:jc w:val="lef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5C5188DF"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3EFCBF5C"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EBFFFF"/>
            <w:noWrap/>
            <w:vAlign w:val="center"/>
            <w:hideMark/>
          </w:tcPr>
          <w:p w14:paraId="0145F8EE"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746B6107"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99075C" w:rsidRPr="00513ED7" w14:paraId="6E4160EF" w14:textId="77777777" w:rsidTr="0099075C">
        <w:trPr>
          <w:trHeight w:hRule="exact" w:val="225"/>
        </w:trPr>
        <w:tc>
          <w:tcPr>
            <w:tcW w:w="2301" w:type="pct"/>
            <w:tcBorders>
              <w:top w:val="nil"/>
              <w:left w:val="nil"/>
              <w:bottom w:val="nil"/>
              <w:right w:val="nil"/>
            </w:tcBorders>
            <w:shd w:val="clear" w:color="000000" w:fill="FFFFFF"/>
            <w:noWrap/>
            <w:vAlign w:val="center"/>
            <w:hideMark/>
          </w:tcPr>
          <w:p w14:paraId="1398FA6F" w14:textId="77777777" w:rsidR="0099075C" w:rsidRPr="003B5469" w:rsidRDefault="0099075C" w:rsidP="0099075C">
            <w:pPr>
              <w:spacing w:after="0" w:line="240" w:lineRule="auto"/>
              <w:jc w:val="left"/>
              <w:rPr>
                <w:rFonts w:ascii="Arial" w:hAnsi="Arial" w:cs="Arial"/>
                <w:sz w:val="16"/>
                <w:szCs w:val="16"/>
              </w:rPr>
            </w:pPr>
            <w:r w:rsidRPr="003B5469">
              <w:rPr>
                <w:rFonts w:ascii="Arial" w:hAnsi="Arial" w:cs="Arial"/>
                <w:sz w:val="16"/>
                <w:szCs w:val="16"/>
              </w:rPr>
              <w:t>Net capital investment</w:t>
            </w:r>
          </w:p>
        </w:tc>
        <w:tc>
          <w:tcPr>
            <w:tcW w:w="675" w:type="pct"/>
            <w:tcBorders>
              <w:top w:val="nil"/>
              <w:left w:val="nil"/>
              <w:bottom w:val="nil"/>
              <w:right w:val="nil"/>
            </w:tcBorders>
            <w:shd w:val="clear" w:color="000000" w:fill="FFFFFF"/>
            <w:noWrap/>
            <w:vAlign w:val="center"/>
            <w:hideMark/>
          </w:tcPr>
          <w:p w14:paraId="6ECC2CAB"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4.0</w:t>
            </w:r>
          </w:p>
        </w:tc>
        <w:tc>
          <w:tcPr>
            <w:tcW w:w="675" w:type="pct"/>
            <w:tcBorders>
              <w:top w:val="nil"/>
              <w:left w:val="nil"/>
              <w:bottom w:val="nil"/>
              <w:right w:val="nil"/>
            </w:tcBorders>
            <w:shd w:val="clear" w:color="000000" w:fill="FFFFFF"/>
            <w:noWrap/>
            <w:vAlign w:val="center"/>
            <w:hideMark/>
          </w:tcPr>
          <w:p w14:paraId="29DA8CBD"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8.6</w:t>
            </w:r>
          </w:p>
        </w:tc>
        <w:tc>
          <w:tcPr>
            <w:tcW w:w="675" w:type="pct"/>
            <w:tcBorders>
              <w:top w:val="nil"/>
              <w:left w:val="nil"/>
              <w:bottom w:val="nil"/>
              <w:right w:val="nil"/>
            </w:tcBorders>
            <w:shd w:val="clear" w:color="000000" w:fill="EBFFFF"/>
            <w:noWrap/>
            <w:vAlign w:val="center"/>
            <w:hideMark/>
          </w:tcPr>
          <w:p w14:paraId="405608CD"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7.2</w:t>
            </w:r>
          </w:p>
        </w:tc>
        <w:tc>
          <w:tcPr>
            <w:tcW w:w="675" w:type="pct"/>
            <w:tcBorders>
              <w:top w:val="nil"/>
              <w:left w:val="nil"/>
              <w:bottom w:val="nil"/>
              <w:right w:val="nil"/>
            </w:tcBorders>
            <w:shd w:val="clear" w:color="000000" w:fill="FFFFFF"/>
            <w:noWrap/>
            <w:vAlign w:val="center"/>
            <w:hideMark/>
          </w:tcPr>
          <w:p w14:paraId="3F9C67A8" w14:textId="04F9FBF2" w:rsidR="0099075C" w:rsidRPr="003B5469" w:rsidRDefault="00A36B1E"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99075C" w:rsidRPr="003B5469">
              <w:rPr>
                <w:rFonts w:ascii="Arial" w:hAnsi="Arial" w:cs="Arial"/>
                <w:color w:val="000000"/>
                <w:sz w:val="16"/>
                <w:szCs w:val="16"/>
              </w:rPr>
              <w:t>1.4</w:t>
            </w:r>
          </w:p>
        </w:tc>
      </w:tr>
      <w:tr w:rsidR="0099075C" w:rsidRPr="00513ED7" w14:paraId="5145B41D" w14:textId="77777777" w:rsidTr="0099075C">
        <w:trPr>
          <w:trHeight w:hRule="exact" w:val="60"/>
        </w:trPr>
        <w:tc>
          <w:tcPr>
            <w:tcW w:w="2301" w:type="pct"/>
            <w:tcBorders>
              <w:top w:val="nil"/>
              <w:left w:val="nil"/>
              <w:bottom w:val="nil"/>
              <w:right w:val="nil"/>
            </w:tcBorders>
            <w:shd w:val="clear" w:color="000000" w:fill="FFFFFF"/>
            <w:noWrap/>
            <w:vAlign w:val="center"/>
            <w:hideMark/>
          </w:tcPr>
          <w:p w14:paraId="5D30A6E9" w14:textId="77777777" w:rsidR="0099075C" w:rsidRPr="003B5469" w:rsidRDefault="0099075C" w:rsidP="0099075C">
            <w:pPr>
              <w:spacing w:after="0" w:line="240" w:lineRule="auto"/>
              <w:jc w:val="lef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2E801CAD"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03D8DF22"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EBFFFF"/>
            <w:noWrap/>
            <w:vAlign w:val="center"/>
            <w:hideMark/>
          </w:tcPr>
          <w:p w14:paraId="31F4DD5D"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19DD139A"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r>
      <w:tr w:rsidR="0099075C" w:rsidRPr="00513ED7" w14:paraId="74EA2CBB" w14:textId="77777777" w:rsidTr="0099075C">
        <w:trPr>
          <w:trHeight w:hRule="exact" w:val="225"/>
        </w:trPr>
        <w:tc>
          <w:tcPr>
            <w:tcW w:w="2301" w:type="pct"/>
            <w:tcBorders>
              <w:top w:val="nil"/>
              <w:left w:val="nil"/>
              <w:bottom w:val="nil"/>
              <w:right w:val="nil"/>
            </w:tcBorders>
            <w:shd w:val="clear" w:color="000000" w:fill="FFFFFF"/>
            <w:noWrap/>
            <w:vAlign w:val="center"/>
            <w:hideMark/>
          </w:tcPr>
          <w:p w14:paraId="7A1BAD13" w14:textId="77777777" w:rsidR="0099075C" w:rsidRPr="003B5469" w:rsidRDefault="0099075C" w:rsidP="0099075C">
            <w:pPr>
              <w:spacing w:after="0" w:line="240" w:lineRule="auto"/>
              <w:jc w:val="left"/>
              <w:rPr>
                <w:rFonts w:ascii="Arial" w:hAnsi="Arial" w:cs="Arial"/>
                <w:b/>
                <w:sz w:val="16"/>
                <w:szCs w:val="16"/>
              </w:rPr>
            </w:pPr>
            <w:r w:rsidRPr="003B5469">
              <w:rPr>
                <w:rFonts w:ascii="Arial" w:hAnsi="Arial" w:cs="Arial"/>
                <w:b/>
                <w:sz w:val="16"/>
                <w:szCs w:val="16"/>
              </w:rPr>
              <w:t>Fiscal balance</w:t>
            </w:r>
          </w:p>
        </w:tc>
        <w:tc>
          <w:tcPr>
            <w:tcW w:w="675" w:type="pct"/>
            <w:tcBorders>
              <w:top w:val="nil"/>
              <w:left w:val="nil"/>
              <w:bottom w:val="nil"/>
              <w:right w:val="nil"/>
            </w:tcBorders>
            <w:shd w:val="clear" w:color="000000" w:fill="FFFFFF"/>
            <w:noWrap/>
            <w:vAlign w:val="center"/>
            <w:hideMark/>
          </w:tcPr>
          <w:p w14:paraId="12CBAB5D" w14:textId="7BCE5FE0" w:rsidR="0099075C" w:rsidRPr="003B5469" w:rsidRDefault="00A36B1E" w:rsidP="0099075C">
            <w:pPr>
              <w:spacing w:after="0" w:line="240" w:lineRule="auto"/>
              <w:jc w:val="right"/>
              <w:rPr>
                <w:rFonts w:ascii="Arial" w:hAnsi="Arial" w:cs="Arial"/>
                <w:b/>
                <w:sz w:val="16"/>
                <w:szCs w:val="16"/>
              </w:rPr>
            </w:pPr>
            <w:r w:rsidRPr="003B5469">
              <w:rPr>
                <w:rFonts w:ascii="Arial" w:hAnsi="Arial" w:cs="Arial"/>
                <w:b/>
                <w:sz w:val="16"/>
                <w:szCs w:val="16"/>
              </w:rPr>
              <w:noBreakHyphen/>
            </w:r>
            <w:r w:rsidR="0099075C" w:rsidRPr="003B5469">
              <w:rPr>
                <w:rFonts w:ascii="Arial" w:hAnsi="Arial" w:cs="Arial"/>
                <w:b/>
                <w:sz w:val="16"/>
                <w:szCs w:val="16"/>
              </w:rPr>
              <w:t>96.3</w:t>
            </w:r>
          </w:p>
        </w:tc>
        <w:tc>
          <w:tcPr>
            <w:tcW w:w="675" w:type="pct"/>
            <w:tcBorders>
              <w:top w:val="nil"/>
              <w:left w:val="nil"/>
              <w:bottom w:val="nil"/>
              <w:right w:val="nil"/>
            </w:tcBorders>
            <w:shd w:val="clear" w:color="000000" w:fill="FFFFFF"/>
            <w:noWrap/>
            <w:vAlign w:val="center"/>
            <w:hideMark/>
          </w:tcPr>
          <w:p w14:paraId="2A79D332" w14:textId="57F5B58B" w:rsidR="0099075C" w:rsidRPr="003B5469" w:rsidRDefault="00A36B1E" w:rsidP="0099075C">
            <w:pPr>
              <w:spacing w:after="0" w:line="240" w:lineRule="auto"/>
              <w:jc w:val="right"/>
              <w:rPr>
                <w:rFonts w:ascii="Arial" w:hAnsi="Arial" w:cs="Arial"/>
                <w:b/>
                <w:sz w:val="16"/>
                <w:szCs w:val="16"/>
              </w:rPr>
            </w:pPr>
            <w:r w:rsidRPr="003B5469">
              <w:rPr>
                <w:rFonts w:ascii="Arial" w:hAnsi="Arial" w:cs="Arial"/>
                <w:b/>
                <w:sz w:val="16"/>
                <w:szCs w:val="16"/>
              </w:rPr>
              <w:noBreakHyphen/>
            </w:r>
            <w:r w:rsidR="0099075C" w:rsidRPr="003B5469">
              <w:rPr>
                <w:rFonts w:ascii="Arial" w:hAnsi="Arial" w:cs="Arial"/>
                <w:b/>
                <w:sz w:val="16"/>
                <w:szCs w:val="16"/>
              </w:rPr>
              <w:t>163.2</w:t>
            </w:r>
          </w:p>
        </w:tc>
        <w:tc>
          <w:tcPr>
            <w:tcW w:w="675" w:type="pct"/>
            <w:tcBorders>
              <w:top w:val="nil"/>
              <w:left w:val="nil"/>
              <w:bottom w:val="nil"/>
              <w:right w:val="nil"/>
            </w:tcBorders>
            <w:shd w:val="clear" w:color="000000" w:fill="EBFFFF"/>
            <w:noWrap/>
            <w:vAlign w:val="center"/>
            <w:hideMark/>
          </w:tcPr>
          <w:p w14:paraId="1EA7F8C9" w14:textId="7AFA8247" w:rsidR="0099075C" w:rsidRPr="003B5469" w:rsidRDefault="00A36B1E" w:rsidP="0099075C">
            <w:pPr>
              <w:spacing w:after="0" w:line="240" w:lineRule="auto"/>
              <w:jc w:val="right"/>
              <w:rPr>
                <w:rFonts w:ascii="Arial" w:hAnsi="Arial" w:cs="Arial"/>
                <w:b/>
                <w:sz w:val="16"/>
                <w:szCs w:val="16"/>
              </w:rPr>
            </w:pPr>
            <w:r w:rsidRPr="003B5469">
              <w:rPr>
                <w:rFonts w:ascii="Arial" w:hAnsi="Arial" w:cs="Arial"/>
                <w:b/>
                <w:sz w:val="16"/>
                <w:szCs w:val="16"/>
              </w:rPr>
              <w:noBreakHyphen/>
            </w:r>
            <w:r w:rsidR="0099075C" w:rsidRPr="003B5469">
              <w:rPr>
                <w:rFonts w:ascii="Arial" w:hAnsi="Arial" w:cs="Arial"/>
                <w:b/>
                <w:sz w:val="16"/>
                <w:szCs w:val="16"/>
              </w:rPr>
              <w:t>136.1</w:t>
            </w:r>
          </w:p>
        </w:tc>
        <w:tc>
          <w:tcPr>
            <w:tcW w:w="675" w:type="pct"/>
            <w:tcBorders>
              <w:top w:val="nil"/>
              <w:left w:val="nil"/>
              <w:bottom w:val="nil"/>
              <w:right w:val="nil"/>
            </w:tcBorders>
            <w:shd w:val="clear" w:color="000000" w:fill="FFFFFF"/>
            <w:noWrap/>
            <w:vAlign w:val="center"/>
            <w:hideMark/>
          </w:tcPr>
          <w:p w14:paraId="2D0005C5" w14:textId="77777777" w:rsidR="0099075C" w:rsidRPr="003B5469" w:rsidRDefault="0099075C" w:rsidP="0099075C">
            <w:pPr>
              <w:spacing w:after="0" w:line="240" w:lineRule="auto"/>
              <w:jc w:val="right"/>
              <w:rPr>
                <w:rFonts w:ascii="Arial" w:hAnsi="Arial" w:cs="Arial"/>
                <w:b/>
                <w:color w:val="000000"/>
                <w:sz w:val="16"/>
                <w:szCs w:val="16"/>
              </w:rPr>
            </w:pPr>
            <w:r w:rsidRPr="003B5469">
              <w:rPr>
                <w:rFonts w:ascii="Arial" w:hAnsi="Arial" w:cs="Arial"/>
                <w:b/>
                <w:color w:val="000000"/>
                <w:sz w:val="16"/>
                <w:szCs w:val="16"/>
              </w:rPr>
              <w:t>27.1</w:t>
            </w:r>
          </w:p>
        </w:tc>
      </w:tr>
      <w:tr w:rsidR="0099075C" w:rsidRPr="00513ED7" w14:paraId="5BB6525A" w14:textId="77777777" w:rsidTr="0099075C">
        <w:trPr>
          <w:trHeight w:hRule="exact" w:val="225"/>
        </w:trPr>
        <w:tc>
          <w:tcPr>
            <w:tcW w:w="2301" w:type="pct"/>
            <w:tcBorders>
              <w:top w:val="nil"/>
              <w:left w:val="nil"/>
              <w:bottom w:val="nil"/>
              <w:right w:val="nil"/>
            </w:tcBorders>
            <w:shd w:val="clear" w:color="000000" w:fill="FFFFFF"/>
            <w:noWrap/>
            <w:vAlign w:val="center"/>
            <w:hideMark/>
          </w:tcPr>
          <w:p w14:paraId="56C2FDCA" w14:textId="77777777" w:rsidR="0099075C" w:rsidRPr="003B5469" w:rsidRDefault="0099075C" w:rsidP="0099075C">
            <w:pPr>
              <w:spacing w:after="0" w:line="240" w:lineRule="auto"/>
              <w:jc w:val="left"/>
              <w:rPr>
                <w:rFonts w:ascii="Arial" w:hAnsi="Arial" w:cs="Arial"/>
                <w:sz w:val="16"/>
                <w:szCs w:val="16"/>
              </w:rPr>
            </w:pPr>
            <w:r w:rsidRPr="003B5469">
              <w:rPr>
                <w:rFonts w:ascii="Arial" w:hAnsi="Arial" w:cs="Arial"/>
                <w:sz w:val="16"/>
                <w:szCs w:val="16"/>
              </w:rPr>
              <w:t>Per cent of GDP</w:t>
            </w:r>
          </w:p>
        </w:tc>
        <w:tc>
          <w:tcPr>
            <w:tcW w:w="675" w:type="pct"/>
            <w:tcBorders>
              <w:top w:val="nil"/>
              <w:left w:val="nil"/>
              <w:bottom w:val="nil"/>
              <w:right w:val="nil"/>
            </w:tcBorders>
            <w:shd w:val="clear" w:color="000000" w:fill="FFFFFF"/>
            <w:noWrap/>
            <w:vAlign w:val="center"/>
            <w:hideMark/>
          </w:tcPr>
          <w:p w14:paraId="118F11F7" w14:textId="7215C348" w:rsidR="0099075C" w:rsidRPr="003B5469" w:rsidRDefault="00A36B1E" w:rsidP="0099075C">
            <w:pPr>
              <w:spacing w:after="0" w:line="240" w:lineRule="auto"/>
              <w:jc w:val="right"/>
              <w:rPr>
                <w:rFonts w:ascii="Arial" w:hAnsi="Arial" w:cs="Arial"/>
                <w:sz w:val="16"/>
                <w:szCs w:val="16"/>
              </w:rPr>
            </w:pPr>
            <w:r w:rsidRPr="003B5469">
              <w:rPr>
                <w:rFonts w:ascii="Arial" w:hAnsi="Arial" w:cs="Arial"/>
                <w:sz w:val="16"/>
                <w:szCs w:val="16"/>
              </w:rPr>
              <w:noBreakHyphen/>
            </w:r>
            <w:r w:rsidR="0099075C" w:rsidRPr="003B5469">
              <w:rPr>
                <w:rFonts w:ascii="Arial" w:hAnsi="Arial" w:cs="Arial"/>
                <w:sz w:val="16"/>
                <w:szCs w:val="16"/>
              </w:rPr>
              <w:t>4.9</w:t>
            </w:r>
          </w:p>
        </w:tc>
        <w:tc>
          <w:tcPr>
            <w:tcW w:w="675" w:type="pct"/>
            <w:tcBorders>
              <w:top w:val="nil"/>
              <w:left w:val="nil"/>
              <w:bottom w:val="nil"/>
              <w:right w:val="nil"/>
            </w:tcBorders>
            <w:shd w:val="clear" w:color="000000" w:fill="FFFFFF"/>
            <w:noWrap/>
            <w:vAlign w:val="center"/>
            <w:hideMark/>
          </w:tcPr>
          <w:p w14:paraId="38B0F391" w14:textId="1B551D58" w:rsidR="0099075C" w:rsidRPr="003B5469" w:rsidRDefault="00A36B1E" w:rsidP="0099075C">
            <w:pPr>
              <w:spacing w:after="0" w:line="240" w:lineRule="auto"/>
              <w:jc w:val="right"/>
              <w:rPr>
                <w:rFonts w:ascii="Arial" w:hAnsi="Arial" w:cs="Arial"/>
                <w:sz w:val="16"/>
                <w:szCs w:val="16"/>
              </w:rPr>
            </w:pPr>
            <w:r w:rsidRPr="003B5469">
              <w:rPr>
                <w:rFonts w:ascii="Arial" w:hAnsi="Arial" w:cs="Arial"/>
                <w:sz w:val="16"/>
                <w:szCs w:val="16"/>
              </w:rPr>
              <w:noBreakHyphen/>
            </w:r>
            <w:r w:rsidR="0099075C" w:rsidRPr="003B5469">
              <w:rPr>
                <w:rFonts w:ascii="Arial" w:hAnsi="Arial" w:cs="Arial"/>
                <w:sz w:val="16"/>
                <w:szCs w:val="16"/>
              </w:rPr>
              <w:t>7.9</w:t>
            </w:r>
          </w:p>
        </w:tc>
        <w:tc>
          <w:tcPr>
            <w:tcW w:w="675" w:type="pct"/>
            <w:tcBorders>
              <w:top w:val="nil"/>
              <w:left w:val="nil"/>
              <w:bottom w:val="nil"/>
              <w:right w:val="nil"/>
            </w:tcBorders>
            <w:shd w:val="clear" w:color="000000" w:fill="EBFFFF"/>
            <w:noWrap/>
            <w:vAlign w:val="center"/>
            <w:hideMark/>
          </w:tcPr>
          <w:p w14:paraId="777CDC69" w14:textId="3D23242D" w:rsidR="0099075C" w:rsidRPr="003B5469" w:rsidRDefault="00A36B1E" w:rsidP="0099075C">
            <w:pPr>
              <w:spacing w:after="0" w:line="240" w:lineRule="auto"/>
              <w:jc w:val="right"/>
              <w:rPr>
                <w:rFonts w:ascii="Arial" w:hAnsi="Arial" w:cs="Arial"/>
                <w:sz w:val="16"/>
                <w:szCs w:val="16"/>
              </w:rPr>
            </w:pPr>
            <w:r w:rsidRPr="003B5469">
              <w:rPr>
                <w:rFonts w:ascii="Arial" w:hAnsi="Arial" w:cs="Arial"/>
                <w:sz w:val="16"/>
                <w:szCs w:val="16"/>
              </w:rPr>
              <w:noBreakHyphen/>
            </w:r>
            <w:r w:rsidR="0099075C" w:rsidRPr="003B5469">
              <w:rPr>
                <w:rFonts w:ascii="Arial" w:hAnsi="Arial" w:cs="Arial"/>
                <w:sz w:val="16"/>
                <w:szCs w:val="16"/>
              </w:rPr>
              <w:t>6.6</w:t>
            </w:r>
          </w:p>
        </w:tc>
        <w:tc>
          <w:tcPr>
            <w:tcW w:w="675" w:type="pct"/>
            <w:tcBorders>
              <w:top w:val="nil"/>
              <w:left w:val="nil"/>
              <w:bottom w:val="nil"/>
              <w:right w:val="nil"/>
            </w:tcBorders>
            <w:shd w:val="clear" w:color="000000" w:fill="FFFFFF"/>
            <w:noWrap/>
            <w:vAlign w:val="center"/>
            <w:hideMark/>
          </w:tcPr>
          <w:p w14:paraId="0C20A714"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r>
      <w:tr w:rsidR="0099075C" w:rsidRPr="00513ED7" w14:paraId="577CC886" w14:textId="77777777" w:rsidTr="0099075C">
        <w:trPr>
          <w:trHeight w:hRule="exact" w:val="60"/>
        </w:trPr>
        <w:tc>
          <w:tcPr>
            <w:tcW w:w="2301" w:type="pct"/>
            <w:tcBorders>
              <w:top w:val="nil"/>
              <w:left w:val="nil"/>
              <w:bottom w:val="nil"/>
              <w:right w:val="nil"/>
            </w:tcBorders>
            <w:shd w:val="clear" w:color="000000" w:fill="FFFFFF"/>
            <w:noWrap/>
            <w:vAlign w:val="center"/>
            <w:hideMark/>
          </w:tcPr>
          <w:p w14:paraId="7C822759" w14:textId="77777777" w:rsidR="0099075C" w:rsidRPr="003B5469" w:rsidRDefault="0099075C" w:rsidP="0099075C">
            <w:pPr>
              <w:spacing w:after="0" w:line="240" w:lineRule="auto"/>
              <w:jc w:val="lef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282C8DAD"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5043E191"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EBFFFF"/>
            <w:noWrap/>
            <w:vAlign w:val="center"/>
            <w:hideMark/>
          </w:tcPr>
          <w:p w14:paraId="57314899"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c>
          <w:tcPr>
            <w:tcW w:w="675" w:type="pct"/>
            <w:tcBorders>
              <w:top w:val="nil"/>
              <w:left w:val="nil"/>
              <w:bottom w:val="nil"/>
              <w:right w:val="nil"/>
            </w:tcBorders>
            <w:shd w:val="clear" w:color="000000" w:fill="FFFFFF"/>
            <w:noWrap/>
            <w:vAlign w:val="center"/>
            <w:hideMark/>
          </w:tcPr>
          <w:p w14:paraId="18BAF604" w14:textId="77777777" w:rsidR="0099075C" w:rsidRPr="003B5469" w:rsidRDefault="0099075C" w:rsidP="0099075C">
            <w:pPr>
              <w:spacing w:after="0" w:line="240" w:lineRule="auto"/>
              <w:jc w:val="right"/>
              <w:rPr>
                <w:rFonts w:ascii="Arial" w:hAnsi="Arial" w:cs="Arial"/>
                <w:sz w:val="16"/>
                <w:szCs w:val="16"/>
              </w:rPr>
            </w:pPr>
            <w:r w:rsidRPr="003B5469">
              <w:rPr>
                <w:rFonts w:ascii="Arial" w:hAnsi="Arial" w:cs="Arial"/>
                <w:sz w:val="16"/>
                <w:szCs w:val="16"/>
              </w:rPr>
              <w:t> </w:t>
            </w:r>
          </w:p>
        </w:tc>
      </w:tr>
      <w:tr w:rsidR="0099075C" w:rsidRPr="00513ED7" w14:paraId="608B967F" w14:textId="77777777" w:rsidTr="0099075C">
        <w:trPr>
          <w:trHeight w:hRule="exact" w:val="225"/>
        </w:trPr>
        <w:tc>
          <w:tcPr>
            <w:tcW w:w="2301" w:type="pct"/>
            <w:tcBorders>
              <w:top w:val="single" w:sz="4" w:space="0" w:color="000000"/>
              <w:left w:val="nil"/>
              <w:bottom w:val="nil"/>
              <w:right w:val="nil"/>
            </w:tcBorders>
            <w:shd w:val="clear" w:color="000000" w:fill="FFFFFF"/>
            <w:noWrap/>
            <w:vAlign w:val="center"/>
            <w:hideMark/>
          </w:tcPr>
          <w:p w14:paraId="6925AB0C" w14:textId="77777777" w:rsidR="0099075C" w:rsidRPr="003B5469" w:rsidRDefault="0099075C" w:rsidP="0099075C">
            <w:pPr>
              <w:spacing w:after="0" w:line="240" w:lineRule="auto"/>
              <w:jc w:val="left"/>
              <w:rPr>
                <w:rFonts w:ascii="Arial" w:hAnsi="Arial" w:cs="Arial"/>
                <w:i/>
                <w:color w:val="000000"/>
                <w:sz w:val="16"/>
                <w:szCs w:val="16"/>
              </w:rPr>
            </w:pPr>
            <w:r w:rsidRPr="003B5469">
              <w:rPr>
                <w:rFonts w:ascii="Arial" w:hAnsi="Arial" w:cs="Arial"/>
                <w:i/>
                <w:color w:val="000000"/>
                <w:sz w:val="16"/>
                <w:szCs w:val="16"/>
              </w:rPr>
              <w:t>Memorandum item:</w:t>
            </w:r>
          </w:p>
        </w:tc>
        <w:tc>
          <w:tcPr>
            <w:tcW w:w="675" w:type="pct"/>
            <w:tcBorders>
              <w:top w:val="single" w:sz="4" w:space="0" w:color="000000"/>
              <w:left w:val="nil"/>
              <w:bottom w:val="nil"/>
              <w:right w:val="nil"/>
            </w:tcBorders>
            <w:shd w:val="clear" w:color="000000" w:fill="FFFFFF"/>
            <w:noWrap/>
            <w:vAlign w:val="center"/>
            <w:hideMark/>
          </w:tcPr>
          <w:p w14:paraId="651FDA8D" w14:textId="77777777" w:rsidR="0099075C" w:rsidRPr="003B5469" w:rsidRDefault="0099075C" w:rsidP="0099075C">
            <w:pPr>
              <w:spacing w:after="0" w:line="240" w:lineRule="auto"/>
              <w:jc w:val="right"/>
              <w:rPr>
                <w:rFonts w:ascii="Arial" w:hAnsi="Arial" w:cs="Arial"/>
                <w:color w:val="33CCCC"/>
                <w:sz w:val="16"/>
                <w:szCs w:val="16"/>
              </w:rPr>
            </w:pPr>
            <w:r w:rsidRPr="003B5469">
              <w:rPr>
                <w:rFonts w:ascii="Arial" w:hAnsi="Arial" w:cs="Arial"/>
                <w:color w:val="33CCCC"/>
                <w:sz w:val="16"/>
                <w:szCs w:val="16"/>
              </w:rPr>
              <w:t> </w:t>
            </w:r>
          </w:p>
        </w:tc>
        <w:tc>
          <w:tcPr>
            <w:tcW w:w="675" w:type="pct"/>
            <w:tcBorders>
              <w:top w:val="single" w:sz="4" w:space="0" w:color="000000"/>
              <w:left w:val="nil"/>
              <w:bottom w:val="nil"/>
              <w:right w:val="nil"/>
            </w:tcBorders>
            <w:shd w:val="clear" w:color="000000" w:fill="FFFFFF"/>
            <w:noWrap/>
            <w:vAlign w:val="center"/>
            <w:hideMark/>
          </w:tcPr>
          <w:p w14:paraId="12104258" w14:textId="77777777" w:rsidR="0099075C" w:rsidRPr="003B5469" w:rsidRDefault="0099075C" w:rsidP="0099075C">
            <w:pPr>
              <w:spacing w:after="0" w:line="240" w:lineRule="auto"/>
              <w:jc w:val="right"/>
              <w:rPr>
                <w:rFonts w:ascii="Arial" w:hAnsi="Arial" w:cs="Arial"/>
                <w:color w:val="33CCCC"/>
                <w:sz w:val="16"/>
                <w:szCs w:val="16"/>
              </w:rPr>
            </w:pPr>
            <w:r w:rsidRPr="003B5469">
              <w:rPr>
                <w:rFonts w:ascii="Arial" w:hAnsi="Arial" w:cs="Arial"/>
                <w:color w:val="33CCCC"/>
                <w:sz w:val="16"/>
                <w:szCs w:val="16"/>
              </w:rPr>
              <w:t> </w:t>
            </w:r>
          </w:p>
        </w:tc>
        <w:tc>
          <w:tcPr>
            <w:tcW w:w="675" w:type="pct"/>
            <w:tcBorders>
              <w:top w:val="single" w:sz="4" w:space="0" w:color="000000"/>
              <w:left w:val="nil"/>
              <w:bottom w:val="nil"/>
              <w:right w:val="nil"/>
            </w:tcBorders>
            <w:shd w:val="clear" w:color="000000" w:fill="EBFFFF"/>
            <w:noWrap/>
            <w:vAlign w:val="center"/>
            <w:hideMark/>
          </w:tcPr>
          <w:p w14:paraId="14CDEBC2" w14:textId="77777777" w:rsidR="0099075C" w:rsidRPr="003B5469" w:rsidRDefault="0099075C" w:rsidP="0099075C">
            <w:pPr>
              <w:spacing w:after="0" w:line="240" w:lineRule="auto"/>
              <w:jc w:val="right"/>
              <w:rPr>
                <w:rFonts w:ascii="Arial" w:hAnsi="Arial" w:cs="Arial"/>
                <w:color w:val="33CCCC"/>
                <w:sz w:val="16"/>
                <w:szCs w:val="16"/>
              </w:rPr>
            </w:pPr>
            <w:r w:rsidRPr="003B5469">
              <w:rPr>
                <w:rFonts w:ascii="Arial" w:hAnsi="Arial" w:cs="Arial"/>
                <w:color w:val="33CCCC"/>
                <w:sz w:val="16"/>
                <w:szCs w:val="16"/>
              </w:rPr>
              <w:t> </w:t>
            </w:r>
          </w:p>
        </w:tc>
        <w:tc>
          <w:tcPr>
            <w:tcW w:w="675" w:type="pct"/>
            <w:tcBorders>
              <w:top w:val="single" w:sz="4" w:space="0" w:color="000000"/>
              <w:left w:val="nil"/>
              <w:bottom w:val="nil"/>
              <w:right w:val="nil"/>
            </w:tcBorders>
            <w:shd w:val="clear" w:color="000000" w:fill="FFFFFF"/>
            <w:noWrap/>
            <w:vAlign w:val="center"/>
            <w:hideMark/>
          </w:tcPr>
          <w:p w14:paraId="3ADA3763" w14:textId="77777777" w:rsidR="0099075C" w:rsidRPr="003B5469" w:rsidRDefault="0099075C" w:rsidP="0099075C">
            <w:pPr>
              <w:spacing w:after="0" w:line="240" w:lineRule="auto"/>
              <w:jc w:val="right"/>
              <w:rPr>
                <w:rFonts w:ascii="Arial" w:hAnsi="Arial" w:cs="Arial"/>
                <w:color w:val="33CCCC"/>
                <w:sz w:val="16"/>
                <w:szCs w:val="16"/>
              </w:rPr>
            </w:pPr>
            <w:r w:rsidRPr="003B5469">
              <w:rPr>
                <w:rFonts w:ascii="Arial" w:hAnsi="Arial" w:cs="Arial"/>
                <w:color w:val="33CCCC"/>
                <w:sz w:val="16"/>
                <w:szCs w:val="16"/>
              </w:rPr>
              <w:t> </w:t>
            </w:r>
          </w:p>
        </w:tc>
      </w:tr>
      <w:tr w:rsidR="0099075C" w:rsidRPr="00513ED7" w14:paraId="1C931666" w14:textId="77777777" w:rsidTr="0099075C">
        <w:trPr>
          <w:trHeight w:hRule="exact" w:val="225"/>
        </w:trPr>
        <w:tc>
          <w:tcPr>
            <w:tcW w:w="2301" w:type="pct"/>
            <w:tcBorders>
              <w:top w:val="nil"/>
              <w:left w:val="nil"/>
              <w:bottom w:val="nil"/>
              <w:right w:val="nil"/>
            </w:tcBorders>
            <w:shd w:val="clear" w:color="000000" w:fill="FFFFFF"/>
            <w:noWrap/>
            <w:vAlign w:val="center"/>
            <w:hideMark/>
          </w:tcPr>
          <w:p w14:paraId="6619758E" w14:textId="77777777" w:rsidR="0099075C" w:rsidRPr="003B5469" w:rsidRDefault="0099075C" w:rsidP="0099075C">
            <w:pPr>
              <w:spacing w:after="0" w:line="240" w:lineRule="auto"/>
              <w:jc w:val="left"/>
              <w:rPr>
                <w:rFonts w:ascii="Arial" w:hAnsi="Arial" w:cs="Arial"/>
                <w:color w:val="000000"/>
                <w:sz w:val="16"/>
                <w:szCs w:val="16"/>
              </w:rPr>
            </w:pPr>
            <w:r w:rsidRPr="003B5469">
              <w:rPr>
                <w:rFonts w:ascii="Arial" w:hAnsi="Arial" w:cs="Arial"/>
                <w:color w:val="000000"/>
                <w:sz w:val="16"/>
                <w:szCs w:val="16"/>
              </w:rPr>
              <w:t>Net Future Fund earnings(b)</w:t>
            </w:r>
          </w:p>
        </w:tc>
        <w:tc>
          <w:tcPr>
            <w:tcW w:w="675" w:type="pct"/>
            <w:tcBorders>
              <w:top w:val="nil"/>
              <w:left w:val="nil"/>
              <w:bottom w:val="nil"/>
              <w:right w:val="nil"/>
            </w:tcBorders>
            <w:shd w:val="clear" w:color="000000" w:fill="FFFFFF"/>
            <w:noWrap/>
            <w:vAlign w:val="center"/>
            <w:hideMark/>
          </w:tcPr>
          <w:p w14:paraId="79BFA63E"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5.0</w:t>
            </w:r>
          </w:p>
        </w:tc>
        <w:tc>
          <w:tcPr>
            <w:tcW w:w="675" w:type="pct"/>
            <w:tcBorders>
              <w:top w:val="nil"/>
              <w:left w:val="nil"/>
              <w:bottom w:val="nil"/>
              <w:right w:val="nil"/>
            </w:tcBorders>
            <w:shd w:val="clear" w:color="000000" w:fill="FFFFFF"/>
            <w:noWrap/>
            <w:vAlign w:val="center"/>
            <w:hideMark/>
          </w:tcPr>
          <w:p w14:paraId="48599AAC"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5.5</w:t>
            </w:r>
          </w:p>
        </w:tc>
        <w:tc>
          <w:tcPr>
            <w:tcW w:w="675" w:type="pct"/>
            <w:tcBorders>
              <w:top w:val="nil"/>
              <w:left w:val="nil"/>
              <w:bottom w:val="nil"/>
              <w:right w:val="nil"/>
            </w:tcBorders>
            <w:shd w:val="clear" w:color="000000" w:fill="EBFFFF"/>
            <w:noWrap/>
            <w:vAlign w:val="center"/>
            <w:hideMark/>
          </w:tcPr>
          <w:p w14:paraId="308FA5F5"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6.6</w:t>
            </w:r>
          </w:p>
        </w:tc>
        <w:tc>
          <w:tcPr>
            <w:tcW w:w="675" w:type="pct"/>
            <w:tcBorders>
              <w:top w:val="nil"/>
              <w:left w:val="nil"/>
              <w:bottom w:val="nil"/>
              <w:right w:val="nil"/>
            </w:tcBorders>
            <w:shd w:val="clear" w:color="000000" w:fill="FFFFFF"/>
            <w:noWrap/>
            <w:vAlign w:val="center"/>
            <w:hideMark/>
          </w:tcPr>
          <w:p w14:paraId="11DE69F2"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1.1</w:t>
            </w:r>
          </w:p>
        </w:tc>
      </w:tr>
      <w:tr w:rsidR="0099075C" w:rsidRPr="00513ED7" w14:paraId="76BA01A7" w14:textId="77777777" w:rsidTr="0099075C">
        <w:trPr>
          <w:trHeight w:hRule="exact" w:val="225"/>
        </w:trPr>
        <w:tc>
          <w:tcPr>
            <w:tcW w:w="2301" w:type="pct"/>
            <w:tcBorders>
              <w:top w:val="nil"/>
              <w:left w:val="nil"/>
              <w:bottom w:val="single" w:sz="4" w:space="0" w:color="000000"/>
              <w:right w:val="nil"/>
            </w:tcBorders>
            <w:shd w:val="clear" w:color="000000" w:fill="FFFFFF"/>
            <w:noWrap/>
            <w:vAlign w:val="center"/>
            <w:hideMark/>
          </w:tcPr>
          <w:p w14:paraId="51CF0458" w14:textId="77777777" w:rsidR="0099075C" w:rsidRPr="003B5469" w:rsidRDefault="0099075C" w:rsidP="0099075C">
            <w:pPr>
              <w:spacing w:after="0" w:line="240" w:lineRule="auto"/>
              <w:jc w:val="left"/>
              <w:rPr>
                <w:rFonts w:ascii="Arial" w:hAnsi="Arial" w:cs="Arial"/>
                <w:color w:val="000000"/>
                <w:sz w:val="16"/>
                <w:szCs w:val="16"/>
              </w:rPr>
            </w:pPr>
            <w:r w:rsidRPr="003B5469">
              <w:rPr>
                <w:rFonts w:ascii="Arial" w:hAnsi="Arial" w:cs="Arial"/>
                <w:color w:val="000000"/>
                <w:sz w:val="16"/>
                <w:szCs w:val="16"/>
              </w:rPr>
              <w:t xml:space="preserve">Headline cash balance </w:t>
            </w:r>
          </w:p>
        </w:tc>
        <w:tc>
          <w:tcPr>
            <w:tcW w:w="675" w:type="pct"/>
            <w:tcBorders>
              <w:top w:val="nil"/>
              <w:left w:val="nil"/>
              <w:bottom w:val="single" w:sz="4" w:space="0" w:color="000000"/>
              <w:right w:val="nil"/>
            </w:tcBorders>
            <w:shd w:val="clear" w:color="000000" w:fill="FFFFFF"/>
            <w:noWrap/>
            <w:vAlign w:val="center"/>
            <w:hideMark/>
          </w:tcPr>
          <w:p w14:paraId="0DE69424" w14:textId="29BC4A4A" w:rsidR="0099075C" w:rsidRPr="003B5469" w:rsidRDefault="00A36B1E"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99075C" w:rsidRPr="003B5469">
              <w:rPr>
                <w:rFonts w:ascii="Arial" w:hAnsi="Arial" w:cs="Arial"/>
                <w:color w:val="000000"/>
                <w:sz w:val="16"/>
                <w:szCs w:val="16"/>
              </w:rPr>
              <w:t>93.9</w:t>
            </w:r>
          </w:p>
        </w:tc>
        <w:tc>
          <w:tcPr>
            <w:tcW w:w="675" w:type="pct"/>
            <w:tcBorders>
              <w:top w:val="nil"/>
              <w:left w:val="nil"/>
              <w:bottom w:val="single" w:sz="4" w:space="0" w:color="000000"/>
              <w:right w:val="nil"/>
            </w:tcBorders>
            <w:shd w:val="clear" w:color="000000" w:fill="FFFFFF"/>
            <w:noWrap/>
            <w:vAlign w:val="center"/>
            <w:hideMark/>
          </w:tcPr>
          <w:p w14:paraId="61CDD955" w14:textId="7C2F892E" w:rsidR="0099075C" w:rsidRPr="003B5469" w:rsidRDefault="00A36B1E"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99075C" w:rsidRPr="003B5469">
              <w:rPr>
                <w:rFonts w:ascii="Arial" w:hAnsi="Arial" w:cs="Arial"/>
                <w:color w:val="000000"/>
                <w:sz w:val="16"/>
                <w:szCs w:val="16"/>
              </w:rPr>
              <w:t>168.2</w:t>
            </w:r>
          </w:p>
        </w:tc>
        <w:tc>
          <w:tcPr>
            <w:tcW w:w="675" w:type="pct"/>
            <w:tcBorders>
              <w:top w:val="nil"/>
              <w:left w:val="nil"/>
              <w:bottom w:val="single" w:sz="4" w:space="0" w:color="000000"/>
              <w:right w:val="nil"/>
            </w:tcBorders>
            <w:shd w:val="clear" w:color="000000" w:fill="EBFFFF"/>
            <w:noWrap/>
            <w:vAlign w:val="center"/>
            <w:hideMark/>
          </w:tcPr>
          <w:p w14:paraId="31176AD2" w14:textId="34E1B161" w:rsidR="0099075C" w:rsidRPr="003B5469" w:rsidRDefault="00A36B1E" w:rsidP="0099075C">
            <w:pPr>
              <w:spacing w:after="0" w:line="240" w:lineRule="auto"/>
              <w:jc w:val="right"/>
              <w:rPr>
                <w:rFonts w:ascii="Arial" w:hAnsi="Arial" w:cs="Arial"/>
                <w:color w:val="000000"/>
                <w:sz w:val="16"/>
                <w:szCs w:val="16"/>
              </w:rPr>
            </w:pPr>
            <w:bookmarkStart w:id="2" w:name="_GoBack"/>
            <w:bookmarkEnd w:id="2"/>
            <w:r w:rsidRPr="003B5469">
              <w:rPr>
                <w:rFonts w:ascii="Arial" w:hAnsi="Arial" w:cs="Arial"/>
                <w:color w:val="000000"/>
                <w:sz w:val="16"/>
                <w:szCs w:val="16"/>
              </w:rPr>
              <w:noBreakHyphen/>
            </w:r>
            <w:r w:rsidR="0099075C" w:rsidRPr="003B5469">
              <w:rPr>
                <w:rFonts w:ascii="Arial" w:hAnsi="Arial" w:cs="Arial"/>
                <w:color w:val="000000"/>
                <w:sz w:val="16"/>
                <w:szCs w:val="16"/>
              </w:rPr>
              <w:t>137.5</w:t>
            </w:r>
          </w:p>
        </w:tc>
        <w:tc>
          <w:tcPr>
            <w:tcW w:w="675" w:type="pct"/>
            <w:tcBorders>
              <w:top w:val="nil"/>
              <w:left w:val="nil"/>
              <w:bottom w:val="single" w:sz="4" w:space="0" w:color="000000"/>
              <w:right w:val="nil"/>
            </w:tcBorders>
            <w:shd w:val="clear" w:color="000000" w:fill="FFFFFF"/>
            <w:noWrap/>
            <w:vAlign w:val="center"/>
            <w:hideMark/>
          </w:tcPr>
          <w:p w14:paraId="6A69C511" w14:textId="77777777" w:rsidR="0099075C" w:rsidRPr="003B5469" w:rsidRDefault="0099075C" w:rsidP="0099075C">
            <w:pPr>
              <w:spacing w:after="0" w:line="240" w:lineRule="auto"/>
              <w:jc w:val="right"/>
              <w:rPr>
                <w:rFonts w:ascii="Arial" w:hAnsi="Arial" w:cs="Arial"/>
                <w:color w:val="000000"/>
                <w:sz w:val="16"/>
                <w:szCs w:val="16"/>
              </w:rPr>
            </w:pPr>
            <w:r w:rsidRPr="003B5469">
              <w:rPr>
                <w:rFonts w:ascii="Arial" w:hAnsi="Arial" w:cs="Arial"/>
                <w:color w:val="000000"/>
                <w:sz w:val="16"/>
                <w:szCs w:val="16"/>
              </w:rPr>
              <w:t>30.7</w:t>
            </w:r>
          </w:p>
        </w:tc>
      </w:tr>
    </w:tbl>
    <w:p w14:paraId="61EA3286" w14:textId="38D7DDF7" w:rsidR="00FC35EE" w:rsidRPr="003B5469" w:rsidRDefault="006C0DEE" w:rsidP="00761C23">
      <w:pPr>
        <w:pStyle w:val="ChartandTableFootnoteAlpha"/>
        <w:numPr>
          <w:ilvl w:val="0"/>
          <w:numId w:val="8"/>
        </w:numPr>
        <w:tabs>
          <w:tab w:val="clear" w:pos="852"/>
          <w:tab w:val="num" w:pos="0"/>
        </w:tabs>
        <w:ind w:left="284"/>
      </w:pPr>
      <w:r w:rsidRPr="003B5469">
        <w:t>Equivalent to cash payments for operating activities, purchases of non</w:t>
      </w:r>
      <w:r w:rsidR="00A36B1E" w:rsidRPr="003B5469">
        <w:noBreakHyphen/>
      </w:r>
      <w:r w:rsidRPr="003B5469">
        <w:t>financial assets and net cash flows from financing activities for leases.</w:t>
      </w:r>
    </w:p>
    <w:p w14:paraId="4A392B5F" w14:textId="55EDD0D1" w:rsidR="00FC35EE" w:rsidRPr="003B5469" w:rsidRDefault="006C0DEE" w:rsidP="00A963BC">
      <w:pPr>
        <w:pStyle w:val="ChartandTableFootnoteAlpha"/>
        <w:tabs>
          <w:tab w:val="clear" w:pos="852"/>
          <w:tab w:val="num" w:pos="284"/>
        </w:tabs>
        <w:ind w:left="284"/>
      </w:pPr>
      <w:r w:rsidRPr="003B5469">
        <w:t>Under the Future Fund Act 2006, net Future Fund earnings will be available to meet the Australian</w:t>
      </w:r>
      <w:r w:rsidR="000C026A" w:rsidRPr="003B5469">
        <w:t> </w:t>
      </w:r>
      <w:r w:rsidRPr="003B5469">
        <w:t>Government</w:t>
      </w:r>
      <w:r w:rsidR="00A36B1E" w:rsidRPr="003B5469">
        <w:t>’</w:t>
      </w:r>
      <w:r w:rsidRPr="003B5469">
        <w:t>s superannuation liability from 2020</w:t>
      </w:r>
      <w:r w:rsidR="00A36B1E" w:rsidRPr="003B5469">
        <w:noBreakHyphen/>
      </w:r>
      <w:r w:rsidRPr="003B5469">
        <w:t>21. From this time, the underlying cash balance includes expected net Future Fund earnings.</w:t>
      </w:r>
    </w:p>
    <w:p w14:paraId="75F69B7D" w14:textId="7E1BAA5D" w:rsidR="00C204D0" w:rsidRPr="003B5469" w:rsidRDefault="00C204D0" w:rsidP="00A963BC">
      <w:pPr>
        <w:pStyle w:val="ChartandTableFootnoteAlpha"/>
        <w:tabs>
          <w:tab w:val="clear" w:pos="852"/>
          <w:tab w:val="num" w:pos="284"/>
        </w:tabs>
        <w:ind w:left="284"/>
      </w:pPr>
      <w:r w:rsidRPr="003B5469">
        <w:t>Excludes net Future Fund earnings</w:t>
      </w:r>
      <w:r w:rsidR="006C0DEE" w:rsidRPr="003B5469">
        <w:t xml:space="preserve"> before 2020</w:t>
      </w:r>
      <w:r w:rsidR="00A36B1E" w:rsidRPr="003B5469">
        <w:noBreakHyphen/>
      </w:r>
      <w:r w:rsidR="006C0DEE" w:rsidRPr="003B5469">
        <w:t>21</w:t>
      </w:r>
      <w:r w:rsidRPr="003B5469">
        <w:t>.</w:t>
      </w:r>
    </w:p>
    <w:p w14:paraId="1C7ED575" w14:textId="77777777" w:rsidR="00651CFD" w:rsidRPr="003B5469" w:rsidRDefault="00651CFD" w:rsidP="007218FF">
      <w:pPr>
        <w:spacing w:after="160" w:line="259" w:lineRule="auto"/>
        <w:ind w:hanging="852"/>
        <w:jc w:val="left"/>
        <w:rPr>
          <w:rFonts w:ascii="Arial Bold" w:hAnsi="Arial Bold"/>
          <w:b/>
          <w:sz w:val="26"/>
        </w:rPr>
      </w:pPr>
      <w:r w:rsidRPr="003B5469">
        <w:br w:type="page"/>
      </w:r>
    </w:p>
    <w:p w14:paraId="10B81242" w14:textId="3CC70286" w:rsidR="00C204D0" w:rsidRPr="003B5469" w:rsidRDefault="00C204D0" w:rsidP="00EC3B4E">
      <w:pPr>
        <w:pStyle w:val="Heading2"/>
      </w:pPr>
      <w:r w:rsidRPr="003B5469">
        <w:lastRenderedPageBreak/>
        <w:t>Underlying cash balance</w:t>
      </w:r>
    </w:p>
    <w:p w14:paraId="22CADD0B" w14:textId="7C4E4422" w:rsidR="000340FB" w:rsidRPr="00513ED7" w:rsidRDefault="00C204D0" w:rsidP="005940CD">
      <w:r w:rsidRPr="003B5469">
        <w:t xml:space="preserve">In </w:t>
      </w:r>
      <w:r w:rsidR="56166B5A" w:rsidRPr="003B5469">
        <w:t>2020</w:t>
      </w:r>
      <w:r w:rsidR="00A36B1E" w:rsidRPr="003B5469">
        <w:noBreakHyphen/>
      </w:r>
      <w:r w:rsidR="56166B5A" w:rsidRPr="003B5469">
        <w:t>21</w:t>
      </w:r>
      <w:r w:rsidRPr="003B5469">
        <w:t xml:space="preserve">, the underlying cash deficit was </w:t>
      </w:r>
      <w:r w:rsidR="6AB14E2F" w:rsidRPr="003B5469">
        <w:t>$134.</w:t>
      </w:r>
      <w:r w:rsidR="00EC624A" w:rsidRPr="003B5469">
        <w:t>2</w:t>
      </w:r>
      <w:r w:rsidR="6AB14E2F" w:rsidRPr="003B5469">
        <w:t xml:space="preserve"> </w:t>
      </w:r>
      <w:r w:rsidRPr="003B5469">
        <w:t>billion, an improvement of $</w:t>
      </w:r>
      <w:r w:rsidR="7CF86B56" w:rsidRPr="003B5469">
        <w:t>26.</w:t>
      </w:r>
      <w:r w:rsidR="002D170F" w:rsidRPr="003B5469">
        <w:t>8</w:t>
      </w:r>
      <w:r w:rsidR="008323FA" w:rsidRPr="003B5469">
        <w:t> </w:t>
      </w:r>
      <w:r w:rsidRPr="003B5469">
        <w:t xml:space="preserve">billion since the </w:t>
      </w:r>
      <w:r w:rsidR="56166B5A" w:rsidRPr="003B5469">
        <w:t>2021</w:t>
      </w:r>
      <w:r w:rsidR="00A36B1E" w:rsidRPr="003B5469">
        <w:noBreakHyphen/>
      </w:r>
      <w:r w:rsidR="56166B5A" w:rsidRPr="003B5469">
        <w:t>22 Budget</w:t>
      </w:r>
      <w:r w:rsidRPr="003B5469">
        <w:t xml:space="preserve">. This </w:t>
      </w:r>
      <w:r w:rsidR="2C49A214" w:rsidRPr="003B5469">
        <w:t>improvement</w:t>
      </w:r>
      <w:r w:rsidRPr="003B5469">
        <w:t xml:space="preserve"> was </w:t>
      </w:r>
      <w:r w:rsidR="4B5A1521" w:rsidRPr="003B5469">
        <w:t xml:space="preserve">the result of </w:t>
      </w:r>
      <w:r w:rsidR="12B0C97F" w:rsidRPr="003B5469">
        <w:t>higher to</w:t>
      </w:r>
      <w:r w:rsidR="49364C26" w:rsidRPr="003B5469">
        <w:t>tal receipts by $</w:t>
      </w:r>
      <w:r w:rsidR="002D170F" w:rsidRPr="003B5469">
        <w:t>20.1</w:t>
      </w:r>
      <w:r w:rsidR="49364C26" w:rsidRPr="003B5469">
        <w:t xml:space="preserve"> billion and </w:t>
      </w:r>
      <w:r w:rsidR="12B0C97F" w:rsidRPr="003B5469">
        <w:t xml:space="preserve">lower </w:t>
      </w:r>
      <w:r w:rsidRPr="003B5469">
        <w:t>total payments by $</w:t>
      </w:r>
      <w:r w:rsidR="002D170F" w:rsidRPr="003B5469">
        <w:t>6.7</w:t>
      </w:r>
      <w:r w:rsidRPr="003B5469">
        <w:t xml:space="preserve"> billion. </w:t>
      </w:r>
    </w:p>
    <w:p w14:paraId="7693488C" w14:textId="134FED46" w:rsidR="00D67673" w:rsidRPr="003B5469" w:rsidRDefault="00C204D0" w:rsidP="00D67673">
      <w:pPr>
        <w:pStyle w:val="TableHeading"/>
        <w:rPr>
          <w:rFonts w:asciiTheme="minorHAnsi" w:eastAsiaTheme="minorHAnsi" w:hAnsiTheme="minorHAnsi" w:cstheme="minorBidi"/>
          <w:sz w:val="22"/>
          <w:szCs w:val="22"/>
          <w:lang w:eastAsia="en-US"/>
        </w:rPr>
      </w:pPr>
      <w:r w:rsidRPr="003B5469">
        <w:t xml:space="preserve">Table </w:t>
      </w:r>
      <w:r w:rsidR="0001752C" w:rsidRPr="003B5469">
        <w:t>4</w:t>
      </w:r>
      <w:r w:rsidRPr="003B5469">
        <w:t>: Summary of Australian Government general government sector cash flows</w:t>
      </w:r>
      <w:bookmarkStart w:id="3" w:name="_1693631376"/>
      <w:bookmarkEnd w:id="3"/>
    </w:p>
    <w:tbl>
      <w:tblPr>
        <w:tblW w:w="5000" w:type="pct"/>
        <w:tblCellMar>
          <w:left w:w="0" w:type="dxa"/>
          <w:right w:w="28" w:type="dxa"/>
        </w:tblCellMar>
        <w:tblLook w:val="04A0" w:firstRow="1" w:lastRow="0" w:firstColumn="1" w:lastColumn="0" w:noHBand="0" w:noVBand="1"/>
      </w:tblPr>
      <w:tblGrid>
        <w:gridCol w:w="4727"/>
        <w:gridCol w:w="995"/>
        <w:gridCol w:w="995"/>
        <w:gridCol w:w="993"/>
      </w:tblGrid>
      <w:tr w:rsidR="00D67673" w:rsidRPr="00513ED7" w14:paraId="416C2C49" w14:textId="77777777" w:rsidTr="00D67673">
        <w:trPr>
          <w:trHeight w:hRule="exact" w:val="225"/>
        </w:trPr>
        <w:tc>
          <w:tcPr>
            <w:tcW w:w="3066" w:type="pct"/>
            <w:tcBorders>
              <w:top w:val="single" w:sz="4" w:space="0" w:color="000000"/>
              <w:left w:val="nil"/>
              <w:bottom w:val="nil"/>
              <w:right w:val="nil"/>
            </w:tcBorders>
            <w:shd w:val="clear" w:color="000000" w:fill="FFFFFF"/>
            <w:noWrap/>
            <w:vAlign w:val="center"/>
            <w:hideMark/>
          </w:tcPr>
          <w:p w14:paraId="1BBDBB83" w14:textId="7263B7E9" w:rsidR="00D67673" w:rsidRPr="003B5469" w:rsidRDefault="00D67673" w:rsidP="00D67673">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45" w:type="pct"/>
            <w:tcBorders>
              <w:top w:val="single" w:sz="4" w:space="0" w:color="000000"/>
              <w:left w:val="nil"/>
              <w:bottom w:val="nil"/>
              <w:right w:val="nil"/>
            </w:tcBorders>
            <w:shd w:val="clear" w:color="000000" w:fill="FFFFFF"/>
            <w:noWrap/>
            <w:vAlign w:val="center"/>
            <w:hideMark/>
          </w:tcPr>
          <w:p w14:paraId="58CF633C" w14:textId="1C0A908A" w:rsidR="00D67673" w:rsidRPr="003B5469" w:rsidRDefault="00D67673" w:rsidP="00D67673">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645" w:type="pct"/>
            <w:tcBorders>
              <w:top w:val="single" w:sz="4" w:space="0" w:color="000000"/>
              <w:left w:val="nil"/>
              <w:bottom w:val="nil"/>
              <w:right w:val="nil"/>
            </w:tcBorders>
            <w:shd w:val="clear" w:color="000000" w:fill="EBFFFF"/>
            <w:noWrap/>
            <w:vAlign w:val="center"/>
            <w:hideMark/>
          </w:tcPr>
          <w:p w14:paraId="271EDC0D" w14:textId="302AC6F5" w:rsidR="00D67673" w:rsidRPr="003B5469" w:rsidRDefault="00D67673" w:rsidP="00D67673">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645" w:type="pct"/>
            <w:tcBorders>
              <w:top w:val="single" w:sz="4" w:space="0" w:color="000000"/>
              <w:left w:val="nil"/>
              <w:bottom w:val="nil"/>
              <w:right w:val="nil"/>
            </w:tcBorders>
            <w:shd w:val="clear" w:color="000000" w:fill="FFFFFF"/>
            <w:noWrap/>
            <w:vAlign w:val="center"/>
            <w:hideMark/>
          </w:tcPr>
          <w:p w14:paraId="65EC9DBC" w14:textId="77777777" w:rsidR="00D67673" w:rsidRPr="003B5469" w:rsidRDefault="00D67673" w:rsidP="00D67673">
            <w:pPr>
              <w:spacing w:after="0" w:line="240" w:lineRule="auto"/>
              <w:jc w:val="right"/>
              <w:rPr>
                <w:rFonts w:ascii="Arial" w:hAnsi="Arial" w:cs="Arial"/>
                <w:sz w:val="16"/>
                <w:szCs w:val="16"/>
              </w:rPr>
            </w:pPr>
            <w:r w:rsidRPr="003B5469">
              <w:rPr>
                <w:rFonts w:ascii="Arial" w:hAnsi="Arial" w:cs="Arial"/>
                <w:sz w:val="16"/>
                <w:szCs w:val="16"/>
              </w:rPr>
              <w:t>Change on</w:t>
            </w:r>
          </w:p>
        </w:tc>
      </w:tr>
      <w:tr w:rsidR="00D67673" w:rsidRPr="00513ED7" w14:paraId="563E2ACB" w14:textId="77777777" w:rsidTr="00D67673">
        <w:trPr>
          <w:trHeight w:hRule="exact" w:val="225"/>
        </w:trPr>
        <w:tc>
          <w:tcPr>
            <w:tcW w:w="3066" w:type="pct"/>
            <w:tcBorders>
              <w:top w:val="nil"/>
              <w:left w:val="nil"/>
              <w:bottom w:val="nil"/>
              <w:right w:val="nil"/>
            </w:tcBorders>
            <w:shd w:val="clear" w:color="000000" w:fill="FFFFFF"/>
            <w:noWrap/>
            <w:vAlign w:val="center"/>
            <w:hideMark/>
          </w:tcPr>
          <w:p w14:paraId="6DEBB114" w14:textId="77777777" w:rsidR="00D67673" w:rsidRPr="003B5469" w:rsidRDefault="00D67673" w:rsidP="00D67673">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45" w:type="pct"/>
            <w:tcBorders>
              <w:top w:val="nil"/>
              <w:left w:val="nil"/>
              <w:bottom w:val="nil"/>
              <w:right w:val="nil"/>
            </w:tcBorders>
            <w:shd w:val="clear" w:color="000000" w:fill="FFFFFF"/>
            <w:noWrap/>
            <w:vAlign w:val="center"/>
            <w:hideMark/>
          </w:tcPr>
          <w:p w14:paraId="05F52DD3" w14:textId="77777777" w:rsidR="00D67673" w:rsidRPr="003B5469" w:rsidRDefault="00D67673" w:rsidP="00D67673">
            <w:pPr>
              <w:spacing w:after="0" w:line="240" w:lineRule="auto"/>
              <w:jc w:val="right"/>
              <w:rPr>
                <w:rFonts w:ascii="Arial" w:hAnsi="Arial" w:cs="Arial"/>
                <w:sz w:val="16"/>
                <w:szCs w:val="16"/>
              </w:rPr>
            </w:pPr>
            <w:r w:rsidRPr="003B5469">
              <w:rPr>
                <w:rFonts w:ascii="Arial" w:hAnsi="Arial" w:cs="Arial"/>
                <w:sz w:val="16"/>
                <w:szCs w:val="16"/>
              </w:rPr>
              <w:t>Estimate at</w:t>
            </w:r>
          </w:p>
        </w:tc>
        <w:tc>
          <w:tcPr>
            <w:tcW w:w="645" w:type="pct"/>
            <w:tcBorders>
              <w:top w:val="nil"/>
              <w:left w:val="nil"/>
              <w:bottom w:val="nil"/>
              <w:right w:val="nil"/>
            </w:tcBorders>
            <w:shd w:val="clear" w:color="000000" w:fill="EBFFFF"/>
            <w:noWrap/>
            <w:vAlign w:val="center"/>
            <w:hideMark/>
          </w:tcPr>
          <w:p w14:paraId="29EBBE50" w14:textId="77777777" w:rsidR="00D67673" w:rsidRPr="003B5469" w:rsidRDefault="00D67673" w:rsidP="00D67673">
            <w:pPr>
              <w:spacing w:after="0" w:line="240" w:lineRule="auto"/>
              <w:jc w:val="right"/>
              <w:rPr>
                <w:rFonts w:ascii="Arial" w:hAnsi="Arial" w:cs="Arial"/>
                <w:sz w:val="16"/>
                <w:szCs w:val="16"/>
              </w:rPr>
            </w:pPr>
            <w:r w:rsidRPr="003B5469">
              <w:rPr>
                <w:rFonts w:ascii="Arial" w:hAnsi="Arial" w:cs="Arial"/>
                <w:sz w:val="16"/>
                <w:szCs w:val="16"/>
              </w:rPr>
              <w:t>Outcome</w:t>
            </w:r>
          </w:p>
        </w:tc>
        <w:tc>
          <w:tcPr>
            <w:tcW w:w="645" w:type="pct"/>
            <w:tcBorders>
              <w:top w:val="nil"/>
              <w:left w:val="nil"/>
              <w:bottom w:val="nil"/>
              <w:right w:val="nil"/>
            </w:tcBorders>
            <w:shd w:val="clear" w:color="000000" w:fill="FFFFFF"/>
            <w:noWrap/>
            <w:vAlign w:val="center"/>
            <w:hideMark/>
          </w:tcPr>
          <w:p w14:paraId="53F0C18D" w14:textId="78322C0D" w:rsidR="00D67673" w:rsidRPr="003B5469" w:rsidRDefault="00D67673" w:rsidP="00D67673">
            <w:pPr>
              <w:spacing w:after="0" w:line="240" w:lineRule="auto"/>
              <w:jc w:val="right"/>
              <w:rPr>
                <w:rFonts w:ascii="Arial" w:hAnsi="Arial" w:cs="Arial"/>
                <w:sz w:val="16"/>
                <w:szCs w:val="16"/>
              </w:rPr>
            </w:pPr>
            <w:r w:rsidRPr="003B5469">
              <w:rPr>
                <w:rFonts w:ascii="Arial" w:hAnsi="Arial" w:cs="Arial"/>
                <w:sz w:val="16"/>
                <w:szCs w:val="16"/>
              </w:rPr>
              <w:t>2021</w:t>
            </w:r>
            <w:r w:rsidR="00A36B1E" w:rsidRPr="003B5469">
              <w:rPr>
                <w:rFonts w:ascii="Arial" w:hAnsi="Arial" w:cs="Arial"/>
                <w:sz w:val="16"/>
                <w:szCs w:val="16"/>
              </w:rPr>
              <w:noBreakHyphen/>
            </w:r>
            <w:r w:rsidRPr="003B5469">
              <w:rPr>
                <w:rFonts w:ascii="Arial" w:hAnsi="Arial" w:cs="Arial"/>
                <w:sz w:val="16"/>
                <w:szCs w:val="16"/>
              </w:rPr>
              <w:t>22</w:t>
            </w:r>
          </w:p>
        </w:tc>
      </w:tr>
      <w:tr w:rsidR="00D67673" w:rsidRPr="00513ED7" w14:paraId="6D41526D" w14:textId="77777777" w:rsidTr="00D67673">
        <w:trPr>
          <w:trHeight w:hRule="exact" w:val="225"/>
        </w:trPr>
        <w:tc>
          <w:tcPr>
            <w:tcW w:w="3066" w:type="pct"/>
            <w:tcBorders>
              <w:top w:val="nil"/>
              <w:left w:val="nil"/>
              <w:bottom w:val="nil"/>
              <w:right w:val="nil"/>
            </w:tcBorders>
            <w:shd w:val="clear" w:color="000000" w:fill="FFFFFF"/>
            <w:noWrap/>
            <w:vAlign w:val="center"/>
            <w:hideMark/>
          </w:tcPr>
          <w:p w14:paraId="29FC8F28" w14:textId="77777777" w:rsidR="00D67673" w:rsidRPr="003B5469" w:rsidRDefault="00D67673" w:rsidP="00D67673">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45" w:type="pct"/>
            <w:tcBorders>
              <w:top w:val="nil"/>
              <w:left w:val="nil"/>
              <w:bottom w:val="nil"/>
              <w:right w:val="nil"/>
            </w:tcBorders>
            <w:shd w:val="clear" w:color="000000" w:fill="FFFFFF"/>
            <w:noWrap/>
            <w:vAlign w:val="center"/>
            <w:hideMark/>
          </w:tcPr>
          <w:p w14:paraId="590CAA1A" w14:textId="632BE5B5" w:rsidR="00D67673" w:rsidRPr="003B5469" w:rsidRDefault="00D67673" w:rsidP="00D67673">
            <w:pPr>
              <w:spacing w:after="0" w:line="240" w:lineRule="auto"/>
              <w:jc w:val="right"/>
              <w:rPr>
                <w:rFonts w:ascii="Arial" w:hAnsi="Arial" w:cs="Arial"/>
                <w:sz w:val="16"/>
                <w:szCs w:val="16"/>
              </w:rPr>
            </w:pPr>
            <w:r w:rsidRPr="003B5469">
              <w:rPr>
                <w:rFonts w:ascii="Arial" w:hAnsi="Arial" w:cs="Arial"/>
                <w:sz w:val="16"/>
                <w:szCs w:val="16"/>
              </w:rPr>
              <w:t>2021</w:t>
            </w:r>
            <w:r w:rsidR="00A36B1E" w:rsidRPr="003B5469">
              <w:rPr>
                <w:rFonts w:ascii="Arial" w:hAnsi="Arial" w:cs="Arial"/>
                <w:sz w:val="16"/>
                <w:szCs w:val="16"/>
              </w:rPr>
              <w:noBreakHyphen/>
            </w:r>
            <w:r w:rsidRPr="003B5469">
              <w:rPr>
                <w:rFonts w:ascii="Arial" w:hAnsi="Arial" w:cs="Arial"/>
                <w:sz w:val="16"/>
                <w:szCs w:val="16"/>
              </w:rPr>
              <w:t>22</w:t>
            </w:r>
          </w:p>
        </w:tc>
        <w:tc>
          <w:tcPr>
            <w:tcW w:w="645" w:type="pct"/>
            <w:tcBorders>
              <w:top w:val="nil"/>
              <w:left w:val="nil"/>
              <w:bottom w:val="nil"/>
              <w:right w:val="nil"/>
            </w:tcBorders>
            <w:shd w:val="clear" w:color="000000" w:fill="EBFFFF"/>
            <w:noWrap/>
            <w:vAlign w:val="center"/>
            <w:hideMark/>
          </w:tcPr>
          <w:p w14:paraId="55E6869A" w14:textId="77777777" w:rsidR="00D67673" w:rsidRPr="003B5469" w:rsidRDefault="00D67673" w:rsidP="00D67673">
            <w:pPr>
              <w:spacing w:after="0" w:line="240" w:lineRule="auto"/>
              <w:jc w:val="right"/>
              <w:rPr>
                <w:rFonts w:ascii="Arial" w:hAnsi="Arial" w:cs="Arial"/>
                <w:sz w:val="16"/>
                <w:szCs w:val="16"/>
              </w:rPr>
            </w:pPr>
            <w:r w:rsidRPr="003B5469">
              <w:rPr>
                <w:rFonts w:ascii="Arial" w:hAnsi="Arial" w:cs="Arial"/>
                <w:sz w:val="16"/>
                <w:szCs w:val="16"/>
              </w:rPr>
              <w:t> </w:t>
            </w:r>
          </w:p>
        </w:tc>
        <w:tc>
          <w:tcPr>
            <w:tcW w:w="645" w:type="pct"/>
            <w:tcBorders>
              <w:top w:val="nil"/>
              <w:left w:val="nil"/>
              <w:bottom w:val="nil"/>
              <w:right w:val="nil"/>
            </w:tcBorders>
            <w:shd w:val="clear" w:color="000000" w:fill="FFFFFF"/>
            <w:noWrap/>
            <w:vAlign w:val="center"/>
            <w:hideMark/>
          </w:tcPr>
          <w:p w14:paraId="07C6B603" w14:textId="77777777" w:rsidR="00D67673" w:rsidRPr="003B5469" w:rsidRDefault="00D67673" w:rsidP="00D67673">
            <w:pPr>
              <w:spacing w:after="0" w:line="240" w:lineRule="auto"/>
              <w:jc w:val="right"/>
              <w:rPr>
                <w:rFonts w:ascii="Arial" w:hAnsi="Arial" w:cs="Arial"/>
                <w:sz w:val="16"/>
                <w:szCs w:val="16"/>
              </w:rPr>
            </w:pPr>
            <w:r w:rsidRPr="003B5469">
              <w:rPr>
                <w:rFonts w:ascii="Arial" w:hAnsi="Arial" w:cs="Arial"/>
                <w:sz w:val="16"/>
                <w:szCs w:val="16"/>
              </w:rPr>
              <w:t>Budget</w:t>
            </w:r>
          </w:p>
        </w:tc>
      </w:tr>
      <w:tr w:rsidR="00D67673" w:rsidRPr="00513ED7" w14:paraId="202CDEE7" w14:textId="77777777" w:rsidTr="00D67673">
        <w:trPr>
          <w:trHeight w:hRule="exact" w:val="225"/>
        </w:trPr>
        <w:tc>
          <w:tcPr>
            <w:tcW w:w="3066" w:type="pct"/>
            <w:tcBorders>
              <w:top w:val="nil"/>
              <w:left w:val="nil"/>
              <w:bottom w:val="nil"/>
              <w:right w:val="nil"/>
            </w:tcBorders>
            <w:shd w:val="clear" w:color="000000" w:fill="FFFFFF"/>
            <w:noWrap/>
            <w:vAlign w:val="center"/>
            <w:hideMark/>
          </w:tcPr>
          <w:p w14:paraId="7E04086B" w14:textId="77777777" w:rsidR="00D67673" w:rsidRPr="003B5469" w:rsidRDefault="00D67673" w:rsidP="00D67673">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45" w:type="pct"/>
            <w:tcBorders>
              <w:top w:val="nil"/>
              <w:left w:val="nil"/>
              <w:bottom w:val="nil"/>
              <w:right w:val="nil"/>
            </w:tcBorders>
            <w:shd w:val="clear" w:color="000000" w:fill="FFFFFF"/>
            <w:noWrap/>
            <w:vAlign w:val="center"/>
            <w:hideMark/>
          </w:tcPr>
          <w:p w14:paraId="7BC3F591" w14:textId="77777777" w:rsidR="00D67673" w:rsidRPr="003B5469" w:rsidRDefault="00D67673" w:rsidP="00D67673">
            <w:pPr>
              <w:spacing w:after="0" w:line="240" w:lineRule="auto"/>
              <w:jc w:val="right"/>
              <w:rPr>
                <w:rFonts w:ascii="Arial" w:hAnsi="Arial" w:cs="Arial"/>
                <w:sz w:val="16"/>
                <w:szCs w:val="16"/>
              </w:rPr>
            </w:pPr>
            <w:r w:rsidRPr="003B5469">
              <w:rPr>
                <w:rFonts w:ascii="Arial" w:hAnsi="Arial" w:cs="Arial"/>
                <w:sz w:val="16"/>
                <w:szCs w:val="16"/>
              </w:rPr>
              <w:t>Budget</w:t>
            </w:r>
          </w:p>
        </w:tc>
        <w:tc>
          <w:tcPr>
            <w:tcW w:w="645" w:type="pct"/>
            <w:tcBorders>
              <w:top w:val="nil"/>
              <w:left w:val="nil"/>
              <w:bottom w:val="nil"/>
              <w:right w:val="nil"/>
            </w:tcBorders>
            <w:shd w:val="clear" w:color="000000" w:fill="EBFFFF"/>
            <w:noWrap/>
            <w:vAlign w:val="center"/>
            <w:hideMark/>
          </w:tcPr>
          <w:p w14:paraId="27B0AFE4" w14:textId="77777777" w:rsidR="00D67673" w:rsidRPr="003B5469" w:rsidRDefault="00D67673" w:rsidP="00D67673">
            <w:pPr>
              <w:spacing w:after="0" w:line="240" w:lineRule="auto"/>
              <w:jc w:val="right"/>
              <w:rPr>
                <w:rFonts w:ascii="Arial" w:hAnsi="Arial" w:cs="Arial"/>
                <w:sz w:val="16"/>
                <w:szCs w:val="16"/>
              </w:rPr>
            </w:pPr>
            <w:r w:rsidRPr="003B5469">
              <w:rPr>
                <w:rFonts w:ascii="Arial" w:hAnsi="Arial" w:cs="Arial"/>
                <w:sz w:val="16"/>
                <w:szCs w:val="16"/>
              </w:rPr>
              <w:t> </w:t>
            </w:r>
          </w:p>
        </w:tc>
        <w:tc>
          <w:tcPr>
            <w:tcW w:w="645" w:type="pct"/>
            <w:tcBorders>
              <w:top w:val="nil"/>
              <w:left w:val="nil"/>
              <w:bottom w:val="nil"/>
              <w:right w:val="nil"/>
            </w:tcBorders>
            <w:shd w:val="clear" w:color="000000" w:fill="FFFFFF"/>
            <w:noWrap/>
            <w:vAlign w:val="center"/>
            <w:hideMark/>
          </w:tcPr>
          <w:p w14:paraId="40588D2D" w14:textId="77777777" w:rsidR="00D67673" w:rsidRPr="003B5469" w:rsidRDefault="00D67673" w:rsidP="00D67673">
            <w:pPr>
              <w:spacing w:after="0" w:line="240" w:lineRule="auto"/>
              <w:jc w:val="right"/>
              <w:rPr>
                <w:rFonts w:ascii="Arial" w:hAnsi="Arial" w:cs="Arial"/>
                <w:sz w:val="16"/>
                <w:szCs w:val="16"/>
              </w:rPr>
            </w:pPr>
            <w:r w:rsidRPr="003B5469">
              <w:rPr>
                <w:rFonts w:ascii="Arial" w:hAnsi="Arial" w:cs="Arial"/>
                <w:sz w:val="16"/>
                <w:szCs w:val="16"/>
              </w:rPr>
              <w:t> </w:t>
            </w:r>
          </w:p>
        </w:tc>
      </w:tr>
      <w:tr w:rsidR="00D67673" w:rsidRPr="00513ED7" w14:paraId="3032B253" w14:textId="77777777" w:rsidTr="00D67673">
        <w:trPr>
          <w:trHeight w:hRule="exact" w:val="225"/>
        </w:trPr>
        <w:tc>
          <w:tcPr>
            <w:tcW w:w="3066" w:type="pct"/>
            <w:tcBorders>
              <w:top w:val="nil"/>
              <w:left w:val="nil"/>
              <w:bottom w:val="nil"/>
              <w:right w:val="nil"/>
            </w:tcBorders>
            <w:shd w:val="clear" w:color="000000" w:fill="FFFFFF"/>
            <w:noWrap/>
            <w:vAlign w:val="center"/>
            <w:hideMark/>
          </w:tcPr>
          <w:p w14:paraId="746FF871" w14:textId="77777777" w:rsidR="00D67673" w:rsidRPr="003B5469" w:rsidRDefault="00D67673" w:rsidP="00D67673">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45" w:type="pct"/>
            <w:tcBorders>
              <w:top w:val="nil"/>
              <w:left w:val="nil"/>
              <w:bottom w:val="single" w:sz="4" w:space="0" w:color="000000"/>
              <w:right w:val="nil"/>
            </w:tcBorders>
            <w:shd w:val="clear" w:color="000000" w:fill="FFFFFF"/>
            <w:noWrap/>
            <w:vAlign w:val="center"/>
            <w:hideMark/>
          </w:tcPr>
          <w:p w14:paraId="069AED8E"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$b</w:t>
            </w:r>
          </w:p>
        </w:tc>
        <w:tc>
          <w:tcPr>
            <w:tcW w:w="645" w:type="pct"/>
            <w:tcBorders>
              <w:top w:val="nil"/>
              <w:left w:val="nil"/>
              <w:bottom w:val="single" w:sz="4" w:space="0" w:color="000000"/>
              <w:right w:val="nil"/>
            </w:tcBorders>
            <w:shd w:val="clear" w:color="000000" w:fill="EBFFFF"/>
            <w:noWrap/>
            <w:vAlign w:val="center"/>
            <w:hideMark/>
          </w:tcPr>
          <w:p w14:paraId="009826A6"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$b</w:t>
            </w:r>
          </w:p>
        </w:tc>
        <w:tc>
          <w:tcPr>
            <w:tcW w:w="645" w:type="pct"/>
            <w:tcBorders>
              <w:top w:val="nil"/>
              <w:left w:val="nil"/>
              <w:bottom w:val="single" w:sz="4" w:space="0" w:color="000000"/>
              <w:right w:val="nil"/>
            </w:tcBorders>
            <w:shd w:val="clear" w:color="000000" w:fill="FFFFFF"/>
            <w:noWrap/>
            <w:vAlign w:val="center"/>
            <w:hideMark/>
          </w:tcPr>
          <w:p w14:paraId="680F5B69"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$b</w:t>
            </w:r>
          </w:p>
        </w:tc>
      </w:tr>
      <w:tr w:rsidR="00D67673" w:rsidRPr="00513ED7" w14:paraId="19EAFF1B" w14:textId="77777777" w:rsidTr="00D67673">
        <w:trPr>
          <w:trHeight w:hRule="exact" w:val="210"/>
        </w:trPr>
        <w:tc>
          <w:tcPr>
            <w:tcW w:w="3066" w:type="pct"/>
            <w:tcBorders>
              <w:top w:val="nil"/>
              <w:left w:val="nil"/>
              <w:bottom w:val="nil"/>
              <w:right w:val="nil"/>
            </w:tcBorders>
            <w:shd w:val="clear" w:color="000000" w:fill="FFFFFF"/>
            <w:noWrap/>
            <w:vAlign w:val="center"/>
            <w:hideMark/>
          </w:tcPr>
          <w:p w14:paraId="23EFDDAA" w14:textId="77777777" w:rsidR="00D67673" w:rsidRPr="003B5469" w:rsidRDefault="00D67673" w:rsidP="00D67673">
            <w:pPr>
              <w:spacing w:after="0" w:line="240" w:lineRule="auto"/>
              <w:jc w:val="left"/>
              <w:rPr>
                <w:rFonts w:ascii="Arial" w:hAnsi="Arial" w:cs="Arial"/>
                <w:color w:val="000000"/>
                <w:sz w:val="16"/>
                <w:szCs w:val="16"/>
              </w:rPr>
            </w:pPr>
            <w:r w:rsidRPr="003B5469">
              <w:rPr>
                <w:rFonts w:ascii="Arial" w:hAnsi="Arial" w:cs="Arial"/>
                <w:color w:val="000000"/>
                <w:sz w:val="16"/>
                <w:szCs w:val="16"/>
              </w:rPr>
              <w:t>Cash receipts</w:t>
            </w:r>
          </w:p>
        </w:tc>
        <w:tc>
          <w:tcPr>
            <w:tcW w:w="645" w:type="pct"/>
            <w:tcBorders>
              <w:top w:val="nil"/>
              <w:left w:val="nil"/>
              <w:bottom w:val="nil"/>
              <w:right w:val="nil"/>
            </w:tcBorders>
            <w:shd w:val="clear" w:color="000000" w:fill="FFFFFF"/>
            <w:noWrap/>
            <w:vAlign w:val="center"/>
            <w:hideMark/>
          </w:tcPr>
          <w:p w14:paraId="44178F7C"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45" w:type="pct"/>
            <w:tcBorders>
              <w:top w:val="nil"/>
              <w:left w:val="nil"/>
              <w:bottom w:val="nil"/>
              <w:right w:val="nil"/>
            </w:tcBorders>
            <w:shd w:val="clear" w:color="000000" w:fill="EBFFFF"/>
            <w:noWrap/>
            <w:vAlign w:val="center"/>
            <w:hideMark/>
          </w:tcPr>
          <w:p w14:paraId="56E861E3"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45" w:type="pct"/>
            <w:tcBorders>
              <w:top w:val="nil"/>
              <w:left w:val="nil"/>
              <w:bottom w:val="nil"/>
              <w:right w:val="nil"/>
            </w:tcBorders>
            <w:shd w:val="clear" w:color="000000" w:fill="FFFFFF"/>
            <w:noWrap/>
            <w:vAlign w:val="center"/>
            <w:hideMark/>
          </w:tcPr>
          <w:p w14:paraId="2C001323"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D67673" w:rsidRPr="00513ED7" w14:paraId="7DB54206" w14:textId="77777777" w:rsidTr="00D67673">
        <w:trPr>
          <w:trHeight w:hRule="exact" w:val="210"/>
        </w:trPr>
        <w:tc>
          <w:tcPr>
            <w:tcW w:w="3066" w:type="pct"/>
            <w:tcBorders>
              <w:top w:val="nil"/>
              <w:left w:val="nil"/>
              <w:bottom w:val="nil"/>
              <w:right w:val="nil"/>
            </w:tcBorders>
            <w:shd w:val="clear" w:color="000000" w:fill="FFFFFF"/>
            <w:noWrap/>
            <w:vAlign w:val="center"/>
            <w:hideMark/>
          </w:tcPr>
          <w:p w14:paraId="67497D08" w14:textId="77777777" w:rsidR="00D67673" w:rsidRPr="003B5469" w:rsidRDefault="00D67673" w:rsidP="00D67673">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Operating cash receipts</w:t>
            </w:r>
          </w:p>
        </w:tc>
        <w:tc>
          <w:tcPr>
            <w:tcW w:w="645" w:type="pct"/>
            <w:tcBorders>
              <w:top w:val="nil"/>
              <w:left w:val="nil"/>
              <w:bottom w:val="nil"/>
              <w:right w:val="nil"/>
            </w:tcBorders>
            <w:shd w:val="clear" w:color="000000" w:fill="FFFFFF"/>
            <w:noWrap/>
            <w:vAlign w:val="center"/>
            <w:hideMark/>
          </w:tcPr>
          <w:p w14:paraId="094E8E07"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499.6</w:t>
            </w:r>
          </w:p>
        </w:tc>
        <w:tc>
          <w:tcPr>
            <w:tcW w:w="645" w:type="pct"/>
            <w:tcBorders>
              <w:top w:val="nil"/>
              <w:left w:val="nil"/>
              <w:bottom w:val="nil"/>
              <w:right w:val="nil"/>
            </w:tcBorders>
            <w:shd w:val="clear" w:color="000000" w:fill="EBFFFF"/>
            <w:noWrap/>
            <w:vAlign w:val="center"/>
            <w:hideMark/>
          </w:tcPr>
          <w:p w14:paraId="25AB4829"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519.6</w:t>
            </w:r>
          </w:p>
        </w:tc>
        <w:tc>
          <w:tcPr>
            <w:tcW w:w="645" w:type="pct"/>
            <w:tcBorders>
              <w:top w:val="nil"/>
              <w:left w:val="nil"/>
              <w:bottom w:val="nil"/>
              <w:right w:val="nil"/>
            </w:tcBorders>
            <w:shd w:val="clear" w:color="000000" w:fill="FFFFFF"/>
            <w:noWrap/>
            <w:vAlign w:val="center"/>
            <w:hideMark/>
          </w:tcPr>
          <w:p w14:paraId="36FC076A"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20.0</w:t>
            </w:r>
          </w:p>
        </w:tc>
      </w:tr>
      <w:tr w:rsidR="00D67673" w:rsidRPr="00513ED7" w14:paraId="65022051" w14:textId="77777777" w:rsidTr="00D67673">
        <w:trPr>
          <w:trHeight w:hRule="exact" w:val="210"/>
        </w:trPr>
        <w:tc>
          <w:tcPr>
            <w:tcW w:w="3066" w:type="pct"/>
            <w:tcBorders>
              <w:top w:val="nil"/>
              <w:left w:val="nil"/>
              <w:bottom w:val="nil"/>
              <w:right w:val="nil"/>
            </w:tcBorders>
            <w:shd w:val="clear" w:color="000000" w:fill="FFFFFF"/>
            <w:noWrap/>
            <w:vAlign w:val="center"/>
            <w:hideMark/>
          </w:tcPr>
          <w:p w14:paraId="2DB2DC30" w14:textId="77777777" w:rsidR="00D67673" w:rsidRPr="003B5469" w:rsidRDefault="00D67673" w:rsidP="00D67673">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Capital cash receipts(a)</w:t>
            </w:r>
          </w:p>
        </w:tc>
        <w:tc>
          <w:tcPr>
            <w:tcW w:w="645" w:type="pct"/>
            <w:tcBorders>
              <w:top w:val="nil"/>
              <w:left w:val="nil"/>
              <w:bottom w:val="single" w:sz="4" w:space="0" w:color="000000"/>
              <w:right w:val="nil"/>
            </w:tcBorders>
            <w:shd w:val="clear" w:color="000000" w:fill="FFFFFF"/>
            <w:noWrap/>
            <w:vAlign w:val="center"/>
            <w:hideMark/>
          </w:tcPr>
          <w:p w14:paraId="41B5E897"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0.2</w:t>
            </w:r>
          </w:p>
        </w:tc>
        <w:tc>
          <w:tcPr>
            <w:tcW w:w="645" w:type="pct"/>
            <w:tcBorders>
              <w:top w:val="nil"/>
              <w:left w:val="nil"/>
              <w:bottom w:val="single" w:sz="4" w:space="0" w:color="000000"/>
              <w:right w:val="nil"/>
            </w:tcBorders>
            <w:shd w:val="clear" w:color="000000" w:fill="EBFFFF"/>
            <w:noWrap/>
            <w:vAlign w:val="center"/>
            <w:hideMark/>
          </w:tcPr>
          <w:p w14:paraId="7AA8C9CF"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0.3</w:t>
            </w:r>
          </w:p>
        </w:tc>
        <w:tc>
          <w:tcPr>
            <w:tcW w:w="645" w:type="pct"/>
            <w:tcBorders>
              <w:top w:val="nil"/>
              <w:left w:val="nil"/>
              <w:bottom w:val="single" w:sz="4" w:space="0" w:color="000000"/>
              <w:right w:val="nil"/>
            </w:tcBorders>
            <w:shd w:val="clear" w:color="000000" w:fill="FFFFFF"/>
            <w:noWrap/>
            <w:vAlign w:val="center"/>
            <w:hideMark/>
          </w:tcPr>
          <w:p w14:paraId="38530C0D"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0.1</w:t>
            </w:r>
          </w:p>
        </w:tc>
      </w:tr>
      <w:tr w:rsidR="00D67673" w:rsidRPr="00513ED7" w14:paraId="7C1A4259" w14:textId="77777777" w:rsidTr="00D67673">
        <w:trPr>
          <w:trHeight w:hRule="exact" w:val="210"/>
        </w:trPr>
        <w:tc>
          <w:tcPr>
            <w:tcW w:w="3066" w:type="pct"/>
            <w:tcBorders>
              <w:top w:val="nil"/>
              <w:left w:val="nil"/>
              <w:bottom w:val="nil"/>
              <w:right w:val="nil"/>
            </w:tcBorders>
            <w:shd w:val="clear" w:color="000000" w:fill="FFFFFF"/>
            <w:noWrap/>
            <w:vAlign w:val="center"/>
            <w:hideMark/>
          </w:tcPr>
          <w:p w14:paraId="1D9EBC36" w14:textId="77777777" w:rsidR="00D67673" w:rsidRPr="003B5469" w:rsidRDefault="00D67673" w:rsidP="00D67673">
            <w:pPr>
              <w:spacing w:after="0" w:line="240" w:lineRule="auto"/>
              <w:jc w:val="left"/>
              <w:rPr>
                <w:rFonts w:ascii="Arial" w:hAnsi="Arial" w:cs="Arial"/>
                <w:color w:val="000000"/>
                <w:sz w:val="16"/>
                <w:szCs w:val="16"/>
              </w:rPr>
            </w:pPr>
            <w:r w:rsidRPr="003B5469">
              <w:rPr>
                <w:rFonts w:ascii="Arial" w:hAnsi="Arial" w:cs="Arial"/>
                <w:color w:val="000000"/>
                <w:sz w:val="16"/>
                <w:szCs w:val="16"/>
              </w:rPr>
              <w:t>Total cash receipts</w:t>
            </w:r>
          </w:p>
        </w:tc>
        <w:tc>
          <w:tcPr>
            <w:tcW w:w="645" w:type="pct"/>
            <w:tcBorders>
              <w:top w:val="nil"/>
              <w:left w:val="nil"/>
              <w:bottom w:val="single" w:sz="4" w:space="0" w:color="000000"/>
              <w:right w:val="nil"/>
            </w:tcBorders>
            <w:shd w:val="clear" w:color="000000" w:fill="FFFFFF"/>
            <w:noWrap/>
            <w:vAlign w:val="center"/>
            <w:hideMark/>
          </w:tcPr>
          <w:p w14:paraId="6DA735F6"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499.8</w:t>
            </w:r>
          </w:p>
        </w:tc>
        <w:tc>
          <w:tcPr>
            <w:tcW w:w="645" w:type="pct"/>
            <w:tcBorders>
              <w:top w:val="nil"/>
              <w:left w:val="nil"/>
              <w:bottom w:val="single" w:sz="4" w:space="0" w:color="000000"/>
              <w:right w:val="nil"/>
            </w:tcBorders>
            <w:shd w:val="clear" w:color="000000" w:fill="EBFFFF"/>
            <w:noWrap/>
            <w:vAlign w:val="center"/>
            <w:hideMark/>
          </w:tcPr>
          <w:p w14:paraId="42CE101C"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519.9</w:t>
            </w:r>
          </w:p>
        </w:tc>
        <w:tc>
          <w:tcPr>
            <w:tcW w:w="645" w:type="pct"/>
            <w:tcBorders>
              <w:top w:val="nil"/>
              <w:left w:val="nil"/>
              <w:bottom w:val="single" w:sz="4" w:space="0" w:color="000000"/>
              <w:right w:val="nil"/>
            </w:tcBorders>
            <w:shd w:val="clear" w:color="000000" w:fill="FFFFFF"/>
            <w:noWrap/>
            <w:vAlign w:val="center"/>
            <w:hideMark/>
          </w:tcPr>
          <w:p w14:paraId="764CD1D1"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20.1</w:t>
            </w:r>
          </w:p>
        </w:tc>
      </w:tr>
      <w:tr w:rsidR="00D67673" w:rsidRPr="00513ED7" w14:paraId="0B339E38" w14:textId="77777777" w:rsidTr="00D67673">
        <w:trPr>
          <w:trHeight w:hRule="exact" w:val="60"/>
        </w:trPr>
        <w:tc>
          <w:tcPr>
            <w:tcW w:w="3066" w:type="pct"/>
            <w:tcBorders>
              <w:top w:val="nil"/>
              <w:left w:val="nil"/>
              <w:bottom w:val="nil"/>
              <w:right w:val="nil"/>
            </w:tcBorders>
            <w:shd w:val="clear" w:color="000000" w:fill="FFFFFF"/>
            <w:noWrap/>
            <w:vAlign w:val="center"/>
            <w:hideMark/>
          </w:tcPr>
          <w:p w14:paraId="16704140" w14:textId="77777777" w:rsidR="00D67673" w:rsidRPr="003B5469" w:rsidRDefault="00D67673" w:rsidP="00D67673">
            <w:pPr>
              <w:spacing w:after="0" w:line="240" w:lineRule="auto"/>
              <w:ind w:left="340"/>
              <w:jc w:val="left"/>
              <w:rPr>
                <w:rFonts w:ascii="Arial" w:hAnsi="Arial" w:cs="Arial"/>
                <w:color w:val="000000"/>
                <w:sz w:val="16"/>
                <w:szCs w:val="16"/>
              </w:rPr>
            </w:pPr>
            <w:r w:rsidRPr="003B5469">
              <w:rPr>
                <w:rFonts w:ascii="Arial" w:hAnsi="Arial" w:cs="Arial"/>
                <w:color w:val="000000"/>
                <w:sz w:val="16"/>
                <w:szCs w:val="16"/>
              </w:rPr>
              <w:t> </w:t>
            </w:r>
          </w:p>
        </w:tc>
        <w:tc>
          <w:tcPr>
            <w:tcW w:w="645" w:type="pct"/>
            <w:tcBorders>
              <w:top w:val="nil"/>
              <w:left w:val="nil"/>
              <w:bottom w:val="nil"/>
              <w:right w:val="nil"/>
            </w:tcBorders>
            <w:shd w:val="clear" w:color="000000" w:fill="FFFFFF"/>
            <w:noWrap/>
            <w:vAlign w:val="center"/>
            <w:hideMark/>
          </w:tcPr>
          <w:p w14:paraId="6B8403E5"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45" w:type="pct"/>
            <w:tcBorders>
              <w:top w:val="nil"/>
              <w:left w:val="nil"/>
              <w:bottom w:val="nil"/>
              <w:right w:val="nil"/>
            </w:tcBorders>
            <w:shd w:val="clear" w:color="000000" w:fill="EBFFFF"/>
            <w:noWrap/>
            <w:vAlign w:val="center"/>
            <w:hideMark/>
          </w:tcPr>
          <w:p w14:paraId="42966B9E"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45" w:type="pct"/>
            <w:tcBorders>
              <w:top w:val="nil"/>
              <w:left w:val="nil"/>
              <w:bottom w:val="nil"/>
              <w:right w:val="nil"/>
            </w:tcBorders>
            <w:shd w:val="clear" w:color="000000" w:fill="FFFFFF"/>
            <w:noWrap/>
            <w:vAlign w:val="center"/>
            <w:hideMark/>
          </w:tcPr>
          <w:p w14:paraId="1FAB56F4"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D67673" w:rsidRPr="00513ED7" w14:paraId="2BC974B2" w14:textId="77777777" w:rsidTr="00D67673">
        <w:trPr>
          <w:trHeight w:hRule="exact" w:val="210"/>
        </w:trPr>
        <w:tc>
          <w:tcPr>
            <w:tcW w:w="3066" w:type="pct"/>
            <w:tcBorders>
              <w:top w:val="nil"/>
              <w:left w:val="nil"/>
              <w:bottom w:val="nil"/>
              <w:right w:val="nil"/>
            </w:tcBorders>
            <w:shd w:val="clear" w:color="000000" w:fill="FFFFFF"/>
            <w:noWrap/>
            <w:vAlign w:val="center"/>
            <w:hideMark/>
          </w:tcPr>
          <w:p w14:paraId="56497A12" w14:textId="77777777" w:rsidR="00D67673" w:rsidRPr="003B5469" w:rsidRDefault="00D67673" w:rsidP="00D67673">
            <w:pPr>
              <w:spacing w:after="0" w:line="240" w:lineRule="auto"/>
              <w:jc w:val="left"/>
              <w:rPr>
                <w:rFonts w:ascii="Arial" w:hAnsi="Arial" w:cs="Arial"/>
                <w:color w:val="000000"/>
                <w:sz w:val="16"/>
                <w:szCs w:val="16"/>
              </w:rPr>
            </w:pPr>
            <w:r w:rsidRPr="003B5469">
              <w:rPr>
                <w:rFonts w:ascii="Arial" w:hAnsi="Arial" w:cs="Arial"/>
                <w:color w:val="000000"/>
                <w:sz w:val="16"/>
                <w:szCs w:val="16"/>
              </w:rPr>
              <w:t>Cash payments</w:t>
            </w:r>
          </w:p>
        </w:tc>
        <w:tc>
          <w:tcPr>
            <w:tcW w:w="645" w:type="pct"/>
            <w:tcBorders>
              <w:top w:val="nil"/>
              <w:left w:val="nil"/>
              <w:bottom w:val="nil"/>
              <w:right w:val="nil"/>
            </w:tcBorders>
            <w:shd w:val="clear" w:color="000000" w:fill="FFFFFF"/>
            <w:noWrap/>
            <w:vAlign w:val="center"/>
            <w:hideMark/>
          </w:tcPr>
          <w:p w14:paraId="5BDCF96D"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45" w:type="pct"/>
            <w:tcBorders>
              <w:top w:val="nil"/>
              <w:left w:val="nil"/>
              <w:bottom w:val="nil"/>
              <w:right w:val="nil"/>
            </w:tcBorders>
            <w:shd w:val="clear" w:color="000000" w:fill="EBFFFF"/>
            <w:noWrap/>
            <w:vAlign w:val="center"/>
            <w:hideMark/>
          </w:tcPr>
          <w:p w14:paraId="4759B239"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45" w:type="pct"/>
            <w:tcBorders>
              <w:top w:val="nil"/>
              <w:left w:val="nil"/>
              <w:bottom w:val="nil"/>
              <w:right w:val="nil"/>
            </w:tcBorders>
            <w:shd w:val="clear" w:color="000000" w:fill="FFFFFF"/>
            <w:noWrap/>
            <w:vAlign w:val="center"/>
            <w:hideMark/>
          </w:tcPr>
          <w:p w14:paraId="57171690"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D67673" w:rsidRPr="00513ED7" w14:paraId="79534442" w14:textId="77777777" w:rsidTr="00D67673">
        <w:trPr>
          <w:trHeight w:hRule="exact" w:val="210"/>
        </w:trPr>
        <w:tc>
          <w:tcPr>
            <w:tcW w:w="3066" w:type="pct"/>
            <w:tcBorders>
              <w:top w:val="nil"/>
              <w:left w:val="nil"/>
              <w:bottom w:val="nil"/>
              <w:right w:val="nil"/>
            </w:tcBorders>
            <w:shd w:val="clear" w:color="000000" w:fill="FFFFFF"/>
            <w:noWrap/>
            <w:vAlign w:val="center"/>
            <w:hideMark/>
          </w:tcPr>
          <w:p w14:paraId="6A8E9718" w14:textId="77777777" w:rsidR="00D67673" w:rsidRPr="003B5469" w:rsidRDefault="00D67673" w:rsidP="00D67673">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Operating cash payments</w:t>
            </w:r>
          </w:p>
        </w:tc>
        <w:tc>
          <w:tcPr>
            <w:tcW w:w="645" w:type="pct"/>
            <w:tcBorders>
              <w:top w:val="nil"/>
              <w:left w:val="nil"/>
              <w:bottom w:val="nil"/>
              <w:right w:val="nil"/>
            </w:tcBorders>
            <w:shd w:val="clear" w:color="000000" w:fill="FFFFFF"/>
            <w:noWrap/>
            <w:vAlign w:val="center"/>
            <w:hideMark/>
          </w:tcPr>
          <w:p w14:paraId="7B476A07"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642.3</w:t>
            </w:r>
          </w:p>
        </w:tc>
        <w:tc>
          <w:tcPr>
            <w:tcW w:w="645" w:type="pct"/>
            <w:tcBorders>
              <w:top w:val="nil"/>
              <w:left w:val="nil"/>
              <w:bottom w:val="nil"/>
              <w:right w:val="nil"/>
            </w:tcBorders>
            <w:shd w:val="clear" w:color="000000" w:fill="EBFFFF"/>
            <w:noWrap/>
            <w:vAlign w:val="center"/>
            <w:hideMark/>
          </w:tcPr>
          <w:p w14:paraId="7DBB8779"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637.3</w:t>
            </w:r>
          </w:p>
        </w:tc>
        <w:tc>
          <w:tcPr>
            <w:tcW w:w="645" w:type="pct"/>
            <w:tcBorders>
              <w:top w:val="nil"/>
              <w:left w:val="nil"/>
              <w:bottom w:val="nil"/>
              <w:right w:val="nil"/>
            </w:tcBorders>
            <w:shd w:val="clear" w:color="000000" w:fill="FFFFFF"/>
            <w:noWrap/>
            <w:vAlign w:val="center"/>
            <w:hideMark/>
          </w:tcPr>
          <w:p w14:paraId="1E4933C1" w14:textId="0BE9CF92" w:rsidR="00D67673" w:rsidRPr="003B5469" w:rsidRDefault="00A36B1E"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D67673" w:rsidRPr="003B5469">
              <w:rPr>
                <w:rFonts w:ascii="Arial" w:hAnsi="Arial" w:cs="Arial"/>
                <w:color w:val="000000"/>
                <w:sz w:val="16"/>
                <w:szCs w:val="16"/>
              </w:rPr>
              <w:t>5.0</w:t>
            </w:r>
          </w:p>
        </w:tc>
      </w:tr>
      <w:tr w:rsidR="00D67673" w:rsidRPr="00513ED7" w14:paraId="5617B227" w14:textId="77777777" w:rsidTr="00D67673">
        <w:trPr>
          <w:trHeight w:hRule="exact" w:val="210"/>
        </w:trPr>
        <w:tc>
          <w:tcPr>
            <w:tcW w:w="3066" w:type="pct"/>
            <w:tcBorders>
              <w:top w:val="nil"/>
              <w:left w:val="nil"/>
              <w:bottom w:val="nil"/>
              <w:right w:val="nil"/>
            </w:tcBorders>
            <w:shd w:val="clear" w:color="000000" w:fill="FFFFFF"/>
            <w:noWrap/>
            <w:vAlign w:val="center"/>
            <w:hideMark/>
          </w:tcPr>
          <w:p w14:paraId="0A6E8D51" w14:textId="77777777" w:rsidR="00D67673" w:rsidRPr="003B5469" w:rsidRDefault="00D67673" w:rsidP="00D67673">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 xml:space="preserve">Capital cash payments(b) </w:t>
            </w:r>
          </w:p>
        </w:tc>
        <w:tc>
          <w:tcPr>
            <w:tcW w:w="645" w:type="pct"/>
            <w:tcBorders>
              <w:top w:val="nil"/>
              <w:left w:val="nil"/>
              <w:bottom w:val="single" w:sz="4" w:space="0" w:color="000000"/>
              <w:right w:val="nil"/>
            </w:tcBorders>
            <w:shd w:val="clear" w:color="000000" w:fill="FFFFFF"/>
            <w:noWrap/>
            <w:vAlign w:val="center"/>
            <w:hideMark/>
          </w:tcPr>
          <w:p w14:paraId="4E302149"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16.1</w:t>
            </w:r>
          </w:p>
        </w:tc>
        <w:tc>
          <w:tcPr>
            <w:tcW w:w="645" w:type="pct"/>
            <w:tcBorders>
              <w:top w:val="nil"/>
              <w:left w:val="nil"/>
              <w:bottom w:val="single" w:sz="4" w:space="0" w:color="000000"/>
              <w:right w:val="nil"/>
            </w:tcBorders>
            <w:shd w:val="clear" w:color="000000" w:fill="EBFFFF"/>
            <w:noWrap/>
            <w:vAlign w:val="center"/>
            <w:hideMark/>
          </w:tcPr>
          <w:p w14:paraId="2779C497"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14.3</w:t>
            </w:r>
          </w:p>
        </w:tc>
        <w:tc>
          <w:tcPr>
            <w:tcW w:w="645" w:type="pct"/>
            <w:tcBorders>
              <w:top w:val="nil"/>
              <w:left w:val="nil"/>
              <w:bottom w:val="single" w:sz="4" w:space="0" w:color="000000"/>
              <w:right w:val="nil"/>
            </w:tcBorders>
            <w:shd w:val="clear" w:color="000000" w:fill="FFFFFF"/>
            <w:noWrap/>
            <w:vAlign w:val="center"/>
            <w:hideMark/>
          </w:tcPr>
          <w:p w14:paraId="05778AE2" w14:textId="0211C480" w:rsidR="00D67673" w:rsidRPr="003B5469" w:rsidRDefault="00A36B1E"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D67673" w:rsidRPr="003B5469">
              <w:rPr>
                <w:rFonts w:ascii="Arial" w:hAnsi="Arial" w:cs="Arial"/>
                <w:color w:val="000000"/>
                <w:sz w:val="16"/>
                <w:szCs w:val="16"/>
              </w:rPr>
              <w:t>1.8</w:t>
            </w:r>
          </w:p>
        </w:tc>
      </w:tr>
      <w:tr w:rsidR="00D67673" w:rsidRPr="00513ED7" w14:paraId="3C2EEDCC" w14:textId="77777777" w:rsidTr="00D67673">
        <w:trPr>
          <w:trHeight w:hRule="exact" w:val="210"/>
        </w:trPr>
        <w:tc>
          <w:tcPr>
            <w:tcW w:w="3066" w:type="pct"/>
            <w:tcBorders>
              <w:top w:val="nil"/>
              <w:left w:val="nil"/>
              <w:bottom w:val="nil"/>
              <w:right w:val="nil"/>
            </w:tcBorders>
            <w:shd w:val="clear" w:color="000000" w:fill="FFFFFF"/>
            <w:noWrap/>
            <w:vAlign w:val="center"/>
            <w:hideMark/>
          </w:tcPr>
          <w:p w14:paraId="661A68E5" w14:textId="77777777" w:rsidR="00D67673" w:rsidRPr="003B5469" w:rsidRDefault="00D67673" w:rsidP="00D67673">
            <w:pPr>
              <w:spacing w:after="0" w:line="240" w:lineRule="auto"/>
              <w:jc w:val="left"/>
              <w:rPr>
                <w:rFonts w:ascii="Arial" w:hAnsi="Arial" w:cs="Arial"/>
                <w:color w:val="000000"/>
                <w:sz w:val="16"/>
                <w:szCs w:val="16"/>
              </w:rPr>
            </w:pPr>
            <w:r w:rsidRPr="003B5469">
              <w:rPr>
                <w:rFonts w:ascii="Arial" w:hAnsi="Arial" w:cs="Arial"/>
                <w:color w:val="000000"/>
                <w:sz w:val="16"/>
                <w:szCs w:val="16"/>
              </w:rPr>
              <w:t>Total cash payments</w:t>
            </w:r>
          </w:p>
        </w:tc>
        <w:tc>
          <w:tcPr>
            <w:tcW w:w="645" w:type="pct"/>
            <w:tcBorders>
              <w:top w:val="nil"/>
              <w:left w:val="nil"/>
              <w:bottom w:val="single" w:sz="4" w:space="0" w:color="000000"/>
              <w:right w:val="nil"/>
            </w:tcBorders>
            <w:shd w:val="clear" w:color="000000" w:fill="FFFFFF"/>
            <w:noWrap/>
            <w:vAlign w:val="center"/>
            <w:hideMark/>
          </w:tcPr>
          <w:p w14:paraId="1E36F428"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658.4</w:t>
            </w:r>
          </w:p>
        </w:tc>
        <w:tc>
          <w:tcPr>
            <w:tcW w:w="645" w:type="pct"/>
            <w:tcBorders>
              <w:top w:val="nil"/>
              <w:left w:val="nil"/>
              <w:bottom w:val="single" w:sz="4" w:space="0" w:color="000000"/>
              <w:right w:val="nil"/>
            </w:tcBorders>
            <w:shd w:val="clear" w:color="000000" w:fill="EBFFFF"/>
            <w:noWrap/>
            <w:vAlign w:val="center"/>
            <w:hideMark/>
          </w:tcPr>
          <w:p w14:paraId="3D4169A4"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651.6</w:t>
            </w:r>
          </w:p>
        </w:tc>
        <w:tc>
          <w:tcPr>
            <w:tcW w:w="645" w:type="pct"/>
            <w:tcBorders>
              <w:top w:val="nil"/>
              <w:left w:val="nil"/>
              <w:bottom w:val="single" w:sz="4" w:space="0" w:color="000000"/>
              <w:right w:val="nil"/>
            </w:tcBorders>
            <w:shd w:val="clear" w:color="000000" w:fill="FFFFFF"/>
            <w:noWrap/>
            <w:vAlign w:val="center"/>
            <w:hideMark/>
          </w:tcPr>
          <w:p w14:paraId="117E7A85" w14:textId="2A249163" w:rsidR="00D67673" w:rsidRPr="003B5469" w:rsidRDefault="00A36B1E"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D67673" w:rsidRPr="003B5469">
              <w:rPr>
                <w:rFonts w:ascii="Arial" w:hAnsi="Arial" w:cs="Arial"/>
                <w:color w:val="000000"/>
                <w:sz w:val="16"/>
                <w:szCs w:val="16"/>
              </w:rPr>
              <w:t>6.8</w:t>
            </w:r>
          </w:p>
        </w:tc>
      </w:tr>
      <w:tr w:rsidR="00D67673" w:rsidRPr="00513ED7" w14:paraId="1D283D51" w14:textId="77777777" w:rsidTr="00D67673">
        <w:trPr>
          <w:trHeight w:hRule="exact" w:val="60"/>
        </w:trPr>
        <w:tc>
          <w:tcPr>
            <w:tcW w:w="3066" w:type="pct"/>
            <w:tcBorders>
              <w:top w:val="nil"/>
              <w:left w:val="nil"/>
              <w:bottom w:val="nil"/>
              <w:right w:val="nil"/>
            </w:tcBorders>
            <w:shd w:val="clear" w:color="000000" w:fill="FFFFFF"/>
            <w:noWrap/>
            <w:vAlign w:val="center"/>
            <w:hideMark/>
          </w:tcPr>
          <w:p w14:paraId="6F658EC3" w14:textId="77777777" w:rsidR="00D67673" w:rsidRPr="003B5469" w:rsidRDefault="00D67673" w:rsidP="00D67673">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45" w:type="pct"/>
            <w:tcBorders>
              <w:top w:val="nil"/>
              <w:left w:val="nil"/>
              <w:bottom w:val="nil"/>
              <w:right w:val="nil"/>
            </w:tcBorders>
            <w:shd w:val="clear" w:color="000000" w:fill="FFFFFF"/>
            <w:noWrap/>
            <w:vAlign w:val="center"/>
            <w:hideMark/>
          </w:tcPr>
          <w:p w14:paraId="2622BF02" w14:textId="77777777" w:rsidR="00D67673" w:rsidRPr="003B5469" w:rsidRDefault="00D67673"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c>
          <w:tcPr>
            <w:tcW w:w="645" w:type="pct"/>
            <w:tcBorders>
              <w:top w:val="nil"/>
              <w:left w:val="nil"/>
              <w:bottom w:val="nil"/>
              <w:right w:val="nil"/>
            </w:tcBorders>
            <w:shd w:val="clear" w:color="000000" w:fill="EBFFFF"/>
            <w:noWrap/>
            <w:vAlign w:val="center"/>
            <w:hideMark/>
          </w:tcPr>
          <w:p w14:paraId="1E06866C" w14:textId="77777777" w:rsidR="00D67673" w:rsidRPr="003B5469" w:rsidRDefault="00D67673"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c>
          <w:tcPr>
            <w:tcW w:w="645" w:type="pct"/>
            <w:tcBorders>
              <w:top w:val="nil"/>
              <w:left w:val="nil"/>
              <w:bottom w:val="nil"/>
              <w:right w:val="nil"/>
            </w:tcBorders>
            <w:shd w:val="clear" w:color="000000" w:fill="FFFFFF"/>
            <w:noWrap/>
            <w:vAlign w:val="center"/>
            <w:hideMark/>
          </w:tcPr>
          <w:p w14:paraId="7B5F96C7" w14:textId="77777777" w:rsidR="00D67673" w:rsidRPr="003B5469" w:rsidRDefault="00D67673"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r>
      <w:tr w:rsidR="00D67673" w:rsidRPr="00513ED7" w14:paraId="0C7BADE7" w14:textId="77777777" w:rsidTr="00D67673">
        <w:trPr>
          <w:trHeight w:hRule="exact" w:val="210"/>
        </w:trPr>
        <w:tc>
          <w:tcPr>
            <w:tcW w:w="3066" w:type="pct"/>
            <w:tcBorders>
              <w:top w:val="nil"/>
              <w:left w:val="nil"/>
              <w:bottom w:val="nil"/>
              <w:right w:val="nil"/>
            </w:tcBorders>
            <w:shd w:val="clear" w:color="000000" w:fill="FFFFFF"/>
            <w:noWrap/>
            <w:vAlign w:val="center"/>
            <w:hideMark/>
          </w:tcPr>
          <w:p w14:paraId="2BC50AFE" w14:textId="50065569" w:rsidR="00D67673" w:rsidRPr="003B5469" w:rsidRDefault="00D67673" w:rsidP="00D67673">
            <w:pPr>
              <w:spacing w:after="0" w:line="240" w:lineRule="auto"/>
              <w:jc w:val="left"/>
              <w:rPr>
                <w:rFonts w:ascii="Arial" w:hAnsi="Arial" w:cs="Arial"/>
                <w:b/>
                <w:color w:val="000000"/>
                <w:sz w:val="16"/>
                <w:szCs w:val="16"/>
              </w:rPr>
            </w:pPr>
            <w:r w:rsidRPr="003B5469">
              <w:rPr>
                <w:rFonts w:ascii="Arial" w:hAnsi="Arial" w:cs="Arial"/>
                <w:b/>
                <w:color w:val="000000"/>
                <w:sz w:val="16"/>
                <w:szCs w:val="16"/>
              </w:rPr>
              <w:t>GFS cash surplus(+)/</w:t>
            </w:r>
            <w:proofErr w:type="gramStart"/>
            <w:r w:rsidRPr="003B5469">
              <w:rPr>
                <w:rFonts w:ascii="Arial" w:hAnsi="Arial" w:cs="Arial"/>
                <w:b/>
                <w:color w:val="000000"/>
                <w:sz w:val="16"/>
                <w:szCs w:val="16"/>
              </w:rPr>
              <w:t>deficit(</w:t>
            </w:r>
            <w:proofErr w:type="gramEnd"/>
            <w:r w:rsidR="00A36B1E" w:rsidRPr="003B5469">
              <w:rPr>
                <w:rFonts w:ascii="Arial" w:hAnsi="Arial" w:cs="Arial"/>
                <w:b/>
                <w:color w:val="000000"/>
                <w:sz w:val="16"/>
                <w:szCs w:val="16"/>
              </w:rPr>
              <w:noBreakHyphen/>
            </w:r>
            <w:r w:rsidRPr="003B5469">
              <w:rPr>
                <w:rFonts w:ascii="Arial" w:hAnsi="Arial" w:cs="Arial"/>
                <w:b/>
                <w:color w:val="000000"/>
                <w:sz w:val="16"/>
                <w:szCs w:val="16"/>
              </w:rPr>
              <w:t>)</w:t>
            </w:r>
          </w:p>
        </w:tc>
        <w:tc>
          <w:tcPr>
            <w:tcW w:w="645" w:type="pct"/>
            <w:tcBorders>
              <w:top w:val="nil"/>
              <w:left w:val="nil"/>
              <w:bottom w:val="nil"/>
              <w:right w:val="nil"/>
            </w:tcBorders>
            <w:shd w:val="clear" w:color="000000" w:fill="FFFFFF"/>
            <w:noWrap/>
            <w:vAlign w:val="center"/>
            <w:hideMark/>
          </w:tcPr>
          <w:p w14:paraId="41437F73" w14:textId="20E22269" w:rsidR="00D67673" w:rsidRPr="003B5469" w:rsidRDefault="00A36B1E"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D67673" w:rsidRPr="003B5469">
              <w:rPr>
                <w:rFonts w:ascii="Arial" w:hAnsi="Arial" w:cs="Arial"/>
                <w:b/>
                <w:color w:val="000000"/>
                <w:sz w:val="16"/>
                <w:szCs w:val="16"/>
              </w:rPr>
              <w:t>158.5</w:t>
            </w:r>
          </w:p>
        </w:tc>
        <w:tc>
          <w:tcPr>
            <w:tcW w:w="645" w:type="pct"/>
            <w:tcBorders>
              <w:top w:val="nil"/>
              <w:left w:val="nil"/>
              <w:bottom w:val="nil"/>
              <w:right w:val="nil"/>
            </w:tcBorders>
            <w:shd w:val="clear" w:color="000000" w:fill="EBFFFF"/>
            <w:noWrap/>
            <w:vAlign w:val="center"/>
            <w:hideMark/>
          </w:tcPr>
          <w:p w14:paraId="557D3C10" w14:textId="4FBC28E2" w:rsidR="00D67673" w:rsidRPr="003B5469" w:rsidRDefault="00A36B1E"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D67673" w:rsidRPr="003B5469">
              <w:rPr>
                <w:rFonts w:ascii="Arial" w:hAnsi="Arial" w:cs="Arial"/>
                <w:b/>
                <w:color w:val="000000"/>
                <w:sz w:val="16"/>
                <w:szCs w:val="16"/>
              </w:rPr>
              <w:t>131.6</w:t>
            </w:r>
          </w:p>
        </w:tc>
        <w:tc>
          <w:tcPr>
            <w:tcW w:w="645" w:type="pct"/>
            <w:tcBorders>
              <w:top w:val="nil"/>
              <w:left w:val="nil"/>
              <w:bottom w:val="nil"/>
              <w:right w:val="nil"/>
            </w:tcBorders>
            <w:shd w:val="clear" w:color="000000" w:fill="FFFFFF"/>
            <w:noWrap/>
            <w:vAlign w:val="center"/>
            <w:hideMark/>
          </w:tcPr>
          <w:p w14:paraId="4076111F" w14:textId="77777777" w:rsidR="00D67673" w:rsidRPr="003B5469" w:rsidRDefault="00D67673"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t>26.9</w:t>
            </w:r>
          </w:p>
        </w:tc>
      </w:tr>
      <w:tr w:rsidR="00D67673" w:rsidRPr="00513ED7" w14:paraId="09C610B9" w14:textId="77777777" w:rsidTr="00D67673">
        <w:trPr>
          <w:trHeight w:hRule="exact" w:val="210"/>
        </w:trPr>
        <w:tc>
          <w:tcPr>
            <w:tcW w:w="3066" w:type="pct"/>
            <w:tcBorders>
              <w:top w:val="nil"/>
              <w:left w:val="nil"/>
              <w:bottom w:val="nil"/>
              <w:right w:val="nil"/>
            </w:tcBorders>
            <w:shd w:val="clear" w:color="000000" w:fill="FFFFFF"/>
            <w:noWrap/>
            <w:vAlign w:val="center"/>
            <w:hideMark/>
          </w:tcPr>
          <w:p w14:paraId="7FCB3002" w14:textId="77777777" w:rsidR="00D67673" w:rsidRPr="003B5469" w:rsidRDefault="00D67673" w:rsidP="00D67673">
            <w:pPr>
              <w:spacing w:after="0" w:line="240" w:lineRule="auto"/>
              <w:jc w:val="left"/>
              <w:rPr>
                <w:rFonts w:ascii="Arial" w:hAnsi="Arial" w:cs="Arial"/>
                <w:sz w:val="16"/>
                <w:szCs w:val="16"/>
              </w:rPr>
            </w:pPr>
            <w:r w:rsidRPr="003B5469">
              <w:rPr>
                <w:rFonts w:ascii="Arial" w:hAnsi="Arial" w:cs="Arial"/>
                <w:sz w:val="16"/>
                <w:szCs w:val="16"/>
              </w:rPr>
              <w:t>Per cent of GDP</w:t>
            </w:r>
          </w:p>
        </w:tc>
        <w:tc>
          <w:tcPr>
            <w:tcW w:w="645" w:type="pct"/>
            <w:tcBorders>
              <w:top w:val="nil"/>
              <w:left w:val="nil"/>
              <w:bottom w:val="nil"/>
              <w:right w:val="nil"/>
            </w:tcBorders>
            <w:shd w:val="clear" w:color="000000" w:fill="FFFFFF"/>
            <w:noWrap/>
            <w:vAlign w:val="center"/>
            <w:hideMark/>
          </w:tcPr>
          <w:p w14:paraId="30FDCCAA" w14:textId="44DC2624" w:rsidR="00D67673" w:rsidRPr="003B5469" w:rsidRDefault="00A36B1E" w:rsidP="00D67673">
            <w:pPr>
              <w:spacing w:after="0" w:line="240" w:lineRule="auto"/>
              <w:jc w:val="right"/>
              <w:rPr>
                <w:rFonts w:ascii="Arial" w:hAnsi="Arial" w:cs="Arial"/>
                <w:sz w:val="16"/>
                <w:szCs w:val="16"/>
              </w:rPr>
            </w:pPr>
            <w:r w:rsidRPr="003B5469">
              <w:rPr>
                <w:rFonts w:ascii="Arial" w:hAnsi="Arial" w:cs="Arial"/>
                <w:sz w:val="16"/>
                <w:szCs w:val="16"/>
              </w:rPr>
              <w:noBreakHyphen/>
            </w:r>
            <w:r w:rsidR="00D67673" w:rsidRPr="003B5469">
              <w:rPr>
                <w:rFonts w:ascii="Arial" w:hAnsi="Arial" w:cs="Arial"/>
                <w:sz w:val="16"/>
                <w:szCs w:val="16"/>
              </w:rPr>
              <w:t>7.7</w:t>
            </w:r>
          </w:p>
        </w:tc>
        <w:tc>
          <w:tcPr>
            <w:tcW w:w="645" w:type="pct"/>
            <w:tcBorders>
              <w:top w:val="nil"/>
              <w:left w:val="nil"/>
              <w:bottom w:val="nil"/>
              <w:right w:val="nil"/>
            </w:tcBorders>
            <w:shd w:val="clear" w:color="000000" w:fill="EBFFFF"/>
            <w:noWrap/>
            <w:vAlign w:val="center"/>
            <w:hideMark/>
          </w:tcPr>
          <w:p w14:paraId="13A16D0D" w14:textId="163A8F8C" w:rsidR="00D67673" w:rsidRPr="003B5469" w:rsidRDefault="00A36B1E" w:rsidP="00D67673">
            <w:pPr>
              <w:spacing w:after="0" w:line="240" w:lineRule="auto"/>
              <w:jc w:val="right"/>
              <w:rPr>
                <w:rFonts w:ascii="Arial" w:hAnsi="Arial" w:cs="Arial"/>
                <w:sz w:val="16"/>
                <w:szCs w:val="16"/>
              </w:rPr>
            </w:pPr>
            <w:r w:rsidRPr="003B5469">
              <w:rPr>
                <w:rFonts w:ascii="Arial" w:hAnsi="Arial" w:cs="Arial"/>
                <w:sz w:val="16"/>
                <w:szCs w:val="16"/>
              </w:rPr>
              <w:noBreakHyphen/>
            </w:r>
            <w:r w:rsidR="00D67673" w:rsidRPr="003B5469">
              <w:rPr>
                <w:rFonts w:ascii="Arial" w:hAnsi="Arial" w:cs="Arial"/>
                <w:sz w:val="16"/>
                <w:szCs w:val="16"/>
              </w:rPr>
              <w:t>6.4</w:t>
            </w:r>
          </w:p>
        </w:tc>
        <w:tc>
          <w:tcPr>
            <w:tcW w:w="645" w:type="pct"/>
            <w:tcBorders>
              <w:top w:val="nil"/>
              <w:left w:val="nil"/>
              <w:bottom w:val="nil"/>
              <w:right w:val="nil"/>
            </w:tcBorders>
            <w:shd w:val="clear" w:color="000000" w:fill="FFFFFF"/>
            <w:noWrap/>
            <w:vAlign w:val="center"/>
            <w:hideMark/>
          </w:tcPr>
          <w:p w14:paraId="32E156A7" w14:textId="77777777" w:rsidR="00D67673" w:rsidRPr="003B5469" w:rsidRDefault="00D67673" w:rsidP="00D67673">
            <w:pPr>
              <w:spacing w:after="0" w:line="240" w:lineRule="auto"/>
              <w:jc w:val="right"/>
              <w:rPr>
                <w:rFonts w:ascii="Arial" w:hAnsi="Arial" w:cs="Arial"/>
                <w:sz w:val="16"/>
                <w:szCs w:val="16"/>
              </w:rPr>
            </w:pPr>
            <w:r w:rsidRPr="003B5469">
              <w:rPr>
                <w:rFonts w:ascii="Arial" w:hAnsi="Arial" w:cs="Arial"/>
                <w:sz w:val="16"/>
                <w:szCs w:val="16"/>
              </w:rPr>
              <w:t> </w:t>
            </w:r>
          </w:p>
        </w:tc>
      </w:tr>
      <w:tr w:rsidR="00D67673" w:rsidRPr="00513ED7" w14:paraId="1D099493" w14:textId="77777777" w:rsidTr="00D67673">
        <w:trPr>
          <w:trHeight w:hRule="exact" w:val="75"/>
        </w:trPr>
        <w:tc>
          <w:tcPr>
            <w:tcW w:w="3066" w:type="pct"/>
            <w:tcBorders>
              <w:top w:val="nil"/>
              <w:left w:val="nil"/>
              <w:bottom w:val="nil"/>
              <w:right w:val="nil"/>
            </w:tcBorders>
            <w:shd w:val="clear" w:color="000000" w:fill="FFFFFF"/>
            <w:noWrap/>
            <w:vAlign w:val="center"/>
            <w:hideMark/>
          </w:tcPr>
          <w:p w14:paraId="0E7C4AB3" w14:textId="77777777" w:rsidR="00D67673" w:rsidRPr="003B5469" w:rsidRDefault="00D67673" w:rsidP="00D67673">
            <w:pPr>
              <w:spacing w:after="0" w:line="240" w:lineRule="auto"/>
              <w:jc w:val="left"/>
              <w:rPr>
                <w:rFonts w:ascii="Arial" w:hAnsi="Arial" w:cs="Arial"/>
                <w:sz w:val="16"/>
                <w:szCs w:val="16"/>
              </w:rPr>
            </w:pPr>
            <w:r w:rsidRPr="003B5469">
              <w:rPr>
                <w:rFonts w:ascii="Arial" w:hAnsi="Arial" w:cs="Arial"/>
                <w:sz w:val="16"/>
                <w:szCs w:val="16"/>
              </w:rPr>
              <w:t> </w:t>
            </w:r>
          </w:p>
        </w:tc>
        <w:tc>
          <w:tcPr>
            <w:tcW w:w="645" w:type="pct"/>
            <w:tcBorders>
              <w:top w:val="nil"/>
              <w:left w:val="nil"/>
              <w:bottom w:val="nil"/>
              <w:right w:val="nil"/>
            </w:tcBorders>
            <w:shd w:val="clear" w:color="000000" w:fill="FFFFFF"/>
            <w:noWrap/>
            <w:vAlign w:val="center"/>
            <w:hideMark/>
          </w:tcPr>
          <w:p w14:paraId="514A5F10" w14:textId="77777777" w:rsidR="00D67673" w:rsidRPr="003B5469" w:rsidRDefault="00D67673" w:rsidP="00D67673">
            <w:pPr>
              <w:spacing w:after="0" w:line="240" w:lineRule="auto"/>
              <w:jc w:val="right"/>
              <w:rPr>
                <w:rFonts w:ascii="Arial" w:hAnsi="Arial" w:cs="Arial"/>
                <w:sz w:val="16"/>
                <w:szCs w:val="16"/>
              </w:rPr>
            </w:pPr>
            <w:r w:rsidRPr="003B5469">
              <w:rPr>
                <w:rFonts w:ascii="Arial" w:hAnsi="Arial" w:cs="Arial"/>
                <w:sz w:val="16"/>
                <w:szCs w:val="16"/>
              </w:rPr>
              <w:t> </w:t>
            </w:r>
          </w:p>
        </w:tc>
        <w:tc>
          <w:tcPr>
            <w:tcW w:w="645" w:type="pct"/>
            <w:tcBorders>
              <w:top w:val="nil"/>
              <w:left w:val="nil"/>
              <w:bottom w:val="nil"/>
              <w:right w:val="nil"/>
            </w:tcBorders>
            <w:shd w:val="clear" w:color="000000" w:fill="EBFFFF"/>
            <w:noWrap/>
            <w:vAlign w:val="center"/>
            <w:hideMark/>
          </w:tcPr>
          <w:p w14:paraId="2D2DBED5" w14:textId="77777777" w:rsidR="00D67673" w:rsidRPr="003B5469" w:rsidRDefault="00D67673" w:rsidP="00D67673">
            <w:pPr>
              <w:spacing w:after="0" w:line="240" w:lineRule="auto"/>
              <w:jc w:val="right"/>
              <w:rPr>
                <w:rFonts w:ascii="Arial" w:hAnsi="Arial" w:cs="Arial"/>
                <w:sz w:val="16"/>
                <w:szCs w:val="16"/>
              </w:rPr>
            </w:pPr>
            <w:r w:rsidRPr="003B5469">
              <w:rPr>
                <w:rFonts w:ascii="Arial" w:hAnsi="Arial" w:cs="Arial"/>
                <w:sz w:val="16"/>
                <w:szCs w:val="16"/>
              </w:rPr>
              <w:t> </w:t>
            </w:r>
          </w:p>
        </w:tc>
        <w:tc>
          <w:tcPr>
            <w:tcW w:w="645" w:type="pct"/>
            <w:tcBorders>
              <w:top w:val="nil"/>
              <w:left w:val="nil"/>
              <w:bottom w:val="nil"/>
              <w:right w:val="nil"/>
            </w:tcBorders>
            <w:shd w:val="clear" w:color="000000" w:fill="FFFFFF"/>
            <w:noWrap/>
            <w:vAlign w:val="center"/>
            <w:hideMark/>
          </w:tcPr>
          <w:p w14:paraId="4EFEB8EF" w14:textId="77777777" w:rsidR="00D67673" w:rsidRPr="003B5469" w:rsidRDefault="00D67673" w:rsidP="00D67673">
            <w:pPr>
              <w:spacing w:after="0" w:line="240" w:lineRule="auto"/>
              <w:jc w:val="right"/>
              <w:rPr>
                <w:rFonts w:ascii="Arial" w:hAnsi="Arial" w:cs="Arial"/>
                <w:sz w:val="16"/>
                <w:szCs w:val="16"/>
              </w:rPr>
            </w:pPr>
            <w:r w:rsidRPr="003B5469">
              <w:rPr>
                <w:rFonts w:ascii="Arial" w:hAnsi="Arial" w:cs="Arial"/>
                <w:sz w:val="16"/>
                <w:szCs w:val="16"/>
              </w:rPr>
              <w:t> </w:t>
            </w:r>
          </w:p>
        </w:tc>
      </w:tr>
      <w:tr w:rsidR="00D67673" w:rsidRPr="00513ED7" w14:paraId="4C233B07" w14:textId="77777777" w:rsidTr="00D67673">
        <w:trPr>
          <w:trHeight w:hRule="exact" w:val="210"/>
        </w:trPr>
        <w:tc>
          <w:tcPr>
            <w:tcW w:w="3066" w:type="pct"/>
            <w:tcBorders>
              <w:top w:val="nil"/>
              <w:left w:val="nil"/>
              <w:bottom w:val="nil"/>
              <w:right w:val="nil"/>
            </w:tcBorders>
            <w:shd w:val="clear" w:color="000000" w:fill="FFFFFF"/>
            <w:noWrap/>
            <w:vAlign w:val="center"/>
            <w:hideMark/>
          </w:tcPr>
          <w:p w14:paraId="13958686" w14:textId="77777777" w:rsidR="00D67673" w:rsidRPr="003B5469" w:rsidRDefault="00D67673" w:rsidP="00D67673">
            <w:pPr>
              <w:spacing w:after="0" w:line="240" w:lineRule="auto"/>
              <w:jc w:val="left"/>
              <w:rPr>
                <w:rFonts w:ascii="Arial" w:hAnsi="Arial" w:cs="Arial"/>
                <w:i/>
                <w:color w:val="000000"/>
                <w:sz w:val="16"/>
                <w:szCs w:val="16"/>
              </w:rPr>
            </w:pPr>
            <w:proofErr w:type="gramStart"/>
            <w:r w:rsidRPr="003B5469">
              <w:rPr>
                <w:rFonts w:ascii="Arial" w:hAnsi="Arial" w:cs="Arial"/>
                <w:i/>
                <w:color w:val="000000"/>
                <w:sz w:val="16"/>
                <w:szCs w:val="16"/>
              </w:rPr>
              <w:t>plus</w:t>
            </w:r>
            <w:proofErr w:type="gramEnd"/>
            <w:r w:rsidRPr="003B5469">
              <w:rPr>
                <w:rFonts w:ascii="Arial" w:hAnsi="Arial" w:cs="Arial"/>
                <w:i/>
                <w:color w:val="000000"/>
                <w:sz w:val="16"/>
                <w:szCs w:val="16"/>
              </w:rPr>
              <w:t xml:space="preserve"> </w:t>
            </w:r>
            <w:r w:rsidRPr="003B5469">
              <w:rPr>
                <w:rFonts w:ascii="Arial" w:hAnsi="Arial" w:cs="Arial"/>
                <w:color w:val="000000"/>
                <w:sz w:val="16"/>
                <w:szCs w:val="16"/>
              </w:rPr>
              <w:t>Net cash flows from financing activities for leases(c)</w:t>
            </w:r>
          </w:p>
        </w:tc>
        <w:tc>
          <w:tcPr>
            <w:tcW w:w="645" w:type="pct"/>
            <w:tcBorders>
              <w:top w:val="nil"/>
              <w:left w:val="nil"/>
              <w:bottom w:val="nil"/>
              <w:right w:val="nil"/>
            </w:tcBorders>
            <w:shd w:val="clear" w:color="000000" w:fill="FFFFFF"/>
            <w:noWrap/>
            <w:vAlign w:val="center"/>
            <w:hideMark/>
          </w:tcPr>
          <w:p w14:paraId="6A568237" w14:textId="59F02CCC" w:rsidR="00D67673" w:rsidRPr="003B5469" w:rsidRDefault="00A36B1E"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D67673" w:rsidRPr="003B5469">
              <w:rPr>
                <w:rFonts w:ascii="Arial" w:hAnsi="Arial" w:cs="Arial"/>
                <w:color w:val="000000"/>
                <w:sz w:val="16"/>
                <w:szCs w:val="16"/>
              </w:rPr>
              <w:t>2.4</w:t>
            </w:r>
          </w:p>
        </w:tc>
        <w:tc>
          <w:tcPr>
            <w:tcW w:w="645" w:type="pct"/>
            <w:tcBorders>
              <w:top w:val="nil"/>
              <w:left w:val="nil"/>
              <w:bottom w:val="nil"/>
              <w:right w:val="nil"/>
            </w:tcBorders>
            <w:shd w:val="clear" w:color="000000" w:fill="EBFFFF"/>
            <w:noWrap/>
            <w:vAlign w:val="center"/>
            <w:hideMark/>
          </w:tcPr>
          <w:p w14:paraId="13CE7962" w14:textId="2ED07C7A" w:rsidR="00D67673" w:rsidRPr="003B5469" w:rsidRDefault="00A36B1E"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D67673" w:rsidRPr="003B5469">
              <w:rPr>
                <w:rFonts w:ascii="Arial" w:hAnsi="Arial" w:cs="Arial"/>
                <w:color w:val="000000"/>
                <w:sz w:val="16"/>
                <w:szCs w:val="16"/>
              </w:rPr>
              <w:t>2.5</w:t>
            </w:r>
          </w:p>
        </w:tc>
        <w:tc>
          <w:tcPr>
            <w:tcW w:w="645" w:type="pct"/>
            <w:tcBorders>
              <w:top w:val="nil"/>
              <w:left w:val="nil"/>
              <w:bottom w:val="nil"/>
              <w:right w:val="nil"/>
            </w:tcBorders>
            <w:shd w:val="clear" w:color="000000" w:fill="FFFFFF"/>
            <w:noWrap/>
            <w:vAlign w:val="center"/>
            <w:hideMark/>
          </w:tcPr>
          <w:p w14:paraId="731372AD" w14:textId="41955BA4" w:rsidR="00D67673" w:rsidRPr="003B5469" w:rsidRDefault="00A36B1E"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D67673" w:rsidRPr="003B5469">
              <w:rPr>
                <w:rFonts w:ascii="Arial" w:hAnsi="Arial" w:cs="Arial"/>
                <w:color w:val="000000"/>
                <w:sz w:val="16"/>
                <w:szCs w:val="16"/>
              </w:rPr>
              <w:t>0.1</w:t>
            </w:r>
          </w:p>
        </w:tc>
      </w:tr>
      <w:tr w:rsidR="00D67673" w:rsidRPr="00513ED7" w14:paraId="07123067" w14:textId="77777777" w:rsidTr="00D67673">
        <w:trPr>
          <w:trHeight w:hRule="exact" w:val="45"/>
        </w:trPr>
        <w:tc>
          <w:tcPr>
            <w:tcW w:w="3066" w:type="pct"/>
            <w:tcBorders>
              <w:top w:val="nil"/>
              <w:left w:val="nil"/>
              <w:bottom w:val="nil"/>
              <w:right w:val="nil"/>
            </w:tcBorders>
            <w:shd w:val="clear" w:color="000000" w:fill="FFFFFF"/>
            <w:noWrap/>
            <w:vAlign w:val="center"/>
            <w:hideMark/>
          </w:tcPr>
          <w:p w14:paraId="7E9C4FD5" w14:textId="77777777" w:rsidR="00D67673" w:rsidRPr="003B5469" w:rsidRDefault="00D67673" w:rsidP="00D67673">
            <w:pPr>
              <w:spacing w:after="0" w:line="240" w:lineRule="auto"/>
              <w:jc w:val="left"/>
              <w:rPr>
                <w:rFonts w:ascii="Arial" w:hAnsi="Arial" w:cs="Arial"/>
                <w:b/>
                <w:color w:val="000000"/>
                <w:sz w:val="16"/>
                <w:szCs w:val="16"/>
              </w:rPr>
            </w:pPr>
            <w:r w:rsidRPr="003B5469">
              <w:rPr>
                <w:rFonts w:ascii="Arial" w:hAnsi="Arial" w:cs="Arial"/>
                <w:b/>
                <w:color w:val="000000"/>
                <w:sz w:val="16"/>
                <w:szCs w:val="16"/>
              </w:rPr>
              <w:t> </w:t>
            </w:r>
          </w:p>
        </w:tc>
        <w:tc>
          <w:tcPr>
            <w:tcW w:w="645" w:type="pct"/>
            <w:tcBorders>
              <w:top w:val="nil"/>
              <w:left w:val="nil"/>
              <w:bottom w:val="nil"/>
              <w:right w:val="nil"/>
            </w:tcBorders>
            <w:shd w:val="clear" w:color="000000" w:fill="FFFFFF"/>
            <w:noWrap/>
            <w:vAlign w:val="center"/>
            <w:hideMark/>
          </w:tcPr>
          <w:p w14:paraId="4DAFABD8" w14:textId="77777777" w:rsidR="00D67673" w:rsidRPr="003B5469" w:rsidRDefault="00D67673" w:rsidP="00D67673">
            <w:pPr>
              <w:spacing w:after="0" w:line="240" w:lineRule="auto"/>
              <w:jc w:val="right"/>
              <w:rPr>
                <w:rFonts w:ascii="Arial" w:hAnsi="Arial" w:cs="Arial"/>
                <w:sz w:val="16"/>
                <w:szCs w:val="16"/>
              </w:rPr>
            </w:pPr>
            <w:r w:rsidRPr="003B5469">
              <w:rPr>
                <w:rFonts w:ascii="Arial" w:hAnsi="Arial" w:cs="Arial"/>
                <w:sz w:val="16"/>
                <w:szCs w:val="16"/>
              </w:rPr>
              <w:t> </w:t>
            </w:r>
          </w:p>
        </w:tc>
        <w:tc>
          <w:tcPr>
            <w:tcW w:w="645" w:type="pct"/>
            <w:tcBorders>
              <w:top w:val="nil"/>
              <w:left w:val="nil"/>
              <w:bottom w:val="nil"/>
              <w:right w:val="nil"/>
            </w:tcBorders>
            <w:shd w:val="clear" w:color="000000" w:fill="EBFFFF"/>
            <w:noWrap/>
            <w:vAlign w:val="center"/>
            <w:hideMark/>
          </w:tcPr>
          <w:p w14:paraId="676054E8"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45" w:type="pct"/>
            <w:tcBorders>
              <w:top w:val="nil"/>
              <w:left w:val="nil"/>
              <w:bottom w:val="nil"/>
              <w:right w:val="nil"/>
            </w:tcBorders>
            <w:shd w:val="clear" w:color="000000" w:fill="FFFFFF"/>
            <w:noWrap/>
            <w:vAlign w:val="center"/>
            <w:hideMark/>
          </w:tcPr>
          <w:p w14:paraId="75A64782" w14:textId="77777777" w:rsidR="00D67673" w:rsidRPr="003B5469" w:rsidRDefault="00D67673" w:rsidP="00D67673">
            <w:pPr>
              <w:spacing w:after="0" w:line="240" w:lineRule="auto"/>
              <w:jc w:val="right"/>
              <w:rPr>
                <w:rFonts w:ascii="Arial" w:hAnsi="Arial" w:cs="Arial"/>
                <w:sz w:val="16"/>
                <w:szCs w:val="16"/>
              </w:rPr>
            </w:pPr>
            <w:r w:rsidRPr="003B5469">
              <w:rPr>
                <w:rFonts w:ascii="Arial" w:hAnsi="Arial" w:cs="Arial"/>
                <w:sz w:val="16"/>
                <w:szCs w:val="16"/>
              </w:rPr>
              <w:t> </w:t>
            </w:r>
          </w:p>
        </w:tc>
      </w:tr>
      <w:tr w:rsidR="00D67673" w:rsidRPr="00513ED7" w14:paraId="02F6D197" w14:textId="77777777" w:rsidTr="00D67673">
        <w:trPr>
          <w:trHeight w:hRule="exact" w:val="210"/>
        </w:trPr>
        <w:tc>
          <w:tcPr>
            <w:tcW w:w="3066" w:type="pct"/>
            <w:tcBorders>
              <w:top w:val="nil"/>
              <w:left w:val="nil"/>
              <w:bottom w:val="nil"/>
              <w:right w:val="nil"/>
            </w:tcBorders>
            <w:shd w:val="clear" w:color="000000" w:fill="FFFFFF"/>
            <w:noWrap/>
            <w:vAlign w:val="center"/>
            <w:hideMark/>
          </w:tcPr>
          <w:p w14:paraId="5FD7A1BA" w14:textId="77777777" w:rsidR="00D67673" w:rsidRPr="003B5469" w:rsidRDefault="00D67673" w:rsidP="00D67673">
            <w:pPr>
              <w:spacing w:after="0" w:line="240" w:lineRule="auto"/>
              <w:jc w:val="left"/>
              <w:rPr>
                <w:rFonts w:ascii="Arial" w:hAnsi="Arial" w:cs="Arial"/>
                <w:b/>
                <w:color w:val="000000"/>
                <w:sz w:val="16"/>
                <w:szCs w:val="16"/>
              </w:rPr>
            </w:pPr>
            <w:r w:rsidRPr="003B5469">
              <w:rPr>
                <w:rFonts w:ascii="Arial" w:hAnsi="Arial" w:cs="Arial"/>
                <w:b/>
                <w:color w:val="000000"/>
                <w:sz w:val="16"/>
                <w:szCs w:val="16"/>
              </w:rPr>
              <w:t>Underlying cash balance</w:t>
            </w:r>
          </w:p>
        </w:tc>
        <w:tc>
          <w:tcPr>
            <w:tcW w:w="645" w:type="pct"/>
            <w:tcBorders>
              <w:top w:val="nil"/>
              <w:left w:val="nil"/>
              <w:bottom w:val="nil"/>
              <w:right w:val="nil"/>
            </w:tcBorders>
            <w:shd w:val="clear" w:color="000000" w:fill="FFFFFF"/>
            <w:noWrap/>
            <w:vAlign w:val="center"/>
            <w:hideMark/>
          </w:tcPr>
          <w:p w14:paraId="6E645341" w14:textId="2DDB2098" w:rsidR="00D67673" w:rsidRPr="003B5469" w:rsidRDefault="00A36B1E"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D67673" w:rsidRPr="003B5469">
              <w:rPr>
                <w:rFonts w:ascii="Arial" w:hAnsi="Arial" w:cs="Arial"/>
                <w:b/>
                <w:color w:val="000000"/>
                <w:sz w:val="16"/>
                <w:szCs w:val="16"/>
              </w:rPr>
              <w:t>161.0</w:t>
            </w:r>
          </w:p>
        </w:tc>
        <w:tc>
          <w:tcPr>
            <w:tcW w:w="645" w:type="pct"/>
            <w:tcBorders>
              <w:top w:val="nil"/>
              <w:left w:val="nil"/>
              <w:bottom w:val="nil"/>
              <w:right w:val="nil"/>
            </w:tcBorders>
            <w:shd w:val="clear" w:color="000000" w:fill="EBFFFF"/>
            <w:noWrap/>
            <w:vAlign w:val="center"/>
            <w:hideMark/>
          </w:tcPr>
          <w:p w14:paraId="19DADA07" w14:textId="68D7AB04" w:rsidR="00D67673" w:rsidRPr="003B5469" w:rsidRDefault="00A36B1E"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D67673" w:rsidRPr="003B5469">
              <w:rPr>
                <w:rFonts w:ascii="Arial" w:hAnsi="Arial" w:cs="Arial"/>
                <w:b/>
                <w:color w:val="000000"/>
                <w:sz w:val="16"/>
                <w:szCs w:val="16"/>
              </w:rPr>
              <w:t>134.2</w:t>
            </w:r>
          </w:p>
        </w:tc>
        <w:tc>
          <w:tcPr>
            <w:tcW w:w="645" w:type="pct"/>
            <w:tcBorders>
              <w:top w:val="nil"/>
              <w:left w:val="nil"/>
              <w:bottom w:val="nil"/>
              <w:right w:val="nil"/>
            </w:tcBorders>
            <w:shd w:val="clear" w:color="000000" w:fill="FFFFFF"/>
            <w:noWrap/>
            <w:vAlign w:val="center"/>
            <w:hideMark/>
          </w:tcPr>
          <w:p w14:paraId="7BEB0A4B" w14:textId="77777777" w:rsidR="00D67673" w:rsidRPr="003B5469" w:rsidRDefault="00D67673"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t>26.8</w:t>
            </w:r>
          </w:p>
        </w:tc>
      </w:tr>
      <w:tr w:rsidR="00D67673" w:rsidRPr="00513ED7" w14:paraId="74F797F2" w14:textId="77777777" w:rsidTr="00D67673">
        <w:trPr>
          <w:trHeight w:hRule="exact" w:val="210"/>
        </w:trPr>
        <w:tc>
          <w:tcPr>
            <w:tcW w:w="3066" w:type="pct"/>
            <w:tcBorders>
              <w:top w:val="nil"/>
              <w:left w:val="nil"/>
              <w:bottom w:val="nil"/>
              <w:right w:val="nil"/>
            </w:tcBorders>
            <w:shd w:val="clear" w:color="000000" w:fill="FFFFFF"/>
            <w:noWrap/>
            <w:vAlign w:val="center"/>
            <w:hideMark/>
          </w:tcPr>
          <w:p w14:paraId="51D34886" w14:textId="77777777" w:rsidR="00D67673" w:rsidRPr="003B5469" w:rsidRDefault="00D67673" w:rsidP="00D67673">
            <w:pPr>
              <w:spacing w:after="0" w:line="240" w:lineRule="auto"/>
              <w:jc w:val="left"/>
              <w:rPr>
                <w:rFonts w:ascii="Arial" w:hAnsi="Arial" w:cs="Arial"/>
                <w:sz w:val="16"/>
                <w:szCs w:val="16"/>
              </w:rPr>
            </w:pPr>
            <w:r w:rsidRPr="003B5469">
              <w:rPr>
                <w:rFonts w:ascii="Arial" w:hAnsi="Arial" w:cs="Arial"/>
                <w:sz w:val="16"/>
                <w:szCs w:val="16"/>
              </w:rPr>
              <w:t>Per cent of GDP</w:t>
            </w:r>
          </w:p>
        </w:tc>
        <w:tc>
          <w:tcPr>
            <w:tcW w:w="645" w:type="pct"/>
            <w:tcBorders>
              <w:top w:val="nil"/>
              <w:left w:val="nil"/>
              <w:bottom w:val="nil"/>
              <w:right w:val="nil"/>
            </w:tcBorders>
            <w:shd w:val="clear" w:color="000000" w:fill="FFFFFF"/>
            <w:noWrap/>
            <w:vAlign w:val="center"/>
            <w:hideMark/>
          </w:tcPr>
          <w:p w14:paraId="31921F24" w14:textId="0FFCBDC3" w:rsidR="00D67673" w:rsidRPr="003B5469" w:rsidRDefault="00A36B1E" w:rsidP="00D67673">
            <w:pPr>
              <w:spacing w:after="0" w:line="240" w:lineRule="auto"/>
              <w:jc w:val="right"/>
              <w:rPr>
                <w:rFonts w:ascii="Arial" w:hAnsi="Arial" w:cs="Arial"/>
                <w:sz w:val="16"/>
                <w:szCs w:val="16"/>
              </w:rPr>
            </w:pPr>
            <w:r w:rsidRPr="003B5469">
              <w:rPr>
                <w:rFonts w:ascii="Arial" w:hAnsi="Arial" w:cs="Arial"/>
                <w:sz w:val="16"/>
                <w:szCs w:val="16"/>
              </w:rPr>
              <w:noBreakHyphen/>
            </w:r>
            <w:r w:rsidR="00D67673" w:rsidRPr="003B5469">
              <w:rPr>
                <w:rFonts w:ascii="Arial" w:hAnsi="Arial" w:cs="Arial"/>
                <w:sz w:val="16"/>
                <w:szCs w:val="16"/>
              </w:rPr>
              <w:t>7.8</w:t>
            </w:r>
          </w:p>
        </w:tc>
        <w:tc>
          <w:tcPr>
            <w:tcW w:w="645" w:type="pct"/>
            <w:tcBorders>
              <w:top w:val="nil"/>
              <w:left w:val="nil"/>
              <w:bottom w:val="nil"/>
              <w:right w:val="nil"/>
            </w:tcBorders>
            <w:shd w:val="clear" w:color="000000" w:fill="EBFFFF"/>
            <w:noWrap/>
            <w:vAlign w:val="center"/>
            <w:hideMark/>
          </w:tcPr>
          <w:p w14:paraId="4DC1661E" w14:textId="5CCD79A5" w:rsidR="00D67673" w:rsidRPr="003B5469" w:rsidRDefault="00A36B1E" w:rsidP="00D67673">
            <w:pPr>
              <w:spacing w:after="0" w:line="240" w:lineRule="auto"/>
              <w:jc w:val="right"/>
              <w:rPr>
                <w:rFonts w:ascii="Arial" w:hAnsi="Arial" w:cs="Arial"/>
                <w:sz w:val="16"/>
                <w:szCs w:val="16"/>
              </w:rPr>
            </w:pPr>
            <w:r w:rsidRPr="003B5469">
              <w:rPr>
                <w:rFonts w:ascii="Arial" w:hAnsi="Arial" w:cs="Arial"/>
                <w:sz w:val="16"/>
                <w:szCs w:val="16"/>
              </w:rPr>
              <w:noBreakHyphen/>
            </w:r>
            <w:r w:rsidR="00D67673" w:rsidRPr="003B5469">
              <w:rPr>
                <w:rFonts w:ascii="Arial" w:hAnsi="Arial" w:cs="Arial"/>
                <w:sz w:val="16"/>
                <w:szCs w:val="16"/>
              </w:rPr>
              <w:t>6.5</w:t>
            </w:r>
          </w:p>
        </w:tc>
        <w:tc>
          <w:tcPr>
            <w:tcW w:w="645" w:type="pct"/>
            <w:tcBorders>
              <w:top w:val="nil"/>
              <w:left w:val="nil"/>
              <w:bottom w:val="nil"/>
              <w:right w:val="nil"/>
            </w:tcBorders>
            <w:shd w:val="clear" w:color="000000" w:fill="FFFFFF"/>
            <w:noWrap/>
            <w:vAlign w:val="center"/>
            <w:hideMark/>
          </w:tcPr>
          <w:p w14:paraId="0F777607" w14:textId="77777777" w:rsidR="00D67673" w:rsidRPr="003B5469" w:rsidRDefault="00D67673" w:rsidP="00D67673">
            <w:pPr>
              <w:spacing w:after="0" w:line="240" w:lineRule="auto"/>
              <w:jc w:val="right"/>
              <w:rPr>
                <w:rFonts w:ascii="Arial" w:hAnsi="Arial" w:cs="Arial"/>
                <w:sz w:val="16"/>
                <w:szCs w:val="16"/>
              </w:rPr>
            </w:pPr>
            <w:r w:rsidRPr="003B5469">
              <w:rPr>
                <w:rFonts w:ascii="Arial" w:hAnsi="Arial" w:cs="Arial"/>
                <w:sz w:val="16"/>
                <w:szCs w:val="16"/>
              </w:rPr>
              <w:t> </w:t>
            </w:r>
          </w:p>
        </w:tc>
      </w:tr>
      <w:tr w:rsidR="00D67673" w:rsidRPr="00513ED7" w14:paraId="45FC106A" w14:textId="77777777" w:rsidTr="00D67673">
        <w:trPr>
          <w:trHeight w:hRule="exact" w:val="60"/>
        </w:trPr>
        <w:tc>
          <w:tcPr>
            <w:tcW w:w="3066" w:type="pct"/>
            <w:tcBorders>
              <w:top w:val="nil"/>
              <w:left w:val="nil"/>
              <w:bottom w:val="single" w:sz="4" w:space="0" w:color="000000"/>
              <w:right w:val="nil"/>
            </w:tcBorders>
            <w:shd w:val="clear" w:color="000000" w:fill="FFFFFF"/>
            <w:noWrap/>
            <w:vAlign w:val="center"/>
            <w:hideMark/>
          </w:tcPr>
          <w:p w14:paraId="598D21F6" w14:textId="77777777" w:rsidR="00D67673" w:rsidRPr="003B5469" w:rsidRDefault="00D67673" w:rsidP="00D67673">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45" w:type="pct"/>
            <w:tcBorders>
              <w:top w:val="nil"/>
              <w:left w:val="nil"/>
              <w:bottom w:val="single" w:sz="4" w:space="0" w:color="000000"/>
              <w:right w:val="nil"/>
            </w:tcBorders>
            <w:shd w:val="clear" w:color="000000" w:fill="FFFFFF"/>
            <w:noWrap/>
            <w:vAlign w:val="center"/>
            <w:hideMark/>
          </w:tcPr>
          <w:p w14:paraId="165CCEBC" w14:textId="77777777" w:rsidR="00D67673" w:rsidRPr="003B5469" w:rsidRDefault="00D67673"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c>
          <w:tcPr>
            <w:tcW w:w="645" w:type="pct"/>
            <w:tcBorders>
              <w:top w:val="nil"/>
              <w:left w:val="nil"/>
              <w:bottom w:val="single" w:sz="4" w:space="0" w:color="000000"/>
              <w:right w:val="nil"/>
            </w:tcBorders>
            <w:shd w:val="clear" w:color="000000" w:fill="EBFFFF"/>
            <w:noWrap/>
            <w:vAlign w:val="center"/>
            <w:hideMark/>
          </w:tcPr>
          <w:p w14:paraId="0173B926" w14:textId="77777777" w:rsidR="00D67673" w:rsidRPr="003B5469" w:rsidRDefault="00D67673"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c>
          <w:tcPr>
            <w:tcW w:w="645" w:type="pct"/>
            <w:tcBorders>
              <w:top w:val="nil"/>
              <w:left w:val="nil"/>
              <w:bottom w:val="single" w:sz="4" w:space="0" w:color="000000"/>
              <w:right w:val="nil"/>
            </w:tcBorders>
            <w:shd w:val="clear" w:color="000000" w:fill="FFFFFF"/>
            <w:noWrap/>
            <w:vAlign w:val="center"/>
            <w:hideMark/>
          </w:tcPr>
          <w:p w14:paraId="4F9298C8" w14:textId="77777777" w:rsidR="00D67673" w:rsidRPr="003B5469" w:rsidRDefault="00D67673"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r>
      <w:tr w:rsidR="00D67673" w:rsidRPr="00513ED7" w14:paraId="5CAEB789" w14:textId="77777777" w:rsidTr="00D67673">
        <w:trPr>
          <w:trHeight w:hRule="exact" w:val="210"/>
        </w:trPr>
        <w:tc>
          <w:tcPr>
            <w:tcW w:w="3066" w:type="pct"/>
            <w:tcBorders>
              <w:top w:val="nil"/>
              <w:left w:val="nil"/>
              <w:bottom w:val="nil"/>
              <w:right w:val="nil"/>
            </w:tcBorders>
            <w:shd w:val="clear" w:color="000000" w:fill="FFFFFF"/>
            <w:noWrap/>
            <w:vAlign w:val="center"/>
            <w:hideMark/>
          </w:tcPr>
          <w:p w14:paraId="720E9D0E" w14:textId="77777777" w:rsidR="00D67673" w:rsidRPr="003B5469" w:rsidRDefault="00D67673" w:rsidP="00D67673">
            <w:pPr>
              <w:spacing w:after="0" w:line="240" w:lineRule="auto"/>
              <w:jc w:val="left"/>
              <w:rPr>
                <w:rFonts w:ascii="Arial" w:hAnsi="Arial" w:cs="Arial"/>
                <w:i/>
                <w:color w:val="000000"/>
                <w:sz w:val="16"/>
                <w:szCs w:val="16"/>
              </w:rPr>
            </w:pPr>
            <w:r w:rsidRPr="003B5469">
              <w:rPr>
                <w:rFonts w:ascii="Arial" w:hAnsi="Arial" w:cs="Arial"/>
                <w:i/>
                <w:color w:val="000000"/>
                <w:sz w:val="16"/>
                <w:szCs w:val="16"/>
              </w:rPr>
              <w:t>Memorandum items:</w:t>
            </w:r>
          </w:p>
        </w:tc>
        <w:tc>
          <w:tcPr>
            <w:tcW w:w="645" w:type="pct"/>
            <w:tcBorders>
              <w:top w:val="nil"/>
              <w:left w:val="nil"/>
              <w:bottom w:val="nil"/>
              <w:right w:val="nil"/>
            </w:tcBorders>
            <w:shd w:val="clear" w:color="000000" w:fill="FFFFFF"/>
            <w:noWrap/>
            <w:vAlign w:val="center"/>
            <w:hideMark/>
          </w:tcPr>
          <w:p w14:paraId="35AC072A" w14:textId="77777777" w:rsidR="00D67673" w:rsidRPr="003B5469" w:rsidRDefault="00D67673"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c>
          <w:tcPr>
            <w:tcW w:w="645" w:type="pct"/>
            <w:tcBorders>
              <w:top w:val="nil"/>
              <w:left w:val="nil"/>
              <w:bottom w:val="nil"/>
              <w:right w:val="nil"/>
            </w:tcBorders>
            <w:shd w:val="clear" w:color="000000" w:fill="EBFFFF"/>
            <w:noWrap/>
            <w:vAlign w:val="center"/>
            <w:hideMark/>
          </w:tcPr>
          <w:p w14:paraId="239BB173" w14:textId="77777777" w:rsidR="00D67673" w:rsidRPr="003B5469" w:rsidRDefault="00D67673"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c>
          <w:tcPr>
            <w:tcW w:w="645" w:type="pct"/>
            <w:tcBorders>
              <w:top w:val="nil"/>
              <w:left w:val="nil"/>
              <w:bottom w:val="nil"/>
              <w:right w:val="nil"/>
            </w:tcBorders>
            <w:shd w:val="clear" w:color="000000" w:fill="FFFFFF"/>
            <w:noWrap/>
            <w:vAlign w:val="center"/>
            <w:hideMark/>
          </w:tcPr>
          <w:p w14:paraId="26F33E6E" w14:textId="77777777" w:rsidR="00D67673" w:rsidRPr="003B5469" w:rsidRDefault="00D67673"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r>
      <w:tr w:rsidR="00D67673" w:rsidRPr="00513ED7" w14:paraId="25A77F13" w14:textId="77777777" w:rsidTr="00D67673">
        <w:trPr>
          <w:trHeight w:hRule="exact" w:val="210"/>
        </w:trPr>
        <w:tc>
          <w:tcPr>
            <w:tcW w:w="3066" w:type="pct"/>
            <w:tcBorders>
              <w:top w:val="nil"/>
              <w:left w:val="nil"/>
              <w:bottom w:val="nil"/>
              <w:right w:val="nil"/>
            </w:tcBorders>
            <w:shd w:val="clear" w:color="000000" w:fill="FFFFFF"/>
            <w:noWrap/>
            <w:vAlign w:val="center"/>
            <w:hideMark/>
          </w:tcPr>
          <w:p w14:paraId="35C3D7BD" w14:textId="77777777" w:rsidR="00D67673" w:rsidRPr="003B5469" w:rsidRDefault="00D67673" w:rsidP="00D67673">
            <w:pPr>
              <w:spacing w:after="0" w:line="240" w:lineRule="auto"/>
              <w:jc w:val="left"/>
              <w:rPr>
                <w:rFonts w:ascii="Arial" w:hAnsi="Arial" w:cs="Arial"/>
                <w:color w:val="000000"/>
                <w:sz w:val="16"/>
                <w:szCs w:val="16"/>
              </w:rPr>
            </w:pPr>
            <w:r w:rsidRPr="003B5469">
              <w:rPr>
                <w:rFonts w:ascii="Arial" w:hAnsi="Arial" w:cs="Arial"/>
                <w:color w:val="000000"/>
                <w:sz w:val="16"/>
                <w:szCs w:val="16"/>
              </w:rPr>
              <w:t>Net cash flows from investments in financial</w:t>
            </w:r>
          </w:p>
        </w:tc>
        <w:tc>
          <w:tcPr>
            <w:tcW w:w="645" w:type="pct"/>
            <w:tcBorders>
              <w:top w:val="nil"/>
              <w:left w:val="nil"/>
              <w:bottom w:val="nil"/>
              <w:right w:val="nil"/>
            </w:tcBorders>
            <w:shd w:val="clear" w:color="000000" w:fill="FFFFFF"/>
            <w:noWrap/>
            <w:vAlign w:val="center"/>
            <w:hideMark/>
          </w:tcPr>
          <w:p w14:paraId="353846C0" w14:textId="77777777" w:rsidR="00D67673" w:rsidRPr="003B5469" w:rsidRDefault="00D67673"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c>
          <w:tcPr>
            <w:tcW w:w="645" w:type="pct"/>
            <w:tcBorders>
              <w:top w:val="nil"/>
              <w:left w:val="nil"/>
              <w:bottom w:val="nil"/>
              <w:right w:val="nil"/>
            </w:tcBorders>
            <w:shd w:val="clear" w:color="000000" w:fill="EBFFFF"/>
            <w:noWrap/>
            <w:vAlign w:val="center"/>
            <w:hideMark/>
          </w:tcPr>
          <w:p w14:paraId="4AFF0C77" w14:textId="77777777" w:rsidR="00D67673" w:rsidRPr="003B5469" w:rsidRDefault="00D67673"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c>
          <w:tcPr>
            <w:tcW w:w="645" w:type="pct"/>
            <w:tcBorders>
              <w:top w:val="nil"/>
              <w:left w:val="nil"/>
              <w:bottom w:val="nil"/>
              <w:right w:val="nil"/>
            </w:tcBorders>
            <w:shd w:val="clear" w:color="000000" w:fill="FFFFFF"/>
            <w:noWrap/>
            <w:vAlign w:val="center"/>
            <w:hideMark/>
          </w:tcPr>
          <w:p w14:paraId="358E0D78" w14:textId="77777777" w:rsidR="00D67673" w:rsidRPr="003B5469" w:rsidRDefault="00D67673"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r>
      <w:tr w:rsidR="00D67673" w:rsidRPr="00513ED7" w14:paraId="4AA2C218" w14:textId="77777777" w:rsidTr="00D67673">
        <w:trPr>
          <w:trHeight w:hRule="exact" w:val="210"/>
        </w:trPr>
        <w:tc>
          <w:tcPr>
            <w:tcW w:w="3066" w:type="pct"/>
            <w:tcBorders>
              <w:top w:val="nil"/>
              <w:left w:val="nil"/>
              <w:bottom w:val="nil"/>
              <w:right w:val="nil"/>
            </w:tcBorders>
            <w:shd w:val="clear" w:color="000000" w:fill="FFFFFF"/>
            <w:noWrap/>
            <w:vAlign w:val="center"/>
            <w:hideMark/>
          </w:tcPr>
          <w:p w14:paraId="25C2C483" w14:textId="77777777" w:rsidR="00D67673" w:rsidRPr="003B5469" w:rsidRDefault="00D67673" w:rsidP="00D67673">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assets for policy purposes</w:t>
            </w:r>
          </w:p>
        </w:tc>
        <w:tc>
          <w:tcPr>
            <w:tcW w:w="645" w:type="pct"/>
            <w:tcBorders>
              <w:top w:val="nil"/>
              <w:left w:val="nil"/>
              <w:bottom w:val="nil"/>
              <w:right w:val="nil"/>
            </w:tcBorders>
            <w:shd w:val="clear" w:color="000000" w:fill="FFFFFF"/>
            <w:noWrap/>
            <w:vAlign w:val="center"/>
            <w:hideMark/>
          </w:tcPr>
          <w:p w14:paraId="3BF98971" w14:textId="645D1A88" w:rsidR="00D67673" w:rsidRPr="003B5469" w:rsidRDefault="00A36B1E"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D67673" w:rsidRPr="003B5469">
              <w:rPr>
                <w:rFonts w:ascii="Arial" w:hAnsi="Arial" w:cs="Arial"/>
                <w:color w:val="000000"/>
                <w:sz w:val="16"/>
                <w:szCs w:val="16"/>
              </w:rPr>
              <w:t>7.3</w:t>
            </w:r>
          </w:p>
        </w:tc>
        <w:tc>
          <w:tcPr>
            <w:tcW w:w="645" w:type="pct"/>
            <w:tcBorders>
              <w:top w:val="nil"/>
              <w:left w:val="nil"/>
              <w:bottom w:val="nil"/>
              <w:right w:val="nil"/>
            </w:tcBorders>
            <w:shd w:val="clear" w:color="000000" w:fill="EBFFFF"/>
            <w:noWrap/>
            <w:vAlign w:val="center"/>
            <w:hideMark/>
          </w:tcPr>
          <w:p w14:paraId="6F1A8233" w14:textId="557DCCD0" w:rsidR="00D67673" w:rsidRPr="003B5469" w:rsidRDefault="00A36B1E"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D67673" w:rsidRPr="003B5469">
              <w:rPr>
                <w:rFonts w:ascii="Arial" w:hAnsi="Arial" w:cs="Arial"/>
                <w:color w:val="000000"/>
                <w:sz w:val="16"/>
                <w:szCs w:val="16"/>
              </w:rPr>
              <w:t>3.4</w:t>
            </w:r>
          </w:p>
        </w:tc>
        <w:tc>
          <w:tcPr>
            <w:tcW w:w="645" w:type="pct"/>
            <w:tcBorders>
              <w:top w:val="nil"/>
              <w:left w:val="nil"/>
              <w:bottom w:val="nil"/>
              <w:right w:val="nil"/>
            </w:tcBorders>
            <w:shd w:val="clear" w:color="000000" w:fill="FFFFFF"/>
            <w:noWrap/>
            <w:vAlign w:val="center"/>
            <w:hideMark/>
          </w:tcPr>
          <w:p w14:paraId="6701C9AC" w14:textId="77777777" w:rsidR="00D67673" w:rsidRPr="003B5469" w:rsidRDefault="00D67673" w:rsidP="00D67673">
            <w:pPr>
              <w:spacing w:after="0" w:line="240" w:lineRule="auto"/>
              <w:jc w:val="right"/>
              <w:rPr>
                <w:rFonts w:ascii="Arial" w:hAnsi="Arial" w:cs="Arial"/>
                <w:color w:val="000000"/>
                <w:sz w:val="16"/>
                <w:szCs w:val="16"/>
              </w:rPr>
            </w:pPr>
            <w:r w:rsidRPr="003B5469">
              <w:rPr>
                <w:rFonts w:ascii="Arial" w:hAnsi="Arial" w:cs="Arial"/>
                <w:color w:val="000000"/>
                <w:sz w:val="16"/>
                <w:szCs w:val="16"/>
              </w:rPr>
              <w:t>3.9</w:t>
            </w:r>
          </w:p>
        </w:tc>
      </w:tr>
      <w:tr w:rsidR="00D67673" w:rsidRPr="00513ED7" w14:paraId="722652FD" w14:textId="77777777" w:rsidTr="00D67673">
        <w:trPr>
          <w:trHeight w:hRule="exact" w:val="210"/>
        </w:trPr>
        <w:tc>
          <w:tcPr>
            <w:tcW w:w="3066" w:type="pct"/>
            <w:tcBorders>
              <w:top w:val="nil"/>
              <w:left w:val="nil"/>
              <w:bottom w:val="single" w:sz="4" w:space="0" w:color="000000"/>
              <w:right w:val="nil"/>
            </w:tcBorders>
            <w:shd w:val="clear" w:color="000000" w:fill="FFFFFF"/>
            <w:noWrap/>
            <w:vAlign w:val="center"/>
            <w:hideMark/>
          </w:tcPr>
          <w:p w14:paraId="60FD0129" w14:textId="77777777" w:rsidR="00D67673" w:rsidRPr="003B5469" w:rsidRDefault="00D67673" w:rsidP="00D67673">
            <w:pPr>
              <w:spacing w:after="0" w:line="240" w:lineRule="auto"/>
              <w:jc w:val="left"/>
              <w:rPr>
                <w:rFonts w:ascii="Arial" w:hAnsi="Arial" w:cs="Arial"/>
                <w:b/>
                <w:color w:val="000000"/>
                <w:sz w:val="16"/>
                <w:szCs w:val="16"/>
              </w:rPr>
            </w:pPr>
            <w:r w:rsidRPr="003B5469">
              <w:rPr>
                <w:rFonts w:ascii="Arial" w:hAnsi="Arial" w:cs="Arial"/>
                <w:b/>
                <w:color w:val="000000"/>
                <w:sz w:val="16"/>
                <w:szCs w:val="16"/>
              </w:rPr>
              <w:t>Headline cash balance</w:t>
            </w:r>
          </w:p>
        </w:tc>
        <w:tc>
          <w:tcPr>
            <w:tcW w:w="645" w:type="pct"/>
            <w:tcBorders>
              <w:top w:val="nil"/>
              <w:left w:val="nil"/>
              <w:bottom w:val="single" w:sz="4" w:space="0" w:color="000000"/>
              <w:right w:val="nil"/>
            </w:tcBorders>
            <w:shd w:val="clear" w:color="000000" w:fill="FFFFFF"/>
            <w:noWrap/>
            <w:vAlign w:val="center"/>
            <w:hideMark/>
          </w:tcPr>
          <w:p w14:paraId="6522780E" w14:textId="3A7D8CF2" w:rsidR="00D67673" w:rsidRPr="003B5469" w:rsidRDefault="00A36B1E"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D67673" w:rsidRPr="003B5469">
              <w:rPr>
                <w:rFonts w:ascii="Arial" w:hAnsi="Arial" w:cs="Arial"/>
                <w:b/>
                <w:color w:val="000000"/>
                <w:sz w:val="16"/>
                <w:szCs w:val="16"/>
              </w:rPr>
              <w:t>168.2</w:t>
            </w:r>
          </w:p>
        </w:tc>
        <w:tc>
          <w:tcPr>
            <w:tcW w:w="645" w:type="pct"/>
            <w:tcBorders>
              <w:top w:val="nil"/>
              <w:left w:val="nil"/>
              <w:bottom w:val="single" w:sz="4" w:space="0" w:color="000000"/>
              <w:right w:val="nil"/>
            </w:tcBorders>
            <w:shd w:val="clear" w:color="000000" w:fill="EBFFFF"/>
            <w:noWrap/>
            <w:vAlign w:val="center"/>
            <w:hideMark/>
          </w:tcPr>
          <w:p w14:paraId="76649C15" w14:textId="583567A9" w:rsidR="00D67673" w:rsidRPr="003B5469" w:rsidRDefault="00A36B1E"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D67673" w:rsidRPr="003B5469">
              <w:rPr>
                <w:rFonts w:ascii="Arial" w:hAnsi="Arial" w:cs="Arial"/>
                <w:b/>
                <w:color w:val="000000"/>
                <w:sz w:val="16"/>
                <w:szCs w:val="16"/>
              </w:rPr>
              <w:t>137.5</w:t>
            </w:r>
          </w:p>
        </w:tc>
        <w:tc>
          <w:tcPr>
            <w:tcW w:w="645" w:type="pct"/>
            <w:tcBorders>
              <w:top w:val="nil"/>
              <w:left w:val="nil"/>
              <w:bottom w:val="single" w:sz="4" w:space="0" w:color="000000"/>
              <w:right w:val="nil"/>
            </w:tcBorders>
            <w:shd w:val="clear" w:color="000000" w:fill="FFFFFF"/>
            <w:noWrap/>
            <w:vAlign w:val="center"/>
            <w:hideMark/>
          </w:tcPr>
          <w:p w14:paraId="0CC4BA28" w14:textId="77777777" w:rsidR="00D67673" w:rsidRPr="003B5469" w:rsidRDefault="00D67673" w:rsidP="00D67673">
            <w:pPr>
              <w:spacing w:after="0" w:line="240" w:lineRule="auto"/>
              <w:jc w:val="right"/>
              <w:rPr>
                <w:rFonts w:ascii="Arial" w:hAnsi="Arial" w:cs="Arial"/>
                <w:b/>
                <w:color w:val="000000"/>
                <w:sz w:val="16"/>
                <w:szCs w:val="16"/>
              </w:rPr>
            </w:pPr>
            <w:r w:rsidRPr="003B5469">
              <w:rPr>
                <w:rFonts w:ascii="Arial" w:hAnsi="Arial" w:cs="Arial"/>
                <w:b/>
                <w:color w:val="000000"/>
                <w:sz w:val="16"/>
                <w:szCs w:val="16"/>
              </w:rPr>
              <w:t>30.7</w:t>
            </w:r>
          </w:p>
        </w:tc>
      </w:tr>
    </w:tbl>
    <w:p w14:paraId="4FA77FC5" w14:textId="2EEAD5CF" w:rsidR="00761C23" w:rsidRPr="003B5469" w:rsidRDefault="00C204D0" w:rsidP="00761C23">
      <w:pPr>
        <w:pStyle w:val="ChartandTableFootnoteAlpha"/>
        <w:numPr>
          <w:ilvl w:val="0"/>
          <w:numId w:val="13"/>
        </w:numPr>
        <w:tabs>
          <w:tab w:val="clear" w:pos="852"/>
          <w:tab w:val="num" w:pos="0"/>
        </w:tabs>
        <w:ind w:left="284"/>
      </w:pPr>
      <w:r w:rsidRPr="003B5469">
        <w:t>Equivalent to cash receipts from the sale of non</w:t>
      </w:r>
      <w:r w:rsidR="00A36B1E" w:rsidRPr="003B5469">
        <w:noBreakHyphen/>
      </w:r>
      <w:r w:rsidRPr="003B5469">
        <w:t>financial assets in the cash flow statement.</w:t>
      </w:r>
    </w:p>
    <w:p w14:paraId="67DD8BCF" w14:textId="1C3962A3" w:rsidR="00761C23" w:rsidRPr="003B5469" w:rsidRDefault="00C204D0" w:rsidP="00A963BC">
      <w:pPr>
        <w:pStyle w:val="ChartandTableFootnoteAlpha"/>
        <w:tabs>
          <w:tab w:val="clear" w:pos="852"/>
          <w:tab w:val="num" w:pos="284"/>
        </w:tabs>
        <w:ind w:left="284"/>
      </w:pPr>
      <w:r w:rsidRPr="003B5469">
        <w:t>Equivalent to cash payments for purchases of non</w:t>
      </w:r>
      <w:r w:rsidR="00A36B1E" w:rsidRPr="003B5469">
        <w:noBreakHyphen/>
      </w:r>
      <w:r w:rsidRPr="003B5469">
        <w:t>financial assets in the cash flow statement.</w:t>
      </w:r>
    </w:p>
    <w:p w14:paraId="4C89FAFC" w14:textId="29D647E3" w:rsidR="00C204D0" w:rsidRPr="003B5469" w:rsidRDefault="00C204D0" w:rsidP="00761C23">
      <w:pPr>
        <w:pStyle w:val="ChartandTableFootnoteAlpha"/>
        <w:numPr>
          <w:ilvl w:val="0"/>
          <w:numId w:val="6"/>
        </w:numPr>
        <w:ind w:left="284"/>
      </w:pPr>
      <w:r w:rsidRPr="003B5469">
        <w:t xml:space="preserve">Principal payments on lease liabilities, which are </w:t>
      </w:r>
      <w:r w:rsidR="002E072F" w:rsidRPr="003B5469">
        <w:t xml:space="preserve">financing </w:t>
      </w:r>
      <w:r w:rsidRPr="003B5469">
        <w:t xml:space="preserve">cash </w:t>
      </w:r>
      <w:r w:rsidR="002E072F" w:rsidRPr="003B5469">
        <w:t>payments</w:t>
      </w:r>
      <w:r w:rsidRPr="003B5469">
        <w:t>, are deducted in the calculation of the underlying cash balance to maintain consistency of measure following the implementation of AASB</w:t>
      </w:r>
      <w:r w:rsidR="002E072F" w:rsidRPr="003B5469">
        <w:t> </w:t>
      </w:r>
      <w:r w:rsidRPr="003B5469">
        <w:t>16.</w:t>
      </w:r>
    </w:p>
    <w:p w14:paraId="5C268E06" w14:textId="22E3AC26" w:rsidR="00C204D0" w:rsidRPr="0044798D" w:rsidRDefault="00C204D0" w:rsidP="0059341C">
      <w:pPr>
        <w:pStyle w:val="Heading3"/>
      </w:pPr>
      <w:r w:rsidRPr="0044798D">
        <w:t>Receipts</w:t>
      </w:r>
    </w:p>
    <w:p w14:paraId="14345970" w14:textId="2F7A741A" w:rsidR="00002AE6" w:rsidRPr="003B5469" w:rsidRDefault="00002AE6" w:rsidP="00002AE6">
      <w:r w:rsidRPr="0044798D">
        <w:t>Total receipts for 2020</w:t>
      </w:r>
      <w:r w:rsidR="00A36B1E" w:rsidRPr="0044798D">
        <w:noBreakHyphen/>
      </w:r>
      <w:r w:rsidRPr="0044798D">
        <w:t>21 were $519.9 billion, $20.1 billion higher than forecast in the 2021</w:t>
      </w:r>
      <w:r w:rsidR="00A36B1E" w:rsidRPr="0044798D">
        <w:noBreakHyphen/>
      </w:r>
      <w:r w:rsidRPr="0044798D">
        <w:t xml:space="preserve">22 Budget. </w:t>
      </w:r>
    </w:p>
    <w:p w14:paraId="64D612DE" w14:textId="1B13A6C1" w:rsidR="00C23495" w:rsidRPr="003B5469" w:rsidRDefault="00C23495" w:rsidP="00C23495">
      <w:pPr>
        <w:rPr>
          <w:rFonts w:eastAsia="Book Antiqua"/>
        </w:rPr>
      </w:pPr>
      <w:r w:rsidRPr="003B5469">
        <w:rPr>
          <w:rFonts w:eastAsia="Book Antiqua"/>
        </w:rPr>
        <w:t>Tax receipts were $14.</w:t>
      </w:r>
      <w:r w:rsidR="006F05B4" w:rsidRPr="003B5469">
        <w:rPr>
          <w:rFonts w:eastAsia="Book Antiqua"/>
        </w:rPr>
        <w:t>4</w:t>
      </w:r>
      <w:r w:rsidRPr="003B5469">
        <w:rPr>
          <w:rFonts w:eastAsia="Book Antiqua"/>
        </w:rPr>
        <w:t xml:space="preserve"> billion higher than the estimate at the 2021</w:t>
      </w:r>
      <w:r w:rsidR="00A36B1E" w:rsidRPr="003B5469">
        <w:rPr>
          <w:rFonts w:eastAsia="Book Antiqua"/>
        </w:rPr>
        <w:noBreakHyphen/>
      </w:r>
      <w:r w:rsidRPr="003B5469">
        <w:rPr>
          <w:rFonts w:eastAsia="Book Antiqua"/>
        </w:rPr>
        <w:t xml:space="preserve">22 Budget. This outcome </w:t>
      </w:r>
      <w:r w:rsidR="003E208F" w:rsidRPr="003B5469">
        <w:rPr>
          <w:rFonts w:eastAsia="Book Antiqua"/>
        </w:rPr>
        <w:t>reflects</w:t>
      </w:r>
      <w:r w:rsidR="000354CE" w:rsidRPr="003B5469">
        <w:rPr>
          <w:rFonts w:eastAsia="Book Antiqua"/>
        </w:rPr>
        <w:t xml:space="preserve"> the</w:t>
      </w:r>
      <w:r w:rsidRPr="003B5469">
        <w:rPr>
          <w:rFonts w:eastAsia="Book Antiqua"/>
        </w:rPr>
        <w:t xml:space="preserve"> strength in tax collections across almost all revenue heads</w:t>
      </w:r>
      <w:r w:rsidR="006F05B4" w:rsidRPr="003B5469">
        <w:rPr>
          <w:rFonts w:eastAsia="Book Antiqua"/>
        </w:rPr>
        <w:t>, driven by</w:t>
      </w:r>
      <w:r w:rsidR="00BC5636" w:rsidRPr="003B5469">
        <w:rPr>
          <w:rFonts w:eastAsia="Book Antiqua"/>
        </w:rPr>
        <w:t xml:space="preserve"> </w:t>
      </w:r>
      <w:r w:rsidR="002562B2" w:rsidRPr="003B5469">
        <w:rPr>
          <w:rFonts w:eastAsia="Book Antiqua"/>
        </w:rPr>
        <w:t>stronger</w:t>
      </w:r>
      <w:r w:rsidR="00A36B1E" w:rsidRPr="003B5469">
        <w:rPr>
          <w:rFonts w:eastAsia="Book Antiqua"/>
        </w:rPr>
        <w:noBreakHyphen/>
      </w:r>
      <w:r w:rsidR="00276589" w:rsidRPr="003B5469">
        <w:rPr>
          <w:rFonts w:eastAsia="Book Antiqua"/>
        </w:rPr>
        <w:t>than</w:t>
      </w:r>
      <w:r w:rsidR="00A36B1E" w:rsidRPr="003B5469">
        <w:rPr>
          <w:rFonts w:eastAsia="Book Antiqua"/>
        </w:rPr>
        <w:noBreakHyphen/>
      </w:r>
      <w:r w:rsidR="00276589" w:rsidRPr="003B5469">
        <w:rPr>
          <w:rFonts w:eastAsia="Book Antiqua"/>
        </w:rPr>
        <w:t>expected economic outcomes</w:t>
      </w:r>
      <w:r w:rsidR="006F05B4" w:rsidRPr="003B5469">
        <w:rPr>
          <w:rFonts w:eastAsia="Book Antiqua"/>
        </w:rPr>
        <w:t xml:space="preserve"> and higher</w:t>
      </w:r>
      <w:r w:rsidR="00A36B1E" w:rsidRPr="003B5469">
        <w:rPr>
          <w:rFonts w:eastAsia="Book Antiqua"/>
        </w:rPr>
        <w:noBreakHyphen/>
      </w:r>
      <w:r w:rsidR="006F05B4" w:rsidRPr="003B5469">
        <w:rPr>
          <w:rFonts w:eastAsia="Book Antiqua"/>
        </w:rPr>
        <w:t>than</w:t>
      </w:r>
      <w:r w:rsidR="00A36B1E" w:rsidRPr="003B5469">
        <w:rPr>
          <w:rFonts w:eastAsia="Book Antiqua"/>
        </w:rPr>
        <w:noBreakHyphen/>
      </w:r>
      <w:r w:rsidR="006F05B4" w:rsidRPr="003B5469">
        <w:rPr>
          <w:rFonts w:eastAsia="Book Antiqua"/>
        </w:rPr>
        <w:t>expected commodity prices</w:t>
      </w:r>
      <w:r w:rsidR="00025B64" w:rsidRPr="003B5469">
        <w:rPr>
          <w:rFonts w:eastAsia="Book Antiqua"/>
        </w:rPr>
        <w:t>.</w:t>
      </w:r>
    </w:p>
    <w:p w14:paraId="59D9090C" w14:textId="7EC88C9A" w:rsidR="00114DBE" w:rsidRPr="003B5469" w:rsidRDefault="00114DBE" w:rsidP="00114DBE">
      <w:pPr>
        <w:pStyle w:val="Bullet"/>
        <w:rPr>
          <w:rFonts w:eastAsia="Book Antiqua" w:cs="Book Antiqua"/>
        </w:rPr>
      </w:pPr>
      <w:r w:rsidRPr="003B5469">
        <w:t>Company tax receipts were $5.5 billion above the 2021</w:t>
      </w:r>
      <w:r w:rsidR="00A36B1E" w:rsidRPr="003B5469">
        <w:noBreakHyphen/>
      </w:r>
      <w:r w:rsidRPr="003B5469">
        <w:t xml:space="preserve">22 Budget profile, largely </w:t>
      </w:r>
      <w:r w:rsidR="003E208F" w:rsidRPr="003B5469">
        <w:t xml:space="preserve">on the back </w:t>
      </w:r>
      <w:r w:rsidR="00350157" w:rsidRPr="003B5469">
        <w:t>of</w:t>
      </w:r>
      <w:r w:rsidRPr="003B5469">
        <w:t xml:space="preserve"> higher</w:t>
      </w:r>
      <w:r w:rsidR="00A36B1E" w:rsidRPr="003B5469">
        <w:noBreakHyphen/>
      </w:r>
      <w:r w:rsidRPr="003B5469">
        <w:t>than</w:t>
      </w:r>
      <w:r w:rsidR="00A36B1E" w:rsidRPr="003B5469">
        <w:noBreakHyphen/>
      </w:r>
      <w:r w:rsidR="001D7752" w:rsidRPr="003B5469">
        <w:t>expected</w:t>
      </w:r>
      <w:r w:rsidRPr="003B5469">
        <w:t xml:space="preserve"> collections from large companies. Collections from the mining sector continued to be strong</w:t>
      </w:r>
      <w:r w:rsidR="0077581D" w:rsidRPr="003B5469">
        <w:t xml:space="preserve">, </w:t>
      </w:r>
      <w:r w:rsidR="0077581D" w:rsidRPr="003B5469">
        <w:rPr>
          <w:rFonts w:eastAsia="Book Antiqua"/>
        </w:rPr>
        <w:t>partially owing to a sharp increase in</w:t>
      </w:r>
      <w:r w:rsidR="0077581D" w:rsidRPr="003B5469">
        <w:rPr>
          <w:rFonts w:eastAsia="Book Antiqua" w:cs="Book Antiqua"/>
          <w:color w:val="000000" w:themeColor="text1"/>
        </w:rPr>
        <w:t xml:space="preserve"> </w:t>
      </w:r>
      <w:r w:rsidRPr="003B5469">
        <w:t>iron ore prices. There were also higher</w:t>
      </w:r>
      <w:r w:rsidR="00A36B1E" w:rsidRPr="003B5469">
        <w:noBreakHyphen/>
      </w:r>
      <w:r w:rsidRPr="003B5469">
        <w:t>than</w:t>
      </w:r>
      <w:r w:rsidR="00A36B1E" w:rsidRPr="003B5469">
        <w:noBreakHyphen/>
      </w:r>
      <w:r w:rsidRPr="003B5469">
        <w:t xml:space="preserve">expected payments from companies who </w:t>
      </w:r>
      <w:r w:rsidRPr="003B5469">
        <w:lastRenderedPageBreak/>
        <w:t>report on a calendar year basis and pay their balances related to the 2020 income year in June.</w:t>
      </w:r>
    </w:p>
    <w:p w14:paraId="7F50B4D7" w14:textId="2572DE7D" w:rsidR="00221C03" w:rsidRPr="003B5469" w:rsidRDefault="0E6ACC97" w:rsidP="00221C03">
      <w:pPr>
        <w:pStyle w:val="Bullet"/>
        <w:rPr>
          <w:rFonts w:eastAsia="Book Antiqua" w:cs="Book Antiqua"/>
        </w:rPr>
      </w:pPr>
      <w:r w:rsidRPr="003B5469">
        <w:rPr>
          <w:rFonts w:eastAsia="Book Antiqua" w:cs="Book Antiqua"/>
        </w:rPr>
        <w:t xml:space="preserve">Receipts from total individuals and other withholding taxes were around </w:t>
      </w:r>
      <w:r w:rsidR="00114DBE" w:rsidRPr="003B5469">
        <w:rPr>
          <w:rFonts w:eastAsia="Book Antiqua" w:cs="Book Antiqua"/>
        </w:rPr>
        <w:t>$</w:t>
      </w:r>
      <w:r w:rsidR="00571792" w:rsidRPr="003B5469">
        <w:rPr>
          <w:rFonts w:eastAsia="Book Antiqua" w:cs="Book Antiqua"/>
        </w:rPr>
        <w:t>5.0</w:t>
      </w:r>
      <w:r w:rsidR="00FB23FE" w:rsidRPr="003B5469">
        <w:rPr>
          <w:rFonts w:eastAsia="Book Antiqua" w:cs="Book Antiqua"/>
        </w:rPr>
        <w:t> </w:t>
      </w:r>
      <w:r w:rsidRPr="003B5469">
        <w:rPr>
          <w:rFonts w:eastAsia="Book Antiqua" w:cs="Book Antiqua"/>
        </w:rPr>
        <w:t>billion above the 2021</w:t>
      </w:r>
      <w:r w:rsidR="00A36B1E" w:rsidRPr="003B5469">
        <w:rPr>
          <w:rFonts w:eastAsia="Book Antiqua" w:cs="Book Antiqua"/>
        </w:rPr>
        <w:noBreakHyphen/>
      </w:r>
      <w:r w:rsidRPr="003B5469">
        <w:rPr>
          <w:rFonts w:eastAsia="Book Antiqua" w:cs="Book Antiqua"/>
        </w:rPr>
        <w:t>22 Budget profile. This largely reflects higher</w:t>
      </w:r>
      <w:r w:rsidR="00A36B1E" w:rsidRPr="003B5469">
        <w:rPr>
          <w:rFonts w:eastAsia="Book Antiqua" w:cs="Book Antiqua"/>
        </w:rPr>
        <w:noBreakHyphen/>
      </w:r>
      <w:r w:rsidR="1B159A95" w:rsidRPr="003B5469">
        <w:rPr>
          <w:rFonts w:eastAsia="Book Antiqua" w:cs="Book Antiqua"/>
        </w:rPr>
        <w:t>than</w:t>
      </w:r>
      <w:r w:rsidR="00A36B1E" w:rsidRPr="003B5469">
        <w:rPr>
          <w:rFonts w:eastAsia="Book Antiqua" w:cs="Book Antiqua"/>
        </w:rPr>
        <w:noBreakHyphen/>
      </w:r>
      <w:r w:rsidRPr="003B5469">
        <w:rPr>
          <w:rFonts w:eastAsia="Book Antiqua" w:cs="Book Antiqua"/>
        </w:rPr>
        <w:t>expected collections across small, medium and large withholders, in line with stronger</w:t>
      </w:r>
      <w:r w:rsidR="00A36B1E" w:rsidRPr="003B5469">
        <w:rPr>
          <w:rFonts w:eastAsia="Book Antiqua" w:cs="Book Antiqua"/>
        </w:rPr>
        <w:noBreakHyphen/>
      </w:r>
      <w:r w:rsidRPr="003B5469">
        <w:rPr>
          <w:rFonts w:eastAsia="Book Antiqua" w:cs="Book Antiqua"/>
        </w:rPr>
        <w:t>than</w:t>
      </w:r>
      <w:r w:rsidR="00A36B1E" w:rsidRPr="003B5469">
        <w:rPr>
          <w:rFonts w:eastAsia="Book Antiqua" w:cs="Book Antiqua"/>
        </w:rPr>
        <w:noBreakHyphen/>
      </w:r>
      <w:r w:rsidRPr="003B5469">
        <w:rPr>
          <w:rFonts w:eastAsia="Book Antiqua" w:cs="Book Antiqua"/>
        </w:rPr>
        <w:t>expected growth in compensation of employees over the second half of</w:t>
      </w:r>
      <w:r w:rsidR="00680287" w:rsidRPr="003B5469">
        <w:rPr>
          <w:rFonts w:eastAsia="Book Antiqua"/>
        </w:rPr>
        <w:t xml:space="preserve"> </w:t>
      </w:r>
      <w:r w:rsidRPr="003B5469">
        <w:rPr>
          <w:rFonts w:eastAsia="Book Antiqua" w:cs="Book Antiqua"/>
        </w:rPr>
        <w:t>the</w:t>
      </w:r>
      <w:r w:rsidR="00680287" w:rsidRPr="003B5469">
        <w:rPr>
          <w:rFonts w:eastAsia="Book Antiqua"/>
        </w:rPr>
        <w:t xml:space="preserve"> </w:t>
      </w:r>
      <w:r w:rsidRPr="003B5469">
        <w:rPr>
          <w:rFonts w:eastAsia="Book Antiqua" w:cs="Book Antiqua"/>
        </w:rPr>
        <w:t>year.</w:t>
      </w:r>
    </w:p>
    <w:p w14:paraId="2A052CC2" w14:textId="38CE9E0E" w:rsidR="0E6ACC97" w:rsidRPr="003B5469" w:rsidRDefault="004642FD" w:rsidP="00F233D8">
      <w:pPr>
        <w:pStyle w:val="Bullet"/>
        <w:rPr>
          <w:rFonts w:eastAsia="Book Antiqua" w:cs="Book Antiqua"/>
        </w:rPr>
      </w:pPr>
      <w:r w:rsidRPr="003B5469">
        <w:rPr>
          <w:rFonts w:eastAsia="Book Antiqua" w:cs="Book Antiqua"/>
        </w:rPr>
        <w:t>Receipts from the GST</w:t>
      </w:r>
      <w:r w:rsidRPr="003B5469" w:rsidDel="004642FD">
        <w:rPr>
          <w:rFonts w:eastAsia="Book Antiqua" w:cs="Book Antiqua"/>
        </w:rPr>
        <w:t xml:space="preserve"> </w:t>
      </w:r>
      <w:r w:rsidR="0E6ACC97" w:rsidRPr="003B5469">
        <w:rPr>
          <w:rFonts w:eastAsia="Book Antiqua" w:cs="Book Antiqua"/>
        </w:rPr>
        <w:t>were $3.</w:t>
      </w:r>
      <w:r w:rsidR="00114DBE" w:rsidRPr="003B5469">
        <w:rPr>
          <w:rFonts w:eastAsia="Book Antiqua" w:cs="Book Antiqua"/>
        </w:rPr>
        <w:t>1</w:t>
      </w:r>
      <w:r w:rsidR="0E6ACC97" w:rsidRPr="003B5469">
        <w:rPr>
          <w:rFonts w:eastAsia="Book Antiqua" w:cs="Book Antiqua"/>
        </w:rPr>
        <w:t xml:space="preserve"> billion above the 2021</w:t>
      </w:r>
      <w:r w:rsidR="00A36B1E" w:rsidRPr="003B5469">
        <w:rPr>
          <w:rFonts w:eastAsia="Book Antiqua" w:cs="Book Antiqua"/>
        </w:rPr>
        <w:noBreakHyphen/>
      </w:r>
      <w:r w:rsidR="0E6ACC97" w:rsidRPr="003B5469">
        <w:rPr>
          <w:rFonts w:eastAsia="Book Antiqua" w:cs="Book Antiqua"/>
        </w:rPr>
        <w:t>22 Budget profile, mostly reflecting stronger</w:t>
      </w:r>
      <w:r w:rsidR="00A36B1E" w:rsidRPr="003B5469">
        <w:rPr>
          <w:rFonts w:eastAsia="Book Antiqua" w:cs="Book Antiqua"/>
        </w:rPr>
        <w:noBreakHyphen/>
      </w:r>
      <w:r w:rsidR="0E6ACC97" w:rsidRPr="003B5469">
        <w:rPr>
          <w:rFonts w:eastAsia="Book Antiqua" w:cs="Book Antiqua"/>
        </w:rPr>
        <w:t>than</w:t>
      </w:r>
      <w:r w:rsidR="00A36B1E" w:rsidRPr="003B5469">
        <w:rPr>
          <w:rFonts w:eastAsia="Book Antiqua" w:cs="Book Antiqua"/>
        </w:rPr>
        <w:noBreakHyphen/>
      </w:r>
      <w:r w:rsidR="0E6ACC97" w:rsidRPr="003B5469">
        <w:rPr>
          <w:rFonts w:eastAsia="Book Antiqua" w:cs="Book Antiqua"/>
        </w:rPr>
        <w:t>expected tax collections relating to April and May (paid in May and June)</w:t>
      </w:r>
      <w:r w:rsidR="00114DBE" w:rsidRPr="003B5469">
        <w:rPr>
          <w:rFonts w:eastAsia="Book Antiqua" w:cs="Book Antiqua"/>
        </w:rPr>
        <w:t>. There was strong growth in household consumption in 2020</w:t>
      </w:r>
      <w:r w:rsidR="00A36B1E" w:rsidRPr="003B5469">
        <w:rPr>
          <w:rFonts w:eastAsia="Book Antiqua" w:cs="Book Antiqua"/>
        </w:rPr>
        <w:noBreakHyphen/>
      </w:r>
      <w:r w:rsidR="00114DBE" w:rsidRPr="003B5469">
        <w:rPr>
          <w:rFonts w:eastAsia="Book Antiqua" w:cs="Book Antiqua"/>
        </w:rPr>
        <w:t xml:space="preserve">21 reflecting a rebound in consumer spending as health outcomes improved and restrictions were lifted. </w:t>
      </w:r>
    </w:p>
    <w:p w14:paraId="780838A6" w14:textId="2BE45720" w:rsidR="0E6ACC97" w:rsidRPr="003B5469" w:rsidRDefault="00AA649D" w:rsidP="00DA42B3">
      <w:pPr>
        <w:pStyle w:val="Bullet"/>
        <w:rPr>
          <w:rFonts w:eastAsia="Book Antiqua" w:cs="Book Antiqua"/>
        </w:rPr>
      </w:pPr>
      <w:r w:rsidRPr="003B5469">
        <w:rPr>
          <w:rFonts w:eastAsia="Book Antiqua" w:cs="Book Antiqua"/>
        </w:rPr>
        <w:t>Superannuation fund tax receipts</w:t>
      </w:r>
      <w:r w:rsidRPr="003B5469" w:rsidDel="00AA649D">
        <w:rPr>
          <w:rFonts w:eastAsia="Book Antiqua" w:cs="Book Antiqua"/>
        </w:rPr>
        <w:t xml:space="preserve"> </w:t>
      </w:r>
      <w:r w:rsidR="0E6ACC97" w:rsidRPr="003B5469">
        <w:rPr>
          <w:rFonts w:eastAsia="Book Antiqua" w:cs="Book Antiqua"/>
        </w:rPr>
        <w:t>were $1.3 billion above the 2021</w:t>
      </w:r>
      <w:r w:rsidR="00A36B1E" w:rsidRPr="003B5469">
        <w:rPr>
          <w:rFonts w:eastAsia="Book Antiqua" w:cs="Book Antiqua"/>
        </w:rPr>
        <w:noBreakHyphen/>
      </w:r>
      <w:r w:rsidR="0E6ACC97" w:rsidRPr="003B5469">
        <w:rPr>
          <w:rFonts w:eastAsia="Book Antiqua" w:cs="Book Antiqua"/>
        </w:rPr>
        <w:t>22 Budget profile. This result was driven by stronger</w:t>
      </w:r>
      <w:r w:rsidR="00A36B1E" w:rsidRPr="003B5469">
        <w:rPr>
          <w:rFonts w:eastAsia="Book Antiqua" w:cs="Book Antiqua"/>
        </w:rPr>
        <w:noBreakHyphen/>
      </w:r>
      <w:r w:rsidR="0E6ACC97" w:rsidRPr="003B5469">
        <w:rPr>
          <w:rFonts w:eastAsia="Book Antiqua" w:cs="Book Antiqua"/>
        </w:rPr>
        <w:t>than</w:t>
      </w:r>
      <w:r w:rsidR="00A36B1E" w:rsidRPr="003B5469">
        <w:rPr>
          <w:rFonts w:eastAsia="Book Antiqua" w:cs="Book Antiqua"/>
        </w:rPr>
        <w:noBreakHyphen/>
      </w:r>
      <w:r w:rsidR="0E6ACC97" w:rsidRPr="003B5469">
        <w:rPr>
          <w:rFonts w:eastAsia="Book Antiqua" w:cs="Book Antiqua"/>
        </w:rPr>
        <w:t>expected collections from APRA</w:t>
      </w:r>
      <w:r w:rsidR="00A36B1E" w:rsidRPr="003B5469">
        <w:rPr>
          <w:rFonts w:eastAsia="Book Antiqua" w:cs="Book Antiqua"/>
        </w:rPr>
        <w:noBreakHyphen/>
      </w:r>
      <w:r w:rsidR="0E6ACC97" w:rsidRPr="003B5469">
        <w:rPr>
          <w:rFonts w:eastAsia="Book Antiqua" w:cs="Book Antiqua"/>
        </w:rPr>
        <w:t>regulated funds, particularly due to significant foreign exchange gains</w:t>
      </w:r>
      <w:r w:rsidR="00844A79" w:rsidRPr="003B5469">
        <w:rPr>
          <w:rFonts w:eastAsia="Book Antiqua" w:cs="Book Antiqua"/>
        </w:rPr>
        <w:t xml:space="preserve"> </w:t>
      </w:r>
      <w:r w:rsidR="0E6ACC97" w:rsidRPr="003B5469">
        <w:rPr>
          <w:rFonts w:eastAsia="Book Antiqua" w:cs="Book Antiqua"/>
        </w:rPr>
        <w:t xml:space="preserve">observed in the second half </w:t>
      </w:r>
      <w:r w:rsidR="004B39C9" w:rsidRPr="003B5469">
        <w:rPr>
          <w:rFonts w:eastAsia="Book Antiqua" w:cs="Book Antiqua"/>
        </w:rPr>
        <w:t xml:space="preserve">of </w:t>
      </w:r>
      <w:r w:rsidR="0E6ACC97" w:rsidRPr="003B5469">
        <w:rPr>
          <w:rFonts w:eastAsia="Book Antiqua" w:cs="Book Antiqua"/>
        </w:rPr>
        <w:t>2020</w:t>
      </w:r>
      <w:r w:rsidR="00A36B1E" w:rsidRPr="003B5469">
        <w:rPr>
          <w:rFonts w:eastAsia="Book Antiqua" w:cs="Book Antiqua"/>
        </w:rPr>
        <w:noBreakHyphen/>
      </w:r>
      <w:r w:rsidR="0E6ACC97" w:rsidRPr="003B5469">
        <w:rPr>
          <w:rFonts w:eastAsia="Book Antiqua" w:cs="Book Antiqua"/>
        </w:rPr>
        <w:t>21.</w:t>
      </w:r>
    </w:p>
    <w:p w14:paraId="4F45B231" w14:textId="1D86B108" w:rsidR="3373BDE9" w:rsidRPr="00513ED7" w:rsidRDefault="0E6ACC97" w:rsidP="00DA42B3">
      <w:pPr>
        <w:pStyle w:val="Bullet"/>
        <w:rPr>
          <w:rFonts w:eastAsia="Book Antiqua" w:cs="Book Antiqua"/>
        </w:rPr>
      </w:pPr>
      <w:r w:rsidRPr="003B5469">
        <w:rPr>
          <w:rFonts w:eastAsia="Book Antiqua" w:cs="Book Antiqua"/>
        </w:rPr>
        <w:t>Taxation receipts from excise and customs duty were $0.2 billion below the 2021</w:t>
      </w:r>
      <w:r w:rsidR="00A36B1E" w:rsidRPr="003B5469">
        <w:rPr>
          <w:rFonts w:eastAsia="Book Antiqua" w:cs="Book Antiqua"/>
        </w:rPr>
        <w:noBreakHyphen/>
      </w:r>
      <w:r w:rsidR="0095073F" w:rsidRPr="003B5469">
        <w:rPr>
          <w:rFonts w:eastAsia="Book Antiqua" w:cs="Book Antiqua"/>
        </w:rPr>
        <w:t>22 </w:t>
      </w:r>
      <w:r w:rsidRPr="003B5469">
        <w:rPr>
          <w:rFonts w:eastAsia="Book Antiqua" w:cs="Book Antiqua"/>
        </w:rPr>
        <w:t>Budget profile. Stronger</w:t>
      </w:r>
      <w:r w:rsidR="00A36B1E" w:rsidRPr="003B5469">
        <w:rPr>
          <w:rFonts w:eastAsia="Book Antiqua" w:cs="Book Antiqua"/>
        </w:rPr>
        <w:noBreakHyphen/>
      </w:r>
      <w:r w:rsidRPr="003B5469">
        <w:rPr>
          <w:rFonts w:eastAsia="Book Antiqua" w:cs="Book Antiqua"/>
        </w:rPr>
        <w:t>than</w:t>
      </w:r>
      <w:r w:rsidR="00A36B1E" w:rsidRPr="003B5469">
        <w:rPr>
          <w:rFonts w:eastAsia="Book Antiqua" w:cs="Book Antiqua"/>
        </w:rPr>
        <w:noBreakHyphen/>
      </w:r>
      <w:r w:rsidRPr="003B5469">
        <w:rPr>
          <w:rFonts w:eastAsia="Book Antiqua" w:cs="Book Antiqua"/>
        </w:rPr>
        <w:t xml:space="preserve">expected </w:t>
      </w:r>
      <w:r w:rsidR="00A9154D" w:rsidRPr="003B5469">
        <w:rPr>
          <w:rFonts w:eastAsia="Book Antiqua" w:cs="Book Antiqua"/>
        </w:rPr>
        <w:t>collections for</w:t>
      </w:r>
      <w:r w:rsidR="00A9154D" w:rsidRPr="003B5469" w:rsidDel="00A9154D">
        <w:rPr>
          <w:rFonts w:eastAsia="Book Antiqua" w:cs="Book Antiqua"/>
        </w:rPr>
        <w:t xml:space="preserve"> </w:t>
      </w:r>
      <w:r w:rsidRPr="003B5469">
        <w:rPr>
          <w:rFonts w:eastAsia="Book Antiqua" w:cs="Book Antiqua"/>
        </w:rPr>
        <w:t xml:space="preserve">petrol and alcohol </w:t>
      </w:r>
      <w:r w:rsidRPr="00F3103B">
        <w:rPr>
          <w:rFonts w:eastAsia="Book Antiqua" w:cs="Book Antiqua"/>
        </w:rPr>
        <w:t>excise were more than offset by weaker</w:t>
      </w:r>
      <w:r w:rsidR="00A36B1E" w:rsidRPr="00F3103B">
        <w:rPr>
          <w:rFonts w:eastAsia="Book Antiqua" w:cs="Book Antiqua"/>
        </w:rPr>
        <w:noBreakHyphen/>
      </w:r>
      <w:r w:rsidRPr="00F3103B">
        <w:rPr>
          <w:rFonts w:eastAsia="Book Antiqua" w:cs="Book Antiqua"/>
        </w:rPr>
        <w:t>than</w:t>
      </w:r>
      <w:r w:rsidR="00A36B1E" w:rsidRPr="00F3103B">
        <w:rPr>
          <w:rFonts w:eastAsia="Book Antiqua" w:cs="Book Antiqua"/>
        </w:rPr>
        <w:noBreakHyphen/>
      </w:r>
      <w:r w:rsidRPr="00F3103B">
        <w:rPr>
          <w:rFonts w:eastAsia="Book Antiqua" w:cs="Book Antiqua"/>
        </w:rPr>
        <w:t>expected collections for tobacco excise.</w:t>
      </w:r>
      <w:r w:rsidR="004E79E0" w:rsidRPr="00F3103B">
        <w:rPr>
          <w:rFonts w:eastAsia="Calibri"/>
        </w:rPr>
        <w:t xml:space="preserve"> </w:t>
      </w:r>
    </w:p>
    <w:p w14:paraId="5AE95227" w14:textId="24F9C852" w:rsidR="00C7212F" w:rsidRPr="003B5469" w:rsidRDefault="00C7212F" w:rsidP="00C7212F">
      <w:r w:rsidRPr="00F3103B">
        <w:t>Non</w:t>
      </w:r>
      <w:r w:rsidR="00A36B1E" w:rsidRPr="00F3103B">
        <w:noBreakHyphen/>
      </w:r>
      <w:r w:rsidRPr="00F3103B">
        <w:t>tax receipts were $46.1 billion in 2020</w:t>
      </w:r>
      <w:r w:rsidR="00A36B1E" w:rsidRPr="00F3103B">
        <w:noBreakHyphen/>
      </w:r>
      <w:r w:rsidRPr="00F3103B">
        <w:t>21, $5.7 billion higher than estimated at the time of the 2021</w:t>
      </w:r>
      <w:r w:rsidR="00A36B1E" w:rsidRPr="00F3103B">
        <w:noBreakHyphen/>
      </w:r>
      <w:r w:rsidRPr="00F3103B">
        <w:t>22 Budget. This increase largely reflects higher</w:t>
      </w:r>
      <w:r w:rsidR="00A36B1E" w:rsidRPr="00F3103B">
        <w:noBreakHyphen/>
      </w:r>
      <w:r w:rsidRPr="00F3103B">
        <w:t>than</w:t>
      </w:r>
      <w:r w:rsidR="00A36B1E" w:rsidRPr="00F3103B">
        <w:noBreakHyphen/>
      </w:r>
      <w:r w:rsidRPr="00F3103B">
        <w:t>estimated receipts for the Public Sector Superannuation programs ($2.4 billion), higher</w:t>
      </w:r>
      <w:r w:rsidR="00A36B1E" w:rsidRPr="00F3103B">
        <w:noBreakHyphen/>
      </w:r>
      <w:r w:rsidRPr="00F3103B">
        <w:t>than</w:t>
      </w:r>
      <w:r w:rsidR="00A36B1E" w:rsidRPr="00F3103B">
        <w:noBreakHyphen/>
      </w:r>
      <w:r w:rsidRPr="00F3103B">
        <w:t>estimated receipts under the Unclaimed Superannuation Monies program ($1.3 billion) and higher</w:t>
      </w:r>
      <w:r w:rsidR="00A36B1E" w:rsidRPr="00F3103B">
        <w:noBreakHyphen/>
      </w:r>
      <w:r w:rsidRPr="00F3103B">
        <w:t>than</w:t>
      </w:r>
      <w:r w:rsidR="00A36B1E" w:rsidRPr="00F3103B">
        <w:noBreakHyphen/>
      </w:r>
      <w:r w:rsidRPr="00F3103B">
        <w:t>estimated Future Fund investment earnings ($1.2 billion).</w:t>
      </w:r>
      <w:r w:rsidRPr="003B5469">
        <w:t xml:space="preserve"> </w:t>
      </w:r>
    </w:p>
    <w:p w14:paraId="0F53D859" w14:textId="34D87D73" w:rsidR="00BA765C" w:rsidRPr="003B5469" w:rsidRDefault="00BA765C">
      <w:pPr>
        <w:spacing w:after="160" w:line="259" w:lineRule="auto"/>
        <w:jc w:val="left"/>
        <w:rPr>
          <w:rFonts w:ascii="Arial" w:hAnsi="Arial"/>
          <w:b/>
        </w:rPr>
      </w:pPr>
      <w:r w:rsidRPr="003B5469">
        <w:br w:type="page"/>
      </w:r>
    </w:p>
    <w:p w14:paraId="22BB9C4A" w14:textId="3A6DE512" w:rsidR="00315369" w:rsidRPr="003B5469" w:rsidRDefault="00C204D0" w:rsidP="00315369">
      <w:pPr>
        <w:pStyle w:val="TableHeading"/>
        <w:rPr>
          <w:rFonts w:asciiTheme="minorHAnsi" w:eastAsiaTheme="minorHAnsi" w:hAnsiTheme="minorHAnsi" w:cstheme="minorBidi"/>
          <w:sz w:val="22"/>
          <w:szCs w:val="22"/>
          <w:lang w:eastAsia="en-US"/>
        </w:rPr>
      </w:pPr>
      <w:r w:rsidRPr="003B5469">
        <w:lastRenderedPageBreak/>
        <w:t xml:space="preserve">Table </w:t>
      </w:r>
      <w:r w:rsidR="0001752C" w:rsidRPr="003B5469">
        <w:t>5</w:t>
      </w:r>
      <w:r w:rsidRPr="003B5469">
        <w:t>:  Australian Government general government (cash) receipts</w:t>
      </w:r>
    </w:p>
    <w:tbl>
      <w:tblPr>
        <w:tblW w:w="5000" w:type="pct"/>
        <w:tblCellMar>
          <w:left w:w="0" w:type="dxa"/>
          <w:right w:w="28" w:type="dxa"/>
        </w:tblCellMar>
        <w:tblLook w:val="04A0" w:firstRow="1" w:lastRow="0" w:firstColumn="1" w:lastColumn="0" w:noHBand="0" w:noVBand="1"/>
      </w:tblPr>
      <w:tblGrid>
        <w:gridCol w:w="3509"/>
        <w:gridCol w:w="1405"/>
        <w:gridCol w:w="1363"/>
        <w:gridCol w:w="133"/>
        <w:gridCol w:w="1300"/>
      </w:tblGrid>
      <w:tr w:rsidR="00315369" w:rsidRPr="00513ED7" w14:paraId="57A8B270" w14:textId="77777777" w:rsidTr="00F42602">
        <w:trPr>
          <w:trHeight w:hRule="exact" w:val="230"/>
        </w:trPr>
        <w:tc>
          <w:tcPr>
            <w:tcW w:w="2276" w:type="pct"/>
            <w:tcBorders>
              <w:top w:val="single" w:sz="4" w:space="0" w:color="000000"/>
              <w:left w:val="nil"/>
              <w:bottom w:val="nil"/>
              <w:right w:val="nil"/>
            </w:tcBorders>
            <w:shd w:val="clear" w:color="000000" w:fill="FFFFFF"/>
            <w:noWrap/>
            <w:vAlign w:val="center"/>
            <w:hideMark/>
          </w:tcPr>
          <w:p w14:paraId="132C5897" w14:textId="7AD04387" w:rsidR="00315369" w:rsidRPr="003B5469" w:rsidRDefault="00315369" w:rsidP="00315369">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911" w:type="pct"/>
            <w:tcBorders>
              <w:top w:val="single" w:sz="4" w:space="0" w:color="000000"/>
              <w:left w:val="nil"/>
              <w:bottom w:val="nil"/>
              <w:right w:val="nil"/>
            </w:tcBorders>
            <w:shd w:val="clear" w:color="000000" w:fill="FFFFFF"/>
            <w:noWrap/>
            <w:vAlign w:val="bottom"/>
            <w:hideMark/>
          </w:tcPr>
          <w:p w14:paraId="274F4990" w14:textId="059CCD17" w:rsidR="00315369" w:rsidRPr="003B5469" w:rsidRDefault="00315369" w:rsidP="00315369">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884" w:type="pct"/>
            <w:tcBorders>
              <w:top w:val="single" w:sz="4" w:space="0" w:color="000000"/>
              <w:left w:val="nil"/>
              <w:bottom w:val="nil"/>
              <w:right w:val="nil"/>
            </w:tcBorders>
            <w:shd w:val="clear" w:color="000000" w:fill="EBFFFF"/>
            <w:noWrap/>
            <w:vAlign w:val="bottom"/>
            <w:hideMark/>
          </w:tcPr>
          <w:p w14:paraId="27C5CF56" w14:textId="71ADFDB0" w:rsidR="00315369" w:rsidRPr="003B5469" w:rsidRDefault="00315369" w:rsidP="00315369">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86" w:type="pct"/>
            <w:tcBorders>
              <w:top w:val="single" w:sz="4" w:space="0" w:color="000000"/>
              <w:left w:val="nil"/>
              <w:bottom w:val="nil"/>
              <w:right w:val="nil"/>
            </w:tcBorders>
            <w:shd w:val="clear" w:color="000000" w:fill="FFFFFF"/>
            <w:noWrap/>
            <w:vAlign w:val="bottom"/>
            <w:hideMark/>
          </w:tcPr>
          <w:p w14:paraId="6AAFEEA8" w14:textId="77777777" w:rsidR="00315369" w:rsidRPr="003B5469" w:rsidRDefault="00315369" w:rsidP="00315369">
            <w:pPr>
              <w:spacing w:after="0" w:line="240" w:lineRule="auto"/>
              <w:jc w:val="right"/>
              <w:rPr>
                <w:rFonts w:ascii="Arial" w:hAnsi="Arial" w:cs="Arial"/>
                <w:sz w:val="16"/>
                <w:szCs w:val="16"/>
              </w:rPr>
            </w:pPr>
            <w:r w:rsidRPr="003B5469">
              <w:rPr>
                <w:rFonts w:ascii="Arial" w:hAnsi="Arial" w:cs="Arial"/>
                <w:sz w:val="16"/>
                <w:szCs w:val="16"/>
              </w:rPr>
              <w:t> </w:t>
            </w:r>
          </w:p>
        </w:tc>
        <w:tc>
          <w:tcPr>
            <w:tcW w:w="843" w:type="pct"/>
            <w:tcBorders>
              <w:top w:val="single" w:sz="4" w:space="0" w:color="000000"/>
              <w:left w:val="nil"/>
              <w:bottom w:val="nil"/>
              <w:right w:val="nil"/>
            </w:tcBorders>
            <w:shd w:val="clear" w:color="000000" w:fill="FFFFFF"/>
            <w:noWrap/>
            <w:vAlign w:val="bottom"/>
            <w:hideMark/>
          </w:tcPr>
          <w:p w14:paraId="7A6389C1" w14:textId="77777777" w:rsidR="00315369" w:rsidRPr="003B5469" w:rsidRDefault="00315369" w:rsidP="00315369">
            <w:pPr>
              <w:spacing w:after="0" w:line="240" w:lineRule="auto"/>
              <w:jc w:val="right"/>
              <w:rPr>
                <w:rFonts w:ascii="Arial" w:hAnsi="Arial" w:cs="Arial"/>
                <w:sz w:val="16"/>
                <w:szCs w:val="16"/>
              </w:rPr>
            </w:pPr>
            <w:r w:rsidRPr="003B5469">
              <w:rPr>
                <w:rFonts w:ascii="Arial" w:hAnsi="Arial" w:cs="Arial"/>
                <w:sz w:val="16"/>
                <w:szCs w:val="16"/>
              </w:rPr>
              <w:t>Change on</w:t>
            </w:r>
          </w:p>
        </w:tc>
      </w:tr>
      <w:tr w:rsidR="00315369" w:rsidRPr="00513ED7" w14:paraId="440F91B1"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7DD2604E" w14:textId="77777777" w:rsidR="00315369" w:rsidRPr="003B5469" w:rsidRDefault="00315369" w:rsidP="00315369">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911" w:type="pct"/>
            <w:tcBorders>
              <w:top w:val="nil"/>
              <w:left w:val="nil"/>
              <w:bottom w:val="nil"/>
              <w:right w:val="nil"/>
            </w:tcBorders>
            <w:shd w:val="clear" w:color="000000" w:fill="FFFFFF"/>
            <w:noWrap/>
            <w:vAlign w:val="center"/>
            <w:hideMark/>
          </w:tcPr>
          <w:p w14:paraId="0AC58694"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Estimate at</w:t>
            </w:r>
          </w:p>
        </w:tc>
        <w:tc>
          <w:tcPr>
            <w:tcW w:w="884" w:type="pct"/>
            <w:tcBorders>
              <w:top w:val="nil"/>
              <w:left w:val="nil"/>
              <w:bottom w:val="nil"/>
              <w:right w:val="nil"/>
            </w:tcBorders>
            <w:shd w:val="clear" w:color="000000" w:fill="EBFFFF"/>
            <w:noWrap/>
            <w:vAlign w:val="center"/>
            <w:hideMark/>
          </w:tcPr>
          <w:p w14:paraId="56C88127"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Outcome</w:t>
            </w:r>
          </w:p>
        </w:tc>
        <w:tc>
          <w:tcPr>
            <w:tcW w:w="86" w:type="pct"/>
            <w:tcBorders>
              <w:top w:val="nil"/>
              <w:left w:val="nil"/>
              <w:bottom w:val="nil"/>
              <w:right w:val="nil"/>
            </w:tcBorders>
            <w:shd w:val="clear" w:color="000000" w:fill="FFFFFF"/>
            <w:noWrap/>
            <w:vAlign w:val="center"/>
            <w:hideMark/>
          </w:tcPr>
          <w:p w14:paraId="650FA782"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249A071C" w14:textId="49B13411" w:rsidR="00315369" w:rsidRPr="003B5469" w:rsidRDefault="00315369" w:rsidP="00315369">
            <w:pPr>
              <w:spacing w:after="0" w:line="240" w:lineRule="auto"/>
              <w:jc w:val="right"/>
              <w:rPr>
                <w:rFonts w:ascii="Arial" w:hAnsi="Arial" w:cs="Arial"/>
                <w:sz w:val="16"/>
                <w:szCs w:val="16"/>
              </w:rPr>
            </w:pPr>
            <w:r w:rsidRPr="003B5469">
              <w:rPr>
                <w:rFonts w:ascii="Arial" w:hAnsi="Arial" w:cs="Arial"/>
                <w:sz w:val="16"/>
                <w:szCs w:val="16"/>
              </w:rPr>
              <w:t>2021</w:t>
            </w:r>
            <w:r w:rsidR="00A36B1E" w:rsidRPr="003B5469">
              <w:rPr>
                <w:rFonts w:ascii="Arial" w:hAnsi="Arial" w:cs="Arial"/>
                <w:sz w:val="16"/>
                <w:szCs w:val="16"/>
              </w:rPr>
              <w:noBreakHyphen/>
            </w:r>
            <w:r w:rsidRPr="003B5469">
              <w:rPr>
                <w:rFonts w:ascii="Arial" w:hAnsi="Arial" w:cs="Arial"/>
                <w:sz w:val="16"/>
                <w:szCs w:val="16"/>
              </w:rPr>
              <w:t>22</w:t>
            </w:r>
          </w:p>
        </w:tc>
      </w:tr>
      <w:tr w:rsidR="00315369" w:rsidRPr="00513ED7" w14:paraId="201F5677"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245508F2" w14:textId="77777777" w:rsidR="00315369" w:rsidRPr="003B5469" w:rsidRDefault="00315369" w:rsidP="00315369">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911" w:type="pct"/>
            <w:tcBorders>
              <w:top w:val="nil"/>
              <w:left w:val="nil"/>
              <w:bottom w:val="nil"/>
              <w:right w:val="nil"/>
            </w:tcBorders>
            <w:shd w:val="clear" w:color="000000" w:fill="FFFFFF"/>
            <w:noWrap/>
            <w:vAlign w:val="center"/>
            <w:hideMark/>
          </w:tcPr>
          <w:p w14:paraId="6D44F6FD" w14:textId="32B9FF5C"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2021</w:t>
            </w:r>
            <w:r w:rsidR="00A36B1E" w:rsidRPr="003B5469">
              <w:rPr>
                <w:rFonts w:ascii="Arial" w:hAnsi="Arial" w:cs="Arial"/>
                <w:color w:val="000000"/>
                <w:sz w:val="16"/>
                <w:szCs w:val="16"/>
              </w:rPr>
              <w:noBreakHyphen/>
            </w:r>
            <w:r w:rsidRPr="003B5469">
              <w:rPr>
                <w:rFonts w:ascii="Arial" w:hAnsi="Arial" w:cs="Arial"/>
                <w:color w:val="000000"/>
                <w:sz w:val="16"/>
                <w:szCs w:val="16"/>
              </w:rPr>
              <w:t>22</w:t>
            </w:r>
          </w:p>
        </w:tc>
        <w:tc>
          <w:tcPr>
            <w:tcW w:w="884" w:type="pct"/>
            <w:tcBorders>
              <w:top w:val="nil"/>
              <w:left w:val="nil"/>
              <w:bottom w:val="nil"/>
              <w:right w:val="nil"/>
            </w:tcBorders>
            <w:shd w:val="clear" w:color="000000" w:fill="EBFFFF"/>
            <w:noWrap/>
            <w:vAlign w:val="center"/>
            <w:hideMark/>
          </w:tcPr>
          <w:p w14:paraId="09C44844"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6" w:type="pct"/>
            <w:tcBorders>
              <w:top w:val="nil"/>
              <w:left w:val="nil"/>
              <w:bottom w:val="nil"/>
              <w:right w:val="nil"/>
            </w:tcBorders>
            <w:shd w:val="clear" w:color="000000" w:fill="FFFFFF"/>
            <w:noWrap/>
            <w:vAlign w:val="center"/>
            <w:hideMark/>
          </w:tcPr>
          <w:p w14:paraId="4A151206"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bottom"/>
            <w:hideMark/>
          </w:tcPr>
          <w:p w14:paraId="2561484C" w14:textId="77777777" w:rsidR="00315369" w:rsidRPr="003B5469" w:rsidRDefault="00315369" w:rsidP="00315369">
            <w:pPr>
              <w:spacing w:after="0" w:line="240" w:lineRule="auto"/>
              <w:jc w:val="right"/>
              <w:rPr>
                <w:rFonts w:ascii="Arial" w:hAnsi="Arial" w:cs="Arial"/>
                <w:sz w:val="16"/>
                <w:szCs w:val="16"/>
              </w:rPr>
            </w:pPr>
            <w:r w:rsidRPr="003B5469">
              <w:rPr>
                <w:rFonts w:ascii="Arial" w:hAnsi="Arial" w:cs="Arial"/>
                <w:sz w:val="16"/>
                <w:szCs w:val="16"/>
              </w:rPr>
              <w:t>Budget</w:t>
            </w:r>
          </w:p>
        </w:tc>
      </w:tr>
      <w:tr w:rsidR="00315369" w:rsidRPr="00513ED7" w14:paraId="052691DE"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6D44D850" w14:textId="77777777" w:rsidR="00315369" w:rsidRPr="003B5469" w:rsidRDefault="00315369" w:rsidP="00315369">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911" w:type="pct"/>
            <w:tcBorders>
              <w:top w:val="nil"/>
              <w:left w:val="nil"/>
              <w:bottom w:val="nil"/>
              <w:right w:val="nil"/>
            </w:tcBorders>
            <w:shd w:val="clear" w:color="000000" w:fill="FFFFFF"/>
            <w:noWrap/>
            <w:vAlign w:val="center"/>
            <w:hideMark/>
          </w:tcPr>
          <w:p w14:paraId="052B610A"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Budget</w:t>
            </w:r>
          </w:p>
        </w:tc>
        <w:tc>
          <w:tcPr>
            <w:tcW w:w="884" w:type="pct"/>
            <w:tcBorders>
              <w:top w:val="nil"/>
              <w:left w:val="nil"/>
              <w:bottom w:val="nil"/>
              <w:right w:val="nil"/>
            </w:tcBorders>
            <w:shd w:val="clear" w:color="000000" w:fill="EBFFFF"/>
            <w:noWrap/>
            <w:vAlign w:val="center"/>
            <w:hideMark/>
          </w:tcPr>
          <w:p w14:paraId="6C36665E"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6" w:type="pct"/>
            <w:tcBorders>
              <w:top w:val="nil"/>
              <w:left w:val="nil"/>
              <w:bottom w:val="nil"/>
              <w:right w:val="nil"/>
            </w:tcBorders>
            <w:shd w:val="clear" w:color="000000" w:fill="FFFFFF"/>
            <w:noWrap/>
            <w:vAlign w:val="center"/>
            <w:hideMark/>
          </w:tcPr>
          <w:p w14:paraId="7E0204A7"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bottom"/>
            <w:hideMark/>
          </w:tcPr>
          <w:p w14:paraId="2E797913" w14:textId="77777777" w:rsidR="00315369" w:rsidRPr="003B5469" w:rsidRDefault="00315369" w:rsidP="00315369">
            <w:pPr>
              <w:spacing w:after="0" w:line="240" w:lineRule="auto"/>
              <w:jc w:val="right"/>
              <w:rPr>
                <w:rFonts w:ascii="Arial" w:hAnsi="Arial" w:cs="Arial"/>
                <w:sz w:val="16"/>
                <w:szCs w:val="16"/>
              </w:rPr>
            </w:pPr>
            <w:r w:rsidRPr="003B5469">
              <w:rPr>
                <w:rFonts w:ascii="Arial" w:hAnsi="Arial" w:cs="Arial"/>
                <w:sz w:val="16"/>
                <w:szCs w:val="16"/>
              </w:rPr>
              <w:t> </w:t>
            </w:r>
          </w:p>
        </w:tc>
      </w:tr>
      <w:tr w:rsidR="003F4348" w:rsidRPr="00513ED7" w14:paraId="3EEE9CD9"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33B69B76" w14:textId="77777777" w:rsidR="00315369" w:rsidRPr="003B5469" w:rsidRDefault="00315369" w:rsidP="00315369">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911" w:type="pct"/>
            <w:tcBorders>
              <w:top w:val="nil"/>
              <w:left w:val="nil"/>
              <w:bottom w:val="single" w:sz="4" w:space="0" w:color="000000"/>
              <w:right w:val="nil"/>
            </w:tcBorders>
            <w:shd w:val="clear" w:color="000000" w:fill="FFFFFF"/>
            <w:noWrap/>
            <w:vAlign w:val="center"/>
            <w:hideMark/>
          </w:tcPr>
          <w:p w14:paraId="7F76BEFA"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$m</w:t>
            </w:r>
          </w:p>
        </w:tc>
        <w:tc>
          <w:tcPr>
            <w:tcW w:w="884" w:type="pct"/>
            <w:tcBorders>
              <w:top w:val="nil"/>
              <w:left w:val="nil"/>
              <w:bottom w:val="single" w:sz="4" w:space="0" w:color="000000"/>
              <w:right w:val="nil"/>
            </w:tcBorders>
            <w:shd w:val="clear" w:color="000000" w:fill="EBFFFF"/>
            <w:noWrap/>
            <w:vAlign w:val="center"/>
            <w:hideMark/>
          </w:tcPr>
          <w:p w14:paraId="0989771B"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$m</w:t>
            </w:r>
          </w:p>
        </w:tc>
        <w:tc>
          <w:tcPr>
            <w:tcW w:w="86" w:type="pct"/>
            <w:tcBorders>
              <w:top w:val="nil"/>
              <w:left w:val="nil"/>
              <w:bottom w:val="nil"/>
              <w:right w:val="nil"/>
            </w:tcBorders>
            <w:shd w:val="clear" w:color="000000" w:fill="FFFFFF"/>
            <w:noWrap/>
            <w:vAlign w:val="center"/>
            <w:hideMark/>
          </w:tcPr>
          <w:p w14:paraId="79AB0B11"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single" w:sz="4" w:space="0" w:color="000000"/>
              <w:right w:val="nil"/>
            </w:tcBorders>
            <w:shd w:val="clear" w:color="000000" w:fill="FFFFFF"/>
            <w:noWrap/>
            <w:vAlign w:val="center"/>
            <w:hideMark/>
          </w:tcPr>
          <w:p w14:paraId="31D47739"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$m</w:t>
            </w:r>
          </w:p>
        </w:tc>
      </w:tr>
      <w:tr w:rsidR="00315369" w:rsidRPr="00513ED7" w14:paraId="57935781"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6304142F" w14:textId="77777777" w:rsidR="00315369" w:rsidRPr="003B5469" w:rsidRDefault="00315369" w:rsidP="00315369">
            <w:pPr>
              <w:spacing w:after="0" w:line="240" w:lineRule="auto"/>
              <w:jc w:val="left"/>
              <w:rPr>
                <w:rFonts w:ascii="Arial" w:hAnsi="Arial" w:cs="Arial"/>
                <w:color w:val="000000"/>
                <w:sz w:val="16"/>
                <w:szCs w:val="16"/>
              </w:rPr>
            </w:pPr>
            <w:r w:rsidRPr="003B5469">
              <w:rPr>
                <w:rFonts w:ascii="Arial" w:hAnsi="Arial" w:cs="Arial"/>
                <w:color w:val="000000"/>
                <w:sz w:val="16"/>
                <w:szCs w:val="16"/>
              </w:rPr>
              <w:t>Individuals and other withholding taxes</w:t>
            </w:r>
          </w:p>
        </w:tc>
        <w:tc>
          <w:tcPr>
            <w:tcW w:w="911" w:type="pct"/>
            <w:tcBorders>
              <w:top w:val="nil"/>
              <w:left w:val="nil"/>
              <w:bottom w:val="nil"/>
              <w:right w:val="nil"/>
            </w:tcBorders>
            <w:shd w:val="clear" w:color="000000" w:fill="FFFFFF"/>
            <w:noWrap/>
            <w:vAlign w:val="center"/>
            <w:hideMark/>
          </w:tcPr>
          <w:p w14:paraId="2E8749BC"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84" w:type="pct"/>
            <w:tcBorders>
              <w:top w:val="nil"/>
              <w:left w:val="nil"/>
              <w:bottom w:val="nil"/>
              <w:right w:val="nil"/>
            </w:tcBorders>
            <w:shd w:val="clear" w:color="000000" w:fill="EBFFFF"/>
            <w:noWrap/>
            <w:vAlign w:val="center"/>
            <w:hideMark/>
          </w:tcPr>
          <w:p w14:paraId="1724720A"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6" w:type="pct"/>
            <w:tcBorders>
              <w:top w:val="nil"/>
              <w:left w:val="nil"/>
              <w:bottom w:val="nil"/>
              <w:right w:val="nil"/>
            </w:tcBorders>
            <w:shd w:val="clear" w:color="000000" w:fill="FFFFFF"/>
            <w:noWrap/>
            <w:vAlign w:val="center"/>
            <w:hideMark/>
          </w:tcPr>
          <w:p w14:paraId="6C379AB5"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2C3710FC"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315369" w:rsidRPr="00513ED7" w14:paraId="56DCF9D0"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4A90E666" w14:textId="77777777" w:rsidR="00315369" w:rsidRPr="003B5469" w:rsidRDefault="00315369" w:rsidP="00F42602">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Gross income tax withholding</w:t>
            </w:r>
          </w:p>
        </w:tc>
        <w:tc>
          <w:tcPr>
            <w:tcW w:w="911" w:type="pct"/>
            <w:tcBorders>
              <w:top w:val="nil"/>
              <w:left w:val="nil"/>
              <w:bottom w:val="nil"/>
              <w:right w:val="nil"/>
            </w:tcBorders>
            <w:shd w:val="clear" w:color="000000" w:fill="FFFFFF"/>
            <w:noWrap/>
            <w:vAlign w:val="center"/>
            <w:hideMark/>
          </w:tcPr>
          <w:p w14:paraId="33E3BE88"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216,500</w:t>
            </w:r>
          </w:p>
        </w:tc>
        <w:tc>
          <w:tcPr>
            <w:tcW w:w="884" w:type="pct"/>
            <w:tcBorders>
              <w:top w:val="nil"/>
              <w:left w:val="nil"/>
              <w:bottom w:val="nil"/>
              <w:right w:val="nil"/>
            </w:tcBorders>
            <w:shd w:val="clear" w:color="000000" w:fill="EBFFFF"/>
            <w:noWrap/>
            <w:vAlign w:val="center"/>
            <w:hideMark/>
          </w:tcPr>
          <w:p w14:paraId="43113B53"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220,457</w:t>
            </w:r>
          </w:p>
        </w:tc>
        <w:tc>
          <w:tcPr>
            <w:tcW w:w="86" w:type="pct"/>
            <w:tcBorders>
              <w:top w:val="nil"/>
              <w:left w:val="nil"/>
              <w:bottom w:val="nil"/>
              <w:right w:val="nil"/>
            </w:tcBorders>
            <w:shd w:val="clear" w:color="000000" w:fill="FFFFFF"/>
            <w:noWrap/>
            <w:vAlign w:val="center"/>
            <w:hideMark/>
          </w:tcPr>
          <w:p w14:paraId="071DC9C7"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1CD29CFB"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3,957</w:t>
            </w:r>
          </w:p>
        </w:tc>
      </w:tr>
      <w:tr w:rsidR="00315369" w:rsidRPr="00513ED7" w14:paraId="62B5CF15"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766875FA" w14:textId="77777777" w:rsidR="00315369" w:rsidRPr="003B5469" w:rsidRDefault="00315369" w:rsidP="00F42602">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Gross other individuals</w:t>
            </w:r>
          </w:p>
        </w:tc>
        <w:tc>
          <w:tcPr>
            <w:tcW w:w="911" w:type="pct"/>
            <w:tcBorders>
              <w:top w:val="nil"/>
              <w:left w:val="nil"/>
              <w:bottom w:val="nil"/>
              <w:right w:val="nil"/>
            </w:tcBorders>
            <w:shd w:val="clear" w:color="000000" w:fill="FFFFFF"/>
            <w:noWrap/>
            <w:vAlign w:val="center"/>
            <w:hideMark/>
          </w:tcPr>
          <w:p w14:paraId="2082FAB9"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47,500</w:t>
            </w:r>
          </w:p>
        </w:tc>
        <w:tc>
          <w:tcPr>
            <w:tcW w:w="884" w:type="pct"/>
            <w:tcBorders>
              <w:top w:val="nil"/>
              <w:left w:val="nil"/>
              <w:bottom w:val="nil"/>
              <w:right w:val="nil"/>
            </w:tcBorders>
            <w:shd w:val="clear" w:color="000000" w:fill="EBFFFF"/>
            <w:noWrap/>
            <w:vAlign w:val="center"/>
            <w:hideMark/>
          </w:tcPr>
          <w:p w14:paraId="5BD94B45"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48,769</w:t>
            </w:r>
          </w:p>
        </w:tc>
        <w:tc>
          <w:tcPr>
            <w:tcW w:w="86" w:type="pct"/>
            <w:tcBorders>
              <w:top w:val="nil"/>
              <w:left w:val="nil"/>
              <w:bottom w:val="nil"/>
              <w:right w:val="nil"/>
            </w:tcBorders>
            <w:shd w:val="clear" w:color="000000" w:fill="FFFFFF"/>
            <w:noWrap/>
            <w:vAlign w:val="center"/>
            <w:hideMark/>
          </w:tcPr>
          <w:p w14:paraId="3A297B85"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647474E8"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1,269</w:t>
            </w:r>
          </w:p>
        </w:tc>
      </w:tr>
      <w:tr w:rsidR="003F4348" w:rsidRPr="00513ED7" w14:paraId="2D4EF22A"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73D63A8F" w14:textId="77777777" w:rsidR="00315369" w:rsidRPr="003B5469" w:rsidRDefault="00315369" w:rsidP="00F42602">
            <w:pPr>
              <w:spacing w:after="0" w:line="240" w:lineRule="auto"/>
              <w:ind w:left="170"/>
              <w:jc w:val="left"/>
              <w:rPr>
                <w:rFonts w:ascii="Arial" w:hAnsi="Arial" w:cs="Arial"/>
                <w:i/>
                <w:color w:val="000000"/>
                <w:sz w:val="16"/>
                <w:szCs w:val="16"/>
              </w:rPr>
            </w:pPr>
            <w:r w:rsidRPr="003B5469">
              <w:rPr>
                <w:rFonts w:ascii="Arial" w:hAnsi="Arial" w:cs="Arial"/>
                <w:i/>
                <w:color w:val="000000"/>
                <w:sz w:val="16"/>
                <w:szCs w:val="16"/>
              </w:rPr>
              <w:t xml:space="preserve">less: </w:t>
            </w:r>
            <w:r w:rsidRPr="003B5469">
              <w:rPr>
                <w:rFonts w:ascii="Arial" w:hAnsi="Arial" w:cs="Arial"/>
                <w:color w:val="000000"/>
                <w:sz w:val="16"/>
                <w:szCs w:val="16"/>
              </w:rPr>
              <w:t>Refunds</w:t>
            </w:r>
          </w:p>
        </w:tc>
        <w:tc>
          <w:tcPr>
            <w:tcW w:w="911" w:type="pct"/>
            <w:tcBorders>
              <w:top w:val="nil"/>
              <w:left w:val="nil"/>
              <w:bottom w:val="single" w:sz="4" w:space="0" w:color="000000"/>
              <w:right w:val="nil"/>
            </w:tcBorders>
            <w:shd w:val="clear" w:color="000000" w:fill="FFFFFF"/>
            <w:noWrap/>
            <w:vAlign w:val="center"/>
            <w:hideMark/>
          </w:tcPr>
          <w:p w14:paraId="7C91694C"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36,000</w:t>
            </w:r>
          </w:p>
        </w:tc>
        <w:tc>
          <w:tcPr>
            <w:tcW w:w="884" w:type="pct"/>
            <w:tcBorders>
              <w:top w:val="nil"/>
              <w:left w:val="nil"/>
              <w:bottom w:val="single" w:sz="4" w:space="0" w:color="000000"/>
              <w:right w:val="nil"/>
            </w:tcBorders>
            <w:shd w:val="clear" w:color="000000" w:fill="EBFFFF"/>
            <w:noWrap/>
            <w:vAlign w:val="center"/>
            <w:hideMark/>
          </w:tcPr>
          <w:p w14:paraId="7181716E"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36,265</w:t>
            </w:r>
          </w:p>
        </w:tc>
        <w:tc>
          <w:tcPr>
            <w:tcW w:w="86" w:type="pct"/>
            <w:tcBorders>
              <w:top w:val="nil"/>
              <w:left w:val="nil"/>
              <w:bottom w:val="nil"/>
              <w:right w:val="nil"/>
            </w:tcBorders>
            <w:shd w:val="clear" w:color="000000" w:fill="FFFFFF"/>
            <w:noWrap/>
            <w:vAlign w:val="center"/>
            <w:hideMark/>
          </w:tcPr>
          <w:p w14:paraId="0DE98DAA"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single" w:sz="4" w:space="0" w:color="000000"/>
              <w:right w:val="nil"/>
            </w:tcBorders>
            <w:shd w:val="clear" w:color="000000" w:fill="FFFFFF"/>
            <w:noWrap/>
            <w:vAlign w:val="center"/>
            <w:hideMark/>
          </w:tcPr>
          <w:p w14:paraId="53EC5A3E"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265</w:t>
            </w:r>
          </w:p>
        </w:tc>
      </w:tr>
      <w:tr w:rsidR="00315369" w:rsidRPr="00513ED7" w14:paraId="001500A3"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48ACEF7A" w14:textId="77777777" w:rsidR="00315369" w:rsidRPr="003B5469" w:rsidRDefault="00315369" w:rsidP="00315369">
            <w:pPr>
              <w:spacing w:after="0" w:line="240" w:lineRule="auto"/>
              <w:jc w:val="left"/>
              <w:rPr>
                <w:rFonts w:ascii="Arial" w:hAnsi="Arial" w:cs="Arial"/>
                <w:color w:val="000000"/>
                <w:sz w:val="16"/>
                <w:szCs w:val="16"/>
              </w:rPr>
            </w:pPr>
            <w:r w:rsidRPr="003B5469">
              <w:rPr>
                <w:rFonts w:ascii="Arial" w:hAnsi="Arial" w:cs="Arial"/>
                <w:color w:val="000000"/>
                <w:sz w:val="16"/>
                <w:szCs w:val="16"/>
              </w:rPr>
              <w:t>Total individuals and other withholding tax</w:t>
            </w:r>
          </w:p>
        </w:tc>
        <w:tc>
          <w:tcPr>
            <w:tcW w:w="911" w:type="pct"/>
            <w:tcBorders>
              <w:top w:val="nil"/>
              <w:left w:val="nil"/>
              <w:bottom w:val="nil"/>
              <w:right w:val="nil"/>
            </w:tcBorders>
            <w:shd w:val="clear" w:color="000000" w:fill="FFFFFF"/>
            <w:noWrap/>
            <w:vAlign w:val="center"/>
            <w:hideMark/>
          </w:tcPr>
          <w:p w14:paraId="2D6BFA55"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228,000</w:t>
            </w:r>
          </w:p>
        </w:tc>
        <w:tc>
          <w:tcPr>
            <w:tcW w:w="884" w:type="pct"/>
            <w:tcBorders>
              <w:top w:val="nil"/>
              <w:left w:val="nil"/>
              <w:bottom w:val="nil"/>
              <w:right w:val="nil"/>
            </w:tcBorders>
            <w:shd w:val="clear" w:color="000000" w:fill="EBFFFF"/>
            <w:noWrap/>
            <w:vAlign w:val="center"/>
            <w:hideMark/>
          </w:tcPr>
          <w:p w14:paraId="226F4EA5"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232,961</w:t>
            </w:r>
          </w:p>
        </w:tc>
        <w:tc>
          <w:tcPr>
            <w:tcW w:w="86" w:type="pct"/>
            <w:tcBorders>
              <w:top w:val="nil"/>
              <w:left w:val="nil"/>
              <w:bottom w:val="nil"/>
              <w:right w:val="nil"/>
            </w:tcBorders>
            <w:shd w:val="clear" w:color="000000" w:fill="FFFFFF"/>
            <w:noWrap/>
            <w:vAlign w:val="center"/>
            <w:hideMark/>
          </w:tcPr>
          <w:p w14:paraId="2328D986"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712DAB64"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4,961</w:t>
            </w:r>
          </w:p>
        </w:tc>
      </w:tr>
      <w:tr w:rsidR="00315369" w:rsidRPr="00513ED7" w14:paraId="4010C5FB"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40C61082" w14:textId="77777777" w:rsidR="00315369" w:rsidRPr="003B5469" w:rsidRDefault="00315369" w:rsidP="00315369">
            <w:pPr>
              <w:spacing w:after="0" w:line="240" w:lineRule="auto"/>
              <w:jc w:val="left"/>
              <w:rPr>
                <w:rFonts w:ascii="Arial" w:hAnsi="Arial" w:cs="Arial"/>
                <w:color w:val="000000"/>
                <w:sz w:val="16"/>
                <w:szCs w:val="16"/>
              </w:rPr>
            </w:pPr>
            <w:r w:rsidRPr="003B5469">
              <w:rPr>
                <w:rFonts w:ascii="Arial" w:hAnsi="Arial" w:cs="Arial"/>
                <w:color w:val="000000"/>
                <w:sz w:val="16"/>
                <w:szCs w:val="16"/>
              </w:rPr>
              <w:t>Fringe benefits tax</w:t>
            </w:r>
          </w:p>
        </w:tc>
        <w:tc>
          <w:tcPr>
            <w:tcW w:w="911" w:type="pct"/>
            <w:tcBorders>
              <w:top w:val="nil"/>
              <w:left w:val="nil"/>
              <w:bottom w:val="nil"/>
              <w:right w:val="nil"/>
            </w:tcBorders>
            <w:shd w:val="clear" w:color="000000" w:fill="FFFFFF"/>
            <w:noWrap/>
            <w:vAlign w:val="center"/>
            <w:hideMark/>
          </w:tcPr>
          <w:p w14:paraId="097413E9"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3,900</w:t>
            </w:r>
          </w:p>
        </w:tc>
        <w:tc>
          <w:tcPr>
            <w:tcW w:w="884" w:type="pct"/>
            <w:tcBorders>
              <w:top w:val="nil"/>
              <w:left w:val="nil"/>
              <w:bottom w:val="nil"/>
              <w:right w:val="nil"/>
            </w:tcBorders>
            <w:shd w:val="clear" w:color="000000" w:fill="EBFFFF"/>
            <w:noWrap/>
            <w:vAlign w:val="center"/>
            <w:hideMark/>
          </w:tcPr>
          <w:p w14:paraId="452C9A1A"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3,569</w:t>
            </w:r>
          </w:p>
        </w:tc>
        <w:tc>
          <w:tcPr>
            <w:tcW w:w="86" w:type="pct"/>
            <w:tcBorders>
              <w:top w:val="nil"/>
              <w:left w:val="nil"/>
              <w:bottom w:val="nil"/>
              <w:right w:val="nil"/>
            </w:tcBorders>
            <w:shd w:val="clear" w:color="000000" w:fill="FFFFFF"/>
            <w:noWrap/>
            <w:vAlign w:val="center"/>
            <w:hideMark/>
          </w:tcPr>
          <w:p w14:paraId="5B20A3B9"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0E35C69A" w14:textId="4F08A116" w:rsidR="00315369" w:rsidRPr="003B5469" w:rsidRDefault="00A36B1E"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315369" w:rsidRPr="003B5469">
              <w:rPr>
                <w:rFonts w:ascii="Arial" w:hAnsi="Arial" w:cs="Arial"/>
                <w:color w:val="000000"/>
                <w:sz w:val="16"/>
                <w:szCs w:val="16"/>
              </w:rPr>
              <w:t>331</w:t>
            </w:r>
          </w:p>
        </w:tc>
      </w:tr>
      <w:tr w:rsidR="00315369" w:rsidRPr="00513ED7" w14:paraId="12E261EE"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5E880553" w14:textId="77777777" w:rsidR="00315369" w:rsidRPr="003B5469" w:rsidRDefault="00315369" w:rsidP="00315369">
            <w:pPr>
              <w:spacing w:after="0" w:line="240" w:lineRule="auto"/>
              <w:jc w:val="left"/>
              <w:rPr>
                <w:rFonts w:ascii="Arial" w:hAnsi="Arial" w:cs="Arial"/>
                <w:color w:val="000000"/>
                <w:sz w:val="16"/>
                <w:szCs w:val="16"/>
              </w:rPr>
            </w:pPr>
            <w:r w:rsidRPr="003B5469">
              <w:rPr>
                <w:rFonts w:ascii="Arial" w:hAnsi="Arial" w:cs="Arial"/>
                <w:color w:val="000000"/>
                <w:sz w:val="16"/>
                <w:szCs w:val="16"/>
              </w:rPr>
              <w:t>Company tax</w:t>
            </w:r>
          </w:p>
        </w:tc>
        <w:tc>
          <w:tcPr>
            <w:tcW w:w="911" w:type="pct"/>
            <w:tcBorders>
              <w:top w:val="nil"/>
              <w:left w:val="nil"/>
              <w:bottom w:val="nil"/>
              <w:right w:val="nil"/>
            </w:tcBorders>
            <w:shd w:val="clear" w:color="000000" w:fill="FFFFFF"/>
            <w:noWrap/>
            <w:vAlign w:val="center"/>
            <w:hideMark/>
          </w:tcPr>
          <w:p w14:paraId="23412482"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93,300</w:t>
            </w:r>
          </w:p>
        </w:tc>
        <w:tc>
          <w:tcPr>
            <w:tcW w:w="884" w:type="pct"/>
            <w:tcBorders>
              <w:top w:val="nil"/>
              <w:left w:val="nil"/>
              <w:bottom w:val="nil"/>
              <w:right w:val="nil"/>
            </w:tcBorders>
            <w:shd w:val="clear" w:color="000000" w:fill="EBFFFF"/>
            <w:noWrap/>
            <w:vAlign w:val="center"/>
            <w:hideMark/>
          </w:tcPr>
          <w:p w14:paraId="15226386"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98,786</w:t>
            </w:r>
          </w:p>
        </w:tc>
        <w:tc>
          <w:tcPr>
            <w:tcW w:w="86" w:type="pct"/>
            <w:tcBorders>
              <w:top w:val="nil"/>
              <w:left w:val="nil"/>
              <w:bottom w:val="nil"/>
              <w:right w:val="nil"/>
            </w:tcBorders>
            <w:shd w:val="clear" w:color="000000" w:fill="FFFFFF"/>
            <w:noWrap/>
            <w:vAlign w:val="center"/>
            <w:hideMark/>
          </w:tcPr>
          <w:p w14:paraId="6350CC6A"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2DBEFC50"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5,486</w:t>
            </w:r>
          </w:p>
        </w:tc>
      </w:tr>
      <w:tr w:rsidR="00315369" w:rsidRPr="00513ED7" w14:paraId="2C6785F8"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11D3AB46" w14:textId="77777777" w:rsidR="00315369" w:rsidRPr="003B5469" w:rsidRDefault="00315369" w:rsidP="00315369">
            <w:pPr>
              <w:spacing w:after="0" w:line="240" w:lineRule="auto"/>
              <w:jc w:val="left"/>
              <w:rPr>
                <w:rFonts w:ascii="Arial" w:hAnsi="Arial" w:cs="Arial"/>
                <w:color w:val="000000"/>
                <w:sz w:val="16"/>
                <w:szCs w:val="16"/>
              </w:rPr>
            </w:pPr>
            <w:r w:rsidRPr="003B5469">
              <w:rPr>
                <w:rFonts w:ascii="Arial" w:hAnsi="Arial" w:cs="Arial"/>
                <w:color w:val="000000"/>
                <w:sz w:val="16"/>
                <w:szCs w:val="16"/>
              </w:rPr>
              <w:t>Superannuation fund taxes</w:t>
            </w:r>
          </w:p>
        </w:tc>
        <w:tc>
          <w:tcPr>
            <w:tcW w:w="911" w:type="pct"/>
            <w:tcBorders>
              <w:top w:val="nil"/>
              <w:left w:val="nil"/>
              <w:bottom w:val="nil"/>
              <w:right w:val="nil"/>
            </w:tcBorders>
            <w:shd w:val="clear" w:color="000000" w:fill="FFFFFF"/>
            <w:noWrap/>
            <w:vAlign w:val="center"/>
            <w:hideMark/>
          </w:tcPr>
          <w:p w14:paraId="005E5EAC"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11,670</w:t>
            </w:r>
          </w:p>
        </w:tc>
        <w:tc>
          <w:tcPr>
            <w:tcW w:w="884" w:type="pct"/>
            <w:tcBorders>
              <w:top w:val="nil"/>
              <w:left w:val="nil"/>
              <w:bottom w:val="nil"/>
              <w:right w:val="nil"/>
            </w:tcBorders>
            <w:shd w:val="clear" w:color="000000" w:fill="EBFFFF"/>
            <w:noWrap/>
            <w:vAlign w:val="center"/>
            <w:hideMark/>
          </w:tcPr>
          <w:p w14:paraId="3F628F7A"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12,956</w:t>
            </w:r>
          </w:p>
        </w:tc>
        <w:tc>
          <w:tcPr>
            <w:tcW w:w="86" w:type="pct"/>
            <w:tcBorders>
              <w:top w:val="nil"/>
              <w:left w:val="nil"/>
              <w:bottom w:val="nil"/>
              <w:right w:val="nil"/>
            </w:tcBorders>
            <w:shd w:val="clear" w:color="000000" w:fill="FFFFFF"/>
            <w:noWrap/>
            <w:vAlign w:val="center"/>
            <w:hideMark/>
          </w:tcPr>
          <w:p w14:paraId="43270E7E"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4C63D176"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1,286</w:t>
            </w:r>
          </w:p>
        </w:tc>
      </w:tr>
      <w:tr w:rsidR="003F4348" w:rsidRPr="00513ED7" w14:paraId="49307870"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1A8B365D" w14:textId="77777777" w:rsidR="00315369" w:rsidRPr="003B5469" w:rsidRDefault="00315369" w:rsidP="00315369">
            <w:pPr>
              <w:spacing w:after="0" w:line="240" w:lineRule="auto"/>
              <w:jc w:val="left"/>
              <w:rPr>
                <w:rFonts w:ascii="Arial" w:hAnsi="Arial" w:cs="Arial"/>
                <w:color w:val="000000"/>
                <w:sz w:val="16"/>
                <w:szCs w:val="16"/>
              </w:rPr>
            </w:pPr>
            <w:r w:rsidRPr="003B5469">
              <w:rPr>
                <w:rFonts w:ascii="Arial" w:hAnsi="Arial" w:cs="Arial"/>
                <w:color w:val="000000"/>
                <w:sz w:val="16"/>
                <w:szCs w:val="16"/>
              </w:rPr>
              <w:t>Petroleum resource rent tax</w:t>
            </w:r>
          </w:p>
        </w:tc>
        <w:tc>
          <w:tcPr>
            <w:tcW w:w="911" w:type="pct"/>
            <w:tcBorders>
              <w:top w:val="nil"/>
              <w:left w:val="nil"/>
              <w:bottom w:val="single" w:sz="4" w:space="0" w:color="000000"/>
              <w:right w:val="nil"/>
            </w:tcBorders>
            <w:shd w:val="clear" w:color="000000" w:fill="FFFFFF"/>
            <w:noWrap/>
            <w:vAlign w:val="center"/>
            <w:hideMark/>
          </w:tcPr>
          <w:p w14:paraId="69B15B42"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800</w:t>
            </w:r>
          </w:p>
        </w:tc>
        <w:tc>
          <w:tcPr>
            <w:tcW w:w="884" w:type="pct"/>
            <w:tcBorders>
              <w:top w:val="nil"/>
              <w:left w:val="nil"/>
              <w:bottom w:val="single" w:sz="4" w:space="0" w:color="000000"/>
              <w:right w:val="nil"/>
            </w:tcBorders>
            <w:shd w:val="clear" w:color="000000" w:fill="EBFFFF"/>
            <w:noWrap/>
            <w:vAlign w:val="center"/>
            <w:hideMark/>
          </w:tcPr>
          <w:p w14:paraId="5406EC22"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786</w:t>
            </w:r>
          </w:p>
        </w:tc>
        <w:tc>
          <w:tcPr>
            <w:tcW w:w="86" w:type="pct"/>
            <w:tcBorders>
              <w:top w:val="nil"/>
              <w:left w:val="nil"/>
              <w:bottom w:val="nil"/>
              <w:right w:val="nil"/>
            </w:tcBorders>
            <w:shd w:val="clear" w:color="000000" w:fill="FFFFFF"/>
            <w:noWrap/>
            <w:vAlign w:val="center"/>
            <w:hideMark/>
          </w:tcPr>
          <w:p w14:paraId="289DC98B"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single" w:sz="4" w:space="0" w:color="000000"/>
              <w:right w:val="nil"/>
            </w:tcBorders>
            <w:shd w:val="clear" w:color="000000" w:fill="FFFFFF"/>
            <w:noWrap/>
            <w:vAlign w:val="center"/>
            <w:hideMark/>
          </w:tcPr>
          <w:p w14:paraId="48499045" w14:textId="647B90E6" w:rsidR="00315369" w:rsidRPr="003B5469" w:rsidRDefault="00A36B1E"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315369" w:rsidRPr="003B5469">
              <w:rPr>
                <w:rFonts w:ascii="Arial" w:hAnsi="Arial" w:cs="Arial"/>
                <w:color w:val="000000"/>
                <w:sz w:val="16"/>
                <w:szCs w:val="16"/>
              </w:rPr>
              <w:t>14</w:t>
            </w:r>
          </w:p>
        </w:tc>
      </w:tr>
      <w:tr w:rsidR="003F4348" w:rsidRPr="00513ED7" w14:paraId="3EAB4D73"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63894491" w14:textId="77777777" w:rsidR="00315369" w:rsidRPr="003B5469" w:rsidRDefault="00315369" w:rsidP="00315369">
            <w:pPr>
              <w:spacing w:after="0" w:line="240" w:lineRule="auto"/>
              <w:jc w:val="left"/>
              <w:rPr>
                <w:rFonts w:ascii="Arial" w:hAnsi="Arial" w:cs="Arial"/>
                <w:b/>
                <w:color w:val="000000"/>
                <w:sz w:val="16"/>
                <w:szCs w:val="16"/>
              </w:rPr>
            </w:pPr>
            <w:r w:rsidRPr="003B5469">
              <w:rPr>
                <w:rFonts w:ascii="Arial" w:hAnsi="Arial" w:cs="Arial"/>
                <w:b/>
                <w:color w:val="000000"/>
                <w:sz w:val="16"/>
                <w:szCs w:val="16"/>
              </w:rPr>
              <w:t>Income taxation receipts</w:t>
            </w:r>
          </w:p>
        </w:tc>
        <w:tc>
          <w:tcPr>
            <w:tcW w:w="911" w:type="pct"/>
            <w:tcBorders>
              <w:top w:val="nil"/>
              <w:left w:val="nil"/>
              <w:bottom w:val="single" w:sz="4" w:space="0" w:color="000000"/>
              <w:right w:val="nil"/>
            </w:tcBorders>
            <w:shd w:val="clear" w:color="000000" w:fill="FFFFFF"/>
            <w:noWrap/>
            <w:vAlign w:val="center"/>
            <w:hideMark/>
          </w:tcPr>
          <w:p w14:paraId="24184D63" w14:textId="77777777" w:rsidR="00315369" w:rsidRPr="003B5469" w:rsidRDefault="00315369" w:rsidP="00315369">
            <w:pPr>
              <w:spacing w:after="0" w:line="240" w:lineRule="auto"/>
              <w:jc w:val="right"/>
              <w:rPr>
                <w:rFonts w:ascii="Arial" w:hAnsi="Arial" w:cs="Arial"/>
                <w:b/>
                <w:color w:val="000000"/>
                <w:sz w:val="16"/>
                <w:szCs w:val="16"/>
              </w:rPr>
            </w:pPr>
            <w:r w:rsidRPr="003B5469">
              <w:rPr>
                <w:rFonts w:ascii="Arial" w:hAnsi="Arial" w:cs="Arial"/>
                <w:b/>
                <w:color w:val="000000"/>
                <w:sz w:val="16"/>
                <w:szCs w:val="16"/>
              </w:rPr>
              <w:t>337,670</w:t>
            </w:r>
          </w:p>
        </w:tc>
        <w:tc>
          <w:tcPr>
            <w:tcW w:w="884" w:type="pct"/>
            <w:tcBorders>
              <w:top w:val="nil"/>
              <w:left w:val="nil"/>
              <w:bottom w:val="single" w:sz="4" w:space="0" w:color="000000"/>
              <w:right w:val="nil"/>
            </w:tcBorders>
            <w:shd w:val="clear" w:color="000000" w:fill="EBFFFF"/>
            <w:noWrap/>
            <w:vAlign w:val="center"/>
            <w:hideMark/>
          </w:tcPr>
          <w:p w14:paraId="535D9938" w14:textId="77777777" w:rsidR="00315369" w:rsidRPr="003B5469" w:rsidRDefault="00315369" w:rsidP="00315369">
            <w:pPr>
              <w:spacing w:after="0" w:line="240" w:lineRule="auto"/>
              <w:jc w:val="right"/>
              <w:rPr>
                <w:rFonts w:ascii="Arial" w:hAnsi="Arial" w:cs="Arial"/>
                <w:b/>
                <w:color w:val="000000"/>
                <w:sz w:val="16"/>
                <w:szCs w:val="16"/>
              </w:rPr>
            </w:pPr>
            <w:r w:rsidRPr="003B5469">
              <w:rPr>
                <w:rFonts w:ascii="Arial" w:hAnsi="Arial" w:cs="Arial"/>
                <w:b/>
                <w:color w:val="000000"/>
                <w:sz w:val="16"/>
                <w:szCs w:val="16"/>
              </w:rPr>
              <w:t>349,058</w:t>
            </w:r>
          </w:p>
        </w:tc>
        <w:tc>
          <w:tcPr>
            <w:tcW w:w="86" w:type="pct"/>
            <w:tcBorders>
              <w:top w:val="nil"/>
              <w:left w:val="nil"/>
              <w:bottom w:val="nil"/>
              <w:right w:val="nil"/>
            </w:tcBorders>
            <w:shd w:val="clear" w:color="000000" w:fill="FFFFFF"/>
            <w:noWrap/>
            <w:vAlign w:val="center"/>
            <w:hideMark/>
          </w:tcPr>
          <w:p w14:paraId="48CBD368" w14:textId="77777777" w:rsidR="00315369" w:rsidRPr="003B5469" w:rsidRDefault="00315369" w:rsidP="00315369">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c>
          <w:tcPr>
            <w:tcW w:w="843" w:type="pct"/>
            <w:tcBorders>
              <w:top w:val="nil"/>
              <w:left w:val="nil"/>
              <w:bottom w:val="single" w:sz="4" w:space="0" w:color="000000"/>
              <w:right w:val="nil"/>
            </w:tcBorders>
            <w:shd w:val="clear" w:color="000000" w:fill="FFFFFF"/>
            <w:noWrap/>
            <w:vAlign w:val="center"/>
            <w:hideMark/>
          </w:tcPr>
          <w:p w14:paraId="4E7A235C" w14:textId="77777777" w:rsidR="00315369" w:rsidRPr="003B5469" w:rsidRDefault="00315369" w:rsidP="00315369">
            <w:pPr>
              <w:spacing w:after="0" w:line="240" w:lineRule="auto"/>
              <w:jc w:val="right"/>
              <w:rPr>
                <w:rFonts w:ascii="Arial" w:hAnsi="Arial" w:cs="Arial"/>
                <w:b/>
                <w:color w:val="000000"/>
                <w:sz w:val="16"/>
                <w:szCs w:val="16"/>
              </w:rPr>
            </w:pPr>
            <w:r w:rsidRPr="003B5469">
              <w:rPr>
                <w:rFonts w:ascii="Arial" w:hAnsi="Arial" w:cs="Arial"/>
                <w:b/>
                <w:color w:val="000000"/>
                <w:sz w:val="16"/>
                <w:szCs w:val="16"/>
              </w:rPr>
              <w:t>11,388</w:t>
            </w:r>
          </w:p>
        </w:tc>
      </w:tr>
      <w:tr w:rsidR="00315369" w:rsidRPr="00513ED7" w14:paraId="15D7EE74"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4CC70420" w14:textId="77777777" w:rsidR="00315369" w:rsidRPr="003B5469" w:rsidRDefault="00315369" w:rsidP="00315369">
            <w:pPr>
              <w:spacing w:after="0" w:line="240" w:lineRule="auto"/>
              <w:jc w:val="left"/>
              <w:rPr>
                <w:rFonts w:ascii="Arial" w:hAnsi="Arial" w:cs="Arial"/>
                <w:color w:val="000000"/>
                <w:sz w:val="16"/>
                <w:szCs w:val="16"/>
              </w:rPr>
            </w:pPr>
            <w:r w:rsidRPr="003B5469">
              <w:rPr>
                <w:rFonts w:ascii="Arial" w:hAnsi="Arial" w:cs="Arial"/>
                <w:color w:val="000000"/>
                <w:sz w:val="16"/>
                <w:szCs w:val="16"/>
              </w:rPr>
              <w:t>Goods and services tax</w:t>
            </w:r>
          </w:p>
        </w:tc>
        <w:tc>
          <w:tcPr>
            <w:tcW w:w="911" w:type="pct"/>
            <w:tcBorders>
              <w:top w:val="nil"/>
              <w:left w:val="nil"/>
              <w:bottom w:val="nil"/>
              <w:right w:val="nil"/>
            </w:tcBorders>
            <w:shd w:val="clear" w:color="000000" w:fill="FFFFFF"/>
            <w:noWrap/>
            <w:vAlign w:val="center"/>
            <w:hideMark/>
          </w:tcPr>
          <w:p w14:paraId="09F6272E"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69,782</w:t>
            </w:r>
          </w:p>
        </w:tc>
        <w:tc>
          <w:tcPr>
            <w:tcW w:w="884" w:type="pct"/>
            <w:tcBorders>
              <w:top w:val="nil"/>
              <w:left w:val="nil"/>
              <w:bottom w:val="nil"/>
              <w:right w:val="nil"/>
            </w:tcBorders>
            <w:shd w:val="clear" w:color="000000" w:fill="EBFFFF"/>
            <w:noWrap/>
            <w:vAlign w:val="center"/>
            <w:hideMark/>
          </w:tcPr>
          <w:p w14:paraId="4349C43C"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72,932</w:t>
            </w:r>
          </w:p>
        </w:tc>
        <w:tc>
          <w:tcPr>
            <w:tcW w:w="86" w:type="pct"/>
            <w:tcBorders>
              <w:top w:val="nil"/>
              <w:left w:val="nil"/>
              <w:bottom w:val="nil"/>
              <w:right w:val="nil"/>
            </w:tcBorders>
            <w:shd w:val="clear" w:color="000000" w:fill="FFFFFF"/>
            <w:noWrap/>
            <w:vAlign w:val="center"/>
            <w:hideMark/>
          </w:tcPr>
          <w:p w14:paraId="7FFA184C"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38830808"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3,150</w:t>
            </w:r>
          </w:p>
        </w:tc>
      </w:tr>
      <w:tr w:rsidR="00315369" w:rsidRPr="00513ED7" w14:paraId="3D3111ED"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17E39FED" w14:textId="77777777" w:rsidR="00315369" w:rsidRPr="003B5469" w:rsidRDefault="00315369" w:rsidP="00315369">
            <w:pPr>
              <w:spacing w:after="0" w:line="240" w:lineRule="auto"/>
              <w:jc w:val="left"/>
              <w:rPr>
                <w:rFonts w:ascii="Arial" w:hAnsi="Arial" w:cs="Arial"/>
                <w:color w:val="000000"/>
                <w:sz w:val="16"/>
                <w:szCs w:val="16"/>
              </w:rPr>
            </w:pPr>
            <w:r w:rsidRPr="003B5469">
              <w:rPr>
                <w:rFonts w:ascii="Arial" w:hAnsi="Arial" w:cs="Arial"/>
                <w:color w:val="000000"/>
                <w:sz w:val="16"/>
                <w:szCs w:val="16"/>
              </w:rPr>
              <w:t>Wine equalisation tax</w:t>
            </w:r>
          </w:p>
        </w:tc>
        <w:tc>
          <w:tcPr>
            <w:tcW w:w="911" w:type="pct"/>
            <w:tcBorders>
              <w:top w:val="nil"/>
              <w:left w:val="nil"/>
              <w:bottom w:val="nil"/>
              <w:right w:val="nil"/>
            </w:tcBorders>
            <w:shd w:val="clear" w:color="000000" w:fill="FFFFFF"/>
            <w:noWrap/>
            <w:vAlign w:val="center"/>
            <w:hideMark/>
          </w:tcPr>
          <w:p w14:paraId="127AFB07"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1,050</w:t>
            </w:r>
          </w:p>
        </w:tc>
        <w:tc>
          <w:tcPr>
            <w:tcW w:w="884" w:type="pct"/>
            <w:tcBorders>
              <w:top w:val="nil"/>
              <w:left w:val="nil"/>
              <w:bottom w:val="nil"/>
              <w:right w:val="nil"/>
            </w:tcBorders>
            <w:shd w:val="clear" w:color="000000" w:fill="EBFFFF"/>
            <w:noWrap/>
            <w:vAlign w:val="center"/>
            <w:hideMark/>
          </w:tcPr>
          <w:p w14:paraId="12FCEA4D"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1,119</w:t>
            </w:r>
          </w:p>
        </w:tc>
        <w:tc>
          <w:tcPr>
            <w:tcW w:w="86" w:type="pct"/>
            <w:tcBorders>
              <w:top w:val="nil"/>
              <w:left w:val="nil"/>
              <w:bottom w:val="nil"/>
              <w:right w:val="nil"/>
            </w:tcBorders>
            <w:shd w:val="clear" w:color="000000" w:fill="FFFFFF"/>
            <w:noWrap/>
            <w:vAlign w:val="center"/>
            <w:hideMark/>
          </w:tcPr>
          <w:p w14:paraId="0BB54CA4"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4549D9B0"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69</w:t>
            </w:r>
          </w:p>
        </w:tc>
      </w:tr>
      <w:tr w:rsidR="00315369" w:rsidRPr="00513ED7" w14:paraId="7469B02A"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1E897489" w14:textId="77777777" w:rsidR="00315369" w:rsidRPr="003B5469" w:rsidRDefault="00315369" w:rsidP="00315369">
            <w:pPr>
              <w:spacing w:after="0" w:line="240" w:lineRule="auto"/>
              <w:jc w:val="left"/>
              <w:rPr>
                <w:rFonts w:ascii="Arial" w:hAnsi="Arial" w:cs="Arial"/>
                <w:color w:val="000000"/>
                <w:sz w:val="16"/>
                <w:szCs w:val="16"/>
              </w:rPr>
            </w:pPr>
            <w:r w:rsidRPr="003B5469">
              <w:rPr>
                <w:rFonts w:ascii="Arial" w:hAnsi="Arial" w:cs="Arial"/>
                <w:color w:val="000000"/>
                <w:sz w:val="16"/>
                <w:szCs w:val="16"/>
              </w:rPr>
              <w:t>Luxury car tax</w:t>
            </w:r>
          </w:p>
        </w:tc>
        <w:tc>
          <w:tcPr>
            <w:tcW w:w="911" w:type="pct"/>
            <w:tcBorders>
              <w:top w:val="nil"/>
              <w:left w:val="nil"/>
              <w:bottom w:val="nil"/>
              <w:right w:val="nil"/>
            </w:tcBorders>
            <w:shd w:val="clear" w:color="000000" w:fill="FFFFFF"/>
            <w:noWrap/>
            <w:vAlign w:val="center"/>
            <w:hideMark/>
          </w:tcPr>
          <w:p w14:paraId="1A487188"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800</w:t>
            </w:r>
          </w:p>
        </w:tc>
        <w:tc>
          <w:tcPr>
            <w:tcW w:w="884" w:type="pct"/>
            <w:tcBorders>
              <w:top w:val="nil"/>
              <w:left w:val="nil"/>
              <w:bottom w:val="nil"/>
              <w:right w:val="nil"/>
            </w:tcBorders>
            <w:shd w:val="clear" w:color="000000" w:fill="EBFFFF"/>
            <w:noWrap/>
            <w:vAlign w:val="center"/>
            <w:hideMark/>
          </w:tcPr>
          <w:p w14:paraId="68382600"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914</w:t>
            </w:r>
          </w:p>
        </w:tc>
        <w:tc>
          <w:tcPr>
            <w:tcW w:w="86" w:type="pct"/>
            <w:tcBorders>
              <w:top w:val="nil"/>
              <w:left w:val="nil"/>
              <w:bottom w:val="nil"/>
              <w:right w:val="nil"/>
            </w:tcBorders>
            <w:shd w:val="clear" w:color="000000" w:fill="FFFFFF"/>
            <w:noWrap/>
            <w:vAlign w:val="center"/>
            <w:hideMark/>
          </w:tcPr>
          <w:p w14:paraId="4D16C5A9"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7DA9C14D"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114</w:t>
            </w:r>
          </w:p>
        </w:tc>
      </w:tr>
      <w:tr w:rsidR="00315369" w:rsidRPr="00513ED7" w14:paraId="191B1874"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15982B94" w14:textId="77777777" w:rsidR="00315369" w:rsidRPr="003B5469" w:rsidRDefault="00315369" w:rsidP="00315369">
            <w:pPr>
              <w:spacing w:after="0" w:line="240" w:lineRule="auto"/>
              <w:jc w:val="left"/>
              <w:rPr>
                <w:rFonts w:ascii="Arial" w:hAnsi="Arial" w:cs="Arial"/>
                <w:color w:val="000000"/>
                <w:sz w:val="16"/>
                <w:szCs w:val="16"/>
              </w:rPr>
            </w:pPr>
            <w:r w:rsidRPr="003B5469">
              <w:rPr>
                <w:rFonts w:ascii="Arial" w:hAnsi="Arial" w:cs="Arial"/>
                <w:color w:val="000000"/>
                <w:sz w:val="16"/>
                <w:szCs w:val="16"/>
              </w:rPr>
              <w:t xml:space="preserve">Excise and customs duty  </w:t>
            </w:r>
          </w:p>
        </w:tc>
        <w:tc>
          <w:tcPr>
            <w:tcW w:w="911" w:type="pct"/>
            <w:tcBorders>
              <w:top w:val="nil"/>
              <w:left w:val="nil"/>
              <w:bottom w:val="nil"/>
              <w:right w:val="nil"/>
            </w:tcBorders>
            <w:shd w:val="clear" w:color="000000" w:fill="FFFFFF"/>
            <w:noWrap/>
            <w:vAlign w:val="center"/>
            <w:hideMark/>
          </w:tcPr>
          <w:p w14:paraId="09CC8B09"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84" w:type="pct"/>
            <w:tcBorders>
              <w:top w:val="nil"/>
              <w:left w:val="nil"/>
              <w:bottom w:val="nil"/>
              <w:right w:val="nil"/>
            </w:tcBorders>
            <w:shd w:val="clear" w:color="000000" w:fill="EBFFFF"/>
            <w:noWrap/>
            <w:vAlign w:val="center"/>
            <w:hideMark/>
          </w:tcPr>
          <w:p w14:paraId="06FE8993"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6" w:type="pct"/>
            <w:tcBorders>
              <w:top w:val="nil"/>
              <w:left w:val="nil"/>
              <w:bottom w:val="nil"/>
              <w:right w:val="nil"/>
            </w:tcBorders>
            <w:shd w:val="clear" w:color="000000" w:fill="FFFFFF"/>
            <w:noWrap/>
            <w:vAlign w:val="center"/>
            <w:hideMark/>
          </w:tcPr>
          <w:p w14:paraId="6DF093CE"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41634A02"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315369" w:rsidRPr="00513ED7" w14:paraId="02F0CF4E"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3F85D8EE" w14:textId="77777777" w:rsidR="00315369" w:rsidRPr="003B5469" w:rsidRDefault="00315369" w:rsidP="00F42602">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Petrol</w:t>
            </w:r>
          </w:p>
        </w:tc>
        <w:tc>
          <w:tcPr>
            <w:tcW w:w="911" w:type="pct"/>
            <w:tcBorders>
              <w:top w:val="nil"/>
              <w:left w:val="nil"/>
              <w:bottom w:val="nil"/>
              <w:right w:val="nil"/>
            </w:tcBorders>
            <w:shd w:val="clear" w:color="000000" w:fill="FFFFFF"/>
            <w:noWrap/>
            <w:vAlign w:val="center"/>
            <w:hideMark/>
          </w:tcPr>
          <w:p w14:paraId="0CE0048C"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5,850</w:t>
            </w:r>
          </w:p>
        </w:tc>
        <w:tc>
          <w:tcPr>
            <w:tcW w:w="884" w:type="pct"/>
            <w:tcBorders>
              <w:top w:val="nil"/>
              <w:left w:val="nil"/>
              <w:bottom w:val="nil"/>
              <w:right w:val="nil"/>
            </w:tcBorders>
            <w:shd w:val="clear" w:color="000000" w:fill="EBFFFF"/>
            <w:noWrap/>
            <w:vAlign w:val="center"/>
            <w:hideMark/>
          </w:tcPr>
          <w:p w14:paraId="091B196C"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5,985</w:t>
            </w:r>
          </w:p>
        </w:tc>
        <w:tc>
          <w:tcPr>
            <w:tcW w:w="86" w:type="pct"/>
            <w:tcBorders>
              <w:top w:val="nil"/>
              <w:left w:val="nil"/>
              <w:bottom w:val="nil"/>
              <w:right w:val="nil"/>
            </w:tcBorders>
            <w:shd w:val="clear" w:color="000000" w:fill="FFFFFF"/>
            <w:noWrap/>
            <w:vAlign w:val="center"/>
            <w:hideMark/>
          </w:tcPr>
          <w:p w14:paraId="6FAAFE4D"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0DEAC769"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135</w:t>
            </w:r>
          </w:p>
        </w:tc>
      </w:tr>
      <w:tr w:rsidR="00315369" w:rsidRPr="00513ED7" w14:paraId="5C74CAA7"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6B4D93BD" w14:textId="77777777" w:rsidR="00315369" w:rsidRPr="003B5469" w:rsidRDefault="00315369" w:rsidP="00F42602">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Diesel</w:t>
            </w:r>
          </w:p>
        </w:tc>
        <w:tc>
          <w:tcPr>
            <w:tcW w:w="911" w:type="pct"/>
            <w:tcBorders>
              <w:top w:val="nil"/>
              <w:left w:val="nil"/>
              <w:bottom w:val="nil"/>
              <w:right w:val="nil"/>
            </w:tcBorders>
            <w:shd w:val="clear" w:color="000000" w:fill="FFFFFF"/>
            <w:noWrap/>
            <w:vAlign w:val="center"/>
            <w:hideMark/>
          </w:tcPr>
          <w:p w14:paraId="1A29A08B"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12,530</w:t>
            </w:r>
          </w:p>
        </w:tc>
        <w:tc>
          <w:tcPr>
            <w:tcW w:w="884" w:type="pct"/>
            <w:tcBorders>
              <w:top w:val="nil"/>
              <w:left w:val="nil"/>
              <w:bottom w:val="nil"/>
              <w:right w:val="nil"/>
            </w:tcBorders>
            <w:shd w:val="clear" w:color="000000" w:fill="EBFFFF"/>
            <w:noWrap/>
            <w:vAlign w:val="center"/>
            <w:hideMark/>
          </w:tcPr>
          <w:p w14:paraId="4A00A7AC"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12,740</w:t>
            </w:r>
          </w:p>
        </w:tc>
        <w:tc>
          <w:tcPr>
            <w:tcW w:w="86" w:type="pct"/>
            <w:tcBorders>
              <w:top w:val="nil"/>
              <w:left w:val="nil"/>
              <w:bottom w:val="nil"/>
              <w:right w:val="nil"/>
            </w:tcBorders>
            <w:shd w:val="clear" w:color="000000" w:fill="FFFFFF"/>
            <w:noWrap/>
            <w:vAlign w:val="center"/>
            <w:hideMark/>
          </w:tcPr>
          <w:p w14:paraId="162D4DA6"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63089CD0"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210</w:t>
            </w:r>
          </w:p>
        </w:tc>
      </w:tr>
      <w:tr w:rsidR="00315369" w:rsidRPr="00513ED7" w14:paraId="482FFF5B"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078F4283" w14:textId="77777777" w:rsidR="00315369" w:rsidRPr="003B5469" w:rsidRDefault="00315369" w:rsidP="00F42602">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Other fuel products</w:t>
            </w:r>
          </w:p>
        </w:tc>
        <w:tc>
          <w:tcPr>
            <w:tcW w:w="911" w:type="pct"/>
            <w:tcBorders>
              <w:top w:val="nil"/>
              <w:left w:val="nil"/>
              <w:bottom w:val="nil"/>
              <w:right w:val="nil"/>
            </w:tcBorders>
            <w:shd w:val="clear" w:color="000000" w:fill="FFFFFF"/>
            <w:noWrap/>
            <w:vAlign w:val="center"/>
            <w:hideMark/>
          </w:tcPr>
          <w:p w14:paraId="1DF746E7"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1,550</w:t>
            </w:r>
          </w:p>
        </w:tc>
        <w:tc>
          <w:tcPr>
            <w:tcW w:w="884" w:type="pct"/>
            <w:tcBorders>
              <w:top w:val="nil"/>
              <w:left w:val="nil"/>
              <w:bottom w:val="nil"/>
              <w:right w:val="nil"/>
            </w:tcBorders>
            <w:shd w:val="clear" w:color="000000" w:fill="EBFFFF"/>
            <w:noWrap/>
            <w:vAlign w:val="center"/>
            <w:hideMark/>
          </w:tcPr>
          <w:p w14:paraId="3267BEF2"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1,580</w:t>
            </w:r>
          </w:p>
        </w:tc>
        <w:tc>
          <w:tcPr>
            <w:tcW w:w="86" w:type="pct"/>
            <w:tcBorders>
              <w:top w:val="nil"/>
              <w:left w:val="nil"/>
              <w:bottom w:val="nil"/>
              <w:right w:val="nil"/>
            </w:tcBorders>
            <w:shd w:val="clear" w:color="000000" w:fill="FFFFFF"/>
            <w:noWrap/>
            <w:vAlign w:val="center"/>
            <w:hideMark/>
          </w:tcPr>
          <w:p w14:paraId="51151823"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314BE8D5"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30</w:t>
            </w:r>
          </w:p>
        </w:tc>
      </w:tr>
      <w:tr w:rsidR="00315369" w:rsidRPr="00513ED7" w14:paraId="4F60B5E1"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746426F0" w14:textId="77777777" w:rsidR="00315369" w:rsidRPr="003B5469" w:rsidRDefault="00315369" w:rsidP="00F42602">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Tobacco</w:t>
            </w:r>
          </w:p>
        </w:tc>
        <w:tc>
          <w:tcPr>
            <w:tcW w:w="911" w:type="pct"/>
            <w:tcBorders>
              <w:top w:val="nil"/>
              <w:left w:val="nil"/>
              <w:bottom w:val="nil"/>
              <w:right w:val="nil"/>
            </w:tcBorders>
            <w:shd w:val="clear" w:color="000000" w:fill="FFFFFF"/>
            <w:noWrap/>
            <w:vAlign w:val="center"/>
            <w:hideMark/>
          </w:tcPr>
          <w:p w14:paraId="4136C012"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15,060</w:t>
            </w:r>
          </w:p>
        </w:tc>
        <w:tc>
          <w:tcPr>
            <w:tcW w:w="884" w:type="pct"/>
            <w:tcBorders>
              <w:top w:val="nil"/>
              <w:left w:val="nil"/>
              <w:bottom w:val="nil"/>
              <w:right w:val="nil"/>
            </w:tcBorders>
            <w:shd w:val="clear" w:color="000000" w:fill="EBFFFF"/>
            <w:noWrap/>
            <w:vAlign w:val="center"/>
            <w:hideMark/>
          </w:tcPr>
          <w:p w14:paraId="6C73482E"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14,264</w:t>
            </w:r>
          </w:p>
        </w:tc>
        <w:tc>
          <w:tcPr>
            <w:tcW w:w="86" w:type="pct"/>
            <w:tcBorders>
              <w:top w:val="nil"/>
              <w:left w:val="nil"/>
              <w:bottom w:val="nil"/>
              <w:right w:val="nil"/>
            </w:tcBorders>
            <w:shd w:val="clear" w:color="000000" w:fill="FFFFFF"/>
            <w:noWrap/>
            <w:vAlign w:val="center"/>
            <w:hideMark/>
          </w:tcPr>
          <w:p w14:paraId="1DA4FE28"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5DB6F84E" w14:textId="115E3D94" w:rsidR="00315369" w:rsidRPr="003B5469" w:rsidRDefault="00A36B1E"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315369" w:rsidRPr="003B5469">
              <w:rPr>
                <w:rFonts w:ascii="Arial" w:hAnsi="Arial" w:cs="Arial"/>
                <w:color w:val="000000"/>
                <w:sz w:val="16"/>
                <w:szCs w:val="16"/>
              </w:rPr>
              <w:t>796</w:t>
            </w:r>
          </w:p>
        </w:tc>
      </w:tr>
      <w:tr w:rsidR="00315369" w:rsidRPr="00513ED7" w14:paraId="7FB9D742"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4C2E6802" w14:textId="77777777" w:rsidR="00315369" w:rsidRPr="003B5469" w:rsidRDefault="00315369" w:rsidP="00F42602">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Beer</w:t>
            </w:r>
          </w:p>
        </w:tc>
        <w:tc>
          <w:tcPr>
            <w:tcW w:w="911" w:type="pct"/>
            <w:tcBorders>
              <w:top w:val="nil"/>
              <w:left w:val="nil"/>
              <w:bottom w:val="nil"/>
              <w:right w:val="nil"/>
            </w:tcBorders>
            <w:shd w:val="clear" w:color="000000" w:fill="FFFFFF"/>
            <w:noWrap/>
            <w:vAlign w:val="center"/>
            <w:hideMark/>
          </w:tcPr>
          <w:p w14:paraId="2B58E474"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2,560</w:t>
            </w:r>
          </w:p>
        </w:tc>
        <w:tc>
          <w:tcPr>
            <w:tcW w:w="884" w:type="pct"/>
            <w:tcBorders>
              <w:top w:val="nil"/>
              <w:left w:val="nil"/>
              <w:bottom w:val="nil"/>
              <w:right w:val="nil"/>
            </w:tcBorders>
            <w:shd w:val="clear" w:color="000000" w:fill="EBFFFF"/>
            <w:noWrap/>
            <w:vAlign w:val="center"/>
            <w:hideMark/>
          </w:tcPr>
          <w:p w14:paraId="0C40F3CF"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2,543</w:t>
            </w:r>
          </w:p>
        </w:tc>
        <w:tc>
          <w:tcPr>
            <w:tcW w:w="86" w:type="pct"/>
            <w:tcBorders>
              <w:top w:val="nil"/>
              <w:left w:val="nil"/>
              <w:bottom w:val="nil"/>
              <w:right w:val="nil"/>
            </w:tcBorders>
            <w:shd w:val="clear" w:color="000000" w:fill="FFFFFF"/>
            <w:noWrap/>
            <w:vAlign w:val="center"/>
            <w:hideMark/>
          </w:tcPr>
          <w:p w14:paraId="32D6127C"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598FE10F" w14:textId="605F1977" w:rsidR="00315369" w:rsidRPr="003B5469" w:rsidRDefault="00A36B1E"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315369" w:rsidRPr="003B5469">
              <w:rPr>
                <w:rFonts w:ascii="Arial" w:hAnsi="Arial" w:cs="Arial"/>
                <w:color w:val="000000"/>
                <w:sz w:val="16"/>
                <w:szCs w:val="16"/>
              </w:rPr>
              <w:t>17</w:t>
            </w:r>
          </w:p>
        </w:tc>
      </w:tr>
      <w:tr w:rsidR="00315369" w:rsidRPr="00513ED7" w14:paraId="3635AEDA"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178404E0" w14:textId="77777777" w:rsidR="00315369" w:rsidRPr="003B5469" w:rsidRDefault="00315369" w:rsidP="00F42602">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Spirits</w:t>
            </w:r>
          </w:p>
        </w:tc>
        <w:tc>
          <w:tcPr>
            <w:tcW w:w="911" w:type="pct"/>
            <w:tcBorders>
              <w:top w:val="nil"/>
              <w:left w:val="nil"/>
              <w:bottom w:val="nil"/>
              <w:right w:val="nil"/>
            </w:tcBorders>
            <w:shd w:val="clear" w:color="000000" w:fill="FFFFFF"/>
            <w:noWrap/>
            <w:vAlign w:val="center"/>
            <w:hideMark/>
          </w:tcPr>
          <w:p w14:paraId="3EBBCFA1"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3,070</w:t>
            </w:r>
          </w:p>
        </w:tc>
        <w:tc>
          <w:tcPr>
            <w:tcW w:w="884" w:type="pct"/>
            <w:tcBorders>
              <w:top w:val="nil"/>
              <w:left w:val="nil"/>
              <w:bottom w:val="nil"/>
              <w:right w:val="nil"/>
            </w:tcBorders>
            <w:shd w:val="clear" w:color="000000" w:fill="EBFFFF"/>
            <w:noWrap/>
            <w:vAlign w:val="center"/>
            <w:hideMark/>
          </w:tcPr>
          <w:p w14:paraId="46192D8D"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3,160</w:t>
            </w:r>
          </w:p>
        </w:tc>
        <w:tc>
          <w:tcPr>
            <w:tcW w:w="86" w:type="pct"/>
            <w:tcBorders>
              <w:top w:val="nil"/>
              <w:left w:val="nil"/>
              <w:bottom w:val="nil"/>
              <w:right w:val="nil"/>
            </w:tcBorders>
            <w:shd w:val="clear" w:color="000000" w:fill="FFFFFF"/>
            <w:noWrap/>
            <w:vAlign w:val="center"/>
            <w:hideMark/>
          </w:tcPr>
          <w:p w14:paraId="4EF560CD"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368F6580"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90</w:t>
            </w:r>
          </w:p>
        </w:tc>
      </w:tr>
      <w:tr w:rsidR="00315369" w:rsidRPr="00513ED7" w14:paraId="6C82BC1E"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4481A262" w14:textId="77777777" w:rsidR="00315369" w:rsidRPr="003B5469" w:rsidRDefault="00315369" w:rsidP="00F42602">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Other alcoholic beverages(a)</w:t>
            </w:r>
          </w:p>
        </w:tc>
        <w:tc>
          <w:tcPr>
            <w:tcW w:w="911" w:type="pct"/>
            <w:tcBorders>
              <w:top w:val="nil"/>
              <w:left w:val="nil"/>
              <w:bottom w:val="nil"/>
              <w:right w:val="nil"/>
            </w:tcBorders>
            <w:shd w:val="clear" w:color="000000" w:fill="FFFFFF"/>
            <w:noWrap/>
            <w:vAlign w:val="center"/>
            <w:hideMark/>
          </w:tcPr>
          <w:p w14:paraId="3C3F647D"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1,270</w:t>
            </w:r>
          </w:p>
        </w:tc>
        <w:tc>
          <w:tcPr>
            <w:tcW w:w="884" w:type="pct"/>
            <w:tcBorders>
              <w:top w:val="nil"/>
              <w:left w:val="nil"/>
              <w:bottom w:val="nil"/>
              <w:right w:val="nil"/>
            </w:tcBorders>
            <w:shd w:val="clear" w:color="000000" w:fill="EBFFFF"/>
            <w:noWrap/>
            <w:vAlign w:val="center"/>
            <w:hideMark/>
          </w:tcPr>
          <w:p w14:paraId="66FEF5E9"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1,301</w:t>
            </w:r>
          </w:p>
        </w:tc>
        <w:tc>
          <w:tcPr>
            <w:tcW w:w="86" w:type="pct"/>
            <w:tcBorders>
              <w:top w:val="nil"/>
              <w:left w:val="nil"/>
              <w:bottom w:val="nil"/>
              <w:right w:val="nil"/>
            </w:tcBorders>
            <w:shd w:val="clear" w:color="000000" w:fill="FFFFFF"/>
            <w:noWrap/>
            <w:vAlign w:val="center"/>
            <w:hideMark/>
          </w:tcPr>
          <w:p w14:paraId="5E2CD810"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7969D7A5"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31</w:t>
            </w:r>
          </w:p>
        </w:tc>
      </w:tr>
      <w:tr w:rsidR="00315369" w:rsidRPr="00513ED7" w14:paraId="758809A3"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6E77A961" w14:textId="77777777" w:rsidR="00315369" w:rsidRPr="003B5469" w:rsidRDefault="00315369" w:rsidP="00F42602">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Other customs duty</w:t>
            </w:r>
          </w:p>
        </w:tc>
        <w:tc>
          <w:tcPr>
            <w:tcW w:w="911" w:type="pct"/>
            <w:tcBorders>
              <w:top w:val="nil"/>
              <w:left w:val="nil"/>
              <w:bottom w:val="nil"/>
              <w:right w:val="nil"/>
            </w:tcBorders>
            <w:shd w:val="clear" w:color="000000" w:fill="FFFFFF"/>
            <w:noWrap/>
            <w:vAlign w:val="center"/>
            <w:hideMark/>
          </w:tcPr>
          <w:p w14:paraId="7FA9F063"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84" w:type="pct"/>
            <w:tcBorders>
              <w:top w:val="nil"/>
              <w:left w:val="nil"/>
              <w:bottom w:val="nil"/>
              <w:right w:val="nil"/>
            </w:tcBorders>
            <w:shd w:val="clear" w:color="000000" w:fill="EBFFFF"/>
            <w:noWrap/>
            <w:vAlign w:val="center"/>
            <w:hideMark/>
          </w:tcPr>
          <w:p w14:paraId="3577F370"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6" w:type="pct"/>
            <w:tcBorders>
              <w:top w:val="nil"/>
              <w:left w:val="nil"/>
              <w:bottom w:val="nil"/>
              <w:right w:val="nil"/>
            </w:tcBorders>
            <w:shd w:val="clear" w:color="000000" w:fill="FFFFFF"/>
            <w:noWrap/>
            <w:vAlign w:val="center"/>
            <w:hideMark/>
          </w:tcPr>
          <w:p w14:paraId="55C2D1B3"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2DF39AD8"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315369" w:rsidRPr="00513ED7" w14:paraId="170A5F52"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7EE6A2C1" w14:textId="77777777" w:rsidR="00315369" w:rsidRPr="003B5469" w:rsidRDefault="00315369" w:rsidP="00F42602">
            <w:pPr>
              <w:spacing w:after="0" w:line="240" w:lineRule="auto"/>
              <w:ind w:left="340"/>
              <w:jc w:val="left"/>
              <w:rPr>
                <w:rFonts w:ascii="Arial" w:hAnsi="Arial" w:cs="Arial"/>
                <w:color w:val="000000"/>
                <w:sz w:val="16"/>
                <w:szCs w:val="16"/>
              </w:rPr>
            </w:pPr>
            <w:r w:rsidRPr="003B5469">
              <w:rPr>
                <w:rFonts w:ascii="Arial" w:hAnsi="Arial" w:cs="Arial"/>
                <w:color w:val="000000"/>
                <w:sz w:val="16"/>
                <w:szCs w:val="16"/>
              </w:rPr>
              <w:t>Textiles, clothing and footwear</w:t>
            </w:r>
          </w:p>
        </w:tc>
        <w:tc>
          <w:tcPr>
            <w:tcW w:w="911" w:type="pct"/>
            <w:tcBorders>
              <w:top w:val="nil"/>
              <w:left w:val="nil"/>
              <w:bottom w:val="nil"/>
              <w:right w:val="nil"/>
            </w:tcBorders>
            <w:shd w:val="clear" w:color="000000" w:fill="FFFFFF"/>
            <w:noWrap/>
            <w:vAlign w:val="center"/>
            <w:hideMark/>
          </w:tcPr>
          <w:p w14:paraId="70FEBFB8"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170</w:t>
            </w:r>
          </w:p>
        </w:tc>
        <w:tc>
          <w:tcPr>
            <w:tcW w:w="884" w:type="pct"/>
            <w:tcBorders>
              <w:top w:val="nil"/>
              <w:left w:val="nil"/>
              <w:bottom w:val="nil"/>
              <w:right w:val="nil"/>
            </w:tcBorders>
            <w:shd w:val="clear" w:color="000000" w:fill="EBFFFF"/>
            <w:noWrap/>
            <w:vAlign w:val="center"/>
            <w:hideMark/>
          </w:tcPr>
          <w:p w14:paraId="780DEE8D"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178</w:t>
            </w:r>
          </w:p>
        </w:tc>
        <w:tc>
          <w:tcPr>
            <w:tcW w:w="86" w:type="pct"/>
            <w:tcBorders>
              <w:top w:val="nil"/>
              <w:left w:val="nil"/>
              <w:bottom w:val="nil"/>
              <w:right w:val="nil"/>
            </w:tcBorders>
            <w:shd w:val="clear" w:color="000000" w:fill="FFFFFF"/>
            <w:noWrap/>
            <w:vAlign w:val="center"/>
            <w:hideMark/>
          </w:tcPr>
          <w:p w14:paraId="4985890A"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22E71B2D"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8</w:t>
            </w:r>
          </w:p>
        </w:tc>
      </w:tr>
      <w:tr w:rsidR="00315369" w:rsidRPr="00513ED7" w14:paraId="401B4BB7"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03F79BB1" w14:textId="77777777" w:rsidR="00315369" w:rsidRPr="003B5469" w:rsidRDefault="00315369" w:rsidP="00F42602">
            <w:pPr>
              <w:spacing w:after="0" w:line="240" w:lineRule="auto"/>
              <w:ind w:left="340"/>
              <w:jc w:val="left"/>
              <w:rPr>
                <w:rFonts w:ascii="Arial" w:hAnsi="Arial" w:cs="Arial"/>
                <w:color w:val="000000"/>
                <w:sz w:val="16"/>
                <w:szCs w:val="16"/>
              </w:rPr>
            </w:pPr>
            <w:r w:rsidRPr="003B5469">
              <w:rPr>
                <w:rFonts w:ascii="Arial" w:hAnsi="Arial" w:cs="Arial"/>
                <w:color w:val="000000"/>
                <w:sz w:val="16"/>
                <w:szCs w:val="16"/>
              </w:rPr>
              <w:t>Passenger motor vehicles</w:t>
            </w:r>
          </w:p>
        </w:tc>
        <w:tc>
          <w:tcPr>
            <w:tcW w:w="911" w:type="pct"/>
            <w:tcBorders>
              <w:top w:val="nil"/>
              <w:left w:val="nil"/>
              <w:bottom w:val="nil"/>
              <w:right w:val="nil"/>
            </w:tcBorders>
            <w:shd w:val="clear" w:color="000000" w:fill="FFFFFF"/>
            <w:noWrap/>
            <w:vAlign w:val="center"/>
            <w:hideMark/>
          </w:tcPr>
          <w:p w14:paraId="4D1C930B"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340</w:t>
            </w:r>
          </w:p>
        </w:tc>
        <w:tc>
          <w:tcPr>
            <w:tcW w:w="884" w:type="pct"/>
            <w:tcBorders>
              <w:top w:val="nil"/>
              <w:left w:val="nil"/>
              <w:bottom w:val="nil"/>
              <w:right w:val="nil"/>
            </w:tcBorders>
            <w:shd w:val="clear" w:color="000000" w:fill="EBFFFF"/>
            <w:noWrap/>
            <w:vAlign w:val="center"/>
            <w:hideMark/>
          </w:tcPr>
          <w:p w14:paraId="5C41DA3F"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372</w:t>
            </w:r>
          </w:p>
        </w:tc>
        <w:tc>
          <w:tcPr>
            <w:tcW w:w="86" w:type="pct"/>
            <w:tcBorders>
              <w:top w:val="nil"/>
              <w:left w:val="nil"/>
              <w:bottom w:val="nil"/>
              <w:right w:val="nil"/>
            </w:tcBorders>
            <w:shd w:val="clear" w:color="000000" w:fill="FFFFFF"/>
            <w:noWrap/>
            <w:vAlign w:val="center"/>
            <w:hideMark/>
          </w:tcPr>
          <w:p w14:paraId="655E8724"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76734B43"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32</w:t>
            </w:r>
          </w:p>
        </w:tc>
      </w:tr>
      <w:tr w:rsidR="00315369" w:rsidRPr="00513ED7" w14:paraId="0B678BB5"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7234876A" w14:textId="77777777" w:rsidR="00315369" w:rsidRPr="003B5469" w:rsidRDefault="00315369" w:rsidP="00F42602">
            <w:pPr>
              <w:spacing w:after="0" w:line="240" w:lineRule="auto"/>
              <w:ind w:left="340"/>
              <w:jc w:val="left"/>
              <w:rPr>
                <w:rFonts w:ascii="Arial" w:hAnsi="Arial" w:cs="Arial"/>
                <w:color w:val="000000"/>
                <w:sz w:val="16"/>
                <w:szCs w:val="16"/>
              </w:rPr>
            </w:pPr>
            <w:r w:rsidRPr="003B5469">
              <w:rPr>
                <w:rFonts w:ascii="Arial" w:hAnsi="Arial" w:cs="Arial"/>
                <w:color w:val="000000"/>
                <w:sz w:val="16"/>
                <w:szCs w:val="16"/>
              </w:rPr>
              <w:t>Other imports</w:t>
            </w:r>
          </w:p>
        </w:tc>
        <w:tc>
          <w:tcPr>
            <w:tcW w:w="911" w:type="pct"/>
            <w:tcBorders>
              <w:top w:val="nil"/>
              <w:left w:val="nil"/>
              <w:bottom w:val="nil"/>
              <w:right w:val="nil"/>
            </w:tcBorders>
            <w:shd w:val="clear" w:color="000000" w:fill="FFFFFF"/>
            <w:noWrap/>
            <w:vAlign w:val="center"/>
            <w:hideMark/>
          </w:tcPr>
          <w:p w14:paraId="643BE8D7"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1,180</w:t>
            </w:r>
          </w:p>
        </w:tc>
        <w:tc>
          <w:tcPr>
            <w:tcW w:w="884" w:type="pct"/>
            <w:tcBorders>
              <w:top w:val="nil"/>
              <w:left w:val="nil"/>
              <w:bottom w:val="nil"/>
              <w:right w:val="nil"/>
            </w:tcBorders>
            <w:shd w:val="clear" w:color="000000" w:fill="EBFFFF"/>
            <w:noWrap/>
            <w:vAlign w:val="center"/>
            <w:hideMark/>
          </w:tcPr>
          <w:p w14:paraId="69605958"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1,189</w:t>
            </w:r>
          </w:p>
        </w:tc>
        <w:tc>
          <w:tcPr>
            <w:tcW w:w="86" w:type="pct"/>
            <w:tcBorders>
              <w:top w:val="nil"/>
              <w:left w:val="nil"/>
              <w:bottom w:val="nil"/>
              <w:right w:val="nil"/>
            </w:tcBorders>
            <w:shd w:val="clear" w:color="000000" w:fill="FFFFFF"/>
            <w:noWrap/>
            <w:vAlign w:val="center"/>
            <w:hideMark/>
          </w:tcPr>
          <w:p w14:paraId="30506B9F"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183D86C2"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9</w:t>
            </w:r>
          </w:p>
        </w:tc>
      </w:tr>
      <w:tr w:rsidR="003F4348" w:rsidRPr="00513ED7" w14:paraId="5BE2D5CC"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1E676052" w14:textId="77777777" w:rsidR="00315369" w:rsidRPr="003B5469" w:rsidRDefault="00315369" w:rsidP="00F42602">
            <w:pPr>
              <w:spacing w:after="0" w:line="240" w:lineRule="auto"/>
              <w:ind w:left="170"/>
              <w:jc w:val="left"/>
              <w:rPr>
                <w:rFonts w:ascii="Arial" w:hAnsi="Arial" w:cs="Arial"/>
                <w:i/>
                <w:color w:val="000000"/>
                <w:sz w:val="16"/>
                <w:szCs w:val="16"/>
              </w:rPr>
            </w:pPr>
            <w:r w:rsidRPr="003B5469">
              <w:rPr>
                <w:rFonts w:ascii="Arial" w:hAnsi="Arial" w:cs="Arial"/>
                <w:i/>
                <w:color w:val="000000"/>
                <w:sz w:val="16"/>
                <w:szCs w:val="16"/>
              </w:rPr>
              <w:t xml:space="preserve">less: </w:t>
            </w:r>
            <w:r w:rsidRPr="003B5469">
              <w:rPr>
                <w:rFonts w:ascii="Arial" w:hAnsi="Arial" w:cs="Arial"/>
                <w:color w:val="000000"/>
                <w:sz w:val="16"/>
                <w:szCs w:val="16"/>
              </w:rPr>
              <w:t>Refunds and drawbacks</w:t>
            </w:r>
          </w:p>
        </w:tc>
        <w:tc>
          <w:tcPr>
            <w:tcW w:w="911" w:type="pct"/>
            <w:tcBorders>
              <w:top w:val="nil"/>
              <w:left w:val="nil"/>
              <w:bottom w:val="single" w:sz="4" w:space="0" w:color="000000"/>
              <w:right w:val="nil"/>
            </w:tcBorders>
            <w:shd w:val="clear" w:color="000000" w:fill="FFFFFF"/>
            <w:noWrap/>
            <w:vAlign w:val="center"/>
            <w:hideMark/>
          </w:tcPr>
          <w:p w14:paraId="7EE6DACA"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790</w:t>
            </w:r>
          </w:p>
        </w:tc>
        <w:tc>
          <w:tcPr>
            <w:tcW w:w="884" w:type="pct"/>
            <w:tcBorders>
              <w:top w:val="nil"/>
              <w:left w:val="nil"/>
              <w:bottom w:val="single" w:sz="4" w:space="0" w:color="000000"/>
              <w:right w:val="nil"/>
            </w:tcBorders>
            <w:shd w:val="clear" w:color="000000" w:fill="EBFFFF"/>
            <w:noWrap/>
            <w:vAlign w:val="center"/>
            <w:hideMark/>
          </w:tcPr>
          <w:p w14:paraId="79646FA4"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729</w:t>
            </w:r>
          </w:p>
        </w:tc>
        <w:tc>
          <w:tcPr>
            <w:tcW w:w="86" w:type="pct"/>
            <w:tcBorders>
              <w:top w:val="nil"/>
              <w:left w:val="nil"/>
              <w:bottom w:val="nil"/>
              <w:right w:val="nil"/>
            </w:tcBorders>
            <w:shd w:val="clear" w:color="000000" w:fill="FFFFFF"/>
            <w:noWrap/>
            <w:vAlign w:val="center"/>
            <w:hideMark/>
          </w:tcPr>
          <w:p w14:paraId="1D1BD4F3"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single" w:sz="4" w:space="0" w:color="000000"/>
              <w:right w:val="nil"/>
            </w:tcBorders>
            <w:shd w:val="clear" w:color="000000" w:fill="FFFFFF"/>
            <w:noWrap/>
            <w:vAlign w:val="center"/>
            <w:hideMark/>
          </w:tcPr>
          <w:p w14:paraId="4FC5372F" w14:textId="0D11D866" w:rsidR="00315369" w:rsidRPr="003B5469" w:rsidRDefault="00A36B1E"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315369" w:rsidRPr="003B5469">
              <w:rPr>
                <w:rFonts w:ascii="Arial" w:hAnsi="Arial" w:cs="Arial"/>
                <w:color w:val="000000"/>
                <w:sz w:val="16"/>
                <w:szCs w:val="16"/>
              </w:rPr>
              <w:t>61</w:t>
            </w:r>
          </w:p>
        </w:tc>
      </w:tr>
      <w:tr w:rsidR="00315369" w:rsidRPr="00513ED7" w14:paraId="4DD01B23"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2830D724" w14:textId="77777777" w:rsidR="00315369" w:rsidRPr="003B5469" w:rsidRDefault="00315369" w:rsidP="00315369">
            <w:pPr>
              <w:spacing w:after="0" w:line="240" w:lineRule="auto"/>
              <w:jc w:val="left"/>
              <w:rPr>
                <w:rFonts w:ascii="Arial" w:hAnsi="Arial" w:cs="Arial"/>
                <w:color w:val="000000"/>
                <w:sz w:val="16"/>
                <w:szCs w:val="16"/>
              </w:rPr>
            </w:pPr>
            <w:r w:rsidRPr="003B5469">
              <w:rPr>
                <w:rFonts w:ascii="Arial" w:hAnsi="Arial" w:cs="Arial"/>
                <w:color w:val="000000"/>
                <w:sz w:val="16"/>
                <w:szCs w:val="16"/>
              </w:rPr>
              <w:t>Total excise and customs duty</w:t>
            </w:r>
          </w:p>
        </w:tc>
        <w:tc>
          <w:tcPr>
            <w:tcW w:w="911" w:type="pct"/>
            <w:tcBorders>
              <w:top w:val="nil"/>
              <w:left w:val="nil"/>
              <w:bottom w:val="nil"/>
              <w:right w:val="nil"/>
            </w:tcBorders>
            <w:shd w:val="clear" w:color="auto" w:fill="auto"/>
            <w:noWrap/>
            <w:vAlign w:val="bottom"/>
            <w:hideMark/>
          </w:tcPr>
          <w:p w14:paraId="74BA465C"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42,790</w:t>
            </w:r>
          </w:p>
        </w:tc>
        <w:tc>
          <w:tcPr>
            <w:tcW w:w="884" w:type="pct"/>
            <w:tcBorders>
              <w:top w:val="nil"/>
              <w:left w:val="nil"/>
              <w:bottom w:val="nil"/>
              <w:right w:val="nil"/>
            </w:tcBorders>
            <w:shd w:val="clear" w:color="000000" w:fill="EBFFFF"/>
            <w:noWrap/>
            <w:vAlign w:val="center"/>
            <w:hideMark/>
          </w:tcPr>
          <w:p w14:paraId="292A1FCC"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42,582</w:t>
            </w:r>
          </w:p>
        </w:tc>
        <w:tc>
          <w:tcPr>
            <w:tcW w:w="86" w:type="pct"/>
            <w:tcBorders>
              <w:top w:val="nil"/>
              <w:left w:val="nil"/>
              <w:bottom w:val="nil"/>
              <w:right w:val="nil"/>
            </w:tcBorders>
            <w:shd w:val="clear" w:color="000000" w:fill="FFFFFF"/>
            <w:noWrap/>
            <w:vAlign w:val="center"/>
            <w:hideMark/>
          </w:tcPr>
          <w:p w14:paraId="5012AFFF"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77F6B023" w14:textId="366A31D5" w:rsidR="00315369" w:rsidRPr="003B5469" w:rsidRDefault="00A36B1E"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315369" w:rsidRPr="003B5469">
              <w:rPr>
                <w:rFonts w:ascii="Arial" w:hAnsi="Arial" w:cs="Arial"/>
                <w:color w:val="000000"/>
                <w:sz w:val="16"/>
                <w:szCs w:val="16"/>
              </w:rPr>
              <w:t>208</w:t>
            </w:r>
          </w:p>
        </w:tc>
      </w:tr>
      <w:tr w:rsidR="00315369" w:rsidRPr="00513ED7" w14:paraId="6C157389"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43ADE143" w14:textId="77777777" w:rsidR="00315369" w:rsidRPr="003B5469" w:rsidRDefault="00315369" w:rsidP="00315369">
            <w:pPr>
              <w:spacing w:after="0" w:line="240" w:lineRule="auto"/>
              <w:jc w:val="left"/>
              <w:rPr>
                <w:rFonts w:ascii="Arial" w:hAnsi="Arial" w:cs="Arial"/>
                <w:color w:val="000000"/>
                <w:sz w:val="16"/>
                <w:szCs w:val="16"/>
              </w:rPr>
            </w:pPr>
            <w:r w:rsidRPr="003B5469">
              <w:rPr>
                <w:rFonts w:ascii="Arial" w:hAnsi="Arial" w:cs="Arial"/>
                <w:color w:val="000000"/>
                <w:sz w:val="16"/>
                <w:szCs w:val="16"/>
              </w:rPr>
              <w:t>Major bank levy</w:t>
            </w:r>
          </w:p>
        </w:tc>
        <w:tc>
          <w:tcPr>
            <w:tcW w:w="911" w:type="pct"/>
            <w:tcBorders>
              <w:top w:val="nil"/>
              <w:left w:val="nil"/>
              <w:bottom w:val="nil"/>
              <w:right w:val="nil"/>
            </w:tcBorders>
            <w:shd w:val="clear" w:color="000000" w:fill="FFFFFF"/>
            <w:noWrap/>
            <w:vAlign w:val="center"/>
            <w:hideMark/>
          </w:tcPr>
          <w:p w14:paraId="00A78F20"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1,650</w:t>
            </w:r>
          </w:p>
        </w:tc>
        <w:tc>
          <w:tcPr>
            <w:tcW w:w="884" w:type="pct"/>
            <w:tcBorders>
              <w:top w:val="nil"/>
              <w:left w:val="nil"/>
              <w:bottom w:val="nil"/>
              <w:right w:val="nil"/>
            </w:tcBorders>
            <w:shd w:val="clear" w:color="000000" w:fill="EBFFFF"/>
            <w:noWrap/>
            <w:vAlign w:val="center"/>
            <w:hideMark/>
          </w:tcPr>
          <w:p w14:paraId="372A728D"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1,619</w:t>
            </w:r>
          </w:p>
        </w:tc>
        <w:tc>
          <w:tcPr>
            <w:tcW w:w="86" w:type="pct"/>
            <w:tcBorders>
              <w:top w:val="nil"/>
              <w:left w:val="nil"/>
              <w:bottom w:val="nil"/>
              <w:right w:val="nil"/>
            </w:tcBorders>
            <w:shd w:val="clear" w:color="000000" w:fill="FFFFFF"/>
            <w:noWrap/>
            <w:vAlign w:val="center"/>
            <w:hideMark/>
          </w:tcPr>
          <w:p w14:paraId="72796057"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3571DC19" w14:textId="4E6F081E" w:rsidR="00315369" w:rsidRPr="003B5469" w:rsidRDefault="00A36B1E"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315369" w:rsidRPr="003B5469">
              <w:rPr>
                <w:rFonts w:ascii="Arial" w:hAnsi="Arial" w:cs="Arial"/>
                <w:color w:val="000000"/>
                <w:sz w:val="16"/>
                <w:szCs w:val="16"/>
              </w:rPr>
              <w:t>31</w:t>
            </w:r>
          </w:p>
        </w:tc>
      </w:tr>
      <w:tr w:rsidR="00315369" w:rsidRPr="00513ED7" w14:paraId="338921FB"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0DFE416A" w14:textId="77777777" w:rsidR="00315369" w:rsidRPr="003B5469" w:rsidRDefault="00315369" w:rsidP="00315369">
            <w:pPr>
              <w:spacing w:after="0" w:line="240" w:lineRule="auto"/>
              <w:jc w:val="left"/>
              <w:rPr>
                <w:rFonts w:ascii="Arial" w:hAnsi="Arial" w:cs="Arial"/>
                <w:color w:val="000000"/>
                <w:sz w:val="16"/>
                <w:szCs w:val="16"/>
              </w:rPr>
            </w:pPr>
            <w:r w:rsidRPr="003B5469">
              <w:rPr>
                <w:rFonts w:ascii="Arial" w:hAnsi="Arial" w:cs="Arial"/>
                <w:color w:val="000000"/>
                <w:sz w:val="16"/>
                <w:szCs w:val="16"/>
              </w:rPr>
              <w:t>Agricultural levies</w:t>
            </w:r>
          </w:p>
        </w:tc>
        <w:tc>
          <w:tcPr>
            <w:tcW w:w="911" w:type="pct"/>
            <w:tcBorders>
              <w:top w:val="nil"/>
              <w:left w:val="nil"/>
              <w:bottom w:val="nil"/>
              <w:right w:val="nil"/>
            </w:tcBorders>
            <w:shd w:val="clear" w:color="000000" w:fill="FFFFFF"/>
            <w:noWrap/>
            <w:vAlign w:val="center"/>
            <w:hideMark/>
          </w:tcPr>
          <w:p w14:paraId="6E202FAF"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509</w:t>
            </w:r>
          </w:p>
        </w:tc>
        <w:tc>
          <w:tcPr>
            <w:tcW w:w="884" w:type="pct"/>
            <w:tcBorders>
              <w:top w:val="nil"/>
              <w:left w:val="nil"/>
              <w:bottom w:val="nil"/>
              <w:right w:val="nil"/>
            </w:tcBorders>
            <w:shd w:val="clear" w:color="000000" w:fill="EBFFFF"/>
            <w:noWrap/>
            <w:vAlign w:val="center"/>
            <w:hideMark/>
          </w:tcPr>
          <w:p w14:paraId="63D244E8"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525</w:t>
            </w:r>
          </w:p>
        </w:tc>
        <w:tc>
          <w:tcPr>
            <w:tcW w:w="86" w:type="pct"/>
            <w:tcBorders>
              <w:top w:val="nil"/>
              <w:left w:val="nil"/>
              <w:bottom w:val="nil"/>
              <w:right w:val="nil"/>
            </w:tcBorders>
            <w:shd w:val="clear" w:color="000000" w:fill="FFFFFF"/>
            <w:noWrap/>
            <w:vAlign w:val="center"/>
            <w:hideMark/>
          </w:tcPr>
          <w:p w14:paraId="14AA6DB2"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693F1157"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16</w:t>
            </w:r>
          </w:p>
        </w:tc>
      </w:tr>
      <w:tr w:rsidR="00315369" w:rsidRPr="00513ED7" w14:paraId="75C3E785"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2EE958D3" w14:textId="77777777" w:rsidR="00315369" w:rsidRPr="003B5469" w:rsidRDefault="00315369" w:rsidP="00315369">
            <w:pPr>
              <w:spacing w:after="0" w:line="240" w:lineRule="auto"/>
              <w:jc w:val="left"/>
              <w:rPr>
                <w:rFonts w:ascii="Arial" w:hAnsi="Arial" w:cs="Arial"/>
                <w:color w:val="000000"/>
                <w:sz w:val="16"/>
                <w:szCs w:val="16"/>
              </w:rPr>
            </w:pPr>
            <w:r w:rsidRPr="003B5469">
              <w:rPr>
                <w:rFonts w:ascii="Arial" w:hAnsi="Arial" w:cs="Arial"/>
                <w:color w:val="000000"/>
                <w:sz w:val="16"/>
                <w:szCs w:val="16"/>
              </w:rPr>
              <w:t>Other taxes</w:t>
            </w:r>
          </w:p>
        </w:tc>
        <w:tc>
          <w:tcPr>
            <w:tcW w:w="911" w:type="pct"/>
            <w:tcBorders>
              <w:top w:val="nil"/>
              <w:left w:val="nil"/>
              <w:bottom w:val="nil"/>
              <w:right w:val="nil"/>
            </w:tcBorders>
            <w:shd w:val="clear" w:color="000000" w:fill="FFFFFF"/>
            <w:noWrap/>
            <w:vAlign w:val="center"/>
            <w:hideMark/>
          </w:tcPr>
          <w:p w14:paraId="49016ACC"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5,219</w:t>
            </w:r>
          </w:p>
        </w:tc>
        <w:tc>
          <w:tcPr>
            <w:tcW w:w="884" w:type="pct"/>
            <w:tcBorders>
              <w:top w:val="nil"/>
              <w:left w:val="nil"/>
              <w:bottom w:val="single" w:sz="4" w:space="0" w:color="000000"/>
              <w:right w:val="nil"/>
            </w:tcBorders>
            <w:shd w:val="clear" w:color="000000" w:fill="EBFFFF"/>
            <w:noWrap/>
            <w:vAlign w:val="center"/>
            <w:hideMark/>
          </w:tcPr>
          <w:p w14:paraId="566AED46"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5,101</w:t>
            </w:r>
          </w:p>
        </w:tc>
        <w:tc>
          <w:tcPr>
            <w:tcW w:w="86" w:type="pct"/>
            <w:tcBorders>
              <w:top w:val="nil"/>
              <w:left w:val="nil"/>
              <w:bottom w:val="nil"/>
              <w:right w:val="nil"/>
            </w:tcBorders>
            <w:shd w:val="clear" w:color="000000" w:fill="FFFFFF"/>
            <w:noWrap/>
            <w:vAlign w:val="center"/>
            <w:hideMark/>
          </w:tcPr>
          <w:p w14:paraId="5F1D761D" w14:textId="77777777" w:rsidR="00315369" w:rsidRPr="003B5469" w:rsidRDefault="00315369"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3" w:type="pct"/>
            <w:tcBorders>
              <w:top w:val="nil"/>
              <w:left w:val="nil"/>
              <w:bottom w:val="nil"/>
              <w:right w:val="nil"/>
            </w:tcBorders>
            <w:shd w:val="clear" w:color="000000" w:fill="FFFFFF"/>
            <w:noWrap/>
            <w:vAlign w:val="center"/>
            <w:hideMark/>
          </w:tcPr>
          <w:p w14:paraId="08490EA8" w14:textId="0987453E" w:rsidR="00315369" w:rsidRPr="003B5469" w:rsidRDefault="00A36B1E" w:rsidP="00315369">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315369" w:rsidRPr="003B5469">
              <w:rPr>
                <w:rFonts w:ascii="Arial" w:hAnsi="Arial" w:cs="Arial"/>
                <w:color w:val="000000"/>
                <w:sz w:val="16"/>
                <w:szCs w:val="16"/>
              </w:rPr>
              <w:t>118</w:t>
            </w:r>
          </w:p>
        </w:tc>
      </w:tr>
      <w:tr w:rsidR="003F4348" w:rsidRPr="00513ED7" w14:paraId="76275ABB" w14:textId="77777777" w:rsidTr="00F42602">
        <w:trPr>
          <w:trHeight w:hRule="exact" w:val="230"/>
        </w:trPr>
        <w:tc>
          <w:tcPr>
            <w:tcW w:w="2276" w:type="pct"/>
            <w:tcBorders>
              <w:top w:val="nil"/>
              <w:left w:val="nil"/>
              <w:bottom w:val="nil"/>
              <w:right w:val="nil"/>
            </w:tcBorders>
            <w:shd w:val="clear" w:color="000000" w:fill="FFFFFF"/>
            <w:noWrap/>
            <w:vAlign w:val="center"/>
            <w:hideMark/>
          </w:tcPr>
          <w:p w14:paraId="7795C4C3" w14:textId="77777777" w:rsidR="00315369" w:rsidRPr="003B5469" w:rsidRDefault="00315369" w:rsidP="00315369">
            <w:pPr>
              <w:spacing w:after="0" w:line="240" w:lineRule="auto"/>
              <w:jc w:val="left"/>
              <w:rPr>
                <w:rFonts w:ascii="Arial" w:hAnsi="Arial" w:cs="Arial"/>
                <w:b/>
                <w:color w:val="000000"/>
                <w:sz w:val="16"/>
                <w:szCs w:val="16"/>
              </w:rPr>
            </w:pPr>
            <w:r w:rsidRPr="003B5469">
              <w:rPr>
                <w:rFonts w:ascii="Arial" w:hAnsi="Arial" w:cs="Arial"/>
                <w:b/>
                <w:color w:val="000000"/>
                <w:sz w:val="16"/>
                <w:szCs w:val="16"/>
              </w:rPr>
              <w:t>Indirect taxation receipts</w:t>
            </w:r>
          </w:p>
        </w:tc>
        <w:tc>
          <w:tcPr>
            <w:tcW w:w="911" w:type="pct"/>
            <w:tcBorders>
              <w:top w:val="single" w:sz="4" w:space="0" w:color="000000"/>
              <w:left w:val="nil"/>
              <w:bottom w:val="single" w:sz="4" w:space="0" w:color="000000"/>
              <w:right w:val="nil"/>
            </w:tcBorders>
            <w:shd w:val="clear" w:color="000000" w:fill="FFFFFF"/>
            <w:noWrap/>
            <w:vAlign w:val="center"/>
            <w:hideMark/>
          </w:tcPr>
          <w:p w14:paraId="47AA58F6" w14:textId="77777777" w:rsidR="00315369" w:rsidRPr="003B5469" w:rsidRDefault="00315369" w:rsidP="00315369">
            <w:pPr>
              <w:spacing w:after="0" w:line="240" w:lineRule="auto"/>
              <w:jc w:val="right"/>
              <w:rPr>
                <w:rFonts w:ascii="Arial" w:hAnsi="Arial" w:cs="Arial"/>
                <w:b/>
                <w:color w:val="000000"/>
                <w:sz w:val="16"/>
                <w:szCs w:val="16"/>
              </w:rPr>
            </w:pPr>
            <w:r w:rsidRPr="003B5469">
              <w:rPr>
                <w:rFonts w:ascii="Arial" w:hAnsi="Arial" w:cs="Arial"/>
                <w:b/>
                <w:color w:val="000000"/>
                <w:sz w:val="16"/>
                <w:szCs w:val="16"/>
              </w:rPr>
              <w:t>121,800</w:t>
            </w:r>
          </w:p>
        </w:tc>
        <w:tc>
          <w:tcPr>
            <w:tcW w:w="884" w:type="pct"/>
            <w:tcBorders>
              <w:top w:val="nil"/>
              <w:left w:val="nil"/>
              <w:bottom w:val="single" w:sz="4" w:space="0" w:color="000000"/>
              <w:right w:val="nil"/>
            </w:tcBorders>
            <w:shd w:val="clear" w:color="000000" w:fill="EBFFFF"/>
            <w:noWrap/>
            <w:vAlign w:val="center"/>
            <w:hideMark/>
          </w:tcPr>
          <w:p w14:paraId="6D23B366" w14:textId="77777777" w:rsidR="00315369" w:rsidRPr="003B5469" w:rsidRDefault="00315369" w:rsidP="00315369">
            <w:pPr>
              <w:spacing w:after="0" w:line="240" w:lineRule="auto"/>
              <w:jc w:val="right"/>
              <w:rPr>
                <w:rFonts w:ascii="Arial" w:hAnsi="Arial" w:cs="Arial"/>
                <w:b/>
                <w:color w:val="000000"/>
                <w:sz w:val="16"/>
                <w:szCs w:val="16"/>
              </w:rPr>
            </w:pPr>
            <w:r w:rsidRPr="003B5469">
              <w:rPr>
                <w:rFonts w:ascii="Arial" w:hAnsi="Arial" w:cs="Arial"/>
                <w:b/>
                <w:color w:val="000000"/>
                <w:sz w:val="16"/>
                <w:szCs w:val="16"/>
              </w:rPr>
              <w:t>124,792</w:t>
            </w:r>
          </w:p>
        </w:tc>
        <w:tc>
          <w:tcPr>
            <w:tcW w:w="86" w:type="pct"/>
            <w:tcBorders>
              <w:top w:val="nil"/>
              <w:left w:val="nil"/>
              <w:bottom w:val="nil"/>
              <w:right w:val="nil"/>
            </w:tcBorders>
            <w:shd w:val="clear" w:color="000000" w:fill="FFFFFF"/>
            <w:noWrap/>
            <w:vAlign w:val="center"/>
            <w:hideMark/>
          </w:tcPr>
          <w:p w14:paraId="0DA64EB0" w14:textId="77777777" w:rsidR="00315369" w:rsidRPr="003B5469" w:rsidRDefault="00315369" w:rsidP="00315369">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c>
          <w:tcPr>
            <w:tcW w:w="843" w:type="pct"/>
            <w:tcBorders>
              <w:top w:val="single" w:sz="4" w:space="0" w:color="000000"/>
              <w:left w:val="nil"/>
              <w:bottom w:val="single" w:sz="4" w:space="0" w:color="000000"/>
              <w:right w:val="nil"/>
            </w:tcBorders>
            <w:shd w:val="clear" w:color="000000" w:fill="FFFFFF"/>
            <w:noWrap/>
            <w:vAlign w:val="center"/>
            <w:hideMark/>
          </w:tcPr>
          <w:p w14:paraId="40256884" w14:textId="77777777" w:rsidR="00315369" w:rsidRPr="003B5469" w:rsidRDefault="00315369" w:rsidP="00315369">
            <w:pPr>
              <w:spacing w:after="0" w:line="240" w:lineRule="auto"/>
              <w:jc w:val="right"/>
              <w:rPr>
                <w:rFonts w:ascii="Arial" w:hAnsi="Arial" w:cs="Arial"/>
                <w:b/>
                <w:color w:val="000000"/>
                <w:sz w:val="16"/>
                <w:szCs w:val="16"/>
              </w:rPr>
            </w:pPr>
            <w:r w:rsidRPr="003B5469">
              <w:rPr>
                <w:rFonts w:ascii="Arial" w:hAnsi="Arial" w:cs="Arial"/>
                <w:b/>
                <w:color w:val="000000"/>
                <w:sz w:val="16"/>
                <w:szCs w:val="16"/>
              </w:rPr>
              <w:t>2,992</w:t>
            </w:r>
          </w:p>
        </w:tc>
      </w:tr>
      <w:tr w:rsidR="00315369" w:rsidRPr="00513ED7" w14:paraId="596E4564" w14:textId="77777777" w:rsidTr="00F42602">
        <w:trPr>
          <w:trHeight w:hRule="exact" w:val="230"/>
        </w:trPr>
        <w:tc>
          <w:tcPr>
            <w:tcW w:w="2276" w:type="pct"/>
            <w:tcBorders>
              <w:top w:val="nil"/>
              <w:left w:val="nil"/>
              <w:bottom w:val="single" w:sz="4" w:space="0" w:color="000000"/>
              <w:right w:val="nil"/>
            </w:tcBorders>
            <w:shd w:val="clear" w:color="000000" w:fill="FFFFFF"/>
            <w:noWrap/>
            <w:vAlign w:val="center"/>
            <w:hideMark/>
          </w:tcPr>
          <w:p w14:paraId="5ED09C69" w14:textId="77777777" w:rsidR="00315369" w:rsidRPr="003B5469" w:rsidRDefault="00315369" w:rsidP="00315369">
            <w:pPr>
              <w:spacing w:after="0" w:line="240" w:lineRule="auto"/>
              <w:jc w:val="left"/>
              <w:rPr>
                <w:rFonts w:ascii="Arial" w:hAnsi="Arial" w:cs="Arial"/>
                <w:b/>
                <w:color w:val="000000"/>
                <w:sz w:val="16"/>
                <w:szCs w:val="16"/>
              </w:rPr>
            </w:pPr>
            <w:r w:rsidRPr="003B5469">
              <w:rPr>
                <w:rFonts w:ascii="Arial" w:hAnsi="Arial" w:cs="Arial"/>
                <w:b/>
                <w:color w:val="000000"/>
                <w:sz w:val="16"/>
                <w:szCs w:val="16"/>
              </w:rPr>
              <w:t>Taxation receipts</w:t>
            </w:r>
          </w:p>
        </w:tc>
        <w:tc>
          <w:tcPr>
            <w:tcW w:w="911" w:type="pct"/>
            <w:tcBorders>
              <w:top w:val="nil"/>
              <w:left w:val="nil"/>
              <w:bottom w:val="single" w:sz="4" w:space="0" w:color="000000"/>
              <w:right w:val="nil"/>
            </w:tcBorders>
            <w:shd w:val="clear" w:color="000000" w:fill="FFFFFF"/>
            <w:noWrap/>
            <w:vAlign w:val="center"/>
            <w:hideMark/>
          </w:tcPr>
          <w:p w14:paraId="040D5851" w14:textId="77777777" w:rsidR="00315369" w:rsidRPr="003B5469" w:rsidRDefault="00315369" w:rsidP="00315369">
            <w:pPr>
              <w:spacing w:after="0" w:line="240" w:lineRule="auto"/>
              <w:jc w:val="right"/>
              <w:rPr>
                <w:rFonts w:ascii="Arial" w:hAnsi="Arial" w:cs="Arial"/>
                <w:b/>
                <w:color w:val="000000"/>
                <w:sz w:val="16"/>
                <w:szCs w:val="16"/>
              </w:rPr>
            </w:pPr>
            <w:r w:rsidRPr="003B5469">
              <w:rPr>
                <w:rFonts w:ascii="Arial" w:hAnsi="Arial" w:cs="Arial"/>
                <w:b/>
                <w:color w:val="000000"/>
                <w:sz w:val="16"/>
                <w:szCs w:val="16"/>
              </w:rPr>
              <w:t>459,470</w:t>
            </w:r>
          </w:p>
        </w:tc>
        <w:tc>
          <w:tcPr>
            <w:tcW w:w="884" w:type="pct"/>
            <w:tcBorders>
              <w:top w:val="nil"/>
              <w:left w:val="nil"/>
              <w:bottom w:val="single" w:sz="4" w:space="0" w:color="000000"/>
              <w:right w:val="nil"/>
            </w:tcBorders>
            <w:shd w:val="clear" w:color="000000" w:fill="EBFFFF"/>
            <w:noWrap/>
            <w:vAlign w:val="center"/>
            <w:hideMark/>
          </w:tcPr>
          <w:p w14:paraId="0F01CBAF" w14:textId="77777777" w:rsidR="00315369" w:rsidRPr="003B5469" w:rsidRDefault="00315369" w:rsidP="00315369">
            <w:pPr>
              <w:spacing w:after="0" w:line="240" w:lineRule="auto"/>
              <w:jc w:val="right"/>
              <w:rPr>
                <w:rFonts w:ascii="Arial" w:hAnsi="Arial" w:cs="Arial"/>
                <w:b/>
                <w:color w:val="000000"/>
                <w:sz w:val="16"/>
                <w:szCs w:val="16"/>
              </w:rPr>
            </w:pPr>
            <w:r w:rsidRPr="003B5469">
              <w:rPr>
                <w:rFonts w:ascii="Arial" w:hAnsi="Arial" w:cs="Arial"/>
                <w:b/>
                <w:color w:val="000000"/>
                <w:sz w:val="16"/>
                <w:szCs w:val="16"/>
              </w:rPr>
              <w:t>473,850</w:t>
            </w:r>
          </w:p>
        </w:tc>
        <w:tc>
          <w:tcPr>
            <w:tcW w:w="86" w:type="pct"/>
            <w:tcBorders>
              <w:top w:val="nil"/>
              <w:left w:val="nil"/>
              <w:bottom w:val="single" w:sz="4" w:space="0" w:color="000000"/>
              <w:right w:val="nil"/>
            </w:tcBorders>
            <w:shd w:val="clear" w:color="000000" w:fill="FFFFFF"/>
            <w:noWrap/>
            <w:vAlign w:val="center"/>
            <w:hideMark/>
          </w:tcPr>
          <w:p w14:paraId="52EFAB26" w14:textId="77777777" w:rsidR="00315369" w:rsidRPr="003B5469" w:rsidRDefault="00315369" w:rsidP="00315369">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c>
          <w:tcPr>
            <w:tcW w:w="843" w:type="pct"/>
            <w:tcBorders>
              <w:top w:val="single" w:sz="4" w:space="0" w:color="000000"/>
              <w:left w:val="nil"/>
              <w:bottom w:val="single" w:sz="4" w:space="0" w:color="000000"/>
              <w:right w:val="nil"/>
            </w:tcBorders>
            <w:shd w:val="clear" w:color="000000" w:fill="FFFFFF"/>
            <w:noWrap/>
            <w:vAlign w:val="center"/>
            <w:hideMark/>
          </w:tcPr>
          <w:p w14:paraId="4F85C1F2" w14:textId="77777777" w:rsidR="00315369" w:rsidRPr="003B5469" w:rsidRDefault="00315369" w:rsidP="00315369">
            <w:pPr>
              <w:spacing w:after="0" w:line="240" w:lineRule="auto"/>
              <w:jc w:val="right"/>
              <w:rPr>
                <w:rFonts w:ascii="Arial" w:hAnsi="Arial" w:cs="Arial"/>
                <w:b/>
                <w:color w:val="000000"/>
                <w:sz w:val="16"/>
                <w:szCs w:val="16"/>
              </w:rPr>
            </w:pPr>
            <w:r w:rsidRPr="003B5469">
              <w:rPr>
                <w:rFonts w:ascii="Arial" w:hAnsi="Arial" w:cs="Arial"/>
                <w:b/>
                <w:color w:val="000000"/>
                <w:sz w:val="16"/>
                <w:szCs w:val="16"/>
              </w:rPr>
              <w:t>14,380</w:t>
            </w:r>
          </w:p>
        </w:tc>
      </w:tr>
    </w:tbl>
    <w:p w14:paraId="1F0852D8" w14:textId="778F0570" w:rsidR="00A47153" w:rsidRPr="003B5469" w:rsidRDefault="00A47153" w:rsidP="00F96D62">
      <w:pPr>
        <w:pStyle w:val="TableGraphic"/>
      </w:pPr>
    </w:p>
    <w:p w14:paraId="44D09565" w14:textId="77777777" w:rsidR="00A47153" w:rsidRPr="003B5469" w:rsidRDefault="00A47153">
      <w:pPr>
        <w:spacing w:after="160" w:line="259" w:lineRule="auto"/>
        <w:jc w:val="left"/>
      </w:pPr>
      <w:r w:rsidRPr="003B5469">
        <w:br w:type="page"/>
      </w:r>
    </w:p>
    <w:p w14:paraId="6E693943" w14:textId="29294E41" w:rsidR="00480297" w:rsidRPr="003B5469" w:rsidRDefault="008B389F" w:rsidP="002F2BFD">
      <w:pPr>
        <w:pStyle w:val="TableHeadingcontinued"/>
        <w:rPr>
          <w:rFonts w:asciiTheme="minorHAnsi" w:eastAsiaTheme="minorHAnsi" w:hAnsiTheme="minorHAnsi" w:cstheme="minorBidi"/>
          <w:sz w:val="22"/>
          <w:szCs w:val="22"/>
          <w:lang w:eastAsia="en-US"/>
        </w:rPr>
      </w:pPr>
      <w:r w:rsidRPr="003B5469">
        <w:lastRenderedPageBreak/>
        <w:t>Table 5:  Australian Government general government (cash) receipts (continued)</w:t>
      </w:r>
      <w:bookmarkStart w:id="4" w:name="_1693743353"/>
      <w:bookmarkStart w:id="5" w:name="_1693736871"/>
      <w:bookmarkStart w:id="6" w:name="_1693744073"/>
      <w:bookmarkStart w:id="7" w:name="_1693750149"/>
      <w:bookmarkEnd w:id="4"/>
      <w:bookmarkEnd w:id="5"/>
      <w:bookmarkEnd w:id="6"/>
      <w:bookmarkEnd w:id="7"/>
    </w:p>
    <w:tbl>
      <w:tblPr>
        <w:tblW w:w="5000" w:type="pct"/>
        <w:tblCellMar>
          <w:left w:w="0" w:type="dxa"/>
          <w:right w:w="28" w:type="dxa"/>
        </w:tblCellMar>
        <w:tblLook w:val="04A0" w:firstRow="1" w:lastRow="0" w:firstColumn="1" w:lastColumn="0" w:noHBand="0" w:noVBand="1"/>
      </w:tblPr>
      <w:tblGrid>
        <w:gridCol w:w="3513"/>
        <w:gridCol w:w="1411"/>
        <w:gridCol w:w="1366"/>
        <w:gridCol w:w="119"/>
        <w:gridCol w:w="1301"/>
      </w:tblGrid>
      <w:tr w:rsidR="00480297" w:rsidRPr="00513ED7" w14:paraId="72121AE4" w14:textId="77777777" w:rsidTr="00480297">
        <w:trPr>
          <w:trHeight w:hRule="exact" w:val="230"/>
        </w:trPr>
        <w:tc>
          <w:tcPr>
            <w:tcW w:w="2278" w:type="pct"/>
            <w:tcBorders>
              <w:top w:val="single" w:sz="4" w:space="0" w:color="000000"/>
              <w:left w:val="nil"/>
              <w:bottom w:val="nil"/>
              <w:right w:val="nil"/>
            </w:tcBorders>
            <w:shd w:val="clear" w:color="000000" w:fill="FFFFFF"/>
            <w:noWrap/>
            <w:vAlign w:val="center"/>
            <w:hideMark/>
          </w:tcPr>
          <w:p w14:paraId="2B2D0C23" w14:textId="2D7B4DED" w:rsidR="00480297" w:rsidRPr="003B5469" w:rsidRDefault="00480297" w:rsidP="00480297">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915" w:type="pct"/>
            <w:tcBorders>
              <w:top w:val="single" w:sz="4" w:space="0" w:color="000000"/>
              <w:left w:val="nil"/>
              <w:bottom w:val="nil"/>
              <w:right w:val="nil"/>
            </w:tcBorders>
            <w:shd w:val="clear" w:color="000000" w:fill="FFFFFF"/>
            <w:noWrap/>
            <w:vAlign w:val="bottom"/>
            <w:hideMark/>
          </w:tcPr>
          <w:p w14:paraId="7A377633" w14:textId="0865F5E0" w:rsidR="00480297" w:rsidRPr="003B5469" w:rsidRDefault="00480297" w:rsidP="00480297">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886" w:type="pct"/>
            <w:tcBorders>
              <w:top w:val="single" w:sz="4" w:space="0" w:color="000000"/>
              <w:left w:val="nil"/>
              <w:bottom w:val="nil"/>
              <w:right w:val="nil"/>
            </w:tcBorders>
            <w:shd w:val="clear" w:color="000000" w:fill="EBFFFF"/>
            <w:noWrap/>
            <w:vAlign w:val="bottom"/>
            <w:hideMark/>
          </w:tcPr>
          <w:p w14:paraId="3CBE7A6A" w14:textId="0397DBA3" w:rsidR="00480297" w:rsidRPr="003B5469" w:rsidRDefault="00480297" w:rsidP="00480297">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77" w:type="pct"/>
            <w:tcBorders>
              <w:top w:val="single" w:sz="4" w:space="0" w:color="000000"/>
              <w:left w:val="nil"/>
              <w:bottom w:val="nil"/>
              <w:right w:val="nil"/>
            </w:tcBorders>
            <w:shd w:val="clear" w:color="000000" w:fill="FFFFFF"/>
            <w:noWrap/>
            <w:vAlign w:val="bottom"/>
            <w:hideMark/>
          </w:tcPr>
          <w:p w14:paraId="726AFFF5" w14:textId="77777777" w:rsidR="00480297" w:rsidRPr="003B5469" w:rsidRDefault="00480297" w:rsidP="00480297">
            <w:pPr>
              <w:spacing w:after="0" w:line="240" w:lineRule="auto"/>
              <w:jc w:val="right"/>
              <w:rPr>
                <w:rFonts w:ascii="Arial" w:hAnsi="Arial" w:cs="Arial"/>
                <w:sz w:val="16"/>
                <w:szCs w:val="16"/>
              </w:rPr>
            </w:pPr>
            <w:r w:rsidRPr="003B5469">
              <w:rPr>
                <w:rFonts w:ascii="Arial" w:hAnsi="Arial" w:cs="Arial"/>
                <w:sz w:val="16"/>
                <w:szCs w:val="16"/>
              </w:rPr>
              <w:t> </w:t>
            </w:r>
          </w:p>
        </w:tc>
        <w:tc>
          <w:tcPr>
            <w:tcW w:w="844" w:type="pct"/>
            <w:tcBorders>
              <w:top w:val="single" w:sz="4" w:space="0" w:color="000000"/>
              <w:left w:val="nil"/>
              <w:bottom w:val="nil"/>
              <w:right w:val="nil"/>
            </w:tcBorders>
            <w:shd w:val="clear" w:color="000000" w:fill="FFFFFF"/>
            <w:noWrap/>
            <w:vAlign w:val="bottom"/>
            <w:hideMark/>
          </w:tcPr>
          <w:p w14:paraId="0DEA56D6" w14:textId="77777777" w:rsidR="00480297" w:rsidRPr="003B5469" w:rsidRDefault="00480297" w:rsidP="00480297">
            <w:pPr>
              <w:spacing w:after="0" w:line="240" w:lineRule="auto"/>
              <w:jc w:val="right"/>
              <w:rPr>
                <w:rFonts w:ascii="Arial" w:hAnsi="Arial" w:cs="Arial"/>
                <w:sz w:val="16"/>
                <w:szCs w:val="16"/>
              </w:rPr>
            </w:pPr>
            <w:r w:rsidRPr="003B5469">
              <w:rPr>
                <w:rFonts w:ascii="Arial" w:hAnsi="Arial" w:cs="Arial"/>
                <w:sz w:val="16"/>
                <w:szCs w:val="16"/>
              </w:rPr>
              <w:t>Change on</w:t>
            </w:r>
          </w:p>
        </w:tc>
      </w:tr>
      <w:tr w:rsidR="00480297" w:rsidRPr="00513ED7" w14:paraId="392C9822" w14:textId="77777777" w:rsidTr="00480297">
        <w:trPr>
          <w:trHeight w:hRule="exact" w:val="230"/>
        </w:trPr>
        <w:tc>
          <w:tcPr>
            <w:tcW w:w="2278" w:type="pct"/>
            <w:tcBorders>
              <w:top w:val="nil"/>
              <w:left w:val="nil"/>
              <w:bottom w:val="nil"/>
              <w:right w:val="nil"/>
            </w:tcBorders>
            <w:shd w:val="clear" w:color="000000" w:fill="FFFFFF"/>
            <w:noWrap/>
            <w:vAlign w:val="center"/>
            <w:hideMark/>
          </w:tcPr>
          <w:p w14:paraId="3B9EA426" w14:textId="77777777" w:rsidR="00480297" w:rsidRPr="003B5469" w:rsidRDefault="00480297" w:rsidP="00480297">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915" w:type="pct"/>
            <w:tcBorders>
              <w:top w:val="nil"/>
              <w:left w:val="nil"/>
              <w:bottom w:val="nil"/>
              <w:right w:val="nil"/>
            </w:tcBorders>
            <w:shd w:val="clear" w:color="000000" w:fill="FFFFFF"/>
            <w:noWrap/>
            <w:vAlign w:val="center"/>
            <w:hideMark/>
          </w:tcPr>
          <w:p w14:paraId="500C2171"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Estimate at</w:t>
            </w:r>
          </w:p>
        </w:tc>
        <w:tc>
          <w:tcPr>
            <w:tcW w:w="886" w:type="pct"/>
            <w:tcBorders>
              <w:top w:val="nil"/>
              <w:left w:val="nil"/>
              <w:bottom w:val="nil"/>
              <w:right w:val="nil"/>
            </w:tcBorders>
            <w:shd w:val="clear" w:color="000000" w:fill="EBFFFF"/>
            <w:noWrap/>
            <w:vAlign w:val="center"/>
            <w:hideMark/>
          </w:tcPr>
          <w:p w14:paraId="7C6BCB82"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Outcome</w:t>
            </w:r>
          </w:p>
        </w:tc>
        <w:tc>
          <w:tcPr>
            <w:tcW w:w="77" w:type="pct"/>
            <w:tcBorders>
              <w:top w:val="nil"/>
              <w:left w:val="nil"/>
              <w:bottom w:val="nil"/>
              <w:right w:val="nil"/>
            </w:tcBorders>
            <w:shd w:val="clear" w:color="000000" w:fill="FFFFFF"/>
            <w:noWrap/>
            <w:vAlign w:val="center"/>
            <w:hideMark/>
          </w:tcPr>
          <w:p w14:paraId="4E6B23CD"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4" w:type="pct"/>
            <w:tcBorders>
              <w:top w:val="nil"/>
              <w:left w:val="nil"/>
              <w:bottom w:val="nil"/>
              <w:right w:val="nil"/>
            </w:tcBorders>
            <w:shd w:val="clear" w:color="000000" w:fill="FFFFFF"/>
            <w:noWrap/>
            <w:vAlign w:val="center"/>
            <w:hideMark/>
          </w:tcPr>
          <w:p w14:paraId="7F4946C3" w14:textId="1E7C908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202</w:t>
            </w:r>
            <w:r w:rsidR="001716D1" w:rsidRPr="003B5469">
              <w:rPr>
                <w:rFonts w:ascii="Arial" w:hAnsi="Arial" w:cs="Arial"/>
                <w:color w:val="000000"/>
                <w:sz w:val="16"/>
                <w:szCs w:val="16"/>
              </w:rPr>
              <w:t>1</w:t>
            </w:r>
            <w:r w:rsidR="00A36B1E" w:rsidRPr="003B5469">
              <w:rPr>
                <w:rFonts w:ascii="Arial" w:hAnsi="Arial" w:cs="Arial"/>
                <w:color w:val="000000"/>
                <w:sz w:val="16"/>
                <w:szCs w:val="16"/>
              </w:rPr>
              <w:noBreakHyphen/>
            </w:r>
            <w:r w:rsidRPr="003B5469">
              <w:rPr>
                <w:rFonts w:ascii="Arial" w:hAnsi="Arial" w:cs="Arial"/>
                <w:color w:val="000000"/>
                <w:sz w:val="16"/>
                <w:szCs w:val="16"/>
              </w:rPr>
              <w:t>2</w:t>
            </w:r>
            <w:r w:rsidR="001716D1" w:rsidRPr="003B5469">
              <w:rPr>
                <w:rFonts w:ascii="Arial" w:hAnsi="Arial" w:cs="Arial"/>
                <w:color w:val="000000"/>
                <w:sz w:val="16"/>
                <w:szCs w:val="16"/>
              </w:rPr>
              <w:t>2</w:t>
            </w:r>
          </w:p>
        </w:tc>
      </w:tr>
      <w:tr w:rsidR="00480297" w:rsidRPr="00513ED7" w14:paraId="6F1C49BA" w14:textId="77777777" w:rsidTr="00480297">
        <w:trPr>
          <w:trHeight w:hRule="exact" w:val="230"/>
        </w:trPr>
        <w:tc>
          <w:tcPr>
            <w:tcW w:w="2278" w:type="pct"/>
            <w:tcBorders>
              <w:top w:val="nil"/>
              <w:left w:val="nil"/>
              <w:bottom w:val="nil"/>
              <w:right w:val="nil"/>
            </w:tcBorders>
            <w:shd w:val="clear" w:color="000000" w:fill="FFFFFF"/>
            <w:noWrap/>
            <w:vAlign w:val="center"/>
            <w:hideMark/>
          </w:tcPr>
          <w:p w14:paraId="7ED51C66" w14:textId="77777777" w:rsidR="00480297" w:rsidRPr="003B5469" w:rsidRDefault="00480297" w:rsidP="00480297">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915" w:type="pct"/>
            <w:tcBorders>
              <w:top w:val="nil"/>
              <w:left w:val="nil"/>
              <w:bottom w:val="nil"/>
              <w:right w:val="nil"/>
            </w:tcBorders>
            <w:shd w:val="clear" w:color="000000" w:fill="FFFFFF"/>
            <w:noWrap/>
            <w:vAlign w:val="center"/>
            <w:hideMark/>
          </w:tcPr>
          <w:p w14:paraId="50AF8345" w14:textId="7A487180"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2021</w:t>
            </w:r>
            <w:r w:rsidR="00A36B1E" w:rsidRPr="003B5469">
              <w:rPr>
                <w:rFonts w:ascii="Arial" w:hAnsi="Arial" w:cs="Arial"/>
                <w:color w:val="000000"/>
                <w:sz w:val="16"/>
                <w:szCs w:val="16"/>
              </w:rPr>
              <w:noBreakHyphen/>
            </w:r>
            <w:r w:rsidRPr="003B5469">
              <w:rPr>
                <w:rFonts w:ascii="Arial" w:hAnsi="Arial" w:cs="Arial"/>
                <w:color w:val="000000"/>
                <w:sz w:val="16"/>
                <w:szCs w:val="16"/>
              </w:rPr>
              <w:t>22</w:t>
            </w:r>
          </w:p>
        </w:tc>
        <w:tc>
          <w:tcPr>
            <w:tcW w:w="886" w:type="pct"/>
            <w:tcBorders>
              <w:top w:val="nil"/>
              <w:left w:val="nil"/>
              <w:bottom w:val="nil"/>
              <w:right w:val="nil"/>
            </w:tcBorders>
            <w:shd w:val="clear" w:color="000000" w:fill="EBFFFF"/>
            <w:noWrap/>
            <w:vAlign w:val="center"/>
            <w:hideMark/>
          </w:tcPr>
          <w:p w14:paraId="784BBE9C"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77" w:type="pct"/>
            <w:tcBorders>
              <w:top w:val="nil"/>
              <w:left w:val="nil"/>
              <w:bottom w:val="nil"/>
              <w:right w:val="nil"/>
            </w:tcBorders>
            <w:shd w:val="clear" w:color="000000" w:fill="FFFFFF"/>
            <w:noWrap/>
            <w:vAlign w:val="center"/>
            <w:hideMark/>
          </w:tcPr>
          <w:p w14:paraId="0CDC70FE"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4" w:type="pct"/>
            <w:tcBorders>
              <w:top w:val="nil"/>
              <w:left w:val="nil"/>
              <w:bottom w:val="nil"/>
              <w:right w:val="nil"/>
            </w:tcBorders>
            <w:shd w:val="clear" w:color="000000" w:fill="FFFFFF"/>
            <w:noWrap/>
            <w:vAlign w:val="bottom"/>
            <w:hideMark/>
          </w:tcPr>
          <w:p w14:paraId="7FE77FBC" w14:textId="77777777" w:rsidR="00480297" w:rsidRPr="003B5469" w:rsidRDefault="00480297" w:rsidP="00480297">
            <w:pPr>
              <w:spacing w:after="0" w:line="240" w:lineRule="auto"/>
              <w:jc w:val="right"/>
              <w:rPr>
                <w:rFonts w:ascii="Arial" w:hAnsi="Arial" w:cs="Arial"/>
                <w:sz w:val="16"/>
                <w:szCs w:val="16"/>
              </w:rPr>
            </w:pPr>
            <w:r w:rsidRPr="003B5469">
              <w:rPr>
                <w:rFonts w:ascii="Arial" w:hAnsi="Arial" w:cs="Arial"/>
                <w:sz w:val="16"/>
                <w:szCs w:val="16"/>
              </w:rPr>
              <w:t>Budget</w:t>
            </w:r>
          </w:p>
        </w:tc>
      </w:tr>
      <w:tr w:rsidR="00480297" w:rsidRPr="00513ED7" w14:paraId="65DE5D08" w14:textId="77777777" w:rsidTr="00480297">
        <w:trPr>
          <w:trHeight w:hRule="exact" w:val="230"/>
        </w:trPr>
        <w:tc>
          <w:tcPr>
            <w:tcW w:w="2278" w:type="pct"/>
            <w:tcBorders>
              <w:top w:val="nil"/>
              <w:left w:val="nil"/>
              <w:bottom w:val="nil"/>
              <w:right w:val="nil"/>
            </w:tcBorders>
            <w:shd w:val="clear" w:color="000000" w:fill="FFFFFF"/>
            <w:noWrap/>
            <w:vAlign w:val="center"/>
            <w:hideMark/>
          </w:tcPr>
          <w:p w14:paraId="2B455D48" w14:textId="77777777" w:rsidR="00480297" w:rsidRPr="003B5469" w:rsidRDefault="00480297" w:rsidP="00480297">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915" w:type="pct"/>
            <w:tcBorders>
              <w:top w:val="nil"/>
              <w:left w:val="nil"/>
              <w:bottom w:val="nil"/>
              <w:right w:val="nil"/>
            </w:tcBorders>
            <w:shd w:val="clear" w:color="000000" w:fill="FFFFFF"/>
            <w:noWrap/>
            <w:vAlign w:val="center"/>
            <w:hideMark/>
          </w:tcPr>
          <w:p w14:paraId="1F185E9D"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Budget</w:t>
            </w:r>
          </w:p>
        </w:tc>
        <w:tc>
          <w:tcPr>
            <w:tcW w:w="886" w:type="pct"/>
            <w:tcBorders>
              <w:top w:val="nil"/>
              <w:left w:val="nil"/>
              <w:bottom w:val="nil"/>
              <w:right w:val="nil"/>
            </w:tcBorders>
            <w:shd w:val="clear" w:color="000000" w:fill="EBFFFF"/>
            <w:noWrap/>
            <w:vAlign w:val="center"/>
            <w:hideMark/>
          </w:tcPr>
          <w:p w14:paraId="04F25D25"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77" w:type="pct"/>
            <w:tcBorders>
              <w:top w:val="nil"/>
              <w:left w:val="nil"/>
              <w:bottom w:val="nil"/>
              <w:right w:val="nil"/>
            </w:tcBorders>
            <w:shd w:val="clear" w:color="000000" w:fill="FFFFFF"/>
            <w:noWrap/>
            <w:vAlign w:val="center"/>
            <w:hideMark/>
          </w:tcPr>
          <w:p w14:paraId="60EBF914"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4" w:type="pct"/>
            <w:tcBorders>
              <w:top w:val="nil"/>
              <w:left w:val="nil"/>
              <w:bottom w:val="nil"/>
              <w:right w:val="nil"/>
            </w:tcBorders>
            <w:shd w:val="clear" w:color="000000" w:fill="FFFFFF"/>
            <w:noWrap/>
            <w:vAlign w:val="bottom"/>
            <w:hideMark/>
          </w:tcPr>
          <w:p w14:paraId="57BF6DA6" w14:textId="77777777" w:rsidR="00480297" w:rsidRPr="003B5469" w:rsidRDefault="00480297" w:rsidP="00480297">
            <w:pPr>
              <w:spacing w:after="0" w:line="240" w:lineRule="auto"/>
              <w:jc w:val="right"/>
              <w:rPr>
                <w:rFonts w:ascii="Arial" w:hAnsi="Arial" w:cs="Arial"/>
                <w:sz w:val="16"/>
                <w:szCs w:val="16"/>
              </w:rPr>
            </w:pPr>
            <w:r w:rsidRPr="003B5469">
              <w:rPr>
                <w:rFonts w:ascii="Arial" w:hAnsi="Arial" w:cs="Arial"/>
                <w:sz w:val="16"/>
                <w:szCs w:val="16"/>
              </w:rPr>
              <w:t> </w:t>
            </w:r>
          </w:p>
        </w:tc>
      </w:tr>
      <w:tr w:rsidR="00CA02D0" w:rsidRPr="00513ED7" w14:paraId="67062B1E" w14:textId="77777777" w:rsidTr="00480297">
        <w:trPr>
          <w:trHeight w:hRule="exact" w:val="230"/>
        </w:trPr>
        <w:tc>
          <w:tcPr>
            <w:tcW w:w="2278" w:type="pct"/>
            <w:tcBorders>
              <w:top w:val="nil"/>
              <w:left w:val="nil"/>
              <w:bottom w:val="nil"/>
              <w:right w:val="nil"/>
            </w:tcBorders>
            <w:shd w:val="clear" w:color="000000" w:fill="FFFFFF"/>
            <w:noWrap/>
            <w:vAlign w:val="center"/>
            <w:hideMark/>
          </w:tcPr>
          <w:p w14:paraId="1EA3F30B" w14:textId="77777777" w:rsidR="00480297" w:rsidRPr="003B5469" w:rsidRDefault="00480297" w:rsidP="00480297">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915" w:type="pct"/>
            <w:tcBorders>
              <w:top w:val="nil"/>
              <w:left w:val="nil"/>
              <w:bottom w:val="single" w:sz="4" w:space="0" w:color="000000"/>
              <w:right w:val="nil"/>
            </w:tcBorders>
            <w:shd w:val="clear" w:color="000000" w:fill="FFFFFF"/>
            <w:noWrap/>
            <w:vAlign w:val="center"/>
            <w:hideMark/>
          </w:tcPr>
          <w:p w14:paraId="12AFBF7F"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$m</w:t>
            </w:r>
          </w:p>
        </w:tc>
        <w:tc>
          <w:tcPr>
            <w:tcW w:w="886" w:type="pct"/>
            <w:tcBorders>
              <w:top w:val="nil"/>
              <w:left w:val="nil"/>
              <w:bottom w:val="single" w:sz="4" w:space="0" w:color="000000"/>
              <w:right w:val="nil"/>
            </w:tcBorders>
            <w:shd w:val="clear" w:color="000000" w:fill="EBFFFF"/>
            <w:noWrap/>
            <w:vAlign w:val="center"/>
            <w:hideMark/>
          </w:tcPr>
          <w:p w14:paraId="7B521E16"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$m</w:t>
            </w:r>
          </w:p>
        </w:tc>
        <w:tc>
          <w:tcPr>
            <w:tcW w:w="77" w:type="pct"/>
            <w:tcBorders>
              <w:top w:val="nil"/>
              <w:left w:val="nil"/>
              <w:bottom w:val="nil"/>
              <w:right w:val="nil"/>
            </w:tcBorders>
            <w:shd w:val="clear" w:color="000000" w:fill="FFFFFF"/>
            <w:noWrap/>
            <w:vAlign w:val="center"/>
            <w:hideMark/>
          </w:tcPr>
          <w:p w14:paraId="18591F9D"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4" w:type="pct"/>
            <w:tcBorders>
              <w:top w:val="nil"/>
              <w:left w:val="nil"/>
              <w:bottom w:val="single" w:sz="4" w:space="0" w:color="000000"/>
              <w:right w:val="nil"/>
            </w:tcBorders>
            <w:shd w:val="clear" w:color="000000" w:fill="FFFFFF"/>
            <w:noWrap/>
            <w:vAlign w:val="center"/>
            <w:hideMark/>
          </w:tcPr>
          <w:p w14:paraId="2E1E99FC"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$m</w:t>
            </w:r>
          </w:p>
        </w:tc>
      </w:tr>
      <w:tr w:rsidR="00480297" w:rsidRPr="00513ED7" w14:paraId="32F09502" w14:textId="77777777" w:rsidTr="00480297">
        <w:trPr>
          <w:trHeight w:hRule="exact" w:val="230"/>
        </w:trPr>
        <w:tc>
          <w:tcPr>
            <w:tcW w:w="2278" w:type="pct"/>
            <w:tcBorders>
              <w:top w:val="nil"/>
              <w:left w:val="nil"/>
              <w:bottom w:val="nil"/>
              <w:right w:val="nil"/>
            </w:tcBorders>
            <w:shd w:val="clear" w:color="000000" w:fill="FFFFFF"/>
            <w:noWrap/>
            <w:vAlign w:val="center"/>
            <w:hideMark/>
          </w:tcPr>
          <w:p w14:paraId="72B0FE2E" w14:textId="77777777" w:rsidR="00480297" w:rsidRPr="003B5469" w:rsidRDefault="00480297" w:rsidP="00480297">
            <w:pPr>
              <w:spacing w:after="0" w:line="240" w:lineRule="auto"/>
              <w:jc w:val="left"/>
              <w:rPr>
                <w:rFonts w:ascii="Arial" w:hAnsi="Arial" w:cs="Arial"/>
                <w:color w:val="000000"/>
                <w:sz w:val="16"/>
                <w:szCs w:val="16"/>
              </w:rPr>
            </w:pPr>
            <w:r w:rsidRPr="003B5469">
              <w:rPr>
                <w:rFonts w:ascii="Arial" w:hAnsi="Arial" w:cs="Arial"/>
                <w:color w:val="000000"/>
                <w:sz w:val="16"/>
                <w:szCs w:val="16"/>
              </w:rPr>
              <w:t>Sales of goods and services</w:t>
            </w:r>
          </w:p>
        </w:tc>
        <w:tc>
          <w:tcPr>
            <w:tcW w:w="915" w:type="pct"/>
            <w:tcBorders>
              <w:top w:val="nil"/>
              <w:left w:val="nil"/>
              <w:bottom w:val="nil"/>
              <w:right w:val="nil"/>
            </w:tcBorders>
            <w:shd w:val="clear" w:color="000000" w:fill="FFFFFF"/>
            <w:noWrap/>
            <w:vAlign w:val="center"/>
            <w:hideMark/>
          </w:tcPr>
          <w:p w14:paraId="0B141437"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16,381</w:t>
            </w:r>
          </w:p>
        </w:tc>
        <w:tc>
          <w:tcPr>
            <w:tcW w:w="886" w:type="pct"/>
            <w:tcBorders>
              <w:top w:val="nil"/>
              <w:left w:val="nil"/>
              <w:bottom w:val="nil"/>
              <w:right w:val="nil"/>
            </w:tcBorders>
            <w:shd w:val="clear" w:color="000000" w:fill="EBFFFF"/>
            <w:noWrap/>
            <w:vAlign w:val="center"/>
            <w:hideMark/>
          </w:tcPr>
          <w:p w14:paraId="1C582BDE"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16,390</w:t>
            </w:r>
          </w:p>
        </w:tc>
        <w:tc>
          <w:tcPr>
            <w:tcW w:w="77" w:type="pct"/>
            <w:tcBorders>
              <w:top w:val="nil"/>
              <w:left w:val="nil"/>
              <w:bottom w:val="nil"/>
              <w:right w:val="nil"/>
            </w:tcBorders>
            <w:shd w:val="clear" w:color="000000" w:fill="FFFFFF"/>
            <w:noWrap/>
            <w:vAlign w:val="center"/>
            <w:hideMark/>
          </w:tcPr>
          <w:p w14:paraId="7D97ABBA"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4" w:type="pct"/>
            <w:tcBorders>
              <w:top w:val="nil"/>
              <w:left w:val="nil"/>
              <w:bottom w:val="nil"/>
              <w:right w:val="nil"/>
            </w:tcBorders>
            <w:shd w:val="clear" w:color="000000" w:fill="FFFFFF"/>
            <w:noWrap/>
            <w:vAlign w:val="center"/>
            <w:hideMark/>
          </w:tcPr>
          <w:p w14:paraId="3EA3F4BC"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9</w:t>
            </w:r>
          </w:p>
        </w:tc>
      </w:tr>
      <w:tr w:rsidR="00480297" w:rsidRPr="00513ED7" w14:paraId="62E36A1B" w14:textId="77777777" w:rsidTr="00480297">
        <w:trPr>
          <w:trHeight w:hRule="exact" w:val="230"/>
        </w:trPr>
        <w:tc>
          <w:tcPr>
            <w:tcW w:w="2278" w:type="pct"/>
            <w:tcBorders>
              <w:top w:val="nil"/>
              <w:left w:val="nil"/>
              <w:bottom w:val="nil"/>
              <w:right w:val="nil"/>
            </w:tcBorders>
            <w:shd w:val="clear" w:color="000000" w:fill="FFFFFF"/>
            <w:noWrap/>
            <w:vAlign w:val="center"/>
            <w:hideMark/>
          </w:tcPr>
          <w:p w14:paraId="529136DB" w14:textId="77777777" w:rsidR="00480297" w:rsidRPr="003B5469" w:rsidRDefault="00480297" w:rsidP="00480297">
            <w:pPr>
              <w:spacing w:after="0" w:line="240" w:lineRule="auto"/>
              <w:jc w:val="left"/>
              <w:rPr>
                <w:rFonts w:ascii="Arial" w:hAnsi="Arial" w:cs="Arial"/>
                <w:color w:val="000000"/>
                <w:sz w:val="16"/>
                <w:szCs w:val="16"/>
              </w:rPr>
            </w:pPr>
            <w:r w:rsidRPr="003B5469">
              <w:rPr>
                <w:rFonts w:ascii="Arial" w:hAnsi="Arial" w:cs="Arial"/>
                <w:color w:val="000000"/>
                <w:sz w:val="16"/>
                <w:szCs w:val="16"/>
              </w:rPr>
              <w:t>Interest received</w:t>
            </w:r>
          </w:p>
        </w:tc>
        <w:tc>
          <w:tcPr>
            <w:tcW w:w="915" w:type="pct"/>
            <w:tcBorders>
              <w:top w:val="nil"/>
              <w:left w:val="nil"/>
              <w:bottom w:val="nil"/>
              <w:right w:val="nil"/>
            </w:tcBorders>
            <w:shd w:val="clear" w:color="000000" w:fill="FFFFFF"/>
            <w:noWrap/>
            <w:vAlign w:val="center"/>
            <w:hideMark/>
          </w:tcPr>
          <w:p w14:paraId="27F25430"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2,995</w:t>
            </w:r>
          </w:p>
        </w:tc>
        <w:tc>
          <w:tcPr>
            <w:tcW w:w="886" w:type="pct"/>
            <w:tcBorders>
              <w:top w:val="nil"/>
              <w:left w:val="nil"/>
              <w:bottom w:val="nil"/>
              <w:right w:val="nil"/>
            </w:tcBorders>
            <w:shd w:val="clear" w:color="000000" w:fill="EBFFFF"/>
            <w:noWrap/>
            <w:vAlign w:val="center"/>
            <w:hideMark/>
          </w:tcPr>
          <w:p w14:paraId="16948D1B"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2,812</w:t>
            </w:r>
          </w:p>
        </w:tc>
        <w:tc>
          <w:tcPr>
            <w:tcW w:w="77" w:type="pct"/>
            <w:tcBorders>
              <w:top w:val="nil"/>
              <w:left w:val="nil"/>
              <w:bottom w:val="nil"/>
              <w:right w:val="nil"/>
            </w:tcBorders>
            <w:shd w:val="clear" w:color="000000" w:fill="FFFFFF"/>
            <w:noWrap/>
            <w:vAlign w:val="center"/>
            <w:hideMark/>
          </w:tcPr>
          <w:p w14:paraId="5BF60C37"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4" w:type="pct"/>
            <w:tcBorders>
              <w:top w:val="nil"/>
              <w:left w:val="nil"/>
              <w:bottom w:val="nil"/>
              <w:right w:val="nil"/>
            </w:tcBorders>
            <w:shd w:val="clear" w:color="000000" w:fill="FFFFFF"/>
            <w:noWrap/>
            <w:vAlign w:val="center"/>
            <w:hideMark/>
          </w:tcPr>
          <w:p w14:paraId="093F77CB" w14:textId="09C0BCBA" w:rsidR="00480297" w:rsidRPr="003B5469" w:rsidRDefault="00A36B1E"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480297" w:rsidRPr="003B5469">
              <w:rPr>
                <w:rFonts w:ascii="Arial" w:hAnsi="Arial" w:cs="Arial"/>
                <w:color w:val="000000"/>
                <w:sz w:val="16"/>
                <w:szCs w:val="16"/>
              </w:rPr>
              <w:t>183</w:t>
            </w:r>
          </w:p>
        </w:tc>
      </w:tr>
      <w:tr w:rsidR="00480297" w:rsidRPr="00513ED7" w14:paraId="4621488F" w14:textId="77777777" w:rsidTr="00480297">
        <w:trPr>
          <w:trHeight w:hRule="exact" w:val="230"/>
        </w:trPr>
        <w:tc>
          <w:tcPr>
            <w:tcW w:w="2278" w:type="pct"/>
            <w:tcBorders>
              <w:top w:val="nil"/>
              <w:left w:val="nil"/>
              <w:bottom w:val="nil"/>
              <w:right w:val="nil"/>
            </w:tcBorders>
            <w:shd w:val="clear" w:color="000000" w:fill="FFFFFF"/>
            <w:noWrap/>
            <w:vAlign w:val="center"/>
            <w:hideMark/>
          </w:tcPr>
          <w:p w14:paraId="496A72F6" w14:textId="2400BA6B" w:rsidR="00480297" w:rsidRPr="003B5469" w:rsidRDefault="00480297" w:rsidP="00480297">
            <w:pPr>
              <w:spacing w:after="0" w:line="240" w:lineRule="auto"/>
              <w:jc w:val="left"/>
              <w:rPr>
                <w:rFonts w:ascii="Arial" w:hAnsi="Arial" w:cs="Arial"/>
                <w:color w:val="000000"/>
                <w:sz w:val="16"/>
                <w:szCs w:val="16"/>
              </w:rPr>
            </w:pPr>
            <w:r w:rsidRPr="003B5469">
              <w:rPr>
                <w:rFonts w:ascii="Arial" w:hAnsi="Arial" w:cs="Arial"/>
                <w:color w:val="000000"/>
                <w:sz w:val="16"/>
                <w:szCs w:val="16"/>
              </w:rPr>
              <w:t xml:space="preserve">Dividends and distributions(b) </w:t>
            </w:r>
          </w:p>
        </w:tc>
        <w:tc>
          <w:tcPr>
            <w:tcW w:w="915" w:type="pct"/>
            <w:tcBorders>
              <w:top w:val="nil"/>
              <w:left w:val="nil"/>
              <w:bottom w:val="nil"/>
              <w:right w:val="nil"/>
            </w:tcBorders>
            <w:shd w:val="clear" w:color="000000" w:fill="FFFFFF"/>
            <w:noWrap/>
            <w:vAlign w:val="center"/>
            <w:hideMark/>
          </w:tcPr>
          <w:p w14:paraId="13C92974"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8,493</w:t>
            </w:r>
          </w:p>
        </w:tc>
        <w:tc>
          <w:tcPr>
            <w:tcW w:w="886" w:type="pct"/>
            <w:tcBorders>
              <w:top w:val="nil"/>
              <w:left w:val="nil"/>
              <w:bottom w:val="nil"/>
              <w:right w:val="nil"/>
            </w:tcBorders>
            <w:shd w:val="clear" w:color="000000" w:fill="EBFFFF"/>
            <w:noWrap/>
            <w:vAlign w:val="center"/>
            <w:hideMark/>
          </w:tcPr>
          <w:p w14:paraId="2747F1B4"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9,757</w:t>
            </w:r>
          </w:p>
        </w:tc>
        <w:tc>
          <w:tcPr>
            <w:tcW w:w="77" w:type="pct"/>
            <w:tcBorders>
              <w:top w:val="nil"/>
              <w:left w:val="nil"/>
              <w:bottom w:val="nil"/>
              <w:right w:val="nil"/>
            </w:tcBorders>
            <w:shd w:val="clear" w:color="000000" w:fill="FFFFFF"/>
            <w:noWrap/>
            <w:vAlign w:val="center"/>
            <w:hideMark/>
          </w:tcPr>
          <w:p w14:paraId="0E104077"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4" w:type="pct"/>
            <w:tcBorders>
              <w:top w:val="nil"/>
              <w:left w:val="nil"/>
              <w:bottom w:val="nil"/>
              <w:right w:val="nil"/>
            </w:tcBorders>
            <w:shd w:val="clear" w:color="000000" w:fill="FFFFFF"/>
            <w:noWrap/>
            <w:vAlign w:val="center"/>
            <w:hideMark/>
          </w:tcPr>
          <w:p w14:paraId="2085BFF1"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1,264</w:t>
            </w:r>
          </w:p>
        </w:tc>
      </w:tr>
      <w:tr w:rsidR="00480297" w:rsidRPr="00513ED7" w14:paraId="572F7740" w14:textId="77777777" w:rsidTr="00480297">
        <w:trPr>
          <w:trHeight w:hRule="exact" w:val="230"/>
        </w:trPr>
        <w:tc>
          <w:tcPr>
            <w:tcW w:w="2278" w:type="pct"/>
            <w:tcBorders>
              <w:top w:val="nil"/>
              <w:left w:val="nil"/>
              <w:bottom w:val="nil"/>
              <w:right w:val="nil"/>
            </w:tcBorders>
            <w:shd w:val="clear" w:color="000000" w:fill="FFFFFF"/>
            <w:noWrap/>
            <w:vAlign w:val="center"/>
            <w:hideMark/>
          </w:tcPr>
          <w:p w14:paraId="05E95EC9" w14:textId="37922BF4" w:rsidR="00480297" w:rsidRPr="003B5469" w:rsidRDefault="00480297" w:rsidP="00480297">
            <w:pPr>
              <w:spacing w:after="0" w:line="240" w:lineRule="auto"/>
              <w:jc w:val="left"/>
              <w:rPr>
                <w:rFonts w:ascii="Arial" w:hAnsi="Arial" w:cs="Arial"/>
                <w:color w:val="000000"/>
                <w:sz w:val="16"/>
                <w:szCs w:val="16"/>
              </w:rPr>
            </w:pPr>
            <w:r w:rsidRPr="003B5469">
              <w:rPr>
                <w:rFonts w:ascii="Arial" w:hAnsi="Arial" w:cs="Arial"/>
                <w:color w:val="000000"/>
                <w:sz w:val="16"/>
                <w:szCs w:val="16"/>
              </w:rPr>
              <w:t>Other non</w:t>
            </w:r>
            <w:r w:rsidR="00A36B1E" w:rsidRPr="003B5469">
              <w:rPr>
                <w:rFonts w:ascii="Arial" w:hAnsi="Arial" w:cs="Arial"/>
                <w:color w:val="000000"/>
                <w:sz w:val="16"/>
                <w:szCs w:val="16"/>
              </w:rPr>
              <w:noBreakHyphen/>
            </w:r>
            <w:r w:rsidRPr="003B5469">
              <w:rPr>
                <w:rFonts w:ascii="Arial" w:hAnsi="Arial" w:cs="Arial"/>
                <w:color w:val="000000"/>
                <w:sz w:val="16"/>
                <w:szCs w:val="16"/>
              </w:rPr>
              <w:t>taxation receipts</w:t>
            </w:r>
          </w:p>
        </w:tc>
        <w:tc>
          <w:tcPr>
            <w:tcW w:w="915" w:type="pct"/>
            <w:tcBorders>
              <w:top w:val="nil"/>
              <w:left w:val="nil"/>
              <w:bottom w:val="nil"/>
              <w:right w:val="nil"/>
            </w:tcBorders>
            <w:shd w:val="clear" w:color="000000" w:fill="FFFFFF"/>
            <w:noWrap/>
            <w:vAlign w:val="center"/>
            <w:hideMark/>
          </w:tcPr>
          <w:p w14:paraId="64E5E769"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12,494</w:t>
            </w:r>
          </w:p>
        </w:tc>
        <w:tc>
          <w:tcPr>
            <w:tcW w:w="886" w:type="pct"/>
            <w:tcBorders>
              <w:top w:val="nil"/>
              <w:left w:val="nil"/>
              <w:bottom w:val="single" w:sz="4" w:space="0" w:color="000000"/>
              <w:right w:val="nil"/>
            </w:tcBorders>
            <w:shd w:val="clear" w:color="000000" w:fill="EBFFFF"/>
            <w:noWrap/>
            <w:vAlign w:val="center"/>
            <w:hideMark/>
          </w:tcPr>
          <w:p w14:paraId="62EB8F4B"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17,105</w:t>
            </w:r>
          </w:p>
        </w:tc>
        <w:tc>
          <w:tcPr>
            <w:tcW w:w="77" w:type="pct"/>
            <w:tcBorders>
              <w:top w:val="nil"/>
              <w:left w:val="nil"/>
              <w:bottom w:val="nil"/>
              <w:right w:val="nil"/>
            </w:tcBorders>
            <w:shd w:val="clear" w:color="000000" w:fill="FFFFFF"/>
            <w:noWrap/>
            <w:vAlign w:val="center"/>
            <w:hideMark/>
          </w:tcPr>
          <w:p w14:paraId="01E51C86"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844" w:type="pct"/>
            <w:tcBorders>
              <w:top w:val="nil"/>
              <w:left w:val="nil"/>
              <w:bottom w:val="nil"/>
              <w:right w:val="nil"/>
            </w:tcBorders>
            <w:shd w:val="clear" w:color="000000" w:fill="FFFFFF"/>
            <w:noWrap/>
            <w:vAlign w:val="center"/>
            <w:hideMark/>
          </w:tcPr>
          <w:p w14:paraId="4D83DFD9" w14:textId="77777777" w:rsidR="00480297" w:rsidRPr="003B5469" w:rsidRDefault="00480297" w:rsidP="00480297">
            <w:pPr>
              <w:spacing w:after="0" w:line="240" w:lineRule="auto"/>
              <w:jc w:val="right"/>
              <w:rPr>
                <w:rFonts w:ascii="Arial" w:hAnsi="Arial" w:cs="Arial"/>
                <w:color w:val="000000"/>
                <w:sz w:val="16"/>
                <w:szCs w:val="16"/>
              </w:rPr>
            </w:pPr>
            <w:r w:rsidRPr="003B5469">
              <w:rPr>
                <w:rFonts w:ascii="Arial" w:hAnsi="Arial" w:cs="Arial"/>
                <w:color w:val="000000"/>
                <w:sz w:val="16"/>
                <w:szCs w:val="16"/>
              </w:rPr>
              <w:t>4,611</w:t>
            </w:r>
          </w:p>
        </w:tc>
      </w:tr>
      <w:tr w:rsidR="00CA02D0" w:rsidRPr="00513ED7" w14:paraId="4725BAE1" w14:textId="77777777" w:rsidTr="00480297">
        <w:trPr>
          <w:trHeight w:hRule="exact" w:val="230"/>
        </w:trPr>
        <w:tc>
          <w:tcPr>
            <w:tcW w:w="2278" w:type="pct"/>
            <w:tcBorders>
              <w:top w:val="nil"/>
              <w:left w:val="nil"/>
              <w:bottom w:val="nil"/>
              <w:right w:val="nil"/>
            </w:tcBorders>
            <w:shd w:val="clear" w:color="000000" w:fill="FFFFFF"/>
            <w:noWrap/>
            <w:vAlign w:val="center"/>
            <w:hideMark/>
          </w:tcPr>
          <w:p w14:paraId="52FEC6EA" w14:textId="6F5207E2" w:rsidR="00480297" w:rsidRPr="003B5469" w:rsidRDefault="00480297" w:rsidP="00480297">
            <w:pPr>
              <w:spacing w:after="0" w:line="240" w:lineRule="auto"/>
              <w:jc w:val="left"/>
              <w:rPr>
                <w:rFonts w:ascii="Arial" w:hAnsi="Arial" w:cs="Arial"/>
                <w:b/>
                <w:color w:val="000000"/>
                <w:sz w:val="16"/>
                <w:szCs w:val="16"/>
              </w:rPr>
            </w:pPr>
            <w:r w:rsidRPr="003B5469">
              <w:rPr>
                <w:rFonts w:ascii="Arial" w:hAnsi="Arial" w:cs="Arial"/>
                <w:b/>
                <w:color w:val="000000"/>
                <w:sz w:val="16"/>
                <w:szCs w:val="16"/>
              </w:rPr>
              <w:t>Non</w:t>
            </w:r>
            <w:r w:rsidR="00A36B1E" w:rsidRPr="003B5469">
              <w:rPr>
                <w:rFonts w:ascii="Arial" w:hAnsi="Arial" w:cs="Arial"/>
                <w:b/>
                <w:color w:val="000000"/>
                <w:sz w:val="16"/>
                <w:szCs w:val="16"/>
              </w:rPr>
              <w:noBreakHyphen/>
            </w:r>
            <w:r w:rsidRPr="003B5469">
              <w:rPr>
                <w:rFonts w:ascii="Arial" w:hAnsi="Arial" w:cs="Arial"/>
                <w:b/>
                <w:color w:val="000000"/>
                <w:sz w:val="16"/>
                <w:szCs w:val="16"/>
              </w:rPr>
              <w:t>taxation receipts</w:t>
            </w:r>
          </w:p>
        </w:tc>
        <w:tc>
          <w:tcPr>
            <w:tcW w:w="915" w:type="pct"/>
            <w:tcBorders>
              <w:top w:val="single" w:sz="4" w:space="0" w:color="000000"/>
              <w:left w:val="nil"/>
              <w:bottom w:val="single" w:sz="4" w:space="0" w:color="000000"/>
              <w:right w:val="nil"/>
            </w:tcBorders>
            <w:shd w:val="clear" w:color="000000" w:fill="FFFFFF"/>
            <w:noWrap/>
            <w:vAlign w:val="center"/>
            <w:hideMark/>
          </w:tcPr>
          <w:p w14:paraId="1321D1BB" w14:textId="77777777" w:rsidR="00480297" w:rsidRPr="003B5469" w:rsidRDefault="00480297" w:rsidP="00480297">
            <w:pPr>
              <w:spacing w:after="0" w:line="240" w:lineRule="auto"/>
              <w:jc w:val="right"/>
              <w:rPr>
                <w:rFonts w:ascii="Arial" w:hAnsi="Arial" w:cs="Arial"/>
                <w:b/>
                <w:color w:val="000000"/>
                <w:sz w:val="16"/>
                <w:szCs w:val="16"/>
              </w:rPr>
            </w:pPr>
            <w:r w:rsidRPr="003B5469">
              <w:rPr>
                <w:rFonts w:ascii="Arial" w:hAnsi="Arial" w:cs="Arial"/>
                <w:b/>
                <w:color w:val="000000"/>
                <w:sz w:val="16"/>
                <w:szCs w:val="16"/>
              </w:rPr>
              <w:t>40,361</w:t>
            </w:r>
          </w:p>
        </w:tc>
        <w:tc>
          <w:tcPr>
            <w:tcW w:w="886" w:type="pct"/>
            <w:tcBorders>
              <w:top w:val="nil"/>
              <w:left w:val="nil"/>
              <w:bottom w:val="single" w:sz="4" w:space="0" w:color="000000"/>
              <w:right w:val="nil"/>
            </w:tcBorders>
            <w:shd w:val="clear" w:color="000000" w:fill="EBFFFF"/>
            <w:noWrap/>
            <w:vAlign w:val="center"/>
            <w:hideMark/>
          </w:tcPr>
          <w:p w14:paraId="1377BACB" w14:textId="77777777" w:rsidR="00480297" w:rsidRPr="003B5469" w:rsidRDefault="00480297" w:rsidP="00480297">
            <w:pPr>
              <w:spacing w:after="0" w:line="240" w:lineRule="auto"/>
              <w:jc w:val="right"/>
              <w:rPr>
                <w:rFonts w:ascii="Arial" w:hAnsi="Arial" w:cs="Arial"/>
                <w:b/>
                <w:color w:val="000000"/>
                <w:sz w:val="16"/>
                <w:szCs w:val="16"/>
              </w:rPr>
            </w:pPr>
            <w:r w:rsidRPr="003B5469">
              <w:rPr>
                <w:rFonts w:ascii="Arial" w:hAnsi="Arial" w:cs="Arial"/>
                <w:b/>
                <w:color w:val="000000"/>
                <w:sz w:val="16"/>
                <w:szCs w:val="16"/>
              </w:rPr>
              <w:t>46,063</w:t>
            </w:r>
          </w:p>
        </w:tc>
        <w:tc>
          <w:tcPr>
            <w:tcW w:w="77" w:type="pct"/>
            <w:tcBorders>
              <w:top w:val="nil"/>
              <w:left w:val="nil"/>
              <w:bottom w:val="nil"/>
              <w:right w:val="nil"/>
            </w:tcBorders>
            <w:shd w:val="clear" w:color="000000" w:fill="FFFFFF"/>
            <w:noWrap/>
            <w:vAlign w:val="center"/>
            <w:hideMark/>
          </w:tcPr>
          <w:p w14:paraId="7345B8A3" w14:textId="77777777" w:rsidR="00480297" w:rsidRPr="003B5469" w:rsidRDefault="00480297" w:rsidP="00480297">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c>
          <w:tcPr>
            <w:tcW w:w="844" w:type="pct"/>
            <w:tcBorders>
              <w:top w:val="single" w:sz="4" w:space="0" w:color="000000"/>
              <w:left w:val="nil"/>
              <w:bottom w:val="single" w:sz="4" w:space="0" w:color="000000"/>
              <w:right w:val="nil"/>
            </w:tcBorders>
            <w:shd w:val="clear" w:color="000000" w:fill="FFFFFF"/>
            <w:noWrap/>
            <w:vAlign w:val="center"/>
            <w:hideMark/>
          </w:tcPr>
          <w:p w14:paraId="54C93C93" w14:textId="77777777" w:rsidR="00480297" w:rsidRPr="003B5469" w:rsidRDefault="00480297" w:rsidP="00480297">
            <w:pPr>
              <w:spacing w:after="0" w:line="240" w:lineRule="auto"/>
              <w:jc w:val="right"/>
              <w:rPr>
                <w:rFonts w:ascii="Arial" w:hAnsi="Arial" w:cs="Arial"/>
                <w:b/>
                <w:color w:val="000000"/>
                <w:sz w:val="16"/>
                <w:szCs w:val="16"/>
              </w:rPr>
            </w:pPr>
            <w:r w:rsidRPr="003B5469">
              <w:rPr>
                <w:rFonts w:ascii="Arial" w:hAnsi="Arial" w:cs="Arial"/>
                <w:b/>
                <w:color w:val="000000"/>
                <w:sz w:val="16"/>
                <w:szCs w:val="16"/>
              </w:rPr>
              <w:t>5,702</w:t>
            </w:r>
          </w:p>
        </w:tc>
      </w:tr>
      <w:tr w:rsidR="00CA02D0" w:rsidRPr="00513ED7" w14:paraId="2539EF6A" w14:textId="77777777" w:rsidTr="00480297">
        <w:trPr>
          <w:trHeight w:hRule="exact" w:val="230"/>
        </w:trPr>
        <w:tc>
          <w:tcPr>
            <w:tcW w:w="2278" w:type="pct"/>
            <w:tcBorders>
              <w:top w:val="nil"/>
              <w:left w:val="nil"/>
              <w:bottom w:val="single" w:sz="4" w:space="0" w:color="000000"/>
              <w:right w:val="nil"/>
            </w:tcBorders>
            <w:shd w:val="clear" w:color="000000" w:fill="FFFFFF"/>
            <w:noWrap/>
            <w:vAlign w:val="center"/>
            <w:hideMark/>
          </w:tcPr>
          <w:p w14:paraId="0D7F1DA9" w14:textId="77777777" w:rsidR="00480297" w:rsidRPr="003B5469" w:rsidRDefault="00480297" w:rsidP="00480297">
            <w:pPr>
              <w:spacing w:after="0" w:line="240" w:lineRule="auto"/>
              <w:jc w:val="left"/>
              <w:rPr>
                <w:rFonts w:ascii="Arial" w:hAnsi="Arial" w:cs="Arial"/>
                <w:b/>
                <w:color w:val="000000"/>
                <w:sz w:val="16"/>
                <w:szCs w:val="16"/>
              </w:rPr>
            </w:pPr>
            <w:r w:rsidRPr="003B5469">
              <w:rPr>
                <w:rFonts w:ascii="Arial" w:hAnsi="Arial" w:cs="Arial"/>
                <w:b/>
                <w:color w:val="000000"/>
                <w:sz w:val="16"/>
                <w:szCs w:val="16"/>
              </w:rPr>
              <w:t>Total receipts</w:t>
            </w:r>
          </w:p>
        </w:tc>
        <w:tc>
          <w:tcPr>
            <w:tcW w:w="915" w:type="pct"/>
            <w:tcBorders>
              <w:top w:val="nil"/>
              <w:left w:val="nil"/>
              <w:bottom w:val="single" w:sz="4" w:space="0" w:color="000000"/>
              <w:right w:val="nil"/>
            </w:tcBorders>
            <w:shd w:val="clear" w:color="000000" w:fill="FFFFFF"/>
            <w:noWrap/>
            <w:vAlign w:val="center"/>
            <w:hideMark/>
          </w:tcPr>
          <w:p w14:paraId="60A1A0A7" w14:textId="77777777" w:rsidR="00480297" w:rsidRPr="003B5469" w:rsidRDefault="00480297" w:rsidP="00480297">
            <w:pPr>
              <w:spacing w:after="0" w:line="240" w:lineRule="auto"/>
              <w:jc w:val="right"/>
              <w:rPr>
                <w:rFonts w:ascii="Arial" w:hAnsi="Arial" w:cs="Arial"/>
                <w:b/>
                <w:color w:val="000000"/>
                <w:sz w:val="16"/>
                <w:szCs w:val="16"/>
              </w:rPr>
            </w:pPr>
            <w:r w:rsidRPr="003B5469">
              <w:rPr>
                <w:rFonts w:ascii="Arial" w:hAnsi="Arial" w:cs="Arial"/>
                <w:b/>
                <w:color w:val="000000"/>
                <w:sz w:val="16"/>
                <w:szCs w:val="16"/>
              </w:rPr>
              <w:t>499,831</w:t>
            </w:r>
          </w:p>
        </w:tc>
        <w:tc>
          <w:tcPr>
            <w:tcW w:w="886" w:type="pct"/>
            <w:tcBorders>
              <w:top w:val="nil"/>
              <w:left w:val="nil"/>
              <w:bottom w:val="single" w:sz="4" w:space="0" w:color="000000"/>
              <w:right w:val="nil"/>
            </w:tcBorders>
            <w:shd w:val="clear" w:color="000000" w:fill="EBFFFF"/>
            <w:noWrap/>
            <w:vAlign w:val="center"/>
            <w:hideMark/>
          </w:tcPr>
          <w:p w14:paraId="339D12B7" w14:textId="77777777" w:rsidR="00480297" w:rsidRPr="003B5469" w:rsidRDefault="00480297" w:rsidP="00480297">
            <w:pPr>
              <w:spacing w:after="0" w:line="240" w:lineRule="auto"/>
              <w:jc w:val="right"/>
              <w:rPr>
                <w:rFonts w:ascii="Arial" w:hAnsi="Arial" w:cs="Arial"/>
                <w:b/>
                <w:color w:val="000000"/>
                <w:sz w:val="16"/>
                <w:szCs w:val="16"/>
              </w:rPr>
            </w:pPr>
            <w:r w:rsidRPr="003B5469">
              <w:rPr>
                <w:rFonts w:ascii="Arial" w:hAnsi="Arial" w:cs="Arial"/>
                <w:b/>
                <w:color w:val="000000"/>
                <w:sz w:val="16"/>
                <w:szCs w:val="16"/>
              </w:rPr>
              <w:t>519,913</w:t>
            </w:r>
          </w:p>
        </w:tc>
        <w:tc>
          <w:tcPr>
            <w:tcW w:w="77" w:type="pct"/>
            <w:tcBorders>
              <w:top w:val="nil"/>
              <w:left w:val="nil"/>
              <w:bottom w:val="nil"/>
              <w:right w:val="nil"/>
            </w:tcBorders>
            <w:shd w:val="clear" w:color="000000" w:fill="FFFFFF"/>
            <w:noWrap/>
            <w:vAlign w:val="center"/>
            <w:hideMark/>
          </w:tcPr>
          <w:p w14:paraId="2BE3CD79" w14:textId="77777777" w:rsidR="00480297" w:rsidRPr="003B5469" w:rsidRDefault="00480297" w:rsidP="00480297">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c>
          <w:tcPr>
            <w:tcW w:w="844" w:type="pct"/>
            <w:tcBorders>
              <w:top w:val="nil"/>
              <w:left w:val="nil"/>
              <w:bottom w:val="single" w:sz="4" w:space="0" w:color="000000"/>
              <w:right w:val="nil"/>
            </w:tcBorders>
            <w:shd w:val="clear" w:color="000000" w:fill="FFFFFF"/>
            <w:noWrap/>
            <w:vAlign w:val="center"/>
            <w:hideMark/>
          </w:tcPr>
          <w:p w14:paraId="5D4E7060" w14:textId="77777777" w:rsidR="00480297" w:rsidRPr="003B5469" w:rsidRDefault="00480297" w:rsidP="00480297">
            <w:pPr>
              <w:spacing w:after="0" w:line="240" w:lineRule="auto"/>
              <w:jc w:val="right"/>
              <w:rPr>
                <w:rFonts w:ascii="Arial" w:hAnsi="Arial" w:cs="Arial"/>
                <w:b/>
                <w:color w:val="000000"/>
                <w:sz w:val="16"/>
                <w:szCs w:val="16"/>
              </w:rPr>
            </w:pPr>
            <w:r w:rsidRPr="003B5469">
              <w:rPr>
                <w:rFonts w:ascii="Arial" w:hAnsi="Arial" w:cs="Arial"/>
                <w:b/>
                <w:color w:val="000000"/>
                <w:sz w:val="16"/>
                <w:szCs w:val="16"/>
              </w:rPr>
              <w:t>20,082</w:t>
            </w:r>
          </w:p>
        </w:tc>
      </w:tr>
      <w:tr w:rsidR="00480297" w:rsidRPr="00513ED7" w14:paraId="7CD0BB8B" w14:textId="77777777" w:rsidTr="00480297">
        <w:trPr>
          <w:trHeight w:hRule="exact" w:val="230"/>
        </w:trPr>
        <w:tc>
          <w:tcPr>
            <w:tcW w:w="2278" w:type="pct"/>
            <w:tcBorders>
              <w:top w:val="nil"/>
              <w:left w:val="nil"/>
              <w:bottom w:val="nil"/>
              <w:right w:val="nil"/>
            </w:tcBorders>
            <w:shd w:val="clear" w:color="000000" w:fill="FFFFFF"/>
            <w:noWrap/>
            <w:vAlign w:val="bottom"/>
            <w:hideMark/>
          </w:tcPr>
          <w:p w14:paraId="3AA2757F" w14:textId="77777777" w:rsidR="00480297" w:rsidRPr="003B5469" w:rsidRDefault="00480297" w:rsidP="00480297">
            <w:pPr>
              <w:spacing w:after="0" w:line="240" w:lineRule="auto"/>
              <w:jc w:val="left"/>
              <w:rPr>
                <w:rFonts w:ascii="Arial" w:hAnsi="Arial" w:cs="Arial"/>
                <w:i/>
                <w:color w:val="000000"/>
                <w:sz w:val="16"/>
                <w:szCs w:val="16"/>
              </w:rPr>
            </w:pPr>
            <w:r w:rsidRPr="003B5469">
              <w:rPr>
                <w:rFonts w:ascii="Arial" w:hAnsi="Arial" w:cs="Arial"/>
                <w:i/>
                <w:color w:val="000000"/>
                <w:sz w:val="16"/>
                <w:szCs w:val="16"/>
              </w:rPr>
              <w:t>Memorandum:</w:t>
            </w:r>
          </w:p>
        </w:tc>
        <w:tc>
          <w:tcPr>
            <w:tcW w:w="915" w:type="pct"/>
            <w:tcBorders>
              <w:top w:val="nil"/>
              <w:left w:val="nil"/>
              <w:bottom w:val="nil"/>
              <w:right w:val="nil"/>
            </w:tcBorders>
            <w:shd w:val="clear" w:color="000000" w:fill="FFFFFF"/>
            <w:noWrap/>
            <w:vAlign w:val="center"/>
            <w:hideMark/>
          </w:tcPr>
          <w:p w14:paraId="058267A0" w14:textId="77777777" w:rsidR="00480297" w:rsidRPr="003B5469" w:rsidRDefault="00480297" w:rsidP="00480297">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c>
          <w:tcPr>
            <w:tcW w:w="886" w:type="pct"/>
            <w:tcBorders>
              <w:top w:val="nil"/>
              <w:left w:val="nil"/>
              <w:bottom w:val="nil"/>
              <w:right w:val="nil"/>
            </w:tcBorders>
            <w:shd w:val="clear" w:color="000000" w:fill="EBFFFF"/>
            <w:noWrap/>
            <w:vAlign w:val="center"/>
            <w:hideMark/>
          </w:tcPr>
          <w:p w14:paraId="76CE1A79" w14:textId="77777777" w:rsidR="00480297" w:rsidRPr="003B5469" w:rsidRDefault="00480297" w:rsidP="00480297">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c>
          <w:tcPr>
            <w:tcW w:w="77" w:type="pct"/>
            <w:tcBorders>
              <w:top w:val="nil"/>
              <w:left w:val="nil"/>
              <w:bottom w:val="nil"/>
              <w:right w:val="nil"/>
            </w:tcBorders>
            <w:shd w:val="clear" w:color="000000" w:fill="FFFFFF"/>
            <w:noWrap/>
            <w:vAlign w:val="center"/>
            <w:hideMark/>
          </w:tcPr>
          <w:p w14:paraId="5BDA7A62" w14:textId="77777777" w:rsidR="00480297" w:rsidRPr="003B5469" w:rsidRDefault="00480297" w:rsidP="00480297">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c>
          <w:tcPr>
            <w:tcW w:w="844" w:type="pct"/>
            <w:tcBorders>
              <w:top w:val="nil"/>
              <w:left w:val="nil"/>
              <w:bottom w:val="nil"/>
              <w:right w:val="nil"/>
            </w:tcBorders>
            <w:shd w:val="clear" w:color="000000" w:fill="FFFFFF"/>
            <w:noWrap/>
            <w:vAlign w:val="center"/>
            <w:hideMark/>
          </w:tcPr>
          <w:p w14:paraId="6795E721" w14:textId="77777777" w:rsidR="00480297" w:rsidRPr="003B5469" w:rsidRDefault="00480297" w:rsidP="00480297">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r>
      <w:tr w:rsidR="00480297" w:rsidRPr="00513ED7" w14:paraId="30ED9441" w14:textId="77777777" w:rsidTr="00480297">
        <w:trPr>
          <w:trHeight w:hRule="exact" w:val="230"/>
        </w:trPr>
        <w:tc>
          <w:tcPr>
            <w:tcW w:w="2278" w:type="pct"/>
            <w:tcBorders>
              <w:top w:val="nil"/>
              <w:left w:val="nil"/>
              <w:bottom w:val="nil"/>
              <w:right w:val="nil"/>
            </w:tcBorders>
            <w:shd w:val="clear" w:color="000000" w:fill="FFFFFF"/>
            <w:noWrap/>
            <w:vAlign w:val="bottom"/>
            <w:hideMark/>
          </w:tcPr>
          <w:p w14:paraId="6EB7CC8A" w14:textId="77777777" w:rsidR="00480297" w:rsidRPr="003B5469" w:rsidRDefault="00480297" w:rsidP="00480297">
            <w:pPr>
              <w:spacing w:after="0" w:line="240" w:lineRule="auto"/>
              <w:ind w:left="170"/>
              <w:jc w:val="left"/>
              <w:rPr>
                <w:rFonts w:ascii="Arial" w:hAnsi="Arial" w:cs="Arial"/>
                <w:i/>
                <w:color w:val="000000"/>
                <w:sz w:val="16"/>
                <w:szCs w:val="16"/>
              </w:rPr>
            </w:pPr>
            <w:r w:rsidRPr="003B5469">
              <w:rPr>
                <w:rFonts w:ascii="Arial" w:hAnsi="Arial" w:cs="Arial"/>
                <w:i/>
                <w:color w:val="000000"/>
                <w:sz w:val="16"/>
                <w:szCs w:val="16"/>
              </w:rPr>
              <w:t>Total excise</w:t>
            </w:r>
          </w:p>
        </w:tc>
        <w:tc>
          <w:tcPr>
            <w:tcW w:w="915" w:type="pct"/>
            <w:tcBorders>
              <w:top w:val="nil"/>
              <w:left w:val="nil"/>
              <w:bottom w:val="nil"/>
              <w:right w:val="nil"/>
            </w:tcBorders>
            <w:shd w:val="clear" w:color="000000" w:fill="FFFFFF"/>
            <w:noWrap/>
            <w:vAlign w:val="center"/>
            <w:hideMark/>
          </w:tcPr>
          <w:p w14:paraId="1C2EAC84" w14:textId="77777777" w:rsidR="00480297" w:rsidRPr="003B5469" w:rsidRDefault="00480297" w:rsidP="00480297">
            <w:pPr>
              <w:spacing w:after="0" w:line="240" w:lineRule="auto"/>
              <w:jc w:val="right"/>
              <w:rPr>
                <w:rFonts w:ascii="Arial" w:hAnsi="Arial" w:cs="Arial"/>
                <w:i/>
                <w:color w:val="000000"/>
                <w:sz w:val="16"/>
                <w:szCs w:val="16"/>
              </w:rPr>
            </w:pPr>
            <w:r w:rsidRPr="003B5469">
              <w:rPr>
                <w:rFonts w:ascii="Arial" w:hAnsi="Arial" w:cs="Arial"/>
                <w:i/>
                <w:color w:val="000000"/>
                <w:sz w:val="16"/>
                <w:szCs w:val="16"/>
              </w:rPr>
              <w:t>23,980</w:t>
            </w:r>
          </w:p>
        </w:tc>
        <w:tc>
          <w:tcPr>
            <w:tcW w:w="886" w:type="pct"/>
            <w:tcBorders>
              <w:top w:val="nil"/>
              <w:left w:val="nil"/>
              <w:bottom w:val="nil"/>
              <w:right w:val="nil"/>
            </w:tcBorders>
            <w:shd w:val="clear" w:color="000000" w:fill="EBFFFF"/>
            <w:noWrap/>
            <w:vAlign w:val="center"/>
            <w:hideMark/>
          </w:tcPr>
          <w:p w14:paraId="459D0A76" w14:textId="77777777" w:rsidR="00480297" w:rsidRPr="003B5469" w:rsidRDefault="00480297" w:rsidP="00480297">
            <w:pPr>
              <w:spacing w:after="0" w:line="240" w:lineRule="auto"/>
              <w:jc w:val="right"/>
              <w:rPr>
                <w:rFonts w:ascii="Arial" w:hAnsi="Arial" w:cs="Arial"/>
                <w:i/>
                <w:color w:val="000000"/>
                <w:sz w:val="16"/>
                <w:szCs w:val="16"/>
              </w:rPr>
            </w:pPr>
            <w:r w:rsidRPr="003B5469">
              <w:rPr>
                <w:rFonts w:ascii="Arial" w:hAnsi="Arial" w:cs="Arial"/>
                <w:i/>
                <w:color w:val="000000"/>
                <w:sz w:val="16"/>
                <w:szCs w:val="16"/>
              </w:rPr>
              <w:t>24,462</w:t>
            </w:r>
          </w:p>
        </w:tc>
        <w:tc>
          <w:tcPr>
            <w:tcW w:w="77" w:type="pct"/>
            <w:tcBorders>
              <w:top w:val="nil"/>
              <w:left w:val="nil"/>
              <w:bottom w:val="nil"/>
              <w:right w:val="nil"/>
            </w:tcBorders>
            <w:shd w:val="clear" w:color="000000" w:fill="FFFFFF"/>
            <w:noWrap/>
            <w:vAlign w:val="center"/>
            <w:hideMark/>
          </w:tcPr>
          <w:p w14:paraId="34A727C9" w14:textId="77777777" w:rsidR="00480297" w:rsidRPr="003B5469" w:rsidRDefault="00480297" w:rsidP="00480297">
            <w:pPr>
              <w:spacing w:after="0" w:line="240" w:lineRule="auto"/>
              <w:jc w:val="right"/>
              <w:rPr>
                <w:rFonts w:ascii="Arial" w:hAnsi="Arial" w:cs="Arial"/>
                <w:i/>
                <w:color w:val="000000"/>
                <w:sz w:val="16"/>
                <w:szCs w:val="16"/>
              </w:rPr>
            </w:pPr>
            <w:r w:rsidRPr="003B5469">
              <w:rPr>
                <w:rFonts w:ascii="Arial" w:hAnsi="Arial" w:cs="Arial"/>
                <w:i/>
                <w:color w:val="000000"/>
                <w:sz w:val="16"/>
                <w:szCs w:val="16"/>
              </w:rPr>
              <w:t> </w:t>
            </w:r>
          </w:p>
        </w:tc>
        <w:tc>
          <w:tcPr>
            <w:tcW w:w="844" w:type="pct"/>
            <w:tcBorders>
              <w:top w:val="nil"/>
              <w:left w:val="nil"/>
              <w:bottom w:val="nil"/>
              <w:right w:val="nil"/>
            </w:tcBorders>
            <w:shd w:val="clear" w:color="000000" w:fill="FFFFFF"/>
            <w:noWrap/>
            <w:vAlign w:val="center"/>
            <w:hideMark/>
          </w:tcPr>
          <w:p w14:paraId="0BAE1879" w14:textId="77777777" w:rsidR="00480297" w:rsidRPr="003B5469" w:rsidRDefault="00480297" w:rsidP="00480297">
            <w:pPr>
              <w:spacing w:after="0" w:line="240" w:lineRule="auto"/>
              <w:jc w:val="right"/>
              <w:rPr>
                <w:rFonts w:ascii="Arial" w:hAnsi="Arial" w:cs="Arial"/>
                <w:i/>
                <w:color w:val="000000"/>
                <w:sz w:val="16"/>
                <w:szCs w:val="16"/>
              </w:rPr>
            </w:pPr>
            <w:r w:rsidRPr="003B5469">
              <w:rPr>
                <w:rFonts w:ascii="Arial" w:hAnsi="Arial" w:cs="Arial"/>
                <w:i/>
                <w:color w:val="000000"/>
                <w:sz w:val="16"/>
                <w:szCs w:val="16"/>
              </w:rPr>
              <w:t>482</w:t>
            </w:r>
          </w:p>
        </w:tc>
      </w:tr>
      <w:tr w:rsidR="00480297" w:rsidRPr="00513ED7" w14:paraId="24FB5625" w14:textId="77777777" w:rsidTr="00480297">
        <w:trPr>
          <w:trHeight w:hRule="exact" w:val="230"/>
        </w:trPr>
        <w:tc>
          <w:tcPr>
            <w:tcW w:w="2278" w:type="pct"/>
            <w:tcBorders>
              <w:top w:val="nil"/>
              <w:left w:val="nil"/>
              <w:bottom w:val="single" w:sz="4" w:space="0" w:color="000000"/>
              <w:right w:val="nil"/>
            </w:tcBorders>
            <w:shd w:val="clear" w:color="000000" w:fill="FFFFFF"/>
            <w:noWrap/>
            <w:vAlign w:val="bottom"/>
            <w:hideMark/>
          </w:tcPr>
          <w:p w14:paraId="255D413B" w14:textId="77777777" w:rsidR="00480297" w:rsidRPr="003B5469" w:rsidRDefault="00480297" w:rsidP="00480297">
            <w:pPr>
              <w:spacing w:after="0" w:line="240" w:lineRule="auto"/>
              <w:ind w:left="170"/>
              <w:jc w:val="left"/>
              <w:rPr>
                <w:rFonts w:ascii="Arial" w:hAnsi="Arial" w:cs="Arial"/>
                <w:i/>
                <w:color w:val="000000"/>
                <w:sz w:val="16"/>
                <w:szCs w:val="16"/>
              </w:rPr>
            </w:pPr>
            <w:r w:rsidRPr="003B5469">
              <w:rPr>
                <w:rFonts w:ascii="Arial" w:hAnsi="Arial" w:cs="Arial"/>
                <w:i/>
                <w:color w:val="000000"/>
                <w:sz w:val="16"/>
                <w:szCs w:val="16"/>
              </w:rPr>
              <w:t>Total customs duty</w:t>
            </w:r>
          </w:p>
        </w:tc>
        <w:tc>
          <w:tcPr>
            <w:tcW w:w="915" w:type="pct"/>
            <w:tcBorders>
              <w:top w:val="nil"/>
              <w:left w:val="nil"/>
              <w:bottom w:val="single" w:sz="4" w:space="0" w:color="000000"/>
              <w:right w:val="nil"/>
            </w:tcBorders>
            <w:shd w:val="clear" w:color="000000" w:fill="FFFFFF"/>
            <w:noWrap/>
            <w:vAlign w:val="center"/>
            <w:hideMark/>
          </w:tcPr>
          <w:p w14:paraId="059C3015" w14:textId="77777777" w:rsidR="00480297" w:rsidRPr="003B5469" w:rsidRDefault="00480297" w:rsidP="00480297">
            <w:pPr>
              <w:spacing w:after="0" w:line="240" w:lineRule="auto"/>
              <w:jc w:val="right"/>
              <w:rPr>
                <w:rFonts w:ascii="Arial" w:hAnsi="Arial" w:cs="Arial"/>
                <w:i/>
                <w:color w:val="000000"/>
                <w:sz w:val="16"/>
                <w:szCs w:val="16"/>
              </w:rPr>
            </w:pPr>
            <w:r w:rsidRPr="003B5469">
              <w:rPr>
                <w:rFonts w:ascii="Arial" w:hAnsi="Arial" w:cs="Arial"/>
                <w:i/>
                <w:color w:val="000000"/>
                <w:sz w:val="16"/>
                <w:szCs w:val="16"/>
              </w:rPr>
              <w:t>18,810</w:t>
            </w:r>
          </w:p>
        </w:tc>
        <w:tc>
          <w:tcPr>
            <w:tcW w:w="886" w:type="pct"/>
            <w:tcBorders>
              <w:top w:val="nil"/>
              <w:left w:val="nil"/>
              <w:bottom w:val="single" w:sz="4" w:space="0" w:color="000000"/>
              <w:right w:val="nil"/>
            </w:tcBorders>
            <w:shd w:val="clear" w:color="000000" w:fill="EBFFFF"/>
            <w:noWrap/>
            <w:vAlign w:val="center"/>
            <w:hideMark/>
          </w:tcPr>
          <w:p w14:paraId="53ED3938" w14:textId="77777777" w:rsidR="00480297" w:rsidRPr="003B5469" w:rsidRDefault="00480297" w:rsidP="00480297">
            <w:pPr>
              <w:spacing w:after="0" w:line="240" w:lineRule="auto"/>
              <w:jc w:val="right"/>
              <w:rPr>
                <w:rFonts w:ascii="Arial" w:hAnsi="Arial" w:cs="Arial"/>
                <w:i/>
                <w:color w:val="000000"/>
                <w:sz w:val="16"/>
                <w:szCs w:val="16"/>
              </w:rPr>
            </w:pPr>
            <w:r w:rsidRPr="003B5469">
              <w:rPr>
                <w:rFonts w:ascii="Arial" w:hAnsi="Arial" w:cs="Arial"/>
                <w:i/>
                <w:color w:val="000000"/>
                <w:sz w:val="16"/>
                <w:szCs w:val="16"/>
              </w:rPr>
              <w:t>18,120</w:t>
            </w:r>
          </w:p>
        </w:tc>
        <w:tc>
          <w:tcPr>
            <w:tcW w:w="77" w:type="pct"/>
            <w:tcBorders>
              <w:top w:val="nil"/>
              <w:left w:val="nil"/>
              <w:bottom w:val="single" w:sz="4" w:space="0" w:color="000000"/>
              <w:right w:val="nil"/>
            </w:tcBorders>
            <w:shd w:val="clear" w:color="000000" w:fill="FFFFFF"/>
            <w:noWrap/>
            <w:vAlign w:val="center"/>
            <w:hideMark/>
          </w:tcPr>
          <w:p w14:paraId="4EB8FDE6" w14:textId="77777777" w:rsidR="00480297" w:rsidRPr="003B5469" w:rsidRDefault="00480297" w:rsidP="00480297">
            <w:pPr>
              <w:spacing w:after="0" w:line="240" w:lineRule="auto"/>
              <w:jc w:val="right"/>
              <w:rPr>
                <w:rFonts w:ascii="Arial" w:hAnsi="Arial" w:cs="Arial"/>
                <w:i/>
                <w:color w:val="000000"/>
                <w:sz w:val="16"/>
                <w:szCs w:val="16"/>
              </w:rPr>
            </w:pPr>
            <w:r w:rsidRPr="003B5469">
              <w:rPr>
                <w:rFonts w:ascii="Arial" w:hAnsi="Arial" w:cs="Arial"/>
                <w:i/>
                <w:color w:val="000000"/>
                <w:sz w:val="16"/>
                <w:szCs w:val="16"/>
              </w:rPr>
              <w:t> </w:t>
            </w:r>
          </w:p>
        </w:tc>
        <w:tc>
          <w:tcPr>
            <w:tcW w:w="844" w:type="pct"/>
            <w:tcBorders>
              <w:top w:val="nil"/>
              <w:left w:val="nil"/>
              <w:bottom w:val="single" w:sz="4" w:space="0" w:color="000000"/>
              <w:right w:val="nil"/>
            </w:tcBorders>
            <w:shd w:val="clear" w:color="000000" w:fill="FFFFFF"/>
            <w:noWrap/>
            <w:vAlign w:val="center"/>
            <w:hideMark/>
          </w:tcPr>
          <w:p w14:paraId="29F13141" w14:textId="1DC2BCD0" w:rsidR="00480297" w:rsidRPr="003B5469" w:rsidRDefault="00A36B1E" w:rsidP="00480297">
            <w:pPr>
              <w:spacing w:after="0" w:line="240" w:lineRule="auto"/>
              <w:jc w:val="right"/>
              <w:rPr>
                <w:rFonts w:ascii="Arial" w:hAnsi="Arial" w:cs="Arial"/>
                <w:i/>
                <w:color w:val="000000"/>
                <w:sz w:val="16"/>
                <w:szCs w:val="16"/>
              </w:rPr>
            </w:pPr>
            <w:r w:rsidRPr="003B5469">
              <w:rPr>
                <w:rFonts w:ascii="Arial" w:hAnsi="Arial" w:cs="Arial"/>
                <w:i/>
                <w:color w:val="000000"/>
                <w:sz w:val="16"/>
                <w:szCs w:val="16"/>
              </w:rPr>
              <w:noBreakHyphen/>
            </w:r>
            <w:r w:rsidR="00480297" w:rsidRPr="003B5469">
              <w:rPr>
                <w:rFonts w:ascii="Arial" w:hAnsi="Arial" w:cs="Arial"/>
                <w:i/>
                <w:color w:val="000000"/>
                <w:sz w:val="16"/>
                <w:szCs w:val="16"/>
              </w:rPr>
              <w:t>690</w:t>
            </w:r>
          </w:p>
        </w:tc>
      </w:tr>
    </w:tbl>
    <w:p w14:paraId="7F624E32" w14:textId="43393BDE" w:rsidR="0007384B" w:rsidRPr="003B5469" w:rsidRDefault="0007384B" w:rsidP="007123DD">
      <w:pPr>
        <w:pStyle w:val="ChartandTableFootnoteAlpha"/>
        <w:numPr>
          <w:ilvl w:val="0"/>
          <w:numId w:val="15"/>
        </w:numPr>
        <w:tabs>
          <w:tab w:val="clear" w:pos="852"/>
          <w:tab w:val="num" w:pos="0"/>
        </w:tabs>
        <w:ind w:left="284"/>
      </w:pPr>
      <w:r w:rsidRPr="003B5469" w:rsidDel="00C13399">
        <w:t xml:space="preserve">Other alcoholic </w:t>
      </w:r>
      <w:proofErr w:type="gramStart"/>
      <w:r w:rsidRPr="003B5469" w:rsidDel="00C13399">
        <w:t>beverages</w:t>
      </w:r>
      <w:r w:rsidR="00A36B1E" w:rsidRPr="003B5469">
        <w:t>’</w:t>
      </w:r>
      <w:proofErr w:type="gramEnd"/>
      <w:r w:rsidRPr="003B5469" w:rsidDel="00C13399">
        <w:t xml:space="preserve"> are those not exceeding 10 per cent by volume of alcohol (excluding beer, brandy and wine).</w:t>
      </w:r>
    </w:p>
    <w:p w14:paraId="795ED9E8" w14:textId="69EA1BA6" w:rsidR="0007384B" w:rsidRPr="003B5469" w:rsidRDefault="00A36B1E" w:rsidP="007123DD">
      <w:pPr>
        <w:pStyle w:val="ChartandTableFootnoteAlpha"/>
        <w:tabs>
          <w:tab w:val="clear" w:pos="852"/>
          <w:tab w:val="num" w:pos="0"/>
        </w:tabs>
        <w:ind w:left="284" w:hanging="285"/>
      </w:pPr>
      <w:r w:rsidRPr="003B5469">
        <w:t>‘</w:t>
      </w:r>
      <w:r w:rsidR="0007384B" w:rsidRPr="003B5469">
        <w:t>Dividends</w:t>
      </w:r>
      <w:r w:rsidRPr="003B5469">
        <w:t>’</w:t>
      </w:r>
      <w:r w:rsidR="0007384B" w:rsidRPr="003B5469">
        <w:t xml:space="preserve"> has been renamed </w:t>
      </w:r>
      <w:r w:rsidRPr="003B5469">
        <w:t>‘</w:t>
      </w:r>
      <w:r w:rsidR="0007384B" w:rsidRPr="003B5469">
        <w:t>dividends and distributions</w:t>
      </w:r>
      <w:r w:rsidRPr="003B5469">
        <w:t>’</w:t>
      </w:r>
      <w:r w:rsidR="0007384B" w:rsidRPr="003B5469">
        <w:t xml:space="preserve"> to more accurately reflect the transactions included in this item. </w:t>
      </w:r>
    </w:p>
    <w:p w14:paraId="575B9071" w14:textId="03BE7C2D" w:rsidR="00C13399" w:rsidRPr="00513ED7" w:rsidRDefault="00C13399" w:rsidP="000A6000">
      <w:pPr>
        <w:pStyle w:val="SingleParagraph"/>
      </w:pPr>
    </w:p>
    <w:p w14:paraId="6AB83EE1" w14:textId="46C1614C" w:rsidR="00C204D0" w:rsidRPr="0077192E" w:rsidRDefault="00C204D0" w:rsidP="0059341C">
      <w:pPr>
        <w:pStyle w:val="Heading3"/>
      </w:pPr>
      <w:r w:rsidRPr="0077192E">
        <w:t>Payments</w:t>
      </w:r>
    </w:p>
    <w:p w14:paraId="32C91FE0" w14:textId="03071FA8" w:rsidR="00E24D58" w:rsidRPr="0077192E" w:rsidRDefault="00E24D58" w:rsidP="00E24D58">
      <w:r w:rsidRPr="0077192E">
        <w:t>Total payments in 2020</w:t>
      </w:r>
      <w:r w:rsidR="00A36B1E" w:rsidRPr="0077192E">
        <w:noBreakHyphen/>
      </w:r>
      <w:r w:rsidRPr="0077192E">
        <w:t>21 were $654.1 billion, $6.7 billion lower</w:t>
      </w:r>
      <w:r w:rsidR="00905435" w:rsidRPr="0077192E">
        <w:t xml:space="preserve"> </w:t>
      </w:r>
      <w:r w:rsidRPr="0077192E">
        <w:t>than</w:t>
      </w:r>
      <w:r w:rsidR="00905435" w:rsidRPr="0077192E">
        <w:t xml:space="preserve"> </w:t>
      </w:r>
      <w:r w:rsidRPr="0077192E">
        <w:t>estimated at the time of the 2021</w:t>
      </w:r>
      <w:r w:rsidR="00A36B1E" w:rsidRPr="0077192E">
        <w:noBreakHyphen/>
      </w:r>
      <w:r w:rsidRPr="0077192E">
        <w:t>22 Budget. Key changes since the 2021</w:t>
      </w:r>
      <w:r w:rsidR="00A36B1E" w:rsidRPr="0077192E">
        <w:noBreakHyphen/>
      </w:r>
      <w:r w:rsidRPr="0077192E">
        <w:t>22 Budget include:</w:t>
      </w:r>
    </w:p>
    <w:p w14:paraId="68D89184" w14:textId="52556151" w:rsidR="00FA3050" w:rsidRPr="0077192E" w:rsidRDefault="69D8077F" w:rsidP="00494DDF">
      <w:pPr>
        <w:pStyle w:val="Bullet"/>
      </w:pPr>
      <w:r w:rsidRPr="0077192E">
        <w:t>Lower</w:t>
      </w:r>
      <w:r w:rsidR="00A36B1E" w:rsidRPr="0077192E">
        <w:noBreakHyphen/>
      </w:r>
      <w:r w:rsidRPr="0077192E">
        <w:t>than</w:t>
      </w:r>
      <w:r w:rsidR="00A36B1E" w:rsidRPr="0077192E">
        <w:noBreakHyphen/>
      </w:r>
      <w:r w:rsidRPr="0077192E">
        <w:t xml:space="preserve">estimated payments under the </w:t>
      </w:r>
      <w:proofErr w:type="spellStart"/>
      <w:r w:rsidR="03F9FEB3" w:rsidRPr="0077192E">
        <w:t>JobSeeker</w:t>
      </w:r>
      <w:proofErr w:type="spellEnd"/>
      <w:r w:rsidRPr="0077192E">
        <w:t xml:space="preserve"> Income Support program, largely reflecting reduced demand for unemployment benefits due to improved labour market conditions ($1.2 billion)</w:t>
      </w:r>
      <w:r w:rsidR="00A36B1E" w:rsidRPr="0077192E">
        <w:t xml:space="preserve">. </w:t>
      </w:r>
    </w:p>
    <w:p w14:paraId="5753572F" w14:textId="01A3835E" w:rsidR="000274AE" w:rsidRPr="0077192E" w:rsidRDefault="000274AE" w:rsidP="00494DDF">
      <w:pPr>
        <w:pStyle w:val="Bullet"/>
      </w:pPr>
      <w:r w:rsidRPr="0077192E">
        <w:t>Lower</w:t>
      </w:r>
      <w:r w:rsidR="00A36B1E" w:rsidRPr="0077192E">
        <w:noBreakHyphen/>
      </w:r>
      <w:r w:rsidRPr="0077192E">
        <w:t>than</w:t>
      </w:r>
      <w:r w:rsidR="00A36B1E" w:rsidRPr="0077192E">
        <w:noBreakHyphen/>
      </w:r>
      <w:r w:rsidRPr="0077192E">
        <w:t>estimated payments under the Medical Benefits program, largely reflecting lower</w:t>
      </w:r>
      <w:r w:rsidR="00A36B1E" w:rsidRPr="0077192E">
        <w:noBreakHyphen/>
      </w:r>
      <w:r w:rsidRPr="0077192E">
        <w:t>than</w:t>
      </w:r>
      <w:r w:rsidR="00A36B1E" w:rsidRPr="0077192E">
        <w:noBreakHyphen/>
      </w:r>
      <w:r w:rsidRPr="0077192E">
        <w:t xml:space="preserve">anticipated payments for professional attendances </w:t>
      </w:r>
      <w:r w:rsidR="00E24D58" w:rsidRPr="0077192E">
        <w:t>due to lower</w:t>
      </w:r>
      <w:r w:rsidR="00A36B1E" w:rsidRPr="0077192E">
        <w:noBreakHyphen/>
      </w:r>
      <w:r w:rsidRPr="0077192E">
        <w:t>than</w:t>
      </w:r>
      <w:r w:rsidR="00A36B1E" w:rsidRPr="0077192E">
        <w:noBreakHyphen/>
      </w:r>
      <w:r w:rsidRPr="0077192E">
        <w:t>anticipated payments</w:t>
      </w:r>
      <w:r w:rsidR="00E24D58" w:rsidRPr="0077192E">
        <w:t xml:space="preserve"> </w:t>
      </w:r>
      <w:r w:rsidRPr="0077192E">
        <w:t>for</w:t>
      </w:r>
      <w:r w:rsidR="00E24D58" w:rsidRPr="0077192E">
        <w:t xml:space="preserve"> after</w:t>
      </w:r>
      <w:r w:rsidR="00A36B1E" w:rsidRPr="0077192E">
        <w:noBreakHyphen/>
      </w:r>
      <w:r w:rsidR="00E24D58" w:rsidRPr="0077192E">
        <w:t>hours services, partially offset by higher</w:t>
      </w:r>
      <w:r w:rsidR="00A36B1E" w:rsidRPr="0077192E">
        <w:noBreakHyphen/>
      </w:r>
      <w:r w:rsidR="00E24D58" w:rsidRPr="0077192E">
        <w:t>t</w:t>
      </w:r>
      <w:r w:rsidRPr="0077192E">
        <w:t>han</w:t>
      </w:r>
      <w:r w:rsidR="00A36B1E" w:rsidRPr="0077192E">
        <w:noBreakHyphen/>
      </w:r>
      <w:r w:rsidRPr="0077192E">
        <w:t>anticipated payments for</w:t>
      </w:r>
      <w:r w:rsidR="00E24D58" w:rsidRPr="0077192E">
        <w:t xml:space="preserve"> GP attendance in business hours and telehealth services, </w:t>
      </w:r>
      <w:r w:rsidRPr="0077192E">
        <w:t>and lower</w:t>
      </w:r>
      <w:r w:rsidR="00A36B1E" w:rsidRPr="0077192E">
        <w:noBreakHyphen/>
      </w:r>
      <w:r w:rsidRPr="0077192E">
        <w:t>than</w:t>
      </w:r>
      <w:r w:rsidR="00A36B1E" w:rsidRPr="0077192E">
        <w:noBreakHyphen/>
      </w:r>
      <w:r w:rsidRPr="0077192E">
        <w:t>anticipated payments for pathology services</w:t>
      </w:r>
      <w:r w:rsidR="00E24D58" w:rsidRPr="0077192E">
        <w:t xml:space="preserve"> due to ongoing COVID</w:t>
      </w:r>
      <w:r w:rsidR="00A36B1E" w:rsidRPr="0077192E">
        <w:noBreakHyphen/>
      </w:r>
      <w:r w:rsidR="00E24D58" w:rsidRPr="0077192E">
        <w:t>19 social distancing and disease control measures reducing the spread of other communicable diseases ($0.9 billion).</w:t>
      </w:r>
    </w:p>
    <w:p w14:paraId="334484EF" w14:textId="751C5CD1" w:rsidR="003B2036" w:rsidRPr="0077192E" w:rsidRDefault="00E24D58" w:rsidP="00E24D58">
      <w:pPr>
        <w:pStyle w:val="Bullet"/>
      </w:pPr>
      <w:r w:rsidRPr="0077192E">
        <w:t>Lower</w:t>
      </w:r>
      <w:r w:rsidR="00A36B1E" w:rsidRPr="0077192E">
        <w:noBreakHyphen/>
      </w:r>
      <w:r w:rsidRPr="0077192E">
        <w:t>than</w:t>
      </w:r>
      <w:r w:rsidR="00A36B1E" w:rsidRPr="0077192E">
        <w:noBreakHyphen/>
      </w:r>
      <w:r w:rsidRPr="0077192E">
        <w:t>estimated payments under the Aged Care Services program, largely reflecting lower</w:t>
      </w:r>
      <w:r w:rsidR="00A36B1E" w:rsidRPr="0077192E">
        <w:noBreakHyphen/>
      </w:r>
      <w:r w:rsidRPr="0077192E">
        <w:t>than</w:t>
      </w:r>
      <w:r w:rsidR="00A36B1E" w:rsidRPr="0077192E">
        <w:noBreakHyphen/>
      </w:r>
      <w:r w:rsidRPr="0077192E">
        <w:t>expected occupancy rates for residential aged care facilities ($0.7 billion).</w:t>
      </w:r>
    </w:p>
    <w:p w14:paraId="4E36129A" w14:textId="77777777" w:rsidR="003B2036" w:rsidRPr="0077192E" w:rsidRDefault="003B2036">
      <w:pPr>
        <w:spacing w:after="160" w:line="259" w:lineRule="auto"/>
        <w:jc w:val="left"/>
      </w:pPr>
      <w:r w:rsidRPr="0077192E">
        <w:br w:type="page"/>
      </w:r>
    </w:p>
    <w:p w14:paraId="66AC9D03" w14:textId="0B31E9D1" w:rsidR="00E24D58" w:rsidRPr="0077192E" w:rsidRDefault="00E24D58" w:rsidP="00E24D58">
      <w:pPr>
        <w:pStyle w:val="Bullet"/>
      </w:pPr>
      <w:r w:rsidRPr="0077192E">
        <w:lastRenderedPageBreak/>
        <w:t>Lower</w:t>
      </w:r>
      <w:r w:rsidR="00A36B1E" w:rsidRPr="0077192E">
        <w:noBreakHyphen/>
      </w:r>
      <w:r w:rsidRPr="0077192E">
        <w:t>than</w:t>
      </w:r>
      <w:r w:rsidR="00A36B1E" w:rsidRPr="0077192E">
        <w:noBreakHyphen/>
      </w:r>
      <w:r w:rsidRPr="0077192E">
        <w:t xml:space="preserve">estimated payments from the </w:t>
      </w:r>
      <w:proofErr w:type="spellStart"/>
      <w:r w:rsidRPr="0077192E">
        <w:t>DisabilityCare</w:t>
      </w:r>
      <w:proofErr w:type="spellEnd"/>
      <w:r w:rsidRPr="0077192E">
        <w:t xml:space="preserve"> Australia Fund, as agreement has yet to be finalised between the Commonwealth and Western</w:t>
      </w:r>
      <w:r w:rsidR="003B2036" w:rsidRPr="0077192E">
        <w:t> </w:t>
      </w:r>
      <w:r w:rsidRPr="0077192E">
        <w:t>Australia, with those funds to be made available in subsequent years ($0.6</w:t>
      </w:r>
      <w:r w:rsidR="003B2036" w:rsidRPr="0077192E">
        <w:t> </w:t>
      </w:r>
      <w:r w:rsidRPr="0077192E">
        <w:t>billion).</w:t>
      </w:r>
    </w:p>
    <w:p w14:paraId="07107447" w14:textId="5CAC9F43" w:rsidR="00E24D58" w:rsidRPr="0077192E" w:rsidRDefault="00E24D58" w:rsidP="00E24D58">
      <w:pPr>
        <w:pStyle w:val="Bullet"/>
      </w:pPr>
      <w:r w:rsidRPr="0077192E">
        <w:t>Lower</w:t>
      </w:r>
      <w:r w:rsidR="00A36B1E" w:rsidRPr="0077192E">
        <w:noBreakHyphen/>
      </w:r>
      <w:r w:rsidRPr="0077192E">
        <w:t>than</w:t>
      </w:r>
      <w:r w:rsidR="00A36B1E" w:rsidRPr="0077192E">
        <w:noBreakHyphen/>
      </w:r>
      <w:r w:rsidRPr="0077192E">
        <w:t>estimated payments under the Air Transport program, largely reflecting the near normal return of the domestic aviation sector prior to May 2021 reducing payments under the Domestic Aviation Network Support program and reduced payments under the Tourism Aviation Network Support program as a result of the May 2021 lockdowns ($0.6 billion).</w:t>
      </w:r>
    </w:p>
    <w:p w14:paraId="1D4988C2" w14:textId="051F7B08" w:rsidR="000274AE" w:rsidRPr="0077192E" w:rsidRDefault="000274AE" w:rsidP="00494DDF">
      <w:pPr>
        <w:pStyle w:val="Bullet"/>
      </w:pPr>
      <w:r w:rsidRPr="0077192E">
        <w:t>Lower</w:t>
      </w:r>
      <w:r w:rsidR="00A36B1E" w:rsidRPr="0077192E">
        <w:noBreakHyphen/>
      </w:r>
      <w:r w:rsidRPr="0077192E">
        <w:t>than</w:t>
      </w:r>
      <w:r w:rsidR="00A36B1E" w:rsidRPr="0077192E">
        <w:noBreakHyphen/>
      </w:r>
      <w:r w:rsidRPr="0077192E">
        <w:t>estimated payments under the Employment Services program, largely reflecting the lower</w:t>
      </w:r>
      <w:r w:rsidR="00A36B1E" w:rsidRPr="0077192E">
        <w:noBreakHyphen/>
      </w:r>
      <w:r w:rsidRPr="0077192E">
        <w:t>than</w:t>
      </w:r>
      <w:r w:rsidR="00A36B1E" w:rsidRPr="0077192E">
        <w:noBreakHyphen/>
      </w:r>
      <w:r w:rsidRPr="0077192E">
        <w:t>expected take</w:t>
      </w:r>
      <w:r w:rsidR="00A36B1E" w:rsidRPr="0077192E">
        <w:noBreakHyphen/>
      </w:r>
      <w:r w:rsidRPr="0077192E">
        <w:t xml:space="preserve">up of wage subsidies and other payments due to improved labour market conditions ($0.5 billion). </w:t>
      </w:r>
    </w:p>
    <w:p w14:paraId="29104076" w14:textId="09878E9F" w:rsidR="00E24D58" w:rsidRPr="003B5469" w:rsidRDefault="00E24D58" w:rsidP="00E24D58">
      <w:r w:rsidRPr="0077192E">
        <w:t>The outcome also reflects an increase in payments for the Public Sector Superannuation programs ($2.0 billion), largely reflecting a change in accounting policy to report the pass</w:t>
      </w:r>
      <w:r w:rsidR="00A36B1E" w:rsidRPr="0077192E">
        <w:noBreakHyphen/>
      </w:r>
      <w:r w:rsidRPr="0077192E">
        <w:t xml:space="preserve">through of defined benefit member superannuation receipts and payments on a gross basis. These amounts were previously reported on a net basis. This change has no net impact on the underlying cash balance </w:t>
      </w:r>
      <w:r w:rsidR="006544C8" w:rsidRPr="0077192E">
        <w:t>as it</w:t>
      </w:r>
      <w:r w:rsidRPr="0077192E">
        <w:t xml:space="preserve"> increases both payments and receipts.</w:t>
      </w:r>
    </w:p>
    <w:p w14:paraId="2B56E25B" w14:textId="4B2ADF32" w:rsidR="00C204D0" w:rsidRPr="003B5469" w:rsidRDefault="00C204D0" w:rsidP="0059341C">
      <w:pPr>
        <w:pStyle w:val="Heading2"/>
      </w:pPr>
      <w:r w:rsidRPr="003B5469">
        <w:t>Net operating balance</w:t>
      </w:r>
    </w:p>
    <w:p w14:paraId="3F369866" w14:textId="7493DDC9" w:rsidR="00C204D0" w:rsidRPr="003B5469" w:rsidRDefault="00C204D0" w:rsidP="00C204D0">
      <w:r w:rsidRPr="003B5469">
        <w:t xml:space="preserve">The </w:t>
      </w:r>
      <w:r w:rsidR="00C90BA5" w:rsidRPr="003B5469">
        <w:t>2020</w:t>
      </w:r>
      <w:r w:rsidR="00A36B1E" w:rsidRPr="003B5469">
        <w:noBreakHyphen/>
      </w:r>
      <w:r w:rsidR="00C90BA5" w:rsidRPr="003B5469">
        <w:t>21</w:t>
      </w:r>
      <w:r w:rsidRPr="003B5469">
        <w:t xml:space="preserve"> net operating deficit was $</w:t>
      </w:r>
      <w:r w:rsidR="001C582D" w:rsidRPr="003B5469">
        <w:t>128.9</w:t>
      </w:r>
      <w:r w:rsidR="00A00D13" w:rsidRPr="003B5469">
        <w:t xml:space="preserve"> </w:t>
      </w:r>
      <w:r w:rsidRPr="003B5469">
        <w:t xml:space="preserve">billion compared with a </w:t>
      </w:r>
      <w:r w:rsidR="00F43B9A" w:rsidRPr="003B5469">
        <w:t>def</w:t>
      </w:r>
      <w:r w:rsidR="007C41C9" w:rsidRPr="003B5469">
        <w:t>icit</w:t>
      </w:r>
      <w:r w:rsidRPr="003B5469">
        <w:t xml:space="preserve"> of $</w:t>
      </w:r>
      <w:r w:rsidR="00750679" w:rsidRPr="003B5469">
        <w:t>154.5</w:t>
      </w:r>
      <w:r w:rsidR="005C1C9C" w:rsidRPr="003B5469">
        <w:t> </w:t>
      </w:r>
      <w:r w:rsidRPr="003B5469">
        <w:t xml:space="preserve">billion estimated at the time of the </w:t>
      </w:r>
      <w:r w:rsidR="00C90BA5" w:rsidRPr="003B5469">
        <w:t>2021</w:t>
      </w:r>
      <w:r w:rsidR="00A36B1E" w:rsidRPr="003B5469">
        <w:noBreakHyphen/>
      </w:r>
      <w:r w:rsidR="00C90BA5" w:rsidRPr="003B5469">
        <w:t>22 Budget</w:t>
      </w:r>
      <w:r w:rsidRPr="003B5469">
        <w:t xml:space="preserve">. The </w:t>
      </w:r>
      <w:r w:rsidR="00C90BA5" w:rsidRPr="003B5469">
        <w:t>2020</w:t>
      </w:r>
      <w:r w:rsidR="00A36B1E" w:rsidRPr="003B5469">
        <w:noBreakHyphen/>
      </w:r>
      <w:r w:rsidR="00C90BA5" w:rsidRPr="003B5469">
        <w:t>21</w:t>
      </w:r>
      <w:r w:rsidRPr="003B5469">
        <w:t xml:space="preserve"> fiscal balance was a deficit of $</w:t>
      </w:r>
      <w:r w:rsidR="0021767C" w:rsidRPr="003B5469">
        <w:t>13</w:t>
      </w:r>
      <w:r w:rsidR="001C582D" w:rsidRPr="003B5469">
        <w:t>6</w:t>
      </w:r>
      <w:r w:rsidR="0021767C" w:rsidRPr="003B5469">
        <w:t>.</w:t>
      </w:r>
      <w:r w:rsidR="001C582D" w:rsidRPr="003B5469">
        <w:t>1</w:t>
      </w:r>
      <w:r w:rsidRPr="003B5469">
        <w:t xml:space="preserve"> billion compared with a </w:t>
      </w:r>
      <w:r w:rsidR="0021767C" w:rsidRPr="003B5469">
        <w:t>deficit</w:t>
      </w:r>
      <w:r w:rsidRPr="003B5469">
        <w:t xml:space="preserve"> of $</w:t>
      </w:r>
      <w:r w:rsidR="005D4C6C" w:rsidRPr="003B5469">
        <w:t>163.2</w:t>
      </w:r>
      <w:r w:rsidRPr="003B5469">
        <w:t xml:space="preserve"> billion estimated at the time of the </w:t>
      </w:r>
      <w:r w:rsidR="00C90BA5" w:rsidRPr="003B5469">
        <w:t>2021</w:t>
      </w:r>
      <w:r w:rsidR="00A36B1E" w:rsidRPr="003B5469">
        <w:noBreakHyphen/>
      </w:r>
      <w:r w:rsidR="00C90BA5" w:rsidRPr="003B5469">
        <w:t>22 Budget</w:t>
      </w:r>
      <w:r w:rsidRPr="003B5469">
        <w:t>.</w:t>
      </w:r>
    </w:p>
    <w:p w14:paraId="2C815307" w14:textId="05E31DB4" w:rsidR="00C204D0" w:rsidRPr="0077192E" w:rsidRDefault="00C204D0" w:rsidP="0059341C">
      <w:pPr>
        <w:pStyle w:val="Heading3"/>
      </w:pPr>
      <w:r w:rsidRPr="0077192E">
        <w:t>Revenue</w:t>
      </w:r>
    </w:p>
    <w:p w14:paraId="79DE35EB" w14:textId="3288AAB9" w:rsidR="00920856" w:rsidRPr="003B5469" w:rsidRDefault="00920856" w:rsidP="002C0A4F">
      <w:r w:rsidRPr="0077192E">
        <w:t>Total revenue was $523.0 billion in 2020</w:t>
      </w:r>
      <w:r w:rsidR="00A36B1E" w:rsidRPr="0077192E">
        <w:noBreakHyphen/>
      </w:r>
      <w:r w:rsidRPr="0077192E">
        <w:t>21, $18.1 billion higher than estimated at the time of the 2021</w:t>
      </w:r>
      <w:r w:rsidR="00A36B1E" w:rsidRPr="0077192E">
        <w:noBreakHyphen/>
      </w:r>
      <w:r w:rsidRPr="0077192E">
        <w:t>22 Budget. In comparison, total cash receipts were $519.9 billion, $20.1 billion higher than estimated at the time of the 2021</w:t>
      </w:r>
      <w:r w:rsidR="00A36B1E" w:rsidRPr="0077192E">
        <w:noBreakHyphen/>
      </w:r>
      <w:r w:rsidRPr="0077192E">
        <w:t>22 Budget.</w:t>
      </w:r>
    </w:p>
    <w:p w14:paraId="23897D60" w14:textId="4DFD1740" w:rsidR="7A0CB0DD" w:rsidRPr="003B5469" w:rsidRDefault="7A0CB0DD" w:rsidP="00DA42B3">
      <w:r w:rsidRPr="003B5469">
        <w:t>Taxation revenue was $480 billion in 2020</w:t>
      </w:r>
      <w:r w:rsidR="00A36B1E" w:rsidRPr="003B5469">
        <w:noBreakHyphen/>
      </w:r>
      <w:r w:rsidRPr="003B5469">
        <w:t>21, $14</w:t>
      </w:r>
      <w:r w:rsidR="002D1F37" w:rsidRPr="003B5469">
        <w:t>.4</w:t>
      </w:r>
      <w:r w:rsidRPr="003B5469">
        <w:t xml:space="preserve"> billion higher than the estimate at the 2021</w:t>
      </w:r>
      <w:r w:rsidR="00A36B1E" w:rsidRPr="003B5469">
        <w:noBreakHyphen/>
      </w:r>
      <w:r w:rsidRPr="003B5469">
        <w:t>22 Budget. The revenue estimates are the accrual accounting equivalent of the cash</w:t>
      </w:r>
      <w:r w:rsidR="00A36B1E" w:rsidRPr="003B5469">
        <w:noBreakHyphen/>
      </w:r>
      <w:r w:rsidRPr="003B5469">
        <w:t xml:space="preserve">based receipts estimates. Changes in taxation revenue are generally driven by the same factors as receipts. </w:t>
      </w:r>
    </w:p>
    <w:p w14:paraId="0D4EE00C" w14:textId="439DA5BF" w:rsidR="7A0CB0DD" w:rsidRPr="003B5469" w:rsidRDefault="7A0CB0DD" w:rsidP="00DA42B3">
      <w:r w:rsidRPr="003B5469">
        <w:t>The differences between the results for taxation receipts and taxation revenue therefore generally reflect timing differences between the recognition of revenue when receipts are owed and receiving the corresponding revenue when receipts are paid.</w:t>
      </w:r>
    </w:p>
    <w:p w14:paraId="4738202C" w14:textId="3B5CF2D1" w:rsidR="00491417" w:rsidRPr="00513ED7" w:rsidRDefault="00807862" w:rsidP="00071FCB">
      <w:r w:rsidRPr="0077192E">
        <w:t>Total non</w:t>
      </w:r>
      <w:r w:rsidR="00A36B1E" w:rsidRPr="0077192E">
        <w:noBreakHyphen/>
      </w:r>
      <w:r w:rsidRPr="0077192E">
        <w:t>tax revenue was $42.</w:t>
      </w:r>
      <w:r w:rsidR="002C0A4F" w:rsidRPr="0077192E">
        <w:t>8</w:t>
      </w:r>
      <w:r w:rsidRPr="0077192E">
        <w:t xml:space="preserve"> billion in 2020</w:t>
      </w:r>
      <w:r w:rsidR="00A36B1E" w:rsidRPr="0077192E">
        <w:noBreakHyphen/>
      </w:r>
      <w:r w:rsidRPr="0077192E">
        <w:t>21, $3.</w:t>
      </w:r>
      <w:r w:rsidR="002C0A4F" w:rsidRPr="0077192E">
        <w:t>7</w:t>
      </w:r>
      <w:r w:rsidRPr="0077192E">
        <w:t xml:space="preserve"> billion higher than estimated at the time of the 2021</w:t>
      </w:r>
      <w:r w:rsidR="00A36B1E" w:rsidRPr="0077192E">
        <w:noBreakHyphen/>
      </w:r>
      <w:r w:rsidRPr="0077192E">
        <w:t>22 Budget. Non</w:t>
      </w:r>
      <w:r w:rsidR="00A36B1E" w:rsidRPr="0077192E">
        <w:noBreakHyphen/>
      </w:r>
      <w:r w:rsidRPr="0077192E">
        <w:t>tax receipts were $46.1 billion in 2020</w:t>
      </w:r>
      <w:r w:rsidR="00A36B1E" w:rsidRPr="0077192E">
        <w:noBreakHyphen/>
      </w:r>
      <w:r w:rsidRPr="0077192E">
        <w:t>21, $5.</w:t>
      </w:r>
      <w:r w:rsidR="002C0A4F" w:rsidRPr="0077192E">
        <w:t>7</w:t>
      </w:r>
      <w:r w:rsidRPr="0077192E">
        <w:t xml:space="preserve"> billion </w:t>
      </w:r>
      <w:r w:rsidRPr="0077192E">
        <w:lastRenderedPageBreak/>
        <w:t>higher than estimated at the time of the 2021</w:t>
      </w:r>
      <w:r w:rsidR="00A36B1E" w:rsidRPr="0077192E">
        <w:noBreakHyphen/>
      </w:r>
      <w:r w:rsidRPr="0077192E">
        <w:t xml:space="preserve">22 Budget. The </w:t>
      </w:r>
      <w:r w:rsidR="002C0A4F" w:rsidRPr="0077192E">
        <w:t>$</w:t>
      </w:r>
      <w:r w:rsidRPr="0077192E">
        <w:t>2.</w:t>
      </w:r>
      <w:r w:rsidR="002C0A4F" w:rsidRPr="0077192E">
        <w:t>0</w:t>
      </w:r>
      <w:r w:rsidRPr="0077192E">
        <w:t xml:space="preserve"> billion difference in the variance for non</w:t>
      </w:r>
      <w:r w:rsidR="00A36B1E" w:rsidRPr="0077192E">
        <w:noBreakHyphen/>
      </w:r>
      <w:r w:rsidRPr="0077192E">
        <w:t xml:space="preserve">tax revenue and </w:t>
      </w:r>
      <w:r w:rsidR="19B4F4B2" w:rsidRPr="0077192E">
        <w:t>non</w:t>
      </w:r>
      <w:r w:rsidR="00A36B1E" w:rsidRPr="0077192E">
        <w:noBreakHyphen/>
      </w:r>
      <w:r w:rsidR="19B4F4B2" w:rsidRPr="0077192E">
        <w:t>tax</w:t>
      </w:r>
      <w:r w:rsidRPr="0077192E">
        <w:t xml:space="preserve"> receipts largely reflects </w:t>
      </w:r>
      <w:r w:rsidR="002C0A4F" w:rsidRPr="0077192E">
        <w:t>a change in accounting policy to report</w:t>
      </w:r>
      <w:r w:rsidRPr="0077192E">
        <w:t xml:space="preserve"> the </w:t>
      </w:r>
      <w:r w:rsidR="002C0A4F" w:rsidRPr="0077192E">
        <w:t>pass</w:t>
      </w:r>
      <w:r w:rsidR="00A36B1E" w:rsidRPr="0077192E">
        <w:noBreakHyphen/>
      </w:r>
      <w:r w:rsidR="002C0A4F" w:rsidRPr="0077192E">
        <w:t>through</w:t>
      </w:r>
      <w:r w:rsidRPr="0077192E">
        <w:t xml:space="preserve"> of </w:t>
      </w:r>
      <w:r w:rsidR="002C0A4F" w:rsidRPr="0077192E">
        <w:t>defined benefit member superannuation receipts</w:t>
      </w:r>
      <w:r w:rsidRPr="0077192E">
        <w:t xml:space="preserve"> and </w:t>
      </w:r>
      <w:r w:rsidR="002C0A4F" w:rsidRPr="0077192E">
        <w:t>payments on a gross basis with no</w:t>
      </w:r>
      <w:r w:rsidRPr="0077192E">
        <w:t xml:space="preserve"> corresponding </w:t>
      </w:r>
      <w:r w:rsidR="002C0A4F" w:rsidRPr="0077192E">
        <w:t>change to non</w:t>
      </w:r>
      <w:r w:rsidR="00A36B1E" w:rsidRPr="0077192E">
        <w:noBreakHyphen/>
      </w:r>
      <w:r w:rsidR="002C0A4F" w:rsidRPr="0077192E">
        <w:t>tax revenue.</w:t>
      </w:r>
      <w:r w:rsidR="00491417" w:rsidRPr="00513ED7">
        <w:br w:type="page"/>
      </w:r>
    </w:p>
    <w:p w14:paraId="467CCACE" w14:textId="297FD9B9" w:rsidR="00DF02D1" w:rsidRPr="003B5469" w:rsidRDefault="00C204D0" w:rsidP="00F16531">
      <w:pPr>
        <w:pStyle w:val="TableHeading"/>
        <w:rPr>
          <w:rFonts w:asciiTheme="minorHAnsi" w:eastAsiaTheme="minorHAnsi" w:hAnsiTheme="minorHAnsi" w:cstheme="minorBidi"/>
          <w:sz w:val="22"/>
          <w:szCs w:val="22"/>
          <w:lang w:eastAsia="en-US"/>
        </w:rPr>
      </w:pPr>
      <w:r w:rsidRPr="003B5469">
        <w:lastRenderedPageBreak/>
        <w:t xml:space="preserve">Table </w:t>
      </w:r>
      <w:r w:rsidR="0001752C" w:rsidRPr="003B5469">
        <w:t>6</w:t>
      </w:r>
      <w:r w:rsidRPr="003B5469">
        <w:t>: Australian Government general government sector (accrual) revenue</w:t>
      </w:r>
    </w:p>
    <w:tbl>
      <w:tblPr>
        <w:tblW w:w="5000" w:type="pct"/>
        <w:tblCellMar>
          <w:left w:w="0" w:type="dxa"/>
          <w:right w:w="28" w:type="dxa"/>
        </w:tblCellMar>
        <w:tblLook w:val="04A0" w:firstRow="1" w:lastRow="0" w:firstColumn="1" w:lastColumn="0" w:noHBand="0" w:noVBand="1"/>
      </w:tblPr>
      <w:tblGrid>
        <w:gridCol w:w="4836"/>
        <w:gridCol w:w="958"/>
        <w:gridCol w:w="958"/>
        <w:gridCol w:w="958"/>
      </w:tblGrid>
      <w:tr w:rsidR="00DF02D1" w:rsidRPr="00513ED7" w14:paraId="66DF4B13" w14:textId="77777777" w:rsidTr="00607B4D">
        <w:trPr>
          <w:trHeight w:hRule="exact" w:val="225"/>
        </w:trPr>
        <w:tc>
          <w:tcPr>
            <w:tcW w:w="3136" w:type="pct"/>
            <w:tcBorders>
              <w:top w:val="single" w:sz="4" w:space="0" w:color="000000"/>
              <w:left w:val="nil"/>
              <w:bottom w:val="nil"/>
              <w:right w:val="nil"/>
            </w:tcBorders>
            <w:shd w:val="clear" w:color="000000" w:fill="FFFFFF"/>
            <w:noWrap/>
            <w:vAlign w:val="center"/>
            <w:hideMark/>
          </w:tcPr>
          <w:p w14:paraId="09899FDA" w14:textId="0382A83C" w:rsidR="00DF02D1" w:rsidRPr="003B5469" w:rsidRDefault="00DF02D1" w:rsidP="00F16531">
            <w:pPr>
              <w:spacing w:after="0" w:line="240" w:lineRule="auto"/>
              <w:jc w:val="left"/>
              <w:rPr>
                <w:rFonts w:ascii="Arial" w:hAnsi="Arial" w:cs="Arial"/>
                <w:color w:val="0000FF"/>
                <w:sz w:val="16"/>
                <w:szCs w:val="16"/>
              </w:rPr>
            </w:pPr>
            <w:r w:rsidRPr="003B5469">
              <w:rPr>
                <w:rFonts w:ascii="Arial" w:hAnsi="Arial" w:cs="Arial"/>
                <w:color w:val="0000FF"/>
                <w:sz w:val="16"/>
                <w:szCs w:val="16"/>
              </w:rPr>
              <w:t> </w:t>
            </w:r>
          </w:p>
        </w:tc>
        <w:tc>
          <w:tcPr>
            <w:tcW w:w="621" w:type="pct"/>
            <w:tcBorders>
              <w:top w:val="single" w:sz="4" w:space="0" w:color="000000"/>
              <w:left w:val="nil"/>
              <w:bottom w:val="nil"/>
              <w:right w:val="nil"/>
            </w:tcBorders>
            <w:shd w:val="clear" w:color="000000" w:fill="FFFFFF"/>
            <w:noWrap/>
            <w:vAlign w:val="center"/>
            <w:hideMark/>
          </w:tcPr>
          <w:p w14:paraId="7FC6245D" w14:textId="69858F1F"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621" w:type="pct"/>
            <w:tcBorders>
              <w:top w:val="single" w:sz="4" w:space="0" w:color="000000"/>
              <w:left w:val="nil"/>
              <w:bottom w:val="nil"/>
              <w:right w:val="nil"/>
            </w:tcBorders>
            <w:shd w:val="clear" w:color="000000" w:fill="EBFFFF"/>
            <w:noWrap/>
            <w:vAlign w:val="center"/>
            <w:hideMark/>
          </w:tcPr>
          <w:p w14:paraId="6F6E107F" w14:textId="2F5FB97D"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621" w:type="pct"/>
            <w:tcBorders>
              <w:top w:val="single" w:sz="4" w:space="0" w:color="000000"/>
              <w:left w:val="nil"/>
              <w:bottom w:val="nil"/>
              <w:right w:val="nil"/>
            </w:tcBorders>
            <w:shd w:val="clear" w:color="000000" w:fill="FFFFFF"/>
            <w:noWrap/>
            <w:vAlign w:val="bottom"/>
            <w:hideMark/>
          </w:tcPr>
          <w:p w14:paraId="6C7BDD22"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Change on</w:t>
            </w:r>
          </w:p>
        </w:tc>
      </w:tr>
      <w:tr w:rsidR="00DF02D1" w:rsidRPr="00513ED7" w14:paraId="311BFCE7" w14:textId="77777777" w:rsidTr="00607B4D">
        <w:trPr>
          <w:trHeight w:hRule="exact" w:val="225"/>
        </w:trPr>
        <w:tc>
          <w:tcPr>
            <w:tcW w:w="3136" w:type="pct"/>
            <w:tcBorders>
              <w:top w:val="nil"/>
              <w:left w:val="nil"/>
              <w:bottom w:val="nil"/>
              <w:right w:val="nil"/>
            </w:tcBorders>
            <w:shd w:val="clear" w:color="000000" w:fill="FFFFFF"/>
            <w:noWrap/>
            <w:vAlign w:val="center"/>
            <w:hideMark/>
          </w:tcPr>
          <w:p w14:paraId="1F4FFD22" w14:textId="77777777" w:rsidR="00DF02D1" w:rsidRPr="003B5469" w:rsidRDefault="00DF02D1" w:rsidP="00F16531">
            <w:pPr>
              <w:spacing w:after="0" w:line="240" w:lineRule="auto"/>
              <w:jc w:val="left"/>
              <w:rPr>
                <w:rFonts w:ascii="Arial" w:hAnsi="Arial" w:cs="Arial"/>
                <w:color w:val="0000FF"/>
                <w:sz w:val="16"/>
                <w:szCs w:val="16"/>
              </w:rPr>
            </w:pPr>
            <w:r w:rsidRPr="003B5469">
              <w:rPr>
                <w:rFonts w:ascii="Arial" w:hAnsi="Arial" w:cs="Arial"/>
                <w:color w:val="0000FF"/>
                <w:sz w:val="16"/>
                <w:szCs w:val="16"/>
              </w:rPr>
              <w:t> </w:t>
            </w:r>
          </w:p>
        </w:tc>
        <w:tc>
          <w:tcPr>
            <w:tcW w:w="621" w:type="pct"/>
            <w:tcBorders>
              <w:top w:val="nil"/>
              <w:left w:val="nil"/>
              <w:bottom w:val="nil"/>
              <w:right w:val="nil"/>
            </w:tcBorders>
            <w:shd w:val="clear" w:color="000000" w:fill="FFFFFF"/>
            <w:noWrap/>
            <w:vAlign w:val="center"/>
            <w:hideMark/>
          </w:tcPr>
          <w:p w14:paraId="5AAEC409"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Estimate at</w:t>
            </w:r>
          </w:p>
        </w:tc>
        <w:tc>
          <w:tcPr>
            <w:tcW w:w="621" w:type="pct"/>
            <w:tcBorders>
              <w:top w:val="nil"/>
              <w:left w:val="nil"/>
              <w:bottom w:val="nil"/>
              <w:right w:val="nil"/>
            </w:tcBorders>
            <w:shd w:val="clear" w:color="000000" w:fill="EBFFFF"/>
            <w:noWrap/>
            <w:vAlign w:val="center"/>
            <w:hideMark/>
          </w:tcPr>
          <w:p w14:paraId="7DA3806E"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Outcome</w:t>
            </w:r>
          </w:p>
        </w:tc>
        <w:tc>
          <w:tcPr>
            <w:tcW w:w="621" w:type="pct"/>
            <w:tcBorders>
              <w:top w:val="nil"/>
              <w:left w:val="nil"/>
              <w:bottom w:val="nil"/>
              <w:right w:val="nil"/>
            </w:tcBorders>
            <w:shd w:val="clear" w:color="000000" w:fill="FFFFFF"/>
            <w:noWrap/>
            <w:vAlign w:val="center"/>
            <w:hideMark/>
          </w:tcPr>
          <w:p w14:paraId="04830323" w14:textId="08684213"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2021</w:t>
            </w:r>
            <w:r w:rsidR="00A36B1E" w:rsidRPr="003B5469">
              <w:rPr>
                <w:rFonts w:ascii="Arial" w:hAnsi="Arial" w:cs="Arial"/>
                <w:sz w:val="16"/>
                <w:szCs w:val="16"/>
              </w:rPr>
              <w:noBreakHyphen/>
            </w:r>
            <w:r w:rsidRPr="003B5469">
              <w:rPr>
                <w:rFonts w:ascii="Arial" w:hAnsi="Arial" w:cs="Arial"/>
                <w:sz w:val="16"/>
                <w:szCs w:val="16"/>
              </w:rPr>
              <w:t>22</w:t>
            </w:r>
          </w:p>
        </w:tc>
      </w:tr>
      <w:tr w:rsidR="00DF02D1" w:rsidRPr="00513ED7" w14:paraId="39DB96CA" w14:textId="77777777" w:rsidTr="00607B4D">
        <w:trPr>
          <w:trHeight w:hRule="exact" w:val="225"/>
        </w:trPr>
        <w:tc>
          <w:tcPr>
            <w:tcW w:w="3136" w:type="pct"/>
            <w:tcBorders>
              <w:top w:val="nil"/>
              <w:left w:val="nil"/>
              <w:bottom w:val="nil"/>
              <w:right w:val="nil"/>
            </w:tcBorders>
            <w:shd w:val="clear" w:color="000000" w:fill="FFFFFF"/>
            <w:noWrap/>
            <w:vAlign w:val="center"/>
            <w:hideMark/>
          </w:tcPr>
          <w:p w14:paraId="19C203AF" w14:textId="77777777" w:rsidR="00DF02D1" w:rsidRPr="003B5469" w:rsidRDefault="00DF02D1" w:rsidP="00F16531">
            <w:pPr>
              <w:spacing w:after="0" w:line="240" w:lineRule="auto"/>
              <w:jc w:val="left"/>
              <w:rPr>
                <w:rFonts w:ascii="Arial" w:hAnsi="Arial" w:cs="Arial"/>
                <w:color w:val="0000FF"/>
                <w:sz w:val="16"/>
                <w:szCs w:val="16"/>
              </w:rPr>
            </w:pPr>
            <w:r w:rsidRPr="003B5469">
              <w:rPr>
                <w:rFonts w:ascii="Arial" w:hAnsi="Arial" w:cs="Arial"/>
                <w:color w:val="0000FF"/>
                <w:sz w:val="16"/>
                <w:szCs w:val="16"/>
              </w:rPr>
              <w:t> </w:t>
            </w:r>
          </w:p>
        </w:tc>
        <w:tc>
          <w:tcPr>
            <w:tcW w:w="621" w:type="pct"/>
            <w:tcBorders>
              <w:top w:val="nil"/>
              <w:left w:val="nil"/>
              <w:bottom w:val="nil"/>
              <w:right w:val="nil"/>
            </w:tcBorders>
            <w:shd w:val="clear" w:color="000000" w:fill="FFFFFF"/>
            <w:noWrap/>
            <w:vAlign w:val="center"/>
            <w:hideMark/>
          </w:tcPr>
          <w:p w14:paraId="43141B47" w14:textId="105E1A8F"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2021</w:t>
            </w:r>
            <w:r w:rsidR="00A36B1E" w:rsidRPr="003B5469">
              <w:rPr>
                <w:rFonts w:ascii="Arial" w:hAnsi="Arial" w:cs="Arial"/>
                <w:sz w:val="16"/>
                <w:szCs w:val="16"/>
              </w:rPr>
              <w:noBreakHyphen/>
            </w:r>
            <w:r w:rsidRPr="003B5469">
              <w:rPr>
                <w:rFonts w:ascii="Arial" w:hAnsi="Arial" w:cs="Arial"/>
                <w:sz w:val="16"/>
                <w:szCs w:val="16"/>
              </w:rPr>
              <w:t>22</w:t>
            </w:r>
          </w:p>
        </w:tc>
        <w:tc>
          <w:tcPr>
            <w:tcW w:w="621" w:type="pct"/>
            <w:tcBorders>
              <w:top w:val="nil"/>
              <w:left w:val="nil"/>
              <w:bottom w:val="nil"/>
              <w:right w:val="nil"/>
            </w:tcBorders>
            <w:shd w:val="clear" w:color="000000" w:fill="EBFFFF"/>
            <w:noWrap/>
            <w:vAlign w:val="center"/>
            <w:hideMark/>
          </w:tcPr>
          <w:p w14:paraId="7567504D"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 </w:t>
            </w:r>
          </w:p>
        </w:tc>
        <w:tc>
          <w:tcPr>
            <w:tcW w:w="621" w:type="pct"/>
            <w:tcBorders>
              <w:top w:val="nil"/>
              <w:left w:val="nil"/>
              <w:bottom w:val="nil"/>
              <w:right w:val="nil"/>
            </w:tcBorders>
            <w:shd w:val="clear" w:color="000000" w:fill="FFFFFF"/>
            <w:noWrap/>
            <w:vAlign w:val="bottom"/>
            <w:hideMark/>
          </w:tcPr>
          <w:p w14:paraId="17808E30"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Budget</w:t>
            </w:r>
          </w:p>
        </w:tc>
      </w:tr>
      <w:tr w:rsidR="00DF02D1" w:rsidRPr="00513ED7" w14:paraId="4575D0D6" w14:textId="77777777" w:rsidTr="00607B4D">
        <w:trPr>
          <w:trHeight w:hRule="exact" w:val="225"/>
        </w:trPr>
        <w:tc>
          <w:tcPr>
            <w:tcW w:w="3136" w:type="pct"/>
            <w:tcBorders>
              <w:top w:val="nil"/>
              <w:left w:val="nil"/>
              <w:bottom w:val="nil"/>
              <w:right w:val="nil"/>
            </w:tcBorders>
            <w:shd w:val="clear" w:color="000000" w:fill="FFFFFF"/>
            <w:noWrap/>
            <w:vAlign w:val="center"/>
            <w:hideMark/>
          </w:tcPr>
          <w:p w14:paraId="38348492" w14:textId="77777777" w:rsidR="00DF02D1" w:rsidRPr="003B5469" w:rsidRDefault="00DF02D1" w:rsidP="00F16531">
            <w:pPr>
              <w:spacing w:after="0" w:line="240" w:lineRule="auto"/>
              <w:jc w:val="left"/>
              <w:rPr>
                <w:rFonts w:ascii="Arial" w:hAnsi="Arial" w:cs="Arial"/>
                <w:color w:val="0000FF"/>
                <w:sz w:val="16"/>
                <w:szCs w:val="16"/>
              </w:rPr>
            </w:pPr>
            <w:r w:rsidRPr="003B5469">
              <w:rPr>
                <w:rFonts w:ascii="Arial" w:hAnsi="Arial" w:cs="Arial"/>
                <w:color w:val="0000FF"/>
                <w:sz w:val="16"/>
                <w:szCs w:val="16"/>
              </w:rPr>
              <w:t> </w:t>
            </w:r>
          </w:p>
        </w:tc>
        <w:tc>
          <w:tcPr>
            <w:tcW w:w="621" w:type="pct"/>
            <w:tcBorders>
              <w:top w:val="nil"/>
              <w:left w:val="nil"/>
              <w:bottom w:val="nil"/>
              <w:right w:val="nil"/>
            </w:tcBorders>
            <w:shd w:val="clear" w:color="000000" w:fill="FFFFFF"/>
            <w:noWrap/>
            <w:vAlign w:val="center"/>
            <w:hideMark/>
          </w:tcPr>
          <w:p w14:paraId="51CEAFED"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Budget</w:t>
            </w:r>
          </w:p>
        </w:tc>
        <w:tc>
          <w:tcPr>
            <w:tcW w:w="621" w:type="pct"/>
            <w:tcBorders>
              <w:top w:val="nil"/>
              <w:left w:val="nil"/>
              <w:bottom w:val="nil"/>
              <w:right w:val="nil"/>
            </w:tcBorders>
            <w:shd w:val="clear" w:color="000000" w:fill="EBFFFF"/>
            <w:noWrap/>
            <w:vAlign w:val="center"/>
            <w:hideMark/>
          </w:tcPr>
          <w:p w14:paraId="013FFD9B"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 </w:t>
            </w:r>
          </w:p>
        </w:tc>
        <w:tc>
          <w:tcPr>
            <w:tcW w:w="621" w:type="pct"/>
            <w:tcBorders>
              <w:top w:val="nil"/>
              <w:left w:val="nil"/>
              <w:bottom w:val="nil"/>
              <w:right w:val="nil"/>
            </w:tcBorders>
            <w:shd w:val="clear" w:color="000000" w:fill="FFFFFF"/>
            <w:noWrap/>
            <w:vAlign w:val="center"/>
            <w:hideMark/>
          </w:tcPr>
          <w:p w14:paraId="0EF0C302" w14:textId="77777777" w:rsidR="00DF02D1" w:rsidRPr="003B5469" w:rsidRDefault="00DF02D1" w:rsidP="00F16531">
            <w:pPr>
              <w:spacing w:after="0" w:line="240" w:lineRule="auto"/>
              <w:jc w:val="center"/>
              <w:rPr>
                <w:rFonts w:ascii="Arial" w:hAnsi="Arial" w:cs="Arial"/>
                <w:sz w:val="16"/>
                <w:szCs w:val="16"/>
              </w:rPr>
            </w:pPr>
            <w:r w:rsidRPr="003B5469">
              <w:rPr>
                <w:rFonts w:ascii="Arial" w:hAnsi="Arial" w:cs="Arial"/>
                <w:sz w:val="16"/>
                <w:szCs w:val="16"/>
              </w:rPr>
              <w:t> </w:t>
            </w:r>
          </w:p>
        </w:tc>
      </w:tr>
      <w:tr w:rsidR="00DF02D1" w:rsidRPr="00513ED7" w14:paraId="5FF97457" w14:textId="77777777" w:rsidTr="00607B4D">
        <w:trPr>
          <w:trHeight w:hRule="exact" w:val="225"/>
        </w:trPr>
        <w:tc>
          <w:tcPr>
            <w:tcW w:w="3136" w:type="pct"/>
            <w:tcBorders>
              <w:top w:val="nil"/>
              <w:left w:val="nil"/>
              <w:bottom w:val="nil"/>
              <w:right w:val="nil"/>
            </w:tcBorders>
            <w:shd w:val="clear" w:color="000000" w:fill="FFFFFF"/>
            <w:vAlign w:val="center"/>
            <w:hideMark/>
          </w:tcPr>
          <w:p w14:paraId="53D96E0E" w14:textId="77777777" w:rsidR="00DF02D1" w:rsidRPr="003B5469" w:rsidRDefault="00DF02D1" w:rsidP="00F16531">
            <w:pPr>
              <w:spacing w:after="0" w:line="240" w:lineRule="auto"/>
              <w:jc w:val="left"/>
              <w:rPr>
                <w:rFonts w:ascii="Arial" w:hAnsi="Arial" w:cs="Arial"/>
                <w:color w:val="0000FF"/>
                <w:sz w:val="16"/>
                <w:szCs w:val="16"/>
              </w:rPr>
            </w:pPr>
            <w:r w:rsidRPr="003B5469">
              <w:rPr>
                <w:rFonts w:ascii="Arial" w:hAnsi="Arial" w:cs="Arial"/>
                <w:color w:val="0000FF"/>
                <w:sz w:val="16"/>
                <w:szCs w:val="16"/>
              </w:rPr>
              <w:t> </w:t>
            </w:r>
          </w:p>
        </w:tc>
        <w:tc>
          <w:tcPr>
            <w:tcW w:w="621" w:type="pct"/>
            <w:tcBorders>
              <w:top w:val="nil"/>
              <w:left w:val="nil"/>
              <w:bottom w:val="single" w:sz="4" w:space="0" w:color="000000"/>
              <w:right w:val="nil"/>
            </w:tcBorders>
            <w:shd w:val="clear" w:color="000000" w:fill="FFFFFF"/>
            <w:vAlign w:val="center"/>
            <w:hideMark/>
          </w:tcPr>
          <w:p w14:paraId="575FFC2E"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$m</w:t>
            </w:r>
          </w:p>
        </w:tc>
        <w:tc>
          <w:tcPr>
            <w:tcW w:w="621" w:type="pct"/>
            <w:tcBorders>
              <w:top w:val="nil"/>
              <w:left w:val="nil"/>
              <w:bottom w:val="single" w:sz="4" w:space="0" w:color="000000"/>
              <w:right w:val="nil"/>
            </w:tcBorders>
            <w:shd w:val="clear" w:color="000000" w:fill="EBFFFF"/>
            <w:vAlign w:val="center"/>
            <w:hideMark/>
          </w:tcPr>
          <w:p w14:paraId="185A5C89"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$m</w:t>
            </w:r>
          </w:p>
        </w:tc>
        <w:tc>
          <w:tcPr>
            <w:tcW w:w="621" w:type="pct"/>
            <w:tcBorders>
              <w:top w:val="nil"/>
              <w:left w:val="nil"/>
              <w:bottom w:val="single" w:sz="4" w:space="0" w:color="000000"/>
              <w:right w:val="nil"/>
            </w:tcBorders>
            <w:shd w:val="clear" w:color="000000" w:fill="FFFFFF"/>
            <w:vAlign w:val="center"/>
            <w:hideMark/>
          </w:tcPr>
          <w:p w14:paraId="5D9CB5DB"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$m</w:t>
            </w:r>
          </w:p>
        </w:tc>
      </w:tr>
      <w:tr w:rsidR="00DF02D1" w:rsidRPr="00513ED7" w14:paraId="5ED25568"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7FF10904" w14:textId="77777777" w:rsidR="00DF02D1" w:rsidRPr="003B5469" w:rsidRDefault="00DF02D1" w:rsidP="00F16531">
            <w:pPr>
              <w:spacing w:after="0" w:line="240" w:lineRule="auto"/>
              <w:jc w:val="left"/>
              <w:rPr>
                <w:rFonts w:ascii="Arial" w:hAnsi="Arial" w:cs="Arial"/>
                <w:color w:val="000000"/>
                <w:sz w:val="16"/>
                <w:szCs w:val="16"/>
              </w:rPr>
            </w:pPr>
            <w:r w:rsidRPr="003B5469">
              <w:rPr>
                <w:rFonts w:ascii="Arial" w:hAnsi="Arial" w:cs="Arial"/>
                <w:color w:val="000000"/>
                <w:sz w:val="16"/>
                <w:szCs w:val="16"/>
              </w:rPr>
              <w:t>Individuals and other withholding taxes</w:t>
            </w:r>
          </w:p>
        </w:tc>
        <w:tc>
          <w:tcPr>
            <w:tcW w:w="621" w:type="pct"/>
            <w:tcBorders>
              <w:top w:val="nil"/>
              <w:left w:val="nil"/>
              <w:bottom w:val="nil"/>
              <w:right w:val="nil"/>
            </w:tcBorders>
            <w:shd w:val="clear" w:color="000000" w:fill="FFFFFF"/>
            <w:noWrap/>
            <w:vAlign w:val="center"/>
            <w:hideMark/>
          </w:tcPr>
          <w:p w14:paraId="5CF3CF5E"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 </w:t>
            </w:r>
          </w:p>
        </w:tc>
        <w:tc>
          <w:tcPr>
            <w:tcW w:w="621" w:type="pct"/>
            <w:tcBorders>
              <w:top w:val="nil"/>
              <w:left w:val="nil"/>
              <w:bottom w:val="nil"/>
              <w:right w:val="nil"/>
            </w:tcBorders>
            <w:shd w:val="clear" w:color="000000" w:fill="EBFFFF"/>
            <w:noWrap/>
            <w:vAlign w:val="center"/>
            <w:hideMark/>
          </w:tcPr>
          <w:p w14:paraId="10673F2A"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21" w:type="pct"/>
            <w:tcBorders>
              <w:top w:val="nil"/>
              <w:left w:val="nil"/>
              <w:bottom w:val="nil"/>
              <w:right w:val="nil"/>
            </w:tcBorders>
            <w:shd w:val="clear" w:color="000000" w:fill="FFFFFF"/>
            <w:noWrap/>
            <w:vAlign w:val="center"/>
            <w:hideMark/>
          </w:tcPr>
          <w:p w14:paraId="63EEE4F4"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DF02D1" w:rsidRPr="00513ED7" w14:paraId="48B81A3F"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46235EC8" w14:textId="77777777" w:rsidR="00DF02D1" w:rsidRPr="003B5469" w:rsidRDefault="00DF02D1" w:rsidP="0003189E">
            <w:pPr>
              <w:spacing w:after="0" w:line="240" w:lineRule="auto"/>
              <w:ind w:left="170"/>
              <w:jc w:val="left"/>
              <w:rPr>
                <w:rFonts w:ascii="Arial" w:hAnsi="Arial" w:cs="Arial"/>
                <w:sz w:val="16"/>
                <w:szCs w:val="16"/>
              </w:rPr>
            </w:pPr>
            <w:r w:rsidRPr="003B5469">
              <w:rPr>
                <w:rFonts w:ascii="Arial" w:hAnsi="Arial" w:cs="Arial"/>
                <w:sz w:val="16"/>
                <w:szCs w:val="16"/>
              </w:rPr>
              <w:t>Gross income tax withholding</w:t>
            </w:r>
          </w:p>
        </w:tc>
        <w:tc>
          <w:tcPr>
            <w:tcW w:w="621" w:type="pct"/>
            <w:tcBorders>
              <w:top w:val="nil"/>
              <w:left w:val="nil"/>
              <w:bottom w:val="nil"/>
              <w:right w:val="nil"/>
            </w:tcBorders>
            <w:shd w:val="clear" w:color="000000" w:fill="FFFFFF"/>
            <w:noWrap/>
            <w:vAlign w:val="center"/>
            <w:hideMark/>
          </w:tcPr>
          <w:p w14:paraId="55F7FCFD"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217,500</w:t>
            </w:r>
          </w:p>
        </w:tc>
        <w:tc>
          <w:tcPr>
            <w:tcW w:w="621" w:type="pct"/>
            <w:tcBorders>
              <w:top w:val="nil"/>
              <w:left w:val="nil"/>
              <w:bottom w:val="nil"/>
              <w:right w:val="nil"/>
            </w:tcBorders>
            <w:shd w:val="clear" w:color="000000" w:fill="EBFFFF"/>
            <w:noWrap/>
            <w:vAlign w:val="center"/>
            <w:hideMark/>
          </w:tcPr>
          <w:p w14:paraId="25B16A0D"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221,704</w:t>
            </w:r>
          </w:p>
        </w:tc>
        <w:tc>
          <w:tcPr>
            <w:tcW w:w="621" w:type="pct"/>
            <w:tcBorders>
              <w:top w:val="nil"/>
              <w:left w:val="nil"/>
              <w:bottom w:val="nil"/>
              <w:right w:val="nil"/>
            </w:tcBorders>
            <w:shd w:val="clear" w:color="000000" w:fill="FFFFFF"/>
            <w:noWrap/>
            <w:vAlign w:val="center"/>
            <w:hideMark/>
          </w:tcPr>
          <w:p w14:paraId="223E3D08"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4,204</w:t>
            </w:r>
          </w:p>
        </w:tc>
      </w:tr>
      <w:tr w:rsidR="00DF02D1" w:rsidRPr="00513ED7" w14:paraId="3396102B"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59D3C185" w14:textId="77777777" w:rsidR="00DF02D1" w:rsidRPr="003B5469" w:rsidRDefault="00DF02D1" w:rsidP="0003189E">
            <w:pPr>
              <w:spacing w:after="0" w:line="240" w:lineRule="auto"/>
              <w:ind w:left="170"/>
              <w:jc w:val="left"/>
              <w:rPr>
                <w:rFonts w:ascii="Arial" w:hAnsi="Arial" w:cs="Arial"/>
                <w:sz w:val="16"/>
                <w:szCs w:val="16"/>
              </w:rPr>
            </w:pPr>
            <w:r w:rsidRPr="003B5469">
              <w:rPr>
                <w:rFonts w:ascii="Arial" w:hAnsi="Arial" w:cs="Arial"/>
                <w:sz w:val="16"/>
                <w:szCs w:val="16"/>
              </w:rPr>
              <w:t>Gross other individuals</w:t>
            </w:r>
          </w:p>
        </w:tc>
        <w:tc>
          <w:tcPr>
            <w:tcW w:w="621" w:type="pct"/>
            <w:tcBorders>
              <w:top w:val="nil"/>
              <w:left w:val="nil"/>
              <w:bottom w:val="nil"/>
              <w:right w:val="nil"/>
            </w:tcBorders>
            <w:shd w:val="clear" w:color="000000" w:fill="FFFFFF"/>
            <w:noWrap/>
            <w:vAlign w:val="center"/>
            <w:hideMark/>
          </w:tcPr>
          <w:p w14:paraId="2BB3F4F8"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49,500</w:t>
            </w:r>
          </w:p>
        </w:tc>
        <w:tc>
          <w:tcPr>
            <w:tcW w:w="621" w:type="pct"/>
            <w:tcBorders>
              <w:top w:val="nil"/>
              <w:left w:val="nil"/>
              <w:bottom w:val="nil"/>
              <w:right w:val="nil"/>
            </w:tcBorders>
            <w:shd w:val="clear" w:color="000000" w:fill="EBFFFF"/>
            <w:noWrap/>
            <w:vAlign w:val="center"/>
            <w:hideMark/>
          </w:tcPr>
          <w:p w14:paraId="31C985EB"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50,225</w:t>
            </w:r>
          </w:p>
        </w:tc>
        <w:tc>
          <w:tcPr>
            <w:tcW w:w="621" w:type="pct"/>
            <w:tcBorders>
              <w:top w:val="nil"/>
              <w:left w:val="nil"/>
              <w:bottom w:val="nil"/>
              <w:right w:val="nil"/>
            </w:tcBorders>
            <w:shd w:val="clear" w:color="000000" w:fill="FFFFFF"/>
            <w:noWrap/>
            <w:vAlign w:val="center"/>
            <w:hideMark/>
          </w:tcPr>
          <w:p w14:paraId="1B234836"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725</w:t>
            </w:r>
          </w:p>
        </w:tc>
      </w:tr>
      <w:tr w:rsidR="00DF02D1" w:rsidRPr="00513ED7" w14:paraId="4B0109FF"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1EF6FF37" w14:textId="3338F549" w:rsidR="00DF02D1" w:rsidRPr="003B5469" w:rsidRDefault="00DF02D1" w:rsidP="0003189E">
            <w:pPr>
              <w:spacing w:after="0" w:line="240" w:lineRule="auto"/>
              <w:ind w:left="170"/>
              <w:jc w:val="left"/>
              <w:rPr>
                <w:rFonts w:ascii="Arial" w:hAnsi="Arial" w:cs="Arial"/>
                <w:i/>
                <w:sz w:val="16"/>
                <w:szCs w:val="16"/>
              </w:rPr>
            </w:pPr>
            <w:r w:rsidRPr="003B5469">
              <w:rPr>
                <w:rFonts w:ascii="Arial" w:hAnsi="Arial" w:cs="Arial"/>
                <w:i/>
                <w:sz w:val="16"/>
                <w:szCs w:val="16"/>
              </w:rPr>
              <w:t xml:space="preserve">less: </w:t>
            </w:r>
            <w:r w:rsidRPr="003B5469">
              <w:rPr>
                <w:rFonts w:ascii="Arial" w:hAnsi="Arial" w:cs="Arial"/>
                <w:sz w:val="16"/>
                <w:szCs w:val="16"/>
              </w:rPr>
              <w:t>Refunds</w:t>
            </w:r>
          </w:p>
        </w:tc>
        <w:tc>
          <w:tcPr>
            <w:tcW w:w="621" w:type="pct"/>
            <w:tcBorders>
              <w:top w:val="nil"/>
              <w:left w:val="nil"/>
              <w:bottom w:val="single" w:sz="4" w:space="0" w:color="000000"/>
              <w:right w:val="nil"/>
            </w:tcBorders>
            <w:shd w:val="clear" w:color="000000" w:fill="FFFFFF"/>
            <w:noWrap/>
            <w:vAlign w:val="center"/>
            <w:hideMark/>
          </w:tcPr>
          <w:p w14:paraId="04A9A04C"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36,000</w:t>
            </w:r>
          </w:p>
        </w:tc>
        <w:tc>
          <w:tcPr>
            <w:tcW w:w="621" w:type="pct"/>
            <w:tcBorders>
              <w:top w:val="nil"/>
              <w:left w:val="nil"/>
              <w:bottom w:val="single" w:sz="4" w:space="0" w:color="000000"/>
              <w:right w:val="nil"/>
            </w:tcBorders>
            <w:shd w:val="clear" w:color="000000" w:fill="EBFFFF"/>
            <w:noWrap/>
            <w:vAlign w:val="center"/>
            <w:hideMark/>
          </w:tcPr>
          <w:p w14:paraId="7A7749BD"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36,265</w:t>
            </w:r>
          </w:p>
        </w:tc>
        <w:tc>
          <w:tcPr>
            <w:tcW w:w="621" w:type="pct"/>
            <w:tcBorders>
              <w:top w:val="nil"/>
              <w:left w:val="nil"/>
              <w:bottom w:val="single" w:sz="4" w:space="0" w:color="000000"/>
              <w:right w:val="nil"/>
            </w:tcBorders>
            <w:shd w:val="clear" w:color="000000" w:fill="FFFFFF"/>
            <w:noWrap/>
            <w:vAlign w:val="center"/>
            <w:hideMark/>
          </w:tcPr>
          <w:p w14:paraId="4D54D876"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265</w:t>
            </w:r>
          </w:p>
        </w:tc>
      </w:tr>
      <w:tr w:rsidR="00DF02D1" w:rsidRPr="00513ED7" w14:paraId="0ED24924"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01E96165" w14:textId="77777777" w:rsidR="00DF02D1" w:rsidRPr="003B5469" w:rsidRDefault="00DF02D1" w:rsidP="00F16531">
            <w:pPr>
              <w:spacing w:after="0" w:line="240" w:lineRule="auto"/>
              <w:jc w:val="left"/>
              <w:rPr>
                <w:rFonts w:ascii="Arial" w:hAnsi="Arial" w:cs="Arial"/>
                <w:sz w:val="16"/>
                <w:szCs w:val="16"/>
              </w:rPr>
            </w:pPr>
            <w:r w:rsidRPr="003B5469">
              <w:rPr>
                <w:rFonts w:ascii="Arial" w:hAnsi="Arial" w:cs="Arial"/>
                <w:sz w:val="16"/>
                <w:szCs w:val="16"/>
              </w:rPr>
              <w:t>Total individuals and other withholding tax</w:t>
            </w:r>
          </w:p>
        </w:tc>
        <w:tc>
          <w:tcPr>
            <w:tcW w:w="621" w:type="pct"/>
            <w:tcBorders>
              <w:top w:val="nil"/>
              <w:left w:val="nil"/>
              <w:bottom w:val="nil"/>
              <w:right w:val="nil"/>
            </w:tcBorders>
            <w:shd w:val="clear" w:color="000000" w:fill="FFFFFF"/>
            <w:noWrap/>
            <w:vAlign w:val="center"/>
            <w:hideMark/>
          </w:tcPr>
          <w:p w14:paraId="714A066D"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231,000</w:t>
            </w:r>
          </w:p>
        </w:tc>
        <w:tc>
          <w:tcPr>
            <w:tcW w:w="621" w:type="pct"/>
            <w:tcBorders>
              <w:top w:val="nil"/>
              <w:left w:val="nil"/>
              <w:bottom w:val="nil"/>
              <w:right w:val="nil"/>
            </w:tcBorders>
            <w:shd w:val="clear" w:color="000000" w:fill="EBFFFF"/>
            <w:noWrap/>
            <w:vAlign w:val="center"/>
            <w:hideMark/>
          </w:tcPr>
          <w:p w14:paraId="3FE58048"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235,664</w:t>
            </w:r>
          </w:p>
        </w:tc>
        <w:tc>
          <w:tcPr>
            <w:tcW w:w="621" w:type="pct"/>
            <w:tcBorders>
              <w:top w:val="nil"/>
              <w:left w:val="nil"/>
              <w:bottom w:val="nil"/>
              <w:right w:val="nil"/>
            </w:tcBorders>
            <w:shd w:val="clear" w:color="000000" w:fill="FFFFFF"/>
            <w:noWrap/>
            <w:vAlign w:val="center"/>
            <w:hideMark/>
          </w:tcPr>
          <w:p w14:paraId="62771E4D"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4,664</w:t>
            </w:r>
          </w:p>
        </w:tc>
      </w:tr>
      <w:tr w:rsidR="00DF02D1" w:rsidRPr="00513ED7" w14:paraId="74099047"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344CA366" w14:textId="77777777" w:rsidR="00DF02D1" w:rsidRPr="003B5469" w:rsidRDefault="00DF02D1" w:rsidP="00F16531">
            <w:pPr>
              <w:spacing w:after="0" w:line="240" w:lineRule="auto"/>
              <w:jc w:val="left"/>
              <w:rPr>
                <w:rFonts w:ascii="Arial" w:hAnsi="Arial" w:cs="Arial"/>
                <w:color w:val="000000"/>
                <w:sz w:val="16"/>
                <w:szCs w:val="16"/>
              </w:rPr>
            </w:pPr>
            <w:r w:rsidRPr="003B5469">
              <w:rPr>
                <w:rFonts w:ascii="Arial" w:hAnsi="Arial" w:cs="Arial"/>
                <w:color w:val="000000"/>
                <w:sz w:val="16"/>
                <w:szCs w:val="16"/>
              </w:rPr>
              <w:t>Fringe benefits tax</w:t>
            </w:r>
          </w:p>
        </w:tc>
        <w:tc>
          <w:tcPr>
            <w:tcW w:w="621" w:type="pct"/>
            <w:tcBorders>
              <w:top w:val="nil"/>
              <w:left w:val="nil"/>
              <w:bottom w:val="nil"/>
              <w:right w:val="nil"/>
            </w:tcBorders>
            <w:shd w:val="clear" w:color="000000" w:fill="FFFFFF"/>
            <w:noWrap/>
            <w:vAlign w:val="center"/>
            <w:hideMark/>
          </w:tcPr>
          <w:p w14:paraId="7B25582B"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4,040</w:t>
            </w:r>
          </w:p>
        </w:tc>
        <w:tc>
          <w:tcPr>
            <w:tcW w:w="621" w:type="pct"/>
            <w:tcBorders>
              <w:top w:val="nil"/>
              <w:left w:val="nil"/>
              <w:bottom w:val="nil"/>
              <w:right w:val="nil"/>
            </w:tcBorders>
            <w:shd w:val="clear" w:color="000000" w:fill="EBFFFF"/>
            <w:noWrap/>
            <w:vAlign w:val="center"/>
            <w:hideMark/>
          </w:tcPr>
          <w:p w14:paraId="62B45AD6"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3,501</w:t>
            </w:r>
          </w:p>
        </w:tc>
        <w:tc>
          <w:tcPr>
            <w:tcW w:w="621" w:type="pct"/>
            <w:tcBorders>
              <w:top w:val="nil"/>
              <w:left w:val="nil"/>
              <w:bottom w:val="nil"/>
              <w:right w:val="nil"/>
            </w:tcBorders>
            <w:shd w:val="clear" w:color="000000" w:fill="FFFFFF"/>
            <w:noWrap/>
            <w:vAlign w:val="center"/>
            <w:hideMark/>
          </w:tcPr>
          <w:p w14:paraId="3C0DAF44" w14:textId="40DC6A01" w:rsidR="00DF02D1" w:rsidRPr="003B5469" w:rsidRDefault="00A36B1E" w:rsidP="00F16531">
            <w:pPr>
              <w:spacing w:after="0" w:line="240" w:lineRule="auto"/>
              <w:jc w:val="right"/>
              <w:rPr>
                <w:rFonts w:ascii="Arial" w:hAnsi="Arial" w:cs="Arial"/>
                <w:sz w:val="16"/>
                <w:szCs w:val="16"/>
              </w:rPr>
            </w:pPr>
            <w:r w:rsidRPr="003B5469">
              <w:rPr>
                <w:rFonts w:ascii="Arial" w:hAnsi="Arial" w:cs="Arial"/>
                <w:sz w:val="16"/>
                <w:szCs w:val="16"/>
              </w:rPr>
              <w:noBreakHyphen/>
            </w:r>
            <w:r w:rsidR="00DF02D1" w:rsidRPr="003B5469">
              <w:rPr>
                <w:rFonts w:ascii="Arial" w:hAnsi="Arial" w:cs="Arial"/>
                <w:sz w:val="16"/>
                <w:szCs w:val="16"/>
              </w:rPr>
              <w:t>539</w:t>
            </w:r>
          </w:p>
        </w:tc>
      </w:tr>
      <w:tr w:rsidR="00DF02D1" w:rsidRPr="00513ED7" w14:paraId="2E06F074"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2DF0E60F" w14:textId="77777777" w:rsidR="00DF02D1" w:rsidRPr="003B5469" w:rsidRDefault="00DF02D1" w:rsidP="00F16531">
            <w:pPr>
              <w:spacing w:after="0" w:line="240" w:lineRule="auto"/>
              <w:jc w:val="left"/>
              <w:rPr>
                <w:rFonts w:ascii="Arial" w:hAnsi="Arial" w:cs="Arial"/>
                <w:color w:val="000000"/>
                <w:sz w:val="16"/>
                <w:szCs w:val="16"/>
              </w:rPr>
            </w:pPr>
            <w:r w:rsidRPr="003B5469">
              <w:rPr>
                <w:rFonts w:ascii="Arial" w:hAnsi="Arial" w:cs="Arial"/>
                <w:color w:val="000000"/>
                <w:sz w:val="16"/>
                <w:szCs w:val="16"/>
              </w:rPr>
              <w:t>Company tax</w:t>
            </w:r>
          </w:p>
        </w:tc>
        <w:tc>
          <w:tcPr>
            <w:tcW w:w="621" w:type="pct"/>
            <w:tcBorders>
              <w:top w:val="nil"/>
              <w:left w:val="nil"/>
              <w:bottom w:val="nil"/>
              <w:right w:val="nil"/>
            </w:tcBorders>
            <w:shd w:val="clear" w:color="000000" w:fill="FFFFFF"/>
            <w:noWrap/>
            <w:vAlign w:val="center"/>
            <w:hideMark/>
          </w:tcPr>
          <w:p w14:paraId="0DB6A771"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94,300</w:t>
            </w:r>
          </w:p>
        </w:tc>
        <w:tc>
          <w:tcPr>
            <w:tcW w:w="621" w:type="pct"/>
            <w:tcBorders>
              <w:top w:val="nil"/>
              <w:left w:val="nil"/>
              <w:bottom w:val="nil"/>
              <w:right w:val="nil"/>
            </w:tcBorders>
            <w:shd w:val="clear" w:color="000000" w:fill="EBFFFF"/>
            <w:noWrap/>
            <w:vAlign w:val="center"/>
            <w:hideMark/>
          </w:tcPr>
          <w:p w14:paraId="3342534C"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99,148</w:t>
            </w:r>
          </w:p>
        </w:tc>
        <w:tc>
          <w:tcPr>
            <w:tcW w:w="621" w:type="pct"/>
            <w:tcBorders>
              <w:top w:val="nil"/>
              <w:left w:val="nil"/>
              <w:bottom w:val="nil"/>
              <w:right w:val="nil"/>
            </w:tcBorders>
            <w:shd w:val="clear" w:color="000000" w:fill="FFFFFF"/>
            <w:noWrap/>
            <w:vAlign w:val="center"/>
            <w:hideMark/>
          </w:tcPr>
          <w:p w14:paraId="12825BC3"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4,848</w:t>
            </w:r>
          </w:p>
        </w:tc>
      </w:tr>
      <w:tr w:rsidR="00DF02D1" w:rsidRPr="00513ED7" w14:paraId="7A84358E"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5B4356D9" w14:textId="77777777" w:rsidR="00DF02D1" w:rsidRPr="003B5469" w:rsidRDefault="00DF02D1" w:rsidP="00F16531">
            <w:pPr>
              <w:spacing w:after="0" w:line="240" w:lineRule="auto"/>
              <w:jc w:val="left"/>
              <w:rPr>
                <w:rFonts w:ascii="Arial" w:hAnsi="Arial" w:cs="Arial"/>
                <w:color w:val="000000"/>
                <w:sz w:val="16"/>
                <w:szCs w:val="16"/>
              </w:rPr>
            </w:pPr>
            <w:r w:rsidRPr="003B5469">
              <w:rPr>
                <w:rFonts w:ascii="Arial" w:hAnsi="Arial" w:cs="Arial"/>
                <w:color w:val="000000"/>
                <w:sz w:val="16"/>
                <w:szCs w:val="16"/>
              </w:rPr>
              <w:t>Superannuation fund taxes</w:t>
            </w:r>
          </w:p>
        </w:tc>
        <w:tc>
          <w:tcPr>
            <w:tcW w:w="621" w:type="pct"/>
            <w:tcBorders>
              <w:top w:val="nil"/>
              <w:left w:val="nil"/>
              <w:bottom w:val="nil"/>
              <w:right w:val="nil"/>
            </w:tcBorders>
            <w:shd w:val="clear" w:color="000000" w:fill="FFFFFF"/>
            <w:noWrap/>
            <w:vAlign w:val="center"/>
            <w:hideMark/>
          </w:tcPr>
          <w:p w14:paraId="4167B253"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11,680</w:t>
            </w:r>
          </w:p>
        </w:tc>
        <w:tc>
          <w:tcPr>
            <w:tcW w:w="621" w:type="pct"/>
            <w:tcBorders>
              <w:top w:val="nil"/>
              <w:left w:val="nil"/>
              <w:bottom w:val="nil"/>
              <w:right w:val="nil"/>
            </w:tcBorders>
            <w:shd w:val="clear" w:color="000000" w:fill="EBFFFF"/>
            <w:noWrap/>
            <w:vAlign w:val="center"/>
            <w:hideMark/>
          </w:tcPr>
          <w:p w14:paraId="4230FEC8"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13,037</w:t>
            </w:r>
          </w:p>
        </w:tc>
        <w:tc>
          <w:tcPr>
            <w:tcW w:w="621" w:type="pct"/>
            <w:tcBorders>
              <w:top w:val="nil"/>
              <w:left w:val="nil"/>
              <w:bottom w:val="nil"/>
              <w:right w:val="nil"/>
            </w:tcBorders>
            <w:shd w:val="clear" w:color="000000" w:fill="FFFFFF"/>
            <w:noWrap/>
            <w:vAlign w:val="center"/>
            <w:hideMark/>
          </w:tcPr>
          <w:p w14:paraId="6CAB1652"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1,357</w:t>
            </w:r>
          </w:p>
        </w:tc>
      </w:tr>
      <w:tr w:rsidR="00DF02D1" w:rsidRPr="00513ED7" w14:paraId="52FDFFBD"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3D078CD6" w14:textId="77777777" w:rsidR="00DF02D1" w:rsidRPr="003B5469" w:rsidRDefault="00DF02D1" w:rsidP="00F16531">
            <w:pPr>
              <w:spacing w:after="0" w:line="240" w:lineRule="auto"/>
              <w:jc w:val="left"/>
              <w:rPr>
                <w:rFonts w:ascii="Arial" w:hAnsi="Arial" w:cs="Arial"/>
                <w:color w:val="000000"/>
                <w:sz w:val="16"/>
                <w:szCs w:val="16"/>
              </w:rPr>
            </w:pPr>
            <w:r w:rsidRPr="003B5469">
              <w:rPr>
                <w:rFonts w:ascii="Arial" w:hAnsi="Arial" w:cs="Arial"/>
                <w:color w:val="000000"/>
                <w:sz w:val="16"/>
                <w:szCs w:val="16"/>
              </w:rPr>
              <w:t>Petroleum resource rent tax</w:t>
            </w:r>
          </w:p>
        </w:tc>
        <w:tc>
          <w:tcPr>
            <w:tcW w:w="621" w:type="pct"/>
            <w:tcBorders>
              <w:top w:val="nil"/>
              <w:left w:val="nil"/>
              <w:bottom w:val="nil"/>
              <w:right w:val="nil"/>
            </w:tcBorders>
            <w:shd w:val="clear" w:color="000000" w:fill="FFFFFF"/>
            <w:noWrap/>
            <w:vAlign w:val="center"/>
            <w:hideMark/>
          </w:tcPr>
          <w:p w14:paraId="65B2B825"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840</w:t>
            </w:r>
          </w:p>
        </w:tc>
        <w:tc>
          <w:tcPr>
            <w:tcW w:w="621" w:type="pct"/>
            <w:tcBorders>
              <w:top w:val="nil"/>
              <w:left w:val="nil"/>
              <w:bottom w:val="single" w:sz="4" w:space="0" w:color="auto"/>
              <w:right w:val="nil"/>
            </w:tcBorders>
            <w:shd w:val="clear" w:color="000000" w:fill="EBFFFF"/>
            <w:noWrap/>
            <w:vAlign w:val="center"/>
            <w:hideMark/>
          </w:tcPr>
          <w:p w14:paraId="144F4B72"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897</w:t>
            </w:r>
          </w:p>
        </w:tc>
        <w:tc>
          <w:tcPr>
            <w:tcW w:w="621" w:type="pct"/>
            <w:tcBorders>
              <w:top w:val="nil"/>
              <w:left w:val="nil"/>
              <w:bottom w:val="single" w:sz="4" w:space="0" w:color="auto"/>
              <w:right w:val="nil"/>
            </w:tcBorders>
            <w:shd w:val="clear" w:color="000000" w:fill="FFFFFF"/>
            <w:noWrap/>
            <w:vAlign w:val="center"/>
            <w:hideMark/>
          </w:tcPr>
          <w:p w14:paraId="410E0C63"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57</w:t>
            </w:r>
          </w:p>
        </w:tc>
      </w:tr>
      <w:tr w:rsidR="00DF02D1" w:rsidRPr="00513ED7" w14:paraId="0EEC16C8" w14:textId="77777777" w:rsidTr="00DF02D1">
        <w:trPr>
          <w:trHeight w:hRule="exact" w:val="210"/>
        </w:trPr>
        <w:tc>
          <w:tcPr>
            <w:tcW w:w="3136" w:type="pct"/>
            <w:tcBorders>
              <w:top w:val="nil"/>
              <w:left w:val="nil"/>
              <w:bottom w:val="nil"/>
              <w:right w:val="nil"/>
            </w:tcBorders>
            <w:shd w:val="clear" w:color="000000" w:fill="FFFFFF"/>
            <w:noWrap/>
            <w:vAlign w:val="center"/>
            <w:hideMark/>
          </w:tcPr>
          <w:p w14:paraId="7548E454" w14:textId="77777777" w:rsidR="00DF02D1" w:rsidRPr="003B5469" w:rsidRDefault="00DF02D1" w:rsidP="00F16531">
            <w:pPr>
              <w:spacing w:after="0" w:line="240" w:lineRule="auto"/>
              <w:jc w:val="left"/>
              <w:rPr>
                <w:rFonts w:ascii="Arial" w:hAnsi="Arial" w:cs="Arial"/>
                <w:b/>
                <w:color w:val="000000"/>
                <w:sz w:val="16"/>
                <w:szCs w:val="16"/>
              </w:rPr>
            </w:pPr>
            <w:r w:rsidRPr="003B5469">
              <w:rPr>
                <w:rFonts w:ascii="Arial" w:hAnsi="Arial" w:cs="Arial"/>
                <w:b/>
                <w:color w:val="000000"/>
                <w:sz w:val="16"/>
                <w:szCs w:val="16"/>
              </w:rPr>
              <w:t>Income taxation revenue</w:t>
            </w:r>
          </w:p>
        </w:tc>
        <w:tc>
          <w:tcPr>
            <w:tcW w:w="621" w:type="pct"/>
            <w:tcBorders>
              <w:top w:val="single" w:sz="4" w:space="0" w:color="auto"/>
              <w:left w:val="nil"/>
              <w:bottom w:val="single" w:sz="4" w:space="0" w:color="000000"/>
              <w:right w:val="nil"/>
            </w:tcBorders>
            <w:shd w:val="clear" w:color="000000" w:fill="FFFFFF"/>
            <w:noWrap/>
            <w:vAlign w:val="center"/>
            <w:hideMark/>
          </w:tcPr>
          <w:p w14:paraId="086C4F39" w14:textId="77777777" w:rsidR="00DF02D1" w:rsidRPr="003B5469" w:rsidRDefault="00DF02D1" w:rsidP="00F16531">
            <w:pPr>
              <w:spacing w:after="0" w:line="240" w:lineRule="auto"/>
              <w:jc w:val="right"/>
              <w:rPr>
                <w:rFonts w:ascii="Arial" w:hAnsi="Arial" w:cs="Arial"/>
                <w:b/>
                <w:sz w:val="16"/>
                <w:szCs w:val="16"/>
              </w:rPr>
            </w:pPr>
            <w:r w:rsidRPr="003B5469">
              <w:rPr>
                <w:rFonts w:ascii="Arial" w:hAnsi="Arial" w:cs="Arial"/>
                <w:b/>
                <w:sz w:val="16"/>
                <w:szCs w:val="16"/>
              </w:rPr>
              <w:t>341,860</w:t>
            </w:r>
          </w:p>
        </w:tc>
        <w:tc>
          <w:tcPr>
            <w:tcW w:w="621" w:type="pct"/>
            <w:tcBorders>
              <w:top w:val="single" w:sz="4" w:space="0" w:color="auto"/>
              <w:left w:val="nil"/>
              <w:bottom w:val="single" w:sz="4" w:space="0" w:color="000000"/>
              <w:right w:val="nil"/>
            </w:tcBorders>
            <w:shd w:val="clear" w:color="000000" w:fill="EBFFFF"/>
            <w:noWrap/>
            <w:vAlign w:val="center"/>
            <w:hideMark/>
          </w:tcPr>
          <w:p w14:paraId="3E27F5FB" w14:textId="77777777" w:rsidR="00DF02D1" w:rsidRPr="003B5469" w:rsidRDefault="00DF02D1" w:rsidP="00F16531">
            <w:pPr>
              <w:spacing w:after="0" w:line="240" w:lineRule="auto"/>
              <w:jc w:val="right"/>
              <w:rPr>
                <w:rFonts w:ascii="Arial" w:hAnsi="Arial" w:cs="Arial"/>
                <w:b/>
                <w:sz w:val="16"/>
                <w:szCs w:val="16"/>
              </w:rPr>
            </w:pPr>
            <w:r w:rsidRPr="003B5469">
              <w:rPr>
                <w:rFonts w:ascii="Arial" w:hAnsi="Arial" w:cs="Arial"/>
                <w:b/>
                <w:sz w:val="16"/>
                <w:szCs w:val="16"/>
              </w:rPr>
              <w:t>352,246</w:t>
            </w:r>
          </w:p>
        </w:tc>
        <w:tc>
          <w:tcPr>
            <w:tcW w:w="621" w:type="pct"/>
            <w:tcBorders>
              <w:top w:val="nil"/>
              <w:left w:val="nil"/>
              <w:bottom w:val="single" w:sz="4" w:space="0" w:color="000000"/>
              <w:right w:val="nil"/>
            </w:tcBorders>
            <w:shd w:val="clear" w:color="000000" w:fill="FFFFFF"/>
            <w:noWrap/>
            <w:vAlign w:val="center"/>
            <w:hideMark/>
          </w:tcPr>
          <w:p w14:paraId="1E146179" w14:textId="77777777" w:rsidR="00DF02D1" w:rsidRPr="003B5469" w:rsidRDefault="00DF02D1" w:rsidP="00F16531">
            <w:pPr>
              <w:spacing w:after="0" w:line="240" w:lineRule="auto"/>
              <w:jc w:val="right"/>
              <w:rPr>
                <w:rFonts w:ascii="Arial" w:hAnsi="Arial" w:cs="Arial"/>
                <w:b/>
                <w:color w:val="000000"/>
                <w:sz w:val="16"/>
                <w:szCs w:val="16"/>
              </w:rPr>
            </w:pPr>
            <w:r w:rsidRPr="003B5469">
              <w:rPr>
                <w:rFonts w:ascii="Arial" w:hAnsi="Arial" w:cs="Arial"/>
                <w:b/>
                <w:color w:val="000000"/>
                <w:sz w:val="16"/>
                <w:szCs w:val="16"/>
              </w:rPr>
              <w:t>10,386</w:t>
            </w:r>
          </w:p>
        </w:tc>
      </w:tr>
      <w:tr w:rsidR="00DF02D1" w:rsidRPr="00513ED7" w14:paraId="290FB257" w14:textId="77777777" w:rsidTr="00607B4D">
        <w:trPr>
          <w:trHeight w:hRule="exact" w:val="75"/>
        </w:trPr>
        <w:tc>
          <w:tcPr>
            <w:tcW w:w="3136" w:type="pct"/>
            <w:tcBorders>
              <w:top w:val="nil"/>
              <w:left w:val="nil"/>
              <w:bottom w:val="nil"/>
              <w:right w:val="nil"/>
            </w:tcBorders>
            <w:shd w:val="clear" w:color="000000" w:fill="FFFFFF"/>
            <w:noWrap/>
            <w:vAlign w:val="center"/>
            <w:hideMark/>
          </w:tcPr>
          <w:p w14:paraId="1232B680" w14:textId="77777777" w:rsidR="00DF02D1" w:rsidRPr="003B5469" w:rsidRDefault="00DF02D1" w:rsidP="00F16531">
            <w:pPr>
              <w:spacing w:after="0" w:line="240" w:lineRule="auto"/>
              <w:jc w:val="left"/>
              <w:rPr>
                <w:rFonts w:ascii="Arial" w:hAnsi="Arial" w:cs="Arial"/>
                <w:b/>
                <w:color w:val="000000"/>
                <w:sz w:val="16"/>
                <w:szCs w:val="16"/>
              </w:rPr>
            </w:pPr>
            <w:r w:rsidRPr="003B5469">
              <w:rPr>
                <w:rFonts w:ascii="Arial" w:hAnsi="Arial" w:cs="Arial"/>
                <w:b/>
                <w:color w:val="000000"/>
                <w:sz w:val="16"/>
                <w:szCs w:val="16"/>
              </w:rPr>
              <w:t> </w:t>
            </w:r>
          </w:p>
        </w:tc>
        <w:tc>
          <w:tcPr>
            <w:tcW w:w="621" w:type="pct"/>
            <w:tcBorders>
              <w:top w:val="nil"/>
              <w:left w:val="nil"/>
              <w:bottom w:val="nil"/>
              <w:right w:val="nil"/>
            </w:tcBorders>
            <w:shd w:val="clear" w:color="000000" w:fill="FFFFFF"/>
            <w:noWrap/>
            <w:vAlign w:val="center"/>
            <w:hideMark/>
          </w:tcPr>
          <w:p w14:paraId="3E8FF6AF"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 </w:t>
            </w:r>
          </w:p>
        </w:tc>
        <w:tc>
          <w:tcPr>
            <w:tcW w:w="621" w:type="pct"/>
            <w:tcBorders>
              <w:top w:val="nil"/>
              <w:left w:val="nil"/>
              <w:bottom w:val="nil"/>
              <w:right w:val="nil"/>
            </w:tcBorders>
            <w:shd w:val="clear" w:color="000000" w:fill="EBFFFF"/>
            <w:noWrap/>
            <w:vAlign w:val="center"/>
            <w:hideMark/>
          </w:tcPr>
          <w:p w14:paraId="33F77B88"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 </w:t>
            </w:r>
          </w:p>
        </w:tc>
        <w:tc>
          <w:tcPr>
            <w:tcW w:w="621" w:type="pct"/>
            <w:tcBorders>
              <w:top w:val="nil"/>
              <w:left w:val="nil"/>
              <w:bottom w:val="nil"/>
              <w:right w:val="nil"/>
            </w:tcBorders>
            <w:shd w:val="clear" w:color="000000" w:fill="FFFFFF"/>
            <w:noWrap/>
            <w:vAlign w:val="center"/>
            <w:hideMark/>
          </w:tcPr>
          <w:p w14:paraId="384ACFB9"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DF02D1" w:rsidRPr="00513ED7" w14:paraId="3D834197"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5A398E0B" w14:textId="77777777" w:rsidR="00DF02D1" w:rsidRPr="003B5469" w:rsidRDefault="00DF02D1" w:rsidP="00F16531">
            <w:pPr>
              <w:spacing w:after="0" w:line="240" w:lineRule="auto"/>
              <w:jc w:val="left"/>
              <w:rPr>
                <w:rFonts w:ascii="Arial" w:hAnsi="Arial" w:cs="Arial"/>
                <w:color w:val="000000"/>
                <w:sz w:val="16"/>
                <w:szCs w:val="16"/>
              </w:rPr>
            </w:pPr>
            <w:r w:rsidRPr="003B5469">
              <w:rPr>
                <w:rFonts w:ascii="Arial" w:hAnsi="Arial" w:cs="Arial"/>
                <w:color w:val="000000"/>
                <w:sz w:val="16"/>
                <w:szCs w:val="16"/>
              </w:rPr>
              <w:t>Goods and services tax</w:t>
            </w:r>
          </w:p>
        </w:tc>
        <w:tc>
          <w:tcPr>
            <w:tcW w:w="621" w:type="pct"/>
            <w:tcBorders>
              <w:top w:val="nil"/>
              <w:left w:val="nil"/>
              <w:bottom w:val="nil"/>
              <w:right w:val="nil"/>
            </w:tcBorders>
            <w:shd w:val="clear" w:color="000000" w:fill="FFFFFF"/>
            <w:noWrap/>
            <w:vAlign w:val="center"/>
            <w:hideMark/>
          </w:tcPr>
          <w:p w14:paraId="6D0B1F0D"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71,080</w:t>
            </w:r>
          </w:p>
        </w:tc>
        <w:tc>
          <w:tcPr>
            <w:tcW w:w="621" w:type="pct"/>
            <w:tcBorders>
              <w:top w:val="nil"/>
              <w:left w:val="nil"/>
              <w:bottom w:val="nil"/>
              <w:right w:val="nil"/>
            </w:tcBorders>
            <w:shd w:val="clear" w:color="000000" w:fill="EBFFFF"/>
            <w:noWrap/>
            <w:vAlign w:val="center"/>
            <w:hideMark/>
          </w:tcPr>
          <w:p w14:paraId="5EB31481"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74,688</w:t>
            </w:r>
          </w:p>
        </w:tc>
        <w:tc>
          <w:tcPr>
            <w:tcW w:w="621" w:type="pct"/>
            <w:tcBorders>
              <w:top w:val="nil"/>
              <w:left w:val="nil"/>
              <w:bottom w:val="nil"/>
              <w:right w:val="nil"/>
            </w:tcBorders>
            <w:shd w:val="clear" w:color="000000" w:fill="FFFFFF"/>
            <w:noWrap/>
            <w:vAlign w:val="center"/>
            <w:hideMark/>
          </w:tcPr>
          <w:p w14:paraId="17269087"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3,608</w:t>
            </w:r>
          </w:p>
        </w:tc>
      </w:tr>
      <w:tr w:rsidR="00DF02D1" w:rsidRPr="00513ED7" w14:paraId="6A1CECF3"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6F7820AF" w14:textId="77777777" w:rsidR="00DF02D1" w:rsidRPr="003B5469" w:rsidRDefault="00DF02D1" w:rsidP="00F16531">
            <w:pPr>
              <w:spacing w:after="0" w:line="240" w:lineRule="auto"/>
              <w:jc w:val="left"/>
              <w:rPr>
                <w:rFonts w:ascii="Arial" w:hAnsi="Arial" w:cs="Arial"/>
                <w:color w:val="000000"/>
                <w:sz w:val="16"/>
                <w:szCs w:val="16"/>
              </w:rPr>
            </w:pPr>
            <w:r w:rsidRPr="003B5469">
              <w:rPr>
                <w:rFonts w:ascii="Arial" w:hAnsi="Arial" w:cs="Arial"/>
                <w:color w:val="000000"/>
                <w:sz w:val="16"/>
                <w:szCs w:val="16"/>
              </w:rPr>
              <w:t>Wine equalisation tax</w:t>
            </w:r>
          </w:p>
        </w:tc>
        <w:tc>
          <w:tcPr>
            <w:tcW w:w="621" w:type="pct"/>
            <w:tcBorders>
              <w:top w:val="nil"/>
              <w:left w:val="nil"/>
              <w:bottom w:val="nil"/>
              <w:right w:val="nil"/>
            </w:tcBorders>
            <w:shd w:val="clear" w:color="000000" w:fill="FFFFFF"/>
            <w:noWrap/>
            <w:vAlign w:val="center"/>
            <w:hideMark/>
          </w:tcPr>
          <w:p w14:paraId="6E8AC9D0"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1,070</w:t>
            </w:r>
          </w:p>
        </w:tc>
        <w:tc>
          <w:tcPr>
            <w:tcW w:w="621" w:type="pct"/>
            <w:tcBorders>
              <w:top w:val="nil"/>
              <w:left w:val="nil"/>
              <w:bottom w:val="nil"/>
              <w:right w:val="nil"/>
            </w:tcBorders>
            <w:shd w:val="clear" w:color="000000" w:fill="EBFFFF"/>
            <w:noWrap/>
            <w:vAlign w:val="center"/>
            <w:hideMark/>
          </w:tcPr>
          <w:p w14:paraId="5D6D34A9"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1,101</w:t>
            </w:r>
          </w:p>
        </w:tc>
        <w:tc>
          <w:tcPr>
            <w:tcW w:w="621" w:type="pct"/>
            <w:tcBorders>
              <w:top w:val="nil"/>
              <w:left w:val="nil"/>
              <w:bottom w:val="nil"/>
              <w:right w:val="nil"/>
            </w:tcBorders>
            <w:shd w:val="clear" w:color="000000" w:fill="FFFFFF"/>
            <w:noWrap/>
            <w:vAlign w:val="center"/>
            <w:hideMark/>
          </w:tcPr>
          <w:p w14:paraId="418A1A3A"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31</w:t>
            </w:r>
          </w:p>
        </w:tc>
      </w:tr>
      <w:tr w:rsidR="00DF02D1" w:rsidRPr="00513ED7" w14:paraId="363589A4"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72BB03DC" w14:textId="77777777" w:rsidR="00DF02D1" w:rsidRPr="003B5469" w:rsidRDefault="00DF02D1" w:rsidP="00F16531">
            <w:pPr>
              <w:spacing w:after="0" w:line="240" w:lineRule="auto"/>
              <w:jc w:val="left"/>
              <w:rPr>
                <w:rFonts w:ascii="Arial" w:hAnsi="Arial" w:cs="Arial"/>
                <w:color w:val="000000"/>
                <w:sz w:val="16"/>
                <w:szCs w:val="16"/>
              </w:rPr>
            </w:pPr>
            <w:r w:rsidRPr="003B5469">
              <w:rPr>
                <w:rFonts w:ascii="Arial" w:hAnsi="Arial" w:cs="Arial"/>
                <w:color w:val="000000"/>
                <w:sz w:val="16"/>
                <w:szCs w:val="16"/>
              </w:rPr>
              <w:t>Luxury car tax</w:t>
            </w:r>
          </w:p>
        </w:tc>
        <w:tc>
          <w:tcPr>
            <w:tcW w:w="621" w:type="pct"/>
            <w:tcBorders>
              <w:top w:val="nil"/>
              <w:left w:val="nil"/>
              <w:bottom w:val="nil"/>
              <w:right w:val="nil"/>
            </w:tcBorders>
            <w:shd w:val="clear" w:color="000000" w:fill="FFFFFF"/>
            <w:noWrap/>
            <w:vAlign w:val="center"/>
            <w:hideMark/>
          </w:tcPr>
          <w:p w14:paraId="0B900A1C"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800</w:t>
            </w:r>
          </w:p>
        </w:tc>
        <w:tc>
          <w:tcPr>
            <w:tcW w:w="621" w:type="pct"/>
            <w:tcBorders>
              <w:top w:val="nil"/>
              <w:left w:val="nil"/>
              <w:bottom w:val="nil"/>
              <w:right w:val="nil"/>
            </w:tcBorders>
            <w:shd w:val="clear" w:color="000000" w:fill="EBFFFF"/>
            <w:noWrap/>
            <w:vAlign w:val="center"/>
            <w:hideMark/>
          </w:tcPr>
          <w:p w14:paraId="2FE078F7"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900</w:t>
            </w:r>
          </w:p>
        </w:tc>
        <w:tc>
          <w:tcPr>
            <w:tcW w:w="621" w:type="pct"/>
            <w:tcBorders>
              <w:top w:val="nil"/>
              <w:left w:val="nil"/>
              <w:bottom w:val="nil"/>
              <w:right w:val="nil"/>
            </w:tcBorders>
            <w:shd w:val="clear" w:color="000000" w:fill="FFFFFF"/>
            <w:noWrap/>
            <w:vAlign w:val="center"/>
            <w:hideMark/>
          </w:tcPr>
          <w:p w14:paraId="518D5653"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100</w:t>
            </w:r>
          </w:p>
        </w:tc>
      </w:tr>
      <w:tr w:rsidR="00DF02D1" w:rsidRPr="00513ED7" w14:paraId="0237232C"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3EEE2A1A" w14:textId="77777777" w:rsidR="00DF02D1" w:rsidRPr="003B5469" w:rsidRDefault="00DF02D1" w:rsidP="00F16531">
            <w:pPr>
              <w:spacing w:after="0" w:line="240" w:lineRule="auto"/>
              <w:jc w:val="left"/>
              <w:rPr>
                <w:rFonts w:ascii="Arial" w:hAnsi="Arial" w:cs="Arial"/>
                <w:color w:val="000000"/>
                <w:sz w:val="16"/>
                <w:szCs w:val="16"/>
              </w:rPr>
            </w:pPr>
            <w:r w:rsidRPr="003B5469">
              <w:rPr>
                <w:rFonts w:ascii="Arial" w:hAnsi="Arial" w:cs="Arial"/>
                <w:color w:val="000000"/>
                <w:sz w:val="16"/>
                <w:szCs w:val="16"/>
              </w:rPr>
              <w:t xml:space="preserve">Excise and customs duty  </w:t>
            </w:r>
          </w:p>
        </w:tc>
        <w:tc>
          <w:tcPr>
            <w:tcW w:w="621" w:type="pct"/>
            <w:tcBorders>
              <w:top w:val="nil"/>
              <w:left w:val="nil"/>
              <w:bottom w:val="nil"/>
              <w:right w:val="nil"/>
            </w:tcBorders>
            <w:shd w:val="clear" w:color="000000" w:fill="FFFFFF"/>
            <w:noWrap/>
            <w:vAlign w:val="center"/>
            <w:hideMark/>
          </w:tcPr>
          <w:p w14:paraId="51D1F2E6"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 </w:t>
            </w:r>
          </w:p>
        </w:tc>
        <w:tc>
          <w:tcPr>
            <w:tcW w:w="621" w:type="pct"/>
            <w:tcBorders>
              <w:top w:val="nil"/>
              <w:left w:val="nil"/>
              <w:bottom w:val="nil"/>
              <w:right w:val="nil"/>
            </w:tcBorders>
            <w:shd w:val="clear" w:color="000000" w:fill="EBFFFF"/>
            <w:noWrap/>
            <w:vAlign w:val="center"/>
            <w:hideMark/>
          </w:tcPr>
          <w:p w14:paraId="7E603805"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 </w:t>
            </w:r>
          </w:p>
        </w:tc>
        <w:tc>
          <w:tcPr>
            <w:tcW w:w="621" w:type="pct"/>
            <w:tcBorders>
              <w:top w:val="nil"/>
              <w:left w:val="nil"/>
              <w:bottom w:val="nil"/>
              <w:right w:val="nil"/>
            </w:tcBorders>
            <w:shd w:val="clear" w:color="000000" w:fill="FFFFFF"/>
            <w:noWrap/>
            <w:vAlign w:val="center"/>
            <w:hideMark/>
          </w:tcPr>
          <w:p w14:paraId="4C52092F"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DF02D1" w:rsidRPr="00513ED7" w14:paraId="1EBF117E"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184D1352" w14:textId="77777777" w:rsidR="00DF02D1" w:rsidRPr="003B5469" w:rsidRDefault="00DF02D1" w:rsidP="0003189E">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Petrol</w:t>
            </w:r>
          </w:p>
        </w:tc>
        <w:tc>
          <w:tcPr>
            <w:tcW w:w="621" w:type="pct"/>
            <w:tcBorders>
              <w:top w:val="nil"/>
              <w:left w:val="nil"/>
              <w:bottom w:val="nil"/>
              <w:right w:val="nil"/>
            </w:tcBorders>
            <w:shd w:val="clear" w:color="000000" w:fill="FFFFFF"/>
            <w:noWrap/>
            <w:vAlign w:val="center"/>
            <w:hideMark/>
          </w:tcPr>
          <w:p w14:paraId="5FEAFD71"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5,850</w:t>
            </w:r>
          </w:p>
        </w:tc>
        <w:tc>
          <w:tcPr>
            <w:tcW w:w="621" w:type="pct"/>
            <w:tcBorders>
              <w:top w:val="nil"/>
              <w:left w:val="nil"/>
              <w:bottom w:val="nil"/>
              <w:right w:val="nil"/>
            </w:tcBorders>
            <w:shd w:val="clear" w:color="000000" w:fill="EBFFFF"/>
            <w:noWrap/>
            <w:vAlign w:val="center"/>
            <w:hideMark/>
          </w:tcPr>
          <w:p w14:paraId="5509C1EC"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5,995</w:t>
            </w:r>
          </w:p>
        </w:tc>
        <w:tc>
          <w:tcPr>
            <w:tcW w:w="621" w:type="pct"/>
            <w:tcBorders>
              <w:top w:val="nil"/>
              <w:left w:val="nil"/>
              <w:bottom w:val="nil"/>
              <w:right w:val="nil"/>
            </w:tcBorders>
            <w:shd w:val="clear" w:color="000000" w:fill="FFFFFF"/>
            <w:noWrap/>
            <w:vAlign w:val="center"/>
            <w:hideMark/>
          </w:tcPr>
          <w:p w14:paraId="72616DD2"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145</w:t>
            </w:r>
          </w:p>
        </w:tc>
      </w:tr>
      <w:tr w:rsidR="00DF02D1" w:rsidRPr="00513ED7" w14:paraId="0D5C8607"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230EE086" w14:textId="77777777" w:rsidR="00DF02D1" w:rsidRPr="003B5469" w:rsidRDefault="00DF02D1" w:rsidP="0003189E">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Diesel</w:t>
            </w:r>
          </w:p>
        </w:tc>
        <w:tc>
          <w:tcPr>
            <w:tcW w:w="621" w:type="pct"/>
            <w:tcBorders>
              <w:top w:val="nil"/>
              <w:left w:val="nil"/>
              <w:bottom w:val="nil"/>
              <w:right w:val="nil"/>
            </w:tcBorders>
            <w:shd w:val="clear" w:color="000000" w:fill="FFFFFF"/>
            <w:noWrap/>
            <w:vAlign w:val="center"/>
            <w:hideMark/>
          </w:tcPr>
          <w:p w14:paraId="0CC82EAD"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12,480</w:t>
            </w:r>
          </w:p>
        </w:tc>
        <w:tc>
          <w:tcPr>
            <w:tcW w:w="621" w:type="pct"/>
            <w:tcBorders>
              <w:top w:val="nil"/>
              <w:left w:val="nil"/>
              <w:bottom w:val="nil"/>
              <w:right w:val="nil"/>
            </w:tcBorders>
            <w:shd w:val="clear" w:color="000000" w:fill="EBFFFF"/>
            <w:noWrap/>
            <w:vAlign w:val="center"/>
            <w:hideMark/>
          </w:tcPr>
          <w:p w14:paraId="76B36CF3"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12,761</w:t>
            </w:r>
          </w:p>
        </w:tc>
        <w:tc>
          <w:tcPr>
            <w:tcW w:w="621" w:type="pct"/>
            <w:tcBorders>
              <w:top w:val="nil"/>
              <w:left w:val="nil"/>
              <w:bottom w:val="nil"/>
              <w:right w:val="nil"/>
            </w:tcBorders>
            <w:shd w:val="clear" w:color="000000" w:fill="FFFFFF"/>
            <w:noWrap/>
            <w:vAlign w:val="center"/>
            <w:hideMark/>
          </w:tcPr>
          <w:p w14:paraId="5C6798C4"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281</w:t>
            </w:r>
          </w:p>
        </w:tc>
      </w:tr>
      <w:tr w:rsidR="00DF02D1" w:rsidRPr="00513ED7" w14:paraId="6F47DDFD"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318E6075" w14:textId="77777777" w:rsidR="00DF02D1" w:rsidRPr="003B5469" w:rsidRDefault="00DF02D1" w:rsidP="0003189E">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Other fuel products</w:t>
            </w:r>
          </w:p>
        </w:tc>
        <w:tc>
          <w:tcPr>
            <w:tcW w:w="621" w:type="pct"/>
            <w:tcBorders>
              <w:top w:val="nil"/>
              <w:left w:val="nil"/>
              <w:bottom w:val="nil"/>
              <w:right w:val="nil"/>
            </w:tcBorders>
            <w:shd w:val="clear" w:color="000000" w:fill="FFFFFF"/>
            <w:noWrap/>
            <w:vAlign w:val="center"/>
            <w:hideMark/>
          </w:tcPr>
          <w:p w14:paraId="3E173EE6"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1,560</w:t>
            </w:r>
          </w:p>
        </w:tc>
        <w:tc>
          <w:tcPr>
            <w:tcW w:w="621" w:type="pct"/>
            <w:tcBorders>
              <w:top w:val="nil"/>
              <w:left w:val="nil"/>
              <w:bottom w:val="nil"/>
              <w:right w:val="nil"/>
            </w:tcBorders>
            <w:shd w:val="clear" w:color="000000" w:fill="EBFFFF"/>
            <w:noWrap/>
            <w:vAlign w:val="center"/>
            <w:hideMark/>
          </w:tcPr>
          <w:p w14:paraId="1CD4C198"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1,582</w:t>
            </w:r>
          </w:p>
        </w:tc>
        <w:tc>
          <w:tcPr>
            <w:tcW w:w="621" w:type="pct"/>
            <w:tcBorders>
              <w:top w:val="nil"/>
              <w:left w:val="nil"/>
              <w:bottom w:val="nil"/>
              <w:right w:val="nil"/>
            </w:tcBorders>
            <w:shd w:val="clear" w:color="000000" w:fill="FFFFFF"/>
            <w:noWrap/>
            <w:vAlign w:val="center"/>
            <w:hideMark/>
          </w:tcPr>
          <w:p w14:paraId="29139500"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22</w:t>
            </w:r>
          </w:p>
        </w:tc>
      </w:tr>
      <w:tr w:rsidR="00DF02D1" w:rsidRPr="00513ED7" w14:paraId="75D8C345"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331C2D92" w14:textId="77777777" w:rsidR="00DF02D1" w:rsidRPr="003B5469" w:rsidRDefault="00DF02D1" w:rsidP="0003189E">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Tobacco</w:t>
            </w:r>
          </w:p>
        </w:tc>
        <w:tc>
          <w:tcPr>
            <w:tcW w:w="621" w:type="pct"/>
            <w:tcBorders>
              <w:top w:val="nil"/>
              <w:left w:val="nil"/>
              <w:bottom w:val="nil"/>
              <w:right w:val="nil"/>
            </w:tcBorders>
            <w:shd w:val="clear" w:color="000000" w:fill="FFFFFF"/>
            <w:noWrap/>
            <w:vAlign w:val="center"/>
            <w:hideMark/>
          </w:tcPr>
          <w:p w14:paraId="5B0CFADA"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15,080</w:t>
            </w:r>
          </w:p>
        </w:tc>
        <w:tc>
          <w:tcPr>
            <w:tcW w:w="621" w:type="pct"/>
            <w:tcBorders>
              <w:top w:val="nil"/>
              <w:left w:val="nil"/>
              <w:bottom w:val="nil"/>
              <w:right w:val="nil"/>
            </w:tcBorders>
            <w:shd w:val="clear" w:color="000000" w:fill="EBFFFF"/>
            <w:noWrap/>
            <w:vAlign w:val="center"/>
            <w:hideMark/>
          </w:tcPr>
          <w:p w14:paraId="1C005B9C"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14,264</w:t>
            </w:r>
          </w:p>
        </w:tc>
        <w:tc>
          <w:tcPr>
            <w:tcW w:w="621" w:type="pct"/>
            <w:tcBorders>
              <w:top w:val="nil"/>
              <w:left w:val="nil"/>
              <w:bottom w:val="nil"/>
              <w:right w:val="nil"/>
            </w:tcBorders>
            <w:shd w:val="clear" w:color="000000" w:fill="FFFFFF"/>
            <w:noWrap/>
            <w:vAlign w:val="center"/>
            <w:hideMark/>
          </w:tcPr>
          <w:p w14:paraId="54C71E0D" w14:textId="16EB9B6C" w:rsidR="00DF02D1" w:rsidRPr="003B5469" w:rsidRDefault="00A36B1E"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DF02D1" w:rsidRPr="003B5469">
              <w:rPr>
                <w:rFonts w:ascii="Arial" w:hAnsi="Arial" w:cs="Arial"/>
                <w:color w:val="000000"/>
                <w:sz w:val="16"/>
                <w:szCs w:val="16"/>
              </w:rPr>
              <w:t>816</w:t>
            </w:r>
          </w:p>
        </w:tc>
      </w:tr>
      <w:tr w:rsidR="00DF02D1" w:rsidRPr="00513ED7" w14:paraId="1C5B9CA9"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17C81326" w14:textId="77777777" w:rsidR="00DF02D1" w:rsidRPr="003B5469" w:rsidRDefault="00DF02D1" w:rsidP="0003189E">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Beer</w:t>
            </w:r>
          </w:p>
        </w:tc>
        <w:tc>
          <w:tcPr>
            <w:tcW w:w="621" w:type="pct"/>
            <w:tcBorders>
              <w:top w:val="nil"/>
              <w:left w:val="nil"/>
              <w:bottom w:val="nil"/>
              <w:right w:val="nil"/>
            </w:tcBorders>
            <w:shd w:val="clear" w:color="000000" w:fill="FFFFFF"/>
            <w:noWrap/>
            <w:vAlign w:val="center"/>
            <w:hideMark/>
          </w:tcPr>
          <w:p w14:paraId="71934DA0"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2,550</w:t>
            </w:r>
          </w:p>
        </w:tc>
        <w:tc>
          <w:tcPr>
            <w:tcW w:w="621" w:type="pct"/>
            <w:tcBorders>
              <w:top w:val="nil"/>
              <w:left w:val="nil"/>
              <w:bottom w:val="nil"/>
              <w:right w:val="nil"/>
            </w:tcBorders>
            <w:shd w:val="clear" w:color="000000" w:fill="EBFFFF"/>
            <w:noWrap/>
            <w:vAlign w:val="center"/>
            <w:hideMark/>
          </w:tcPr>
          <w:p w14:paraId="3B15F580"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2,547</w:t>
            </w:r>
          </w:p>
        </w:tc>
        <w:tc>
          <w:tcPr>
            <w:tcW w:w="621" w:type="pct"/>
            <w:tcBorders>
              <w:top w:val="nil"/>
              <w:left w:val="nil"/>
              <w:bottom w:val="nil"/>
              <w:right w:val="nil"/>
            </w:tcBorders>
            <w:shd w:val="clear" w:color="000000" w:fill="FFFFFF"/>
            <w:noWrap/>
            <w:vAlign w:val="center"/>
            <w:hideMark/>
          </w:tcPr>
          <w:p w14:paraId="54780B70" w14:textId="57161CD4" w:rsidR="00DF02D1" w:rsidRPr="003B5469" w:rsidRDefault="00A36B1E"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DF02D1" w:rsidRPr="003B5469">
              <w:rPr>
                <w:rFonts w:ascii="Arial" w:hAnsi="Arial" w:cs="Arial"/>
                <w:color w:val="000000"/>
                <w:sz w:val="16"/>
                <w:szCs w:val="16"/>
              </w:rPr>
              <w:t>3</w:t>
            </w:r>
          </w:p>
        </w:tc>
      </w:tr>
      <w:tr w:rsidR="00DF02D1" w:rsidRPr="00513ED7" w14:paraId="19527248"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0195B220" w14:textId="77777777" w:rsidR="00DF02D1" w:rsidRPr="003B5469" w:rsidRDefault="00DF02D1" w:rsidP="0003189E">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Spirits</w:t>
            </w:r>
          </w:p>
        </w:tc>
        <w:tc>
          <w:tcPr>
            <w:tcW w:w="621" w:type="pct"/>
            <w:tcBorders>
              <w:top w:val="nil"/>
              <w:left w:val="nil"/>
              <w:bottom w:val="nil"/>
              <w:right w:val="nil"/>
            </w:tcBorders>
            <w:shd w:val="clear" w:color="000000" w:fill="FFFFFF"/>
            <w:noWrap/>
            <w:vAlign w:val="center"/>
            <w:hideMark/>
          </w:tcPr>
          <w:p w14:paraId="66DF27FA"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3,070</w:t>
            </w:r>
          </w:p>
        </w:tc>
        <w:tc>
          <w:tcPr>
            <w:tcW w:w="621" w:type="pct"/>
            <w:tcBorders>
              <w:top w:val="nil"/>
              <w:left w:val="nil"/>
              <w:bottom w:val="nil"/>
              <w:right w:val="nil"/>
            </w:tcBorders>
            <w:shd w:val="clear" w:color="000000" w:fill="EBFFFF"/>
            <w:noWrap/>
            <w:vAlign w:val="center"/>
            <w:hideMark/>
          </w:tcPr>
          <w:p w14:paraId="1A0D7E10"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3,161</w:t>
            </w:r>
          </w:p>
        </w:tc>
        <w:tc>
          <w:tcPr>
            <w:tcW w:w="621" w:type="pct"/>
            <w:tcBorders>
              <w:top w:val="nil"/>
              <w:left w:val="nil"/>
              <w:bottom w:val="nil"/>
              <w:right w:val="nil"/>
            </w:tcBorders>
            <w:shd w:val="clear" w:color="000000" w:fill="FFFFFF"/>
            <w:noWrap/>
            <w:vAlign w:val="center"/>
            <w:hideMark/>
          </w:tcPr>
          <w:p w14:paraId="12A9DB65"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91</w:t>
            </w:r>
          </w:p>
        </w:tc>
      </w:tr>
      <w:tr w:rsidR="00DF02D1" w:rsidRPr="00513ED7" w14:paraId="7D10EE70"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0AF6FDAA" w14:textId="77777777" w:rsidR="00DF02D1" w:rsidRPr="003B5469" w:rsidRDefault="00DF02D1" w:rsidP="0003189E">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Other alcoholic beverages(a)</w:t>
            </w:r>
          </w:p>
        </w:tc>
        <w:tc>
          <w:tcPr>
            <w:tcW w:w="621" w:type="pct"/>
            <w:tcBorders>
              <w:top w:val="nil"/>
              <w:left w:val="nil"/>
              <w:bottom w:val="nil"/>
              <w:right w:val="nil"/>
            </w:tcBorders>
            <w:shd w:val="clear" w:color="000000" w:fill="FFFFFF"/>
            <w:noWrap/>
            <w:vAlign w:val="center"/>
            <w:hideMark/>
          </w:tcPr>
          <w:p w14:paraId="406E1D80"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1,270</w:t>
            </w:r>
          </w:p>
        </w:tc>
        <w:tc>
          <w:tcPr>
            <w:tcW w:w="621" w:type="pct"/>
            <w:tcBorders>
              <w:top w:val="nil"/>
              <w:left w:val="nil"/>
              <w:bottom w:val="nil"/>
              <w:right w:val="nil"/>
            </w:tcBorders>
            <w:shd w:val="clear" w:color="000000" w:fill="EBFFFF"/>
            <w:noWrap/>
            <w:vAlign w:val="center"/>
            <w:hideMark/>
          </w:tcPr>
          <w:p w14:paraId="5B6EA0EC"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1,304</w:t>
            </w:r>
          </w:p>
        </w:tc>
        <w:tc>
          <w:tcPr>
            <w:tcW w:w="621" w:type="pct"/>
            <w:tcBorders>
              <w:top w:val="nil"/>
              <w:left w:val="nil"/>
              <w:bottom w:val="nil"/>
              <w:right w:val="nil"/>
            </w:tcBorders>
            <w:shd w:val="clear" w:color="000000" w:fill="FFFFFF"/>
            <w:noWrap/>
            <w:vAlign w:val="center"/>
            <w:hideMark/>
          </w:tcPr>
          <w:p w14:paraId="3E206D61"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34</w:t>
            </w:r>
          </w:p>
        </w:tc>
      </w:tr>
      <w:tr w:rsidR="00DF02D1" w:rsidRPr="00513ED7" w14:paraId="1018728D"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0D98347A" w14:textId="77777777" w:rsidR="00DF02D1" w:rsidRPr="003B5469" w:rsidRDefault="00DF02D1" w:rsidP="0003189E">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Other customs duty</w:t>
            </w:r>
          </w:p>
        </w:tc>
        <w:tc>
          <w:tcPr>
            <w:tcW w:w="621" w:type="pct"/>
            <w:tcBorders>
              <w:top w:val="nil"/>
              <w:left w:val="nil"/>
              <w:bottom w:val="nil"/>
              <w:right w:val="nil"/>
            </w:tcBorders>
            <w:shd w:val="clear" w:color="000000" w:fill="FFFFFF"/>
            <w:noWrap/>
            <w:vAlign w:val="center"/>
            <w:hideMark/>
          </w:tcPr>
          <w:p w14:paraId="2321F47A"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21" w:type="pct"/>
            <w:tcBorders>
              <w:top w:val="nil"/>
              <w:left w:val="nil"/>
              <w:bottom w:val="nil"/>
              <w:right w:val="nil"/>
            </w:tcBorders>
            <w:shd w:val="clear" w:color="000000" w:fill="EBFFFF"/>
            <w:noWrap/>
            <w:vAlign w:val="center"/>
            <w:hideMark/>
          </w:tcPr>
          <w:p w14:paraId="68ACC316"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21" w:type="pct"/>
            <w:tcBorders>
              <w:top w:val="nil"/>
              <w:left w:val="nil"/>
              <w:bottom w:val="nil"/>
              <w:right w:val="nil"/>
            </w:tcBorders>
            <w:shd w:val="clear" w:color="000000" w:fill="FFFFFF"/>
            <w:noWrap/>
            <w:vAlign w:val="center"/>
            <w:hideMark/>
          </w:tcPr>
          <w:p w14:paraId="46C509DE"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DF02D1" w:rsidRPr="00513ED7" w14:paraId="614063EC" w14:textId="77777777" w:rsidTr="00607B4D">
        <w:trPr>
          <w:trHeight w:hRule="exact" w:val="210"/>
        </w:trPr>
        <w:tc>
          <w:tcPr>
            <w:tcW w:w="3136" w:type="pct"/>
            <w:tcBorders>
              <w:top w:val="nil"/>
              <w:left w:val="nil"/>
              <w:bottom w:val="nil"/>
              <w:right w:val="nil"/>
            </w:tcBorders>
            <w:shd w:val="clear" w:color="000000" w:fill="FFFFFF"/>
            <w:noWrap/>
            <w:vAlign w:val="bottom"/>
            <w:hideMark/>
          </w:tcPr>
          <w:p w14:paraId="14EF4A17" w14:textId="77777777" w:rsidR="00DF02D1" w:rsidRPr="003B5469" w:rsidRDefault="00DF02D1" w:rsidP="0003189E">
            <w:pPr>
              <w:spacing w:after="0" w:line="240" w:lineRule="auto"/>
              <w:ind w:left="340"/>
              <w:jc w:val="left"/>
              <w:rPr>
                <w:rFonts w:ascii="Arial" w:hAnsi="Arial" w:cs="Arial"/>
                <w:color w:val="000000"/>
                <w:sz w:val="16"/>
                <w:szCs w:val="16"/>
              </w:rPr>
            </w:pPr>
            <w:r w:rsidRPr="003B5469">
              <w:rPr>
                <w:rFonts w:ascii="Arial" w:hAnsi="Arial" w:cs="Arial"/>
                <w:color w:val="000000"/>
                <w:sz w:val="16"/>
                <w:szCs w:val="16"/>
              </w:rPr>
              <w:t>Textiles, clothing and footwear</w:t>
            </w:r>
          </w:p>
        </w:tc>
        <w:tc>
          <w:tcPr>
            <w:tcW w:w="621" w:type="pct"/>
            <w:tcBorders>
              <w:top w:val="nil"/>
              <w:left w:val="nil"/>
              <w:bottom w:val="nil"/>
              <w:right w:val="nil"/>
            </w:tcBorders>
            <w:shd w:val="clear" w:color="000000" w:fill="FFFFFF"/>
            <w:noWrap/>
            <w:vAlign w:val="center"/>
            <w:hideMark/>
          </w:tcPr>
          <w:p w14:paraId="3AFA170B"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170</w:t>
            </w:r>
          </w:p>
        </w:tc>
        <w:tc>
          <w:tcPr>
            <w:tcW w:w="621" w:type="pct"/>
            <w:tcBorders>
              <w:top w:val="nil"/>
              <w:left w:val="nil"/>
              <w:bottom w:val="nil"/>
              <w:right w:val="nil"/>
            </w:tcBorders>
            <w:shd w:val="clear" w:color="000000" w:fill="EBFFFF"/>
            <w:noWrap/>
            <w:vAlign w:val="center"/>
            <w:hideMark/>
          </w:tcPr>
          <w:p w14:paraId="2752CDCD"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178</w:t>
            </w:r>
          </w:p>
        </w:tc>
        <w:tc>
          <w:tcPr>
            <w:tcW w:w="621" w:type="pct"/>
            <w:tcBorders>
              <w:top w:val="nil"/>
              <w:left w:val="nil"/>
              <w:bottom w:val="nil"/>
              <w:right w:val="nil"/>
            </w:tcBorders>
            <w:shd w:val="clear" w:color="000000" w:fill="FFFFFF"/>
            <w:noWrap/>
            <w:vAlign w:val="center"/>
            <w:hideMark/>
          </w:tcPr>
          <w:p w14:paraId="2EADEBEB"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8</w:t>
            </w:r>
          </w:p>
        </w:tc>
      </w:tr>
      <w:tr w:rsidR="00DF02D1" w:rsidRPr="00513ED7" w14:paraId="3FE30C3B" w14:textId="77777777" w:rsidTr="00607B4D">
        <w:trPr>
          <w:trHeight w:hRule="exact" w:val="210"/>
        </w:trPr>
        <w:tc>
          <w:tcPr>
            <w:tcW w:w="3136" w:type="pct"/>
            <w:tcBorders>
              <w:top w:val="nil"/>
              <w:left w:val="nil"/>
              <w:bottom w:val="nil"/>
              <w:right w:val="nil"/>
            </w:tcBorders>
            <w:shd w:val="clear" w:color="000000" w:fill="FFFFFF"/>
            <w:noWrap/>
            <w:vAlign w:val="bottom"/>
            <w:hideMark/>
          </w:tcPr>
          <w:p w14:paraId="7E462E7F" w14:textId="77777777" w:rsidR="00DF02D1" w:rsidRPr="003B5469" w:rsidRDefault="00DF02D1" w:rsidP="0003189E">
            <w:pPr>
              <w:spacing w:after="0" w:line="240" w:lineRule="auto"/>
              <w:ind w:left="340"/>
              <w:jc w:val="left"/>
              <w:rPr>
                <w:rFonts w:ascii="Arial" w:hAnsi="Arial" w:cs="Arial"/>
                <w:color w:val="000000"/>
                <w:sz w:val="16"/>
                <w:szCs w:val="16"/>
              </w:rPr>
            </w:pPr>
            <w:r w:rsidRPr="003B5469">
              <w:rPr>
                <w:rFonts w:ascii="Arial" w:hAnsi="Arial" w:cs="Arial"/>
                <w:color w:val="000000"/>
                <w:sz w:val="16"/>
                <w:szCs w:val="16"/>
              </w:rPr>
              <w:t>Passenger motor vehicles</w:t>
            </w:r>
          </w:p>
        </w:tc>
        <w:tc>
          <w:tcPr>
            <w:tcW w:w="621" w:type="pct"/>
            <w:tcBorders>
              <w:top w:val="nil"/>
              <w:left w:val="nil"/>
              <w:bottom w:val="nil"/>
              <w:right w:val="nil"/>
            </w:tcBorders>
            <w:shd w:val="clear" w:color="000000" w:fill="FFFFFF"/>
            <w:noWrap/>
            <w:vAlign w:val="center"/>
            <w:hideMark/>
          </w:tcPr>
          <w:p w14:paraId="6572AF34"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340</w:t>
            </w:r>
          </w:p>
        </w:tc>
        <w:tc>
          <w:tcPr>
            <w:tcW w:w="621" w:type="pct"/>
            <w:tcBorders>
              <w:top w:val="nil"/>
              <w:left w:val="nil"/>
              <w:bottom w:val="nil"/>
              <w:right w:val="nil"/>
            </w:tcBorders>
            <w:shd w:val="clear" w:color="000000" w:fill="EBFFFF"/>
            <w:noWrap/>
            <w:vAlign w:val="center"/>
            <w:hideMark/>
          </w:tcPr>
          <w:p w14:paraId="7BB83B79"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372</w:t>
            </w:r>
          </w:p>
        </w:tc>
        <w:tc>
          <w:tcPr>
            <w:tcW w:w="621" w:type="pct"/>
            <w:tcBorders>
              <w:top w:val="nil"/>
              <w:left w:val="nil"/>
              <w:bottom w:val="nil"/>
              <w:right w:val="nil"/>
            </w:tcBorders>
            <w:shd w:val="clear" w:color="000000" w:fill="FFFFFF"/>
            <w:noWrap/>
            <w:vAlign w:val="center"/>
            <w:hideMark/>
          </w:tcPr>
          <w:p w14:paraId="65CE8C23"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32</w:t>
            </w:r>
          </w:p>
        </w:tc>
      </w:tr>
      <w:tr w:rsidR="00DF02D1" w:rsidRPr="00513ED7" w14:paraId="52CF3AE6"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04591465" w14:textId="77777777" w:rsidR="00DF02D1" w:rsidRPr="003B5469" w:rsidRDefault="00DF02D1" w:rsidP="0003189E">
            <w:pPr>
              <w:spacing w:after="0" w:line="240" w:lineRule="auto"/>
              <w:ind w:left="340"/>
              <w:jc w:val="left"/>
              <w:rPr>
                <w:rFonts w:ascii="Arial" w:hAnsi="Arial" w:cs="Arial"/>
                <w:color w:val="000000"/>
                <w:sz w:val="16"/>
                <w:szCs w:val="16"/>
              </w:rPr>
            </w:pPr>
            <w:r w:rsidRPr="003B5469">
              <w:rPr>
                <w:rFonts w:ascii="Arial" w:hAnsi="Arial" w:cs="Arial"/>
                <w:color w:val="000000"/>
                <w:sz w:val="16"/>
                <w:szCs w:val="16"/>
              </w:rPr>
              <w:t>Other imports</w:t>
            </w:r>
          </w:p>
        </w:tc>
        <w:tc>
          <w:tcPr>
            <w:tcW w:w="621" w:type="pct"/>
            <w:tcBorders>
              <w:top w:val="nil"/>
              <w:left w:val="nil"/>
              <w:bottom w:val="nil"/>
              <w:right w:val="nil"/>
            </w:tcBorders>
            <w:shd w:val="clear" w:color="000000" w:fill="FFFFFF"/>
            <w:noWrap/>
            <w:vAlign w:val="center"/>
            <w:hideMark/>
          </w:tcPr>
          <w:p w14:paraId="68701BD0"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1,180</w:t>
            </w:r>
          </w:p>
        </w:tc>
        <w:tc>
          <w:tcPr>
            <w:tcW w:w="621" w:type="pct"/>
            <w:tcBorders>
              <w:top w:val="nil"/>
              <w:left w:val="nil"/>
              <w:bottom w:val="nil"/>
              <w:right w:val="nil"/>
            </w:tcBorders>
            <w:shd w:val="clear" w:color="000000" w:fill="EBFFFF"/>
            <w:noWrap/>
            <w:vAlign w:val="center"/>
            <w:hideMark/>
          </w:tcPr>
          <w:p w14:paraId="2FE7F273"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1,191</w:t>
            </w:r>
          </w:p>
        </w:tc>
        <w:tc>
          <w:tcPr>
            <w:tcW w:w="621" w:type="pct"/>
            <w:tcBorders>
              <w:top w:val="nil"/>
              <w:left w:val="nil"/>
              <w:bottom w:val="nil"/>
              <w:right w:val="nil"/>
            </w:tcBorders>
            <w:shd w:val="clear" w:color="000000" w:fill="FFFFFF"/>
            <w:noWrap/>
            <w:vAlign w:val="center"/>
            <w:hideMark/>
          </w:tcPr>
          <w:p w14:paraId="704CF13A"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11</w:t>
            </w:r>
          </w:p>
        </w:tc>
      </w:tr>
      <w:tr w:rsidR="00DF02D1" w:rsidRPr="00513ED7" w14:paraId="025CC38B" w14:textId="77777777" w:rsidTr="00607B4D">
        <w:trPr>
          <w:trHeight w:hRule="exact" w:val="210"/>
        </w:trPr>
        <w:tc>
          <w:tcPr>
            <w:tcW w:w="3136" w:type="pct"/>
            <w:tcBorders>
              <w:top w:val="nil"/>
              <w:left w:val="nil"/>
              <w:bottom w:val="nil"/>
              <w:right w:val="nil"/>
            </w:tcBorders>
            <w:shd w:val="clear" w:color="000000" w:fill="FFFFFF"/>
            <w:noWrap/>
            <w:vAlign w:val="bottom"/>
            <w:hideMark/>
          </w:tcPr>
          <w:p w14:paraId="73137B11" w14:textId="77777777" w:rsidR="00DF02D1" w:rsidRPr="003B5469" w:rsidRDefault="00DF02D1" w:rsidP="0003189E">
            <w:pPr>
              <w:spacing w:after="0" w:line="240" w:lineRule="auto"/>
              <w:ind w:left="170"/>
              <w:jc w:val="left"/>
              <w:rPr>
                <w:rFonts w:ascii="Arial" w:hAnsi="Arial" w:cs="Arial"/>
                <w:i/>
                <w:sz w:val="16"/>
                <w:szCs w:val="16"/>
              </w:rPr>
            </w:pPr>
            <w:r w:rsidRPr="003B5469">
              <w:rPr>
                <w:rFonts w:ascii="Arial" w:hAnsi="Arial" w:cs="Arial"/>
                <w:i/>
                <w:sz w:val="16"/>
                <w:szCs w:val="16"/>
              </w:rPr>
              <w:t xml:space="preserve">less: </w:t>
            </w:r>
            <w:r w:rsidRPr="003B5469">
              <w:rPr>
                <w:rFonts w:ascii="Arial" w:hAnsi="Arial" w:cs="Arial"/>
                <w:sz w:val="16"/>
                <w:szCs w:val="16"/>
              </w:rPr>
              <w:t>Refunds and drawbacks</w:t>
            </w:r>
          </w:p>
        </w:tc>
        <w:tc>
          <w:tcPr>
            <w:tcW w:w="621" w:type="pct"/>
            <w:tcBorders>
              <w:top w:val="nil"/>
              <w:left w:val="nil"/>
              <w:bottom w:val="single" w:sz="4" w:space="0" w:color="000000"/>
              <w:right w:val="nil"/>
            </w:tcBorders>
            <w:shd w:val="clear" w:color="000000" w:fill="FFFFFF"/>
            <w:noWrap/>
            <w:vAlign w:val="center"/>
            <w:hideMark/>
          </w:tcPr>
          <w:p w14:paraId="4D65427F"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790</w:t>
            </w:r>
          </w:p>
        </w:tc>
        <w:tc>
          <w:tcPr>
            <w:tcW w:w="621" w:type="pct"/>
            <w:tcBorders>
              <w:top w:val="nil"/>
              <w:left w:val="nil"/>
              <w:bottom w:val="single" w:sz="4" w:space="0" w:color="000000"/>
              <w:right w:val="nil"/>
            </w:tcBorders>
            <w:shd w:val="clear" w:color="000000" w:fill="EBFFFF"/>
            <w:noWrap/>
            <w:vAlign w:val="center"/>
            <w:hideMark/>
          </w:tcPr>
          <w:p w14:paraId="40B4DDC6"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729</w:t>
            </w:r>
          </w:p>
        </w:tc>
        <w:tc>
          <w:tcPr>
            <w:tcW w:w="621" w:type="pct"/>
            <w:tcBorders>
              <w:top w:val="nil"/>
              <w:left w:val="nil"/>
              <w:bottom w:val="single" w:sz="4" w:space="0" w:color="000000"/>
              <w:right w:val="nil"/>
            </w:tcBorders>
            <w:shd w:val="clear" w:color="000000" w:fill="FFFFFF"/>
            <w:noWrap/>
            <w:vAlign w:val="center"/>
            <w:hideMark/>
          </w:tcPr>
          <w:p w14:paraId="75ACD463" w14:textId="2FB132D0" w:rsidR="00DF02D1" w:rsidRPr="003B5469" w:rsidRDefault="00A36B1E" w:rsidP="00F16531">
            <w:pPr>
              <w:spacing w:after="0" w:line="240" w:lineRule="auto"/>
              <w:jc w:val="right"/>
              <w:rPr>
                <w:rFonts w:ascii="Arial" w:hAnsi="Arial" w:cs="Arial"/>
                <w:sz w:val="16"/>
                <w:szCs w:val="16"/>
              </w:rPr>
            </w:pPr>
            <w:r w:rsidRPr="003B5469">
              <w:rPr>
                <w:rFonts w:ascii="Arial" w:hAnsi="Arial" w:cs="Arial"/>
                <w:sz w:val="16"/>
                <w:szCs w:val="16"/>
              </w:rPr>
              <w:noBreakHyphen/>
            </w:r>
            <w:r w:rsidR="00DF02D1" w:rsidRPr="003B5469">
              <w:rPr>
                <w:rFonts w:ascii="Arial" w:hAnsi="Arial" w:cs="Arial"/>
                <w:sz w:val="16"/>
                <w:szCs w:val="16"/>
              </w:rPr>
              <w:t>61</w:t>
            </w:r>
          </w:p>
        </w:tc>
      </w:tr>
      <w:tr w:rsidR="00DF02D1" w:rsidRPr="00513ED7" w14:paraId="4E3268DF"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3BC65C6D" w14:textId="77777777" w:rsidR="00DF02D1" w:rsidRPr="003B5469" w:rsidRDefault="00DF02D1" w:rsidP="00F16531">
            <w:pPr>
              <w:spacing w:after="0" w:line="240" w:lineRule="auto"/>
              <w:jc w:val="left"/>
              <w:rPr>
                <w:rFonts w:ascii="Arial" w:hAnsi="Arial" w:cs="Arial"/>
                <w:color w:val="000000"/>
                <w:sz w:val="16"/>
                <w:szCs w:val="16"/>
              </w:rPr>
            </w:pPr>
            <w:r w:rsidRPr="003B5469">
              <w:rPr>
                <w:rFonts w:ascii="Arial" w:hAnsi="Arial" w:cs="Arial"/>
                <w:color w:val="000000"/>
                <w:sz w:val="16"/>
                <w:szCs w:val="16"/>
              </w:rPr>
              <w:t xml:space="preserve">Total excise and customs duty </w:t>
            </w:r>
          </w:p>
        </w:tc>
        <w:tc>
          <w:tcPr>
            <w:tcW w:w="621" w:type="pct"/>
            <w:tcBorders>
              <w:top w:val="nil"/>
              <w:left w:val="nil"/>
              <w:bottom w:val="nil"/>
              <w:right w:val="nil"/>
            </w:tcBorders>
            <w:shd w:val="clear" w:color="000000" w:fill="FFFFFF"/>
            <w:noWrap/>
            <w:vAlign w:val="center"/>
            <w:hideMark/>
          </w:tcPr>
          <w:p w14:paraId="43D48C87"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42,760</w:t>
            </w:r>
          </w:p>
        </w:tc>
        <w:tc>
          <w:tcPr>
            <w:tcW w:w="621" w:type="pct"/>
            <w:tcBorders>
              <w:top w:val="nil"/>
              <w:left w:val="nil"/>
              <w:bottom w:val="nil"/>
              <w:right w:val="nil"/>
            </w:tcBorders>
            <w:shd w:val="clear" w:color="000000" w:fill="EBFFFF"/>
            <w:noWrap/>
            <w:vAlign w:val="center"/>
            <w:hideMark/>
          </w:tcPr>
          <w:p w14:paraId="4C1FFA19"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42,626</w:t>
            </w:r>
          </w:p>
        </w:tc>
        <w:tc>
          <w:tcPr>
            <w:tcW w:w="621" w:type="pct"/>
            <w:tcBorders>
              <w:top w:val="nil"/>
              <w:left w:val="nil"/>
              <w:bottom w:val="nil"/>
              <w:right w:val="nil"/>
            </w:tcBorders>
            <w:shd w:val="clear" w:color="000000" w:fill="FFFFFF"/>
            <w:noWrap/>
            <w:vAlign w:val="center"/>
            <w:hideMark/>
          </w:tcPr>
          <w:p w14:paraId="01CA6FDF" w14:textId="10AC6497" w:rsidR="00DF02D1" w:rsidRPr="003B5469" w:rsidRDefault="00A36B1E"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DF02D1" w:rsidRPr="003B5469">
              <w:rPr>
                <w:rFonts w:ascii="Arial" w:hAnsi="Arial" w:cs="Arial"/>
                <w:color w:val="000000"/>
                <w:sz w:val="16"/>
                <w:szCs w:val="16"/>
              </w:rPr>
              <w:t>134</w:t>
            </w:r>
          </w:p>
        </w:tc>
      </w:tr>
      <w:tr w:rsidR="00DF02D1" w:rsidRPr="00513ED7" w14:paraId="0A375BA1" w14:textId="77777777" w:rsidTr="00607B4D">
        <w:trPr>
          <w:trHeight w:hRule="exact" w:val="60"/>
        </w:trPr>
        <w:tc>
          <w:tcPr>
            <w:tcW w:w="3136" w:type="pct"/>
            <w:tcBorders>
              <w:top w:val="nil"/>
              <w:left w:val="nil"/>
              <w:bottom w:val="nil"/>
              <w:right w:val="nil"/>
            </w:tcBorders>
            <w:shd w:val="clear" w:color="000000" w:fill="FFFFFF"/>
            <w:noWrap/>
            <w:vAlign w:val="center"/>
            <w:hideMark/>
          </w:tcPr>
          <w:p w14:paraId="7EEE08F4" w14:textId="77777777" w:rsidR="00DF02D1" w:rsidRPr="003B5469" w:rsidRDefault="00DF02D1" w:rsidP="00F16531">
            <w:pPr>
              <w:spacing w:after="0" w:line="240" w:lineRule="auto"/>
              <w:jc w:val="left"/>
              <w:rPr>
                <w:rFonts w:ascii="Arial" w:hAnsi="Arial" w:cs="Arial"/>
                <w:b/>
                <w:color w:val="000000"/>
                <w:sz w:val="16"/>
                <w:szCs w:val="16"/>
              </w:rPr>
            </w:pPr>
            <w:r w:rsidRPr="003B5469">
              <w:rPr>
                <w:rFonts w:ascii="Arial" w:hAnsi="Arial" w:cs="Arial"/>
                <w:b/>
                <w:color w:val="000000"/>
                <w:sz w:val="16"/>
                <w:szCs w:val="16"/>
              </w:rPr>
              <w:t> </w:t>
            </w:r>
          </w:p>
        </w:tc>
        <w:tc>
          <w:tcPr>
            <w:tcW w:w="621" w:type="pct"/>
            <w:tcBorders>
              <w:top w:val="nil"/>
              <w:left w:val="nil"/>
              <w:bottom w:val="nil"/>
              <w:right w:val="nil"/>
            </w:tcBorders>
            <w:shd w:val="clear" w:color="000000" w:fill="FFFFFF"/>
            <w:noWrap/>
            <w:vAlign w:val="center"/>
            <w:hideMark/>
          </w:tcPr>
          <w:p w14:paraId="0CDA7699"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21" w:type="pct"/>
            <w:tcBorders>
              <w:top w:val="nil"/>
              <w:left w:val="nil"/>
              <w:bottom w:val="nil"/>
              <w:right w:val="nil"/>
            </w:tcBorders>
            <w:shd w:val="clear" w:color="000000" w:fill="EBFFFF"/>
            <w:noWrap/>
            <w:vAlign w:val="center"/>
            <w:hideMark/>
          </w:tcPr>
          <w:p w14:paraId="34048C19"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21" w:type="pct"/>
            <w:tcBorders>
              <w:top w:val="nil"/>
              <w:left w:val="nil"/>
              <w:bottom w:val="nil"/>
              <w:right w:val="nil"/>
            </w:tcBorders>
            <w:shd w:val="clear" w:color="000000" w:fill="FFFFFF"/>
            <w:noWrap/>
            <w:vAlign w:val="center"/>
            <w:hideMark/>
          </w:tcPr>
          <w:p w14:paraId="2D7F5D9F"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DF02D1" w:rsidRPr="00513ED7" w14:paraId="74ABC341"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08C2F22E" w14:textId="77777777" w:rsidR="00DF02D1" w:rsidRPr="003B5469" w:rsidRDefault="00DF02D1" w:rsidP="00F16531">
            <w:pPr>
              <w:spacing w:after="0" w:line="240" w:lineRule="auto"/>
              <w:jc w:val="left"/>
              <w:rPr>
                <w:rFonts w:ascii="Arial" w:hAnsi="Arial" w:cs="Arial"/>
                <w:sz w:val="16"/>
                <w:szCs w:val="16"/>
              </w:rPr>
            </w:pPr>
            <w:r w:rsidRPr="003B5469">
              <w:rPr>
                <w:rFonts w:ascii="Arial" w:hAnsi="Arial" w:cs="Arial"/>
                <w:sz w:val="16"/>
                <w:szCs w:val="16"/>
              </w:rPr>
              <w:t>Major bank levy</w:t>
            </w:r>
          </w:p>
        </w:tc>
        <w:tc>
          <w:tcPr>
            <w:tcW w:w="621" w:type="pct"/>
            <w:tcBorders>
              <w:top w:val="nil"/>
              <w:left w:val="nil"/>
              <w:bottom w:val="nil"/>
              <w:right w:val="nil"/>
            </w:tcBorders>
            <w:shd w:val="clear" w:color="000000" w:fill="FFFFFF"/>
            <w:noWrap/>
            <w:vAlign w:val="center"/>
            <w:hideMark/>
          </w:tcPr>
          <w:p w14:paraId="39D17526"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1,640</w:t>
            </w:r>
          </w:p>
        </w:tc>
        <w:tc>
          <w:tcPr>
            <w:tcW w:w="621" w:type="pct"/>
            <w:tcBorders>
              <w:top w:val="nil"/>
              <w:left w:val="nil"/>
              <w:bottom w:val="nil"/>
              <w:right w:val="nil"/>
            </w:tcBorders>
            <w:shd w:val="clear" w:color="000000" w:fill="EBFFFF"/>
            <w:noWrap/>
            <w:vAlign w:val="center"/>
            <w:hideMark/>
          </w:tcPr>
          <w:p w14:paraId="3388139D"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1,572</w:t>
            </w:r>
          </w:p>
        </w:tc>
        <w:tc>
          <w:tcPr>
            <w:tcW w:w="621" w:type="pct"/>
            <w:tcBorders>
              <w:top w:val="nil"/>
              <w:left w:val="nil"/>
              <w:bottom w:val="nil"/>
              <w:right w:val="nil"/>
            </w:tcBorders>
            <w:shd w:val="clear" w:color="000000" w:fill="FFFFFF"/>
            <w:noWrap/>
            <w:vAlign w:val="center"/>
            <w:hideMark/>
          </w:tcPr>
          <w:p w14:paraId="06653B97" w14:textId="30252493" w:rsidR="00DF02D1" w:rsidRPr="003B5469" w:rsidRDefault="00A36B1E"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DF02D1" w:rsidRPr="003B5469">
              <w:rPr>
                <w:rFonts w:ascii="Arial" w:hAnsi="Arial" w:cs="Arial"/>
                <w:color w:val="000000"/>
                <w:sz w:val="16"/>
                <w:szCs w:val="16"/>
              </w:rPr>
              <w:t>68</w:t>
            </w:r>
          </w:p>
        </w:tc>
      </w:tr>
      <w:tr w:rsidR="00DF02D1" w:rsidRPr="00513ED7" w14:paraId="05C4ADE3"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7C6E85AD" w14:textId="77777777" w:rsidR="00DF02D1" w:rsidRPr="003B5469" w:rsidRDefault="00DF02D1" w:rsidP="00F16531">
            <w:pPr>
              <w:spacing w:after="0" w:line="240" w:lineRule="auto"/>
              <w:jc w:val="left"/>
              <w:rPr>
                <w:rFonts w:ascii="Arial" w:hAnsi="Arial" w:cs="Arial"/>
                <w:sz w:val="16"/>
                <w:szCs w:val="16"/>
              </w:rPr>
            </w:pPr>
            <w:r w:rsidRPr="003B5469">
              <w:rPr>
                <w:rFonts w:ascii="Arial" w:hAnsi="Arial" w:cs="Arial"/>
                <w:sz w:val="16"/>
                <w:szCs w:val="16"/>
              </w:rPr>
              <w:t>Agricultural levies</w:t>
            </w:r>
          </w:p>
        </w:tc>
        <w:tc>
          <w:tcPr>
            <w:tcW w:w="621" w:type="pct"/>
            <w:tcBorders>
              <w:top w:val="nil"/>
              <w:left w:val="nil"/>
              <w:bottom w:val="nil"/>
              <w:right w:val="nil"/>
            </w:tcBorders>
            <w:shd w:val="clear" w:color="000000" w:fill="FFFFFF"/>
            <w:noWrap/>
            <w:vAlign w:val="center"/>
            <w:hideMark/>
          </w:tcPr>
          <w:p w14:paraId="370B41CC"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509</w:t>
            </w:r>
          </w:p>
        </w:tc>
        <w:tc>
          <w:tcPr>
            <w:tcW w:w="621" w:type="pct"/>
            <w:tcBorders>
              <w:top w:val="nil"/>
              <w:left w:val="nil"/>
              <w:bottom w:val="nil"/>
              <w:right w:val="nil"/>
            </w:tcBorders>
            <w:shd w:val="clear" w:color="000000" w:fill="EBFFFF"/>
            <w:noWrap/>
            <w:vAlign w:val="center"/>
            <w:hideMark/>
          </w:tcPr>
          <w:p w14:paraId="45E80401"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534</w:t>
            </w:r>
          </w:p>
        </w:tc>
        <w:tc>
          <w:tcPr>
            <w:tcW w:w="621" w:type="pct"/>
            <w:tcBorders>
              <w:top w:val="nil"/>
              <w:left w:val="nil"/>
              <w:bottom w:val="nil"/>
              <w:right w:val="nil"/>
            </w:tcBorders>
            <w:shd w:val="clear" w:color="000000" w:fill="FFFFFF"/>
            <w:noWrap/>
            <w:vAlign w:val="center"/>
            <w:hideMark/>
          </w:tcPr>
          <w:p w14:paraId="70EE6C7B"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25</w:t>
            </w:r>
          </w:p>
        </w:tc>
      </w:tr>
      <w:tr w:rsidR="00DF02D1" w:rsidRPr="00513ED7" w14:paraId="41D228C9"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654F9309" w14:textId="77777777" w:rsidR="00DF02D1" w:rsidRPr="003B5469" w:rsidRDefault="00DF02D1" w:rsidP="00F16531">
            <w:pPr>
              <w:spacing w:after="0" w:line="240" w:lineRule="auto"/>
              <w:jc w:val="left"/>
              <w:rPr>
                <w:rFonts w:ascii="Arial" w:hAnsi="Arial" w:cs="Arial"/>
                <w:sz w:val="16"/>
                <w:szCs w:val="16"/>
              </w:rPr>
            </w:pPr>
            <w:r w:rsidRPr="003B5469">
              <w:rPr>
                <w:rFonts w:ascii="Arial" w:hAnsi="Arial" w:cs="Arial"/>
                <w:sz w:val="16"/>
                <w:szCs w:val="16"/>
              </w:rPr>
              <w:t>Other taxes</w:t>
            </w:r>
          </w:p>
        </w:tc>
        <w:tc>
          <w:tcPr>
            <w:tcW w:w="621" w:type="pct"/>
            <w:tcBorders>
              <w:top w:val="nil"/>
              <w:left w:val="nil"/>
              <w:bottom w:val="single" w:sz="4" w:space="0" w:color="000000"/>
              <w:right w:val="nil"/>
            </w:tcBorders>
            <w:shd w:val="clear" w:color="000000" w:fill="FFFFFF"/>
            <w:noWrap/>
            <w:vAlign w:val="center"/>
            <w:hideMark/>
          </w:tcPr>
          <w:p w14:paraId="38C8BB9A"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6,052</w:t>
            </w:r>
          </w:p>
        </w:tc>
        <w:tc>
          <w:tcPr>
            <w:tcW w:w="621" w:type="pct"/>
            <w:tcBorders>
              <w:top w:val="nil"/>
              <w:left w:val="nil"/>
              <w:bottom w:val="single" w:sz="4" w:space="0" w:color="000000"/>
              <w:right w:val="nil"/>
            </w:tcBorders>
            <w:shd w:val="clear" w:color="000000" w:fill="EBFFFF"/>
            <w:noWrap/>
            <w:vAlign w:val="center"/>
            <w:hideMark/>
          </w:tcPr>
          <w:p w14:paraId="07D1DC0A"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6,555</w:t>
            </w:r>
          </w:p>
        </w:tc>
        <w:tc>
          <w:tcPr>
            <w:tcW w:w="621" w:type="pct"/>
            <w:tcBorders>
              <w:top w:val="nil"/>
              <w:left w:val="nil"/>
              <w:bottom w:val="single" w:sz="4" w:space="0" w:color="000000"/>
              <w:right w:val="nil"/>
            </w:tcBorders>
            <w:shd w:val="clear" w:color="000000" w:fill="FFFFFF"/>
            <w:noWrap/>
            <w:vAlign w:val="center"/>
            <w:hideMark/>
          </w:tcPr>
          <w:p w14:paraId="18F31DFD"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502</w:t>
            </w:r>
          </w:p>
        </w:tc>
      </w:tr>
      <w:tr w:rsidR="00DF02D1" w:rsidRPr="00513ED7" w14:paraId="682C8FBC"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36737180" w14:textId="77777777" w:rsidR="00DF02D1" w:rsidRPr="003B5469" w:rsidRDefault="00DF02D1" w:rsidP="00F16531">
            <w:pPr>
              <w:spacing w:after="0" w:line="240" w:lineRule="auto"/>
              <w:jc w:val="left"/>
              <w:rPr>
                <w:rFonts w:ascii="Arial" w:hAnsi="Arial" w:cs="Arial"/>
                <w:b/>
                <w:sz w:val="16"/>
                <w:szCs w:val="16"/>
              </w:rPr>
            </w:pPr>
            <w:r w:rsidRPr="003B5469">
              <w:rPr>
                <w:rFonts w:ascii="Arial" w:hAnsi="Arial" w:cs="Arial"/>
                <w:b/>
                <w:sz w:val="16"/>
                <w:szCs w:val="16"/>
              </w:rPr>
              <w:t>Indirect taxation revenue</w:t>
            </w:r>
          </w:p>
        </w:tc>
        <w:tc>
          <w:tcPr>
            <w:tcW w:w="621" w:type="pct"/>
            <w:tcBorders>
              <w:top w:val="nil"/>
              <w:left w:val="nil"/>
              <w:bottom w:val="single" w:sz="4" w:space="0" w:color="000000"/>
              <w:right w:val="nil"/>
            </w:tcBorders>
            <w:shd w:val="clear" w:color="000000" w:fill="FFFFFF"/>
            <w:noWrap/>
            <w:vAlign w:val="center"/>
            <w:hideMark/>
          </w:tcPr>
          <w:p w14:paraId="05D6041C" w14:textId="77777777" w:rsidR="00DF02D1" w:rsidRPr="003B5469" w:rsidRDefault="00DF02D1" w:rsidP="00F16531">
            <w:pPr>
              <w:spacing w:after="0" w:line="240" w:lineRule="auto"/>
              <w:jc w:val="right"/>
              <w:rPr>
                <w:rFonts w:ascii="Arial" w:hAnsi="Arial" w:cs="Arial"/>
                <w:b/>
                <w:color w:val="000000"/>
                <w:sz w:val="16"/>
                <w:szCs w:val="16"/>
              </w:rPr>
            </w:pPr>
            <w:r w:rsidRPr="003B5469">
              <w:rPr>
                <w:rFonts w:ascii="Arial" w:hAnsi="Arial" w:cs="Arial"/>
                <w:b/>
                <w:color w:val="000000"/>
                <w:sz w:val="16"/>
                <w:szCs w:val="16"/>
              </w:rPr>
              <w:t>123,911</w:t>
            </w:r>
          </w:p>
        </w:tc>
        <w:tc>
          <w:tcPr>
            <w:tcW w:w="621" w:type="pct"/>
            <w:tcBorders>
              <w:top w:val="nil"/>
              <w:left w:val="nil"/>
              <w:bottom w:val="single" w:sz="4" w:space="0" w:color="000000"/>
              <w:right w:val="nil"/>
            </w:tcBorders>
            <w:shd w:val="clear" w:color="000000" w:fill="EBFFFF"/>
            <w:noWrap/>
            <w:vAlign w:val="center"/>
            <w:hideMark/>
          </w:tcPr>
          <w:p w14:paraId="7E685A05" w14:textId="77777777" w:rsidR="00DF02D1" w:rsidRPr="003B5469" w:rsidRDefault="00DF02D1" w:rsidP="00F16531">
            <w:pPr>
              <w:spacing w:after="0" w:line="240" w:lineRule="auto"/>
              <w:jc w:val="right"/>
              <w:rPr>
                <w:rFonts w:ascii="Arial" w:hAnsi="Arial" w:cs="Arial"/>
                <w:b/>
                <w:color w:val="000000"/>
                <w:sz w:val="16"/>
                <w:szCs w:val="16"/>
              </w:rPr>
            </w:pPr>
            <w:r w:rsidRPr="003B5469">
              <w:rPr>
                <w:rFonts w:ascii="Arial" w:hAnsi="Arial" w:cs="Arial"/>
                <w:b/>
                <w:color w:val="000000"/>
                <w:sz w:val="16"/>
                <w:szCs w:val="16"/>
              </w:rPr>
              <w:t>127,975</w:t>
            </w:r>
          </w:p>
        </w:tc>
        <w:tc>
          <w:tcPr>
            <w:tcW w:w="621" w:type="pct"/>
            <w:tcBorders>
              <w:top w:val="nil"/>
              <w:left w:val="nil"/>
              <w:bottom w:val="single" w:sz="4" w:space="0" w:color="000000"/>
              <w:right w:val="nil"/>
            </w:tcBorders>
            <w:shd w:val="clear" w:color="000000" w:fill="FFFFFF"/>
            <w:noWrap/>
            <w:vAlign w:val="center"/>
            <w:hideMark/>
          </w:tcPr>
          <w:p w14:paraId="04526655" w14:textId="77777777" w:rsidR="00DF02D1" w:rsidRPr="003B5469" w:rsidRDefault="00DF02D1" w:rsidP="00F16531">
            <w:pPr>
              <w:spacing w:after="0" w:line="240" w:lineRule="auto"/>
              <w:jc w:val="right"/>
              <w:rPr>
                <w:rFonts w:ascii="Arial" w:hAnsi="Arial" w:cs="Arial"/>
                <w:b/>
                <w:color w:val="000000"/>
                <w:sz w:val="16"/>
                <w:szCs w:val="16"/>
              </w:rPr>
            </w:pPr>
            <w:r w:rsidRPr="003B5469">
              <w:rPr>
                <w:rFonts w:ascii="Arial" w:hAnsi="Arial" w:cs="Arial"/>
                <w:b/>
                <w:color w:val="000000"/>
                <w:sz w:val="16"/>
                <w:szCs w:val="16"/>
              </w:rPr>
              <w:t>4,064</w:t>
            </w:r>
          </w:p>
        </w:tc>
      </w:tr>
      <w:tr w:rsidR="00DF02D1" w:rsidRPr="00513ED7" w14:paraId="14DE658C" w14:textId="77777777" w:rsidTr="00607B4D">
        <w:trPr>
          <w:trHeight w:hRule="exact" w:val="60"/>
        </w:trPr>
        <w:tc>
          <w:tcPr>
            <w:tcW w:w="3136" w:type="pct"/>
            <w:tcBorders>
              <w:top w:val="nil"/>
              <w:left w:val="nil"/>
              <w:bottom w:val="nil"/>
              <w:right w:val="nil"/>
            </w:tcBorders>
            <w:shd w:val="clear" w:color="000000" w:fill="FFFFFF"/>
            <w:noWrap/>
            <w:vAlign w:val="center"/>
            <w:hideMark/>
          </w:tcPr>
          <w:p w14:paraId="10931CBB" w14:textId="77777777" w:rsidR="00DF02D1" w:rsidRPr="003B5469" w:rsidRDefault="00DF02D1" w:rsidP="00F16531">
            <w:pPr>
              <w:spacing w:after="0" w:line="240" w:lineRule="auto"/>
              <w:jc w:val="left"/>
              <w:rPr>
                <w:rFonts w:ascii="Arial" w:hAnsi="Arial" w:cs="Arial"/>
                <w:b/>
                <w:color w:val="000000"/>
                <w:sz w:val="16"/>
                <w:szCs w:val="16"/>
              </w:rPr>
            </w:pPr>
            <w:r w:rsidRPr="003B5469">
              <w:rPr>
                <w:rFonts w:ascii="Arial" w:hAnsi="Arial" w:cs="Arial"/>
                <w:b/>
                <w:color w:val="000000"/>
                <w:sz w:val="16"/>
                <w:szCs w:val="16"/>
              </w:rPr>
              <w:t> </w:t>
            </w:r>
          </w:p>
        </w:tc>
        <w:tc>
          <w:tcPr>
            <w:tcW w:w="621" w:type="pct"/>
            <w:tcBorders>
              <w:top w:val="nil"/>
              <w:left w:val="nil"/>
              <w:bottom w:val="nil"/>
              <w:right w:val="nil"/>
            </w:tcBorders>
            <w:shd w:val="clear" w:color="000000" w:fill="FFFFFF"/>
            <w:noWrap/>
            <w:vAlign w:val="center"/>
            <w:hideMark/>
          </w:tcPr>
          <w:p w14:paraId="76C1E7F4"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21" w:type="pct"/>
            <w:tcBorders>
              <w:top w:val="nil"/>
              <w:left w:val="nil"/>
              <w:bottom w:val="nil"/>
              <w:right w:val="nil"/>
            </w:tcBorders>
            <w:shd w:val="clear" w:color="000000" w:fill="EBFFFF"/>
            <w:noWrap/>
            <w:vAlign w:val="center"/>
            <w:hideMark/>
          </w:tcPr>
          <w:p w14:paraId="07EC7A6C"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21" w:type="pct"/>
            <w:tcBorders>
              <w:top w:val="nil"/>
              <w:left w:val="nil"/>
              <w:bottom w:val="nil"/>
              <w:right w:val="nil"/>
            </w:tcBorders>
            <w:shd w:val="clear" w:color="000000" w:fill="FFFFFF"/>
            <w:noWrap/>
            <w:vAlign w:val="center"/>
            <w:hideMark/>
          </w:tcPr>
          <w:p w14:paraId="1621419A"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DF02D1" w:rsidRPr="00513ED7" w14:paraId="6C642895"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32EA72F8" w14:textId="77777777" w:rsidR="00DF02D1" w:rsidRPr="003B5469" w:rsidRDefault="00DF02D1" w:rsidP="00F16531">
            <w:pPr>
              <w:spacing w:after="0" w:line="240" w:lineRule="auto"/>
              <w:jc w:val="left"/>
              <w:rPr>
                <w:rFonts w:ascii="Arial" w:hAnsi="Arial" w:cs="Arial"/>
                <w:b/>
                <w:color w:val="000000"/>
                <w:sz w:val="16"/>
                <w:szCs w:val="16"/>
              </w:rPr>
            </w:pPr>
            <w:r w:rsidRPr="003B5469">
              <w:rPr>
                <w:rFonts w:ascii="Arial" w:hAnsi="Arial" w:cs="Arial"/>
                <w:b/>
                <w:color w:val="000000"/>
                <w:sz w:val="16"/>
                <w:szCs w:val="16"/>
              </w:rPr>
              <w:t>Taxation revenue</w:t>
            </w:r>
          </w:p>
        </w:tc>
        <w:tc>
          <w:tcPr>
            <w:tcW w:w="621" w:type="pct"/>
            <w:tcBorders>
              <w:top w:val="nil"/>
              <w:left w:val="nil"/>
              <w:bottom w:val="single" w:sz="4" w:space="0" w:color="000000"/>
              <w:right w:val="nil"/>
            </w:tcBorders>
            <w:shd w:val="clear" w:color="000000" w:fill="FFFFFF"/>
            <w:noWrap/>
            <w:vAlign w:val="center"/>
            <w:hideMark/>
          </w:tcPr>
          <w:p w14:paraId="67495607" w14:textId="77777777" w:rsidR="00DF02D1" w:rsidRPr="003B5469" w:rsidRDefault="00DF02D1" w:rsidP="00F16531">
            <w:pPr>
              <w:spacing w:after="0" w:line="240" w:lineRule="auto"/>
              <w:jc w:val="right"/>
              <w:rPr>
                <w:rFonts w:ascii="Arial" w:hAnsi="Arial" w:cs="Arial"/>
                <w:b/>
                <w:color w:val="000000"/>
                <w:sz w:val="16"/>
                <w:szCs w:val="16"/>
              </w:rPr>
            </w:pPr>
            <w:r w:rsidRPr="003B5469">
              <w:rPr>
                <w:rFonts w:ascii="Arial" w:hAnsi="Arial" w:cs="Arial"/>
                <w:b/>
                <w:color w:val="000000"/>
                <w:sz w:val="16"/>
                <w:szCs w:val="16"/>
              </w:rPr>
              <w:t>465,771</w:t>
            </w:r>
          </w:p>
        </w:tc>
        <w:tc>
          <w:tcPr>
            <w:tcW w:w="621" w:type="pct"/>
            <w:tcBorders>
              <w:top w:val="nil"/>
              <w:left w:val="nil"/>
              <w:bottom w:val="single" w:sz="4" w:space="0" w:color="000000"/>
              <w:right w:val="nil"/>
            </w:tcBorders>
            <w:shd w:val="clear" w:color="000000" w:fill="EBFFFF"/>
            <w:noWrap/>
            <w:vAlign w:val="center"/>
            <w:hideMark/>
          </w:tcPr>
          <w:p w14:paraId="037644C1" w14:textId="77777777" w:rsidR="00DF02D1" w:rsidRPr="003B5469" w:rsidRDefault="00DF02D1" w:rsidP="00F16531">
            <w:pPr>
              <w:spacing w:after="0" w:line="240" w:lineRule="auto"/>
              <w:jc w:val="right"/>
              <w:rPr>
                <w:rFonts w:ascii="Arial" w:hAnsi="Arial" w:cs="Arial"/>
                <w:b/>
                <w:color w:val="000000"/>
                <w:sz w:val="16"/>
                <w:szCs w:val="16"/>
              </w:rPr>
            </w:pPr>
            <w:r w:rsidRPr="003B5469">
              <w:rPr>
                <w:rFonts w:ascii="Arial" w:hAnsi="Arial" w:cs="Arial"/>
                <w:b/>
                <w:color w:val="000000"/>
                <w:sz w:val="16"/>
                <w:szCs w:val="16"/>
              </w:rPr>
              <w:t>480,221</w:t>
            </w:r>
          </w:p>
        </w:tc>
        <w:tc>
          <w:tcPr>
            <w:tcW w:w="621" w:type="pct"/>
            <w:tcBorders>
              <w:top w:val="nil"/>
              <w:left w:val="nil"/>
              <w:bottom w:val="single" w:sz="4" w:space="0" w:color="000000"/>
              <w:right w:val="nil"/>
            </w:tcBorders>
            <w:shd w:val="clear" w:color="000000" w:fill="FFFFFF"/>
            <w:noWrap/>
            <w:vAlign w:val="center"/>
            <w:hideMark/>
          </w:tcPr>
          <w:p w14:paraId="6B385D67" w14:textId="77777777" w:rsidR="00DF02D1" w:rsidRPr="003B5469" w:rsidRDefault="00DF02D1" w:rsidP="00F16531">
            <w:pPr>
              <w:spacing w:after="0" w:line="240" w:lineRule="auto"/>
              <w:jc w:val="right"/>
              <w:rPr>
                <w:rFonts w:ascii="Arial" w:hAnsi="Arial" w:cs="Arial"/>
                <w:b/>
                <w:color w:val="000000"/>
                <w:sz w:val="16"/>
                <w:szCs w:val="16"/>
              </w:rPr>
            </w:pPr>
            <w:r w:rsidRPr="003B5469">
              <w:rPr>
                <w:rFonts w:ascii="Arial" w:hAnsi="Arial" w:cs="Arial"/>
                <w:b/>
                <w:color w:val="000000"/>
                <w:sz w:val="16"/>
                <w:szCs w:val="16"/>
              </w:rPr>
              <w:t>14,450</w:t>
            </w:r>
          </w:p>
        </w:tc>
      </w:tr>
      <w:tr w:rsidR="00DF02D1" w:rsidRPr="00513ED7" w14:paraId="2F3C5DCC" w14:textId="77777777" w:rsidTr="00607B4D">
        <w:trPr>
          <w:trHeight w:hRule="exact" w:val="60"/>
        </w:trPr>
        <w:tc>
          <w:tcPr>
            <w:tcW w:w="3136" w:type="pct"/>
            <w:tcBorders>
              <w:top w:val="nil"/>
              <w:left w:val="nil"/>
              <w:bottom w:val="nil"/>
              <w:right w:val="nil"/>
            </w:tcBorders>
            <w:shd w:val="clear" w:color="000000" w:fill="FFFFFF"/>
            <w:noWrap/>
            <w:vAlign w:val="center"/>
            <w:hideMark/>
          </w:tcPr>
          <w:p w14:paraId="5975D92F" w14:textId="77777777" w:rsidR="00DF02D1" w:rsidRPr="003B5469" w:rsidRDefault="00DF02D1" w:rsidP="00F16531">
            <w:pPr>
              <w:spacing w:after="0" w:line="240" w:lineRule="auto"/>
              <w:jc w:val="left"/>
              <w:rPr>
                <w:rFonts w:ascii="Arial" w:hAnsi="Arial" w:cs="Arial"/>
                <w:b/>
                <w:color w:val="000000"/>
                <w:sz w:val="16"/>
                <w:szCs w:val="16"/>
              </w:rPr>
            </w:pPr>
            <w:r w:rsidRPr="003B5469">
              <w:rPr>
                <w:rFonts w:ascii="Arial" w:hAnsi="Arial" w:cs="Arial"/>
                <w:b/>
                <w:color w:val="000000"/>
                <w:sz w:val="16"/>
                <w:szCs w:val="16"/>
              </w:rPr>
              <w:t> </w:t>
            </w:r>
          </w:p>
        </w:tc>
        <w:tc>
          <w:tcPr>
            <w:tcW w:w="621" w:type="pct"/>
            <w:tcBorders>
              <w:top w:val="nil"/>
              <w:left w:val="nil"/>
              <w:bottom w:val="nil"/>
              <w:right w:val="nil"/>
            </w:tcBorders>
            <w:shd w:val="clear" w:color="000000" w:fill="FFFFFF"/>
            <w:noWrap/>
            <w:vAlign w:val="center"/>
            <w:hideMark/>
          </w:tcPr>
          <w:p w14:paraId="1919C00F"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21" w:type="pct"/>
            <w:tcBorders>
              <w:top w:val="nil"/>
              <w:left w:val="nil"/>
              <w:bottom w:val="nil"/>
              <w:right w:val="nil"/>
            </w:tcBorders>
            <w:shd w:val="clear" w:color="000000" w:fill="EBFFFF"/>
            <w:noWrap/>
            <w:vAlign w:val="center"/>
            <w:hideMark/>
          </w:tcPr>
          <w:p w14:paraId="0BE9CD14"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c>
          <w:tcPr>
            <w:tcW w:w="621" w:type="pct"/>
            <w:tcBorders>
              <w:top w:val="nil"/>
              <w:left w:val="nil"/>
              <w:bottom w:val="nil"/>
              <w:right w:val="nil"/>
            </w:tcBorders>
            <w:shd w:val="clear" w:color="000000" w:fill="FFFFFF"/>
            <w:noWrap/>
            <w:vAlign w:val="center"/>
            <w:hideMark/>
          </w:tcPr>
          <w:p w14:paraId="236D32A3"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 </w:t>
            </w:r>
          </w:p>
        </w:tc>
      </w:tr>
      <w:tr w:rsidR="00DF02D1" w:rsidRPr="00513ED7" w14:paraId="32349BE2"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39E738FF" w14:textId="77777777" w:rsidR="00DF02D1" w:rsidRPr="003B5469" w:rsidRDefault="00DF02D1" w:rsidP="00F16531">
            <w:pPr>
              <w:spacing w:after="0" w:line="240" w:lineRule="auto"/>
              <w:jc w:val="left"/>
              <w:rPr>
                <w:rFonts w:ascii="Arial" w:hAnsi="Arial" w:cs="Arial"/>
                <w:color w:val="000000"/>
                <w:sz w:val="16"/>
                <w:szCs w:val="16"/>
              </w:rPr>
            </w:pPr>
            <w:r w:rsidRPr="003B5469">
              <w:rPr>
                <w:rFonts w:ascii="Arial" w:hAnsi="Arial" w:cs="Arial"/>
                <w:color w:val="000000"/>
                <w:sz w:val="16"/>
                <w:szCs w:val="16"/>
              </w:rPr>
              <w:t>Sales of goods and services</w:t>
            </w:r>
          </w:p>
        </w:tc>
        <w:tc>
          <w:tcPr>
            <w:tcW w:w="621" w:type="pct"/>
            <w:tcBorders>
              <w:top w:val="nil"/>
              <w:left w:val="nil"/>
              <w:bottom w:val="nil"/>
              <w:right w:val="nil"/>
            </w:tcBorders>
            <w:shd w:val="clear" w:color="000000" w:fill="FFFFFF"/>
            <w:noWrap/>
            <w:vAlign w:val="center"/>
            <w:hideMark/>
          </w:tcPr>
          <w:p w14:paraId="768258F6"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15,947</w:t>
            </w:r>
          </w:p>
        </w:tc>
        <w:tc>
          <w:tcPr>
            <w:tcW w:w="621" w:type="pct"/>
            <w:tcBorders>
              <w:top w:val="nil"/>
              <w:left w:val="nil"/>
              <w:bottom w:val="nil"/>
              <w:right w:val="nil"/>
            </w:tcBorders>
            <w:shd w:val="clear" w:color="000000" w:fill="EBFFFF"/>
            <w:noWrap/>
            <w:vAlign w:val="center"/>
            <w:hideMark/>
          </w:tcPr>
          <w:p w14:paraId="019BDCC4"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16,022</w:t>
            </w:r>
          </w:p>
        </w:tc>
        <w:tc>
          <w:tcPr>
            <w:tcW w:w="621" w:type="pct"/>
            <w:tcBorders>
              <w:top w:val="nil"/>
              <w:left w:val="nil"/>
              <w:bottom w:val="nil"/>
              <w:right w:val="nil"/>
            </w:tcBorders>
            <w:shd w:val="clear" w:color="000000" w:fill="FFFFFF"/>
            <w:noWrap/>
            <w:vAlign w:val="center"/>
            <w:hideMark/>
          </w:tcPr>
          <w:p w14:paraId="5371075F"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76</w:t>
            </w:r>
          </w:p>
        </w:tc>
      </w:tr>
      <w:tr w:rsidR="00DF02D1" w:rsidRPr="00513ED7" w14:paraId="54B7109C"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274D0046" w14:textId="77777777" w:rsidR="00DF02D1" w:rsidRPr="003B5469" w:rsidRDefault="00DF02D1" w:rsidP="00F16531">
            <w:pPr>
              <w:spacing w:after="0" w:line="240" w:lineRule="auto"/>
              <w:jc w:val="left"/>
              <w:rPr>
                <w:rFonts w:ascii="Arial" w:hAnsi="Arial" w:cs="Arial"/>
                <w:color w:val="000000"/>
                <w:sz w:val="16"/>
                <w:szCs w:val="16"/>
              </w:rPr>
            </w:pPr>
            <w:r w:rsidRPr="003B5469">
              <w:rPr>
                <w:rFonts w:ascii="Arial" w:hAnsi="Arial" w:cs="Arial"/>
                <w:color w:val="000000"/>
                <w:sz w:val="16"/>
                <w:szCs w:val="16"/>
              </w:rPr>
              <w:t>Interest</w:t>
            </w:r>
          </w:p>
        </w:tc>
        <w:tc>
          <w:tcPr>
            <w:tcW w:w="621" w:type="pct"/>
            <w:tcBorders>
              <w:top w:val="nil"/>
              <w:left w:val="nil"/>
              <w:bottom w:val="nil"/>
              <w:right w:val="nil"/>
            </w:tcBorders>
            <w:shd w:val="clear" w:color="000000" w:fill="FFFFFF"/>
            <w:noWrap/>
            <w:vAlign w:val="center"/>
            <w:hideMark/>
          </w:tcPr>
          <w:p w14:paraId="501048BB"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2,901</w:t>
            </w:r>
          </w:p>
        </w:tc>
        <w:tc>
          <w:tcPr>
            <w:tcW w:w="621" w:type="pct"/>
            <w:tcBorders>
              <w:top w:val="nil"/>
              <w:left w:val="nil"/>
              <w:bottom w:val="nil"/>
              <w:right w:val="nil"/>
            </w:tcBorders>
            <w:shd w:val="clear" w:color="000000" w:fill="EBFFFF"/>
            <w:noWrap/>
            <w:vAlign w:val="center"/>
            <w:hideMark/>
          </w:tcPr>
          <w:p w14:paraId="1BC31CD4"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3,033</w:t>
            </w:r>
          </w:p>
        </w:tc>
        <w:tc>
          <w:tcPr>
            <w:tcW w:w="621" w:type="pct"/>
            <w:tcBorders>
              <w:top w:val="nil"/>
              <w:left w:val="nil"/>
              <w:bottom w:val="nil"/>
              <w:right w:val="nil"/>
            </w:tcBorders>
            <w:shd w:val="clear" w:color="000000" w:fill="FFFFFF"/>
            <w:noWrap/>
            <w:vAlign w:val="center"/>
            <w:hideMark/>
          </w:tcPr>
          <w:p w14:paraId="2735C443"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132</w:t>
            </w:r>
          </w:p>
        </w:tc>
      </w:tr>
      <w:tr w:rsidR="00DF02D1" w:rsidRPr="00513ED7" w14:paraId="4D8D99E9"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0E051B73" w14:textId="77777777" w:rsidR="00DF02D1" w:rsidRPr="003B5469" w:rsidRDefault="00DF02D1" w:rsidP="00F16531">
            <w:pPr>
              <w:spacing w:after="0" w:line="240" w:lineRule="auto"/>
              <w:jc w:val="left"/>
              <w:rPr>
                <w:rFonts w:ascii="Arial" w:hAnsi="Arial" w:cs="Arial"/>
                <w:color w:val="000000"/>
                <w:sz w:val="16"/>
                <w:szCs w:val="16"/>
              </w:rPr>
            </w:pPr>
            <w:r w:rsidRPr="003B5469">
              <w:rPr>
                <w:rFonts w:ascii="Arial" w:hAnsi="Arial" w:cs="Arial"/>
                <w:color w:val="000000"/>
                <w:sz w:val="16"/>
                <w:szCs w:val="16"/>
              </w:rPr>
              <w:t>Dividends and distributions(b)</w:t>
            </w:r>
          </w:p>
        </w:tc>
        <w:tc>
          <w:tcPr>
            <w:tcW w:w="621" w:type="pct"/>
            <w:tcBorders>
              <w:top w:val="nil"/>
              <w:left w:val="nil"/>
              <w:bottom w:val="nil"/>
              <w:right w:val="nil"/>
            </w:tcBorders>
            <w:shd w:val="clear" w:color="000000" w:fill="FFFFFF"/>
            <w:noWrap/>
            <w:vAlign w:val="center"/>
            <w:hideMark/>
          </w:tcPr>
          <w:p w14:paraId="74FAB808"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8,038</w:t>
            </w:r>
          </w:p>
        </w:tc>
        <w:tc>
          <w:tcPr>
            <w:tcW w:w="621" w:type="pct"/>
            <w:tcBorders>
              <w:top w:val="nil"/>
              <w:left w:val="nil"/>
              <w:bottom w:val="nil"/>
              <w:right w:val="nil"/>
            </w:tcBorders>
            <w:shd w:val="clear" w:color="000000" w:fill="EBFFFF"/>
            <w:noWrap/>
            <w:vAlign w:val="center"/>
            <w:hideMark/>
          </w:tcPr>
          <w:p w14:paraId="51730005"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10,156</w:t>
            </w:r>
          </w:p>
        </w:tc>
        <w:tc>
          <w:tcPr>
            <w:tcW w:w="621" w:type="pct"/>
            <w:tcBorders>
              <w:top w:val="nil"/>
              <w:left w:val="nil"/>
              <w:bottom w:val="nil"/>
              <w:right w:val="nil"/>
            </w:tcBorders>
            <w:shd w:val="clear" w:color="000000" w:fill="FFFFFF"/>
            <w:noWrap/>
            <w:vAlign w:val="center"/>
            <w:hideMark/>
          </w:tcPr>
          <w:p w14:paraId="43D4960F"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2,119</w:t>
            </w:r>
          </w:p>
        </w:tc>
      </w:tr>
      <w:tr w:rsidR="00DF02D1" w:rsidRPr="00513ED7" w14:paraId="28D2823D"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4C565F07" w14:textId="39387972" w:rsidR="00DF02D1" w:rsidRPr="003B5469" w:rsidRDefault="00DF02D1" w:rsidP="00F16531">
            <w:pPr>
              <w:spacing w:after="0" w:line="240" w:lineRule="auto"/>
              <w:jc w:val="left"/>
              <w:rPr>
                <w:rFonts w:ascii="Arial" w:hAnsi="Arial" w:cs="Arial"/>
                <w:color w:val="000000"/>
                <w:sz w:val="16"/>
                <w:szCs w:val="16"/>
              </w:rPr>
            </w:pPr>
            <w:r w:rsidRPr="003B5469">
              <w:rPr>
                <w:rFonts w:ascii="Arial" w:hAnsi="Arial" w:cs="Arial"/>
                <w:color w:val="000000"/>
                <w:sz w:val="16"/>
                <w:szCs w:val="16"/>
              </w:rPr>
              <w:t>Other non</w:t>
            </w:r>
            <w:r w:rsidR="00A36B1E" w:rsidRPr="003B5469">
              <w:rPr>
                <w:rFonts w:ascii="Arial" w:hAnsi="Arial" w:cs="Arial"/>
                <w:color w:val="000000"/>
                <w:sz w:val="16"/>
                <w:szCs w:val="16"/>
              </w:rPr>
              <w:noBreakHyphen/>
            </w:r>
            <w:r w:rsidRPr="003B5469">
              <w:rPr>
                <w:rFonts w:ascii="Arial" w:hAnsi="Arial" w:cs="Arial"/>
                <w:color w:val="000000"/>
                <w:sz w:val="16"/>
                <w:szCs w:val="16"/>
              </w:rPr>
              <w:t>taxation revenue</w:t>
            </w:r>
          </w:p>
        </w:tc>
        <w:tc>
          <w:tcPr>
            <w:tcW w:w="621" w:type="pct"/>
            <w:tcBorders>
              <w:top w:val="nil"/>
              <w:left w:val="nil"/>
              <w:bottom w:val="single" w:sz="4" w:space="0" w:color="000000"/>
              <w:right w:val="nil"/>
            </w:tcBorders>
            <w:shd w:val="clear" w:color="000000" w:fill="FFFFFF"/>
            <w:noWrap/>
            <w:vAlign w:val="center"/>
            <w:hideMark/>
          </w:tcPr>
          <w:p w14:paraId="28887226"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12,231</w:t>
            </w:r>
          </w:p>
        </w:tc>
        <w:tc>
          <w:tcPr>
            <w:tcW w:w="621" w:type="pct"/>
            <w:tcBorders>
              <w:top w:val="nil"/>
              <w:left w:val="nil"/>
              <w:bottom w:val="single" w:sz="4" w:space="0" w:color="000000"/>
              <w:right w:val="nil"/>
            </w:tcBorders>
            <w:shd w:val="clear" w:color="000000" w:fill="EBFFFF"/>
            <w:noWrap/>
            <w:vAlign w:val="center"/>
            <w:hideMark/>
          </w:tcPr>
          <w:p w14:paraId="158FF725" w14:textId="77777777" w:rsidR="00DF02D1" w:rsidRPr="003B5469" w:rsidRDefault="00DF02D1" w:rsidP="00F16531">
            <w:pPr>
              <w:spacing w:after="0" w:line="240" w:lineRule="auto"/>
              <w:jc w:val="right"/>
              <w:rPr>
                <w:rFonts w:ascii="Arial" w:hAnsi="Arial" w:cs="Arial"/>
                <w:sz w:val="16"/>
                <w:szCs w:val="16"/>
              </w:rPr>
            </w:pPr>
            <w:r w:rsidRPr="003B5469">
              <w:rPr>
                <w:rFonts w:ascii="Arial" w:hAnsi="Arial" w:cs="Arial"/>
                <w:sz w:val="16"/>
                <w:szCs w:val="16"/>
              </w:rPr>
              <w:t>13,580</w:t>
            </w:r>
          </w:p>
        </w:tc>
        <w:tc>
          <w:tcPr>
            <w:tcW w:w="621" w:type="pct"/>
            <w:tcBorders>
              <w:top w:val="nil"/>
              <w:left w:val="nil"/>
              <w:bottom w:val="single" w:sz="4" w:space="0" w:color="000000"/>
              <w:right w:val="nil"/>
            </w:tcBorders>
            <w:shd w:val="clear" w:color="000000" w:fill="FFFFFF"/>
            <w:noWrap/>
            <w:vAlign w:val="center"/>
            <w:hideMark/>
          </w:tcPr>
          <w:p w14:paraId="4F090A07" w14:textId="77777777" w:rsidR="00DF02D1" w:rsidRPr="003B5469" w:rsidRDefault="00DF02D1" w:rsidP="00F16531">
            <w:pPr>
              <w:spacing w:after="0" w:line="240" w:lineRule="auto"/>
              <w:jc w:val="right"/>
              <w:rPr>
                <w:rFonts w:ascii="Arial" w:hAnsi="Arial" w:cs="Arial"/>
                <w:color w:val="000000"/>
                <w:sz w:val="16"/>
                <w:szCs w:val="16"/>
              </w:rPr>
            </w:pPr>
            <w:r w:rsidRPr="003B5469">
              <w:rPr>
                <w:rFonts w:ascii="Arial" w:hAnsi="Arial" w:cs="Arial"/>
                <w:color w:val="000000"/>
                <w:sz w:val="16"/>
                <w:szCs w:val="16"/>
              </w:rPr>
              <w:t>1,349</w:t>
            </w:r>
          </w:p>
        </w:tc>
      </w:tr>
      <w:tr w:rsidR="00DF02D1" w:rsidRPr="00513ED7" w14:paraId="2846C168"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2EDB33E1" w14:textId="4B618BB1" w:rsidR="00DF02D1" w:rsidRPr="003B5469" w:rsidRDefault="00DF02D1" w:rsidP="00F16531">
            <w:pPr>
              <w:spacing w:after="0" w:line="240" w:lineRule="auto"/>
              <w:jc w:val="left"/>
              <w:rPr>
                <w:rFonts w:ascii="Arial" w:hAnsi="Arial" w:cs="Arial"/>
                <w:b/>
                <w:color w:val="000000"/>
                <w:sz w:val="16"/>
                <w:szCs w:val="16"/>
              </w:rPr>
            </w:pPr>
            <w:r w:rsidRPr="003B5469">
              <w:rPr>
                <w:rFonts w:ascii="Arial" w:hAnsi="Arial" w:cs="Arial"/>
                <w:b/>
                <w:color w:val="000000"/>
                <w:sz w:val="16"/>
                <w:szCs w:val="16"/>
              </w:rPr>
              <w:t>Non</w:t>
            </w:r>
            <w:r w:rsidR="00A36B1E" w:rsidRPr="003B5469">
              <w:rPr>
                <w:rFonts w:ascii="Arial" w:hAnsi="Arial" w:cs="Arial"/>
                <w:b/>
                <w:color w:val="000000"/>
                <w:sz w:val="16"/>
                <w:szCs w:val="16"/>
              </w:rPr>
              <w:noBreakHyphen/>
            </w:r>
            <w:r w:rsidRPr="003B5469">
              <w:rPr>
                <w:rFonts w:ascii="Arial" w:hAnsi="Arial" w:cs="Arial"/>
                <w:b/>
                <w:color w:val="000000"/>
                <w:sz w:val="16"/>
                <w:szCs w:val="16"/>
              </w:rPr>
              <w:t>taxation revenue</w:t>
            </w:r>
          </w:p>
        </w:tc>
        <w:tc>
          <w:tcPr>
            <w:tcW w:w="621" w:type="pct"/>
            <w:tcBorders>
              <w:top w:val="nil"/>
              <w:left w:val="nil"/>
              <w:bottom w:val="single" w:sz="4" w:space="0" w:color="000000"/>
              <w:right w:val="nil"/>
            </w:tcBorders>
            <w:shd w:val="clear" w:color="000000" w:fill="FFFFFF"/>
            <w:noWrap/>
            <w:vAlign w:val="center"/>
            <w:hideMark/>
          </w:tcPr>
          <w:p w14:paraId="2A6210C9" w14:textId="77777777" w:rsidR="00DF02D1" w:rsidRPr="003B5469" w:rsidRDefault="00DF02D1" w:rsidP="00F16531">
            <w:pPr>
              <w:spacing w:after="0" w:line="240" w:lineRule="auto"/>
              <w:jc w:val="right"/>
              <w:rPr>
                <w:rFonts w:ascii="Arial" w:hAnsi="Arial" w:cs="Arial"/>
                <w:b/>
                <w:sz w:val="16"/>
                <w:szCs w:val="16"/>
              </w:rPr>
            </w:pPr>
            <w:r w:rsidRPr="003B5469">
              <w:rPr>
                <w:rFonts w:ascii="Arial" w:hAnsi="Arial" w:cs="Arial"/>
                <w:b/>
                <w:sz w:val="16"/>
                <w:szCs w:val="16"/>
              </w:rPr>
              <w:t>39,116</w:t>
            </w:r>
          </w:p>
        </w:tc>
        <w:tc>
          <w:tcPr>
            <w:tcW w:w="621" w:type="pct"/>
            <w:tcBorders>
              <w:top w:val="nil"/>
              <w:left w:val="nil"/>
              <w:bottom w:val="single" w:sz="4" w:space="0" w:color="000000"/>
              <w:right w:val="nil"/>
            </w:tcBorders>
            <w:shd w:val="clear" w:color="000000" w:fill="EBFFFF"/>
            <w:noWrap/>
            <w:vAlign w:val="center"/>
            <w:hideMark/>
          </w:tcPr>
          <w:p w14:paraId="0F2AC4E4" w14:textId="77777777" w:rsidR="00DF02D1" w:rsidRPr="003B5469" w:rsidRDefault="00DF02D1" w:rsidP="00F16531">
            <w:pPr>
              <w:spacing w:after="0" w:line="240" w:lineRule="auto"/>
              <w:jc w:val="right"/>
              <w:rPr>
                <w:rFonts w:ascii="Arial" w:hAnsi="Arial" w:cs="Arial"/>
                <w:b/>
                <w:sz w:val="16"/>
                <w:szCs w:val="16"/>
              </w:rPr>
            </w:pPr>
            <w:r w:rsidRPr="003B5469">
              <w:rPr>
                <w:rFonts w:ascii="Arial" w:hAnsi="Arial" w:cs="Arial"/>
                <w:b/>
                <w:sz w:val="16"/>
                <w:szCs w:val="16"/>
              </w:rPr>
              <w:t>42,791</w:t>
            </w:r>
          </w:p>
        </w:tc>
        <w:tc>
          <w:tcPr>
            <w:tcW w:w="621" w:type="pct"/>
            <w:tcBorders>
              <w:top w:val="nil"/>
              <w:left w:val="nil"/>
              <w:bottom w:val="single" w:sz="4" w:space="0" w:color="000000"/>
              <w:right w:val="nil"/>
            </w:tcBorders>
            <w:shd w:val="clear" w:color="000000" w:fill="FFFFFF"/>
            <w:noWrap/>
            <w:vAlign w:val="center"/>
            <w:hideMark/>
          </w:tcPr>
          <w:p w14:paraId="76D01872" w14:textId="77777777" w:rsidR="00DF02D1" w:rsidRPr="003B5469" w:rsidRDefault="00DF02D1" w:rsidP="00F16531">
            <w:pPr>
              <w:spacing w:after="0" w:line="240" w:lineRule="auto"/>
              <w:jc w:val="right"/>
              <w:rPr>
                <w:rFonts w:ascii="Arial" w:hAnsi="Arial" w:cs="Arial"/>
                <w:b/>
                <w:color w:val="000000"/>
                <w:sz w:val="16"/>
                <w:szCs w:val="16"/>
              </w:rPr>
            </w:pPr>
            <w:r w:rsidRPr="003B5469">
              <w:rPr>
                <w:rFonts w:ascii="Arial" w:hAnsi="Arial" w:cs="Arial"/>
                <w:b/>
                <w:color w:val="000000"/>
                <w:sz w:val="16"/>
                <w:szCs w:val="16"/>
              </w:rPr>
              <w:t>3,675</w:t>
            </w:r>
          </w:p>
        </w:tc>
      </w:tr>
      <w:tr w:rsidR="00DF02D1" w:rsidRPr="00513ED7" w14:paraId="6C2FD587" w14:textId="77777777" w:rsidTr="00607B4D">
        <w:trPr>
          <w:trHeight w:hRule="exact" w:val="60"/>
        </w:trPr>
        <w:tc>
          <w:tcPr>
            <w:tcW w:w="3136" w:type="pct"/>
            <w:tcBorders>
              <w:top w:val="nil"/>
              <w:left w:val="nil"/>
              <w:bottom w:val="nil"/>
              <w:right w:val="nil"/>
            </w:tcBorders>
            <w:shd w:val="clear" w:color="000000" w:fill="FFFFFF"/>
            <w:noWrap/>
            <w:vAlign w:val="center"/>
            <w:hideMark/>
          </w:tcPr>
          <w:p w14:paraId="3D766D27" w14:textId="77777777" w:rsidR="00DF02D1" w:rsidRPr="003B5469" w:rsidRDefault="00DF02D1" w:rsidP="00F16531">
            <w:pPr>
              <w:spacing w:after="0" w:line="240" w:lineRule="auto"/>
              <w:jc w:val="left"/>
              <w:rPr>
                <w:rFonts w:ascii="Arial" w:hAnsi="Arial" w:cs="Arial"/>
                <w:b/>
                <w:color w:val="000000"/>
                <w:sz w:val="16"/>
                <w:szCs w:val="16"/>
              </w:rPr>
            </w:pPr>
            <w:r w:rsidRPr="003B5469">
              <w:rPr>
                <w:rFonts w:ascii="Arial" w:hAnsi="Arial" w:cs="Arial"/>
                <w:b/>
                <w:color w:val="000000"/>
                <w:sz w:val="16"/>
                <w:szCs w:val="16"/>
              </w:rPr>
              <w:t> </w:t>
            </w:r>
          </w:p>
        </w:tc>
        <w:tc>
          <w:tcPr>
            <w:tcW w:w="621" w:type="pct"/>
            <w:tcBorders>
              <w:top w:val="nil"/>
              <w:left w:val="nil"/>
              <w:bottom w:val="nil"/>
              <w:right w:val="nil"/>
            </w:tcBorders>
            <w:shd w:val="clear" w:color="000000" w:fill="FFFFFF"/>
            <w:noWrap/>
            <w:vAlign w:val="center"/>
            <w:hideMark/>
          </w:tcPr>
          <w:p w14:paraId="034637C1" w14:textId="77777777" w:rsidR="00DF02D1" w:rsidRPr="003B5469" w:rsidRDefault="00DF02D1" w:rsidP="00F16531">
            <w:pPr>
              <w:spacing w:after="0" w:line="240" w:lineRule="auto"/>
              <w:jc w:val="right"/>
              <w:rPr>
                <w:rFonts w:ascii="Arial" w:hAnsi="Arial" w:cs="Arial"/>
                <w:b/>
                <w:sz w:val="16"/>
                <w:szCs w:val="16"/>
              </w:rPr>
            </w:pPr>
            <w:r w:rsidRPr="003B5469">
              <w:rPr>
                <w:rFonts w:ascii="Arial" w:hAnsi="Arial" w:cs="Arial"/>
                <w:b/>
                <w:sz w:val="16"/>
                <w:szCs w:val="16"/>
              </w:rPr>
              <w:t> </w:t>
            </w:r>
          </w:p>
        </w:tc>
        <w:tc>
          <w:tcPr>
            <w:tcW w:w="621" w:type="pct"/>
            <w:tcBorders>
              <w:top w:val="nil"/>
              <w:left w:val="nil"/>
              <w:bottom w:val="nil"/>
              <w:right w:val="nil"/>
            </w:tcBorders>
            <w:shd w:val="clear" w:color="000000" w:fill="EBFFFF"/>
            <w:noWrap/>
            <w:vAlign w:val="center"/>
            <w:hideMark/>
          </w:tcPr>
          <w:p w14:paraId="37D59EA3" w14:textId="77777777" w:rsidR="00DF02D1" w:rsidRPr="003B5469" w:rsidRDefault="00DF02D1" w:rsidP="00F16531">
            <w:pPr>
              <w:spacing w:after="0" w:line="240" w:lineRule="auto"/>
              <w:jc w:val="right"/>
              <w:rPr>
                <w:rFonts w:ascii="Arial" w:hAnsi="Arial" w:cs="Arial"/>
                <w:b/>
                <w:sz w:val="16"/>
                <w:szCs w:val="16"/>
              </w:rPr>
            </w:pPr>
            <w:r w:rsidRPr="003B5469">
              <w:rPr>
                <w:rFonts w:ascii="Arial" w:hAnsi="Arial" w:cs="Arial"/>
                <w:b/>
                <w:sz w:val="16"/>
                <w:szCs w:val="16"/>
              </w:rPr>
              <w:t> </w:t>
            </w:r>
          </w:p>
        </w:tc>
        <w:tc>
          <w:tcPr>
            <w:tcW w:w="621" w:type="pct"/>
            <w:tcBorders>
              <w:top w:val="nil"/>
              <w:left w:val="nil"/>
              <w:bottom w:val="nil"/>
              <w:right w:val="nil"/>
            </w:tcBorders>
            <w:shd w:val="clear" w:color="000000" w:fill="FFFFFF"/>
            <w:noWrap/>
            <w:vAlign w:val="center"/>
            <w:hideMark/>
          </w:tcPr>
          <w:p w14:paraId="19339D8C" w14:textId="77777777" w:rsidR="00DF02D1" w:rsidRPr="003B5469" w:rsidRDefault="00DF02D1" w:rsidP="00F16531">
            <w:pPr>
              <w:spacing w:after="0" w:line="240" w:lineRule="auto"/>
              <w:jc w:val="right"/>
              <w:rPr>
                <w:rFonts w:ascii="Arial" w:hAnsi="Arial" w:cs="Arial"/>
                <w:b/>
                <w:color w:val="000000"/>
                <w:sz w:val="16"/>
                <w:szCs w:val="16"/>
              </w:rPr>
            </w:pPr>
            <w:r w:rsidRPr="003B5469">
              <w:rPr>
                <w:rFonts w:ascii="Arial" w:hAnsi="Arial" w:cs="Arial"/>
                <w:b/>
                <w:color w:val="000000"/>
                <w:sz w:val="16"/>
                <w:szCs w:val="16"/>
              </w:rPr>
              <w:t> </w:t>
            </w:r>
          </w:p>
        </w:tc>
      </w:tr>
      <w:tr w:rsidR="00DF02D1" w:rsidRPr="00513ED7" w14:paraId="0259F36C" w14:textId="77777777" w:rsidTr="00607B4D">
        <w:trPr>
          <w:trHeight w:hRule="exact" w:val="210"/>
        </w:trPr>
        <w:tc>
          <w:tcPr>
            <w:tcW w:w="3136" w:type="pct"/>
            <w:tcBorders>
              <w:top w:val="nil"/>
              <w:left w:val="nil"/>
              <w:bottom w:val="single" w:sz="4" w:space="0" w:color="000000"/>
              <w:right w:val="nil"/>
            </w:tcBorders>
            <w:shd w:val="clear" w:color="000000" w:fill="FFFFFF"/>
            <w:noWrap/>
            <w:vAlign w:val="center"/>
            <w:hideMark/>
          </w:tcPr>
          <w:p w14:paraId="021F9BCD" w14:textId="77777777" w:rsidR="00DF02D1" w:rsidRPr="003B5469" w:rsidRDefault="00DF02D1" w:rsidP="00F16531">
            <w:pPr>
              <w:spacing w:after="0" w:line="240" w:lineRule="auto"/>
              <w:jc w:val="left"/>
              <w:rPr>
                <w:rFonts w:ascii="Arial" w:hAnsi="Arial" w:cs="Arial"/>
                <w:b/>
                <w:color w:val="000000"/>
                <w:sz w:val="16"/>
                <w:szCs w:val="16"/>
              </w:rPr>
            </w:pPr>
            <w:r w:rsidRPr="003B5469">
              <w:rPr>
                <w:rFonts w:ascii="Arial" w:hAnsi="Arial" w:cs="Arial"/>
                <w:b/>
                <w:color w:val="000000"/>
                <w:sz w:val="16"/>
                <w:szCs w:val="16"/>
              </w:rPr>
              <w:t>Total revenue</w:t>
            </w:r>
          </w:p>
        </w:tc>
        <w:tc>
          <w:tcPr>
            <w:tcW w:w="621" w:type="pct"/>
            <w:tcBorders>
              <w:top w:val="nil"/>
              <w:left w:val="nil"/>
              <w:bottom w:val="single" w:sz="4" w:space="0" w:color="000000"/>
              <w:right w:val="nil"/>
            </w:tcBorders>
            <w:shd w:val="clear" w:color="000000" w:fill="FFFFFF"/>
            <w:noWrap/>
            <w:vAlign w:val="center"/>
            <w:hideMark/>
          </w:tcPr>
          <w:p w14:paraId="11A8AF6A" w14:textId="77777777" w:rsidR="00DF02D1" w:rsidRPr="003B5469" w:rsidRDefault="00DF02D1" w:rsidP="00F16531">
            <w:pPr>
              <w:spacing w:after="0" w:line="240" w:lineRule="auto"/>
              <w:jc w:val="right"/>
              <w:rPr>
                <w:rFonts w:ascii="Arial" w:hAnsi="Arial" w:cs="Arial"/>
                <w:b/>
                <w:sz w:val="16"/>
                <w:szCs w:val="16"/>
              </w:rPr>
            </w:pPr>
            <w:r w:rsidRPr="003B5469">
              <w:rPr>
                <w:rFonts w:ascii="Arial" w:hAnsi="Arial" w:cs="Arial"/>
                <w:b/>
                <w:sz w:val="16"/>
                <w:szCs w:val="16"/>
              </w:rPr>
              <w:t>504,888</w:t>
            </w:r>
          </w:p>
        </w:tc>
        <w:tc>
          <w:tcPr>
            <w:tcW w:w="621" w:type="pct"/>
            <w:tcBorders>
              <w:top w:val="nil"/>
              <w:left w:val="nil"/>
              <w:bottom w:val="single" w:sz="4" w:space="0" w:color="000000"/>
              <w:right w:val="nil"/>
            </w:tcBorders>
            <w:shd w:val="clear" w:color="000000" w:fill="EBFFFF"/>
            <w:noWrap/>
            <w:vAlign w:val="center"/>
            <w:hideMark/>
          </w:tcPr>
          <w:p w14:paraId="0F5E21DF" w14:textId="77777777" w:rsidR="00DF02D1" w:rsidRPr="003B5469" w:rsidRDefault="00DF02D1" w:rsidP="00F16531">
            <w:pPr>
              <w:spacing w:after="0" w:line="240" w:lineRule="auto"/>
              <w:jc w:val="right"/>
              <w:rPr>
                <w:rFonts w:ascii="Arial" w:hAnsi="Arial" w:cs="Arial"/>
                <w:b/>
                <w:sz w:val="16"/>
                <w:szCs w:val="16"/>
              </w:rPr>
            </w:pPr>
            <w:r w:rsidRPr="003B5469">
              <w:rPr>
                <w:rFonts w:ascii="Arial" w:hAnsi="Arial" w:cs="Arial"/>
                <w:b/>
                <w:sz w:val="16"/>
                <w:szCs w:val="16"/>
              </w:rPr>
              <w:t>523,012</w:t>
            </w:r>
          </w:p>
        </w:tc>
        <w:tc>
          <w:tcPr>
            <w:tcW w:w="621" w:type="pct"/>
            <w:tcBorders>
              <w:top w:val="nil"/>
              <w:left w:val="nil"/>
              <w:bottom w:val="single" w:sz="4" w:space="0" w:color="000000"/>
              <w:right w:val="nil"/>
            </w:tcBorders>
            <w:shd w:val="clear" w:color="000000" w:fill="FFFFFF"/>
            <w:noWrap/>
            <w:vAlign w:val="center"/>
            <w:hideMark/>
          </w:tcPr>
          <w:p w14:paraId="29462082" w14:textId="77777777" w:rsidR="00DF02D1" w:rsidRPr="003B5469" w:rsidRDefault="00DF02D1" w:rsidP="00F16531">
            <w:pPr>
              <w:spacing w:after="0" w:line="240" w:lineRule="auto"/>
              <w:jc w:val="right"/>
              <w:rPr>
                <w:rFonts w:ascii="Arial" w:hAnsi="Arial" w:cs="Arial"/>
                <w:b/>
                <w:color w:val="000000"/>
                <w:sz w:val="16"/>
                <w:szCs w:val="16"/>
              </w:rPr>
            </w:pPr>
            <w:r w:rsidRPr="003B5469">
              <w:rPr>
                <w:rFonts w:ascii="Arial" w:hAnsi="Arial" w:cs="Arial"/>
                <w:b/>
                <w:color w:val="000000"/>
                <w:sz w:val="16"/>
                <w:szCs w:val="16"/>
              </w:rPr>
              <w:t>18,125</w:t>
            </w:r>
          </w:p>
        </w:tc>
      </w:tr>
      <w:tr w:rsidR="00DF02D1" w:rsidRPr="00513ED7" w14:paraId="02D18E3D"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4FDC21B1" w14:textId="77777777" w:rsidR="00DF02D1" w:rsidRPr="003B5469" w:rsidRDefault="00DF02D1" w:rsidP="00F16531">
            <w:pPr>
              <w:spacing w:after="0" w:line="240" w:lineRule="auto"/>
              <w:jc w:val="left"/>
              <w:rPr>
                <w:rFonts w:ascii="Arial" w:hAnsi="Arial" w:cs="Arial"/>
                <w:i/>
                <w:sz w:val="16"/>
                <w:szCs w:val="16"/>
              </w:rPr>
            </w:pPr>
            <w:r w:rsidRPr="003B5469">
              <w:rPr>
                <w:rFonts w:ascii="Arial" w:hAnsi="Arial" w:cs="Arial"/>
                <w:i/>
                <w:sz w:val="16"/>
                <w:szCs w:val="16"/>
              </w:rPr>
              <w:t>Memorandum:</w:t>
            </w:r>
          </w:p>
        </w:tc>
        <w:tc>
          <w:tcPr>
            <w:tcW w:w="621" w:type="pct"/>
            <w:tcBorders>
              <w:top w:val="nil"/>
              <w:left w:val="nil"/>
              <w:bottom w:val="nil"/>
              <w:right w:val="nil"/>
            </w:tcBorders>
            <w:shd w:val="clear" w:color="000000" w:fill="FFFFFF"/>
            <w:noWrap/>
            <w:vAlign w:val="center"/>
            <w:hideMark/>
          </w:tcPr>
          <w:p w14:paraId="4B056AA1" w14:textId="77777777" w:rsidR="00DF02D1" w:rsidRPr="003B5469" w:rsidRDefault="00DF02D1" w:rsidP="00F16531">
            <w:pPr>
              <w:spacing w:after="0" w:line="240" w:lineRule="auto"/>
              <w:jc w:val="right"/>
              <w:rPr>
                <w:rFonts w:ascii="Arial" w:hAnsi="Arial" w:cs="Arial"/>
                <w:i/>
                <w:sz w:val="16"/>
                <w:szCs w:val="16"/>
              </w:rPr>
            </w:pPr>
            <w:r w:rsidRPr="003B5469">
              <w:rPr>
                <w:rFonts w:ascii="Arial" w:hAnsi="Arial" w:cs="Arial"/>
                <w:i/>
                <w:sz w:val="16"/>
                <w:szCs w:val="16"/>
              </w:rPr>
              <w:t> </w:t>
            </w:r>
          </w:p>
        </w:tc>
        <w:tc>
          <w:tcPr>
            <w:tcW w:w="621" w:type="pct"/>
            <w:tcBorders>
              <w:top w:val="nil"/>
              <w:left w:val="nil"/>
              <w:bottom w:val="nil"/>
              <w:right w:val="nil"/>
            </w:tcBorders>
            <w:shd w:val="clear" w:color="000000" w:fill="EBFFFF"/>
            <w:noWrap/>
            <w:vAlign w:val="center"/>
            <w:hideMark/>
          </w:tcPr>
          <w:p w14:paraId="29D87F7A" w14:textId="77777777" w:rsidR="00DF02D1" w:rsidRPr="003B5469" w:rsidRDefault="00DF02D1" w:rsidP="00F16531">
            <w:pPr>
              <w:spacing w:after="0" w:line="240" w:lineRule="auto"/>
              <w:jc w:val="right"/>
              <w:rPr>
                <w:rFonts w:ascii="Arial" w:hAnsi="Arial" w:cs="Arial"/>
                <w:i/>
                <w:sz w:val="16"/>
                <w:szCs w:val="16"/>
              </w:rPr>
            </w:pPr>
            <w:r w:rsidRPr="003B5469">
              <w:rPr>
                <w:rFonts w:ascii="Arial" w:hAnsi="Arial" w:cs="Arial"/>
                <w:i/>
                <w:sz w:val="16"/>
                <w:szCs w:val="16"/>
              </w:rPr>
              <w:t> </w:t>
            </w:r>
          </w:p>
        </w:tc>
        <w:tc>
          <w:tcPr>
            <w:tcW w:w="621" w:type="pct"/>
            <w:tcBorders>
              <w:top w:val="nil"/>
              <w:left w:val="nil"/>
              <w:bottom w:val="nil"/>
              <w:right w:val="nil"/>
            </w:tcBorders>
            <w:shd w:val="clear" w:color="000000" w:fill="FFFFFF"/>
            <w:noWrap/>
            <w:vAlign w:val="center"/>
            <w:hideMark/>
          </w:tcPr>
          <w:p w14:paraId="719F2EC1" w14:textId="77777777" w:rsidR="00DF02D1" w:rsidRPr="003B5469" w:rsidRDefault="00DF02D1" w:rsidP="00F16531">
            <w:pPr>
              <w:spacing w:after="0" w:line="240" w:lineRule="auto"/>
              <w:jc w:val="right"/>
              <w:rPr>
                <w:rFonts w:ascii="Arial" w:hAnsi="Arial" w:cs="Arial"/>
                <w:i/>
                <w:sz w:val="16"/>
                <w:szCs w:val="16"/>
              </w:rPr>
            </w:pPr>
            <w:r w:rsidRPr="003B5469">
              <w:rPr>
                <w:rFonts w:ascii="Arial" w:hAnsi="Arial" w:cs="Arial"/>
                <w:i/>
                <w:sz w:val="16"/>
                <w:szCs w:val="16"/>
              </w:rPr>
              <w:t> </w:t>
            </w:r>
          </w:p>
        </w:tc>
      </w:tr>
      <w:tr w:rsidR="00DF02D1" w:rsidRPr="00513ED7" w14:paraId="4AB47EDE" w14:textId="77777777" w:rsidTr="00607B4D">
        <w:trPr>
          <w:trHeight w:hRule="exact" w:val="210"/>
        </w:trPr>
        <w:tc>
          <w:tcPr>
            <w:tcW w:w="3136" w:type="pct"/>
            <w:tcBorders>
              <w:top w:val="nil"/>
              <w:left w:val="nil"/>
              <w:bottom w:val="nil"/>
              <w:right w:val="nil"/>
            </w:tcBorders>
            <w:shd w:val="clear" w:color="000000" w:fill="FFFFFF"/>
            <w:noWrap/>
            <w:vAlign w:val="center"/>
            <w:hideMark/>
          </w:tcPr>
          <w:p w14:paraId="3C4A71D5" w14:textId="77777777" w:rsidR="00DF02D1" w:rsidRPr="003B5469" w:rsidRDefault="00DF02D1" w:rsidP="0003189E">
            <w:pPr>
              <w:spacing w:after="0" w:line="240" w:lineRule="auto"/>
              <w:ind w:left="170"/>
              <w:jc w:val="left"/>
              <w:rPr>
                <w:rFonts w:ascii="Arial" w:hAnsi="Arial" w:cs="Arial"/>
                <w:i/>
                <w:sz w:val="16"/>
                <w:szCs w:val="16"/>
              </w:rPr>
            </w:pPr>
            <w:r w:rsidRPr="003B5469">
              <w:rPr>
                <w:rFonts w:ascii="Arial" w:hAnsi="Arial" w:cs="Arial"/>
                <w:i/>
                <w:sz w:val="16"/>
                <w:szCs w:val="16"/>
              </w:rPr>
              <w:t>Total excise</w:t>
            </w:r>
          </w:p>
        </w:tc>
        <w:tc>
          <w:tcPr>
            <w:tcW w:w="621" w:type="pct"/>
            <w:tcBorders>
              <w:top w:val="nil"/>
              <w:left w:val="nil"/>
              <w:bottom w:val="nil"/>
              <w:right w:val="nil"/>
            </w:tcBorders>
            <w:shd w:val="clear" w:color="000000" w:fill="FFFFFF"/>
            <w:noWrap/>
            <w:vAlign w:val="center"/>
            <w:hideMark/>
          </w:tcPr>
          <w:p w14:paraId="0EFDD0A6" w14:textId="77777777" w:rsidR="00DF02D1" w:rsidRPr="003B5469" w:rsidRDefault="00DF02D1" w:rsidP="00F16531">
            <w:pPr>
              <w:spacing w:after="0" w:line="240" w:lineRule="auto"/>
              <w:jc w:val="right"/>
              <w:rPr>
                <w:rFonts w:ascii="Arial" w:hAnsi="Arial" w:cs="Arial"/>
                <w:i/>
                <w:sz w:val="16"/>
                <w:szCs w:val="16"/>
              </w:rPr>
            </w:pPr>
            <w:r w:rsidRPr="003B5469">
              <w:rPr>
                <w:rFonts w:ascii="Arial" w:hAnsi="Arial" w:cs="Arial"/>
                <w:i/>
                <w:sz w:val="16"/>
                <w:szCs w:val="16"/>
              </w:rPr>
              <w:t>23,930</w:t>
            </w:r>
          </w:p>
        </w:tc>
        <w:tc>
          <w:tcPr>
            <w:tcW w:w="621" w:type="pct"/>
            <w:tcBorders>
              <w:top w:val="nil"/>
              <w:left w:val="nil"/>
              <w:bottom w:val="nil"/>
              <w:right w:val="nil"/>
            </w:tcBorders>
            <w:shd w:val="clear" w:color="000000" w:fill="EBFFFF"/>
            <w:noWrap/>
            <w:vAlign w:val="center"/>
            <w:hideMark/>
          </w:tcPr>
          <w:p w14:paraId="3A3A39BC" w14:textId="77777777" w:rsidR="00DF02D1" w:rsidRPr="003B5469" w:rsidRDefault="00DF02D1" w:rsidP="00F16531">
            <w:pPr>
              <w:spacing w:after="0" w:line="240" w:lineRule="auto"/>
              <w:jc w:val="right"/>
              <w:rPr>
                <w:rFonts w:ascii="Arial" w:hAnsi="Arial" w:cs="Arial"/>
                <w:i/>
                <w:sz w:val="16"/>
                <w:szCs w:val="16"/>
              </w:rPr>
            </w:pPr>
            <w:r w:rsidRPr="003B5469">
              <w:rPr>
                <w:rFonts w:ascii="Arial" w:hAnsi="Arial" w:cs="Arial"/>
                <w:i/>
                <w:sz w:val="16"/>
                <w:szCs w:val="16"/>
              </w:rPr>
              <w:t>24,503</w:t>
            </w:r>
          </w:p>
        </w:tc>
        <w:tc>
          <w:tcPr>
            <w:tcW w:w="621" w:type="pct"/>
            <w:tcBorders>
              <w:top w:val="nil"/>
              <w:left w:val="nil"/>
              <w:bottom w:val="nil"/>
              <w:right w:val="nil"/>
            </w:tcBorders>
            <w:shd w:val="clear" w:color="000000" w:fill="FFFFFF"/>
            <w:noWrap/>
            <w:vAlign w:val="center"/>
            <w:hideMark/>
          </w:tcPr>
          <w:p w14:paraId="66C5BB6F" w14:textId="77777777" w:rsidR="00DF02D1" w:rsidRPr="003B5469" w:rsidRDefault="00DF02D1" w:rsidP="00F16531">
            <w:pPr>
              <w:spacing w:after="0" w:line="240" w:lineRule="auto"/>
              <w:jc w:val="right"/>
              <w:rPr>
                <w:rFonts w:ascii="Arial" w:hAnsi="Arial" w:cs="Arial"/>
                <w:i/>
                <w:sz w:val="16"/>
                <w:szCs w:val="16"/>
              </w:rPr>
            </w:pPr>
            <w:r w:rsidRPr="003B5469">
              <w:rPr>
                <w:rFonts w:ascii="Arial" w:hAnsi="Arial" w:cs="Arial"/>
                <w:i/>
                <w:sz w:val="16"/>
                <w:szCs w:val="16"/>
              </w:rPr>
              <w:t>573</w:t>
            </w:r>
          </w:p>
        </w:tc>
      </w:tr>
      <w:tr w:rsidR="00DF02D1" w:rsidRPr="00513ED7" w14:paraId="66B0BF6E" w14:textId="77777777" w:rsidTr="00607B4D">
        <w:trPr>
          <w:trHeight w:hRule="exact" w:val="210"/>
        </w:trPr>
        <w:tc>
          <w:tcPr>
            <w:tcW w:w="3136" w:type="pct"/>
            <w:tcBorders>
              <w:top w:val="nil"/>
              <w:left w:val="nil"/>
              <w:bottom w:val="single" w:sz="4" w:space="0" w:color="000000"/>
              <w:right w:val="nil"/>
            </w:tcBorders>
            <w:shd w:val="clear" w:color="000000" w:fill="FFFFFF"/>
            <w:noWrap/>
            <w:vAlign w:val="center"/>
            <w:hideMark/>
          </w:tcPr>
          <w:p w14:paraId="0973F9EC" w14:textId="77777777" w:rsidR="00DF02D1" w:rsidRPr="003B5469" w:rsidRDefault="00DF02D1" w:rsidP="0003189E">
            <w:pPr>
              <w:spacing w:after="0" w:line="240" w:lineRule="auto"/>
              <w:ind w:left="170"/>
              <w:jc w:val="left"/>
              <w:rPr>
                <w:rFonts w:ascii="Arial" w:hAnsi="Arial" w:cs="Arial"/>
                <w:i/>
                <w:sz w:val="16"/>
                <w:szCs w:val="16"/>
              </w:rPr>
            </w:pPr>
            <w:r w:rsidRPr="003B5469">
              <w:rPr>
                <w:rFonts w:ascii="Arial" w:hAnsi="Arial" w:cs="Arial"/>
                <w:i/>
                <w:sz w:val="16"/>
                <w:szCs w:val="16"/>
              </w:rPr>
              <w:t>Total customs duty</w:t>
            </w:r>
          </w:p>
        </w:tc>
        <w:tc>
          <w:tcPr>
            <w:tcW w:w="621" w:type="pct"/>
            <w:tcBorders>
              <w:top w:val="nil"/>
              <w:left w:val="nil"/>
              <w:bottom w:val="single" w:sz="4" w:space="0" w:color="000000"/>
              <w:right w:val="nil"/>
            </w:tcBorders>
            <w:shd w:val="clear" w:color="000000" w:fill="FFFFFF"/>
            <w:noWrap/>
            <w:vAlign w:val="center"/>
            <w:hideMark/>
          </w:tcPr>
          <w:p w14:paraId="41477C18" w14:textId="77777777" w:rsidR="00DF02D1" w:rsidRPr="003B5469" w:rsidRDefault="00DF02D1" w:rsidP="00F16531">
            <w:pPr>
              <w:spacing w:after="0" w:line="240" w:lineRule="auto"/>
              <w:jc w:val="right"/>
              <w:rPr>
                <w:rFonts w:ascii="Arial" w:hAnsi="Arial" w:cs="Arial"/>
                <w:i/>
                <w:sz w:val="16"/>
                <w:szCs w:val="16"/>
              </w:rPr>
            </w:pPr>
            <w:r w:rsidRPr="003B5469">
              <w:rPr>
                <w:rFonts w:ascii="Arial" w:hAnsi="Arial" w:cs="Arial"/>
                <w:i/>
                <w:sz w:val="16"/>
                <w:szCs w:val="16"/>
              </w:rPr>
              <w:t>18,830</w:t>
            </w:r>
          </w:p>
        </w:tc>
        <w:tc>
          <w:tcPr>
            <w:tcW w:w="621" w:type="pct"/>
            <w:tcBorders>
              <w:top w:val="nil"/>
              <w:left w:val="nil"/>
              <w:bottom w:val="single" w:sz="4" w:space="0" w:color="000000"/>
              <w:right w:val="nil"/>
            </w:tcBorders>
            <w:shd w:val="clear" w:color="000000" w:fill="EBFFFF"/>
            <w:noWrap/>
            <w:vAlign w:val="center"/>
            <w:hideMark/>
          </w:tcPr>
          <w:p w14:paraId="6E7088BF" w14:textId="77777777" w:rsidR="00DF02D1" w:rsidRPr="003B5469" w:rsidRDefault="00DF02D1" w:rsidP="00F16531">
            <w:pPr>
              <w:spacing w:after="0" w:line="240" w:lineRule="auto"/>
              <w:jc w:val="right"/>
              <w:rPr>
                <w:rFonts w:ascii="Arial" w:hAnsi="Arial" w:cs="Arial"/>
                <w:i/>
                <w:sz w:val="16"/>
                <w:szCs w:val="16"/>
              </w:rPr>
            </w:pPr>
            <w:r w:rsidRPr="003B5469">
              <w:rPr>
                <w:rFonts w:ascii="Arial" w:hAnsi="Arial" w:cs="Arial"/>
                <w:i/>
                <w:sz w:val="16"/>
                <w:szCs w:val="16"/>
              </w:rPr>
              <w:t>18,123</w:t>
            </w:r>
          </w:p>
        </w:tc>
        <w:tc>
          <w:tcPr>
            <w:tcW w:w="621" w:type="pct"/>
            <w:tcBorders>
              <w:top w:val="nil"/>
              <w:left w:val="nil"/>
              <w:bottom w:val="single" w:sz="4" w:space="0" w:color="000000"/>
              <w:right w:val="nil"/>
            </w:tcBorders>
            <w:shd w:val="clear" w:color="000000" w:fill="FFFFFF"/>
            <w:noWrap/>
            <w:vAlign w:val="center"/>
            <w:hideMark/>
          </w:tcPr>
          <w:p w14:paraId="6E3AF408" w14:textId="38AA1BB1" w:rsidR="00DF02D1" w:rsidRPr="003B5469" w:rsidRDefault="00A36B1E" w:rsidP="00F16531">
            <w:pPr>
              <w:spacing w:after="0" w:line="240" w:lineRule="auto"/>
              <w:jc w:val="right"/>
              <w:rPr>
                <w:rFonts w:ascii="Arial" w:hAnsi="Arial" w:cs="Arial"/>
                <w:i/>
                <w:sz w:val="16"/>
                <w:szCs w:val="16"/>
              </w:rPr>
            </w:pPr>
            <w:r w:rsidRPr="003B5469">
              <w:rPr>
                <w:rFonts w:ascii="Arial" w:hAnsi="Arial" w:cs="Arial"/>
                <w:i/>
                <w:sz w:val="16"/>
                <w:szCs w:val="16"/>
              </w:rPr>
              <w:noBreakHyphen/>
            </w:r>
            <w:r w:rsidR="00DF02D1" w:rsidRPr="003B5469">
              <w:rPr>
                <w:rFonts w:ascii="Arial" w:hAnsi="Arial" w:cs="Arial"/>
                <w:i/>
                <w:sz w:val="16"/>
                <w:szCs w:val="16"/>
              </w:rPr>
              <w:t>707</w:t>
            </w:r>
          </w:p>
        </w:tc>
      </w:tr>
    </w:tbl>
    <w:p w14:paraId="37F0C9B1" w14:textId="5EBA3B3F" w:rsidR="00C204D0" w:rsidRPr="003B5469" w:rsidRDefault="00A36B1E" w:rsidP="00C61CCC">
      <w:pPr>
        <w:pStyle w:val="ChartandTableFootnoteAlpha"/>
        <w:numPr>
          <w:ilvl w:val="0"/>
          <w:numId w:val="11"/>
        </w:numPr>
        <w:tabs>
          <w:tab w:val="clear" w:pos="852"/>
          <w:tab w:val="num" w:pos="0"/>
        </w:tabs>
        <w:ind w:left="284"/>
      </w:pPr>
      <w:r w:rsidRPr="003B5469">
        <w:t>‘</w:t>
      </w:r>
      <w:r w:rsidR="00C204D0" w:rsidRPr="003B5469">
        <w:t>Other alcoholic beverages</w:t>
      </w:r>
      <w:r w:rsidRPr="003B5469">
        <w:t>’</w:t>
      </w:r>
      <w:r w:rsidR="00C204D0" w:rsidRPr="003B5469">
        <w:t xml:space="preserve"> are those not exceeding 10 per cent by volume of alcohol (excluding beer, brandy and wine).</w:t>
      </w:r>
    </w:p>
    <w:p w14:paraId="0ED2F36B" w14:textId="724899B4" w:rsidR="004513F6" w:rsidRPr="00513ED7" w:rsidRDefault="00A36B1E" w:rsidP="00C61CCC">
      <w:pPr>
        <w:pStyle w:val="ChartandTableFootnoteAlpha"/>
        <w:tabs>
          <w:tab w:val="clear" w:pos="852"/>
          <w:tab w:val="num" w:pos="0"/>
        </w:tabs>
        <w:ind w:left="284"/>
      </w:pPr>
      <w:r w:rsidRPr="003B5469">
        <w:t>‘</w:t>
      </w:r>
      <w:r w:rsidR="00BB0C5A" w:rsidRPr="003B5469">
        <w:t>Dividends</w:t>
      </w:r>
      <w:r w:rsidRPr="003B5469">
        <w:t>’</w:t>
      </w:r>
      <w:r w:rsidR="00BB0C5A" w:rsidRPr="003B5469">
        <w:t xml:space="preserve"> has been renamed </w:t>
      </w:r>
      <w:r w:rsidRPr="003B5469">
        <w:t>‘</w:t>
      </w:r>
      <w:r w:rsidR="00BB0C5A" w:rsidRPr="003B5469">
        <w:t>dividends and distributions</w:t>
      </w:r>
      <w:r w:rsidRPr="003B5469">
        <w:t>’</w:t>
      </w:r>
      <w:r w:rsidR="00BB0C5A" w:rsidRPr="003B5469">
        <w:t xml:space="preserve"> to more accurately reflect the </w:t>
      </w:r>
      <w:r w:rsidR="0001303D" w:rsidRPr="003B5469">
        <w:t>transactions included in this item</w:t>
      </w:r>
      <w:r w:rsidR="00110C29" w:rsidRPr="003B5469">
        <w:t>.</w:t>
      </w:r>
    </w:p>
    <w:p w14:paraId="3C487B48" w14:textId="77777777" w:rsidR="004513F6" w:rsidRPr="00513ED7" w:rsidRDefault="004513F6" w:rsidP="004513F6"/>
    <w:p w14:paraId="7566C687" w14:textId="4FA41E8B" w:rsidR="00C204D0" w:rsidRPr="0077192E" w:rsidRDefault="00C204D0" w:rsidP="0059341C">
      <w:pPr>
        <w:pStyle w:val="Heading3"/>
      </w:pPr>
      <w:r w:rsidRPr="0077192E">
        <w:lastRenderedPageBreak/>
        <w:t>Expenses and net capital investment</w:t>
      </w:r>
    </w:p>
    <w:p w14:paraId="2E5DB825" w14:textId="59AE67DF" w:rsidR="00B31495" w:rsidRPr="0077192E" w:rsidRDefault="00B31495" w:rsidP="00B31495">
      <w:r w:rsidRPr="0077192E">
        <w:t>Total expenses were $651.9 billion in 2020</w:t>
      </w:r>
      <w:r w:rsidR="00A36B1E" w:rsidRPr="0077192E">
        <w:noBreakHyphen/>
      </w:r>
      <w:r w:rsidRPr="0077192E">
        <w:t>21, $7.5 billion lower than estimated at the time of the 2021</w:t>
      </w:r>
      <w:r w:rsidR="00A36B1E" w:rsidRPr="0077192E">
        <w:noBreakHyphen/>
      </w:r>
      <w:r w:rsidRPr="0077192E">
        <w:t>22 Budget. Total net capital investment for 2020</w:t>
      </w:r>
      <w:r w:rsidR="00A36B1E" w:rsidRPr="0077192E">
        <w:noBreakHyphen/>
      </w:r>
      <w:r w:rsidRPr="0077192E">
        <w:t>21 was $7.2 billion, $1.4 billion lower than the estimate of $8.6 billion at the time of the 2021</w:t>
      </w:r>
      <w:r w:rsidR="00A36B1E" w:rsidRPr="0077192E">
        <w:noBreakHyphen/>
      </w:r>
      <w:r w:rsidRPr="0077192E">
        <w:t>22 Budget. This results in an $8.9 billion lower</w:t>
      </w:r>
      <w:r w:rsidR="00A36B1E" w:rsidRPr="0077192E">
        <w:noBreakHyphen/>
      </w:r>
      <w:r w:rsidRPr="0077192E">
        <w:t>than</w:t>
      </w:r>
      <w:r w:rsidR="00A36B1E" w:rsidRPr="0077192E">
        <w:noBreakHyphen/>
      </w:r>
      <w:r w:rsidRPr="0077192E">
        <w:t>estimated net outcome for expenses and net capital investment of $659.1 billion compared to the 2021</w:t>
      </w:r>
      <w:r w:rsidR="00A36B1E" w:rsidRPr="0077192E">
        <w:noBreakHyphen/>
      </w:r>
      <w:r w:rsidRPr="0077192E">
        <w:t>22 Budget.</w:t>
      </w:r>
    </w:p>
    <w:p w14:paraId="5C6E1F28" w14:textId="68496442" w:rsidR="00B31495" w:rsidRPr="0077192E" w:rsidRDefault="00B31495" w:rsidP="00B31495">
      <w:r w:rsidRPr="0077192E">
        <w:t>In comparison, cash payments were $654.1 billion in 2020</w:t>
      </w:r>
      <w:r w:rsidR="00A36B1E" w:rsidRPr="0077192E">
        <w:noBreakHyphen/>
      </w:r>
      <w:r w:rsidRPr="0077192E">
        <w:t>21, $6.7 billion lower than estimated at the time of the 2021</w:t>
      </w:r>
      <w:r w:rsidR="00A36B1E" w:rsidRPr="0077192E">
        <w:noBreakHyphen/>
      </w:r>
      <w:r w:rsidRPr="0077192E">
        <w:t>22 Budget.</w:t>
      </w:r>
    </w:p>
    <w:p w14:paraId="07AE38D2" w14:textId="77777777" w:rsidR="00972894" w:rsidRPr="0077192E" w:rsidRDefault="00972894" w:rsidP="00F71B4C">
      <w:r w:rsidRPr="0077192E">
        <w:t>The difference of $</w:t>
      </w:r>
      <w:r w:rsidR="00B31495" w:rsidRPr="0077192E">
        <w:t>5.0</w:t>
      </w:r>
      <w:r w:rsidRPr="0077192E">
        <w:t xml:space="preserve"> billion between the net outcome for expenses and net capital investment and the outcome for cash payments is primarily due to timing differences in the accounting treatment of expenses and the associated cash flow, including for the payment of GST revenue to the states and territories under the General Revenue Assistance program and for the Government superannuation programs.</w:t>
      </w:r>
    </w:p>
    <w:p w14:paraId="41C68A5C" w14:textId="014075F6" w:rsidR="00972894" w:rsidRPr="003B5469" w:rsidRDefault="00972894" w:rsidP="00F71B4C">
      <w:r w:rsidRPr="0077192E">
        <w:t>Further information on expenses by function and sub</w:t>
      </w:r>
      <w:r w:rsidR="00A36B1E" w:rsidRPr="0077192E">
        <w:noBreakHyphen/>
      </w:r>
      <w:r w:rsidRPr="0077192E">
        <w:t>function is provided in Appendix A.</w:t>
      </w:r>
    </w:p>
    <w:p w14:paraId="599B0478" w14:textId="6733F753" w:rsidR="00491417" w:rsidRPr="00513ED7" w:rsidRDefault="00491417">
      <w:pPr>
        <w:spacing w:after="160" w:line="259" w:lineRule="auto"/>
        <w:jc w:val="left"/>
        <w:rPr>
          <w:rFonts w:ascii="Arial" w:hAnsi="Arial"/>
          <w:b/>
        </w:rPr>
      </w:pPr>
      <w:r w:rsidRPr="00513ED7">
        <w:br w:type="page"/>
      </w:r>
    </w:p>
    <w:p w14:paraId="019F83A8" w14:textId="1398C7C1" w:rsidR="002D2E4F" w:rsidRPr="003B5469" w:rsidRDefault="00C204D0" w:rsidP="002D2E4F">
      <w:pPr>
        <w:pStyle w:val="TableHeading"/>
        <w:rPr>
          <w:rFonts w:asciiTheme="minorHAnsi" w:eastAsiaTheme="minorHAnsi" w:hAnsiTheme="minorHAnsi" w:cstheme="minorBidi"/>
          <w:sz w:val="22"/>
          <w:szCs w:val="22"/>
          <w:lang w:eastAsia="en-US"/>
        </w:rPr>
      </w:pPr>
      <w:r w:rsidRPr="003B5469">
        <w:lastRenderedPageBreak/>
        <w:t xml:space="preserve">Table </w:t>
      </w:r>
      <w:r w:rsidR="0001752C" w:rsidRPr="003B5469">
        <w:t>7</w:t>
      </w:r>
      <w:r w:rsidRPr="003B5469">
        <w:t>: Australian Government general government sector expenses by function</w:t>
      </w:r>
      <w:bookmarkStart w:id="8" w:name="_1693631735"/>
      <w:bookmarkEnd w:id="8"/>
    </w:p>
    <w:tbl>
      <w:tblPr>
        <w:tblW w:w="5000" w:type="pct"/>
        <w:tblCellMar>
          <w:left w:w="0" w:type="dxa"/>
          <w:right w:w="28" w:type="dxa"/>
        </w:tblCellMar>
        <w:tblLook w:val="04A0" w:firstRow="1" w:lastRow="0" w:firstColumn="1" w:lastColumn="0" w:noHBand="0" w:noVBand="1"/>
      </w:tblPr>
      <w:tblGrid>
        <w:gridCol w:w="4857"/>
        <w:gridCol w:w="951"/>
        <w:gridCol w:w="951"/>
        <w:gridCol w:w="951"/>
      </w:tblGrid>
      <w:tr w:rsidR="002D2E4F" w:rsidRPr="00513ED7" w14:paraId="1F6499CB" w14:textId="77777777" w:rsidTr="002D2E4F">
        <w:trPr>
          <w:trHeight w:hRule="exact" w:val="225"/>
        </w:trPr>
        <w:tc>
          <w:tcPr>
            <w:tcW w:w="3148" w:type="pct"/>
            <w:tcBorders>
              <w:top w:val="single" w:sz="4" w:space="0" w:color="000000"/>
              <w:left w:val="nil"/>
              <w:bottom w:val="nil"/>
              <w:right w:val="nil"/>
            </w:tcBorders>
            <w:shd w:val="clear" w:color="000000" w:fill="FFFFFF"/>
            <w:noWrap/>
            <w:vAlign w:val="center"/>
            <w:hideMark/>
          </w:tcPr>
          <w:p w14:paraId="72D98BEC" w14:textId="62E18B07" w:rsidR="002D2E4F" w:rsidRPr="003B5469" w:rsidRDefault="002D2E4F" w:rsidP="002D2E4F">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17" w:type="pct"/>
            <w:tcBorders>
              <w:top w:val="single" w:sz="4" w:space="0" w:color="000000"/>
              <w:left w:val="nil"/>
              <w:bottom w:val="nil"/>
              <w:right w:val="nil"/>
            </w:tcBorders>
            <w:shd w:val="clear" w:color="000000" w:fill="FFFFFF"/>
            <w:noWrap/>
            <w:vAlign w:val="center"/>
            <w:hideMark/>
          </w:tcPr>
          <w:p w14:paraId="1ED9D273" w14:textId="33BC6674" w:rsidR="002D2E4F" w:rsidRPr="003B5469" w:rsidRDefault="002D2E4F" w:rsidP="002D2E4F">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617" w:type="pct"/>
            <w:tcBorders>
              <w:top w:val="single" w:sz="4" w:space="0" w:color="000000"/>
              <w:left w:val="nil"/>
              <w:bottom w:val="nil"/>
              <w:right w:val="nil"/>
            </w:tcBorders>
            <w:shd w:val="clear" w:color="000000" w:fill="EBFFFF"/>
            <w:noWrap/>
            <w:vAlign w:val="center"/>
            <w:hideMark/>
          </w:tcPr>
          <w:p w14:paraId="256B470B" w14:textId="424B025E" w:rsidR="002D2E4F" w:rsidRPr="003B5469" w:rsidRDefault="002D2E4F" w:rsidP="002D2E4F">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617" w:type="pct"/>
            <w:tcBorders>
              <w:top w:val="single" w:sz="4" w:space="0" w:color="000000"/>
              <w:left w:val="nil"/>
              <w:bottom w:val="nil"/>
              <w:right w:val="nil"/>
            </w:tcBorders>
            <w:shd w:val="clear" w:color="000000" w:fill="FFFFFF"/>
            <w:noWrap/>
            <w:vAlign w:val="bottom"/>
            <w:hideMark/>
          </w:tcPr>
          <w:p w14:paraId="1F912C7E" w14:textId="77777777" w:rsidR="002D2E4F" w:rsidRPr="003B5469" w:rsidRDefault="002D2E4F" w:rsidP="002D2E4F">
            <w:pPr>
              <w:spacing w:after="0" w:line="240" w:lineRule="auto"/>
              <w:jc w:val="right"/>
              <w:rPr>
                <w:rFonts w:ascii="Arial" w:hAnsi="Arial" w:cs="Arial"/>
                <w:sz w:val="16"/>
                <w:szCs w:val="16"/>
              </w:rPr>
            </w:pPr>
            <w:r w:rsidRPr="003B5469">
              <w:rPr>
                <w:rFonts w:ascii="Arial" w:hAnsi="Arial" w:cs="Arial"/>
                <w:sz w:val="16"/>
                <w:szCs w:val="16"/>
              </w:rPr>
              <w:t>Change on</w:t>
            </w:r>
          </w:p>
        </w:tc>
      </w:tr>
      <w:tr w:rsidR="002D2E4F" w:rsidRPr="00513ED7" w14:paraId="6D748259"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716CC72D" w14:textId="77777777" w:rsidR="002D2E4F" w:rsidRPr="003B5469" w:rsidRDefault="002D2E4F" w:rsidP="002D2E4F">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7521FFA8" w14:textId="77777777" w:rsidR="002D2E4F" w:rsidRPr="003B5469" w:rsidRDefault="002D2E4F" w:rsidP="002D2E4F">
            <w:pPr>
              <w:spacing w:after="0" w:line="240" w:lineRule="auto"/>
              <w:jc w:val="right"/>
              <w:rPr>
                <w:rFonts w:ascii="Arial" w:hAnsi="Arial" w:cs="Arial"/>
                <w:sz w:val="16"/>
                <w:szCs w:val="16"/>
              </w:rPr>
            </w:pPr>
            <w:r w:rsidRPr="003B5469">
              <w:rPr>
                <w:rFonts w:ascii="Arial" w:hAnsi="Arial" w:cs="Arial"/>
                <w:sz w:val="16"/>
                <w:szCs w:val="16"/>
              </w:rPr>
              <w:t>Estimate at</w:t>
            </w:r>
          </w:p>
        </w:tc>
        <w:tc>
          <w:tcPr>
            <w:tcW w:w="617" w:type="pct"/>
            <w:tcBorders>
              <w:top w:val="nil"/>
              <w:left w:val="nil"/>
              <w:bottom w:val="nil"/>
              <w:right w:val="nil"/>
            </w:tcBorders>
            <w:shd w:val="clear" w:color="000000" w:fill="EBFFFF"/>
            <w:noWrap/>
            <w:vAlign w:val="center"/>
            <w:hideMark/>
          </w:tcPr>
          <w:p w14:paraId="3459C90B" w14:textId="77777777" w:rsidR="002D2E4F" w:rsidRPr="003B5469" w:rsidRDefault="002D2E4F" w:rsidP="002D2E4F">
            <w:pPr>
              <w:spacing w:after="0" w:line="240" w:lineRule="auto"/>
              <w:jc w:val="right"/>
              <w:rPr>
                <w:rFonts w:ascii="Arial" w:hAnsi="Arial" w:cs="Arial"/>
                <w:sz w:val="16"/>
                <w:szCs w:val="16"/>
              </w:rPr>
            </w:pPr>
            <w:r w:rsidRPr="003B5469">
              <w:rPr>
                <w:rFonts w:ascii="Arial" w:hAnsi="Arial" w:cs="Arial"/>
                <w:sz w:val="16"/>
                <w:szCs w:val="16"/>
              </w:rPr>
              <w:t>Outcome</w:t>
            </w:r>
          </w:p>
        </w:tc>
        <w:tc>
          <w:tcPr>
            <w:tcW w:w="617" w:type="pct"/>
            <w:tcBorders>
              <w:top w:val="nil"/>
              <w:left w:val="nil"/>
              <w:bottom w:val="nil"/>
              <w:right w:val="nil"/>
            </w:tcBorders>
            <w:shd w:val="clear" w:color="000000" w:fill="FFFFFF"/>
            <w:noWrap/>
            <w:vAlign w:val="center"/>
            <w:hideMark/>
          </w:tcPr>
          <w:p w14:paraId="73826BF5" w14:textId="6046EFE6" w:rsidR="002D2E4F" w:rsidRPr="003B5469" w:rsidRDefault="002D2E4F" w:rsidP="002D2E4F">
            <w:pPr>
              <w:spacing w:after="0" w:line="240" w:lineRule="auto"/>
              <w:jc w:val="right"/>
              <w:rPr>
                <w:rFonts w:ascii="Arial" w:hAnsi="Arial" w:cs="Arial"/>
                <w:sz w:val="16"/>
                <w:szCs w:val="16"/>
              </w:rPr>
            </w:pPr>
            <w:r w:rsidRPr="003B5469">
              <w:rPr>
                <w:rFonts w:ascii="Arial" w:hAnsi="Arial" w:cs="Arial"/>
                <w:sz w:val="16"/>
                <w:szCs w:val="16"/>
              </w:rPr>
              <w:t>2021</w:t>
            </w:r>
            <w:r w:rsidR="00A36B1E" w:rsidRPr="003B5469">
              <w:rPr>
                <w:rFonts w:ascii="Arial" w:hAnsi="Arial" w:cs="Arial"/>
                <w:sz w:val="16"/>
                <w:szCs w:val="16"/>
              </w:rPr>
              <w:noBreakHyphen/>
            </w:r>
            <w:r w:rsidRPr="003B5469">
              <w:rPr>
                <w:rFonts w:ascii="Arial" w:hAnsi="Arial" w:cs="Arial"/>
                <w:sz w:val="16"/>
                <w:szCs w:val="16"/>
              </w:rPr>
              <w:t>22</w:t>
            </w:r>
          </w:p>
        </w:tc>
      </w:tr>
      <w:tr w:rsidR="002D2E4F" w:rsidRPr="00513ED7" w14:paraId="7C52ACCD"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29B98359" w14:textId="77777777" w:rsidR="002D2E4F" w:rsidRPr="003B5469" w:rsidRDefault="002D2E4F" w:rsidP="002D2E4F">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4CF0C047" w14:textId="49379FB3" w:rsidR="002D2E4F" w:rsidRPr="003B5469" w:rsidRDefault="002D2E4F" w:rsidP="002D2E4F">
            <w:pPr>
              <w:spacing w:after="0" w:line="240" w:lineRule="auto"/>
              <w:jc w:val="right"/>
              <w:rPr>
                <w:rFonts w:ascii="Arial" w:hAnsi="Arial" w:cs="Arial"/>
                <w:sz w:val="16"/>
                <w:szCs w:val="16"/>
              </w:rPr>
            </w:pPr>
            <w:r w:rsidRPr="003B5469">
              <w:rPr>
                <w:rFonts w:ascii="Arial" w:hAnsi="Arial" w:cs="Arial"/>
                <w:sz w:val="16"/>
                <w:szCs w:val="16"/>
              </w:rPr>
              <w:t>2021</w:t>
            </w:r>
            <w:r w:rsidR="00A36B1E" w:rsidRPr="003B5469">
              <w:rPr>
                <w:rFonts w:ascii="Arial" w:hAnsi="Arial" w:cs="Arial"/>
                <w:sz w:val="16"/>
                <w:szCs w:val="16"/>
              </w:rPr>
              <w:noBreakHyphen/>
            </w:r>
            <w:r w:rsidRPr="003B5469">
              <w:rPr>
                <w:rFonts w:ascii="Arial" w:hAnsi="Arial" w:cs="Arial"/>
                <w:sz w:val="16"/>
                <w:szCs w:val="16"/>
              </w:rPr>
              <w:t>22</w:t>
            </w:r>
          </w:p>
        </w:tc>
        <w:tc>
          <w:tcPr>
            <w:tcW w:w="617" w:type="pct"/>
            <w:tcBorders>
              <w:top w:val="nil"/>
              <w:left w:val="nil"/>
              <w:bottom w:val="nil"/>
              <w:right w:val="nil"/>
            </w:tcBorders>
            <w:shd w:val="clear" w:color="000000" w:fill="EBFFFF"/>
            <w:noWrap/>
            <w:vAlign w:val="center"/>
            <w:hideMark/>
          </w:tcPr>
          <w:p w14:paraId="4B0D408E" w14:textId="77777777" w:rsidR="002D2E4F" w:rsidRPr="003B5469" w:rsidRDefault="002D2E4F" w:rsidP="002D2E4F">
            <w:pPr>
              <w:spacing w:after="0" w:line="240" w:lineRule="auto"/>
              <w:jc w:val="right"/>
              <w:rPr>
                <w:rFonts w:ascii="Arial" w:hAnsi="Arial" w:cs="Arial"/>
                <w:sz w:val="16"/>
                <w:szCs w:val="16"/>
              </w:rPr>
            </w:pPr>
            <w:r w:rsidRPr="003B5469">
              <w:rPr>
                <w:rFonts w:ascii="Arial" w:hAnsi="Arial" w:cs="Arial"/>
                <w:sz w:val="16"/>
                <w:szCs w:val="16"/>
              </w:rPr>
              <w:t> </w:t>
            </w:r>
          </w:p>
        </w:tc>
        <w:tc>
          <w:tcPr>
            <w:tcW w:w="617" w:type="pct"/>
            <w:tcBorders>
              <w:top w:val="nil"/>
              <w:left w:val="nil"/>
              <w:bottom w:val="nil"/>
              <w:right w:val="nil"/>
            </w:tcBorders>
            <w:shd w:val="clear" w:color="000000" w:fill="FFFFFF"/>
            <w:noWrap/>
            <w:vAlign w:val="bottom"/>
            <w:hideMark/>
          </w:tcPr>
          <w:p w14:paraId="56725C7B" w14:textId="77777777" w:rsidR="002D2E4F" w:rsidRPr="003B5469" w:rsidRDefault="002D2E4F" w:rsidP="002D2E4F">
            <w:pPr>
              <w:spacing w:after="0" w:line="240" w:lineRule="auto"/>
              <w:jc w:val="right"/>
              <w:rPr>
                <w:rFonts w:ascii="Arial" w:hAnsi="Arial" w:cs="Arial"/>
                <w:sz w:val="16"/>
                <w:szCs w:val="16"/>
              </w:rPr>
            </w:pPr>
            <w:r w:rsidRPr="003B5469">
              <w:rPr>
                <w:rFonts w:ascii="Arial" w:hAnsi="Arial" w:cs="Arial"/>
                <w:sz w:val="16"/>
                <w:szCs w:val="16"/>
              </w:rPr>
              <w:t>Budget</w:t>
            </w:r>
          </w:p>
        </w:tc>
      </w:tr>
      <w:tr w:rsidR="002D2E4F" w:rsidRPr="00513ED7" w14:paraId="4DC0A1A4"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0ABC37AD" w14:textId="77777777" w:rsidR="002D2E4F" w:rsidRPr="003B5469" w:rsidRDefault="002D2E4F" w:rsidP="002D2E4F">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71B09D6B" w14:textId="77777777" w:rsidR="002D2E4F" w:rsidRPr="003B5469" w:rsidRDefault="002D2E4F" w:rsidP="002D2E4F">
            <w:pPr>
              <w:spacing w:after="0" w:line="240" w:lineRule="auto"/>
              <w:jc w:val="right"/>
              <w:rPr>
                <w:rFonts w:ascii="Arial" w:hAnsi="Arial" w:cs="Arial"/>
                <w:sz w:val="16"/>
                <w:szCs w:val="16"/>
              </w:rPr>
            </w:pPr>
            <w:r w:rsidRPr="003B5469">
              <w:rPr>
                <w:rFonts w:ascii="Arial" w:hAnsi="Arial" w:cs="Arial"/>
                <w:sz w:val="16"/>
                <w:szCs w:val="16"/>
              </w:rPr>
              <w:t>Budget</w:t>
            </w:r>
          </w:p>
        </w:tc>
        <w:tc>
          <w:tcPr>
            <w:tcW w:w="617" w:type="pct"/>
            <w:tcBorders>
              <w:top w:val="nil"/>
              <w:left w:val="nil"/>
              <w:bottom w:val="nil"/>
              <w:right w:val="nil"/>
            </w:tcBorders>
            <w:shd w:val="clear" w:color="000000" w:fill="EBFFFF"/>
            <w:noWrap/>
            <w:vAlign w:val="center"/>
            <w:hideMark/>
          </w:tcPr>
          <w:p w14:paraId="1F940D35" w14:textId="77777777" w:rsidR="002D2E4F" w:rsidRPr="003B5469" w:rsidRDefault="002D2E4F" w:rsidP="002D2E4F">
            <w:pPr>
              <w:spacing w:after="0" w:line="240" w:lineRule="auto"/>
              <w:jc w:val="right"/>
              <w:rPr>
                <w:rFonts w:ascii="Arial" w:hAnsi="Arial" w:cs="Arial"/>
                <w:sz w:val="16"/>
                <w:szCs w:val="16"/>
              </w:rPr>
            </w:pPr>
            <w:r w:rsidRPr="003B5469">
              <w:rPr>
                <w:rFonts w:ascii="Arial" w:hAnsi="Arial" w:cs="Arial"/>
                <w:sz w:val="16"/>
                <w:szCs w:val="16"/>
              </w:rPr>
              <w:t> </w:t>
            </w:r>
          </w:p>
        </w:tc>
        <w:tc>
          <w:tcPr>
            <w:tcW w:w="617" w:type="pct"/>
            <w:tcBorders>
              <w:top w:val="nil"/>
              <w:left w:val="nil"/>
              <w:bottom w:val="nil"/>
              <w:right w:val="nil"/>
            </w:tcBorders>
            <w:shd w:val="clear" w:color="000000" w:fill="FFFFFF"/>
            <w:noWrap/>
            <w:vAlign w:val="bottom"/>
            <w:hideMark/>
          </w:tcPr>
          <w:p w14:paraId="0DCB5D22" w14:textId="77777777" w:rsidR="002D2E4F" w:rsidRPr="003B5469" w:rsidRDefault="002D2E4F" w:rsidP="002D2E4F">
            <w:pPr>
              <w:spacing w:after="0" w:line="240" w:lineRule="auto"/>
              <w:jc w:val="right"/>
              <w:rPr>
                <w:rFonts w:ascii="Arial" w:hAnsi="Arial" w:cs="Arial"/>
                <w:sz w:val="16"/>
                <w:szCs w:val="16"/>
              </w:rPr>
            </w:pPr>
            <w:r w:rsidRPr="003B5469">
              <w:rPr>
                <w:rFonts w:ascii="Arial" w:hAnsi="Arial" w:cs="Arial"/>
                <w:sz w:val="16"/>
                <w:szCs w:val="16"/>
              </w:rPr>
              <w:t> </w:t>
            </w:r>
          </w:p>
        </w:tc>
      </w:tr>
      <w:tr w:rsidR="002D2E4F" w:rsidRPr="00513ED7" w14:paraId="1E581E46"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7205E492" w14:textId="77777777" w:rsidR="002D2E4F" w:rsidRPr="003B5469" w:rsidRDefault="002D2E4F" w:rsidP="002D2E4F">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17" w:type="pct"/>
            <w:tcBorders>
              <w:top w:val="nil"/>
              <w:left w:val="nil"/>
              <w:bottom w:val="single" w:sz="4" w:space="0" w:color="000000"/>
              <w:right w:val="nil"/>
            </w:tcBorders>
            <w:shd w:val="clear" w:color="000000" w:fill="FFFFFF"/>
            <w:noWrap/>
            <w:vAlign w:val="center"/>
            <w:hideMark/>
          </w:tcPr>
          <w:p w14:paraId="671EA6A1"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$m</w:t>
            </w:r>
          </w:p>
        </w:tc>
        <w:tc>
          <w:tcPr>
            <w:tcW w:w="617" w:type="pct"/>
            <w:tcBorders>
              <w:top w:val="nil"/>
              <w:left w:val="nil"/>
              <w:bottom w:val="single" w:sz="4" w:space="0" w:color="000000"/>
              <w:right w:val="nil"/>
            </w:tcBorders>
            <w:shd w:val="clear" w:color="000000" w:fill="EBFFFF"/>
            <w:noWrap/>
            <w:vAlign w:val="center"/>
            <w:hideMark/>
          </w:tcPr>
          <w:p w14:paraId="1DEB566B"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$m</w:t>
            </w:r>
          </w:p>
        </w:tc>
        <w:tc>
          <w:tcPr>
            <w:tcW w:w="617" w:type="pct"/>
            <w:tcBorders>
              <w:top w:val="nil"/>
              <w:left w:val="nil"/>
              <w:bottom w:val="single" w:sz="4" w:space="0" w:color="000000"/>
              <w:right w:val="nil"/>
            </w:tcBorders>
            <w:shd w:val="clear" w:color="000000" w:fill="FFFFFF"/>
            <w:noWrap/>
            <w:vAlign w:val="center"/>
            <w:hideMark/>
          </w:tcPr>
          <w:p w14:paraId="685EF7DF"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$m</w:t>
            </w:r>
          </w:p>
        </w:tc>
      </w:tr>
      <w:tr w:rsidR="002D2E4F" w:rsidRPr="00513ED7" w14:paraId="271205D8"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358E2B5D" w14:textId="77777777" w:rsidR="002D2E4F" w:rsidRPr="003B5469" w:rsidRDefault="002D2E4F" w:rsidP="002D2E4F">
            <w:pPr>
              <w:spacing w:after="0" w:line="240" w:lineRule="auto"/>
              <w:jc w:val="left"/>
              <w:rPr>
                <w:rFonts w:ascii="Arial" w:hAnsi="Arial" w:cs="Arial"/>
                <w:b/>
                <w:color w:val="000000"/>
                <w:sz w:val="16"/>
                <w:szCs w:val="16"/>
              </w:rPr>
            </w:pPr>
            <w:r w:rsidRPr="003B5469">
              <w:rPr>
                <w:rFonts w:ascii="Arial" w:hAnsi="Arial" w:cs="Arial"/>
                <w:b/>
                <w:color w:val="000000"/>
                <w:sz w:val="16"/>
                <w:szCs w:val="16"/>
              </w:rPr>
              <w:t>General public services</w:t>
            </w:r>
          </w:p>
        </w:tc>
        <w:tc>
          <w:tcPr>
            <w:tcW w:w="617" w:type="pct"/>
            <w:tcBorders>
              <w:top w:val="nil"/>
              <w:left w:val="nil"/>
              <w:bottom w:val="nil"/>
              <w:right w:val="nil"/>
            </w:tcBorders>
            <w:shd w:val="clear" w:color="000000" w:fill="FFFFFF"/>
            <w:noWrap/>
            <w:vAlign w:val="center"/>
            <w:hideMark/>
          </w:tcPr>
          <w:p w14:paraId="2A2250A6" w14:textId="77777777" w:rsidR="002D2E4F" w:rsidRPr="003B5469" w:rsidRDefault="002D2E4F" w:rsidP="002D2E4F">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17" w:type="pct"/>
            <w:tcBorders>
              <w:top w:val="nil"/>
              <w:left w:val="nil"/>
              <w:bottom w:val="nil"/>
              <w:right w:val="nil"/>
            </w:tcBorders>
            <w:shd w:val="clear" w:color="000000" w:fill="EBFFFF"/>
            <w:noWrap/>
            <w:vAlign w:val="center"/>
            <w:hideMark/>
          </w:tcPr>
          <w:p w14:paraId="017CBD2F" w14:textId="77777777" w:rsidR="002D2E4F" w:rsidRPr="003B5469" w:rsidRDefault="002D2E4F" w:rsidP="002D2E4F">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2972757D" w14:textId="77777777" w:rsidR="002D2E4F" w:rsidRPr="003B5469" w:rsidRDefault="002D2E4F" w:rsidP="002D2E4F">
            <w:pPr>
              <w:spacing w:after="0" w:line="240" w:lineRule="auto"/>
              <w:jc w:val="left"/>
              <w:rPr>
                <w:rFonts w:ascii="Arial" w:hAnsi="Arial" w:cs="Arial"/>
                <w:color w:val="33CCCC"/>
                <w:sz w:val="16"/>
                <w:szCs w:val="16"/>
              </w:rPr>
            </w:pPr>
            <w:r w:rsidRPr="003B5469">
              <w:rPr>
                <w:rFonts w:ascii="Arial" w:hAnsi="Arial" w:cs="Arial"/>
                <w:color w:val="33CCCC"/>
                <w:sz w:val="16"/>
                <w:szCs w:val="16"/>
              </w:rPr>
              <w:t> </w:t>
            </w:r>
          </w:p>
        </w:tc>
      </w:tr>
      <w:tr w:rsidR="002D2E4F" w:rsidRPr="00513ED7" w14:paraId="720AA9D4"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7976EEBE" w14:textId="77777777" w:rsidR="002D2E4F" w:rsidRPr="003B5469" w:rsidRDefault="002D2E4F" w:rsidP="002D2E4F">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Legislative and executive affairs</w:t>
            </w:r>
          </w:p>
        </w:tc>
        <w:tc>
          <w:tcPr>
            <w:tcW w:w="617" w:type="pct"/>
            <w:tcBorders>
              <w:top w:val="nil"/>
              <w:left w:val="nil"/>
              <w:bottom w:val="nil"/>
              <w:right w:val="nil"/>
            </w:tcBorders>
            <w:shd w:val="clear" w:color="000000" w:fill="FFFFFF"/>
            <w:noWrap/>
            <w:vAlign w:val="center"/>
            <w:hideMark/>
          </w:tcPr>
          <w:p w14:paraId="62B1EB37"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1,446</w:t>
            </w:r>
          </w:p>
        </w:tc>
        <w:tc>
          <w:tcPr>
            <w:tcW w:w="617" w:type="pct"/>
            <w:tcBorders>
              <w:top w:val="nil"/>
              <w:left w:val="nil"/>
              <w:bottom w:val="nil"/>
              <w:right w:val="nil"/>
            </w:tcBorders>
            <w:shd w:val="clear" w:color="000000" w:fill="EBFFFF"/>
            <w:noWrap/>
            <w:vAlign w:val="center"/>
            <w:hideMark/>
          </w:tcPr>
          <w:p w14:paraId="5E998CB2"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1,371</w:t>
            </w:r>
          </w:p>
        </w:tc>
        <w:tc>
          <w:tcPr>
            <w:tcW w:w="617" w:type="pct"/>
            <w:tcBorders>
              <w:top w:val="nil"/>
              <w:left w:val="nil"/>
              <w:bottom w:val="nil"/>
              <w:right w:val="nil"/>
            </w:tcBorders>
            <w:shd w:val="clear" w:color="000000" w:fill="FFFFFF"/>
            <w:noWrap/>
            <w:vAlign w:val="center"/>
            <w:hideMark/>
          </w:tcPr>
          <w:p w14:paraId="43B78233" w14:textId="08FAD729"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75</w:t>
            </w:r>
          </w:p>
        </w:tc>
      </w:tr>
      <w:tr w:rsidR="002D2E4F" w:rsidRPr="00513ED7" w14:paraId="2112F82E"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1E2218E9" w14:textId="77777777" w:rsidR="002D2E4F" w:rsidRPr="003B5469" w:rsidRDefault="002D2E4F" w:rsidP="002D2E4F">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Financial and fiscal affairs</w:t>
            </w:r>
          </w:p>
        </w:tc>
        <w:tc>
          <w:tcPr>
            <w:tcW w:w="617" w:type="pct"/>
            <w:tcBorders>
              <w:top w:val="nil"/>
              <w:left w:val="nil"/>
              <w:bottom w:val="nil"/>
              <w:right w:val="nil"/>
            </w:tcBorders>
            <w:shd w:val="clear" w:color="000000" w:fill="FFFFFF"/>
            <w:noWrap/>
            <w:vAlign w:val="center"/>
            <w:hideMark/>
          </w:tcPr>
          <w:p w14:paraId="1D2275E4"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9,013</w:t>
            </w:r>
          </w:p>
        </w:tc>
        <w:tc>
          <w:tcPr>
            <w:tcW w:w="617" w:type="pct"/>
            <w:tcBorders>
              <w:top w:val="nil"/>
              <w:left w:val="nil"/>
              <w:bottom w:val="nil"/>
              <w:right w:val="nil"/>
            </w:tcBorders>
            <w:shd w:val="clear" w:color="000000" w:fill="EBFFFF"/>
            <w:noWrap/>
            <w:vAlign w:val="center"/>
            <w:hideMark/>
          </w:tcPr>
          <w:p w14:paraId="4E117E19"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8,848</w:t>
            </w:r>
          </w:p>
        </w:tc>
        <w:tc>
          <w:tcPr>
            <w:tcW w:w="617" w:type="pct"/>
            <w:tcBorders>
              <w:top w:val="nil"/>
              <w:left w:val="nil"/>
              <w:bottom w:val="nil"/>
              <w:right w:val="nil"/>
            </w:tcBorders>
            <w:shd w:val="clear" w:color="000000" w:fill="FFFFFF"/>
            <w:noWrap/>
            <w:vAlign w:val="center"/>
            <w:hideMark/>
          </w:tcPr>
          <w:p w14:paraId="101F6FDC" w14:textId="667A351C"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165</w:t>
            </w:r>
          </w:p>
        </w:tc>
      </w:tr>
      <w:tr w:rsidR="002D2E4F" w:rsidRPr="00513ED7" w14:paraId="217D83FC"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6FC7CB75" w14:textId="77777777" w:rsidR="002D2E4F" w:rsidRPr="003B5469" w:rsidRDefault="002D2E4F" w:rsidP="002D2E4F">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Foreign affairs and economic aid</w:t>
            </w:r>
          </w:p>
        </w:tc>
        <w:tc>
          <w:tcPr>
            <w:tcW w:w="617" w:type="pct"/>
            <w:tcBorders>
              <w:top w:val="nil"/>
              <w:left w:val="nil"/>
              <w:bottom w:val="nil"/>
              <w:right w:val="nil"/>
            </w:tcBorders>
            <w:shd w:val="clear" w:color="000000" w:fill="FFFFFF"/>
            <w:noWrap/>
            <w:vAlign w:val="center"/>
            <w:hideMark/>
          </w:tcPr>
          <w:p w14:paraId="5ED54408"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6,949</w:t>
            </w:r>
          </w:p>
        </w:tc>
        <w:tc>
          <w:tcPr>
            <w:tcW w:w="617" w:type="pct"/>
            <w:tcBorders>
              <w:top w:val="nil"/>
              <w:left w:val="nil"/>
              <w:bottom w:val="nil"/>
              <w:right w:val="nil"/>
            </w:tcBorders>
            <w:shd w:val="clear" w:color="000000" w:fill="EBFFFF"/>
            <w:noWrap/>
            <w:vAlign w:val="center"/>
            <w:hideMark/>
          </w:tcPr>
          <w:p w14:paraId="369FE2EA"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6,470</w:t>
            </w:r>
          </w:p>
        </w:tc>
        <w:tc>
          <w:tcPr>
            <w:tcW w:w="617" w:type="pct"/>
            <w:tcBorders>
              <w:top w:val="nil"/>
              <w:left w:val="nil"/>
              <w:bottom w:val="nil"/>
              <w:right w:val="nil"/>
            </w:tcBorders>
            <w:shd w:val="clear" w:color="000000" w:fill="FFFFFF"/>
            <w:noWrap/>
            <w:vAlign w:val="center"/>
            <w:hideMark/>
          </w:tcPr>
          <w:p w14:paraId="2ED0F616" w14:textId="341AE6BE"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479</w:t>
            </w:r>
          </w:p>
        </w:tc>
      </w:tr>
      <w:tr w:rsidR="002D2E4F" w:rsidRPr="00513ED7" w14:paraId="4BF1F302"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673D13CA" w14:textId="77777777" w:rsidR="002D2E4F" w:rsidRPr="003B5469" w:rsidRDefault="002D2E4F" w:rsidP="002D2E4F">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General research</w:t>
            </w:r>
          </w:p>
        </w:tc>
        <w:tc>
          <w:tcPr>
            <w:tcW w:w="617" w:type="pct"/>
            <w:tcBorders>
              <w:top w:val="nil"/>
              <w:left w:val="nil"/>
              <w:bottom w:val="nil"/>
              <w:right w:val="nil"/>
            </w:tcBorders>
            <w:shd w:val="clear" w:color="000000" w:fill="FFFFFF"/>
            <w:noWrap/>
            <w:vAlign w:val="center"/>
            <w:hideMark/>
          </w:tcPr>
          <w:p w14:paraId="2D2D23E5"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3,238</w:t>
            </w:r>
          </w:p>
        </w:tc>
        <w:tc>
          <w:tcPr>
            <w:tcW w:w="617" w:type="pct"/>
            <w:tcBorders>
              <w:top w:val="nil"/>
              <w:left w:val="nil"/>
              <w:bottom w:val="nil"/>
              <w:right w:val="nil"/>
            </w:tcBorders>
            <w:shd w:val="clear" w:color="000000" w:fill="EBFFFF"/>
            <w:noWrap/>
            <w:vAlign w:val="center"/>
            <w:hideMark/>
          </w:tcPr>
          <w:p w14:paraId="37C6D72B"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3,069</w:t>
            </w:r>
          </w:p>
        </w:tc>
        <w:tc>
          <w:tcPr>
            <w:tcW w:w="617" w:type="pct"/>
            <w:tcBorders>
              <w:top w:val="nil"/>
              <w:left w:val="nil"/>
              <w:bottom w:val="nil"/>
              <w:right w:val="nil"/>
            </w:tcBorders>
            <w:shd w:val="clear" w:color="000000" w:fill="FFFFFF"/>
            <w:noWrap/>
            <w:vAlign w:val="center"/>
            <w:hideMark/>
          </w:tcPr>
          <w:p w14:paraId="62395154" w14:textId="7985D8BF"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169</w:t>
            </w:r>
          </w:p>
        </w:tc>
      </w:tr>
      <w:tr w:rsidR="002D2E4F" w:rsidRPr="00513ED7" w14:paraId="15231E16"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1C04785C" w14:textId="77777777" w:rsidR="002D2E4F" w:rsidRPr="003B5469" w:rsidRDefault="002D2E4F" w:rsidP="002D2E4F">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General services</w:t>
            </w:r>
          </w:p>
        </w:tc>
        <w:tc>
          <w:tcPr>
            <w:tcW w:w="617" w:type="pct"/>
            <w:tcBorders>
              <w:top w:val="nil"/>
              <w:left w:val="nil"/>
              <w:bottom w:val="nil"/>
              <w:right w:val="nil"/>
            </w:tcBorders>
            <w:shd w:val="clear" w:color="000000" w:fill="FFFFFF"/>
            <w:noWrap/>
            <w:vAlign w:val="center"/>
            <w:hideMark/>
          </w:tcPr>
          <w:p w14:paraId="728A12B9"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1,237</w:t>
            </w:r>
          </w:p>
        </w:tc>
        <w:tc>
          <w:tcPr>
            <w:tcW w:w="617" w:type="pct"/>
            <w:tcBorders>
              <w:top w:val="nil"/>
              <w:left w:val="nil"/>
              <w:bottom w:val="nil"/>
              <w:right w:val="nil"/>
            </w:tcBorders>
            <w:shd w:val="clear" w:color="000000" w:fill="EBFFFF"/>
            <w:noWrap/>
            <w:vAlign w:val="center"/>
            <w:hideMark/>
          </w:tcPr>
          <w:p w14:paraId="35FD30FA"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1,283</w:t>
            </w:r>
          </w:p>
        </w:tc>
        <w:tc>
          <w:tcPr>
            <w:tcW w:w="617" w:type="pct"/>
            <w:tcBorders>
              <w:top w:val="nil"/>
              <w:left w:val="nil"/>
              <w:bottom w:val="nil"/>
              <w:right w:val="nil"/>
            </w:tcBorders>
            <w:shd w:val="clear" w:color="000000" w:fill="FFFFFF"/>
            <w:noWrap/>
            <w:vAlign w:val="center"/>
            <w:hideMark/>
          </w:tcPr>
          <w:p w14:paraId="4D4CC4B4"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46</w:t>
            </w:r>
          </w:p>
        </w:tc>
      </w:tr>
      <w:tr w:rsidR="002D2E4F" w:rsidRPr="00513ED7" w14:paraId="2B9584E0"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7F45ECA8" w14:textId="77777777" w:rsidR="002D2E4F" w:rsidRPr="003B5469" w:rsidRDefault="002D2E4F" w:rsidP="002D2E4F">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Government superannuation benefits</w:t>
            </w:r>
          </w:p>
        </w:tc>
        <w:tc>
          <w:tcPr>
            <w:tcW w:w="617" w:type="pct"/>
            <w:tcBorders>
              <w:top w:val="nil"/>
              <w:left w:val="nil"/>
              <w:bottom w:val="nil"/>
              <w:right w:val="nil"/>
            </w:tcBorders>
            <w:shd w:val="clear" w:color="000000" w:fill="FFFFFF"/>
            <w:noWrap/>
            <w:vAlign w:val="center"/>
            <w:hideMark/>
          </w:tcPr>
          <w:p w14:paraId="3894F1DA"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11,153</w:t>
            </w:r>
          </w:p>
        </w:tc>
        <w:tc>
          <w:tcPr>
            <w:tcW w:w="617" w:type="pct"/>
            <w:tcBorders>
              <w:top w:val="nil"/>
              <w:left w:val="nil"/>
              <w:bottom w:val="nil"/>
              <w:right w:val="nil"/>
            </w:tcBorders>
            <w:shd w:val="clear" w:color="000000" w:fill="EBFFFF"/>
            <w:noWrap/>
            <w:vAlign w:val="center"/>
            <w:hideMark/>
          </w:tcPr>
          <w:p w14:paraId="450F05BF"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10,900</w:t>
            </w:r>
          </w:p>
        </w:tc>
        <w:tc>
          <w:tcPr>
            <w:tcW w:w="617" w:type="pct"/>
            <w:tcBorders>
              <w:top w:val="nil"/>
              <w:left w:val="nil"/>
              <w:bottom w:val="nil"/>
              <w:right w:val="nil"/>
            </w:tcBorders>
            <w:shd w:val="clear" w:color="000000" w:fill="FFFFFF"/>
            <w:noWrap/>
            <w:vAlign w:val="center"/>
            <w:hideMark/>
          </w:tcPr>
          <w:p w14:paraId="6C5C4A26" w14:textId="0B19FA35"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253</w:t>
            </w:r>
          </w:p>
        </w:tc>
      </w:tr>
      <w:tr w:rsidR="002D2E4F" w:rsidRPr="00513ED7" w14:paraId="10D65F13"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22173C99" w14:textId="77777777" w:rsidR="002D2E4F" w:rsidRPr="003B5469" w:rsidRDefault="002D2E4F" w:rsidP="002D2E4F">
            <w:pPr>
              <w:spacing w:after="0" w:line="240" w:lineRule="auto"/>
              <w:jc w:val="left"/>
              <w:rPr>
                <w:rFonts w:ascii="Arial" w:hAnsi="Arial" w:cs="Arial"/>
                <w:b/>
                <w:color w:val="000000"/>
                <w:sz w:val="16"/>
                <w:szCs w:val="16"/>
              </w:rPr>
            </w:pPr>
            <w:r w:rsidRPr="003B5469">
              <w:rPr>
                <w:rFonts w:ascii="Arial" w:hAnsi="Arial" w:cs="Arial"/>
                <w:b/>
                <w:color w:val="000000"/>
                <w:sz w:val="16"/>
                <w:szCs w:val="16"/>
              </w:rPr>
              <w:t>Defence</w:t>
            </w:r>
          </w:p>
        </w:tc>
        <w:tc>
          <w:tcPr>
            <w:tcW w:w="617" w:type="pct"/>
            <w:tcBorders>
              <w:top w:val="nil"/>
              <w:left w:val="nil"/>
              <w:bottom w:val="nil"/>
              <w:right w:val="nil"/>
            </w:tcBorders>
            <w:shd w:val="clear" w:color="000000" w:fill="FFFFFF"/>
            <w:noWrap/>
            <w:vAlign w:val="center"/>
            <w:hideMark/>
          </w:tcPr>
          <w:p w14:paraId="707C8E66"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33,375</w:t>
            </w:r>
          </w:p>
        </w:tc>
        <w:tc>
          <w:tcPr>
            <w:tcW w:w="617" w:type="pct"/>
            <w:tcBorders>
              <w:top w:val="nil"/>
              <w:left w:val="nil"/>
              <w:bottom w:val="nil"/>
              <w:right w:val="nil"/>
            </w:tcBorders>
            <w:shd w:val="clear" w:color="000000" w:fill="EBFFFF"/>
            <w:noWrap/>
            <w:vAlign w:val="center"/>
            <w:hideMark/>
          </w:tcPr>
          <w:p w14:paraId="756FD091"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34,007</w:t>
            </w:r>
          </w:p>
        </w:tc>
        <w:tc>
          <w:tcPr>
            <w:tcW w:w="617" w:type="pct"/>
            <w:tcBorders>
              <w:top w:val="nil"/>
              <w:left w:val="nil"/>
              <w:bottom w:val="nil"/>
              <w:right w:val="nil"/>
            </w:tcBorders>
            <w:shd w:val="clear" w:color="000000" w:fill="FFFFFF"/>
            <w:noWrap/>
            <w:vAlign w:val="center"/>
            <w:hideMark/>
          </w:tcPr>
          <w:p w14:paraId="5DA15212"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633</w:t>
            </w:r>
          </w:p>
        </w:tc>
      </w:tr>
      <w:tr w:rsidR="002D2E4F" w:rsidRPr="00513ED7" w14:paraId="007D79F5"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0B0A09E9" w14:textId="77777777" w:rsidR="002D2E4F" w:rsidRPr="003B5469" w:rsidRDefault="002D2E4F" w:rsidP="002D2E4F">
            <w:pPr>
              <w:spacing w:after="0" w:line="240" w:lineRule="auto"/>
              <w:jc w:val="left"/>
              <w:rPr>
                <w:rFonts w:ascii="Arial" w:hAnsi="Arial" w:cs="Arial"/>
                <w:b/>
                <w:color w:val="000000"/>
                <w:sz w:val="16"/>
                <w:szCs w:val="16"/>
              </w:rPr>
            </w:pPr>
            <w:r w:rsidRPr="003B5469">
              <w:rPr>
                <w:rFonts w:ascii="Arial" w:hAnsi="Arial" w:cs="Arial"/>
                <w:b/>
                <w:color w:val="000000"/>
                <w:sz w:val="16"/>
                <w:szCs w:val="16"/>
              </w:rPr>
              <w:t>Public order and safety</w:t>
            </w:r>
          </w:p>
        </w:tc>
        <w:tc>
          <w:tcPr>
            <w:tcW w:w="617" w:type="pct"/>
            <w:tcBorders>
              <w:top w:val="nil"/>
              <w:left w:val="nil"/>
              <w:bottom w:val="nil"/>
              <w:right w:val="nil"/>
            </w:tcBorders>
            <w:shd w:val="clear" w:color="000000" w:fill="FFFFFF"/>
            <w:noWrap/>
            <w:vAlign w:val="center"/>
            <w:hideMark/>
          </w:tcPr>
          <w:p w14:paraId="1B2AF75A"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6,712</w:t>
            </w:r>
          </w:p>
        </w:tc>
        <w:tc>
          <w:tcPr>
            <w:tcW w:w="617" w:type="pct"/>
            <w:tcBorders>
              <w:top w:val="nil"/>
              <w:left w:val="nil"/>
              <w:bottom w:val="nil"/>
              <w:right w:val="nil"/>
            </w:tcBorders>
            <w:shd w:val="clear" w:color="000000" w:fill="EBFFFF"/>
            <w:noWrap/>
            <w:vAlign w:val="center"/>
            <w:hideMark/>
          </w:tcPr>
          <w:p w14:paraId="5A600B04"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6,655</w:t>
            </w:r>
          </w:p>
        </w:tc>
        <w:tc>
          <w:tcPr>
            <w:tcW w:w="617" w:type="pct"/>
            <w:tcBorders>
              <w:top w:val="nil"/>
              <w:left w:val="nil"/>
              <w:bottom w:val="nil"/>
              <w:right w:val="nil"/>
            </w:tcBorders>
            <w:shd w:val="clear" w:color="000000" w:fill="FFFFFF"/>
            <w:noWrap/>
            <w:vAlign w:val="center"/>
            <w:hideMark/>
          </w:tcPr>
          <w:p w14:paraId="319371B2" w14:textId="6D4B11DA"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58</w:t>
            </w:r>
          </w:p>
        </w:tc>
      </w:tr>
      <w:tr w:rsidR="002D2E4F" w:rsidRPr="00513ED7" w14:paraId="047C699C"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68BC59A2" w14:textId="77777777" w:rsidR="002D2E4F" w:rsidRPr="003B5469" w:rsidRDefault="002D2E4F" w:rsidP="002D2E4F">
            <w:pPr>
              <w:spacing w:after="0" w:line="240" w:lineRule="auto"/>
              <w:jc w:val="left"/>
              <w:rPr>
                <w:rFonts w:ascii="Arial" w:hAnsi="Arial" w:cs="Arial"/>
                <w:b/>
                <w:color w:val="000000"/>
                <w:sz w:val="16"/>
                <w:szCs w:val="16"/>
              </w:rPr>
            </w:pPr>
            <w:r w:rsidRPr="003B5469">
              <w:rPr>
                <w:rFonts w:ascii="Arial" w:hAnsi="Arial" w:cs="Arial"/>
                <w:b/>
                <w:color w:val="000000"/>
                <w:sz w:val="16"/>
                <w:szCs w:val="16"/>
              </w:rPr>
              <w:t>Education</w:t>
            </w:r>
          </w:p>
        </w:tc>
        <w:tc>
          <w:tcPr>
            <w:tcW w:w="617" w:type="pct"/>
            <w:tcBorders>
              <w:top w:val="nil"/>
              <w:left w:val="nil"/>
              <w:bottom w:val="nil"/>
              <w:right w:val="nil"/>
            </w:tcBorders>
            <w:shd w:val="clear" w:color="000000" w:fill="FFFFFF"/>
            <w:noWrap/>
            <w:vAlign w:val="center"/>
            <w:hideMark/>
          </w:tcPr>
          <w:p w14:paraId="1CC78D72"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42,604</w:t>
            </w:r>
          </w:p>
        </w:tc>
        <w:tc>
          <w:tcPr>
            <w:tcW w:w="617" w:type="pct"/>
            <w:tcBorders>
              <w:top w:val="nil"/>
              <w:left w:val="nil"/>
              <w:bottom w:val="nil"/>
              <w:right w:val="nil"/>
            </w:tcBorders>
            <w:shd w:val="clear" w:color="000000" w:fill="EBFFFF"/>
            <w:noWrap/>
            <w:vAlign w:val="center"/>
            <w:hideMark/>
          </w:tcPr>
          <w:p w14:paraId="2E8A1B71"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42,331</w:t>
            </w:r>
          </w:p>
        </w:tc>
        <w:tc>
          <w:tcPr>
            <w:tcW w:w="617" w:type="pct"/>
            <w:tcBorders>
              <w:top w:val="nil"/>
              <w:left w:val="nil"/>
              <w:bottom w:val="nil"/>
              <w:right w:val="nil"/>
            </w:tcBorders>
            <w:shd w:val="clear" w:color="000000" w:fill="FFFFFF"/>
            <w:noWrap/>
            <w:vAlign w:val="center"/>
            <w:hideMark/>
          </w:tcPr>
          <w:p w14:paraId="034B8D67" w14:textId="2BDA9B14"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272</w:t>
            </w:r>
          </w:p>
        </w:tc>
      </w:tr>
      <w:tr w:rsidR="002D2E4F" w:rsidRPr="00513ED7" w14:paraId="659C7962"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33EC3A33" w14:textId="77777777" w:rsidR="002D2E4F" w:rsidRPr="003B5469" w:rsidRDefault="002D2E4F" w:rsidP="002D2E4F">
            <w:pPr>
              <w:spacing w:after="0" w:line="240" w:lineRule="auto"/>
              <w:jc w:val="left"/>
              <w:rPr>
                <w:rFonts w:ascii="Arial" w:hAnsi="Arial" w:cs="Arial"/>
                <w:b/>
                <w:color w:val="000000"/>
                <w:sz w:val="16"/>
                <w:szCs w:val="16"/>
              </w:rPr>
            </w:pPr>
            <w:r w:rsidRPr="003B5469">
              <w:rPr>
                <w:rFonts w:ascii="Arial" w:hAnsi="Arial" w:cs="Arial"/>
                <w:b/>
                <w:color w:val="000000"/>
                <w:sz w:val="16"/>
                <w:szCs w:val="16"/>
              </w:rPr>
              <w:t>Health</w:t>
            </w:r>
          </w:p>
        </w:tc>
        <w:tc>
          <w:tcPr>
            <w:tcW w:w="617" w:type="pct"/>
            <w:tcBorders>
              <w:top w:val="nil"/>
              <w:left w:val="nil"/>
              <w:bottom w:val="nil"/>
              <w:right w:val="nil"/>
            </w:tcBorders>
            <w:shd w:val="clear" w:color="000000" w:fill="FFFFFF"/>
            <w:noWrap/>
            <w:vAlign w:val="center"/>
            <w:hideMark/>
          </w:tcPr>
          <w:p w14:paraId="08818DAA"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94,533</w:t>
            </w:r>
          </w:p>
        </w:tc>
        <w:tc>
          <w:tcPr>
            <w:tcW w:w="617" w:type="pct"/>
            <w:tcBorders>
              <w:top w:val="nil"/>
              <w:left w:val="nil"/>
              <w:bottom w:val="nil"/>
              <w:right w:val="nil"/>
            </w:tcBorders>
            <w:shd w:val="clear" w:color="000000" w:fill="EBFFFF"/>
            <w:noWrap/>
            <w:vAlign w:val="center"/>
            <w:hideMark/>
          </w:tcPr>
          <w:p w14:paraId="6D246080"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92,740</w:t>
            </w:r>
          </w:p>
        </w:tc>
        <w:tc>
          <w:tcPr>
            <w:tcW w:w="617" w:type="pct"/>
            <w:tcBorders>
              <w:top w:val="nil"/>
              <w:left w:val="nil"/>
              <w:bottom w:val="nil"/>
              <w:right w:val="nil"/>
            </w:tcBorders>
            <w:shd w:val="clear" w:color="000000" w:fill="FFFFFF"/>
            <w:noWrap/>
            <w:vAlign w:val="center"/>
            <w:hideMark/>
          </w:tcPr>
          <w:p w14:paraId="2796F75D" w14:textId="42606260"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1,793</w:t>
            </w:r>
          </w:p>
        </w:tc>
      </w:tr>
      <w:tr w:rsidR="002D2E4F" w:rsidRPr="00513ED7" w14:paraId="397D093D"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3EE99332" w14:textId="77777777" w:rsidR="002D2E4F" w:rsidRPr="003B5469" w:rsidRDefault="002D2E4F" w:rsidP="002D2E4F">
            <w:pPr>
              <w:spacing w:after="0" w:line="240" w:lineRule="auto"/>
              <w:jc w:val="left"/>
              <w:rPr>
                <w:rFonts w:ascii="Arial" w:hAnsi="Arial" w:cs="Arial"/>
                <w:b/>
                <w:color w:val="000000"/>
                <w:sz w:val="16"/>
                <w:szCs w:val="16"/>
              </w:rPr>
            </w:pPr>
            <w:r w:rsidRPr="003B5469">
              <w:rPr>
                <w:rFonts w:ascii="Arial" w:hAnsi="Arial" w:cs="Arial"/>
                <w:b/>
                <w:color w:val="000000"/>
                <w:sz w:val="16"/>
                <w:szCs w:val="16"/>
              </w:rPr>
              <w:t>Social security and welfare</w:t>
            </w:r>
          </w:p>
        </w:tc>
        <w:tc>
          <w:tcPr>
            <w:tcW w:w="617" w:type="pct"/>
            <w:tcBorders>
              <w:top w:val="nil"/>
              <w:left w:val="nil"/>
              <w:bottom w:val="nil"/>
              <w:right w:val="nil"/>
            </w:tcBorders>
            <w:shd w:val="clear" w:color="000000" w:fill="FFFFFF"/>
            <w:noWrap/>
            <w:vAlign w:val="center"/>
            <w:hideMark/>
          </w:tcPr>
          <w:p w14:paraId="21C0C2E7"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225,394</w:t>
            </w:r>
          </w:p>
        </w:tc>
        <w:tc>
          <w:tcPr>
            <w:tcW w:w="617" w:type="pct"/>
            <w:tcBorders>
              <w:top w:val="nil"/>
              <w:left w:val="nil"/>
              <w:bottom w:val="nil"/>
              <w:right w:val="nil"/>
            </w:tcBorders>
            <w:shd w:val="clear" w:color="000000" w:fill="EBFFFF"/>
            <w:noWrap/>
            <w:vAlign w:val="center"/>
            <w:hideMark/>
          </w:tcPr>
          <w:p w14:paraId="7B01D44F"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220,360</w:t>
            </w:r>
          </w:p>
        </w:tc>
        <w:tc>
          <w:tcPr>
            <w:tcW w:w="617" w:type="pct"/>
            <w:tcBorders>
              <w:top w:val="nil"/>
              <w:left w:val="nil"/>
              <w:bottom w:val="nil"/>
              <w:right w:val="nil"/>
            </w:tcBorders>
            <w:shd w:val="clear" w:color="000000" w:fill="FFFFFF"/>
            <w:noWrap/>
            <w:vAlign w:val="center"/>
            <w:hideMark/>
          </w:tcPr>
          <w:p w14:paraId="103AC3FA" w14:textId="655D60BC"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5,034</w:t>
            </w:r>
          </w:p>
        </w:tc>
      </w:tr>
      <w:tr w:rsidR="002D2E4F" w:rsidRPr="00513ED7" w14:paraId="0B09AC73"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0CD84493" w14:textId="77777777" w:rsidR="002D2E4F" w:rsidRPr="003B5469" w:rsidRDefault="002D2E4F" w:rsidP="002D2E4F">
            <w:pPr>
              <w:spacing w:after="0" w:line="240" w:lineRule="auto"/>
              <w:jc w:val="left"/>
              <w:rPr>
                <w:rFonts w:ascii="Arial" w:hAnsi="Arial" w:cs="Arial"/>
                <w:b/>
                <w:color w:val="000000"/>
                <w:sz w:val="16"/>
                <w:szCs w:val="16"/>
              </w:rPr>
            </w:pPr>
            <w:r w:rsidRPr="003B5469">
              <w:rPr>
                <w:rFonts w:ascii="Arial" w:hAnsi="Arial" w:cs="Arial"/>
                <w:b/>
                <w:color w:val="000000"/>
                <w:sz w:val="16"/>
                <w:szCs w:val="16"/>
              </w:rPr>
              <w:t>Housing and community amenities</w:t>
            </w:r>
          </w:p>
        </w:tc>
        <w:tc>
          <w:tcPr>
            <w:tcW w:w="617" w:type="pct"/>
            <w:tcBorders>
              <w:top w:val="nil"/>
              <w:left w:val="nil"/>
              <w:bottom w:val="nil"/>
              <w:right w:val="nil"/>
            </w:tcBorders>
            <w:shd w:val="clear" w:color="000000" w:fill="FFFFFF"/>
            <w:noWrap/>
            <w:vAlign w:val="center"/>
            <w:hideMark/>
          </w:tcPr>
          <w:p w14:paraId="5FCB85F4"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6,953</w:t>
            </w:r>
          </w:p>
        </w:tc>
        <w:tc>
          <w:tcPr>
            <w:tcW w:w="617" w:type="pct"/>
            <w:tcBorders>
              <w:top w:val="nil"/>
              <w:left w:val="nil"/>
              <w:bottom w:val="nil"/>
              <w:right w:val="nil"/>
            </w:tcBorders>
            <w:shd w:val="clear" w:color="000000" w:fill="EBFFFF"/>
            <w:noWrap/>
            <w:vAlign w:val="center"/>
            <w:hideMark/>
          </w:tcPr>
          <w:p w14:paraId="1DDED795"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6,291</w:t>
            </w:r>
          </w:p>
        </w:tc>
        <w:tc>
          <w:tcPr>
            <w:tcW w:w="617" w:type="pct"/>
            <w:tcBorders>
              <w:top w:val="nil"/>
              <w:left w:val="nil"/>
              <w:bottom w:val="nil"/>
              <w:right w:val="nil"/>
            </w:tcBorders>
            <w:shd w:val="clear" w:color="000000" w:fill="FFFFFF"/>
            <w:noWrap/>
            <w:vAlign w:val="center"/>
            <w:hideMark/>
          </w:tcPr>
          <w:p w14:paraId="09011EDD" w14:textId="3749D029"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662</w:t>
            </w:r>
          </w:p>
        </w:tc>
      </w:tr>
      <w:tr w:rsidR="002D2E4F" w:rsidRPr="00513ED7" w14:paraId="6D86D1A8"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0D29790B" w14:textId="77777777" w:rsidR="002D2E4F" w:rsidRPr="003B5469" w:rsidRDefault="002D2E4F" w:rsidP="002D2E4F">
            <w:pPr>
              <w:spacing w:after="0" w:line="240" w:lineRule="auto"/>
              <w:jc w:val="left"/>
              <w:rPr>
                <w:rFonts w:ascii="Arial" w:hAnsi="Arial" w:cs="Arial"/>
                <w:b/>
                <w:color w:val="000000"/>
                <w:sz w:val="16"/>
                <w:szCs w:val="16"/>
              </w:rPr>
            </w:pPr>
            <w:r w:rsidRPr="003B5469">
              <w:rPr>
                <w:rFonts w:ascii="Arial" w:hAnsi="Arial" w:cs="Arial"/>
                <w:b/>
                <w:color w:val="000000"/>
                <w:sz w:val="16"/>
                <w:szCs w:val="16"/>
              </w:rPr>
              <w:t>Recreation and culture</w:t>
            </w:r>
          </w:p>
        </w:tc>
        <w:tc>
          <w:tcPr>
            <w:tcW w:w="617" w:type="pct"/>
            <w:tcBorders>
              <w:top w:val="nil"/>
              <w:left w:val="nil"/>
              <w:bottom w:val="nil"/>
              <w:right w:val="nil"/>
            </w:tcBorders>
            <w:shd w:val="clear" w:color="000000" w:fill="FFFFFF"/>
            <w:noWrap/>
            <w:vAlign w:val="center"/>
            <w:hideMark/>
          </w:tcPr>
          <w:p w14:paraId="0B15567E"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4,405</w:t>
            </w:r>
          </w:p>
        </w:tc>
        <w:tc>
          <w:tcPr>
            <w:tcW w:w="617" w:type="pct"/>
            <w:tcBorders>
              <w:top w:val="nil"/>
              <w:left w:val="nil"/>
              <w:bottom w:val="nil"/>
              <w:right w:val="nil"/>
            </w:tcBorders>
            <w:shd w:val="clear" w:color="000000" w:fill="EBFFFF"/>
            <w:noWrap/>
            <w:vAlign w:val="center"/>
            <w:hideMark/>
          </w:tcPr>
          <w:p w14:paraId="4CA3DBCA"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4,096</w:t>
            </w:r>
          </w:p>
        </w:tc>
        <w:tc>
          <w:tcPr>
            <w:tcW w:w="617" w:type="pct"/>
            <w:tcBorders>
              <w:top w:val="nil"/>
              <w:left w:val="nil"/>
              <w:bottom w:val="nil"/>
              <w:right w:val="nil"/>
            </w:tcBorders>
            <w:shd w:val="clear" w:color="000000" w:fill="FFFFFF"/>
            <w:noWrap/>
            <w:vAlign w:val="center"/>
            <w:hideMark/>
          </w:tcPr>
          <w:p w14:paraId="4533C12E" w14:textId="5B448896"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309</w:t>
            </w:r>
          </w:p>
        </w:tc>
      </w:tr>
      <w:tr w:rsidR="002D2E4F" w:rsidRPr="00513ED7" w14:paraId="0524E34D"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682612F7" w14:textId="77777777" w:rsidR="002D2E4F" w:rsidRPr="003B5469" w:rsidRDefault="002D2E4F" w:rsidP="002D2E4F">
            <w:pPr>
              <w:spacing w:after="0" w:line="240" w:lineRule="auto"/>
              <w:jc w:val="left"/>
              <w:rPr>
                <w:rFonts w:ascii="Arial" w:hAnsi="Arial" w:cs="Arial"/>
                <w:b/>
                <w:color w:val="000000"/>
                <w:sz w:val="16"/>
                <w:szCs w:val="16"/>
              </w:rPr>
            </w:pPr>
            <w:r w:rsidRPr="003B5469">
              <w:rPr>
                <w:rFonts w:ascii="Arial" w:hAnsi="Arial" w:cs="Arial"/>
                <w:b/>
                <w:color w:val="000000"/>
                <w:sz w:val="16"/>
                <w:szCs w:val="16"/>
              </w:rPr>
              <w:t>Fuel and energy</w:t>
            </w:r>
          </w:p>
        </w:tc>
        <w:tc>
          <w:tcPr>
            <w:tcW w:w="617" w:type="pct"/>
            <w:tcBorders>
              <w:top w:val="nil"/>
              <w:left w:val="nil"/>
              <w:bottom w:val="nil"/>
              <w:right w:val="nil"/>
            </w:tcBorders>
            <w:shd w:val="clear" w:color="000000" w:fill="FFFFFF"/>
            <w:noWrap/>
            <w:vAlign w:val="center"/>
            <w:hideMark/>
          </w:tcPr>
          <w:p w14:paraId="17B26E2A"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9,090</w:t>
            </w:r>
          </w:p>
        </w:tc>
        <w:tc>
          <w:tcPr>
            <w:tcW w:w="617" w:type="pct"/>
            <w:tcBorders>
              <w:top w:val="nil"/>
              <w:left w:val="nil"/>
              <w:bottom w:val="nil"/>
              <w:right w:val="nil"/>
            </w:tcBorders>
            <w:shd w:val="clear" w:color="000000" w:fill="EBFFFF"/>
            <w:noWrap/>
            <w:vAlign w:val="center"/>
            <w:hideMark/>
          </w:tcPr>
          <w:p w14:paraId="33391255"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8,242</w:t>
            </w:r>
          </w:p>
        </w:tc>
        <w:tc>
          <w:tcPr>
            <w:tcW w:w="617" w:type="pct"/>
            <w:tcBorders>
              <w:top w:val="nil"/>
              <w:left w:val="nil"/>
              <w:bottom w:val="nil"/>
              <w:right w:val="nil"/>
            </w:tcBorders>
            <w:shd w:val="clear" w:color="000000" w:fill="FFFFFF"/>
            <w:noWrap/>
            <w:vAlign w:val="center"/>
            <w:hideMark/>
          </w:tcPr>
          <w:p w14:paraId="2F810EE3" w14:textId="71B1771D"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848</w:t>
            </w:r>
          </w:p>
        </w:tc>
      </w:tr>
      <w:tr w:rsidR="002D2E4F" w:rsidRPr="00513ED7" w14:paraId="48DEE93C"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7330A35D" w14:textId="77777777" w:rsidR="002D2E4F" w:rsidRPr="003B5469" w:rsidRDefault="002D2E4F" w:rsidP="002D2E4F">
            <w:pPr>
              <w:spacing w:after="0" w:line="240" w:lineRule="auto"/>
              <w:jc w:val="left"/>
              <w:rPr>
                <w:rFonts w:ascii="Arial" w:hAnsi="Arial" w:cs="Arial"/>
                <w:b/>
                <w:color w:val="000000"/>
                <w:sz w:val="16"/>
                <w:szCs w:val="16"/>
              </w:rPr>
            </w:pPr>
            <w:r w:rsidRPr="003B5469">
              <w:rPr>
                <w:rFonts w:ascii="Arial" w:hAnsi="Arial" w:cs="Arial"/>
                <w:b/>
                <w:color w:val="000000"/>
                <w:sz w:val="16"/>
                <w:szCs w:val="16"/>
              </w:rPr>
              <w:t>Agriculture, forestry and fishing</w:t>
            </w:r>
          </w:p>
        </w:tc>
        <w:tc>
          <w:tcPr>
            <w:tcW w:w="617" w:type="pct"/>
            <w:tcBorders>
              <w:top w:val="nil"/>
              <w:left w:val="nil"/>
              <w:bottom w:val="nil"/>
              <w:right w:val="nil"/>
            </w:tcBorders>
            <w:shd w:val="clear" w:color="000000" w:fill="FFFFFF"/>
            <w:noWrap/>
            <w:vAlign w:val="center"/>
            <w:hideMark/>
          </w:tcPr>
          <w:p w14:paraId="2BF80EF0"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4,014</w:t>
            </w:r>
          </w:p>
        </w:tc>
        <w:tc>
          <w:tcPr>
            <w:tcW w:w="617" w:type="pct"/>
            <w:tcBorders>
              <w:top w:val="nil"/>
              <w:left w:val="nil"/>
              <w:bottom w:val="nil"/>
              <w:right w:val="nil"/>
            </w:tcBorders>
            <w:shd w:val="clear" w:color="000000" w:fill="EBFFFF"/>
            <w:noWrap/>
            <w:vAlign w:val="center"/>
            <w:hideMark/>
          </w:tcPr>
          <w:p w14:paraId="6661D33E"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3,165</w:t>
            </w:r>
          </w:p>
        </w:tc>
        <w:tc>
          <w:tcPr>
            <w:tcW w:w="617" w:type="pct"/>
            <w:tcBorders>
              <w:top w:val="nil"/>
              <w:left w:val="nil"/>
              <w:bottom w:val="nil"/>
              <w:right w:val="nil"/>
            </w:tcBorders>
            <w:shd w:val="clear" w:color="000000" w:fill="FFFFFF"/>
            <w:noWrap/>
            <w:vAlign w:val="center"/>
            <w:hideMark/>
          </w:tcPr>
          <w:p w14:paraId="51F1EB5B" w14:textId="132828E5"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849</w:t>
            </w:r>
          </w:p>
        </w:tc>
      </w:tr>
      <w:tr w:rsidR="002D2E4F" w:rsidRPr="00513ED7" w14:paraId="3098F648"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2AA68135" w14:textId="77777777" w:rsidR="002D2E4F" w:rsidRPr="003B5469" w:rsidRDefault="002D2E4F" w:rsidP="002D2E4F">
            <w:pPr>
              <w:spacing w:after="0" w:line="240" w:lineRule="auto"/>
              <w:jc w:val="left"/>
              <w:rPr>
                <w:rFonts w:ascii="Arial" w:hAnsi="Arial" w:cs="Arial"/>
                <w:b/>
                <w:color w:val="000000"/>
                <w:sz w:val="16"/>
                <w:szCs w:val="16"/>
              </w:rPr>
            </w:pPr>
            <w:r w:rsidRPr="003B5469">
              <w:rPr>
                <w:rFonts w:ascii="Arial" w:hAnsi="Arial" w:cs="Arial"/>
                <w:b/>
                <w:color w:val="000000"/>
                <w:sz w:val="16"/>
                <w:szCs w:val="16"/>
              </w:rPr>
              <w:t>Mining, manufacturing and construction</w:t>
            </w:r>
          </w:p>
        </w:tc>
        <w:tc>
          <w:tcPr>
            <w:tcW w:w="617" w:type="pct"/>
            <w:tcBorders>
              <w:top w:val="nil"/>
              <w:left w:val="nil"/>
              <w:bottom w:val="nil"/>
              <w:right w:val="nil"/>
            </w:tcBorders>
            <w:shd w:val="clear" w:color="000000" w:fill="FFFFFF"/>
            <w:noWrap/>
            <w:vAlign w:val="center"/>
            <w:hideMark/>
          </w:tcPr>
          <w:p w14:paraId="50B7A2FF"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4,394</w:t>
            </w:r>
          </w:p>
        </w:tc>
        <w:tc>
          <w:tcPr>
            <w:tcW w:w="617" w:type="pct"/>
            <w:tcBorders>
              <w:top w:val="nil"/>
              <w:left w:val="nil"/>
              <w:bottom w:val="nil"/>
              <w:right w:val="nil"/>
            </w:tcBorders>
            <w:shd w:val="clear" w:color="000000" w:fill="EBFFFF"/>
            <w:noWrap/>
            <w:vAlign w:val="center"/>
            <w:hideMark/>
          </w:tcPr>
          <w:p w14:paraId="2FF4FB30"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4,034</w:t>
            </w:r>
          </w:p>
        </w:tc>
        <w:tc>
          <w:tcPr>
            <w:tcW w:w="617" w:type="pct"/>
            <w:tcBorders>
              <w:top w:val="nil"/>
              <w:left w:val="nil"/>
              <w:bottom w:val="nil"/>
              <w:right w:val="nil"/>
            </w:tcBorders>
            <w:shd w:val="clear" w:color="000000" w:fill="FFFFFF"/>
            <w:noWrap/>
            <w:vAlign w:val="center"/>
            <w:hideMark/>
          </w:tcPr>
          <w:p w14:paraId="64551F27" w14:textId="01B0C1F5"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360</w:t>
            </w:r>
          </w:p>
        </w:tc>
      </w:tr>
      <w:tr w:rsidR="002D2E4F" w:rsidRPr="00513ED7" w14:paraId="6397850C"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772CFD32" w14:textId="77777777" w:rsidR="002D2E4F" w:rsidRPr="003B5469" w:rsidRDefault="002D2E4F" w:rsidP="002D2E4F">
            <w:pPr>
              <w:spacing w:after="0" w:line="240" w:lineRule="auto"/>
              <w:jc w:val="left"/>
              <w:rPr>
                <w:rFonts w:ascii="Arial" w:hAnsi="Arial" w:cs="Arial"/>
                <w:b/>
                <w:color w:val="000000"/>
                <w:sz w:val="16"/>
                <w:szCs w:val="16"/>
              </w:rPr>
            </w:pPr>
            <w:r w:rsidRPr="003B5469">
              <w:rPr>
                <w:rFonts w:ascii="Arial" w:hAnsi="Arial" w:cs="Arial"/>
                <w:b/>
                <w:color w:val="000000"/>
                <w:sz w:val="16"/>
                <w:szCs w:val="16"/>
              </w:rPr>
              <w:t>Transport and communication</w:t>
            </w:r>
          </w:p>
        </w:tc>
        <w:tc>
          <w:tcPr>
            <w:tcW w:w="617" w:type="pct"/>
            <w:tcBorders>
              <w:top w:val="nil"/>
              <w:left w:val="nil"/>
              <w:bottom w:val="nil"/>
              <w:right w:val="nil"/>
            </w:tcBorders>
            <w:shd w:val="clear" w:color="000000" w:fill="FFFFFF"/>
            <w:noWrap/>
            <w:vAlign w:val="center"/>
            <w:hideMark/>
          </w:tcPr>
          <w:p w14:paraId="13FA6D97"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13,828</w:t>
            </w:r>
          </w:p>
        </w:tc>
        <w:tc>
          <w:tcPr>
            <w:tcW w:w="617" w:type="pct"/>
            <w:tcBorders>
              <w:top w:val="nil"/>
              <w:left w:val="nil"/>
              <w:bottom w:val="nil"/>
              <w:right w:val="nil"/>
            </w:tcBorders>
            <w:shd w:val="clear" w:color="000000" w:fill="EBFFFF"/>
            <w:noWrap/>
            <w:vAlign w:val="center"/>
            <w:hideMark/>
          </w:tcPr>
          <w:p w14:paraId="094AE83D"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12,804</w:t>
            </w:r>
          </w:p>
        </w:tc>
        <w:tc>
          <w:tcPr>
            <w:tcW w:w="617" w:type="pct"/>
            <w:tcBorders>
              <w:top w:val="nil"/>
              <w:left w:val="nil"/>
              <w:bottom w:val="nil"/>
              <w:right w:val="nil"/>
            </w:tcBorders>
            <w:shd w:val="clear" w:color="000000" w:fill="FFFFFF"/>
            <w:noWrap/>
            <w:vAlign w:val="center"/>
            <w:hideMark/>
          </w:tcPr>
          <w:p w14:paraId="19BC3059" w14:textId="209DC7AF"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1,025</w:t>
            </w:r>
          </w:p>
        </w:tc>
      </w:tr>
      <w:tr w:rsidR="002D2E4F" w:rsidRPr="00513ED7" w14:paraId="13A8F19C"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46D7F879" w14:textId="77777777" w:rsidR="002D2E4F" w:rsidRPr="003B5469" w:rsidRDefault="002D2E4F" w:rsidP="002D2E4F">
            <w:pPr>
              <w:spacing w:after="0" w:line="240" w:lineRule="auto"/>
              <w:jc w:val="left"/>
              <w:rPr>
                <w:rFonts w:ascii="Arial" w:hAnsi="Arial" w:cs="Arial"/>
                <w:b/>
                <w:color w:val="000000"/>
                <w:sz w:val="16"/>
                <w:szCs w:val="16"/>
              </w:rPr>
            </w:pPr>
            <w:r w:rsidRPr="003B5469">
              <w:rPr>
                <w:rFonts w:ascii="Arial" w:hAnsi="Arial" w:cs="Arial"/>
                <w:b/>
                <w:color w:val="000000"/>
                <w:sz w:val="16"/>
                <w:szCs w:val="16"/>
              </w:rPr>
              <w:t>Other economic affairs</w:t>
            </w:r>
          </w:p>
        </w:tc>
        <w:tc>
          <w:tcPr>
            <w:tcW w:w="617" w:type="pct"/>
            <w:tcBorders>
              <w:top w:val="nil"/>
              <w:left w:val="nil"/>
              <w:bottom w:val="nil"/>
              <w:right w:val="nil"/>
            </w:tcBorders>
            <w:shd w:val="clear" w:color="000000" w:fill="FFFFFF"/>
            <w:noWrap/>
            <w:vAlign w:val="center"/>
            <w:hideMark/>
          </w:tcPr>
          <w:p w14:paraId="66640F00" w14:textId="77777777" w:rsidR="002D2E4F" w:rsidRPr="003B5469" w:rsidRDefault="002D2E4F" w:rsidP="002D2E4F">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17" w:type="pct"/>
            <w:tcBorders>
              <w:top w:val="nil"/>
              <w:left w:val="nil"/>
              <w:bottom w:val="nil"/>
              <w:right w:val="nil"/>
            </w:tcBorders>
            <w:shd w:val="clear" w:color="000000" w:fill="EBFFFF"/>
            <w:noWrap/>
            <w:vAlign w:val="center"/>
            <w:hideMark/>
          </w:tcPr>
          <w:p w14:paraId="27A0530F" w14:textId="77777777" w:rsidR="002D2E4F" w:rsidRPr="003B5469" w:rsidRDefault="002D2E4F" w:rsidP="002D2E4F">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4C9F3B0B" w14:textId="77777777" w:rsidR="002D2E4F" w:rsidRPr="003B5469" w:rsidRDefault="002D2E4F" w:rsidP="002D2E4F">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r>
      <w:tr w:rsidR="002D2E4F" w:rsidRPr="00513ED7" w14:paraId="4261E4A9"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5349B4A1" w14:textId="77777777" w:rsidR="002D2E4F" w:rsidRPr="003B5469" w:rsidRDefault="002D2E4F" w:rsidP="002D2E4F">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Tourism and area promotion</w:t>
            </w:r>
          </w:p>
        </w:tc>
        <w:tc>
          <w:tcPr>
            <w:tcW w:w="617" w:type="pct"/>
            <w:tcBorders>
              <w:top w:val="nil"/>
              <w:left w:val="nil"/>
              <w:bottom w:val="nil"/>
              <w:right w:val="nil"/>
            </w:tcBorders>
            <w:shd w:val="clear" w:color="000000" w:fill="FFFFFF"/>
            <w:noWrap/>
            <w:vAlign w:val="center"/>
            <w:hideMark/>
          </w:tcPr>
          <w:p w14:paraId="4DA35EDA"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227</w:t>
            </w:r>
          </w:p>
        </w:tc>
        <w:tc>
          <w:tcPr>
            <w:tcW w:w="617" w:type="pct"/>
            <w:tcBorders>
              <w:top w:val="nil"/>
              <w:left w:val="nil"/>
              <w:bottom w:val="nil"/>
              <w:right w:val="nil"/>
            </w:tcBorders>
            <w:shd w:val="clear" w:color="000000" w:fill="EBFFFF"/>
            <w:noWrap/>
            <w:vAlign w:val="center"/>
            <w:hideMark/>
          </w:tcPr>
          <w:p w14:paraId="0F7AAD49"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210</w:t>
            </w:r>
          </w:p>
        </w:tc>
        <w:tc>
          <w:tcPr>
            <w:tcW w:w="617" w:type="pct"/>
            <w:tcBorders>
              <w:top w:val="nil"/>
              <w:left w:val="nil"/>
              <w:bottom w:val="nil"/>
              <w:right w:val="nil"/>
            </w:tcBorders>
            <w:shd w:val="clear" w:color="000000" w:fill="FFFFFF"/>
            <w:noWrap/>
            <w:vAlign w:val="center"/>
            <w:hideMark/>
          </w:tcPr>
          <w:p w14:paraId="7056860F" w14:textId="50D3D4E5"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16</w:t>
            </w:r>
          </w:p>
        </w:tc>
      </w:tr>
      <w:tr w:rsidR="002D2E4F" w:rsidRPr="00513ED7" w14:paraId="41BF1735"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408E00EF" w14:textId="77777777" w:rsidR="002D2E4F" w:rsidRPr="003B5469" w:rsidRDefault="002D2E4F" w:rsidP="002D2E4F">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Labour and employment affairs</w:t>
            </w:r>
          </w:p>
        </w:tc>
        <w:tc>
          <w:tcPr>
            <w:tcW w:w="617" w:type="pct"/>
            <w:tcBorders>
              <w:top w:val="nil"/>
              <w:left w:val="nil"/>
              <w:bottom w:val="nil"/>
              <w:right w:val="nil"/>
            </w:tcBorders>
            <w:shd w:val="clear" w:color="000000" w:fill="FFFFFF"/>
            <w:noWrap/>
            <w:vAlign w:val="center"/>
            <w:hideMark/>
          </w:tcPr>
          <w:p w14:paraId="22C6ACFD"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6,546</w:t>
            </w:r>
          </w:p>
        </w:tc>
        <w:tc>
          <w:tcPr>
            <w:tcW w:w="617" w:type="pct"/>
            <w:tcBorders>
              <w:top w:val="nil"/>
              <w:left w:val="nil"/>
              <w:bottom w:val="nil"/>
              <w:right w:val="nil"/>
            </w:tcBorders>
            <w:shd w:val="clear" w:color="000000" w:fill="EBFFFF"/>
            <w:noWrap/>
            <w:vAlign w:val="center"/>
            <w:hideMark/>
          </w:tcPr>
          <w:p w14:paraId="3AE7296C"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5,260</w:t>
            </w:r>
          </w:p>
        </w:tc>
        <w:tc>
          <w:tcPr>
            <w:tcW w:w="617" w:type="pct"/>
            <w:tcBorders>
              <w:top w:val="nil"/>
              <w:left w:val="nil"/>
              <w:bottom w:val="nil"/>
              <w:right w:val="nil"/>
            </w:tcBorders>
            <w:shd w:val="clear" w:color="000000" w:fill="FFFFFF"/>
            <w:noWrap/>
            <w:vAlign w:val="center"/>
            <w:hideMark/>
          </w:tcPr>
          <w:p w14:paraId="512CE0F6" w14:textId="0003A79E"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1,286</w:t>
            </w:r>
          </w:p>
        </w:tc>
      </w:tr>
      <w:tr w:rsidR="002D2E4F" w:rsidRPr="00513ED7" w14:paraId="4B555D12"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5AEA1DED" w14:textId="77777777" w:rsidR="002D2E4F" w:rsidRPr="003B5469" w:rsidRDefault="002D2E4F" w:rsidP="002D2E4F">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Immigration</w:t>
            </w:r>
          </w:p>
        </w:tc>
        <w:tc>
          <w:tcPr>
            <w:tcW w:w="617" w:type="pct"/>
            <w:tcBorders>
              <w:top w:val="nil"/>
              <w:left w:val="nil"/>
              <w:bottom w:val="nil"/>
              <w:right w:val="nil"/>
            </w:tcBorders>
            <w:shd w:val="clear" w:color="000000" w:fill="FFFFFF"/>
            <w:noWrap/>
            <w:vAlign w:val="center"/>
            <w:hideMark/>
          </w:tcPr>
          <w:p w14:paraId="628AE67C"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3,622</w:t>
            </w:r>
          </w:p>
        </w:tc>
        <w:tc>
          <w:tcPr>
            <w:tcW w:w="617" w:type="pct"/>
            <w:tcBorders>
              <w:top w:val="nil"/>
              <w:left w:val="nil"/>
              <w:bottom w:val="nil"/>
              <w:right w:val="nil"/>
            </w:tcBorders>
            <w:shd w:val="clear" w:color="000000" w:fill="EBFFFF"/>
            <w:noWrap/>
            <w:vAlign w:val="center"/>
            <w:hideMark/>
          </w:tcPr>
          <w:p w14:paraId="05B917A4"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3,419</w:t>
            </w:r>
          </w:p>
        </w:tc>
        <w:tc>
          <w:tcPr>
            <w:tcW w:w="617" w:type="pct"/>
            <w:tcBorders>
              <w:top w:val="nil"/>
              <w:left w:val="nil"/>
              <w:bottom w:val="nil"/>
              <w:right w:val="nil"/>
            </w:tcBorders>
            <w:shd w:val="clear" w:color="000000" w:fill="FFFFFF"/>
            <w:noWrap/>
            <w:vAlign w:val="center"/>
            <w:hideMark/>
          </w:tcPr>
          <w:p w14:paraId="28CC93F8" w14:textId="2D948D9E"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204</w:t>
            </w:r>
          </w:p>
        </w:tc>
      </w:tr>
      <w:tr w:rsidR="002D2E4F" w:rsidRPr="00513ED7" w14:paraId="61831EB9"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24E05C6C" w14:textId="77777777" w:rsidR="002D2E4F" w:rsidRPr="003B5469" w:rsidRDefault="002D2E4F" w:rsidP="002D2E4F">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 xml:space="preserve">Other economic affairs </w:t>
            </w:r>
            <w:proofErr w:type="spellStart"/>
            <w:r w:rsidRPr="003B5469">
              <w:rPr>
                <w:rFonts w:ascii="Arial" w:hAnsi="Arial" w:cs="Arial"/>
                <w:color w:val="000000"/>
                <w:sz w:val="16"/>
                <w:szCs w:val="16"/>
              </w:rPr>
              <w:t>nec</w:t>
            </w:r>
            <w:proofErr w:type="spellEnd"/>
          </w:p>
        </w:tc>
        <w:tc>
          <w:tcPr>
            <w:tcW w:w="617" w:type="pct"/>
            <w:tcBorders>
              <w:top w:val="nil"/>
              <w:left w:val="nil"/>
              <w:bottom w:val="nil"/>
              <w:right w:val="nil"/>
            </w:tcBorders>
            <w:shd w:val="clear" w:color="000000" w:fill="FFFFFF"/>
            <w:noWrap/>
            <w:vAlign w:val="center"/>
            <w:hideMark/>
          </w:tcPr>
          <w:p w14:paraId="4E466FC1"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73,424</w:t>
            </w:r>
          </w:p>
        </w:tc>
        <w:tc>
          <w:tcPr>
            <w:tcW w:w="617" w:type="pct"/>
            <w:tcBorders>
              <w:top w:val="nil"/>
              <w:left w:val="nil"/>
              <w:bottom w:val="nil"/>
              <w:right w:val="nil"/>
            </w:tcBorders>
            <w:shd w:val="clear" w:color="000000" w:fill="EBFFFF"/>
            <w:noWrap/>
            <w:vAlign w:val="center"/>
            <w:hideMark/>
          </w:tcPr>
          <w:p w14:paraId="7F3A14C1"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73,179</w:t>
            </w:r>
          </w:p>
        </w:tc>
        <w:tc>
          <w:tcPr>
            <w:tcW w:w="617" w:type="pct"/>
            <w:tcBorders>
              <w:top w:val="nil"/>
              <w:left w:val="nil"/>
              <w:bottom w:val="nil"/>
              <w:right w:val="nil"/>
            </w:tcBorders>
            <w:shd w:val="clear" w:color="000000" w:fill="FFFFFF"/>
            <w:noWrap/>
            <w:vAlign w:val="center"/>
            <w:hideMark/>
          </w:tcPr>
          <w:p w14:paraId="723B218D" w14:textId="088A4F28"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246</w:t>
            </w:r>
          </w:p>
        </w:tc>
      </w:tr>
      <w:tr w:rsidR="002D2E4F" w:rsidRPr="00513ED7" w14:paraId="4DF3E2B1"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7E3E8CD3" w14:textId="77777777" w:rsidR="002D2E4F" w:rsidRPr="003B5469" w:rsidRDefault="002D2E4F" w:rsidP="002D2E4F">
            <w:pPr>
              <w:spacing w:after="0" w:line="240" w:lineRule="auto"/>
              <w:jc w:val="left"/>
              <w:rPr>
                <w:rFonts w:ascii="Arial" w:hAnsi="Arial" w:cs="Arial"/>
                <w:b/>
                <w:color w:val="000000"/>
                <w:sz w:val="16"/>
                <w:szCs w:val="16"/>
              </w:rPr>
            </w:pPr>
            <w:r w:rsidRPr="003B5469">
              <w:rPr>
                <w:rFonts w:ascii="Arial" w:hAnsi="Arial" w:cs="Arial"/>
                <w:b/>
                <w:color w:val="000000"/>
                <w:sz w:val="16"/>
                <w:szCs w:val="16"/>
              </w:rPr>
              <w:t>Other purposes</w:t>
            </w:r>
          </w:p>
        </w:tc>
        <w:tc>
          <w:tcPr>
            <w:tcW w:w="617" w:type="pct"/>
            <w:tcBorders>
              <w:top w:val="nil"/>
              <w:left w:val="nil"/>
              <w:bottom w:val="nil"/>
              <w:right w:val="nil"/>
            </w:tcBorders>
            <w:shd w:val="clear" w:color="000000" w:fill="FFFFFF"/>
            <w:noWrap/>
            <w:vAlign w:val="center"/>
            <w:hideMark/>
          </w:tcPr>
          <w:p w14:paraId="40AD70E4" w14:textId="77777777" w:rsidR="002D2E4F" w:rsidRPr="003B5469" w:rsidRDefault="002D2E4F" w:rsidP="002D2E4F">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17" w:type="pct"/>
            <w:tcBorders>
              <w:top w:val="nil"/>
              <w:left w:val="nil"/>
              <w:bottom w:val="nil"/>
              <w:right w:val="nil"/>
            </w:tcBorders>
            <w:shd w:val="clear" w:color="000000" w:fill="EBFFFF"/>
            <w:noWrap/>
            <w:vAlign w:val="center"/>
            <w:hideMark/>
          </w:tcPr>
          <w:p w14:paraId="58D0A694" w14:textId="77777777" w:rsidR="002D2E4F" w:rsidRPr="003B5469" w:rsidRDefault="002D2E4F" w:rsidP="002D2E4F">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17" w:type="pct"/>
            <w:tcBorders>
              <w:top w:val="nil"/>
              <w:left w:val="nil"/>
              <w:bottom w:val="nil"/>
              <w:right w:val="nil"/>
            </w:tcBorders>
            <w:shd w:val="clear" w:color="000000" w:fill="FFFFFF"/>
            <w:noWrap/>
            <w:vAlign w:val="center"/>
            <w:hideMark/>
          </w:tcPr>
          <w:p w14:paraId="57936E1B" w14:textId="77777777" w:rsidR="002D2E4F" w:rsidRPr="003B5469" w:rsidRDefault="002D2E4F" w:rsidP="002D2E4F">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r>
      <w:tr w:rsidR="002D2E4F" w:rsidRPr="00513ED7" w14:paraId="23CCC6E4"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204C74D2" w14:textId="77777777" w:rsidR="002D2E4F" w:rsidRPr="003B5469" w:rsidRDefault="002D2E4F" w:rsidP="002D2E4F">
            <w:pPr>
              <w:spacing w:after="0" w:line="240" w:lineRule="auto"/>
              <w:ind w:left="170"/>
              <w:jc w:val="left"/>
              <w:rPr>
                <w:rFonts w:ascii="Arial" w:hAnsi="Arial" w:cs="Arial"/>
                <w:sz w:val="16"/>
                <w:szCs w:val="16"/>
              </w:rPr>
            </w:pPr>
            <w:r w:rsidRPr="003B5469">
              <w:rPr>
                <w:rFonts w:ascii="Arial" w:hAnsi="Arial" w:cs="Arial"/>
                <w:sz w:val="16"/>
                <w:szCs w:val="16"/>
              </w:rPr>
              <w:t>Public debt interest</w:t>
            </w:r>
          </w:p>
        </w:tc>
        <w:tc>
          <w:tcPr>
            <w:tcW w:w="617" w:type="pct"/>
            <w:tcBorders>
              <w:top w:val="nil"/>
              <w:left w:val="nil"/>
              <w:bottom w:val="nil"/>
              <w:right w:val="nil"/>
            </w:tcBorders>
            <w:shd w:val="clear" w:color="000000" w:fill="FFFFFF"/>
            <w:noWrap/>
            <w:vAlign w:val="center"/>
            <w:hideMark/>
          </w:tcPr>
          <w:p w14:paraId="302A71EF"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17,123</w:t>
            </w:r>
          </w:p>
        </w:tc>
        <w:tc>
          <w:tcPr>
            <w:tcW w:w="617" w:type="pct"/>
            <w:tcBorders>
              <w:top w:val="nil"/>
              <w:left w:val="nil"/>
              <w:bottom w:val="nil"/>
              <w:right w:val="nil"/>
            </w:tcBorders>
            <w:shd w:val="clear" w:color="000000" w:fill="EBFFFF"/>
            <w:noWrap/>
            <w:vAlign w:val="center"/>
            <w:hideMark/>
          </w:tcPr>
          <w:p w14:paraId="6761A8E6"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17,123</w:t>
            </w:r>
          </w:p>
        </w:tc>
        <w:tc>
          <w:tcPr>
            <w:tcW w:w="617" w:type="pct"/>
            <w:tcBorders>
              <w:top w:val="nil"/>
              <w:left w:val="nil"/>
              <w:bottom w:val="nil"/>
              <w:right w:val="nil"/>
            </w:tcBorders>
            <w:shd w:val="clear" w:color="000000" w:fill="FFFFFF"/>
            <w:noWrap/>
            <w:vAlign w:val="center"/>
            <w:hideMark/>
          </w:tcPr>
          <w:p w14:paraId="28997FE9"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0</w:t>
            </w:r>
          </w:p>
        </w:tc>
      </w:tr>
      <w:tr w:rsidR="002D2E4F" w:rsidRPr="00513ED7" w14:paraId="4C041ACC"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01F6E9FB" w14:textId="77777777" w:rsidR="002D2E4F" w:rsidRPr="003B5469" w:rsidRDefault="002D2E4F" w:rsidP="002D2E4F">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Nominal superannuation interest</w:t>
            </w:r>
          </w:p>
        </w:tc>
        <w:tc>
          <w:tcPr>
            <w:tcW w:w="617" w:type="pct"/>
            <w:tcBorders>
              <w:top w:val="nil"/>
              <w:left w:val="nil"/>
              <w:bottom w:val="nil"/>
              <w:right w:val="nil"/>
            </w:tcBorders>
            <w:shd w:val="clear" w:color="000000" w:fill="FFFFFF"/>
            <w:noWrap/>
            <w:vAlign w:val="center"/>
            <w:hideMark/>
          </w:tcPr>
          <w:p w14:paraId="787AEACB"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7,004</w:t>
            </w:r>
          </w:p>
        </w:tc>
        <w:tc>
          <w:tcPr>
            <w:tcW w:w="617" w:type="pct"/>
            <w:tcBorders>
              <w:top w:val="nil"/>
              <w:left w:val="nil"/>
              <w:bottom w:val="nil"/>
              <w:right w:val="nil"/>
            </w:tcBorders>
            <w:shd w:val="clear" w:color="000000" w:fill="EBFFFF"/>
            <w:noWrap/>
            <w:vAlign w:val="center"/>
            <w:hideMark/>
          </w:tcPr>
          <w:p w14:paraId="1E8E58D3"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7,177</w:t>
            </w:r>
          </w:p>
        </w:tc>
        <w:tc>
          <w:tcPr>
            <w:tcW w:w="617" w:type="pct"/>
            <w:tcBorders>
              <w:top w:val="nil"/>
              <w:left w:val="nil"/>
              <w:bottom w:val="nil"/>
              <w:right w:val="nil"/>
            </w:tcBorders>
            <w:shd w:val="clear" w:color="000000" w:fill="FFFFFF"/>
            <w:noWrap/>
            <w:vAlign w:val="center"/>
            <w:hideMark/>
          </w:tcPr>
          <w:p w14:paraId="55F2506C"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173</w:t>
            </w:r>
          </w:p>
        </w:tc>
      </w:tr>
      <w:tr w:rsidR="002D2E4F" w:rsidRPr="00513ED7" w14:paraId="1EAB2272"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5484DC99" w14:textId="7817FBF1" w:rsidR="002D2E4F" w:rsidRPr="003B5469" w:rsidRDefault="002D2E4F" w:rsidP="002D2E4F">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 xml:space="preserve">General purpose </w:t>
            </w:r>
            <w:proofErr w:type="gramStart"/>
            <w:r w:rsidRPr="003B5469">
              <w:rPr>
                <w:rFonts w:ascii="Arial" w:hAnsi="Arial" w:cs="Arial"/>
                <w:color w:val="000000"/>
                <w:sz w:val="16"/>
                <w:szCs w:val="16"/>
              </w:rPr>
              <w:t>inter</w:t>
            </w:r>
            <w:proofErr w:type="gramEnd"/>
            <w:r w:rsidR="00A36B1E" w:rsidRPr="003B5469">
              <w:rPr>
                <w:rFonts w:ascii="Arial" w:hAnsi="Arial" w:cs="Arial"/>
                <w:color w:val="000000"/>
                <w:sz w:val="16"/>
                <w:szCs w:val="16"/>
              </w:rPr>
              <w:noBreakHyphen/>
            </w:r>
            <w:r w:rsidRPr="003B5469">
              <w:rPr>
                <w:rFonts w:ascii="Arial" w:hAnsi="Arial" w:cs="Arial"/>
                <w:color w:val="000000"/>
                <w:sz w:val="16"/>
                <w:szCs w:val="16"/>
              </w:rPr>
              <w:t>government transactions</w:t>
            </w:r>
          </w:p>
        </w:tc>
        <w:tc>
          <w:tcPr>
            <w:tcW w:w="617" w:type="pct"/>
            <w:tcBorders>
              <w:top w:val="nil"/>
              <w:left w:val="nil"/>
              <w:bottom w:val="nil"/>
              <w:right w:val="nil"/>
            </w:tcBorders>
            <w:shd w:val="clear" w:color="000000" w:fill="FFFFFF"/>
            <w:noWrap/>
            <w:vAlign w:val="center"/>
            <w:hideMark/>
          </w:tcPr>
          <w:p w14:paraId="080FC748"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75,250</w:t>
            </w:r>
          </w:p>
        </w:tc>
        <w:tc>
          <w:tcPr>
            <w:tcW w:w="617" w:type="pct"/>
            <w:tcBorders>
              <w:top w:val="nil"/>
              <w:left w:val="nil"/>
              <w:bottom w:val="nil"/>
              <w:right w:val="nil"/>
            </w:tcBorders>
            <w:shd w:val="clear" w:color="000000" w:fill="EBFFFF"/>
            <w:noWrap/>
            <w:vAlign w:val="center"/>
            <w:hideMark/>
          </w:tcPr>
          <w:p w14:paraId="605CC5A2"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78,538</w:t>
            </w:r>
          </w:p>
        </w:tc>
        <w:tc>
          <w:tcPr>
            <w:tcW w:w="617" w:type="pct"/>
            <w:tcBorders>
              <w:top w:val="nil"/>
              <w:left w:val="nil"/>
              <w:bottom w:val="nil"/>
              <w:right w:val="nil"/>
            </w:tcBorders>
            <w:shd w:val="clear" w:color="000000" w:fill="FFFFFF"/>
            <w:noWrap/>
            <w:vAlign w:val="center"/>
            <w:hideMark/>
          </w:tcPr>
          <w:p w14:paraId="6216C5B2"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3,288</w:t>
            </w:r>
          </w:p>
        </w:tc>
      </w:tr>
      <w:tr w:rsidR="002D2E4F" w:rsidRPr="00513ED7" w14:paraId="6C039BC5"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26552EA8" w14:textId="77777777" w:rsidR="002D2E4F" w:rsidRPr="003B5469" w:rsidRDefault="002D2E4F" w:rsidP="002D2E4F">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Natural disaster relief</w:t>
            </w:r>
          </w:p>
        </w:tc>
        <w:tc>
          <w:tcPr>
            <w:tcW w:w="617" w:type="pct"/>
            <w:tcBorders>
              <w:top w:val="nil"/>
              <w:left w:val="nil"/>
              <w:bottom w:val="nil"/>
              <w:right w:val="nil"/>
            </w:tcBorders>
            <w:shd w:val="clear" w:color="000000" w:fill="FFFFFF"/>
            <w:noWrap/>
            <w:vAlign w:val="center"/>
            <w:hideMark/>
          </w:tcPr>
          <w:p w14:paraId="2CEBA233"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748</w:t>
            </w:r>
          </w:p>
        </w:tc>
        <w:tc>
          <w:tcPr>
            <w:tcW w:w="617" w:type="pct"/>
            <w:tcBorders>
              <w:top w:val="nil"/>
              <w:left w:val="nil"/>
              <w:bottom w:val="nil"/>
              <w:right w:val="nil"/>
            </w:tcBorders>
            <w:shd w:val="clear" w:color="000000" w:fill="EBFFFF"/>
            <w:noWrap/>
            <w:vAlign w:val="center"/>
            <w:hideMark/>
          </w:tcPr>
          <w:p w14:paraId="66BA36B9"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344</w:t>
            </w:r>
          </w:p>
        </w:tc>
        <w:tc>
          <w:tcPr>
            <w:tcW w:w="617" w:type="pct"/>
            <w:tcBorders>
              <w:top w:val="nil"/>
              <w:left w:val="nil"/>
              <w:bottom w:val="nil"/>
              <w:right w:val="nil"/>
            </w:tcBorders>
            <w:shd w:val="clear" w:color="000000" w:fill="FFFFFF"/>
            <w:noWrap/>
            <w:vAlign w:val="center"/>
            <w:hideMark/>
          </w:tcPr>
          <w:p w14:paraId="10D239E4" w14:textId="070B60FA"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404</w:t>
            </w:r>
          </w:p>
        </w:tc>
      </w:tr>
      <w:tr w:rsidR="002D2E4F" w:rsidRPr="00513ED7" w14:paraId="624C74D8" w14:textId="77777777" w:rsidTr="002D2E4F">
        <w:trPr>
          <w:trHeight w:hRule="exact" w:val="225"/>
        </w:trPr>
        <w:tc>
          <w:tcPr>
            <w:tcW w:w="3148" w:type="pct"/>
            <w:tcBorders>
              <w:top w:val="nil"/>
              <w:left w:val="nil"/>
              <w:bottom w:val="nil"/>
              <w:right w:val="nil"/>
            </w:tcBorders>
            <w:shd w:val="clear" w:color="000000" w:fill="FFFFFF"/>
            <w:noWrap/>
            <w:vAlign w:val="center"/>
            <w:hideMark/>
          </w:tcPr>
          <w:p w14:paraId="617BBA64" w14:textId="77777777" w:rsidR="002D2E4F" w:rsidRPr="003B5469" w:rsidRDefault="002D2E4F" w:rsidP="002D2E4F">
            <w:pPr>
              <w:spacing w:after="0" w:line="240" w:lineRule="auto"/>
              <w:ind w:left="170"/>
              <w:jc w:val="left"/>
              <w:rPr>
                <w:rFonts w:ascii="Arial" w:hAnsi="Arial" w:cs="Arial"/>
                <w:sz w:val="16"/>
                <w:szCs w:val="16"/>
              </w:rPr>
            </w:pPr>
            <w:r w:rsidRPr="003B5469">
              <w:rPr>
                <w:rFonts w:ascii="Arial" w:hAnsi="Arial" w:cs="Arial"/>
                <w:sz w:val="16"/>
                <w:szCs w:val="16"/>
              </w:rPr>
              <w:t>Contingency reserve</w:t>
            </w:r>
          </w:p>
        </w:tc>
        <w:tc>
          <w:tcPr>
            <w:tcW w:w="617" w:type="pct"/>
            <w:tcBorders>
              <w:top w:val="nil"/>
              <w:left w:val="nil"/>
              <w:bottom w:val="nil"/>
              <w:right w:val="nil"/>
            </w:tcBorders>
            <w:shd w:val="clear" w:color="000000" w:fill="FFFFFF"/>
            <w:noWrap/>
            <w:vAlign w:val="center"/>
            <w:hideMark/>
          </w:tcPr>
          <w:p w14:paraId="62AA88D6" w14:textId="79B295EE" w:rsidR="002D2E4F" w:rsidRPr="003B5469" w:rsidRDefault="00A36B1E"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D2E4F" w:rsidRPr="003B5469">
              <w:rPr>
                <w:rFonts w:ascii="Arial" w:hAnsi="Arial" w:cs="Arial"/>
                <w:color w:val="000000"/>
                <w:sz w:val="16"/>
                <w:szCs w:val="16"/>
              </w:rPr>
              <w:t>2,845</w:t>
            </w:r>
          </w:p>
        </w:tc>
        <w:tc>
          <w:tcPr>
            <w:tcW w:w="617" w:type="pct"/>
            <w:tcBorders>
              <w:top w:val="nil"/>
              <w:left w:val="nil"/>
              <w:bottom w:val="nil"/>
              <w:right w:val="nil"/>
            </w:tcBorders>
            <w:shd w:val="clear" w:color="000000" w:fill="EBFFFF"/>
            <w:noWrap/>
            <w:vAlign w:val="center"/>
            <w:hideMark/>
          </w:tcPr>
          <w:p w14:paraId="435052E8"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0</w:t>
            </w:r>
          </w:p>
        </w:tc>
        <w:tc>
          <w:tcPr>
            <w:tcW w:w="617" w:type="pct"/>
            <w:tcBorders>
              <w:top w:val="nil"/>
              <w:left w:val="nil"/>
              <w:bottom w:val="nil"/>
              <w:right w:val="nil"/>
            </w:tcBorders>
            <w:shd w:val="clear" w:color="000000" w:fill="FFFFFF"/>
            <w:noWrap/>
            <w:vAlign w:val="center"/>
            <w:hideMark/>
          </w:tcPr>
          <w:p w14:paraId="7B896DF6" w14:textId="77777777" w:rsidR="002D2E4F" w:rsidRPr="003B5469" w:rsidRDefault="002D2E4F" w:rsidP="002D2E4F">
            <w:pPr>
              <w:spacing w:after="0" w:line="240" w:lineRule="auto"/>
              <w:jc w:val="right"/>
              <w:rPr>
                <w:rFonts w:ascii="Arial" w:hAnsi="Arial" w:cs="Arial"/>
                <w:color w:val="000000"/>
                <w:sz w:val="16"/>
                <w:szCs w:val="16"/>
              </w:rPr>
            </w:pPr>
            <w:r w:rsidRPr="003B5469">
              <w:rPr>
                <w:rFonts w:ascii="Arial" w:hAnsi="Arial" w:cs="Arial"/>
                <w:color w:val="000000"/>
                <w:sz w:val="16"/>
                <w:szCs w:val="16"/>
              </w:rPr>
              <w:t>2,845</w:t>
            </w:r>
          </w:p>
        </w:tc>
      </w:tr>
      <w:tr w:rsidR="002D2E4F" w:rsidRPr="00513ED7" w14:paraId="2D44EF52" w14:textId="77777777" w:rsidTr="002D2E4F">
        <w:trPr>
          <w:trHeight w:hRule="exact" w:val="225"/>
        </w:trPr>
        <w:tc>
          <w:tcPr>
            <w:tcW w:w="3148" w:type="pct"/>
            <w:tcBorders>
              <w:top w:val="nil"/>
              <w:left w:val="nil"/>
              <w:bottom w:val="single" w:sz="4" w:space="0" w:color="000000"/>
              <w:right w:val="nil"/>
            </w:tcBorders>
            <w:shd w:val="clear" w:color="000000" w:fill="FFFFFF"/>
            <w:noWrap/>
            <w:vAlign w:val="center"/>
            <w:hideMark/>
          </w:tcPr>
          <w:p w14:paraId="2A2B73B0" w14:textId="77777777" w:rsidR="002D2E4F" w:rsidRPr="003B5469" w:rsidRDefault="002D2E4F" w:rsidP="002D2E4F">
            <w:pPr>
              <w:spacing w:after="0" w:line="240" w:lineRule="auto"/>
              <w:jc w:val="left"/>
              <w:rPr>
                <w:rFonts w:ascii="Arial" w:hAnsi="Arial" w:cs="Arial"/>
                <w:b/>
                <w:color w:val="000000"/>
                <w:sz w:val="16"/>
                <w:szCs w:val="16"/>
              </w:rPr>
            </w:pPr>
            <w:r w:rsidRPr="003B5469">
              <w:rPr>
                <w:rFonts w:ascii="Arial" w:hAnsi="Arial" w:cs="Arial"/>
                <w:b/>
                <w:color w:val="000000"/>
                <w:sz w:val="16"/>
                <w:szCs w:val="16"/>
              </w:rPr>
              <w:t>Total expenses</w:t>
            </w:r>
          </w:p>
        </w:tc>
        <w:tc>
          <w:tcPr>
            <w:tcW w:w="617" w:type="pct"/>
            <w:tcBorders>
              <w:top w:val="single" w:sz="4" w:space="0" w:color="auto"/>
              <w:left w:val="nil"/>
              <w:bottom w:val="single" w:sz="4" w:space="0" w:color="000000"/>
              <w:right w:val="nil"/>
            </w:tcBorders>
            <w:shd w:val="clear" w:color="000000" w:fill="FFFFFF"/>
            <w:noWrap/>
            <w:vAlign w:val="center"/>
            <w:hideMark/>
          </w:tcPr>
          <w:p w14:paraId="6001EC05" w14:textId="77777777" w:rsidR="002D2E4F" w:rsidRPr="003B5469" w:rsidRDefault="002D2E4F" w:rsidP="002D2E4F">
            <w:pPr>
              <w:spacing w:after="0" w:line="240" w:lineRule="auto"/>
              <w:jc w:val="right"/>
              <w:rPr>
                <w:rFonts w:ascii="Arial" w:hAnsi="Arial" w:cs="Arial"/>
                <w:b/>
                <w:color w:val="000000"/>
                <w:sz w:val="16"/>
                <w:szCs w:val="16"/>
              </w:rPr>
            </w:pPr>
            <w:r w:rsidRPr="003B5469">
              <w:rPr>
                <w:rFonts w:ascii="Arial" w:hAnsi="Arial" w:cs="Arial"/>
                <w:b/>
                <w:color w:val="000000"/>
                <w:sz w:val="16"/>
                <w:szCs w:val="16"/>
              </w:rPr>
              <w:t>659,437</w:t>
            </w:r>
          </w:p>
        </w:tc>
        <w:tc>
          <w:tcPr>
            <w:tcW w:w="617" w:type="pct"/>
            <w:tcBorders>
              <w:top w:val="single" w:sz="4" w:space="0" w:color="auto"/>
              <w:left w:val="nil"/>
              <w:bottom w:val="single" w:sz="4" w:space="0" w:color="000000"/>
              <w:right w:val="nil"/>
            </w:tcBorders>
            <w:shd w:val="clear" w:color="000000" w:fill="EBFFFF"/>
            <w:noWrap/>
            <w:vAlign w:val="center"/>
            <w:hideMark/>
          </w:tcPr>
          <w:p w14:paraId="44C867CA" w14:textId="77777777" w:rsidR="002D2E4F" w:rsidRPr="003B5469" w:rsidRDefault="002D2E4F" w:rsidP="002D2E4F">
            <w:pPr>
              <w:spacing w:after="0" w:line="240" w:lineRule="auto"/>
              <w:jc w:val="right"/>
              <w:rPr>
                <w:rFonts w:ascii="Arial" w:hAnsi="Arial" w:cs="Arial"/>
                <w:b/>
                <w:color w:val="000000"/>
                <w:sz w:val="16"/>
                <w:szCs w:val="16"/>
              </w:rPr>
            </w:pPr>
            <w:r w:rsidRPr="003B5469">
              <w:rPr>
                <w:rFonts w:ascii="Arial" w:hAnsi="Arial" w:cs="Arial"/>
                <w:b/>
                <w:color w:val="000000"/>
                <w:sz w:val="16"/>
                <w:szCs w:val="16"/>
              </w:rPr>
              <w:t>651,916</w:t>
            </w:r>
          </w:p>
        </w:tc>
        <w:tc>
          <w:tcPr>
            <w:tcW w:w="617" w:type="pct"/>
            <w:tcBorders>
              <w:top w:val="single" w:sz="4" w:space="0" w:color="auto"/>
              <w:left w:val="nil"/>
              <w:bottom w:val="single" w:sz="4" w:space="0" w:color="000000"/>
              <w:right w:val="nil"/>
            </w:tcBorders>
            <w:shd w:val="clear" w:color="000000" w:fill="FFFFFF"/>
            <w:noWrap/>
            <w:vAlign w:val="center"/>
            <w:hideMark/>
          </w:tcPr>
          <w:p w14:paraId="57428068" w14:textId="421A8F07" w:rsidR="002D2E4F" w:rsidRPr="003B5469" w:rsidRDefault="00A36B1E" w:rsidP="002D2E4F">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2D2E4F" w:rsidRPr="003B5469">
              <w:rPr>
                <w:rFonts w:ascii="Arial" w:hAnsi="Arial" w:cs="Arial"/>
                <w:b/>
                <w:color w:val="000000"/>
                <w:sz w:val="16"/>
                <w:szCs w:val="16"/>
              </w:rPr>
              <w:t>7,521</w:t>
            </w:r>
          </w:p>
        </w:tc>
      </w:tr>
    </w:tbl>
    <w:p w14:paraId="10014632" w14:textId="33D11435" w:rsidR="0010171B" w:rsidRPr="003B5469" w:rsidRDefault="0010171B" w:rsidP="0010171B">
      <w:pPr>
        <w:pStyle w:val="TableGraphic"/>
      </w:pPr>
    </w:p>
    <w:p w14:paraId="53CAACD8" w14:textId="21CB6971" w:rsidR="006652B6" w:rsidRPr="00513ED7" w:rsidRDefault="006652B6">
      <w:pPr>
        <w:spacing w:after="160" w:line="259" w:lineRule="auto"/>
        <w:jc w:val="left"/>
      </w:pPr>
      <w:r w:rsidRPr="00513ED7">
        <w:br w:type="page"/>
      </w:r>
    </w:p>
    <w:p w14:paraId="5D8FD72D" w14:textId="2928EAFB" w:rsidR="008128F4" w:rsidRPr="003B5469" w:rsidRDefault="00A80E8F" w:rsidP="008128F4">
      <w:pPr>
        <w:pStyle w:val="TableHeading"/>
        <w:rPr>
          <w:rFonts w:asciiTheme="minorHAnsi" w:eastAsiaTheme="minorHAnsi" w:hAnsiTheme="minorHAnsi" w:cstheme="minorBidi"/>
          <w:sz w:val="22"/>
          <w:szCs w:val="22"/>
          <w:lang w:eastAsia="en-US"/>
        </w:rPr>
      </w:pPr>
      <w:r w:rsidRPr="003B5469">
        <w:lastRenderedPageBreak/>
        <w:t xml:space="preserve">Table </w:t>
      </w:r>
      <w:r w:rsidR="0001752C" w:rsidRPr="003B5469">
        <w:t>8</w:t>
      </w:r>
      <w:r w:rsidRPr="003B5469">
        <w:t xml:space="preserve">: Australian Government general government sector net capital investment by function </w:t>
      </w:r>
      <w:bookmarkStart w:id="9" w:name="_1693650453"/>
      <w:bookmarkEnd w:id="9"/>
    </w:p>
    <w:tbl>
      <w:tblPr>
        <w:tblW w:w="5000" w:type="pct"/>
        <w:tblCellMar>
          <w:left w:w="0" w:type="dxa"/>
          <w:right w:w="28" w:type="dxa"/>
        </w:tblCellMar>
        <w:tblLook w:val="04A0" w:firstRow="1" w:lastRow="0" w:firstColumn="1" w:lastColumn="0" w:noHBand="0" w:noVBand="1"/>
      </w:tblPr>
      <w:tblGrid>
        <w:gridCol w:w="4614"/>
        <w:gridCol w:w="1087"/>
        <w:gridCol w:w="1087"/>
        <w:gridCol w:w="922"/>
      </w:tblGrid>
      <w:tr w:rsidR="008128F4" w:rsidRPr="00513ED7" w14:paraId="2F13FAE4" w14:textId="77777777" w:rsidTr="008128F4">
        <w:trPr>
          <w:trHeight w:hRule="exact" w:val="225"/>
        </w:trPr>
        <w:tc>
          <w:tcPr>
            <w:tcW w:w="2992" w:type="pct"/>
            <w:tcBorders>
              <w:top w:val="single" w:sz="4" w:space="0" w:color="000000"/>
              <w:left w:val="nil"/>
              <w:bottom w:val="nil"/>
              <w:right w:val="nil"/>
            </w:tcBorders>
            <w:shd w:val="clear" w:color="000000" w:fill="FFFFFF"/>
            <w:noWrap/>
            <w:vAlign w:val="center"/>
            <w:hideMark/>
          </w:tcPr>
          <w:p w14:paraId="3B4815E4" w14:textId="3C3F2589" w:rsidR="008128F4" w:rsidRPr="003B5469" w:rsidRDefault="008128F4" w:rsidP="008128F4">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705" w:type="pct"/>
            <w:tcBorders>
              <w:top w:val="single" w:sz="4" w:space="0" w:color="000000"/>
              <w:left w:val="nil"/>
              <w:bottom w:val="nil"/>
              <w:right w:val="nil"/>
            </w:tcBorders>
            <w:shd w:val="clear" w:color="000000" w:fill="FFFFFF"/>
            <w:noWrap/>
            <w:vAlign w:val="center"/>
            <w:hideMark/>
          </w:tcPr>
          <w:p w14:paraId="577CA9B6" w14:textId="34F55C8A" w:rsidR="008128F4" w:rsidRPr="003B5469" w:rsidRDefault="008128F4" w:rsidP="008128F4">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705" w:type="pct"/>
            <w:tcBorders>
              <w:top w:val="single" w:sz="4" w:space="0" w:color="000000"/>
              <w:left w:val="nil"/>
              <w:bottom w:val="nil"/>
              <w:right w:val="nil"/>
            </w:tcBorders>
            <w:shd w:val="clear" w:color="000000" w:fill="EBFFFF"/>
            <w:noWrap/>
            <w:vAlign w:val="center"/>
            <w:hideMark/>
          </w:tcPr>
          <w:p w14:paraId="64879BCF" w14:textId="4BBF62DD" w:rsidR="008128F4" w:rsidRPr="003B5469" w:rsidRDefault="008128F4" w:rsidP="008128F4">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598" w:type="pct"/>
            <w:tcBorders>
              <w:top w:val="single" w:sz="4" w:space="0" w:color="000000"/>
              <w:left w:val="nil"/>
              <w:bottom w:val="nil"/>
              <w:right w:val="nil"/>
            </w:tcBorders>
            <w:shd w:val="clear" w:color="000000" w:fill="FFFFFF"/>
            <w:noWrap/>
            <w:vAlign w:val="bottom"/>
            <w:hideMark/>
          </w:tcPr>
          <w:p w14:paraId="4171353B" w14:textId="77777777" w:rsidR="008128F4" w:rsidRPr="003B5469" w:rsidRDefault="008128F4" w:rsidP="008128F4">
            <w:pPr>
              <w:spacing w:after="0" w:line="240" w:lineRule="auto"/>
              <w:jc w:val="right"/>
              <w:rPr>
                <w:rFonts w:ascii="Arial" w:hAnsi="Arial" w:cs="Arial"/>
                <w:sz w:val="16"/>
                <w:szCs w:val="16"/>
              </w:rPr>
            </w:pPr>
            <w:r w:rsidRPr="003B5469">
              <w:rPr>
                <w:rFonts w:ascii="Arial" w:hAnsi="Arial" w:cs="Arial"/>
                <w:sz w:val="16"/>
                <w:szCs w:val="16"/>
              </w:rPr>
              <w:t>Change on</w:t>
            </w:r>
          </w:p>
        </w:tc>
      </w:tr>
      <w:tr w:rsidR="008128F4" w:rsidRPr="00513ED7" w14:paraId="1042B60E" w14:textId="77777777" w:rsidTr="008128F4">
        <w:trPr>
          <w:trHeight w:hRule="exact" w:val="225"/>
        </w:trPr>
        <w:tc>
          <w:tcPr>
            <w:tcW w:w="2992" w:type="pct"/>
            <w:tcBorders>
              <w:top w:val="nil"/>
              <w:left w:val="nil"/>
              <w:bottom w:val="nil"/>
              <w:right w:val="nil"/>
            </w:tcBorders>
            <w:shd w:val="clear" w:color="000000" w:fill="FFFFFF"/>
            <w:noWrap/>
            <w:vAlign w:val="center"/>
            <w:hideMark/>
          </w:tcPr>
          <w:p w14:paraId="2C8CCA3B" w14:textId="77777777" w:rsidR="008128F4" w:rsidRPr="003B5469" w:rsidRDefault="008128F4" w:rsidP="008128F4">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705" w:type="pct"/>
            <w:tcBorders>
              <w:top w:val="nil"/>
              <w:left w:val="nil"/>
              <w:bottom w:val="nil"/>
              <w:right w:val="nil"/>
            </w:tcBorders>
            <w:shd w:val="clear" w:color="000000" w:fill="FFFFFF"/>
            <w:noWrap/>
            <w:vAlign w:val="center"/>
            <w:hideMark/>
          </w:tcPr>
          <w:p w14:paraId="30370543" w14:textId="77777777" w:rsidR="008128F4" w:rsidRPr="003B5469" w:rsidRDefault="008128F4" w:rsidP="008128F4">
            <w:pPr>
              <w:spacing w:after="0" w:line="240" w:lineRule="auto"/>
              <w:jc w:val="right"/>
              <w:rPr>
                <w:rFonts w:ascii="Arial" w:hAnsi="Arial" w:cs="Arial"/>
                <w:sz w:val="16"/>
                <w:szCs w:val="16"/>
              </w:rPr>
            </w:pPr>
            <w:r w:rsidRPr="003B5469">
              <w:rPr>
                <w:rFonts w:ascii="Arial" w:hAnsi="Arial" w:cs="Arial"/>
                <w:sz w:val="16"/>
                <w:szCs w:val="16"/>
              </w:rPr>
              <w:t>Estimate at</w:t>
            </w:r>
          </w:p>
        </w:tc>
        <w:tc>
          <w:tcPr>
            <w:tcW w:w="705" w:type="pct"/>
            <w:tcBorders>
              <w:top w:val="nil"/>
              <w:left w:val="nil"/>
              <w:bottom w:val="nil"/>
              <w:right w:val="nil"/>
            </w:tcBorders>
            <w:shd w:val="clear" w:color="000000" w:fill="EBFFFF"/>
            <w:noWrap/>
            <w:vAlign w:val="center"/>
            <w:hideMark/>
          </w:tcPr>
          <w:p w14:paraId="49D1AE49" w14:textId="77777777" w:rsidR="008128F4" w:rsidRPr="003B5469" w:rsidRDefault="008128F4" w:rsidP="008128F4">
            <w:pPr>
              <w:spacing w:after="0" w:line="240" w:lineRule="auto"/>
              <w:jc w:val="right"/>
              <w:rPr>
                <w:rFonts w:ascii="Arial" w:hAnsi="Arial" w:cs="Arial"/>
                <w:sz w:val="16"/>
                <w:szCs w:val="16"/>
              </w:rPr>
            </w:pPr>
            <w:r w:rsidRPr="003B5469">
              <w:rPr>
                <w:rFonts w:ascii="Arial" w:hAnsi="Arial" w:cs="Arial"/>
                <w:sz w:val="16"/>
                <w:szCs w:val="16"/>
              </w:rPr>
              <w:t>Outcome</w:t>
            </w:r>
          </w:p>
        </w:tc>
        <w:tc>
          <w:tcPr>
            <w:tcW w:w="598" w:type="pct"/>
            <w:tcBorders>
              <w:top w:val="nil"/>
              <w:left w:val="nil"/>
              <w:bottom w:val="nil"/>
              <w:right w:val="nil"/>
            </w:tcBorders>
            <w:shd w:val="clear" w:color="000000" w:fill="FFFFFF"/>
            <w:noWrap/>
            <w:vAlign w:val="center"/>
            <w:hideMark/>
          </w:tcPr>
          <w:p w14:paraId="0C180349" w14:textId="324C2F1D" w:rsidR="008128F4" w:rsidRPr="003B5469" w:rsidRDefault="008128F4" w:rsidP="008128F4">
            <w:pPr>
              <w:spacing w:after="0" w:line="240" w:lineRule="auto"/>
              <w:jc w:val="right"/>
              <w:rPr>
                <w:rFonts w:ascii="Arial" w:hAnsi="Arial" w:cs="Arial"/>
                <w:sz w:val="16"/>
                <w:szCs w:val="16"/>
              </w:rPr>
            </w:pPr>
            <w:r w:rsidRPr="003B5469">
              <w:rPr>
                <w:rFonts w:ascii="Arial" w:hAnsi="Arial" w:cs="Arial"/>
                <w:sz w:val="16"/>
                <w:szCs w:val="16"/>
              </w:rPr>
              <w:t>2021</w:t>
            </w:r>
            <w:r w:rsidR="00A36B1E" w:rsidRPr="003B5469">
              <w:rPr>
                <w:rFonts w:ascii="Arial" w:hAnsi="Arial" w:cs="Arial"/>
                <w:sz w:val="16"/>
                <w:szCs w:val="16"/>
              </w:rPr>
              <w:noBreakHyphen/>
            </w:r>
            <w:r w:rsidRPr="003B5469">
              <w:rPr>
                <w:rFonts w:ascii="Arial" w:hAnsi="Arial" w:cs="Arial"/>
                <w:sz w:val="16"/>
                <w:szCs w:val="16"/>
              </w:rPr>
              <w:t>22</w:t>
            </w:r>
          </w:p>
        </w:tc>
      </w:tr>
      <w:tr w:rsidR="008128F4" w:rsidRPr="00513ED7" w14:paraId="1A70D6FF" w14:textId="77777777" w:rsidTr="008128F4">
        <w:trPr>
          <w:trHeight w:hRule="exact" w:val="225"/>
        </w:trPr>
        <w:tc>
          <w:tcPr>
            <w:tcW w:w="2992" w:type="pct"/>
            <w:tcBorders>
              <w:top w:val="nil"/>
              <w:left w:val="nil"/>
              <w:bottom w:val="nil"/>
              <w:right w:val="nil"/>
            </w:tcBorders>
            <w:shd w:val="clear" w:color="000000" w:fill="FFFFFF"/>
            <w:noWrap/>
            <w:vAlign w:val="center"/>
            <w:hideMark/>
          </w:tcPr>
          <w:p w14:paraId="6A4EE2D8" w14:textId="77777777" w:rsidR="008128F4" w:rsidRPr="003B5469" w:rsidRDefault="008128F4" w:rsidP="008128F4">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705" w:type="pct"/>
            <w:tcBorders>
              <w:top w:val="nil"/>
              <w:left w:val="nil"/>
              <w:bottom w:val="nil"/>
              <w:right w:val="nil"/>
            </w:tcBorders>
            <w:shd w:val="clear" w:color="000000" w:fill="FFFFFF"/>
            <w:noWrap/>
            <w:vAlign w:val="center"/>
            <w:hideMark/>
          </w:tcPr>
          <w:p w14:paraId="6F61554D" w14:textId="4AB7AC24" w:rsidR="008128F4" w:rsidRPr="003B5469" w:rsidRDefault="008128F4" w:rsidP="008128F4">
            <w:pPr>
              <w:spacing w:after="0" w:line="240" w:lineRule="auto"/>
              <w:jc w:val="right"/>
              <w:rPr>
                <w:rFonts w:ascii="Arial" w:hAnsi="Arial" w:cs="Arial"/>
                <w:sz w:val="16"/>
                <w:szCs w:val="16"/>
              </w:rPr>
            </w:pPr>
            <w:r w:rsidRPr="003B5469">
              <w:rPr>
                <w:rFonts w:ascii="Arial" w:hAnsi="Arial" w:cs="Arial"/>
                <w:sz w:val="16"/>
                <w:szCs w:val="16"/>
              </w:rPr>
              <w:t>2021</w:t>
            </w:r>
            <w:r w:rsidR="00A36B1E" w:rsidRPr="003B5469">
              <w:rPr>
                <w:rFonts w:ascii="Arial" w:hAnsi="Arial" w:cs="Arial"/>
                <w:sz w:val="16"/>
                <w:szCs w:val="16"/>
              </w:rPr>
              <w:noBreakHyphen/>
            </w:r>
            <w:r w:rsidRPr="003B5469">
              <w:rPr>
                <w:rFonts w:ascii="Arial" w:hAnsi="Arial" w:cs="Arial"/>
                <w:sz w:val="16"/>
                <w:szCs w:val="16"/>
              </w:rPr>
              <w:t>22</w:t>
            </w:r>
          </w:p>
        </w:tc>
        <w:tc>
          <w:tcPr>
            <w:tcW w:w="705" w:type="pct"/>
            <w:tcBorders>
              <w:top w:val="nil"/>
              <w:left w:val="nil"/>
              <w:bottom w:val="nil"/>
              <w:right w:val="nil"/>
            </w:tcBorders>
            <w:shd w:val="clear" w:color="000000" w:fill="EBFFFF"/>
            <w:noWrap/>
            <w:vAlign w:val="center"/>
            <w:hideMark/>
          </w:tcPr>
          <w:p w14:paraId="04126D34" w14:textId="77777777" w:rsidR="008128F4" w:rsidRPr="003B5469" w:rsidRDefault="008128F4" w:rsidP="008128F4">
            <w:pPr>
              <w:spacing w:after="0" w:line="240" w:lineRule="auto"/>
              <w:jc w:val="right"/>
              <w:rPr>
                <w:rFonts w:ascii="Arial" w:hAnsi="Arial" w:cs="Arial"/>
                <w:sz w:val="16"/>
                <w:szCs w:val="16"/>
              </w:rPr>
            </w:pPr>
            <w:r w:rsidRPr="003B5469">
              <w:rPr>
                <w:rFonts w:ascii="Arial" w:hAnsi="Arial" w:cs="Arial"/>
                <w:sz w:val="16"/>
                <w:szCs w:val="16"/>
              </w:rPr>
              <w:t> </w:t>
            </w:r>
          </w:p>
        </w:tc>
        <w:tc>
          <w:tcPr>
            <w:tcW w:w="598" w:type="pct"/>
            <w:tcBorders>
              <w:top w:val="nil"/>
              <w:left w:val="nil"/>
              <w:bottom w:val="nil"/>
              <w:right w:val="nil"/>
            </w:tcBorders>
            <w:shd w:val="clear" w:color="000000" w:fill="FFFFFF"/>
            <w:noWrap/>
            <w:vAlign w:val="bottom"/>
            <w:hideMark/>
          </w:tcPr>
          <w:p w14:paraId="51F40BAD" w14:textId="77777777" w:rsidR="008128F4" w:rsidRPr="003B5469" w:rsidRDefault="008128F4" w:rsidP="008128F4">
            <w:pPr>
              <w:spacing w:after="0" w:line="240" w:lineRule="auto"/>
              <w:jc w:val="right"/>
              <w:rPr>
                <w:rFonts w:ascii="Arial" w:hAnsi="Arial" w:cs="Arial"/>
                <w:sz w:val="16"/>
                <w:szCs w:val="16"/>
              </w:rPr>
            </w:pPr>
            <w:r w:rsidRPr="003B5469">
              <w:rPr>
                <w:rFonts w:ascii="Arial" w:hAnsi="Arial" w:cs="Arial"/>
                <w:sz w:val="16"/>
                <w:szCs w:val="16"/>
              </w:rPr>
              <w:t>Budget</w:t>
            </w:r>
          </w:p>
        </w:tc>
      </w:tr>
      <w:tr w:rsidR="008128F4" w:rsidRPr="00513ED7" w14:paraId="0AD69855" w14:textId="77777777" w:rsidTr="008128F4">
        <w:trPr>
          <w:trHeight w:hRule="exact" w:val="225"/>
        </w:trPr>
        <w:tc>
          <w:tcPr>
            <w:tcW w:w="2992" w:type="pct"/>
            <w:tcBorders>
              <w:top w:val="nil"/>
              <w:left w:val="nil"/>
              <w:bottom w:val="nil"/>
              <w:right w:val="nil"/>
            </w:tcBorders>
            <w:shd w:val="clear" w:color="000000" w:fill="FFFFFF"/>
            <w:noWrap/>
            <w:vAlign w:val="center"/>
            <w:hideMark/>
          </w:tcPr>
          <w:p w14:paraId="75F4C4BB" w14:textId="77777777" w:rsidR="008128F4" w:rsidRPr="003B5469" w:rsidRDefault="008128F4" w:rsidP="008128F4">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705" w:type="pct"/>
            <w:tcBorders>
              <w:top w:val="nil"/>
              <w:left w:val="nil"/>
              <w:bottom w:val="nil"/>
              <w:right w:val="nil"/>
            </w:tcBorders>
            <w:shd w:val="clear" w:color="000000" w:fill="FFFFFF"/>
            <w:noWrap/>
            <w:vAlign w:val="center"/>
            <w:hideMark/>
          </w:tcPr>
          <w:p w14:paraId="4A2C40CE" w14:textId="77777777" w:rsidR="008128F4" w:rsidRPr="003B5469" w:rsidRDefault="008128F4" w:rsidP="008128F4">
            <w:pPr>
              <w:spacing w:after="0" w:line="240" w:lineRule="auto"/>
              <w:jc w:val="right"/>
              <w:rPr>
                <w:rFonts w:ascii="Arial" w:hAnsi="Arial" w:cs="Arial"/>
                <w:sz w:val="16"/>
                <w:szCs w:val="16"/>
              </w:rPr>
            </w:pPr>
            <w:r w:rsidRPr="003B5469">
              <w:rPr>
                <w:rFonts w:ascii="Arial" w:hAnsi="Arial" w:cs="Arial"/>
                <w:sz w:val="16"/>
                <w:szCs w:val="16"/>
              </w:rPr>
              <w:t>Budget</w:t>
            </w:r>
          </w:p>
        </w:tc>
        <w:tc>
          <w:tcPr>
            <w:tcW w:w="705" w:type="pct"/>
            <w:tcBorders>
              <w:top w:val="nil"/>
              <w:left w:val="nil"/>
              <w:bottom w:val="nil"/>
              <w:right w:val="nil"/>
            </w:tcBorders>
            <w:shd w:val="clear" w:color="000000" w:fill="EBFFFF"/>
            <w:noWrap/>
            <w:vAlign w:val="center"/>
            <w:hideMark/>
          </w:tcPr>
          <w:p w14:paraId="1EBEF6E1" w14:textId="77777777" w:rsidR="008128F4" w:rsidRPr="003B5469" w:rsidRDefault="008128F4" w:rsidP="008128F4">
            <w:pPr>
              <w:spacing w:after="0" w:line="240" w:lineRule="auto"/>
              <w:jc w:val="right"/>
              <w:rPr>
                <w:rFonts w:ascii="Arial" w:hAnsi="Arial" w:cs="Arial"/>
                <w:sz w:val="16"/>
                <w:szCs w:val="16"/>
              </w:rPr>
            </w:pPr>
            <w:r w:rsidRPr="003B5469">
              <w:rPr>
                <w:rFonts w:ascii="Arial" w:hAnsi="Arial" w:cs="Arial"/>
                <w:sz w:val="16"/>
                <w:szCs w:val="16"/>
              </w:rPr>
              <w:t> </w:t>
            </w:r>
          </w:p>
        </w:tc>
        <w:tc>
          <w:tcPr>
            <w:tcW w:w="598" w:type="pct"/>
            <w:tcBorders>
              <w:top w:val="nil"/>
              <w:left w:val="nil"/>
              <w:bottom w:val="nil"/>
              <w:right w:val="nil"/>
            </w:tcBorders>
            <w:shd w:val="clear" w:color="000000" w:fill="FFFFFF"/>
            <w:noWrap/>
            <w:vAlign w:val="bottom"/>
            <w:hideMark/>
          </w:tcPr>
          <w:p w14:paraId="1F11D9A0" w14:textId="77777777" w:rsidR="008128F4" w:rsidRPr="003B5469" w:rsidRDefault="008128F4" w:rsidP="008128F4">
            <w:pPr>
              <w:spacing w:after="0" w:line="240" w:lineRule="auto"/>
              <w:jc w:val="right"/>
              <w:rPr>
                <w:rFonts w:ascii="Arial" w:hAnsi="Arial" w:cs="Arial"/>
                <w:sz w:val="16"/>
                <w:szCs w:val="16"/>
              </w:rPr>
            </w:pPr>
            <w:r w:rsidRPr="003B5469">
              <w:rPr>
                <w:rFonts w:ascii="Arial" w:hAnsi="Arial" w:cs="Arial"/>
                <w:sz w:val="16"/>
                <w:szCs w:val="16"/>
              </w:rPr>
              <w:t> </w:t>
            </w:r>
          </w:p>
        </w:tc>
      </w:tr>
      <w:tr w:rsidR="008128F4" w:rsidRPr="00513ED7" w14:paraId="505FC071" w14:textId="77777777" w:rsidTr="008128F4">
        <w:trPr>
          <w:trHeight w:hRule="exact" w:val="225"/>
        </w:trPr>
        <w:tc>
          <w:tcPr>
            <w:tcW w:w="2992" w:type="pct"/>
            <w:tcBorders>
              <w:top w:val="nil"/>
              <w:left w:val="nil"/>
              <w:bottom w:val="nil"/>
              <w:right w:val="nil"/>
            </w:tcBorders>
            <w:shd w:val="clear" w:color="000000" w:fill="FFFFFF"/>
            <w:noWrap/>
            <w:vAlign w:val="center"/>
            <w:hideMark/>
          </w:tcPr>
          <w:p w14:paraId="659EBA1C" w14:textId="77777777" w:rsidR="008128F4" w:rsidRPr="003B5469" w:rsidRDefault="008128F4" w:rsidP="008128F4">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705" w:type="pct"/>
            <w:tcBorders>
              <w:top w:val="nil"/>
              <w:left w:val="nil"/>
              <w:bottom w:val="single" w:sz="4" w:space="0" w:color="000000"/>
              <w:right w:val="nil"/>
            </w:tcBorders>
            <w:shd w:val="clear" w:color="000000" w:fill="FFFFFF"/>
            <w:noWrap/>
            <w:vAlign w:val="center"/>
            <w:hideMark/>
          </w:tcPr>
          <w:p w14:paraId="1556BE15"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$m</w:t>
            </w:r>
          </w:p>
        </w:tc>
        <w:tc>
          <w:tcPr>
            <w:tcW w:w="705" w:type="pct"/>
            <w:tcBorders>
              <w:top w:val="nil"/>
              <w:left w:val="nil"/>
              <w:bottom w:val="single" w:sz="4" w:space="0" w:color="000000"/>
              <w:right w:val="nil"/>
            </w:tcBorders>
            <w:shd w:val="clear" w:color="000000" w:fill="EBFFFF"/>
            <w:noWrap/>
            <w:vAlign w:val="center"/>
            <w:hideMark/>
          </w:tcPr>
          <w:p w14:paraId="3BC6F369"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$m</w:t>
            </w:r>
          </w:p>
        </w:tc>
        <w:tc>
          <w:tcPr>
            <w:tcW w:w="598" w:type="pct"/>
            <w:tcBorders>
              <w:top w:val="nil"/>
              <w:left w:val="nil"/>
              <w:bottom w:val="single" w:sz="4" w:space="0" w:color="000000"/>
              <w:right w:val="nil"/>
            </w:tcBorders>
            <w:shd w:val="clear" w:color="000000" w:fill="FFFFFF"/>
            <w:vAlign w:val="center"/>
            <w:hideMark/>
          </w:tcPr>
          <w:p w14:paraId="5A74DD6F" w14:textId="77777777" w:rsidR="008128F4" w:rsidRPr="003B5469" w:rsidRDefault="008128F4" w:rsidP="008128F4">
            <w:pPr>
              <w:spacing w:after="0" w:line="240" w:lineRule="auto"/>
              <w:jc w:val="right"/>
              <w:rPr>
                <w:rFonts w:ascii="Arial" w:hAnsi="Arial" w:cs="Arial"/>
                <w:sz w:val="16"/>
                <w:szCs w:val="16"/>
              </w:rPr>
            </w:pPr>
            <w:r w:rsidRPr="003B5469">
              <w:rPr>
                <w:rFonts w:ascii="Arial" w:hAnsi="Arial" w:cs="Arial"/>
                <w:sz w:val="16"/>
                <w:szCs w:val="16"/>
              </w:rPr>
              <w:t>$m</w:t>
            </w:r>
          </w:p>
        </w:tc>
      </w:tr>
      <w:tr w:rsidR="008128F4" w:rsidRPr="00513ED7" w14:paraId="7634BDA6" w14:textId="77777777" w:rsidTr="008128F4">
        <w:trPr>
          <w:trHeight w:hRule="exact" w:val="225"/>
        </w:trPr>
        <w:tc>
          <w:tcPr>
            <w:tcW w:w="2992" w:type="pct"/>
            <w:tcBorders>
              <w:top w:val="nil"/>
              <w:left w:val="nil"/>
              <w:bottom w:val="nil"/>
              <w:right w:val="nil"/>
            </w:tcBorders>
            <w:shd w:val="clear" w:color="000000" w:fill="FFFFFF"/>
            <w:noWrap/>
            <w:vAlign w:val="center"/>
            <w:hideMark/>
          </w:tcPr>
          <w:p w14:paraId="04669615" w14:textId="77777777" w:rsidR="008128F4" w:rsidRPr="003B5469" w:rsidRDefault="008128F4" w:rsidP="008128F4">
            <w:pPr>
              <w:spacing w:after="0" w:line="240" w:lineRule="auto"/>
              <w:jc w:val="left"/>
              <w:rPr>
                <w:rFonts w:ascii="Arial" w:hAnsi="Arial" w:cs="Arial"/>
                <w:color w:val="000000"/>
                <w:sz w:val="16"/>
                <w:szCs w:val="16"/>
              </w:rPr>
            </w:pPr>
            <w:r w:rsidRPr="003B5469">
              <w:rPr>
                <w:rFonts w:ascii="Arial" w:hAnsi="Arial" w:cs="Arial"/>
                <w:color w:val="000000"/>
                <w:sz w:val="16"/>
                <w:szCs w:val="16"/>
              </w:rPr>
              <w:t>General public services</w:t>
            </w:r>
          </w:p>
        </w:tc>
        <w:tc>
          <w:tcPr>
            <w:tcW w:w="705" w:type="pct"/>
            <w:tcBorders>
              <w:top w:val="nil"/>
              <w:left w:val="nil"/>
              <w:bottom w:val="nil"/>
              <w:right w:val="nil"/>
            </w:tcBorders>
            <w:shd w:val="clear" w:color="000000" w:fill="FFFFFF"/>
            <w:noWrap/>
            <w:vAlign w:val="center"/>
            <w:hideMark/>
          </w:tcPr>
          <w:p w14:paraId="6E984DBC"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421</w:t>
            </w:r>
          </w:p>
        </w:tc>
        <w:tc>
          <w:tcPr>
            <w:tcW w:w="705" w:type="pct"/>
            <w:tcBorders>
              <w:top w:val="nil"/>
              <w:left w:val="nil"/>
              <w:bottom w:val="nil"/>
              <w:right w:val="nil"/>
            </w:tcBorders>
            <w:shd w:val="clear" w:color="000000" w:fill="EBFFFF"/>
            <w:noWrap/>
            <w:vAlign w:val="center"/>
            <w:hideMark/>
          </w:tcPr>
          <w:p w14:paraId="63EB28A5" w14:textId="40E59C22"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229</w:t>
            </w:r>
          </w:p>
        </w:tc>
        <w:tc>
          <w:tcPr>
            <w:tcW w:w="598" w:type="pct"/>
            <w:tcBorders>
              <w:top w:val="nil"/>
              <w:left w:val="nil"/>
              <w:bottom w:val="nil"/>
              <w:right w:val="nil"/>
            </w:tcBorders>
            <w:shd w:val="clear" w:color="000000" w:fill="FFFFFF"/>
            <w:noWrap/>
            <w:vAlign w:val="center"/>
            <w:hideMark/>
          </w:tcPr>
          <w:p w14:paraId="4F832BD1" w14:textId="78C771A7"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650</w:t>
            </w:r>
          </w:p>
        </w:tc>
      </w:tr>
      <w:tr w:rsidR="008128F4" w:rsidRPr="00513ED7" w14:paraId="2BC0301C" w14:textId="77777777" w:rsidTr="008128F4">
        <w:trPr>
          <w:trHeight w:hRule="exact" w:val="225"/>
        </w:trPr>
        <w:tc>
          <w:tcPr>
            <w:tcW w:w="2992" w:type="pct"/>
            <w:tcBorders>
              <w:top w:val="nil"/>
              <w:left w:val="nil"/>
              <w:bottom w:val="nil"/>
              <w:right w:val="nil"/>
            </w:tcBorders>
            <w:shd w:val="clear" w:color="000000" w:fill="FFFFFF"/>
            <w:noWrap/>
            <w:vAlign w:val="center"/>
            <w:hideMark/>
          </w:tcPr>
          <w:p w14:paraId="605C8981" w14:textId="77777777" w:rsidR="008128F4" w:rsidRPr="003B5469" w:rsidRDefault="008128F4" w:rsidP="008128F4">
            <w:pPr>
              <w:spacing w:after="0" w:line="240" w:lineRule="auto"/>
              <w:jc w:val="left"/>
              <w:rPr>
                <w:rFonts w:ascii="Arial" w:hAnsi="Arial" w:cs="Arial"/>
                <w:color w:val="000000"/>
                <w:sz w:val="16"/>
                <w:szCs w:val="16"/>
              </w:rPr>
            </w:pPr>
            <w:r w:rsidRPr="003B5469">
              <w:rPr>
                <w:rFonts w:ascii="Arial" w:hAnsi="Arial" w:cs="Arial"/>
                <w:color w:val="000000"/>
                <w:sz w:val="16"/>
                <w:szCs w:val="16"/>
              </w:rPr>
              <w:t>Defence</w:t>
            </w:r>
          </w:p>
        </w:tc>
        <w:tc>
          <w:tcPr>
            <w:tcW w:w="705" w:type="pct"/>
            <w:tcBorders>
              <w:top w:val="nil"/>
              <w:left w:val="nil"/>
              <w:bottom w:val="nil"/>
              <w:right w:val="nil"/>
            </w:tcBorders>
            <w:shd w:val="clear" w:color="000000" w:fill="FFFFFF"/>
            <w:noWrap/>
            <w:vAlign w:val="center"/>
            <w:hideMark/>
          </w:tcPr>
          <w:p w14:paraId="591411F9"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5,868</w:t>
            </w:r>
          </w:p>
        </w:tc>
        <w:tc>
          <w:tcPr>
            <w:tcW w:w="705" w:type="pct"/>
            <w:tcBorders>
              <w:top w:val="nil"/>
              <w:left w:val="nil"/>
              <w:bottom w:val="nil"/>
              <w:right w:val="nil"/>
            </w:tcBorders>
            <w:shd w:val="clear" w:color="000000" w:fill="EBFFFF"/>
            <w:noWrap/>
            <w:vAlign w:val="center"/>
            <w:hideMark/>
          </w:tcPr>
          <w:p w14:paraId="72025DD0"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6,511</w:t>
            </w:r>
          </w:p>
        </w:tc>
        <w:tc>
          <w:tcPr>
            <w:tcW w:w="598" w:type="pct"/>
            <w:tcBorders>
              <w:top w:val="nil"/>
              <w:left w:val="nil"/>
              <w:bottom w:val="nil"/>
              <w:right w:val="nil"/>
            </w:tcBorders>
            <w:shd w:val="clear" w:color="000000" w:fill="FFFFFF"/>
            <w:noWrap/>
            <w:vAlign w:val="center"/>
            <w:hideMark/>
          </w:tcPr>
          <w:p w14:paraId="5FD5E507"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644</w:t>
            </w:r>
          </w:p>
        </w:tc>
      </w:tr>
      <w:tr w:rsidR="008128F4" w:rsidRPr="00513ED7" w14:paraId="09CBD1DC" w14:textId="77777777" w:rsidTr="008128F4">
        <w:trPr>
          <w:trHeight w:hRule="exact" w:val="225"/>
        </w:trPr>
        <w:tc>
          <w:tcPr>
            <w:tcW w:w="2992" w:type="pct"/>
            <w:tcBorders>
              <w:top w:val="nil"/>
              <w:left w:val="nil"/>
              <w:bottom w:val="nil"/>
              <w:right w:val="nil"/>
            </w:tcBorders>
            <w:shd w:val="clear" w:color="000000" w:fill="FFFFFF"/>
            <w:noWrap/>
            <w:vAlign w:val="center"/>
            <w:hideMark/>
          </w:tcPr>
          <w:p w14:paraId="0702719A" w14:textId="77777777" w:rsidR="008128F4" w:rsidRPr="003B5469" w:rsidRDefault="008128F4" w:rsidP="008128F4">
            <w:pPr>
              <w:spacing w:after="0" w:line="240" w:lineRule="auto"/>
              <w:jc w:val="left"/>
              <w:rPr>
                <w:rFonts w:ascii="Arial" w:hAnsi="Arial" w:cs="Arial"/>
                <w:color w:val="000000"/>
                <w:sz w:val="16"/>
                <w:szCs w:val="16"/>
              </w:rPr>
            </w:pPr>
            <w:r w:rsidRPr="003B5469">
              <w:rPr>
                <w:rFonts w:ascii="Arial" w:hAnsi="Arial" w:cs="Arial"/>
                <w:color w:val="000000"/>
                <w:sz w:val="16"/>
                <w:szCs w:val="16"/>
              </w:rPr>
              <w:t>Public order and safety</w:t>
            </w:r>
          </w:p>
        </w:tc>
        <w:tc>
          <w:tcPr>
            <w:tcW w:w="705" w:type="pct"/>
            <w:tcBorders>
              <w:top w:val="nil"/>
              <w:left w:val="nil"/>
              <w:bottom w:val="nil"/>
              <w:right w:val="nil"/>
            </w:tcBorders>
            <w:shd w:val="clear" w:color="000000" w:fill="FFFFFF"/>
            <w:noWrap/>
            <w:vAlign w:val="center"/>
            <w:hideMark/>
          </w:tcPr>
          <w:p w14:paraId="03CCC2BE"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312</w:t>
            </w:r>
          </w:p>
        </w:tc>
        <w:tc>
          <w:tcPr>
            <w:tcW w:w="705" w:type="pct"/>
            <w:tcBorders>
              <w:top w:val="nil"/>
              <w:left w:val="nil"/>
              <w:bottom w:val="nil"/>
              <w:right w:val="nil"/>
            </w:tcBorders>
            <w:shd w:val="clear" w:color="000000" w:fill="EBFFFF"/>
            <w:noWrap/>
            <w:vAlign w:val="center"/>
            <w:hideMark/>
          </w:tcPr>
          <w:p w14:paraId="6157A36D"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233</w:t>
            </w:r>
          </w:p>
        </w:tc>
        <w:tc>
          <w:tcPr>
            <w:tcW w:w="598" w:type="pct"/>
            <w:tcBorders>
              <w:top w:val="nil"/>
              <w:left w:val="nil"/>
              <w:bottom w:val="nil"/>
              <w:right w:val="nil"/>
            </w:tcBorders>
            <w:shd w:val="clear" w:color="000000" w:fill="FFFFFF"/>
            <w:noWrap/>
            <w:vAlign w:val="center"/>
            <w:hideMark/>
          </w:tcPr>
          <w:p w14:paraId="7A257379" w14:textId="7BC807B5"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79</w:t>
            </w:r>
          </w:p>
        </w:tc>
      </w:tr>
      <w:tr w:rsidR="008128F4" w:rsidRPr="00513ED7" w14:paraId="798C77FD" w14:textId="77777777" w:rsidTr="008128F4">
        <w:trPr>
          <w:trHeight w:hRule="exact" w:val="225"/>
        </w:trPr>
        <w:tc>
          <w:tcPr>
            <w:tcW w:w="2992" w:type="pct"/>
            <w:tcBorders>
              <w:top w:val="nil"/>
              <w:left w:val="nil"/>
              <w:bottom w:val="nil"/>
              <w:right w:val="nil"/>
            </w:tcBorders>
            <w:shd w:val="clear" w:color="000000" w:fill="FFFFFF"/>
            <w:noWrap/>
            <w:vAlign w:val="center"/>
            <w:hideMark/>
          </w:tcPr>
          <w:p w14:paraId="6B3EA3C9" w14:textId="77777777" w:rsidR="008128F4" w:rsidRPr="003B5469" w:rsidRDefault="008128F4" w:rsidP="008128F4">
            <w:pPr>
              <w:spacing w:after="0" w:line="240" w:lineRule="auto"/>
              <w:jc w:val="left"/>
              <w:rPr>
                <w:rFonts w:ascii="Arial" w:hAnsi="Arial" w:cs="Arial"/>
                <w:color w:val="000000"/>
                <w:sz w:val="16"/>
                <w:szCs w:val="16"/>
              </w:rPr>
            </w:pPr>
            <w:r w:rsidRPr="003B5469">
              <w:rPr>
                <w:rFonts w:ascii="Arial" w:hAnsi="Arial" w:cs="Arial"/>
                <w:color w:val="000000"/>
                <w:sz w:val="16"/>
                <w:szCs w:val="16"/>
              </w:rPr>
              <w:t>Education</w:t>
            </w:r>
          </w:p>
        </w:tc>
        <w:tc>
          <w:tcPr>
            <w:tcW w:w="705" w:type="pct"/>
            <w:tcBorders>
              <w:top w:val="nil"/>
              <w:left w:val="nil"/>
              <w:bottom w:val="nil"/>
              <w:right w:val="nil"/>
            </w:tcBorders>
            <w:shd w:val="clear" w:color="000000" w:fill="FFFFFF"/>
            <w:noWrap/>
            <w:vAlign w:val="center"/>
            <w:hideMark/>
          </w:tcPr>
          <w:p w14:paraId="5D1E3F11"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34</w:t>
            </w:r>
          </w:p>
        </w:tc>
        <w:tc>
          <w:tcPr>
            <w:tcW w:w="705" w:type="pct"/>
            <w:tcBorders>
              <w:top w:val="nil"/>
              <w:left w:val="nil"/>
              <w:bottom w:val="nil"/>
              <w:right w:val="nil"/>
            </w:tcBorders>
            <w:shd w:val="clear" w:color="000000" w:fill="EBFFFF"/>
            <w:noWrap/>
            <w:vAlign w:val="center"/>
            <w:hideMark/>
          </w:tcPr>
          <w:p w14:paraId="6C66627D"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8</w:t>
            </w:r>
          </w:p>
        </w:tc>
        <w:tc>
          <w:tcPr>
            <w:tcW w:w="598" w:type="pct"/>
            <w:tcBorders>
              <w:top w:val="nil"/>
              <w:left w:val="nil"/>
              <w:bottom w:val="nil"/>
              <w:right w:val="nil"/>
            </w:tcBorders>
            <w:shd w:val="clear" w:color="000000" w:fill="FFFFFF"/>
            <w:noWrap/>
            <w:vAlign w:val="center"/>
            <w:hideMark/>
          </w:tcPr>
          <w:p w14:paraId="2EDD4428" w14:textId="03C8287B"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26</w:t>
            </w:r>
          </w:p>
        </w:tc>
      </w:tr>
      <w:tr w:rsidR="008128F4" w:rsidRPr="00513ED7" w14:paraId="3D18F68D" w14:textId="77777777" w:rsidTr="008128F4">
        <w:trPr>
          <w:trHeight w:hRule="exact" w:val="225"/>
        </w:trPr>
        <w:tc>
          <w:tcPr>
            <w:tcW w:w="2992" w:type="pct"/>
            <w:tcBorders>
              <w:top w:val="nil"/>
              <w:left w:val="nil"/>
              <w:bottom w:val="nil"/>
              <w:right w:val="nil"/>
            </w:tcBorders>
            <w:shd w:val="clear" w:color="000000" w:fill="FFFFFF"/>
            <w:noWrap/>
            <w:vAlign w:val="center"/>
            <w:hideMark/>
          </w:tcPr>
          <w:p w14:paraId="1CE40D5D" w14:textId="77777777" w:rsidR="008128F4" w:rsidRPr="003B5469" w:rsidRDefault="008128F4" w:rsidP="008128F4">
            <w:pPr>
              <w:spacing w:after="0" w:line="240" w:lineRule="auto"/>
              <w:jc w:val="left"/>
              <w:rPr>
                <w:rFonts w:ascii="Arial" w:hAnsi="Arial" w:cs="Arial"/>
                <w:color w:val="000000"/>
                <w:sz w:val="16"/>
                <w:szCs w:val="16"/>
              </w:rPr>
            </w:pPr>
            <w:r w:rsidRPr="003B5469">
              <w:rPr>
                <w:rFonts w:ascii="Arial" w:hAnsi="Arial" w:cs="Arial"/>
                <w:color w:val="000000"/>
                <w:sz w:val="16"/>
                <w:szCs w:val="16"/>
              </w:rPr>
              <w:t>Health</w:t>
            </w:r>
          </w:p>
        </w:tc>
        <w:tc>
          <w:tcPr>
            <w:tcW w:w="705" w:type="pct"/>
            <w:tcBorders>
              <w:top w:val="nil"/>
              <w:left w:val="nil"/>
              <w:bottom w:val="nil"/>
              <w:right w:val="nil"/>
            </w:tcBorders>
            <w:shd w:val="clear" w:color="000000" w:fill="FFFFFF"/>
            <w:noWrap/>
            <w:vAlign w:val="center"/>
            <w:hideMark/>
          </w:tcPr>
          <w:p w14:paraId="73E1645A"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1,991</w:t>
            </w:r>
          </w:p>
        </w:tc>
        <w:tc>
          <w:tcPr>
            <w:tcW w:w="705" w:type="pct"/>
            <w:tcBorders>
              <w:top w:val="nil"/>
              <w:left w:val="nil"/>
              <w:bottom w:val="nil"/>
              <w:right w:val="nil"/>
            </w:tcBorders>
            <w:shd w:val="clear" w:color="000000" w:fill="EBFFFF"/>
            <w:noWrap/>
            <w:vAlign w:val="center"/>
            <w:hideMark/>
          </w:tcPr>
          <w:p w14:paraId="28D3BA0C"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1,580</w:t>
            </w:r>
          </w:p>
        </w:tc>
        <w:tc>
          <w:tcPr>
            <w:tcW w:w="598" w:type="pct"/>
            <w:tcBorders>
              <w:top w:val="nil"/>
              <w:left w:val="nil"/>
              <w:bottom w:val="nil"/>
              <w:right w:val="nil"/>
            </w:tcBorders>
            <w:shd w:val="clear" w:color="000000" w:fill="FFFFFF"/>
            <w:noWrap/>
            <w:vAlign w:val="center"/>
            <w:hideMark/>
          </w:tcPr>
          <w:p w14:paraId="5D9520D2" w14:textId="2B0C4DD5"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411</w:t>
            </w:r>
          </w:p>
        </w:tc>
      </w:tr>
      <w:tr w:rsidR="008128F4" w:rsidRPr="00513ED7" w14:paraId="65B63D55" w14:textId="77777777" w:rsidTr="008128F4">
        <w:trPr>
          <w:trHeight w:hRule="exact" w:val="225"/>
        </w:trPr>
        <w:tc>
          <w:tcPr>
            <w:tcW w:w="2992" w:type="pct"/>
            <w:tcBorders>
              <w:top w:val="nil"/>
              <w:left w:val="nil"/>
              <w:bottom w:val="nil"/>
              <w:right w:val="nil"/>
            </w:tcBorders>
            <w:shd w:val="clear" w:color="000000" w:fill="FFFFFF"/>
            <w:noWrap/>
            <w:vAlign w:val="center"/>
            <w:hideMark/>
          </w:tcPr>
          <w:p w14:paraId="01B74609" w14:textId="77777777" w:rsidR="008128F4" w:rsidRPr="003B5469" w:rsidRDefault="008128F4" w:rsidP="008128F4">
            <w:pPr>
              <w:spacing w:after="0" w:line="240" w:lineRule="auto"/>
              <w:jc w:val="left"/>
              <w:rPr>
                <w:rFonts w:ascii="Arial" w:hAnsi="Arial" w:cs="Arial"/>
                <w:color w:val="000000"/>
                <w:sz w:val="16"/>
                <w:szCs w:val="16"/>
              </w:rPr>
            </w:pPr>
            <w:r w:rsidRPr="003B5469">
              <w:rPr>
                <w:rFonts w:ascii="Arial" w:hAnsi="Arial" w:cs="Arial"/>
                <w:color w:val="000000"/>
                <w:sz w:val="16"/>
                <w:szCs w:val="16"/>
              </w:rPr>
              <w:t>Social security and welfare</w:t>
            </w:r>
          </w:p>
        </w:tc>
        <w:tc>
          <w:tcPr>
            <w:tcW w:w="705" w:type="pct"/>
            <w:tcBorders>
              <w:top w:val="nil"/>
              <w:left w:val="nil"/>
              <w:bottom w:val="nil"/>
              <w:right w:val="nil"/>
            </w:tcBorders>
            <w:shd w:val="clear" w:color="000000" w:fill="FFFFFF"/>
            <w:noWrap/>
            <w:vAlign w:val="center"/>
            <w:hideMark/>
          </w:tcPr>
          <w:p w14:paraId="6F066D55" w14:textId="7482973A"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390</w:t>
            </w:r>
          </w:p>
        </w:tc>
        <w:tc>
          <w:tcPr>
            <w:tcW w:w="705" w:type="pct"/>
            <w:tcBorders>
              <w:top w:val="nil"/>
              <w:left w:val="nil"/>
              <w:bottom w:val="nil"/>
              <w:right w:val="nil"/>
            </w:tcBorders>
            <w:shd w:val="clear" w:color="000000" w:fill="EBFFFF"/>
            <w:noWrap/>
            <w:vAlign w:val="center"/>
            <w:hideMark/>
          </w:tcPr>
          <w:p w14:paraId="649D3A35" w14:textId="37564A59"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406</w:t>
            </w:r>
          </w:p>
        </w:tc>
        <w:tc>
          <w:tcPr>
            <w:tcW w:w="598" w:type="pct"/>
            <w:tcBorders>
              <w:top w:val="nil"/>
              <w:left w:val="nil"/>
              <w:bottom w:val="nil"/>
              <w:right w:val="nil"/>
            </w:tcBorders>
            <w:shd w:val="clear" w:color="000000" w:fill="FFFFFF"/>
            <w:noWrap/>
            <w:vAlign w:val="center"/>
            <w:hideMark/>
          </w:tcPr>
          <w:p w14:paraId="7ECEFC69" w14:textId="31CBAE2B"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16</w:t>
            </w:r>
          </w:p>
        </w:tc>
      </w:tr>
      <w:tr w:rsidR="008128F4" w:rsidRPr="00513ED7" w14:paraId="1703E028" w14:textId="77777777" w:rsidTr="008128F4">
        <w:trPr>
          <w:trHeight w:hRule="exact" w:val="225"/>
        </w:trPr>
        <w:tc>
          <w:tcPr>
            <w:tcW w:w="2992" w:type="pct"/>
            <w:tcBorders>
              <w:top w:val="nil"/>
              <w:left w:val="nil"/>
              <w:bottom w:val="nil"/>
              <w:right w:val="nil"/>
            </w:tcBorders>
            <w:shd w:val="clear" w:color="000000" w:fill="FFFFFF"/>
            <w:noWrap/>
            <w:vAlign w:val="center"/>
            <w:hideMark/>
          </w:tcPr>
          <w:p w14:paraId="1B5BC304" w14:textId="77777777" w:rsidR="008128F4" w:rsidRPr="003B5469" w:rsidRDefault="008128F4" w:rsidP="008128F4">
            <w:pPr>
              <w:spacing w:after="0" w:line="240" w:lineRule="auto"/>
              <w:jc w:val="left"/>
              <w:rPr>
                <w:rFonts w:ascii="Arial" w:hAnsi="Arial" w:cs="Arial"/>
                <w:color w:val="000000"/>
                <w:sz w:val="16"/>
                <w:szCs w:val="16"/>
              </w:rPr>
            </w:pPr>
            <w:r w:rsidRPr="003B5469">
              <w:rPr>
                <w:rFonts w:ascii="Arial" w:hAnsi="Arial" w:cs="Arial"/>
                <w:color w:val="000000"/>
                <w:sz w:val="16"/>
                <w:szCs w:val="16"/>
              </w:rPr>
              <w:t>Housing and community amenities</w:t>
            </w:r>
          </w:p>
        </w:tc>
        <w:tc>
          <w:tcPr>
            <w:tcW w:w="705" w:type="pct"/>
            <w:tcBorders>
              <w:top w:val="nil"/>
              <w:left w:val="nil"/>
              <w:bottom w:val="nil"/>
              <w:right w:val="nil"/>
            </w:tcBorders>
            <w:shd w:val="clear" w:color="000000" w:fill="FFFFFF"/>
            <w:noWrap/>
            <w:vAlign w:val="center"/>
            <w:hideMark/>
          </w:tcPr>
          <w:p w14:paraId="2A5541D4" w14:textId="18B2BCE5"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242</w:t>
            </w:r>
          </w:p>
        </w:tc>
        <w:tc>
          <w:tcPr>
            <w:tcW w:w="705" w:type="pct"/>
            <w:tcBorders>
              <w:top w:val="nil"/>
              <w:left w:val="nil"/>
              <w:bottom w:val="nil"/>
              <w:right w:val="nil"/>
            </w:tcBorders>
            <w:shd w:val="clear" w:color="000000" w:fill="EBFFFF"/>
            <w:noWrap/>
            <w:vAlign w:val="center"/>
            <w:hideMark/>
          </w:tcPr>
          <w:p w14:paraId="23CB1F89" w14:textId="158F63CB"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424</w:t>
            </w:r>
          </w:p>
        </w:tc>
        <w:tc>
          <w:tcPr>
            <w:tcW w:w="598" w:type="pct"/>
            <w:tcBorders>
              <w:top w:val="nil"/>
              <w:left w:val="nil"/>
              <w:bottom w:val="nil"/>
              <w:right w:val="nil"/>
            </w:tcBorders>
            <w:shd w:val="clear" w:color="000000" w:fill="FFFFFF"/>
            <w:noWrap/>
            <w:vAlign w:val="center"/>
            <w:hideMark/>
          </w:tcPr>
          <w:p w14:paraId="4285831E" w14:textId="076715FC"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182</w:t>
            </w:r>
          </w:p>
        </w:tc>
      </w:tr>
      <w:tr w:rsidR="008128F4" w:rsidRPr="00513ED7" w14:paraId="2C6F5670" w14:textId="77777777" w:rsidTr="008128F4">
        <w:trPr>
          <w:trHeight w:hRule="exact" w:val="225"/>
        </w:trPr>
        <w:tc>
          <w:tcPr>
            <w:tcW w:w="2992" w:type="pct"/>
            <w:tcBorders>
              <w:top w:val="nil"/>
              <w:left w:val="nil"/>
              <w:bottom w:val="nil"/>
              <w:right w:val="nil"/>
            </w:tcBorders>
            <w:shd w:val="clear" w:color="000000" w:fill="FFFFFF"/>
            <w:noWrap/>
            <w:vAlign w:val="center"/>
            <w:hideMark/>
          </w:tcPr>
          <w:p w14:paraId="0ABB123C" w14:textId="77777777" w:rsidR="008128F4" w:rsidRPr="003B5469" w:rsidRDefault="008128F4" w:rsidP="008128F4">
            <w:pPr>
              <w:spacing w:after="0" w:line="240" w:lineRule="auto"/>
              <w:jc w:val="left"/>
              <w:rPr>
                <w:rFonts w:ascii="Arial" w:hAnsi="Arial" w:cs="Arial"/>
                <w:color w:val="000000"/>
                <w:sz w:val="16"/>
                <w:szCs w:val="16"/>
              </w:rPr>
            </w:pPr>
            <w:r w:rsidRPr="003B5469">
              <w:rPr>
                <w:rFonts w:ascii="Arial" w:hAnsi="Arial" w:cs="Arial"/>
                <w:color w:val="000000"/>
                <w:sz w:val="16"/>
                <w:szCs w:val="16"/>
              </w:rPr>
              <w:t>Recreation and culture</w:t>
            </w:r>
          </w:p>
        </w:tc>
        <w:tc>
          <w:tcPr>
            <w:tcW w:w="705" w:type="pct"/>
            <w:tcBorders>
              <w:top w:val="nil"/>
              <w:left w:val="nil"/>
              <w:bottom w:val="nil"/>
              <w:right w:val="nil"/>
            </w:tcBorders>
            <w:shd w:val="clear" w:color="000000" w:fill="FFFFFF"/>
            <w:noWrap/>
            <w:vAlign w:val="center"/>
            <w:hideMark/>
          </w:tcPr>
          <w:p w14:paraId="45B74803"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111</w:t>
            </w:r>
          </w:p>
        </w:tc>
        <w:tc>
          <w:tcPr>
            <w:tcW w:w="705" w:type="pct"/>
            <w:tcBorders>
              <w:top w:val="nil"/>
              <w:left w:val="nil"/>
              <w:bottom w:val="nil"/>
              <w:right w:val="nil"/>
            </w:tcBorders>
            <w:shd w:val="clear" w:color="000000" w:fill="EBFFFF"/>
            <w:noWrap/>
            <w:vAlign w:val="center"/>
            <w:hideMark/>
          </w:tcPr>
          <w:p w14:paraId="2352681E" w14:textId="116BD99C"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13</w:t>
            </w:r>
          </w:p>
        </w:tc>
        <w:tc>
          <w:tcPr>
            <w:tcW w:w="598" w:type="pct"/>
            <w:tcBorders>
              <w:top w:val="nil"/>
              <w:left w:val="nil"/>
              <w:bottom w:val="nil"/>
              <w:right w:val="nil"/>
            </w:tcBorders>
            <w:shd w:val="clear" w:color="000000" w:fill="FFFFFF"/>
            <w:noWrap/>
            <w:vAlign w:val="center"/>
            <w:hideMark/>
          </w:tcPr>
          <w:p w14:paraId="2B711640" w14:textId="08F94699"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124</w:t>
            </w:r>
          </w:p>
        </w:tc>
      </w:tr>
      <w:tr w:rsidR="008128F4" w:rsidRPr="00513ED7" w14:paraId="2350B515" w14:textId="77777777" w:rsidTr="008128F4">
        <w:trPr>
          <w:trHeight w:hRule="exact" w:val="225"/>
        </w:trPr>
        <w:tc>
          <w:tcPr>
            <w:tcW w:w="2992" w:type="pct"/>
            <w:tcBorders>
              <w:top w:val="nil"/>
              <w:left w:val="nil"/>
              <w:bottom w:val="nil"/>
              <w:right w:val="nil"/>
            </w:tcBorders>
            <w:shd w:val="clear" w:color="000000" w:fill="FFFFFF"/>
            <w:noWrap/>
            <w:vAlign w:val="center"/>
            <w:hideMark/>
          </w:tcPr>
          <w:p w14:paraId="4653E193" w14:textId="77777777" w:rsidR="008128F4" w:rsidRPr="003B5469" w:rsidRDefault="008128F4" w:rsidP="008128F4">
            <w:pPr>
              <w:spacing w:after="0" w:line="240" w:lineRule="auto"/>
              <w:jc w:val="left"/>
              <w:rPr>
                <w:rFonts w:ascii="Arial" w:hAnsi="Arial" w:cs="Arial"/>
                <w:color w:val="000000"/>
                <w:sz w:val="16"/>
                <w:szCs w:val="16"/>
              </w:rPr>
            </w:pPr>
            <w:r w:rsidRPr="003B5469">
              <w:rPr>
                <w:rFonts w:ascii="Arial" w:hAnsi="Arial" w:cs="Arial"/>
                <w:color w:val="000000"/>
                <w:sz w:val="16"/>
                <w:szCs w:val="16"/>
              </w:rPr>
              <w:t>Fuel and energy</w:t>
            </w:r>
          </w:p>
        </w:tc>
        <w:tc>
          <w:tcPr>
            <w:tcW w:w="705" w:type="pct"/>
            <w:tcBorders>
              <w:top w:val="nil"/>
              <w:left w:val="nil"/>
              <w:bottom w:val="nil"/>
              <w:right w:val="nil"/>
            </w:tcBorders>
            <w:shd w:val="clear" w:color="000000" w:fill="FFFFFF"/>
            <w:noWrap/>
            <w:vAlign w:val="center"/>
            <w:hideMark/>
          </w:tcPr>
          <w:p w14:paraId="1B01AAE8"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21</w:t>
            </w:r>
          </w:p>
        </w:tc>
        <w:tc>
          <w:tcPr>
            <w:tcW w:w="705" w:type="pct"/>
            <w:tcBorders>
              <w:top w:val="nil"/>
              <w:left w:val="nil"/>
              <w:bottom w:val="nil"/>
              <w:right w:val="nil"/>
            </w:tcBorders>
            <w:shd w:val="clear" w:color="000000" w:fill="EBFFFF"/>
            <w:noWrap/>
            <w:vAlign w:val="center"/>
            <w:hideMark/>
          </w:tcPr>
          <w:p w14:paraId="2A064C57"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17</w:t>
            </w:r>
          </w:p>
        </w:tc>
        <w:tc>
          <w:tcPr>
            <w:tcW w:w="598" w:type="pct"/>
            <w:tcBorders>
              <w:top w:val="nil"/>
              <w:left w:val="nil"/>
              <w:bottom w:val="nil"/>
              <w:right w:val="nil"/>
            </w:tcBorders>
            <w:shd w:val="clear" w:color="000000" w:fill="FFFFFF"/>
            <w:noWrap/>
            <w:vAlign w:val="center"/>
            <w:hideMark/>
          </w:tcPr>
          <w:p w14:paraId="4EAB7913" w14:textId="0E668E78"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3</w:t>
            </w:r>
          </w:p>
        </w:tc>
      </w:tr>
      <w:tr w:rsidR="008128F4" w:rsidRPr="00513ED7" w14:paraId="62754D53" w14:textId="77777777" w:rsidTr="008128F4">
        <w:trPr>
          <w:trHeight w:hRule="exact" w:val="225"/>
        </w:trPr>
        <w:tc>
          <w:tcPr>
            <w:tcW w:w="2992" w:type="pct"/>
            <w:tcBorders>
              <w:top w:val="nil"/>
              <w:left w:val="nil"/>
              <w:bottom w:val="nil"/>
              <w:right w:val="nil"/>
            </w:tcBorders>
            <w:shd w:val="clear" w:color="000000" w:fill="FFFFFF"/>
            <w:noWrap/>
            <w:vAlign w:val="center"/>
            <w:hideMark/>
          </w:tcPr>
          <w:p w14:paraId="6A3F9EAC" w14:textId="77777777" w:rsidR="008128F4" w:rsidRPr="003B5469" w:rsidRDefault="008128F4" w:rsidP="008128F4">
            <w:pPr>
              <w:spacing w:after="0" w:line="240" w:lineRule="auto"/>
              <w:jc w:val="left"/>
              <w:rPr>
                <w:rFonts w:ascii="Arial" w:hAnsi="Arial" w:cs="Arial"/>
                <w:color w:val="000000"/>
                <w:sz w:val="16"/>
                <w:szCs w:val="16"/>
              </w:rPr>
            </w:pPr>
            <w:r w:rsidRPr="003B5469">
              <w:rPr>
                <w:rFonts w:ascii="Arial" w:hAnsi="Arial" w:cs="Arial"/>
                <w:color w:val="000000"/>
                <w:sz w:val="16"/>
                <w:szCs w:val="16"/>
              </w:rPr>
              <w:t>Agriculture, forestry and fishing</w:t>
            </w:r>
          </w:p>
        </w:tc>
        <w:tc>
          <w:tcPr>
            <w:tcW w:w="705" w:type="pct"/>
            <w:tcBorders>
              <w:top w:val="nil"/>
              <w:left w:val="nil"/>
              <w:bottom w:val="nil"/>
              <w:right w:val="nil"/>
            </w:tcBorders>
            <w:shd w:val="clear" w:color="000000" w:fill="FFFFFF"/>
            <w:noWrap/>
            <w:vAlign w:val="center"/>
            <w:hideMark/>
          </w:tcPr>
          <w:p w14:paraId="25B72798"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41</w:t>
            </w:r>
          </w:p>
        </w:tc>
        <w:tc>
          <w:tcPr>
            <w:tcW w:w="705" w:type="pct"/>
            <w:tcBorders>
              <w:top w:val="nil"/>
              <w:left w:val="nil"/>
              <w:bottom w:val="nil"/>
              <w:right w:val="nil"/>
            </w:tcBorders>
            <w:shd w:val="clear" w:color="000000" w:fill="EBFFFF"/>
            <w:noWrap/>
            <w:vAlign w:val="center"/>
            <w:hideMark/>
          </w:tcPr>
          <w:p w14:paraId="7E76B666" w14:textId="7DE32EAB"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53</w:t>
            </w:r>
          </w:p>
        </w:tc>
        <w:tc>
          <w:tcPr>
            <w:tcW w:w="598" w:type="pct"/>
            <w:tcBorders>
              <w:top w:val="nil"/>
              <w:left w:val="nil"/>
              <w:bottom w:val="nil"/>
              <w:right w:val="nil"/>
            </w:tcBorders>
            <w:shd w:val="clear" w:color="000000" w:fill="FFFFFF"/>
            <w:noWrap/>
            <w:vAlign w:val="center"/>
            <w:hideMark/>
          </w:tcPr>
          <w:p w14:paraId="2B40727F" w14:textId="16140174"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94</w:t>
            </w:r>
          </w:p>
        </w:tc>
      </w:tr>
      <w:tr w:rsidR="008128F4" w:rsidRPr="00513ED7" w14:paraId="5CDB97D7" w14:textId="77777777" w:rsidTr="008128F4">
        <w:trPr>
          <w:trHeight w:hRule="exact" w:val="225"/>
        </w:trPr>
        <w:tc>
          <w:tcPr>
            <w:tcW w:w="2992" w:type="pct"/>
            <w:tcBorders>
              <w:top w:val="nil"/>
              <w:left w:val="nil"/>
              <w:bottom w:val="nil"/>
              <w:right w:val="nil"/>
            </w:tcBorders>
            <w:shd w:val="clear" w:color="000000" w:fill="FFFFFF"/>
            <w:noWrap/>
            <w:vAlign w:val="center"/>
            <w:hideMark/>
          </w:tcPr>
          <w:p w14:paraId="4924452A" w14:textId="77777777" w:rsidR="008128F4" w:rsidRPr="003B5469" w:rsidRDefault="008128F4" w:rsidP="008128F4">
            <w:pPr>
              <w:spacing w:after="0" w:line="240" w:lineRule="auto"/>
              <w:jc w:val="left"/>
              <w:rPr>
                <w:rFonts w:ascii="Arial" w:hAnsi="Arial" w:cs="Arial"/>
                <w:color w:val="000000"/>
                <w:sz w:val="16"/>
                <w:szCs w:val="16"/>
              </w:rPr>
            </w:pPr>
            <w:r w:rsidRPr="003B5469">
              <w:rPr>
                <w:rFonts w:ascii="Arial" w:hAnsi="Arial" w:cs="Arial"/>
                <w:color w:val="000000"/>
                <w:sz w:val="16"/>
                <w:szCs w:val="16"/>
              </w:rPr>
              <w:t>Mining, manufacturing and construction</w:t>
            </w:r>
          </w:p>
        </w:tc>
        <w:tc>
          <w:tcPr>
            <w:tcW w:w="705" w:type="pct"/>
            <w:tcBorders>
              <w:top w:val="nil"/>
              <w:left w:val="nil"/>
              <w:bottom w:val="nil"/>
              <w:right w:val="nil"/>
            </w:tcBorders>
            <w:shd w:val="clear" w:color="000000" w:fill="FFFFFF"/>
            <w:noWrap/>
            <w:vAlign w:val="center"/>
            <w:hideMark/>
          </w:tcPr>
          <w:p w14:paraId="0F7E3833" w14:textId="48456AAE"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22</w:t>
            </w:r>
          </w:p>
        </w:tc>
        <w:tc>
          <w:tcPr>
            <w:tcW w:w="705" w:type="pct"/>
            <w:tcBorders>
              <w:top w:val="nil"/>
              <w:left w:val="nil"/>
              <w:bottom w:val="nil"/>
              <w:right w:val="nil"/>
            </w:tcBorders>
            <w:shd w:val="clear" w:color="000000" w:fill="EBFFFF"/>
            <w:noWrap/>
            <w:vAlign w:val="center"/>
            <w:hideMark/>
          </w:tcPr>
          <w:p w14:paraId="783EAB21" w14:textId="51AA8856"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26</w:t>
            </w:r>
          </w:p>
        </w:tc>
        <w:tc>
          <w:tcPr>
            <w:tcW w:w="598" w:type="pct"/>
            <w:tcBorders>
              <w:top w:val="nil"/>
              <w:left w:val="nil"/>
              <w:bottom w:val="nil"/>
              <w:right w:val="nil"/>
            </w:tcBorders>
            <w:shd w:val="clear" w:color="000000" w:fill="FFFFFF"/>
            <w:noWrap/>
            <w:vAlign w:val="center"/>
            <w:hideMark/>
          </w:tcPr>
          <w:p w14:paraId="17381072" w14:textId="431D844B"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4</w:t>
            </w:r>
          </w:p>
        </w:tc>
      </w:tr>
      <w:tr w:rsidR="008128F4" w:rsidRPr="00513ED7" w14:paraId="6096B148" w14:textId="77777777" w:rsidTr="008128F4">
        <w:trPr>
          <w:trHeight w:hRule="exact" w:val="225"/>
        </w:trPr>
        <w:tc>
          <w:tcPr>
            <w:tcW w:w="2992" w:type="pct"/>
            <w:tcBorders>
              <w:top w:val="nil"/>
              <w:left w:val="nil"/>
              <w:bottom w:val="nil"/>
              <w:right w:val="nil"/>
            </w:tcBorders>
            <w:shd w:val="clear" w:color="000000" w:fill="FFFFFF"/>
            <w:noWrap/>
            <w:vAlign w:val="center"/>
            <w:hideMark/>
          </w:tcPr>
          <w:p w14:paraId="6F5CF64F" w14:textId="77777777" w:rsidR="008128F4" w:rsidRPr="003B5469" w:rsidRDefault="008128F4" w:rsidP="008128F4">
            <w:pPr>
              <w:spacing w:after="0" w:line="240" w:lineRule="auto"/>
              <w:jc w:val="left"/>
              <w:rPr>
                <w:rFonts w:ascii="Arial" w:hAnsi="Arial" w:cs="Arial"/>
                <w:color w:val="000000"/>
                <w:sz w:val="16"/>
                <w:szCs w:val="16"/>
              </w:rPr>
            </w:pPr>
            <w:r w:rsidRPr="003B5469">
              <w:rPr>
                <w:rFonts w:ascii="Arial" w:hAnsi="Arial" w:cs="Arial"/>
                <w:color w:val="000000"/>
                <w:sz w:val="16"/>
                <w:szCs w:val="16"/>
              </w:rPr>
              <w:t>Transport and communication</w:t>
            </w:r>
          </w:p>
        </w:tc>
        <w:tc>
          <w:tcPr>
            <w:tcW w:w="705" w:type="pct"/>
            <w:tcBorders>
              <w:top w:val="nil"/>
              <w:left w:val="nil"/>
              <w:bottom w:val="nil"/>
              <w:right w:val="nil"/>
            </w:tcBorders>
            <w:shd w:val="clear" w:color="000000" w:fill="FFFFFF"/>
            <w:noWrap/>
            <w:vAlign w:val="center"/>
            <w:hideMark/>
          </w:tcPr>
          <w:p w14:paraId="5C62216B" w14:textId="7CE4134B"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4</w:t>
            </w:r>
          </w:p>
        </w:tc>
        <w:tc>
          <w:tcPr>
            <w:tcW w:w="705" w:type="pct"/>
            <w:tcBorders>
              <w:top w:val="nil"/>
              <w:left w:val="nil"/>
              <w:bottom w:val="nil"/>
              <w:right w:val="nil"/>
            </w:tcBorders>
            <w:shd w:val="clear" w:color="000000" w:fill="EBFFFF"/>
            <w:noWrap/>
            <w:vAlign w:val="center"/>
            <w:hideMark/>
          </w:tcPr>
          <w:p w14:paraId="3BA8F54A" w14:textId="28DACFB3"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33</w:t>
            </w:r>
          </w:p>
        </w:tc>
        <w:tc>
          <w:tcPr>
            <w:tcW w:w="598" w:type="pct"/>
            <w:tcBorders>
              <w:top w:val="nil"/>
              <w:left w:val="nil"/>
              <w:bottom w:val="nil"/>
              <w:right w:val="nil"/>
            </w:tcBorders>
            <w:shd w:val="clear" w:color="000000" w:fill="FFFFFF"/>
            <w:noWrap/>
            <w:vAlign w:val="center"/>
            <w:hideMark/>
          </w:tcPr>
          <w:p w14:paraId="5BD6F58B" w14:textId="66587786"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29</w:t>
            </w:r>
          </w:p>
        </w:tc>
      </w:tr>
      <w:tr w:rsidR="008128F4" w:rsidRPr="00513ED7" w14:paraId="4E763B30" w14:textId="77777777" w:rsidTr="008128F4">
        <w:trPr>
          <w:trHeight w:hRule="exact" w:val="225"/>
        </w:trPr>
        <w:tc>
          <w:tcPr>
            <w:tcW w:w="2992" w:type="pct"/>
            <w:tcBorders>
              <w:top w:val="nil"/>
              <w:left w:val="nil"/>
              <w:bottom w:val="nil"/>
              <w:right w:val="nil"/>
            </w:tcBorders>
            <w:shd w:val="clear" w:color="000000" w:fill="FFFFFF"/>
            <w:noWrap/>
            <w:vAlign w:val="center"/>
            <w:hideMark/>
          </w:tcPr>
          <w:p w14:paraId="101C048E" w14:textId="77777777" w:rsidR="008128F4" w:rsidRPr="003B5469" w:rsidRDefault="008128F4" w:rsidP="008128F4">
            <w:pPr>
              <w:spacing w:after="0" w:line="240" w:lineRule="auto"/>
              <w:jc w:val="left"/>
              <w:rPr>
                <w:rFonts w:ascii="Arial" w:hAnsi="Arial" w:cs="Arial"/>
                <w:color w:val="000000"/>
                <w:sz w:val="16"/>
                <w:szCs w:val="16"/>
              </w:rPr>
            </w:pPr>
            <w:r w:rsidRPr="003B5469">
              <w:rPr>
                <w:rFonts w:ascii="Arial" w:hAnsi="Arial" w:cs="Arial"/>
                <w:color w:val="000000"/>
                <w:sz w:val="16"/>
                <w:szCs w:val="16"/>
              </w:rPr>
              <w:t>Other economic affairs</w:t>
            </w:r>
          </w:p>
        </w:tc>
        <w:tc>
          <w:tcPr>
            <w:tcW w:w="705" w:type="pct"/>
            <w:tcBorders>
              <w:top w:val="nil"/>
              <w:left w:val="nil"/>
              <w:bottom w:val="nil"/>
              <w:right w:val="nil"/>
            </w:tcBorders>
            <w:shd w:val="clear" w:color="000000" w:fill="FFFFFF"/>
            <w:noWrap/>
            <w:vAlign w:val="center"/>
            <w:hideMark/>
          </w:tcPr>
          <w:p w14:paraId="1DE7768F"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478</w:t>
            </w:r>
          </w:p>
        </w:tc>
        <w:tc>
          <w:tcPr>
            <w:tcW w:w="705" w:type="pct"/>
            <w:tcBorders>
              <w:top w:val="nil"/>
              <w:left w:val="nil"/>
              <w:bottom w:val="nil"/>
              <w:right w:val="nil"/>
            </w:tcBorders>
            <w:shd w:val="clear" w:color="000000" w:fill="EBFFFF"/>
            <w:noWrap/>
            <w:vAlign w:val="center"/>
            <w:hideMark/>
          </w:tcPr>
          <w:p w14:paraId="53BBFD8D"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37</w:t>
            </w:r>
          </w:p>
        </w:tc>
        <w:tc>
          <w:tcPr>
            <w:tcW w:w="598" w:type="pct"/>
            <w:tcBorders>
              <w:top w:val="nil"/>
              <w:left w:val="nil"/>
              <w:bottom w:val="nil"/>
              <w:right w:val="nil"/>
            </w:tcBorders>
            <w:shd w:val="clear" w:color="000000" w:fill="FFFFFF"/>
            <w:noWrap/>
            <w:vAlign w:val="center"/>
            <w:hideMark/>
          </w:tcPr>
          <w:p w14:paraId="6DFAED80" w14:textId="51873946"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441</w:t>
            </w:r>
          </w:p>
        </w:tc>
      </w:tr>
      <w:tr w:rsidR="008128F4" w:rsidRPr="00513ED7" w14:paraId="1326E146" w14:textId="77777777" w:rsidTr="008128F4">
        <w:trPr>
          <w:trHeight w:hRule="exact" w:val="225"/>
        </w:trPr>
        <w:tc>
          <w:tcPr>
            <w:tcW w:w="2992" w:type="pct"/>
            <w:tcBorders>
              <w:top w:val="nil"/>
              <w:left w:val="nil"/>
              <w:bottom w:val="nil"/>
              <w:right w:val="nil"/>
            </w:tcBorders>
            <w:shd w:val="clear" w:color="000000" w:fill="FFFFFF"/>
            <w:noWrap/>
            <w:vAlign w:val="center"/>
            <w:hideMark/>
          </w:tcPr>
          <w:p w14:paraId="28C98BA9" w14:textId="77777777" w:rsidR="008128F4" w:rsidRPr="003B5469" w:rsidRDefault="008128F4" w:rsidP="008128F4">
            <w:pPr>
              <w:spacing w:after="0" w:line="240" w:lineRule="auto"/>
              <w:jc w:val="left"/>
              <w:rPr>
                <w:rFonts w:ascii="Arial" w:hAnsi="Arial" w:cs="Arial"/>
                <w:color w:val="000000"/>
                <w:sz w:val="16"/>
                <w:szCs w:val="16"/>
              </w:rPr>
            </w:pPr>
            <w:r w:rsidRPr="003B5469">
              <w:rPr>
                <w:rFonts w:ascii="Arial" w:hAnsi="Arial" w:cs="Arial"/>
                <w:color w:val="000000"/>
                <w:sz w:val="16"/>
                <w:szCs w:val="16"/>
              </w:rPr>
              <w:t>Other purposes</w:t>
            </w:r>
          </w:p>
        </w:tc>
        <w:tc>
          <w:tcPr>
            <w:tcW w:w="705" w:type="pct"/>
            <w:tcBorders>
              <w:top w:val="nil"/>
              <w:left w:val="nil"/>
              <w:bottom w:val="single" w:sz="4" w:space="0" w:color="000000"/>
              <w:right w:val="nil"/>
            </w:tcBorders>
            <w:shd w:val="clear" w:color="000000" w:fill="FFFFFF"/>
            <w:noWrap/>
            <w:vAlign w:val="center"/>
            <w:hideMark/>
          </w:tcPr>
          <w:p w14:paraId="56FFA976"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2</w:t>
            </w:r>
          </w:p>
        </w:tc>
        <w:tc>
          <w:tcPr>
            <w:tcW w:w="705" w:type="pct"/>
            <w:tcBorders>
              <w:top w:val="nil"/>
              <w:left w:val="nil"/>
              <w:bottom w:val="single" w:sz="4" w:space="0" w:color="000000"/>
              <w:right w:val="nil"/>
            </w:tcBorders>
            <w:shd w:val="clear" w:color="000000" w:fill="EBFFFF"/>
            <w:noWrap/>
            <w:vAlign w:val="center"/>
            <w:hideMark/>
          </w:tcPr>
          <w:p w14:paraId="2914F041" w14:textId="77777777" w:rsidR="008128F4" w:rsidRPr="003B5469" w:rsidRDefault="008128F4"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t>1</w:t>
            </w:r>
          </w:p>
        </w:tc>
        <w:tc>
          <w:tcPr>
            <w:tcW w:w="598" w:type="pct"/>
            <w:tcBorders>
              <w:top w:val="nil"/>
              <w:left w:val="nil"/>
              <w:bottom w:val="single" w:sz="4" w:space="0" w:color="000000"/>
              <w:right w:val="nil"/>
            </w:tcBorders>
            <w:shd w:val="clear" w:color="000000" w:fill="FFFFFF"/>
            <w:noWrap/>
            <w:vAlign w:val="center"/>
            <w:hideMark/>
          </w:tcPr>
          <w:p w14:paraId="2351C608" w14:textId="4CA4D7BB" w:rsidR="008128F4" w:rsidRPr="003B5469" w:rsidRDefault="00A36B1E" w:rsidP="008128F4">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8128F4" w:rsidRPr="003B5469">
              <w:rPr>
                <w:rFonts w:ascii="Arial" w:hAnsi="Arial" w:cs="Arial"/>
                <w:color w:val="000000"/>
                <w:sz w:val="16"/>
                <w:szCs w:val="16"/>
              </w:rPr>
              <w:t>1</w:t>
            </w:r>
          </w:p>
        </w:tc>
      </w:tr>
      <w:tr w:rsidR="008128F4" w:rsidRPr="00513ED7" w14:paraId="7D978B19" w14:textId="77777777" w:rsidTr="008128F4">
        <w:trPr>
          <w:trHeight w:hRule="exact" w:val="225"/>
        </w:trPr>
        <w:tc>
          <w:tcPr>
            <w:tcW w:w="2992" w:type="pct"/>
            <w:tcBorders>
              <w:top w:val="nil"/>
              <w:left w:val="nil"/>
              <w:bottom w:val="single" w:sz="4" w:space="0" w:color="000000"/>
              <w:right w:val="nil"/>
            </w:tcBorders>
            <w:shd w:val="clear" w:color="000000" w:fill="FFFFFF"/>
            <w:noWrap/>
            <w:vAlign w:val="center"/>
            <w:hideMark/>
          </w:tcPr>
          <w:p w14:paraId="559CEF07" w14:textId="77777777" w:rsidR="008128F4" w:rsidRPr="003B5469" w:rsidRDefault="008128F4" w:rsidP="008128F4">
            <w:pPr>
              <w:spacing w:after="0" w:line="240" w:lineRule="auto"/>
              <w:jc w:val="left"/>
              <w:rPr>
                <w:rFonts w:ascii="Arial" w:hAnsi="Arial" w:cs="Arial"/>
                <w:b/>
                <w:color w:val="000000"/>
                <w:sz w:val="16"/>
                <w:szCs w:val="16"/>
              </w:rPr>
            </w:pPr>
            <w:r w:rsidRPr="003B5469">
              <w:rPr>
                <w:rFonts w:ascii="Arial" w:hAnsi="Arial" w:cs="Arial"/>
                <w:b/>
                <w:color w:val="000000"/>
                <w:sz w:val="16"/>
                <w:szCs w:val="16"/>
              </w:rPr>
              <w:t>Total net capital investment</w:t>
            </w:r>
          </w:p>
        </w:tc>
        <w:tc>
          <w:tcPr>
            <w:tcW w:w="705" w:type="pct"/>
            <w:tcBorders>
              <w:top w:val="nil"/>
              <w:left w:val="nil"/>
              <w:bottom w:val="single" w:sz="4" w:space="0" w:color="000000"/>
              <w:right w:val="nil"/>
            </w:tcBorders>
            <w:shd w:val="clear" w:color="000000" w:fill="FFFFFF"/>
            <w:noWrap/>
            <w:vAlign w:val="center"/>
            <w:hideMark/>
          </w:tcPr>
          <w:p w14:paraId="008ACD04" w14:textId="77777777" w:rsidR="008128F4" w:rsidRPr="003B5469" w:rsidRDefault="008128F4" w:rsidP="008128F4">
            <w:pPr>
              <w:spacing w:after="0" w:line="240" w:lineRule="auto"/>
              <w:jc w:val="right"/>
              <w:rPr>
                <w:rFonts w:ascii="Arial" w:hAnsi="Arial" w:cs="Arial"/>
                <w:b/>
                <w:color w:val="000000"/>
                <w:sz w:val="16"/>
                <w:szCs w:val="16"/>
              </w:rPr>
            </w:pPr>
            <w:r w:rsidRPr="003B5469">
              <w:rPr>
                <w:rFonts w:ascii="Arial" w:hAnsi="Arial" w:cs="Arial"/>
                <w:b/>
                <w:color w:val="000000"/>
                <w:sz w:val="16"/>
                <w:szCs w:val="16"/>
              </w:rPr>
              <w:t>8,620</w:t>
            </w:r>
          </w:p>
        </w:tc>
        <w:tc>
          <w:tcPr>
            <w:tcW w:w="705" w:type="pct"/>
            <w:tcBorders>
              <w:top w:val="nil"/>
              <w:left w:val="nil"/>
              <w:bottom w:val="single" w:sz="4" w:space="0" w:color="000000"/>
              <w:right w:val="nil"/>
            </w:tcBorders>
            <w:shd w:val="clear" w:color="000000" w:fill="EBFFFF"/>
            <w:noWrap/>
            <w:vAlign w:val="center"/>
            <w:hideMark/>
          </w:tcPr>
          <w:p w14:paraId="67E7D463" w14:textId="77777777" w:rsidR="008128F4" w:rsidRPr="003B5469" w:rsidRDefault="008128F4" w:rsidP="008128F4">
            <w:pPr>
              <w:spacing w:after="0" w:line="240" w:lineRule="auto"/>
              <w:jc w:val="right"/>
              <w:rPr>
                <w:rFonts w:ascii="Arial" w:hAnsi="Arial" w:cs="Arial"/>
                <w:b/>
                <w:color w:val="000000"/>
                <w:sz w:val="16"/>
                <w:szCs w:val="16"/>
              </w:rPr>
            </w:pPr>
            <w:r w:rsidRPr="003B5469">
              <w:rPr>
                <w:rFonts w:ascii="Arial" w:hAnsi="Arial" w:cs="Arial"/>
                <w:b/>
                <w:color w:val="000000"/>
                <w:sz w:val="16"/>
                <w:szCs w:val="16"/>
              </w:rPr>
              <w:t>7,204</w:t>
            </w:r>
          </w:p>
        </w:tc>
        <w:tc>
          <w:tcPr>
            <w:tcW w:w="598" w:type="pct"/>
            <w:tcBorders>
              <w:top w:val="nil"/>
              <w:left w:val="nil"/>
              <w:bottom w:val="single" w:sz="4" w:space="0" w:color="000000"/>
              <w:right w:val="nil"/>
            </w:tcBorders>
            <w:shd w:val="clear" w:color="000000" w:fill="FFFFFF"/>
            <w:noWrap/>
            <w:vAlign w:val="center"/>
            <w:hideMark/>
          </w:tcPr>
          <w:p w14:paraId="43CBD42D" w14:textId="56C06782" w:rsidR="008128F4" w:rsidRPr="003B5469" w:rsidRDefault="00A36B1E" w:rsidP="008128F4">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8128F4" w:rsidRPr="003B5469">
              <w:rPr>
                <w:rFonts w:ascii="Arial" w:hAnsi="Arial" w:cs="Arial"/>
                <w:b/>
                <w:color w:val="000000"/>
                <w:sz w:val="16"/>
                <w:szCs w:val="16"/>
              </w:rPr>
              <w:t>1,416</w:t>
            </w:r>
          </w:p>
        </w:tc>
      </w:tr>
    </w:tbl>
    <w:p w14:paraId="6351AD66" w14:textId="6F79449F" w:rsidR="009859FC" w:rsidRPr="003B5469" w:rsidRDefault="009859FC" w:rsidP="009859FC">
      <w:pPr>
        <w:pStyle w:val="TableGraphic"/>
      </w:pPr>
    </w:p>
    <w:p w14:paraId="56905195" w14:textId="487BF053" w:rsidR="00250FA6" w:rsidRPr="003B5469" w:rsidRDefault="0048616D" w:rsidP="00250FA6">
      <w:pPr>
        <w:pStyle w:val="TableHeading"/>
        <w:rPr>
          <w:rFonts w:asciiTheme="minorHAnsi" w:eastAsiaTheme="minorHAnsi" w:hAnsiTheme="minorHAnsi" w:cstheme="minorBidi"/>
          <w:sz w:val="22"/>
          <w:szCs w:val="22"/>
          <w:lang w:eastAsia="en-US"/>
        </w:rPr>
      </w:pPr>
      <w:r w:rsidRPr="003B5469">
        <w:t xml:space="preserve">Table </w:t>
      </w:r>
      <w:r w:rsidR="0001752C" w:rsidRPr="003B5469">
        <w:t>9</w:t>
      </w:r>
      <w:r w:rsidRPr="003B5469">
        <w:t>: Australian Government general government sector purchases of non</w:t>
      </w:r>
      <w:r w:rsidR="00A36B1E" w:rsidRPr="003B5469">
        <w:noBreakHyphen/>
      </w:r>
      <w:r w:rsidRPr="003B5469">
        <w:t>financial assets by function</w:t>
      </w:r>
      <w:bookmarkStart w:id="10" w:name="_1693651705"/>
      <w:bookmarkEnd w:id="10"/>
    </w:p>
    <w:tbl>
      <w:tblPr>
        <w:tblW w:w="5000" w:type="pct"/>
        <w:tblCellMar>
          <w:left w:w="0" w:type="dxa"/>
          <w:right w:w="28" w:type="dxa"/>
        </w:tblCellMar>
        <w:tblLook w:val="04A0" w:firstRow="1" w:lastRow="0" w:firstColumn="1" w:lastColumn="0" w:noHBand="0" w:noVBand="1"/>
      </w:tblPr>
      <w:tblGrid>
        <w:gridCol w:w="4634"/>
        <w:gridCol w:w="1049"/>
        <w:gridCol w:w="1052"/>
        <w:gridCol w:w="975"/>
      </w:tblGrid>
      <w:tr w:rsidR="008B1086" w:rsidRPr="00513ED7" w14:paraId="2BE543B7" w14:textId="77777777" w:rsidTr="00834969">
        <w:trPr>
          <w:divId w:val="1039891795"/>
          <w:trHeight w:hRule="exact" w:val="225"/>
        </w:trPr>
        <w:tc>
          <w:tcPr>
            <w:tcW w:w="3005" w:type="pct"/>
            <w:tcBorders>
              <w:top w:val="single" w:sz="4" w:space="0" w:color="000000"/>
              <w:left w:val="nil"/>
              <w:bottom w:val="nil"/>
              <w:right w:val="nil"/>
            </w:tcBorders>
            <w:shd w:val="clear" w:color="000000" w:fill="FFFFFF"/>
            <w:noWrap/>
            <w:vAlign w:val="center"/>
            <w:hideMark/>
          </w:tcPr>
          <w:p w14:paraId="12CB73E7" w14:textId="51F59CE1" w:rsidR="00250FA6" w:rsidRPr="003B5469" w:rsidRDefault="00250FA6" w:rsidP="00250FA6">
            <w:pPr>
              <w:spacing w:after="0" w:line="240" w:lineRule="auto"/>
              <w:rPr>
                <w:rFonts w:ascii="Arial" w:hAnsi="Arial" w:cs="Arial"/>
                <w:color w:val="000000"/>
                <w:sz w:val="16"/>
                <w:szCs w:val="16"/>
              </w:rPr>
            </w:pPr>
            <w:r w:rsidRPr="003B5469">
              <w:rPr>
                <w:rFonts w:ascii="Arial" w:hAnsi="Arial" w:cs="Arial"/>
                <w:color w:val="000000"/>
                <w:sz w:val="16"/>
                <w:szCs w:val="16"/>
              </w:rPr>
              <w:t> </w:t>
            </w:r>
          </w:p>
        </w:tc>
        <w:tc>
          <w:tcPr>
            <w:tcW w:w="680" w:type="pct"/>
            <w:tcBorders>
              <w:top w:val="single" w:sz="4" w:space="0" w:color="000000"/>
              <w:left w:val="nil"/>
              <w:bottom w:val="nil"/>
              <w:right w:val="nil"/>
            </w:tcBorders>
            <w:shd w:val="clear" w:color="000000" w:fill="FFFFFF"/>
            <w:noWrap/>
            <w:vAlign w:val="center"/>
            <w:hideMark/>
          </w:tcPr>
          <w:p w14:paraId="222A2C67" w14:textId="2EBA8B4F" w:rsidR="00250FA6" w:rsidRPr="003B5469" w:rsidRDefault="00250FA6" w:rsidP="00250FA6">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682" w:type="pct"/>
            <w:tcBorders>
              <w:top w:val="single" w:sz="4" w:space="0" w:color="000000"/>
              <w:left w:val="nil"/>
              <w:bottom w:val="nil"/>
              <w:right w:val="nil"/>
            </w:tcBorders>
            <w:shd w:val="clear" w:color="000000" w:fill="EBFFFF"/>
            <w:noWrap/>
            <w:vAlign w:val="center"/>
            <w:hideMark/>
          </w:tcPr>
          <w:p w14:paraId="46F629D5" w14:textId="37673FD0" w:rsidR="00250FA6" w:rsidRPr="003B5469" w:rsidRDefault="00250FA6" w:rsidP="00250FA6">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632" w:type="pct"/>
            <w:tcBorders>
              <w:top w:val="single" w:sz="4" w:space="0" w:color="000000"/>
              <w:left w:val="nil"/>
              <w:bottom w:val="nil"/>
              <w:right w:val="nil"/>
            </w:tcBorders>
            <w:shd w:val="clear" w:color="000000" w:fill="FFFFFF"/>
            <w:noWrap/>
            <w:vAlign w:val="bottom"/>
            <w:hideMark/>
          </w:tcPr>
          <w:p w14:paraId="6CAFB5FB" w14:textId="77777777" w:rsidR="00250FA6" w:rsidRPr="003B5469" w:rsidRDefault="00250FA6" w:rsidP="00250FA6">
            <w:pPr>
              <w:spacing w:after="0" w:line="240" w:lineRule="auto"/>
              <w:jc w:val="right"/>
              <w:rPr>
                <w:rFonts w:ascii="Arial" w:hAnsi="Arial" w:cs="Arial"/>
                <w:sz w:val="16"/>
                <w:szCs w:val="16"/>
              </w:rPr>
            </w:pPr>
            <w:r w:rsidRPr="003B5469">
              <w:rPr>
                <w:rFonts w:ascii="Arial" w:hAnsi="Arial" w:cs="Arial"/>
                <w:sz w:val="16"/>
                <w:szCs w:val="16"/>
              </w:rPr>
              <w:t>Change on</w:t>
            </w:r>
          </w:p>
        </w:tc>
      </w:tr>
      <w:tr w:rsidR="008B1086" w:rsidRPr="00513ED7" w14:paraId="14BAD756" w14:textId="77777777" w:rsidTr="00834969">
        <w:trPr>
          <w:divId w:val="1039891795"/>
          <w:trHeight w:hRule="exact" w:val="225"/>
        </w:trPr>
        <w:tc>
          <w:tcPr>
            <w:tcW w:w="3005" w:type="pct"/>
            <w:tcBorders>
              <w:top w:val="nil"/>
              <w:left w:val="nil"/>
              <w:bottom w:val="nil"/>
              <w:right w:val="nil"/>
            </w:tcBorders>
            <w:shd w:val="clear" w:color="000000" w:fill="FFFFFF"/>
            <w:noWrap/>
            <w:vAlign w:val="center"/>
            <w:hideMark/>
          </w:tcPr>
          <w:p w14:paraId="15637BC1"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80" w:type="pct"/>
            <w:tcBorders>
              <w:top w:val="nil"/>
              <w:left w:val="nil"/>
              <w:bottom w:val="nil"/>
              <w:right w:val="nil"/>
            </w:tcBorders>
            <w:shd w:val="clear" w:color="000000" w:fill="FFFFFF"/>
            <w:noWrap/>
            <w:vAlign w:val="center"/>
            <w:hideMark/>
          </w:tcPr>
          <w:p w14:paraId="248F5E67" w14:textId="77777777" w:rsidR="00250FA6" w:rsidRPr="003B5469" w:rsidRDefault="00250FA6" w:rsidP="00250FA6">
            <w:pPr>
              <w:spacing w:after="0" w:line="240" w:lineRule="auto"/>
              <w:jc w:val="right"/>
              <w:rPr>
                <w:rFonts w:ascii="Arial" w:hAnsi="Arial" w:cs="Arial"/>
                <w:sz w:val="16"/>
                <w:szCs w:val="16"/>
              </w:rPr>
            </w:pPr>
            <w:r w:rsidRPr="003B5469">
              <w:rPr>
                <w:rFonts w:ascii="Arial" w:hAnsi="Arial" w:cs="Arial"/>
                <w:sz w:val="16"/>
                <w:szCs w:val="16"/>
              </w:rPr>
              <w:t>Estimate at</w:t>
            </w:r>
          </w:p>
        </w:tc>
        <w:tc>
          <w:tcPr>
            <w:tcW w:w="682" w:type="pct"/>
            <w:tcBorders>
              <w:top w:val="nil"/>
              <w:left w:val="nil"/>
              <w:bottom w:val="nil"/>
              <w:right w:val="nil"/>
            </w:tcBorders>
            <w:shd w:val="clear" w:color="000000" w:fill="EBFFFF"/>
            <w:noWrap/>
            <w:vAlign w:val="center"/>
            <w:hideMark/>
          </w:tcPr>
          <w:p w14:paraId="2B254D3E" w14:textId="77777777" w:rsidR="00250FA6" w:rsidRPr="003B5469" w:rsidRDefault="00250FA6" w:rsidP="00250FA6">
            <w:pPr>
              <w:spacing w:after="0" w:line="240" w:lineRule="auto"/>
              <w:jc w:val="right"/>
              <w:rPr>
                <w:rFonts w:ascii="Arial" w:hAnsi="Arial" w:cs="Arial"/>
                <w:sz w:val="16"/>
                <w:szCs w:val="16"/>
              </w:rPr>
            </w:pPr>
            <w:r w:rsidRPr="003B5469">
              <w:rPr>
                <w:rFonts w:ascii="Arial" w:hAnsi="Arial" w:cs="Arial"/>
                <w:sz w:val="16"/>
                <w:szCs w:val="16"/>
              </w:rPr>
              <w:t>Outcome</w:t>
            </w:r>
          </w:p>
        </w:tc>
        <w:tc>
          <w:tcPr>
            <w:tcW w:w="632" w:type="pct"/>
            <w:tcBorders>
              <w:top w:val="nil"/>
              <w:left w:val="nil"/>
              <w:bottom w:val="nil"/>
              <w:right w:val="nil"/>
            </w:tcBorders>
            <w:shd w:val="clear" w:color="000000" w:fill="FFFFFF"/>
            <w:noWrap/>
            <w:vAlign w:val="center"/>
            <w:hideMark/>
          </w:tcPr>
          <w:p w14:paraId="5111035D" w14:textId="39CDF2BC" w:rsidR="00250FA6" w:rsidRPr="003B5469" w:rsidRDefault="00250FA6" w:rsidP="00250FA6">
            <w:pPr>
              <w:spacing w:after="0" w:line="240" w:lineRule="auto"/>
              <w:jc w:val="right"/>
              <w:rPr>
                <w:rFonts w:ascii="Arial" w:hAnsi="Arial" w:cs="Arial"/>
                <w:sz w:val="16"/>
                <w:szCs w:val="16"/>
              </w:rPr>
            </w:pPr>
            <w:r w:rsidRPr="003B5469">
              <w:rPr>
                <w:rFonts w:ascii="Arial" w:hAnsi="Arial" w:cs="Arial"/>
                <w:sz w:val="16"/>
                <w:szCs w:val="16"/>
              </w:rPr>
              <w:t>2021</w:t>
            </w:r>
            <w:r w:rsidR="00A36B1E" w:rsidRPr="003B5469">
              <w:rPr>
                <w:rFonts w:ascii="Arial" w:hAnsi="Arial" w:cs="Arial"/>
                <w:sz w:val="16"/>
                <w:szCs w:val="16"/>
              </w:rPr>
              <w:noBreakHyphen/>
            </w:r>
            <w:r w:rsidRPr="003B5469">
              <w:rPr>
                <w:rFonts w:ascii="Arial" w:hAnsi="Arial" w:cs="Arial"/>
                <w:sz w:val="16"/>
                <w:szCs w:val="16"/>
              </w:rPr>
              <w:t>22</w:t>
            </w:r>
          </w:p>
        </w:tc>
      </w:tr>
      <w:tr w:rsidR="008B1086" w:rsidRPr="00513ED7" w14:paraId="068B00BC" w14:textId="77777777" w:rsidTr="00834969">
        <w:trPr>
          <w:divId w:val="1039891795"/>
          <w:trHeight w:hRule="exact" w:val="225"/>
        </w:trPr>
        <w:tc>
          <w:tcPr>
            <w:tcW w:w="3005" w:type="pct"/>
            <w:tcBorders>
              <w:top w:val="nil"/>
              <w:left w:val="nil"/>
              <w:bottom w:val="nil"/>
              <w:right w:val="nil"/>
            </w:tcBorders>
            <w:shd w:val="clear" w:color="000000" w:fill="FFFFFF"/>
            <w:noWrap/>
            <w:vAlign w:val="center"/>
            <w:hideMark/>
          </w:tcPr>
          <w:p w14:paraId="5EE3BBD5"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80" w:type="pct"/>
            <w:tcBorders>
              <w:top w:val="nil"/>
              <w:left w:val="nil"/>
              <w:bottom w:val="nil"/>
              <w:right w:val="nil"/>
            </w:tcBorders>
            <w:shd w:val="clear" w:color="000000" w:fill="FFFFFF"/>
            <w:noWrap/>
            <w:vAlign w:val="center"/>
            <w:hideMark/>
          </w:tcPr>
          <w:p w14:paraId="61A9C00E" w14:textId="09CD5C53" w:rsidR="00250FA6" w:rsidRPr="003B5469" w:rsidRDefault="00250FA6" w:rsidP="00250FA6">
            <w:pPr>
              <w:spacing w:after="0" w:line="240" w:lineRule="auto"/>
              <w:jc w:val="right"/>
              <w:rPr>
                <w:rFonts w:ascii="Arial" w:hAnsi="Arial" w:cs="Arial"/>
                <w:sz w:val="16"/>
                <w:szCs w:val="16"/>
              </w:rPr>
            </w:pPr>
            <w:r w:rsidRPr="003B5469">
              <w:rPr>
                <w:rFonts w:ascii="Arial" w:hAnsi="Arial" w:cs="Arial"/>
                <w:sz w:val="16"/>
                <w:szCs w:val="16"/>
              </w:rPr>
              <w:t>2021</w:t>
            </w:r>
            <w:r w:rsidR="00A36B1E" w:rsidRPr="003B5469">
              <w:rPr>
                <w:rFonts w:ascii="Arial" w:hAnsi="Arial" w:cs="Arial"/>
                <w:sz w:val="16"/>
                <w:szCs w:val="16"/>
              </w:rPr>
              <w:noBreakHyphen/>
            </w:r>
            <w:r w:rsidRPr="003B5469">
              <w:rPr>
                <w:rFonts w:ascii="Arial" w:hAnsi="Arial" w:cs="Arial"/>
                <w:sz w:val="16"/>
                <w:szCs w:val="16"/>
              </w:rPr>
              <w:t>22</w:t>
            </w:r>
          </w:p>
        </w:tc>
        <w:tc>
          <w:tcPr>
            <w:tcW w:w="682" w:type="pct"/>
            <w:tcBorders>
              <w:top w:val="nil"/>
              <w:left w:val="nil"/>
              <w:bottom w:val="nil"/>
              <w:right w:val="nil"/>
            </w:tcBorders>
            <w:shd w:val="clear" w:color="000000" w:fill="EBFFFF"/>
            <w:noWrap/>
            <w:vAlign w:val="center"/>
            <w:hideMark/>
          </w:tcPr>
          <w:p w14:paraId="4839C595" w14:textId="77777777" w:rsidR="00250FA6" w:rsidRPr="003B5469" w:rsidRDefault="00250FA6" w:rsidP="00250FA6">
            <w:pPr>
              <w:spacing w:after="0" w:line="240" w:lineRule="auto"/>
              <w:jc w:val="right"/>
              <w:rPr>
                <w:rFonts w:ascii="Arial" w:hAnsi="Arial" w:cs="Arial"/>
                <w:sz w:val="16"/>
                <w:szCs w:val="16"/>
              </w:rPr>
            </w:pPr>
            <w:r w:rsidRPr="003B5469">
              <w:rPr>
                <w:rFonts w:ascii="Arial" w:hAnsi="Arial" w:cs="Arial"/>
                <w:sz w:val="16"/>
                <w:szCs w:val="16"/>
              </w:rPr>
              <w:t> </w:t>
            </w:r>
          </w:p>
        </w:tc>
        <w:tc>
          <w:tcPr>
            <w:tcW w:w="632" w:type="pct"/>
            <w:tcBorders>
              <w:top w:val="nil"/>
              <w:left w:val="nil"/>
              <w:bottom w:val="nil"/>
              <w:right w:val="nil"/>
            </w:tcBorders>
            <w:shd w:val="clear" w:color="000000" w:fill="FFFFFF"/>
            <w:noWrap/>
            <w:vAlign w:val="bottom"/>
            <w:hideMark/>
          </w:tcPr>
          <w:p w14:paraId="6B5DBF91" w14:textId="77777777" w:rsidR="00250FA6" w:rsidRPr="003B5469" w:rsidRDefault="00250FA6" w:rsidP="00250FA6">
            <w:pPr>
              <w:spacing w:after="0" w:line="240" w:lineRule="auto"/>
              <w:jc w:val="right"/>
              <w:rPr>
                <w:rFonts w:ascii="Arial" w:hAnsi="Arial" w:cs="Arial"/>
                <w:sz w:val="16"/>
                <w:szCs w:val="16"/>
              </w:rPr>
            </w:pPr>
            <w:r w:rsidRPr="003B5469">
              <w:rPr>
                <w:rFonts w:ascii="Arial" w:hAnsi="Arial" w:cs="Arial"/>
                <w:sz w:val="16"/>
                <w:szCs w:val="16"/>
              </w:rPr>
              <w:t>Budget</w:t>
            </w:r>
          </w:p>
        </w:tc>
      </w:tr>
      <w:tr w:rsidR="008B1086" w:rsidRPr="00513ED7" w14:paraId="0FE3DE71" w14:textId="77777777" w:rsidTr="00834969">
        <w:trPr>
          <w:divId w:val="1039891795"/>
          <w:trHeight w:hRule="exact" w:val="225"/>
        </w:trPr>
        <w:tc>
          <w:tcPr>
            <w:tcW w:w="3005" w:type="pct"/>
            <w:tcBorders>
              <w:top w:val="nil"/>
              <w:left w:val="nil"/>
              <w:bottom w:val="nil"/>
              <w:right w:val="nil"/>
            </w:tcBorders>
            <w:shd w:val="clear" w:color="000000" w:fill="FFFFFF"/>
            <w:noWrap/>
            <w:vAlign w:val="center"/>
            <w:hideMark/>
          </w:tcPr>
          <w:p w14:paraId="1DA7E4DF"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80" w:type="pct"/>
            <w:tcBorders>
              <w:top w:val="nil"/>
              <w:left w:val="nil"/>
              <w:bottom w:val="nil"/>
              <w:right w:val="nil"/>
            </w:tcBorders>
            <w:shd w:val="clear" w:color="000000" w:fill="FFFFFF"/>
            <w:noWrap/>
            <w:vAlign w:val="center"/>
            <w:hideMark/>
          </w:tcPr>
          <w:p w14:paraId="4D03F7CF" w14:textId="77777777" w:rsidR="00250FA6" w:rsidRPr="003B5469" w:rsidRDefault="00250FA6" w:rsidP="00250FA6">
            <w:pPr>
              <w:spacing w:after="0" w:line="240" w:lineRule="auto"/>
              <w:jc w:val="right"/>
              <w:rPr>
                <w:rFonts w:ascii="Arial" w:hAnsi="Arial" w:cs="Arial"/>
                <w:sz w:val="16"/>
                <w:szCs w:val="16"/>
              </w:rPr>
            </w:pPr>
            <w:r w:rsidRPr="003B5469">
              <w:rPr>
                <w:rFonts w:ascii="Arial" w:hAnsi="Arial" w:cs="Arial"/>
                <w:sz w:val="16"/>
                <w:szCs w:val="16"/>
              </w:rPr>
              <w:t>Budget</w:t>
            </w:r>
          </w:p>
        </w:tc>
        <w:tc>
          <w:tcPr>
            <w:tcW w:w="682" w:type="pct"/>
            <w:tcBorders>
              <w:top w:val="nil"/>
              <w:left w:val="nil"/>
              <w:bottom w:val="nil"/>
              <w:right w:val="nil"/>
            </w:tcBorders>
            <w:shd w:val="clear" w:color="000000" w:fill="EBFFFF"/>
            <w:noWrap/>
            <w:vAlign w:val="center"/>
            <w:hideMark/>
          </w:tcPr>
          <w:p w14:paraId="2C468DE7" w14:textId="77777777" w:rsidR="00250FA6" w:rsidRPr="003B5469" w:rsidRDefault="00250FA6" w:rsidP="00250FA6">
            <w:pPr>
              <w:spacing w:after="0" w:line="240" w:lineRule="auto"/>
              <w:jc w:val="right"/>
              <w:rPr>
                <w:rFonts w:ascii="Arial" w:hAnsi="Arial" w:cs="Arial"/>
                <w:sz w:val="16"/>
                <w:szCs w:val="16"/>
              </w:rPr>
            </w:pPr>
            <w:r w:rsidRPr="003B5469">
              <w:rPr>
                <w:rFonts w:ascii="Arial" w:hAnsi="Arial" w:cs="Arial"/>
                <w:sz w:val="16"/>
                <w:szCs w:val="16"/>
              </w:rPr>
              <w:t> </w:t>
            </w:r>
          </w:p>
        </w:tc>
        <w:tc>
          <w:tcPr>
            <w:tcW w:w="632" w:type="pct"/>
            <w:tcBorders>
              <w:top w:val="nil"/>
              <w:left w:val="nil"/>
              <w:bottom w:val="nil"/>
              <w:right w:val="nil"/>
            </w:tcBorders>
            <w:shd w:val="clear" w:color="000000" w:fill="FFFFFF"/>
            <w:noWrap/>
            <w:vAlign w:val="bottom"/>
            <w:hideMark/>
          </w:tcPr>
          <w:p w14:paraId="29BE9842" w14:textId="77777777" w:rsidR="00250FA6" w:rsidRPr="003B5469" w:rsidRDefault="00250FA6" w:rsidP="00250FA6">
            <w:pPr>
              <w:spacing w:after="0" w:line="240" w:lineRule="auto"/>
              <w:jc w:val="right"/>
              <w:rPr>
                <w:rFonts w:ascii="Arial" w:hAnsi="Arial" w:cs="Arial"/>
                <w:sz w:val="16"/>
                <w:szCs w:val="16"/>
              </w:rPr>
            </w:pPr>
            <w:r w:rsidRPr="003B5469">
              <w:rPr>
                <w:rFonts w:ascii="Arial" w:hAnsi="Arial" w:cs="Arial"/>
                <w:sz w:val="16"/>
                <w:szCs w:val="16"/>
              </w:rPr>
              <w:t> </w:t>
            </w:r>
          </w:p>
        </w:tc>
      </w:tr>
      <w:tr w:rsidR="008B1086" w:rsidRPr="00513ED7" w14:paraId="645878AE" w14:textId="77777777" w:rsidTr="00834969">
        <w:trPr>
          <w:divId w:val="1039891795"/>
          <w:trHeight w:hRule="exact" w:val="225"/>
        </w:trPr>
        <w:tc>
          <w:tcPr>
            <w:tcW w:w="3005" w:type="pct"/>
            <w:tcBorders>
              <w:top w:val="nil"/>
              <w:left w:val="nil"/>
              <w:bottom w:val="nil"/>
              <w:right w:val="nil"/>
            </w:tcBorders>
            <w:shd w:val="clear" w:color="000000" w:fill="FFFFFF"/>
            <w:noWrap/>
            <w:vAlign w:val="center"/>
            <w:hideMark/>
          </w:tcPr>
          <w:p w14:paraId="33D94CF3"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80" w:type="pct"/>
            <w:tcBorders>
              <w:top w:val="nil"/>
              <w:left w:val="nil"/>
              <w:bottom w:val="single" w:sz="4" w:space="0" w:color="000000"/>
              <w:right w:val="nil"/>
            </w:tcBorders>
            <w:shd w:val="clear" w:color="000000" w:fill="FFFFFF"/>
            <w:noWrap/>
            <w:vAlign w:val="center"/>
            <w:hideMark/>
          </w:tcPr>
          <w:p w14:paraId="3269CD16"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$m</w:t>
            </w:r>
          </w:p>
        </w:tc>
        <w:tc>
          <w:tcPr>
            <w:tcW w:w="682" w:type="pct"/>
            <w:tcBorders>
              <w:top w:val="nil"/>
              <w:left w:val="nil"/>
              <w:bottom w:val="single" w:sz="4" w:space="0" w:color="000000"/>
              <w:right w:val="nil"/>
            </w:tcBorders>
            <w:shd w:val="clear" w:color="000000" w:fill="EBFFFF"/>
            <w:noWrap/>
            <w:vAlign w:val="center"/>
            <w:hideMark/>
          </w:tcPr>
          <w:p w14:paraId="1FED916C"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$m</w:t>
            </w:r>
          </w:p>
        </w:tc>
        <w:tc>
          <w:tcPr>
            <w:tcW w:w="632" w:type="pct"/>
            <w:tcBorders>
              <w:top w:val="nil"/>
              <w:left w:val="nil"/>
              <w:bottom w:val="single" w:sz="4" w:space="0" w:color="000000"/>
              <w:right w:val="nil"/>
            </w:tcBorders>
            <w:shd w:val="clear" w:color="000000" w:fill="FFFFFF"/>
            <w:vAlign w:val="center"/>
            <w:hideMark/>
          </w:tcPr>
          <w:p w14:paraId="77F09A32" w14:textId="77777777" w:rsidR="00250FA6" w:rsidRPr="003B5469" w:rsidRDefault="00250FA6" w:rsidP="00250FA6">
            <w:pPr>
              <w:spacing w:after="0" w:line="240" w:lineRule="auto"/>
              <w:jc w:val="right"/>
              <w:rPr>
                <w:rFonts w:ascii="Arial" w:hAnsi="Arial" w:cs="Arial"/>
                <w:sz w:val="16"/>
                <w:szCs w:val="16"/>
              </w:rPr>
            </w:pPr>
            <w:r w:rsidRPr="003B5469">
              <w:rPr>
                <w:rFonts w:ascii="Arial" w:hAnsi="Arial" w:cs="Arial"/>
                <w:sz w:val="16"/>
                <w:szCs w:val="16"/>
              </w:rPr>
              <w:t>$m</w:t>
            </w:r>
          </w:p>
        </w:tc>
      </w:tr>
      <w:tr w:rsidR="008B1086" w:rsidRPr="00513ED7" w14:paraId="653DB561" w14:textId="77777777" w:rsidTr="00834969">
        <w:trPr>
          <w:divId w:val="1039891795"/>
          <w:trHeight w:hRule="exact" w:val="225"/>
        </w:trPr>
        <w:tc>
          <w:tcPr>
            <w:tcW w:w="3005" w:type="pct"/>
            <w:tcBorders>
              <w:top w:val="nil"/>
              <w:left w:val="nil"/>
              <w:bottom w:val="nil"/>
              <w:right w:val="nil"/>
            </w:tcBorders>
            <w:shd w:val="clear" w:color="000000" w:fill="FFFFFF"/>
            <w:noWrap/>
            <w:vAlign w:val="center"/>
            <w:hideMark/>
          </w:tcPr>
          <w:p w14:paraId="311AA99E"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General public services</w:t>
            </w:r>
          </w:p>
        </w:tc>
        <w:tc>
          <w:tcPr>
            <w:tcW w:w="680" w:type="pct"/>
            <w:tcBorders>
              <w:top w:val="nil"/>
              <w:left w:val="nil"/>
              <w:bottom w:val="nil"/>
              <w:right w:val="nil"/>
            </w:tcBorders>
            <w:shd w:val="clear" w:color="000000" w:fill="FFFFFF"/>
            <w:noWrap/>
            <w:vAlign w:val="center"/>
            <w:hideMark/>
          </w:tcPr>
          <w:p w14:paraId="66E9D648"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1,951</w:t>
            </w:r>
          </w:p>
        </w:tc>
        <w:tc>
          <w:tcPr>
            <w:tcW w:w="682" w:type="pct"/>
            <w:tcBorders>
              <w:top w:val="nil"/>
              <w:left w:val="nil"/>
              <w:bottom w:val="nil"/>
              <w:right w:val="nil"/>
            </w:tcBorders>
            <w:shd w:val="clear" w:color="000000" w:fill="EBFFFF"/>
            <w:noWrap/>
            <w:vAlign w:val="center"/>
            <w:hideMark/>
          </w:tcPr>
          <w:p w14:paraId="33CE77BA"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1,352</w:t>
            </w:r>
          </w:p>
        </w:tc>
        <w:tc>
          <w:tcPr>
            <w:tcW w:w="632" w:type="pct"/>
            <w:tcBorders>
              <w:top w:val="nil"/>
              <w:left w:val="nil"/>
              <w:bottom w:val="nil"/>
              <w:right w:val="nil"/>
            </w:tcBorders>
            <w:shd w:val="clear" w:color="000000" w:fill="FFFFFF"/>
            <w:noWrap/>
            <w:vAlign w:val="center"/>
            <w:hideMark/>
          </w:tcPr>
          <w:p w14:paraId="12D3DFCF" w14:textId="22BB987D" w:rsidR="00250FA6" w:rsidRPr="003B5469" w:rsidRDefault="00A36B1E"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50FA6" w:rsidRPr="003B5469">
              <w:rPr>
                <w:rFonts w:ascii="Arial" w:hAnsi="Arial" w:cs="Arial"/>
                <w:color w:val="000000"/>
                <w:sz w:val="16"/>
                <w:szCs w:val="16"/>
              </w:rPr>
              <w:t>599</w:t>
            </w:r>
          </w:p>
        </w:tc>
      </w:tr>
      <w:tr w:rsidR="008B1086" w:rsidRPr="00513ED7" w14:paraId="285DCC07" w14:textId="77777777" w:rsidTr="00834969">
        <w:trPr>
          <w:divId w:val="1039891795"/>
          <w:trHeight w:hRule="exact" w:val="225"/>
        </w:trPr>
        <w:tc>
          <w:tcPr>
            <w:tcW w:w="3005" w:type="pct"/>
            <w:tcBorders>
              <w:top w:val="nil"/>
              <w:left w:val="nil"/>
              <w:bottom w:val="nil"/>
              <w:right w:val="nil"/>
            </w:tcBorders>
            <w:shd w:val="clear" w:color="000000" w:fill="FFFFFF"/>
            <w:noWrap/>
            <w:vAlign w:val="center"/>
            <w:hideMark/>
          </w:tcPr>
          <w:p w14:paraId="0B643863"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Defence</w:t>
            </w:r>
          </w:p>
        </w:tc>
        <w:tc>
          <w:tcPr>
            <w:tcW w:w="680" w:type="pct"/>
            <w:tcBorders>
              <w:top w:val="nil"/>
              <w:left w:val="nil"/>
              <w:bottom w:val="nil"/>
              <w:right w:val="nil"/>
            </w:tcBorders>
            <w:shd w:val="clear" w:color="000000" w:fill="FFFFFF"/>
            <w:noWrap/>
            <w:vAlign w:val="center"/>
            <w:hideMark/>
          </w:tcPr>
          <w:p w14:paraId="1ED3E1E4"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11,951</w:t>
            </w:r>
          </w:p>
        </w:tc>
        <w:tc>
          <w:tcPr>
            <w:tcW w:w="682" w:type="pct"/>
            <w:tcBorders>
              <w:top w:val="nil"/>
              <w:left w:val="nil"/>
              <w:bottom w:val="nil"/>
              <w:right w:val="nil"/>
            </w:tcBorders>
            <w:shd w:val="clear" w:color="000000" w:fill="EBFFFF"/>
            <w:noWrap/>
            <w:vAlign w:val="center"/>
            <w:hideMark/>
          </w:tcPr>
          <w:p w14:paraId="418DBCF2"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11,906</w:t>
            </w:r>
          </w:p>
        </w:tc>
        <w:tc>
          <w:tcPr>
            <w:tcW w:w="632" w:type="pct"/>
            <w:tcBorders>
              <w:top w:val="nil"/>
              <w:left w:val="nil"/>
              <w:bottom w:val="nil"/>
              <w:right w:val="nil"/>
            </w:tcBorders>
            <w:shd w:val="clear" w:color="000000" w:fill="FFFFFF"/>
            <w:noWrap/>
            <w:vAlign w:val="center"/>
            <w:hideMark/>
          </w:tcPr>
          <w:p w14:paraId="759676F0" w14:textId="4F16859D" w:rsidR="00250FA6" w:rsidRPr="003B5469" w:rsidRDefault="00A36B1E"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50FA6" w:rsidRPr="003B5469">
              <w:rPr>
                <w:rFonts w:ascii="Arial" w:hAnsi="Arial" w:cs="Arial"/>
                <w:color w:val="000000"/>
                <w:sz w:val="16"/>
                <w:szCs w:val="16"/>
              </w:rPr>
              <w:t>46</w:t>
            </w:r>
          </w:p>
        </w:tc>
      </w:tr>
      <w:tr w:rsidR="008B1086" w:rsidRPr="00513ED7" w14:paraId="463AF604" w14:textId="77777777" w:rsidTr="00834969">
        <w:trPr>
          <w:divId w:val="1039891795"/>
          <w:trHeight w:hRule="exact" w:val="225"/>
        </w:trPr>
        <w:tc>
          <w:tcPr>
            <w:tcW w:w="3005" w:type="pct"/>
            <w:tcBorders>
              <w:top w:val="nil"/>
              <w:left w:val="nil"/>
              <w:bottom w:val="nil"/>
              <w:right w:val="nil"/>
            </w:tcBorders>
            <w:shd w:val="clear" w:color="000000" w:fill="FFFFFF"/>
            <w:noWrap/>
            <w:vAlign w:val="center"/>
            <w:hideMark/>
          </w:tcPr>
          <w:p w14:paraId="3168DF51"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Public order and safety</w:t>
            </w:r>
          </w:p>
        </w:tc>
        <w:tc>
          <w:tcPr>
            <w:tcW w:w="680" w:type="pct"/>
            <w:tcBorders>
              <w:top w:val="nil"/>
              <w:left w:val="nil"/>
              <w:bottom w:val="nil"/>
              <w:right w:val="nil"/>
            </w:tcBorders>
            <w:shd w:val="clear" w:color="000000" w:fill="FFFFFF"/>
            <w:noWrap/>
            <w:vAlign w:val="center"/>
            <w:hideMark/>
          </w:tcPr>
          <w:p w14:paraId="1F4BF7CD"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1,105</w:t>
            </w:r>
          </w:p>
        </w:tc>
        <w:tc>
          <w:tcPr>
            <w:tcW w:w="682" w:type="pct"/>
            <w:tcBorders>
              <w:top w:val="nil"/>
              <w:left w:val="nil"/>
              <w:bottom w:val="nil"/>
              <w:right w:val="nil"/>
            </w:tcBorders>
            <w:shd w:val="clear" w:color="000000" w:fill="EBFFFF"/>
            <w:noWrap/>
            <w:vAlign w:val="center"/>
            <w:hideMark/>
          </w:tcPr>
          <w:p w14:paraId="406E30FD"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1,087</w:t>
            </w:r>
          </w:p>
        </w:tc>
        <w:tc>
          <w:tcPr>
            <w:tcW w:w="632" w:type="pct"/>
            <w:tcBorders>
              <w:top w:val="nil"/>
              <w:left w:val="nil"/>
              <w:bottom w:val="nil"/>
              <w:right w:val="nil"/>
            </w:tcBorders>
            <w:shd w:val="clear" w:color="000000" w:fill="FFFFFF"/>
            <w:noWrap/>
            <w:vAlign w:val="center"/>
            <w:hideMark/>
          </w:tcPr>
          <w:p w14:paraId="5E5A389E" w14:textId="552DC5E3" w:rsidR="00250FA6" w:rsidRPr="003B5469" w:rsidRDefault="00A36B1E"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50FA6" w:rsidRPr="003B5469">
              <w:rPr>
                <w:rFonts w:ascii="Arial" w:hAnsi="Arial" w:cs="Arial"/>
                <w:color w:val="000000"/>
                <w:sz w:val="16"/>
                <w:szCs w:val="16"/>
              </w:rPr>
              <w:t>19</w:t>
            </w:r>
          </w:p>
        </w:tc>
      </w:tr>
      <w:tr w:rsidR="008B1086" w:rsidRPr="00513ED7" w14:paraId="4FB2E01C" w14:textId="77777777" w:rsidTr="00834969">
        <w:trPr>
          <w:divId w:val="1039891795"/>
          <w:trHeight w:hRule="exact" w:val="225"/>
        </w:trPr>
        <w:tc>
          <w:tcPr>
            <w:tcW w:w="3005" w:type="pct"/>
            <w:tcBorders>
              <w:top w:val="nil"/>
              <w:left w:val="nil"/>
              <w:bottom w:val="nil"/>
              <w:right w:val="nil"/>
            </w:tcBorders>
            <w:shd w:val="clear" w:color="000000" w:fill="FFFFFF"/>
            <w:noWrap/>
            <w:vAlign w:val="center"/>
            <w:hideMark/>
          </w:tcPr>
          <w:p w14:paraId="5EFCD184"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Education</w:t>
            </w:r>
          </w:p>
        </w:tc>
        <w:tc>
          <w:tcPr>
            <w:tcW w:w="680" w:type="pct"/>
            <w:tcBorders>
              <w:top w:val="nil"/>
              <w:left w:val="nil"/>
              <w:bottom w:val="nil"/>
              <w:right w:val="nil"/>
            </w:tcBorders>
            <w:shd w:val="clear" w:color="000000" w:fill="FFFFFF"/>
            <w:noWrap/>
            <w:vAlign w:val="center"/>
            <w:hideMark/>
          </w:tcPr>
          <w:p w14:paraId="23FE9B88"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74</w:t>
            </w:r>
          </w:p>
        </w:tc>
        <w:tc>
          <w:tcPr>
            <w:tcW w:w="682" w:type="pct"/>
            <w:tcBorders>
              <w:top w:val="nil"/>
              <w:left w:val="nil"/>
              <w:bottom w:val="nil"/>
              <w:right w:val="nil"/>
            </w:tcBorders>
            <w:shd w:val="clear" w:color="000000" w:fill="EBFFFF"/>
            <w:noWrap/>
            <w:vAlign w:val="center"/>
            <w:hideMark/>
          </w:tcPr>
          <w:p w14:paraId="79A17D6E"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57</w:t>
            </w:r>
          </w:p>
        </w:tc>
        <w:tc>
          <w:tcPr>
            <w:tcW w:w="632" w:type="pct"/>
            <w:tcBorders>
              <w:top w:val="nil"/>
              <w:left w:val="nil"/>
              <w:bottom w:val="nil"/>
              <w:right w:val="nil"/>
            </w:tcBorders>
            <w:shd w:val="clear" w:color="000000" w:fill="FFFFFF"/>
            <w:noWrap/>
            <w:vAlign w:val="center"/>
            <w:hideMark/>
          </w:tcPr>
          <w:p w14:paraId="4355DAAC" w14:textId="1645D714" w:rsidR="00250FA6" w:rsidRPr="003B5469" w:rsidRDefault="00A36B1E"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50FA6" w:rsidRPr="003B5469">
              <w:rPr>
                <w:rFonts w:ascii="Arial" w:hAnsi="Arial" w:cs="Arial"/>
                <w:color w:val="000000"/>
                <w:sz w:val="16"/>
                <w:szCs w:val="16"/>
              </w:rPr>
              <w:t>17</w:t>
            </w:r>
          </w:p>
        </w:tc>
      </w:tr>
      <w:tr w:rsidR="008B1086" w:rsidRPr="00513ED7" w14:paraId="0947B6A2" w14:textId="77777777" w:rsidTr="00834969">
        <w:trPr>
          <w:divId w:val="1039891795"/>
          <w:trHeight w:hRule="exact" w:val="225"/>
        </w:trPr>
        <w:tc>
          <w:tcPr>
            <w:tcW w:w="3005" w:type="pct"/>
            <w:tcBorders>
              <w:top w:val="nil"/>
              <w:left w:val="nil"/>
              <w:bottom w:val="nil"/>
              <w:right w:val="nil"/>
            </w:tcBorders>
            <w:shd w:val="clear" w:color="000000" w:fill="FFFFFF"/>
            <w:noWrap/>
            <w:vAlign w:val="center"/>
            <w:hideMark/>
          </w:tcPr>
          <w:p w14:paraId="1C4C7408"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Health</w:t>
            </w:r>
          </w:p>
        </w:tc>
        <w:tc>
          <w:tcPr>
            <w:tcW w:w="680" w:type="pct"/>
            <w:tcBorders>
              <w:top w:val="nil"/>
              <w:left w:val="nil"/>
              <w:bottom w:val="nil"/>
              <w:right w:val="nil"/>
            </w:tcBorders>
            <w:shd w:val="clear" w:color="000000" w:fill="FFFFFF"/>
            <w:noWrap/>
            <w:vAlign w:val="center"/>
            <w:hideMark/>
          </w:tcPr>
          <w:p w14:paraId="3C0C12ED"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268</w:t>
            </w:r>
          </w:p>
        </w:tc>
        <w:tc>
          <w:tcPr>
            <w:tcW w:w="682" w:type="pct"/>
            <w:tcBorders>
              <w:top w:val="nil"/>
              <w:left w:val="nil"/>
              <w:bottom w:val="nil"/>
              <w:right w:val="nil"/>
            </w:tcBorders>
            <w:shd w:val="clear" w:color="000000" w:fill="EBFFFF"/>
            <w:noWrap/>
            <w:vAlign w:val="center"/>
            <w:hideMark/>
          </w:tcPr>
          <w:p w14:paraId="363ED488"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254</w:t>
            </w:r>
          </w:p>
        </w:tc>
        <w:tc>
          <w:tcPr>
            <w:tcW w:w="632" w:type="pct"/>
            <w:tcBorders>
              <w:top w:val="nil"/>
              <w:left w:val="nil"/>
              <w:bottom w:val="nil"/>
              <w:right w:val="nil"/>
            </w:tcBorders>
            <w:shd w:val="clear" w:color="000000" w:fill="FFFFFF"/>
            <w:noWrap/>
            <w:vAlign w:val="center"/>
            <w:hideMark/>
          </w:tcPr>
          <w:p w14:paraId="236C355B" w14:textId="3DEA54E1" w:rsidR="00250FA6" w:rsidRPr="003B5469" w:rsidRDefault="00A36B1E"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50FA6" w:rsidRPr="003B5469">
              <w:rPr>
                <w:rFonts w:ascii="Arial" w:hAnsi="Arial" w:cs="Arial"/>
                <w:color w:val="000000"/>
                <w:sz w:val="16"/>
                <w:szCs w:val="16"/>
              </w:rPr>
              <w:t>14</w:t>
            </w:r>
          </w:p>
        </w:tc>
      </w:tr>
      <w:tr w:rsidR="008B1086" w:rsidRPr="00513ED7" w14:paraId="2DD330E2" w14:textId="77777777" w:rsidTr="00834969">
        <w:trPr>
          <w:divId w:val="1039891795"/>
          <w:trHeight w:hRule="exact" w:val="225"/>
        </w:trPr>
        <w:tc>
          <w:tcPr>
            <w:tcW w:w="3005" w:type="pct"/>
            <w:tcBorders>
              <w:top w:val="nil"/>
              <w:left w:val="nil"/>
              <w:bottom w:val="nil"/>
              <w:right w:val="nil"/>
            </w:tcBorders>
            <w:shd w:val="clear" w:color="000000" w:fill="FFFFFF"/>
            <w:noWrap/>
            <w:vAlign w:val="center"/>
            <w:hideMark/>
          </w:tcPr>
          <w:p w14:paraId="1F361EC6"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Social security and welfare</w:t>
            </w:r>
          </w:p>
        </w:tc>
        <w:tc>
          <w:tcPr>
            <w:tcW w:w="680" w:type="pct"/>
            <w:tcBorders>
              <w:top w:val="nil"/>
              <w:left w:val="nil"/>
              <w:bottom w:val="nil"/>
              <w:right w:val="nil"/>
            </w:tcBorders>
            <w:shd w:val="clear" w:color="000000" w:fill="FFFFFF"/>
            <w:noWrap/>
            <w:vAlign w:val="center"/>
            <w:hideMark/>
          </w:tcPr>
          <w:p w14:paraId="7A475510"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444</w:t>
            </w:r>
          </w:p>
        </w:tc>
        <w:tc>
          <w:tcPr>
            <w:tcW w:w="682" w:type="pct"/>
            <w:tcBorders>
              <w:top w:val="nil"/>
              <w:left w:val="nil"/>
              <w:bottom w:val="nil"/>
              <w:right w:val="nil"/>
            </w:tcBorders>
            <w:shd w:val="clear" w:color="000000" w:fill="EBFFFF"/>
            <w:noWrap/>
            <w:vAlign w:val="center"/>
            <w:hideMark/>
          </w:tcPr>
          <w:p w14:paraId="1D973D6D"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478</w:t>
            </w:r>
          </w:p>
        </w:tc>
        <w:tc>
          <w:tcPr>
            <w:tcW w:w="632" w:type="pct"/>
            <w:tcBorders>
              <w:top w:val="nil"/>
              <w:left w:val="nil"/>
              <w:bottom w:val="nil"/>
              <w:right w:val="nil"/>
            </w:tcBorders>
            <w:shd w:val="clear" w:color="000000" w:fill="FFFFFF"/>
            <w:noWrap/>
            <w:vAlign w:val="center"/>
            <w:hideMark/>
          </w:tcPr>
          <w:p w14:paraId="4E1C46C1"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34</w:t>
            </w:r>
          </w:p>
        </w:tc>
      </w:tr>
      <w:tr w:rsidR="008B1086" w:rsidRPr="00513ED7" w14:paraId="0F8186E2" w14:textId="77777777" w:rsidTr="00834969">
        <w:trPr>
          <w:divId w:val="1039891795"/>
          <w:trHeight w:hRule="exact" w:val="225"/>
        </w:trPr>
        <w:tc>
          <w:tcPr>
            <w:tcW w:w="3005" w:type="pct"/>
            <w:tcBorders>
              <w:top w:val="nil"/>
              <w:left w:val="nil"/>
              <w:bottom w:val="nil"/>
              <w:right w:val="nil"/>
            </w:tcBorders>
            <w:shd w:val="clear" w:color="000000" w:fill="FFFFFF"/>
            <w:noWrap/>
            <w:vAlign w:val="center"/>
            <w:hideMark/>
          </w:tcPr>
          <w:p w14:paraId="1A070E9E"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Housing and community amenities</w:t>
            </w:r>
          </w:p>
        </w:tc>
        <w:tc>
          <w:tcPr>
            <w:tcW w:w="680" w:type="pct"/>
            <w:tcBorders>
              <w:top w:val="nil"/>
              <w:left w:val="nil"/>
              <w:bottom w:val="nil"/>
              <w:right w:val="nil"/>
            </w:tcBorders>
            <w:shd w:val="clear" w:color="000000" w:fill="FFFFFF"/>
            <w:noWrap/>
            <w:vAlign w:val="center"/>
            <w:hideMark/>
          </w:tcPr>
          <w:p w14:paraId="1BC885F0"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336</w:t>
            </w:r>
          </w:p>
        </w:tc>
        <w:tc>
          <w:tcPr>
            <w:tcW w:w="682" w:type="pct"/>
            <w:tcBorders>
              <w:top w:val="nil"/>
              <w:left w:val="nil"/>
              <w:bottom w:val="nil"/>
              <w:right w:val="nil"/>
            </w:tcBorders>
            <w:shd w:val="clear" w:color="000000" w:fill="EBFFFF"/>
            <w:noWrap/>
            <w:vAlign w:val="center"/>
            <w:hideMark/>
          </w:tcPr>
          <w:p w14:paraId="76C7070D"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211</w:t>
            </w:r>
          </w:p>
        </w:tc>
        <w:tc>
          <w:tcPr>
            <w:tcW w:w="632" w:type="pct"/>
            <w:tcBorders>
              <w:top w:val="nil"/>
              <w:left w:val="nil"/>
              <w:bottom w:val="nil"/>
              <w:right w:val="nil"/>
            </w:tcBorders>
            <w:shd w:val="clear" w:color="000000" w:fill="FFFFFF"/>
            <w:noWrap/>
            <w:vAlign w:val="center"/>
            <w:hideMark/>
          </w:tcPr>
          <w:p w14:paraId="4C6666C6" w14:textId="2E2919B7" w:rsidR="00250FA6" w:rsidRPr="003B5469" w:rsidRDefault="00A36B1E"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50FA6" w:rsidRPr="003B5469">
              <w:rPr>
                <w:rFonts w:ascii="Arial" w:hAnsi="Arial" w:cs="Arial"/>
                <w:color w:val="000000"/>
                <w:sz w:val="16"/>
                <w:szCs w:val="16"/>
              </w:rPr>
              <w:t>125</w:t>
            </w:r>
          </w:p>
        </w:tc>
      </w:tr>
      <w:tr w:rsidR="008B1086" w:rsidRPr="00513ED7" w14:paraId="1F4DE45E" w14:textId="77777777" w:rsidTr="00834969">
        <w:trPr>
          <w:divId w:val="1039891795"/>
          <w:trHeight w:hRule="exact" w:val="225"/>
        </w:trPr>
        <w:tc>
          <w:tcPr>
            <w:tcW w:w="3005" w:type="pct"/>
            <w:tcBorders>
              <w:top w:val="nil"/>
              <w:left w:val="nil"/>
              <w:bottom w:val="nil"/>
              <w:right w:val="nil"/>
            </w:tcBorders>
            <w:shd w:val="clear" w:color="000000" w:fill="FFFFFF"/>
            <w:noWrap/>
            <w:vAlign w:val="center"/>
            <w:hideMark/>
          </w:tcPr>
          <w:p w14:paraId="7720547B"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Recreation and culture</w:t>
            </w:r>
          </w:p>
        </w:tc>
        <w:tc>
          <w:tcPr>
            <w:tcW w:w="680" w:type="pct"/>
            <w:tcBorders>
              <w:top w:val="nil"/>
              <w:left w:val="nil"/>
              <w:bottom w:val="nil"/>
              <w:right w:val="nil"/>
            </w:tcBorders>
            <w:shd w:val="clear" w:color="000000" w:fill="FFFFFF"/>
            <w:noWrap/>
            <w:vAlign w:val="center"/>
            <w:hideMark/>
          </w:tcPr>
          <w:p w14:paraId="2E55DE5B"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544</w:t>
            </w:r>
          </w:p>
        </w:tc>
        <w:tc>
          <w:tcPr>
            <w:tcW w:w="682" w:type="pct"/>
            <w:tcBorders>
              <w:top w:val="nil"/>
              <w:left w:val="nil"/>
              <w:bottom w:val="nil"/>
              <w:right w:val="nil"/>
            </w:tcBorders>
            <w:shd w:val="clear" w:color="000000" w:fill="EBFFFF"/>
            <w:noWrap/>
            <w:vAlign w:val="center"/>
            <w:hideMark/>
          </w:tcPr>
          <w:p w14:paraId="2F4023A6"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437</w:t>
            </w:r>
          </w:p>
        </w:tc>
        <w:tc>
          <w:tcPr>
            <w:tcW w:w="632" w:type="pct"/>
            <w:tcBorders>
              <w:top w:val="nil"/>
              <w:left w:val="nil"/>
              <w:bottom w:val="nil"/>
              <w:right w:val="nil"/>
            </w:tcBorders>
            <w:shd w:val="clear" w:color="000000" w:fill="FFFFFF"/>
            <w:noWrap/>
            <w:vAlign w:val="center"/>
            <w:hideMark/>
          </w:tcPr>
          <w:p w14:paraId="4AA461EF" w14:textId="2C689209" w:rsidR="00250FA6" w:rsidRPr="003B5469" w:rsidRDefault="00A36B1E"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50FA6" w:rsidRPr="003B5469">
              <w:rPr>
                <w:rFonts w:ascii="Arial" w:hAnsi="Arial" w:cs="Arial"/>
                <w:color w:val="000000"/>
                <w:sz w:val="16"/>
                <w:szCs w:val="16"/>
              </w:rPr>
              <w:t>108</w:t>
            </w:r>
          </w:p>
        </w:tc>
      </w:tr>
      <w:tr w:rsidR="008B1086" w:rsidRPr="00513ED7" w14:paraId="3C94C581" w14:textId="77777777" w:rsidTr="00834969">
        <w:trPr>
          <w:divId w:val="1039891795"/>
          <w:trHeight w:hRule="exact" w:val="225"/>
        </w:trPr>
        <w:tc>
          <w:tcPr>
            <w:tcW w:w="3005" w:type="pct"/>
            <w:tcBorders>
              <w:top w:val="nil"/>
              <w:left w:val="nil"/>
              <w:bottom w:val="nil"/>
              <w:right w:val="nil"/>
            </w:tcBorders>
            <w:shd w:val="clear" w:color="000000" w:fill="FFFFFF"/>
            <w:noWrap/>
            <w:vAlign w:val="center"/>
            <w:hideMark/>
          </w:tcPr>
          <w:p w14:paraId="0A3EBC20"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Fuel and energy</w:t>
            </w:r>
          </w:p>
        </w:tc>
        <w:tc>
          <w:tcPr>
            <w:tcW w:w="680" w:type="pct"/>
            <w:tcBorders>
              <w:top w:val="nil"/>
              <w:left w:val="nil"/>
              <w:bottom w:val="nil"/>
              <w:right w:val="nil"/>
            </w:tcBorders>
            <w:shd w:val="clear" w:color="000000" w:fill="FFFFFF"/>
            <w:noWrap/>
            <w:vAlign w:val="center"/>
            <w:hideMark/>
          </w:tcPr>
          <w:p w14:paraId="23C3C02A"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15</w:t>
            </w:r>
          </w:p>
        </w:tc>
        <w:tc>
          <w:tcPr>
            <w:tcW w:w="682" w:type="pct"/>
            <w:tcBorders>
              <w:top w:val="nil"/>
              <w:left w:val="nil"/>
              <w:bottom w:val="nil"/>
              <w:right w:val="nil"/>
            </w:tcBorders>
            <w:shd w:val="clear" w:color="000000" w:fill="EBFFFF"/>
            <w:noWrap/>
            <w:vAlign w:val="center"/>
            <w:hideMark/>
          </w:tcPr>
          <w:p w14:paraId="27AFC900"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12</w:t>
            </w:r>
          </w:p>
        </w:tc>
        <w:tc>
          <w:tcPr>
            <w:tcW w:w="632" w:type="pct"/>
            <w:tcBorders>
              <w:top w:val="nil"/>
              <w:left w:val="nil"/>
              <w:bottom w:val="nil"/>
              <w:right w:val="nil"/>
            </w:tcBorders>
            <w:shd w:val="clear" w:color="000000" w:fill="FFFFFF"/>
            <w:noWrap/>
            <w:vAlign w:val="center"/>
            <w:hideMark/>
          </w:tcPr>
          <w:p w14:paraId="1DBED241" w14:textId="09E13629" w:rsidR="00250FA6" w:rsidRPr="003B5469" w:rsidRDefault="00A36B1E"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50FA6" w:rsidRPr="003B5469">
              <w:rPr>
                <w:rFonts w:ascii="Arial" w:hAnsi="Arial" w:cs="Arial"/>
                <w:color w:val="000000"/>
                <w:sz w:val="16"/>
                <w:szCs w:val="16"/>
              </w:rPr>
              <w:t>3</w:t>
            </w:r>
          </w:p>
        </w:tc>
      </w:tr>
      <w:tr w:rsidR="008B1086" w:rsidRPr="00513ED7" w14:paraId="7C9A614A" w14:textId="77777777" w:rsidTr="00834969">
        <w:trPr>
          <w:divId w:val="1039891795"/>
          <w:trHeight w:hRule="exact" w:val="225"/>
        </w:trPr>
        <w:tc>
          <w:tcPr>
            <w:tcW w:w="3005" w:type="pct"/>
            <w:tcBorders>
              <w:top w:val="nil"/>
              <w:left w:val="nil"/>
              <w:bottom w:val="nil"/>
              <w:right w:val="nil"/>
            </w:tcBorders>
            <w:shd w:val="clear" w:color="000000" w:fill="FFFFFF"/>
            <w:noWrap/>
            <w:vAlign w:val="center"/>
            <w:hideMark/>
          </w:tcPr>
          <w:p w14:paraId="3269C10D"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Agriculture, forestry and fishing</w:t>
            </w:r>
          </w:p>
        </w:tc>
        <w:tc>
          <w:tcPr>
            <w:tcW w:w="680" w:type="pct"/>
            <w:tcBorders>
              <w:top w:val="nil"/>
              <w:left w:val="nil"/>
              <w:bottom w:val="nil"/>
              <w:right w:val="nil"/>
            </w:tcBorders>
            <w:shd w:val="clear" w:color="000000" w:fill="FFFFFF"/>
            <w:noWrap/>
            <w:vAlign w:val="center"/>
            <w:hideMark/>
          </w:tcPr>
          <w:p w14:paraId="1E1FEBBD"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134</w:t>
            </w:r>
          </w:p>
        </w:tc>
        <w:tc>
          <w:tcPr>
            <w:tcW w:w="682" w:type="pct"/>
            <w:tcBorders>
              <w:top w:val="nil"/>
              <w:left w:val="nil"/>
              <w:bottom w:val="nil"/>
              <w:right w:val="nil"/>
            </w:tcBorders>
            <w:shd w:val="clear" w:color="000000" w:fill="EBFFFF"/>
            <w:noWrap/>
            <w:vAlign w:val="center"/>
            <w:hideMark/>
          </w:tcPr>
          <w:p w14:paraId="49A3673C"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55</w:t>
            </w:r>
          </w:p>
        </w:tc>
        <w:tc>
          <w:tcPr>
            <w:tcW w:w="632" w:type="pct"/>
            <w:tcBorders>
              <w:top w:val="nil"/>
              <w:left w:val="nil"/>
              <w:bottom w:val="nil"/>
              <w:right w:val="nil"/>
            </w:tcBorders>
            <w:shd w:val="clear" w:color="000000" w:fill="FFFFFF"/>
            <w:noWrap/>
            <w:vAlign w:val="center"/>
            <w:hideMark/>
          </w:tcPr>
          <w:p w14:paraId="1CBC3DC5" w14:textId="0C1CBE8D" w:rsidR="00250FA6" w:rsidRPr="003B5469" w:rsidRDefault="00A36B1E"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50FA6" w:rsidRPr="003B5469">
              <w:rPr>
                <w:rFonts w:ascii="Arial" w:hAnsi="Arial" w:cs="Arial"/>
                <w:color w:val="000000"/>
                <w:sz w:val="16"/>
                <w:szCs w:val="16"/>
              </w:rPr>
              <w:t>79</w:t>
            </w:r>
          </w:p>
        </w:tc>
      </w:tr>
      <w:tr w:rsidR="008B1086" w:rsidRPr="00513ED7" w14:paraId="32C43020" w14:textId="77777777" w:rsidTr="00834969">
        <w:trPr>
          <w:divId w:val="1039891795"/>
          <w:trHeight w:hRule="exact" w:val="225"/>
        </w:trPr>
        <w:tc>
          <w:tcPr>
            <w:tcW w:w="3005" w:type="pct"/>
            <w:tcBorders>
              <w:top w:val="nil"/>
              <w:left w:val="nil"/>
              <w:bottom w:val="nil"/>
              <w:right w:val="nil"/>
            </w:tcBorders>
            <w:shd w:val="clear" w:color="000000" w:fill="FFFFFF"/>
            <w:noWrap/>
            <w:vAlign w:val="center"/>
            <w:hideMark/>
          </w:tcPr>
          <w:p w14:paraId="499352F6"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Mining, manufacturing and construction</w:t>
            </w:r>
          </w:p>
        </w:tc>
        <w:tc>
          <w:tcPr>
            <w:tcW w:w="680" w:type="pct"/>
            <w:tcBorders>
              <w:top w:val="nil"/>
              <w:left w:val="nil"/>
              <w:bottom w:val="nil"/>
              <w:right w:val="nil"/>
            </w:tcBorders>
            <w:shd w:val="clear" w:color="000000" w:fill="FFFFFF"/>
            <w:noWrap/>
            <w:vAlign w:val="center"/>
            <w:hideMark/>
          </w:tcPr>
          <w:p w14:paraId="33E2839B"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16</w:t>
            </w:r>
          </w:p>
        </w:tc>
        <w:tc>
          <w:tcPr>
            <w:tcW w:w="682" w:type="pct"/>
            <w:tcBorders>
              <w:top w:val="nil"/>
              <w:left w:val="nil"/>
              <w:bottom w:val="nil"/>
              <w:right w:val="nil"/>
            </w:tcBorders>
            <w:shd w:val="clear" w:color="000000" w:fill="EBFFFF"/>
            <w:noWrap/>
            <w:vAlign w:val="center"/>
            <w:hideMark/>
          </w:tcPr>
          <w:p w14:paraId="13DF9BCA"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11</w:t>
            </w:r>
          </w:p>
        </w:tc>
        <w:tc>
          <w:tcPr>
            <w:tcW w:w="632" w:type="pct"/>
            <w:tcBorders>
              <w:top w:val="nil"/>
              <w:left w:val="nil"/>
              <w:bottom w:val="nil"/>
              <w:right w:val="nil"/>
            </w:tcBorders>
            <w:shd w:val="clear" w:color="000000" w:fill="FFFFFF"/>
            <w:noWrap/>
            <w:vAlign w:val="center"/>
            <w:hideMark/>
          </w:tcPr>
          <w:p w14:paraId="04685CFE" w14:textId="7A2546A9" w:rsidR="00250FA6" w:rsidRPr="003B5469" w:rsidRDefault="00A36B1E"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50FA6" w:rsidRPr="003B5469">
              <w:rPr>
                <w:rFonts w:ascii="Arial" w:hAnsi="Arial" w:cs="Arial"/>
                <w:color w:val="000000"/>
                <w:sz w:val="16"/>
                <w:szCs w:val="16"/>
              </w:rPr>
              <w:t>5</w:t>
            </w:r>
          </w:p>
        </w:tc>
      </w:tr>
      <w:tr w:rsidR="008B1086" w:rsidRPr="00513ED7" w14:paraId="0E8C784A" w14:textId="77777777" w:rsidTr="00834969">
        <w:trPr>
          <w:divId w:val="1039891795"/>
          <w:trHeight w:hRule="exact" w:val="225"/>
        </w:trPr>
        <w:tc>
          <w:tcPr>
            <w:tcW w:w="3005" w:type="pct"/>
            <w:tcBorders>
              <w:top w:val="nil"/>
              <w:left w:val="nil"/>
              <w:bottom w:val="nil"/>
              <w:right w:val="nil"/>
            </w:tcBorders>
            <w:shd w:val="clear" w:color="000000" w:fill="FFFFFF"/>
            <w:noWrap/>
            <w:vAlign w:val="center"/>
            <w:hideMark/>
          </w:tcPr>
          <w:p w14:paraId="2B7709C7"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Transport and communication</w:t>
            </w:r>
          </w:p>
        </w:tc>
        <w:tc>
          <w:tcPr>
            <w:tcW w:w="680" w:type="pct"/>
            <w:tcBorders>
              <w:top w:val="nil"/>
              <w:left w:val="nil"/>
              <w:bottom w:val="nil"/>
              <w:right w:val="nil"/>
            </w:tcBorders>
            <w:shd w:val="clear" w:color="000000" w:fill="FFFFFF"/>
            <w:noWrap/>
            <w:vAlign w:val="center"/>
            <w:hideMark/>
          </w:tcPr>
          <w:p w14:paraId="10BEDC15"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123</w:t>
            </w:r>
          </w:p>
        </w:tc>
        <w:tc>
          <w:tcPr>
            <w:tcW w:w="682" w:type="pct"/>
            <w:tcBorders>
              <w:top w:val="nil"/>
              <w:left w:val="nil"/>
              <w:bottom w:val="nil"/>
              <w:right w:val="nil"/>
            </w:tcBorders>
            <w:shd w:val="clear" w:color="000000" w:fill="EBFFFF"/>
            <w:noWrap/>
            <w:vAlign w:val="center"/>
            <w:hideMark/>
          </w:tcPr>
          <w:p w14:paraId="050DBB5E"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84</w:t>
            </w:r>
          </w:p>
        </w:tc>
        <w:tc>
          <w:tcPr>
            <w:tcW w:w="632" w:type="pct"/>
            <w:tcBorders>
              <w:top w:val="nil"/>
              <w:left w:val="nil"/>
              <w:bottom w:val="nil"/>
              <w:right w:val="nil"/>
            </w:tcBorders>
            <w:shd w:val="clear" w:color="000000" w:fill="FFFFFF"/>
            <w:noWrap/>
            <w:vAlign w:val="center"/>
            <w:hideMark/>
          </w:tcPr>
          <w:p w14:paraId="7AD9BF4A" w14:textId="4C6B3250" w:rsidR="00250FA6" w:rsidRPr="003B5469" w:rsidRDefault="00A36B1E"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50FA6" w:rsidRPr="003B5469">
              <w:rPr>
                <w:rFonts w:ascii="Arial" w:hAnsi="Arial" w:cs="Arial"/>
                <w:color w:val="000000"/>
                <w:sz w:val="16"/>
                <w:szCs w:val="16"/>
              </w:rPr>
              <w:t>38</w:t>
            </w:r>
          </w:p>
        </w:tc>
      </w:tr>
      <w:tr w:rsidR="008B1086" w:rsidRPr="00513ED7" w14:paraId="4D0FB4FC" w14:textId="77777777" w:rsidTr="00834969">
        <w:trPr>
          <w:divId w:val="1039891795"/>
          <w:trHeight w:hRule="exact" w:val="225"/>
        </w:trPr>
        <w:tc>
          <w:tcPr>
            <w:tcW w:w="3005" w:type="pct"/>
            <w:tcBorders>
              <w:top w:val="nil"/>
              <w:left w:val="nil"/>
              <w:bottom w:val="nil"/>
              <w:right w:val="nil"/>
            </w:tcBorders>
            <w:shd w:val="clear" w:color="000000" w:fill="FFFFFF"/>
            <w:noWrap/>
            <w:vAlign w:val="center"/>
            <w:hideMark/>
          </w:tcPr>
          <w:p w14:paraId="3DEF72D8"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Other economic affairs</w:t>
            </w:r>
          </w:p>
        </w:tc>
        <w:tc>
          <w:tcPr>
            <w:tcW w:w="680" w:type="pct"/>
            <w:tcBorders>
              <w:top w:val="nil"/>
              <w:left w:val="nil"/>
              <w:bottom w:val="nil"/>
              <w:right w:val="nil"/>
            </w:tcBorders>
            <w:shd w:val="clear" w:color="000000" w:fill="FFFFFF"/>
            <w:noWrap/>
            <w:vAlign w:val="center"/>
            <w:hideMark/>
          </w:tcPr>
          <w:p w14:paraId="261598A5"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1,353</w:t>
            </w:r>
          </w:p>
        </w:tc>
        <w:tc>
          <w:tcPr>
            <w:tcW w:w="682" w:type="pct"/>
            <w:tcBorders>
              <w:top w:val="nil"/>
              <w:left w:val="nil"/>
              <w:bottom w:val="nil"/>
              <w:right w:val="nil"/>
            </w:tcBorders>
            <w:shd w:val="clear" w:color="000000" w:fill="EBFFFF"/>
            <w:noWrap/>
            <w:vAlign w:val="center"/>
            <w:hideMark/>
          </w:tcPr>
          <w:p w14:paraId="258DB30E"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990</w:t>
            </w:r>
          </w:p>
        </w:tc>
        <w:tc>
          <w:tcPr>
            <w:tcW w:w="632" w:type="pct"/>
            <w:tcBorders>
              <w:top w:val="nil"/>
              <w:left w:val="nil"/>
              <w:bottom w:val="nil"/>
              <w:right w:val="nil"/>
            </w:tcBorders>
            <w:shd w:val="clear" w:color="000000" w:fill="FFFFFF"/>
            <w:noWrap/>
            <w:vAlign w:val="center"/>
            <w:hideMark/>
          </w:tcPr>
          <w:p w14:paraId="481AF401" w14:textId="1788CA04" w:rsidR="00250FA6" w:rsidRPr="003B5469" w:rsidRDefault="00A36B1E"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50FA6" w:rsidRPr="003B5469">
              <w:rPr>
                <w:rFonts w:ascii="Arial" w:hAnsi="Arial" w:cs="Arial"/>
                <w:color w:val="000000"/>
                <w:sz w:val="16"/>
                <w:szCs w:val="16"/>
              </w:rPr>
              <w:t>363</w:t>
            </w:r>
          </w:p>
        </w:tc>
      </w:tr>
      <w:tr w:rsidR="008B1086" w:rsidRPr="00513ED7" w14:paraId="48861E14" w14:textId="77777777" w:rsidTr="00834969">
        <w:trPr>
          <w:divId w:val="1039891795"/>
          <w:trHeight w:hRule="exact" w:val="225"/>
        </w:trPr>
        <w:tc>
          <w:tcPr>
            <w:tcW w:w="3005" w:type="pct"/>
            <w:tcBorders>
              <w:top w:val="nil"/>
              <w:left w:val="nil"/>
              <w:bottom w:val="nil"/>
              <w:right w:val="nil"/>
            </w:tcBorders>
            <w:shd w:val="clear" w:color="000000" w:fill="FFFFFF"/>
            <w:noWrap/>
            <w:vAlign w:val="center"/>
            <w:hideMark/>
          </w:tcPr>
          <w:p w14:paraId="6E9F1397"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Other purposes</w:t>
            </w:r>
          </w:p>
        </w:tc>
        <w:tc>
          <w:tcPr>
            <w:tcW w:w="680" w:type="pct"/>
            <w:tcBorders>
              <w:top w:val="nil"/>
              <w:left w:val="nil"/>
              <w:bottom w:val="nil"/>
              <w:right w:val="nil"/>
            </w:tcBorders>
            <w:shd w:val="clear" w:color="000000" w:fill="FFFFFF"/>
            <w:noWrap/>
            <w:vAlign w:val="center"/>
            <w:hideMark/>
          </w:tcPr>
          <w:p w14:paraId="67BF8535"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3</w:t>
            </w:r>
          </w:p>
        </w:tc>
        <w:tc>
          <w:tcPr>
            <w:tcW w:w="682" w:type="pct"/>
            <w:tcBorders>
              <w:top w:val="nil"/>
              <w:left w:val="nil"/>
              <w:bottom w:val="nil"/>
              <w:right w:val="nil"/>
            </w:tcBorders>
            <w:shd w:val="clear" w:color="000000" w:fill="EBFFFF"/>
            <w:noWrap/>
            <w:vAlign w:val="center"/>
            <w:hideMark/>
          </w:tcPr>
          <w:p w14:paraId="39663E1C" w14:textId="77777777" w:rsidR="00250FA6" w:rsidRPr="003B5469" w:rsidRDefault="00250FA6"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t>2</w:t>
            </w:r>
          </w:p>
        </w:tc>
        <w:tc>
          <w:tcPr>
            <w:tcW w:w="632" w:type="pct"/>
            <w:tcBorders>
              <w:top w:val="nil"/>
              <w:left w:val="nil"/>
              <w:bottom w:val="nil"/>
              <w:right w:val="nil"/>
            </w:tcBorders>
            <w:shd w:val="clear" w:color="000000" w:fill="FFFFFF"/>
            <w:noWrap/>
            <w:vAlign w:val="center"/>
            <w:hideMark/>
          </w:tcPr>
          <w:p w14:paraId="22699BAE" w14:textId="15E6F15C" w:rsidR="00250FA6" w:rsidRPr="003B5469" w:rsidRDefault="00A36B1E" w:rsidP="00250FA6">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250FA6" w:rsidRPr="003B5469">
              <w:rPr>
                <w:rFonts w:ascii="Arial" w:hAnsi="Arial" w:cs="Arial"/>
                <w:color w:val="000000"/>
                <w:sz w:val="16"/>
                <w:szCs w:val="16"/>
              </w:rPr>
              <w:t>1</w:t>
            </w:r>
          </w:p>
        </w:tc>
      </w:tr>
      <w:tr w:rsidR="008B1086" w:rsidRPr="00513ED7" w14:paraId="13C88E77" w14:textId="77777777" w:rsidTr="00834969">
        <w:trPr>
          <w:divId w:val="1039891795"/>
          <w:trHeight w:hRule="exact" w:val="60"/>
        </w:trPr>
        <w:tc>
          <w:tcPr>
            <w:tcW w:w="3005" w:type="pct"/>
            <w:tcBorders>
              <w:top w:val="nil"/>
              <w:left w:val="nil"/>
              <w:bottom w:val="nil"/>
              <w:right w:val="nil"/>
            </w:tcBorders>
            <w:shd w:val="clear" w:color="000000" w:fill="FFFFFF"/>
            <w:noWrap/>
            <w:vAlign w:val="center"/>
            <w:hideMark/>
          </w:tcPr>
          <w:p w14:paraId="5C3CC420"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80" w:type="pct"/>
            <w:tcBorders>
              <w:top w:val="nil"/>
              <w:left w:val="nil"/>
              <w:bottom w:val="single" w:sz="4" w:space="0" w:color="auto"/>
              <w:right w:val="nil"/>
            </w:tcBorders>
            <w:shd w:val="clear" w:color="000000" w:fill="FFFFFF"/>
            <w:noWrap/>
            <w:vAlign w:val="center"/>
            <w:hideMark/>
          </w:tcPr>
          <w:p w14:paraId="223CD7D1"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82" w:type="pct"/>
            <w:tcBorders>
              <w:top w:val="nil"/>
              <w:left w:val="nil"/>
              <w:bottom w:val="single" w:sz="4" w:space="0" w:color="auto"/>
              <w:right w:val="nil"/>
            </w:tcBorders>
            <w:shd w:val="clear" w:color="000000" w:fill="EBFFFF"/>
            <w:noWrap/>
            <w:vAlign w:val="center"/>
            <w:hideMark/>
          </w:tcPr>
          <w:p w14:paraId="13303EC0"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32" w:type="pct"/>
            <w:tcBorders>
              <w:top w:val="nil"/>
              <w:left w:val="nil"/>
              <w:bottom w:val="single" w:sz="4" w:space="0" w:color="auto"/>
              <w:right w:val="nil"/>
            </w:tcBorders>
            <w:shd w:val="clear" w:color="000000" w:fill="FFFFFF"/>
            <w:noWrap/>
            <w:vAlign w:val="center"/>
            <w:hideMark/>
          </w:tcPr>
          <w:p w14:paraId="3CE40CB7" w14:textId="77777777" w:rsidR="00250FA6" w:rsidRPr="003B5469" w:rsidRDefault="00250FA6" w:rsidP="00250FA6">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r>
      <w:tr w:rsidR="008B1086" w:rsidRPr="00513ED7" w14:paraId="392F30B6" w14:textId="77777777" w:rsidTr="00834969">
        <w:trPr>
          <w:divId w:val="1039891795"/>
          <w:trHeight w:hRule="exact" w:val="225"/>
        </w:trPr>
        <w:tc>
          <w:tcPr>
            <w:tcW w:w="3005" w:type="pct"/>
            <w:tcBorders>
              <w:top w:val="nil"/>
              <w:left w:val="nil"/>
              <w:bottom w:val="single" w:sz="4" w:space="0" w:color="000000"/>
              <w:right w:val="nil"/>
            </w:tcBorders>
            <w:shd w:val="clear" w:color="000000" w:fill="FFFFFF"/>
            <w:vAlign w:val="center"/>
            <w:hideMark/>
          </w:tcPr>
          <w:p w14:paraId="100E37BC" w14:textId="65707777" w:rsidR="00250FA6" w:rsidRPr="003B5469" w:rsidRDefault="00250FA6" w:rsidP="00250FA6">
            <w:pPr>
              <w:spacing w:after="0" w:line="240" w:lineRule="auto"/>
              <w:jc w:val="left"/>
              <w:rPr>
                <w:rFonts w:ascii="Arial" w:hAnsi="Arial" w:cs="Arial"/>
                <w:b/>
                <w:color w:val="000000"/>
                <w:sz w:val="16"/>
                <w:szCs w:val="16"/>
              </w:rPr>
            </w:pPr>
            <w:r w:rsidRPr="003B5469">
              <w:rPr>
                <w:rFonts w:ascii="Arial" w:hAnsi="Arial" w:cs="Arial"/>
                <w:b/>
                <w:color w:val="000000"/>
                <w:sz w:val="16"/>
                <w:szCs w:val="16"/>
              </w:rPr>
              <w:t>Total Government purchases of non</w:t>
            </w:r>
            <w:r w:rsidR="00A36B1E" w:rsidRPr="003B5469">
              <w:rPr>
                <w:rFonts w:ascii="Arial" w:hAnsi="Arial" w:cs="Arial"/>
                <w:b/>
                <w:color w:val="000000"/>
                <w:sz w:val="16"/>
                <w:szCs w:val="16"/>
              </w:rPr>
              <w:noBreakHyphen/>
            </w:r>
            <w:r w:rsidRPr="003B5469">
              <w:rPr>
                <w:rFonts w:ascii="Arial" w:hAnsi="Arial" w:cs="Arial"/>
                <w:b/>
                <w:color w:val="000000"/>
                <w:sz w:val="16"/>
                <w:szCs w:val="16"/>
              </w:rPr>
              <w:t>financial assets</w:t>
            </w:r>
          </w:p>
        </w:tc>
        <w:tc>
          <w:tcPr>
            <w:tcW w:w="680" w:type="pct"/>
            <w:tcBorders>
              <w:top w:val="nil"/>
              <w:left w:val="nil"/>
              <w:bottom w:val="single" w:sz="4" w:space="0" w:color="000000"/>
              <w:right w:val="nil"/>
            </w:tcBorders>
            <w:shd w:val="clear" w:color="000000" w:fill="FFFFFF"/>
            <w:noWrap/>
            <w:vAlign w:val="center"/>
            <w:hideMark/>
          </w:tcPr>
          <w:p w14:paraId="0C7CEC3C" w14:textId="77777777" w:rsidR="00250FA6" w:rsidRPr="003B5469" w:rsidRDefault="00250FA6" w:rsidP="00250FA6">
            <w:pPr>
              <w:spacing w:after="0" w:line="240" w:lineRule="auto"/>
              <w:jc w:val="right"/>
              <w:rPr>
                <w:rFonts w:ascii="Arial" w:hAnsi="Arial" w:cs="Arial"/>
                <w:b/>
                <w:color w:val="000000"/>
                <w:sz w:val="16"/>
                <w:szCs w:val="16"/>
              </w:rPr>
            </w:pPr>
            <w:r w:rsidRPr="003B5469">
              <w:rPr>
                <w:rFonts w:ascii="Arial" w:hAnsi="Arial" w:cs="Arial"/>
                <w:b/>
                <w:color w:val="000000"/>
                <w:sz w:val="16"/>
                <w:szCs w:val="16"/>
              </w:rPr>
              <w:t>18,318</w:t>
            </w:r>
          </w:p>
        </w:tc>
        <w:tc>
          <w:tcPr>
            <w:tcW w:w="682" w:type="pct"/>
            <w:tcBorders>
              <w:top w:val="nil"/>
              <w:left w:val="nil"/>
              <w:bottom w:val="single" w:sz="4" w:space="0" w:color="000000"/>
              <w:right w:val="nil"/>
            </w:tcBorders>
            <w:shd w:val="clear" w:color="000000" w:fill="EBFFFF"/>
            <w:noWrap/>
            <w:vAlign w:val="center"/>
            <w:hideMark/>
          </w:tcPr>
          <w:p w14:paraId="2F7F7178" w14:textId="77777777" w:rsidR="00250FA6" w:rsidRPr="003B5469" w:rsidRDefault="00250FA6" w:rsidP="00250FA6">
            <w:pPr>
              <w:spacing w:after="0" w:line="240" w:lineRule="auto"/>
              <w:jc w:val="right"/>
              <w:rPr>
                <w:rFonts w:ascii="Arial" w:hAnsi="Arial" w:cs="Arial"/>
                <w:b/>
                <w:color w:val="000000"/>
                <w:sz w:val="16"/>
                <w:szCs w:val="16"/>
              </w:rPr>
            </w:pPr>
            <w:r w:rsidRPr="003B5469">
              <w:rPr>
                <w:rFonts w:ascii="Arial" w:hAnsi="Arial" w:cs="Arial"/>
                <w:b/>
                <w:color w:val="000000"/>
                <w:sz w:val="16"/>
                <w:szCs w:val="16"/>
              </w:rPr>
              <w:t>16,936</w:t>
            </w:r>
          </w:p>
        </w:tc>
        <w:tc>
          <w:tcPr>
            <w:tcW w:w="632" w:type="pct"/>
            <w:tcBorders>
              <w:top w:val="nil"/>
              <w:left w:val="nil"/>
              <w:bottom w:val="single" w:sz="4" w:space="0" w:color="000000"/>
              <w:right w:val="nil"/>
            </w:tcBorders>
            <w:shd w:val="clear" w:color="000000" w:fill="FFFFFF"/>
            <w:noWrap/>
            <w:vAlign w:val="center"/>
            <w:hideMark/>
          </w:tcPr>
          <w:p w14:paraId="4730E0DC" w14:textId="79D040C7" w:rsidR="00250FA6" w:rsidRPr="003B5469" w:rsidRDefault="00A36B1E" w:rsidP="00250FA6">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250FA6" w:rsidRPr="003B5469">
              <w:rPr>
                <w:rFonts w:ascii="Arial" w:hAnsi="Arial" w:cs="Arial"/>
                <w:b/>
                <w:color w:val="000000"/>
                <w:sz w:val="16"/>
                <w:szCs w:val="16"/>
              </w:rPr>
              <w:t>1,382</w:t>
            </w:r>
          </w:p>
        </w:tc>
      </w:tr>
    </w:tbl>
    <w:p w14:paraId="7922245E" w14:textId="0A797799" w:rsidR="008128F4" w:rsidRPr="003B5469" w:rsidRDefault="008128F4" w:rsidP="008128F4">
      <w:pPr>
        <w:pStyle w:val="TableGraphic"/>
      </w:pPr>
    </w:p>
    <w:p w14:paraId="574AAA7B" w14:textId="5F144F09" w:rsidR="00C204D0" w:rsidRPr="003B5469" w:rsidRDefault="00C204D0" w:rsidP="0059341C">
      <w:pPr>
        <w:pStyle w:val="Heading2"/>
      </w:pPr>
      <w:r w:rsidRPr="003B5469">
        <w:lastRenderedPageBreak/>
        <w:t>Headline cash balance</w:t>
      </w:r>
    </w:p>
    <w:p w14:paraId="667B0760" w14:textId="488AA050" w:rsidR="00C204D0" w:rsidRPr="003B5469" w:rsidRDefault="00C204D0" w:rsidP="00C204D0">
      <w:r w:rsidRPr="003B5469">
        <w:t>The headline cash balance consists of the underlying cash balance</w:t>
      </w:r>
      <w:r w:rsidR="00524C5C" w:rsidRPr="003B5469">
        <w:t xml:space="preserve"> and </w:t>
      </w:r>
      <w:r w:rsidRPr="003B5469">
        <w:t>net cash flows from investments in financial assets for policy purposes (for example, student loans and a loan to NBN Co).</w:t>
      </w:r>
    </w:p>
    <w:p w14:paraId="733F5F8C" w14:textId="32D822FD" w:rsidR="390B735F" w:rsidRPr="00513ED7" w:rsidRDefault="390B735F">
      <w:r w:rsidRPr="003B5469">
        <w:t>In 2020</w:t>
      </w:r>
      <w:r w:rsidR="00A36B1E" w:rsidRPr="003B5469">
        <w:noBreakHyphen/>
      </w:r>
      <w:r w:rsidRPr="003B5469">
        <w:t>21, the headline cash deficit was $13</w:t>
      </w:r>
      <w:r w:rsidR="00C32EBC" w:rsidRPr="003B5469">
        <w:t>7</w:t>
      </w:r>
      <w:r w:rsidRPr="003B5469">
        <w:t>.</w:t>
      </w:r>
      <w:r w:rsidR="00C32EBC" w:rsidRPr="003B5469">
        <w:t>5</w:t>
      </w:r>
      <w:r w:rsidRPr="003B5469">
        <w:t xml:space="preserve"> billion compared with a</w:t>
      </w:r>
      <w:r w:rsidR="56A4F810" w:rsidRPr="003B5469">
        <w:t>n estimated</w:t>
      </w:r>
      <w:r w:rsidRPr="003B5469">
        <w:t xml:space="preserve"> deficit of $168.2 billion </w:t>
      </w:r>
      <w:r w:rsidR="40ABF25D" w:rsidRPr="003B5469">
        <w:t>in</w:t>
      </w:r>
      <w:r w:rsidRPr="003B5469">
        <w:t xml:space="preserve"> the 2021</w:t>
      </w:r>
      <w:r w:rsidR="00A36B1E" w:rsidRPr="003B5469">
        <w:noBreakHyphen/>
      </w:r>
      <w:r w:rsidRPr="003B5469">
        <w:t>22 Budget. The improvement in the headline cash balance was primarily driven by the change in the underlying cash balance reflecting the stronger</w:t>
      </w:r>
      <w:r w:rsidR="00A36B1E" w:rsidRPr="003B5469">
        <w:noBreakHyphen/>
      </w:r>
      <w:r w:rsidRPr="003B5469">
        <w:t>than</w:t>
      </w:r>
      <w:r w:rsidR="00A36B1E" w:rsidRPr="003B5469">
        <w:noBreakHyphen/>
      </w:r>
      <w:r w:rsidRPr="003B5469">
        <w:t>expected economic recovery from the COVID</w:t>
      </w:r>
      <w:r w:rsidR="00A36B1E" w:rsidRPr="003B5469">
        <w:noBreakHyphen/>
      </w:r>
      <w:r w:rsidRPr="003B5469">
        <w:t>19 pandemic.</w:t>
      </w:r>
      <w:r w:rsidR="00E26553" w:rsidRPr="003B5469">
        <w:t xml:space="preserve"> </w:t>
      </w:r>
    </w:p>
    <w:p w14:paraId="0E61F529" w14:textId="53710BA2" w:rsidR="0060612D" w:rsidRPr="003B5469" w:rsidRDefault="0060612D" w:rsidP="0060612D">
      <w:r w:rsidRPr="001839E8">
        <w:t>Net cash flows from investments in financial assets for policy purposes have also improved by $3.9 billion since the 2021</w:t>
      </w:r>
      <w:r w:rsidR="00A36B1E" w:rsidRPr="001839E8">
        <w:noBreakHyphen/>
      </w:r>
      <w:r w:rsidRPr="001839E8">
        <w:t>22 Budget. This is primarily driven by lower</w:t>
      </w:r>
      <w:r w:rsidR="00A36B1E" w:rsidRPr="001839E8">
        <w:noBreakHyphen/>
      </w:r>
      <w:r w:rsidRPr="001839E8">
        <w:t>than</w:t>
      </w:r>
      <w:r w:rsidR="00A36B1E" w:rsidRPr="001839E8">
        <w:noBreakHyphen/>
      </w:r>
      <w:r w:rsidRPr="001839E8">
        <w:t>expected outlays for drought and rural assistance loans, reflecting lower</w:t>
      </w:r>
      <w:r w:rsidR="00A36B1E" w:rsidRPr="001839E8">
        <w:noBreakHyphen/>
      </w:r>
      <w:r w:rsidRPr="001839E8">
        <w:t>than</w:t>
      </w:r>
      <w:r w:rsidR="00A36B1E" w:rsidRPr="001839E8">
        <w:noBreakHyphen/>
      </w:r>
      <w:r w:rsidRPr="001839E8">
        <w:t>estimated farm business concessional loans through the Regional Investment Corporation, and lower</w:t>
      </w:r>
      <w:r w:rsidR="00A36B1E" w:rsidRPr="001839E8">
        <w:noBreakHyphen/>
      </w:r>
      <w:r w:rsidRPr="001839E8">
        <w:t>than</w:t>
      </w:r>
      <w:r w:rsidR="00A36B1E" w:rsidRPr="001839E8">
        <w:noBreakHyphen/>
      </w:r>
      <w:r w:rsidRPr="001839E8">
        <w:t>expected outlays for the Structured Finance Support Fund, reflecting improved conditions in the securitisation market resulting in reduced demand for financial support.</w:t>
      </w:r>
    </w:p>
    <w:p w14:paraId="7E23C012" w14:textId="6C31F42B" w:rsidR="000E0C6D" w:rsidRPr="003B5469" w:rsidRDefault="00C204D0" w:rsidP="00F4319E">
      <w:r w:rsidRPr="003B5469">
        <w:t xml:space="preserve">Table </w:t>
      </w:r>
      <w:r w:rsidR="0001752C" w:rsidRPr="003B5469">
        <w:t>10</w:t>
      </w:r>
      <w:r w:rsidRPr="003B5469">
        <w:t xml:space="preserve"> provides further detail between the underlying and headline cash balance estimates of the Australian Government general government sector in </w:t>
      </w:r>
      <w:r w:rsidR="00BD7991" w:rsidRPr="003B5469">
        <w:t>2020</w:t>
      </w:r>
      <w:r w:rsidR="00A36B1E" w:rsidRPr="003B5469">
        <w:noBreakHyphen/>
      </w:r>
      <w:r w:rsidR="00BD7991" w:rsidRPr="003B5469">
        <w:t>21</w:t>
      </w:r>
      <w:r w:rsidRPr="003B5469">
        <w:t>.</w:t>
      </w:r>
    </w:p>
    <w:p w14:paraId="1E67965F" w14:textId="77777777" w:rsidR="00F4319E" w:rsidRPr="003B5469" w:rsidRDefault="00F4319E">
      <w:pPr>
        <w:spacing w:after="160" w:line="259" w:lineRule="auto"/>
        <w:jc w:val="left"/>
      </w:pPr>
      <w:r w:rsidRPr="003B5469">
        <w:br w:type="page"/>
      </w:r>
    </w:p>
    <w:p w14:paraId="761FECC5" w14:textId="0E7B62B3" w:rsidR="00E8066C" w:rsidRPr="003B5469" w:rsidRDefault="00C204D0" w:rsidP="00E8066C">
      <w:pPr>
        <w:pStyle w:val="TableHeading"/>
        <w:rPr>
          <w:rFonts w:asciiTheme="minorHAnsi" w:eastAsiaTheme="minorHAnsi" w:hAnsiTheme="minorHAnsi" w:cstheme="minorBidi"/>
          <w:sz w:val="22"/>
          <w:szCs w:val="22"/>
          <w:lang w:eastAsia="en-US"/>
        </w:rPr>
      </w:pPr>
      <w:r w:rsidRPr="003B5469">
        <w:lastRenderedPageBreak/>
        <w:t xml:space="preserve">Table </w:t>
      </w:r>
      <w:r w:rsidR="0001752C" w:rsidRPr="003B5469">
        <w:t>10</w:t>
      </w:r>
      <w:r w:rsidRPr="003B5469">
        <w:t>: Australian Government general government sector reconciliation of underlying and headline cash balance</w:t>
      </w:r>
      <w:bookmarkStart w:id="11" w:name="_1693631908"/>
      <w:bookmarkEnd w:id="11"/>
    </w:p>
    <w:tbl>
      <w:tblPr>
        <w:tblW w:w="5000" w:type="pct"/>
        <w:tblCellMar>
          <w:left w:w="0" w:type="dxa"/>
          <w:right w:w="28" w:type="dxa"/>
        </w:tblCellMar>
        <w:tblLook w:val="04A0" w:firstRow="1" w:lastRow="0" w:firstColumn="1" w:lastColumn="0" w:noHBand="0" w:noVBand="1"/>
      </w:tblPr>
      <w:tblGrid>
        <w:gridCol w:w="4590"/>
        <w:gridCol w:w="1052"/>
        <w:gridCol w:w="1052"/>
        <w:gridCol w:w="1016"/>
      </w:tblGrid>
      <w:tr w:rsidR="00E8066C" w:rsidRPr="00513ED7" w14:paraId="778B72EF" w14:textId="77777777" w:rsidTr="00144D90">
        <w:trPr>
          <w:divId w:val="1535657698"/>
          <w:trHeight w:hRule="exact" w:val="225"/>
        </w:trPr>
        <w:tc>
          <w:tcPr>
            <w:tcW w:w="2976" w:type="pct"/>
            <w:tcBorders>
              <w:top w:val="single" w:sz="4" w:space="0" w:color="000000"/>
              <w:left w:val="nil"/>
              <w:bottom w:val="nil"/>
              <w:right w:val="nil"/>
            </w:tcBorders>
            <w:shd w:val="clear" w:color="000000" w:fill="FFFFFF"/>
            <w:noWrap/>
            <w:vAlign w:val="bottom"/>
            <w:hideMark/>
          </w:tcPr>
          <w:p w14:paraId="7978F8CF" w14:textId="4F93DA06" w:rsidR="00E8066C" w:rsidRPr="003B5469" w:rsidRDefault="00E8066C" w:rsidP="00144D90">
            <w:pPr>
              <w:spacing w:after="0" w:line="240" w:lineRule="auto"/>
              <w:rPr>
                <w:rFonts w:ascii="Arial" w:hAnsi="Arial" w:cs="Arial"/>
                <w:color w:val="000000"/>
                <w:sz w:val="16"/>
                <w:szCs w:val="16"/>
              </w:rPr>
            </w:pPr>
            <w:r w:rsidRPr="003B5469">
              <w:rPr>
                <w:rFonts w:ascii="Arial" w:hAnsi="Arial" w:cs="Arial"/>
                <w:color w:val="000000"/>
                <w:sz w:val="16"/>
                <w:szCs w:val="16"/>
              </w:rPr>
              <w:t> </w:t>
            </w:r>
          </w:p>
        </w:tc>
        <w:tc>
          <w:tcPr>
            <w:tcW w:w="682" w:type="pct"/>
            <w:tcBorders>
              <w:top w:val="single" w:sz="4" w:space="0" w:color="000000"/>
              <w:left w:val="nil"/>
              <w:bottom w:val="nil"/>
              <w:right w:val="nil"/>
            </w:tcBorders>
            <w:shd w:val="clear" w:color="000000" w:fill="FFFFFF"/>
            <w:noWrap/>
            <w:vAlign w:val="center"/>
            <w:hideMark/>
          </w:tcPr>
          <w:p w14:paraId="30EE1E4D" w14:textId="2D3EDE47" w:rsidR="00E8066C" w:rsidRPr="003B5469" w:rsidRDefault="00E8066C" w:rsidP="00E8066C">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682" w:type="pct"/>
            <w:tcBorders>
              <w:top w:val="single" w:sz="4" w:space="0" w:color="000000"/>
              <w:left w:val="nil"/>
              <w:bottom w:val="nil"/>
              <w:right w:val="nil"/>
            </w:tcBorders>
            <w:shd w:val="clear" w:color="000000" w:fill="EBFFFF"/>
            <w:noWrap/>
            <w:vAlign w:val="center"/>
            <w:hideMark/>
          </w:tcPr>
          <w:p w14:paraId="3A0D489D" w14:textId="7F4A68DE" w:rsidR="00E8066C" w:rsidRPr="003B5469" w:rsidRDefault="00E8066C" w:rsidP="00E8066C">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659" w:type="pct"/>
            <w:tcBorders>
              <w:top w:val="single" w:sz="4" w:space="0" w:color="000000"/>
              <w:left w:val="nil"/>
              <w:bottom w:val="nil"/>
              <w:right w:val="nil"/>
            </w:tcBorders>
            <w:shd w:val="clear" w:color="000000" w:fill="FFFFFF"/>
            <w:noWrap/>
            <w:vAlign w:val="bottom"/>
            <w:hideMark/>
          </w:tcPr>
          <w:p w14:paraId="2AA7844E" w14:textId="77777777" w:rsidR="00E8066C" w:rsidRPr="003B5469" w:rsidRDefault="00E8066C" w:rsidP="00E8066C">
            <w:pPr>
              <w:spacing w:after="0" w:line="240" w:lineRule="auto"/>
              <w:jc w:val="right"/>
              <w:rPr>
                <w:rFonts w:ascii="Arial" w:hAnsi="Arial" w:cs="Arial"/>
                <w:sz w:val="16"/>
                <w:szCs w:val="16"/>
              </w:rPr>
            </w:pPr>
            <w:r w:rsidRPr="003B5469">
              <w:rPr>
                <w:rFonts w:ascii="Arial" w:hAnsi="Arial" w:cs="Arial"/>
                <w:sz w:val="16"/>
                <w:szCs w:val="16"/>
              </w:rPr>
              <w:t>Change on</w:t>
            </w:r>
          </w:p>
        </w:tc>
      </w:tr>
      <w:tr w:rsidR="00E8066C" w:rsidRPr="00513ED7" w14:paraId="3DD39CB3"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3BC5296B" w14:textId="77777777" w:rsidR="00E8066C" w:rsidRPr="003B5469" w:rsidRDefault="00E8066C" w:rsidP="00E8066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82" w:type="pct"/>
            <w:tcBorders>
              <w:top w:val="nil"/>
              <w:left w:val="nil"/>
              <w:bottom w:val="nil"/>
              <w:right w:val="nil"/>
            </w:tcBorders>
            <w:shd w:val="clear" w:color="000000" w:fill="FFFFFF"/>
            <w:noWrap/>
            <w:vAlign w:val="center"/>
            <w:hideMark/>
          </w:tcPr>
          <w:p w14:paraId="15D2CB9C" w14:textId="77777777" w:rsidR="00E8066C" w:rsidRPr="003B5469" w:rsidRDefault="00E8066C" w:rsidP="00E8066C">
            <w:pPr>
              <w:spacing w:after="0" w:line="240" w:lineRule="auto"/>
              <w:jc w:val="right"/>
              <w:rPr>
                <w:rFonts w:ascii="Arial" w:hAnsi="Arial" w:cs="Arial"/>
                <w:sz w:val="16"/>
                <w:szCs w:val="16"/>
              </w:rPr>
            </w:pPr>
            <w:r w:rsidRPr="003B5469">
              <w:rPr>
                <w:rFonts w:ascii="Arial" w:hAnsi="Arial" w:cs="Arial"/>
                <w:sz w:val="16"/>
                <w:szCs w:val="16"/>
              </w:rPr>
              <w:t>Estimate at</w:t>
            </w:r>
          </w:p>
        </w:tc>
        <w:tc>
          <w:tcPr>
            <w:tcW w:w="682" w:type="pct"/>
            <w:tcBorders>
              <w:top w:val="nil"/>
              <w:left w:val="nil"/>
              <w:bottom w:val="nil"/>
              <w:right w:val="nil"/>
            </w:tcBorders>
            <w:shd w:val="clear" w:color="000000" w:fill="EBFFFF"/>
            <w:noWrap/>
            <w:vAlign w:val="center"/>
            <w:hideMark/>
          </w:tcPr>
          <w:p w14:paraId="52D9DC10" w14:textId="77777777" w:rsidR="00E8066C" w:rsidRPr="003B5469" w:rsidRDefault="00E8066C" w:rsidP="00E8066C">
            <w:pPr>
              <w:spacing w:after="0" w:line="240" w:lineRule="auto"/>
              <w:jc w:val="right"/>
              <w:rPr>
                <w:rFonts w:ascii="Arial" w:hAnsi="Arial" w:cs="Arial"/>
                <w:sz w:val="16"/>
                <w:szCs w:val="16"/>
              </w:rPr>
            </w:pPr>
            <w:r w:rsidRPr="003B5469">
              <w:rPr>
                <w:rFonts w:ascii="Arial" w:hAnsi="Arial" w:cs="Arial"/>
                <w:sz w:val="16"/>
                <w:szCs w:val="16"/>
              </w:rPr>
              <w:t>Outcome</w:t>
            </w:r>
          </w:p>
        </w:tc>
        <w:tc>
          <w:tcPr>
            <w:tcW w:w="659" w:type="pct"/>
            <w:tcBorders>
              <w:top w:val="nil"/>
              <w:left w:val="nil"/>
              <w:bottom w:val="nil"/>
              <w:right w:val="nil"/>
            </w:tcBorders>
            <w:shd w:val="clear" w:color="000000" w:fill="FFFFFF"/>
            <w:noWrap/>
            <w:vAlign w:val="center"/>
            <w:hideMark/>
          </w:tcPr>
          <w:p w14:paraId="0ADC3B17" w14:textId="51871619" w:rsidR="00E8066C" w:rsidRPr="003B5469" w:rsidRDefault="00E8066C" w:rsidP="00E8066C">
            <w:pPr>
              <w:spacing w:after="0" w:line="240" w:lineRule="auto"/>
              <w:jc w:val="right"/>
              <w:rPr>
                <w:rFonts w:ascii="Arial" w:hAnsi="Arial" w:cs="Arial"/>
                <w:sz w:val="16"/>
                <w:szCs w:val="16"/>
              </w:rPr>
            </w:pPr>
            <w:r w:rsidRPr="003B5469">
              <w:rPr>
                <w:rFonts w:ascii="Arial" w:hAnsi="Arial" w:cs="Arial"/>
                <w:sz w:val="16"/>
                <w:szCs w:val="16"/>
              </w:rPr>
              <w:t>2021</w:t>
            </w:r>
            <w:r w:rsidR="00A36B1E" w:rsidRPr="003B5469">
              <w:rPr>
                <w:rFonts w:ascii="Arial" w:hAnsi="Arial" w:cs="Arial"/>
                <w:sz w:val="16"/>
                <w:szCs w:val="16"/>
              </w:rPr>
              <w:noBreakHyphen/>
            </w:r>
            <w:r w:rsidRPr="003B5469">
              <w:rPr>
                <w:rFonts w:ascii="Arial" w:hAnsi="Arial" w:cs="Arial"/>
                <w:sz w:val="16"/>
                <w:szCs w:val="16"/>
              </w:rPr>
              <w:t>22</w:t>
            </w:r>
          </w:p>
        </w:tc>
      </w:tr>
      <w:tr w:rsidR="00E8066C" w:rsidRPr="00513ED7" w14:paraId="47CD6F27"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7A2F5378" w14:textId="77777777" w:rsidR="00E8066C" w:rsidRPr="003B5469" w:rsidRDefault="00E8066C" w:rsidP="00E8066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82" w:type="pct"/>
            <w:tcBorders>
              <w:top w:val="nil"/>
              <w:left w:val="nil"/>
              <w:bottom w:val="nil"/>
              <w:right w:val="nil"/>
            </w:tcBorders>
            <w:shd w:val="clear" w:color="000000" w:fill="FFFFFF"/>
            <w:noWrap/>
            <w:vAlign w:val="center"/>
            <w:hideMark/>
          </w:tcPr>
          <w:p w14:paraId="04A217A3" w14:textId="0DF91A36" w:rsidR="00E8066C" w:rsidRPr="003B5469" w:rsidRDefault="00E8066C" w:rsidP="00E8066C">
            <w:pPr>
              <w:spacing w:after="0" w:line="240" w:lineRule="auto"/>
              <w:jc w:val="right"/>
              <w:rPr>
                <w:rFonts w:ascii="Arial" w:hAnsi="Arial" w:cs="Arial"/>
                <w:sz w:val="16"/>
                <w:szCs w:val="16"/>
              </w:rPr>
            </w:pPr>
            <w:r w:rsidRPr="003B5469">
              <w:rPr>
                <w:rFonts w:ascii="Arial" w:hAnsi="Arial" w:cs="Arial"/>
                <w:sz w:val="16"/>
                <w:szCs w:val="16"/>
              </w:rPr>
              <w:t>2021</w:t>
            </w:r>
            <w:r w:rsidR="00A36B1E" w:rsidRPr="003B5469">
              <w:rPr>
                <w:rFonts w:ascii="Arial" w:hAnsi="Arial" w:cs="Arial"/>
                <w:sz w:val="16"/>
                <w:szCs w:val="16"/>
              </w:rPr>
              <w:noBreakHyphen/>
            </w:r>
            <w:r w:rsidRPr="003B5469">
              <w:rPr>
                <w:rFonts w:ascii="Arial" w:hAnsi="Arial" w:cs="Arial"/>
                <w:sz w:val="16"/>
                <w:szCs w:val="16"/>
              </w:rPr>
              <w:t>22</w:t>
            </w:r>
          </w:p>
        </w:tc>
        <w:tc>
          <w:tcPr>
            <w:tcW w:w="682" w:type="pct"/>
            <w:tcBorders>
              <w:top w:val="nil"/>
              <w:left w:val="nil"/>
              <w:bottom w:val="nil"/>
              <w:right w:val="nil"/>
            </w:tcBorders>
            <w:shd w:val="clear" w:color="000000" w:fill="EBFFFF"/>
            <w:noWrap/>
            <w:vAlign w:val="center"/>
            <w:hideMark/>
          </w:tcPr>
          <w:p w14:paraId="59717133" w14:textId="77777777" w:rsidR="00E8066C" w:rsidRPr="003B5469" w:rsidRDefault="00E8066C" w:rsidP="00E8066C">
            <w:pPr>
              <w:spacing w:after="0" w:line="240" w:lineRule="auto"/>
              <w:jc w:val="right"/>
              <w:rPr>
                <w:rFonts w:ascii="Arial" w:hAnsi="Arial" w:cs="Arial"/>
                <w:sz w:val="16"/>
                <w:szCs w:val="16"/>
              </w:rPr>
            </w:pPr>
            <w:r w:rsidRPr="003B5469">
              <w:rPr>
                <w:rFonts w:ascii="Arial" w:hAnsi="Arial" w:cs="Arial"/>
                <w:sz w:val="16"/>
                <w:szCs w:val="16"/>
              </w:rPr>
              <w:t> </w:t>
            </w:r>
          </w:p>
        </w:tc>
        <w:tc>
          <w:tcPr>
            <w:tcW w:w="659" w:type="pct"/>
            <w:tcBorders>
              <w:top w:val="nil"/>
              <w:left w:val="nil"/>
              <w:bottom w:val="nil"/>
              <w:right w:val="nil"/>
            </w:tcBorders>
            <w:shd w:val="clear" w:color="000000" w:fill="FFFFFF"/>
            <w:noWrap/>
            <w:vAlign w:val="bottom"/>
            <w:hideMark/>
          </w:tcPr>
          <w:p w14:paraId="70109913" w14:textId="77777777" w:rsidR="00E8066C" w:rsidRPr="003B5469" w:rsidRDefault="00E8066C" w:rsidP="00E8066C">
            <w:pPr>
              <w:spacing w:after="0" w:line="240" w:lineRule="auto"/>
              <w:jc w:val="right"/>
              <w:rPr>
                <w:rFonts w:ascii="Arial" w:hAnsi="Arial" w:cs="Arial"/>
                <w:sz w:val="16"/>
                <w:szCs w:val="16"/>
              </w:rPr>
            </w:pPr>
            <w:r w:rsidRPr="003B5469">
              <w:rPr>
                <w:rFonts w:ascii="Arial" w:hAnsi="Arial" w:cs="Arial"/>
                <w:sz w:val="16"/>
                <w:szCs w:val="16"/>
              </w:rPr>
              <w:t>Budget</w:t>
            </w:r>
          </w:p>
        </w:tc>
      </w:tr>
      <w:tr w:rsidR="00E8066C" w:rsidRPr="00513ED7" w14:paraId="60F9380F"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2F2E11BF" w14:textId="77777777" w:rsidR="00E8066C" w:rsidRPr="003B5469" w:rsidRDefault="00E8066C" w:rsidP="00E8066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82" w:type="pct"/>
            <w:tcBorders>
              <w:top w:val="nil"/>
              <w:left w:val="nil"/>
              <w:bottom w:val="nil"/>
              <w:right w:val="nil"/>
            </w:tcBorders>
            <w:shd w:val="clear" w:color="000000" w:fill="FFFFFF"/>
            <w:noWrap/>
            <w:vAlign w:val="center"/>
            <w:hideMark/>
          </w:tcPr>
          <w:p w14:paraId="156B996A" w14:textId="77777777" w:rsidR="00E8066C" w:rsidRPr="003B5469" w:rsidRDefault="00E8066C" w:rsidP="00E8066C">
            <w:pPr>
              <w:spacing w:after="0" w:line="240" w:lineRule="auto"/>
              <w:jc w:val="right"/>
              <w:rPr>
                <w:rFonts w:ascii="Arial" w:hAnsi="Arial" w:cs="Arial"/>
                <w:sz w:val="16"/>
                <w:szCs w:val="16"/>
              </w:rPr>
            </w:pPr>
            <w:r w:rsidRPr="003B5469">
              <w:rPr>
                <w:rFonts w:ascii="Arial" w:hAnsi="Arial" w:cs="Arial"/>
                <w:sz w:val="16"/>
                <w:szCs w:val="16"/>
              </w:rPr>
              <w:t>Budget</w:t>
            </w:r>
          </w:p>
        </w:tc>
        <w:tc>
          <w:tcPr>
            <w:tcW w:w="682" w:type="pct"/>
            <w:tcBorders>
              <w:top w:val="nil"/>
              <w:left w:val="nil"/>
              <w:bottom w:val="nil"/>
              <w:right w:val="nil"/>
            </w:tcBorders>
            <w:shd w:val="clear" w:color="000000" w:fill="EBFFFF"/>
            <w:noWrap/>
            <w:vAlign w:val="center"/>
            <w:hideMark/>
          </w:tcPr>
          <w:p w14:paraId="5BE946DB" w14:textId="77777777" w:rsidR="00E8066C" w:rsidRPr="003B5469" w:rsidRDefault="00E8066C" w:rsidP="00E8066C">
            <w:pPr>
              <w:spacing w:after="0" w:line="240" w:lineRule="auto"/>
              <w:jc w:val="right"/>
              <w:rPr>
                <w:rFonts w:ascii="Arial" w:hAnsi="Arial" w:cs="Arial"/>
                <w:sz w:val="16"/>
                <w:szCs w:val="16"/>
              </w:rPr>
            </w:pPr>
            <w:r w:rsidRPr="003B5469">
              <w:rPr>
                <w:rFonts w:ascii="Arial" w:hAnsi="Arial" w:cs="Arial"/>
                <w:sz w:val="16"/>
                <w:szCs w:val="16"/>
              </w:rPr>
              <w:t> </w:t>
            </w:r>
          </w:p>
        </w:tc>
        <w:tc>
          <w:tcPr>
            <w:tcW w:w="659" w:type="pct"/>
            <w:tcBorders>
              <w:top w:val="nil"/>
              <w:left w:val="nil"/>
              <w:bottom w:val="nil"/>
              <w:right w:val="nil"/>
            </w:tcBorders>
            <w:shd w:val="clear" w:color="000000" w:fill="FFFFFF"/>
            <w:noWrap/>
            <w:vAlign w:val="bottom"/>
            <w:hideMark/>
          </w:tcPr>
          <w:p w14:paraId="1F50271D" w14:textId="77777777" w:rsidR="00E8066C" w:rsidRPr="003B5469" w:rsidRDefault="00E8066C" w:rsidP="00E8066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r>
      <w:tr w:rsidR="00E8066C" w:rsidRPr="00513ED7" w14:paraId="451BBF79"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53E87DF3" w14:textId="77777777" w:rsidR="00E8066C" w:rsidRPr="003B5469" w:rsidRDefault="00E8066C" w:rsidP="00E8066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82" w:type="pct"/>
            <w:tcBorders>
              <w:top w:val="nil"/>
              <w:left w:val="nil"/>
              <w:bottom w:val="nil"/>
              <w:right w:val="nil"/>
            </w:tcBorders>
            <w:shd w:val="clear" w:color="000000" w:fill="FFFFFF"/>
            <w:noWrap/>
            <w:vAlign w:val="center"/>
            <w:hideMark/>
          </w:tcPr>
          <w:p w14:paraId="1934BFB4" w14:textId="77777777" w:rsidR="00E8066C" w:rsidRPr="003B5469" w:rsidRDefault="00E8066C"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t>$m</w:t>
            </w:r>
          </w:p>
        </w:tc>
        <w:tc>
          <w:tcPr>
            <w:tcW w:w="682" w:type="pct"/>
            <w:tcBorders>
              <w:top w:val="nil"/>
              <w:left w:val="nil"/>
              <w:bottom w:val="nil"/>
              <w:right w:val="nil"/>
            </w:tcBorders>
            <w:shd w:val="clear" w:color="000000" w:fill="EBFFFF"/>
            <w:noWrap/>
            <w:vAlign w:val="center"/>
            <w:hideMark/>
          </w:tcPr>
          <w:p w14:paraId="17AB0980" w14:textId="77777777" w:rsidR="00E8066C" w:rsidRPr="003B5469" w:rsidRDefault="00E8066C"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t>$m</w:t>
            </w:r>
          </w:p>
        </w:tc>
        <w:tc>
          <w:tcPr>
            <w:tcW w:w="659" w:type="pct"/>
            <w:tcBorders>
              <w:top w:val="nil"/>
              <w:left w:val="nil"/>
              <w:bottom w:val="nil"/>
              <w:right w:val="nil"/>
            </w:tcBorders>
            <w:shd w:val="clear" w:color="000000" w:fill="FFFFFF"/>
            <w:vAlign w:val="center"/>
            <w:hideMark/>
          </w:tcPr>
          <w:p w14:paraId="17983451" w14:textId="77777777" w:rsidR="00E8066C" w:rsidRPr="003B5469" w:rsidRDefault="00E8066C" w:rsidP="00E8066C">
            <w:pPr>
              <w:spacing w:after="0" w:line="240" w:lineRule="auto"/>
              <w:jc w:val="right"/>
              <w:rPr>
                <w:rFonts w:ascii="Arial" w:hAnsi="Arial" w:cs="Arial"/>
                <w:sz w:val="16"/>
                <w:szCs w:val="16"/>
              </w:rPr>
            </w:pPr>
            <w:r w:rsidRPr="003B5469">
              <w:rPr>
                <w:rFonts w:ascii="Arial" w:hAnsi="Arial" w:cs="Arial"/>
                <w:sz w:val="16"/>
                <w:szCs w:val="16"/>
              </w:rPr>
              <w:t>$m</w:t>
            </w:r>
          </w:p>
        </w:tc>
      </w:tr>
      <w:tr w:rsidR="00E8066C" w:rsidRPr="00513ED7" w14:paraId="25A99228"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548D59B3" w14:textId="521C8A23" w:rsidR="00E8066C" w:rsidRPr="003B5469" w:rsidRDefault="00E8066C" w:rsidP="00E8066C">
            <w:pPr>
              <w:spacing w:after="0" w:line="240" w:lineRule="auto"/>
              <w:jc w:val="left"/>
              <w:rPr>
                <w:rFonts w:ascii="Arial" w:hAnsi="Arial" w:cs="Arial"/>
                <w:b/>
                <w:color w:val="000000"/>
                <w:sz w:val="16"/>
                <w:szCs w:val="16"/>
              </w:rPr>
            </w:pPr>
            <w:r w:rsidRPr="003B5469">
              <w:rPr>
                <w:rFonts w:ascii="Arial" w:hAnsi="Arial" w:cs="Arial"/>
                <w:b/>
                <w:color w:val="000000"/>
                <w:sz w:val="16"/>
                <w:szCs w:val="16"/>
              </w:rPr>
              <w:t>2020</w:t>
            </w:r>
            <w:r w:rsidR="00A36B1E" w:rsidRPr="003B5469">
              <w:rPr>
                <w:rFonts w:ascii="Arial" w:hAnsi="Arial" w:cs="Arial"/>
                <w:b/>
                <w:color w:val="000000"/>
                <w:sz w:val="16"/>
                <w:szCs w:val="16"/>
              </w:rPr>
              <w:noBreakHyphen/>
            </w:r>
            <w:r w:rsidRPr="003B5469">
              <w:rPr>
                <w:rFonts w:ascii="Arial" w:hAnsi="Arial" w:cs="Arial"/>
                <w:b/>
                <w:color w:val="000000"/>
                <w:sz w:val="16"/>
                <w:szCs w:val="16"/>
              </w:rPr>
              <w:t>21 Underlying cash balance</w:t>
            </w:r>
          </w:p>
        </w:tc>
        <w:tc>
          <w:tcPr>
            <w:tcW w:w="682" w:type="pct"/>
            <w:tcBorders>
              <w:top w:val="single" w:sz="4" w:space="0" w:color="000000"/>
              <w:left w:val="nil"/>
              <w:bottom w:val="nil"/>
              <w:right w:val="nil"/>
            </w:tcBorders>
            <w:shd w:val="clear" w:color="000000" w:fill="FFFFFF"/>
            <w:noWrap/>
            <w:vAlign w:val="bottom"/>
            <w:hideMark/>
          </w:tcPr>
          <w:p w14:paraId="4DB71293" w14:textId="1EF41DC1" w:rsidR="00E8066C" w:rsidRPr="003B5469" w:rsidRDefault="00A36B1E" w:rsidP="00E8066C">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E8066C" w:rsidRPr="003B5469">
              <w:rPr>
                <w:rFonts w:ascii="Arial" w:hAnsi="Arial" w:cs="Arial"/>
                <w:b/>
                <w:color w:val="000000"/>
                <w:sz w:val="16"/>
                <w:szCs w:val="16"/>
              </w:rPr>
              <w:t>160,952</w:t>
            </w:r>
          </w:p>
        </w:tc>
        <w:tc>
          <w:tcPr>
            <w:tcW w:w="682" w:type="pct"/>
            <w:tcBorders>
              <w:top w:val="single" w:sz="4" w:space="0" w:color="000000"/>
              <w:left w:val="nil"/>
              <w:bottom w:val="nil"/>
              <w:right w:val="nil"/>
            </w:tcBorders>
            <w:shd w:val="clear" w:color="000000" w:fill="EBFFFF"/>
            <w:noWrap/>
            <w:vAlign w:val="bottom"/>
            <w:hideMark/>
          </w:tcPr>
          <w:p w14:paraId="0350767C" w14:textId="52F28361" w:rsidR="00E8066C" w:rsidRPr="003B5469" w:rsidRDefault="00A36B1E" w:rsidP="00E8066C">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E8066C" w:rsidRPr="003B5469">
              <w:rPr>
                <w:rFonts w:ascii="Arial" w:hAnsi="Arial" w:cs="Arial"/>
                <w:b/>
                <w:color w:val="000000"/>
                <w:sz w:val="16"/>
                <w:szCs w:val="16"/>
              </w:rPr>
              <w:t>134,171</w:t>
            </w:r>
          </w:p>
        </w:tc>
        <w:tc>
          <w:tcPr>
            <w:tcW w:w="659" w:type="pct"/>
            <w:tcBorders>
              <w:top w:val="single" w:sz="4" w:space="0" w:color="000000"/>
              <w:left w:val="nil"/>
              <w:bottom w:val="nil"/>
              <w:right w:val="nil"/>
            </w:tcBorders>
            <w:shd w:val="clear" w:color="000000" w:fill="FFFFFF"/>
            <w:noWrap/>
            <w:vAlign w:val="bottom"/>
            <w:hideMark/>
          </w:tcPr>
          <w:p w14:paraId="40DE27CC" w14:textId="77777777" w:rsidR="00E8066C" w:rsidRPr="003B5469" w:rsidRDefault="00E8066C" w:rsidP="00E8066C">
            <w:pPr>
              <w:spacing w:after="0" w:line="240" w:lineRule="auto"/>
              <w:jc w:val="right"/>
              <w:rPr>
                <w:rFonts w:ascii="Arial" w:hAnsi="Arial" w:cs="Arial"/>
                <w:b/>
                <w:color w:val="000000"/>
                <w:sz w:val="16"/>
                <w:szCs w:val="16"/>
              </w:rPr>
            </w:pPr>
            <w:r w:rsidRPr="003B5469">
              <w:rPr>
                <w:rFonts w:ascii="Arial" w:hAnsi="Arial" w:cs="Arial"/>
                <w:b/>
                <w:color w:val="000000"/>
                <w:sz w:val="16"/>
                <w:szCs w:val="16"/>
              </w:rPr>
              <w:t>26,781</w:t>
            </w:r>
          </w:p>
        </w:tc>
      </w:tr>
      <w:tr w:rsidR="00E8066C" w:rsidRPr="00513ED7" w14:paraId="6BB5941B"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7558D93A" w14:textId="77777777" w:rsidR="00E8066C" w:rsidRPr="003B5469" w:rsidRDefault="00E8066C" w:rsidP="00E8066C">
            <w:pPr>
              <w:spacing w:after="0" w:line="240" w:lineRule="auto"/>
              <w:jc w:val="left"/>
              <w:rPr>
                <w:rFonts w:ascii="Arial" w:hAnsi="Arial" w:cs="Arial"/>
                <w:b/>
                <w:i/>
                <w:color w:val="000000"/>
                <w:sz w:val="16"/>
                <w:szCs w:val="16"/>
              </w:rPr>
            </w:pPr>
            <w:proofErr w:type="gramStart"/>
            <w:r w:rsidRPr="003B5469">
              <w:rPr>
                <w:rFonts w:ascii="Arial" w:hAnsi="Arial" w:cs="Arial"/>
                <w:b/>
                <w:i/>
                <w:color w:val="000000"/>
                <w:sz w:val="16"/>
                <w:szCs w:val="16"/>
              </w:rPr>
              <w:t>plus</w:t>
            </w:r>
            <w:proofErr w:type="gramEnd"/>
            <w:r w:rsidRPr="003B5469">
              <w:rPr>
                <w:rFonts w:ascii="Arial" w:hAnsi="Arial" w:cs="Arial"/>
                <w:b/>
                <w:i/>
                <w:color w:val="000000"/>
                <w:sz w:val="16"/>
                <w:szCs w:val="16"/>
              </w:rPr>
              <w:t xml:space="preserve"> </w:t>
            </w:r>
            <w:r w:rsidRPr="003B5469">
              <w:rPr>
                <w:rFonts w:ascii="Arial" w:hAnsi="Arial" w:cs="Arial"/>
                <w:b/>
                <w:color w:val="000000"/>
                <w:sz w:val="16"/>
                <w:szCs w:val="16"/>
              </w:rPr>
              <w:t>Net cash flows from investments in financial assets</w:t>
            </w:r>
          </w:p>
        </w:tc>
        <w:tc>
          <w:tcPr>
            <w:tcW w:w="682" w:type="pct"/>
            <w:tcBorders>
              <w:top w:val="nil"/>
              <w:left w:val="nil"/>
              <w:bottom w:val="nil"/>
              <w:right w:val="nil"/>
            </w:tcBorders>
            <w:shd w:val="clear" w:color="000000" w:fill="FFFFFF"/>
            <w:noWrap/>
            <w:vAlign w:val="bottom"/>
            <w:hideMark/>
          </w:tcPr>
          <w:p w14:paraId="6C9277F5" w14:textId="77777777" w:rsidR="00E8066C" w:rsidRPr="003B5469" w:rsidRDefault="00E8066C" w:rsidP="00E8066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82" w:type="pct"/>
            <w:tcBorders>
              <w:top w:val="nil"/>
              <w:left w:val="nil"/>
              <w:bottom w:val="nil"/>
              <w:right w:val="nil"/>
            </w:tcBorders>
            <w:shd w:val="clear" w:color="000000" w:fill="EBFFFF"/>
            <w:noWrap/>
            <w:vAlign w:val="bottom"/>
            <w:hideMark/>
          </w:tcPr>
          <w:p w14:paraId="4A10F5CD" w14:textId="77777777" w:rsidR="00E8066C" w:rsidRPr="003B5469" w:rsidRDefault="00E8066C" w:rsidP="00E8066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59" w:type="pct"/>
            <w:tcBorders>
              <w:top w:val="nil"/>
              <w:left w:val="nil"/>
              <w:bottom w:val="nil"/>
              <w:right w:val="nil"/>
            </w:tcBorders>
            <w:shd w:val="clear" w:color="000000" w:fill="FFFFFF"/>
            <w:noWrap/>
            <w:vAlign w:val="bottom"/>
            <w:hideMark/>
          </w:tcPr>
          <w:p w14:paraId="07B2A6CC" w14:textId="77777777" w:rsidR="00E8066C" w:rsidRPr="003B5469" w:rsidRDefault="00E8066C" w:rsidP="00E8066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r>
      <w:tr w:rsidR="00E8066C" w:rsidRPr="00513ED7" w14:paraId="50E3E36B"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2FFFD243" w14:textId="77777777" w:rsidR="00E8066C" w:rsidRPr="003B5469" w:rsidRDefault="00E8066C" w:rsidP="00144D90">
            <w:pPr>
              <w:spacing w:after="0" w:line="240" w:lineRule="auto"/>
              <w:ind w:left="170"/>
              <w:jc w:val="left"/>
              <w:rPr>
                <w:rFonts w:ascii="Arial" w:hAnsi="Arial" w:cs="Arial"/>
                <w:b/>
                <w:color w:val="000000"/>
                <w:sz w:val="16"/>
                <w:szCs w:val="16"/>
              </w:rPr>
            </w:pPr>
            <w:r w:rsidRPr="003B5469">
              <w:rPr>
                <w:rFonts w:ascii="Arial" w:hAnsi="Arial" w:cs="Arial"/>
                <w:b/>
                <w:color w:val="000000"/>
                <w:sz w:val="16"/>
                <w:szCs w:val="16"/>
              </w:rPr>
              <w:t>for policy purposes</w:t>
            </w:r>
          </w:p>
        </w:tc>
        <w:tc>
          <w:tcPr>
            <w:tcW w:w="682" w:type="pct"/>
            <w:tcBorders>
              <w:top w:val="nil"/>
              <w:left w:val="nil"/>
              <w:bottom w:val="nil"/>
              <w:right w:val="nil"/>
            </w:tcBorders>
            <w:shd w:val="clear" w:color="000000" w:fill="FFFFFF"/>
            <w:noWrap/>
            <w:vAlign w:val="bottom"/>
            <w:hideMark/>
          </w:tcPr>
          <w:p w14:paraId="043210F6" w14:textId="77777777" w:rsidR="00E8066C" w:rsidRPr="003B5469" w:rsidRDefault="00E8066C" w:rsidP="00E8066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82" w:type="pct"/>
            <w:tcBorders>
              <w:top w:val="nil"/>
              <w:left w:val="nil"/>
              <w:bottom w:val="nil"/>
              <w:right w:val="nil"/>
            </w:tcBorders>
            <w:shd w:val="clear" w:color="000000" w:fill="EBFFFF"/>
            <w:noWrap/>
            <w:vAlign w:val="bottom"/>
            <w:hideMark/>
          </w:tcPr>
          <w:p w14:paraId="0FC15ED3" w14:textId="77777777" w:rsidR="00E8066C" w:rsidRPr="003B5469" w:rsidRDefault="00E8066C" w:rsidP="00E8066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59" w:type="pct"/>
            <w:tcBorders>
              <w:top w:val="nil"/>
              <w:left w:val="nil"/>
              <w:bottom w:val="nil"/>
              <w:right w:val="nil"/>
            </w:tcBorders>
            <w:shd w:val="clear" w:color="000000" w:fill="FFFFFF"/>
            <w:noWrap/>
            <w:vAlign w:val="bottom"/>
            <w:hideMark/>
          </w:tcPr>
          <w:p w14:paraId="085F73A3" w14:textId="77777777" w:rsidR="00E8066C" w:rsidRPr="003B5469" w:rsidRDefault="00E8066C" w:rsidP="00E8066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r>
      <w:tr w:rsidR="00E8066C" w:rsidRPr="00513ED7" w14:paraId="6B088A59"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51986A58" w14:textId="77777777" w:rsidR="00E8066C" w:rsidRPr="003B5469" w:rsidRDefault="00E8066C" w:rsidP="00144D90">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Student loans</w:t>
            </w:r>
          </w:p>
        </w:tc>
        <w:tc>
          <w:tcPr>
            <w:tcW w:w="682" w:type="pct"/>
            <w:tcBorders>
              <w:top w:val="nil"/>
              <w:left w:val="nil"/>
              <w:bottom w:val="nil"/>
              <w:right w:val="nil"/>
            </w:tcBorders>
            <w:shd w:val="clear" w:color="000000" w:fill="FFFFFF"/>
            <w:noWrap/>
            <w:vAlign w:val="bottom"/>
            <w:hideMark/>
          </w:tcPr>
          <w:p w14:paraId="5F349014" w14:textId="6B7312D8"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3,524</w:t>
            </w:r>
          </w:p>
        </w:tc>
        <w:tc>
          <w:tcPr>
            <w:tcW w:w="682" w:type="pct"/>
            <w:tcBorders>
              <w:top w:val="nil"/>
              <w:left w:val="nil"/>
              <w:bottom w:val="nil"/>
              <w:right w:val="nil"/>
            </w:tcBorders>
            <w:shd w:val="clear" w:color="000000" w:fill="EBFFFF"/>
            <w:noWrap/>
            <w:vAlign w:val="bottom"/>
            <w:hideMark/>
          </w:tcPr>
          <w:p w14:paraId="7E882E7F" w14:textId="71A13533"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3,869</w:t>
            </w:r>
          </w:p>
        </w:tc>
        <w:tc>
          <w:tcPr>
            <w:tcW w:w="659" w:type="pct"/>
            <w:tcBorders>
              <w:top w:val="nil"/>
              <w:left w:val="nil"/>
              <w:bottom w:val="nil"/>
              <w:right w:val="nil"/>
            </w:tcBorders>
            <w:shd w:val="clear" w:color="000000" w:fill="FFFFFF"/>
            <w:noWrap/>
            <w:vAlign w:val="bottom"/>
            <w:hideMark/>
          </w:tcPr>
          <w:p w14:paraId="496CB92B" w14:textId="449AD7F6"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345</w:t>
            </w:r>
          </w:p>
        </w:tc>
      </w:tr>
      <w:tr w:rsidR="00E8066C" w:rsidRPr="00513ED7" w14:paraId="5418AA4D" w14:textId="77777777" w:rsidTr="00144D90">
        <w:trPr>
          <w:divId w:val="1535657698"/>
          <w:trHeight w:hRule="exact" w:val="225"/>
        </w:trPr>
        <w:tc>
          <w:tcPr>
            <w:tcW w:w="2976" w:type="pct"/>
            <w:tcBorders>
              <w:top w:val="nil"/>
              <w:left w:val="nil"/>
              <w:bottom w:val="nil"/>
              <w:right w:val="nil"/>
            </w:tcBorders>
            <w:shd w:val="clear" w:color="auto" w:fill="auto"/>
            <w:noWrap/>
            <w:vAlign w:val="bottom"/>
            <w:hideMark/>
          </w:tcPr>
          <w:p w14:paraId="41B06F78" w14:textId="77777777" w:rsidR="00E8066C" w:rsidRPr="003B5469" w:rsidRDefault="00E8066C" w:rsidP="00144D90">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NBN loan(a)</w:t>
            </w:r>
          </w:p>
        </w:tc>
        <w:tc>
          <w:tcPr>
            <w:tcW w:w="682" w:type="pct"/>
            <w:tcBorders>
              <w:top w:val="nil"/>
              <w:left w:val="nil"/>
              <w:bottom w:val="nil"/>
              <w:right w:val="nil"/>
            </w:tcBorders>
            <w:shd w:val="clear" w:color="000000" w:fill="FFFFFF"/>
            <w:noWrap/>
            <w:vAlign w:val="bottom"/>
            <w:hideMark/>
          </w:tcPr>
          <w:p w14:paraId="28B1213E" w14:textId="77777777" w:rsidR="00E8066C" w:rsidRPr="003B5469" w:rsidRDefault="00E8066C"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t>5,550</w:t>
            </w:r>
          </w:p>
        </w:tc>
        <w:tc>
          <w:tcPr>
            <w:tcW w:w="682" w:type="pct"/>
            <w:tcBorders>
              <w:top w:val="nil"/>
              <w:left w:val="nil"/>
              <w:bottom w:val="nil"/>
              <w:right w:val="nil"/>
            </w:tcBorders>
            <w:shd w:val="clear" w:color="000000" w:fill="EBFFFF"/>
            <w:noWrap/>
            <w:vAlign w:val="bottom"/>
            <w:hideMark/>
          </w:tcPr>
          <w:p w14:paraId="2E55086A" w14:textId="77777777" w:rsidR="00E8066C" w:rsidRPr="003B5469" w:rsidRDefault="00E8066C"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t>6,258</w:t>
            </w:r>
          </w:p>
        </w:tc>
        <w:tc>
          <w:tcPr>
            <w:tcW w:w="659" w:type="pct"/>
            <w:tcBorders>
              <w:top w:val="nil"/>
              <w:left w:val="nil"/>
              <w:bottom w:val="nil"/>
              <w:right w:val="nil"/>
            </w:tcBorders>
            <w:shd w:val="clear" w:color="000000" w:fill="FFFFFF"/>
            <w:noWrap/>
            <w:vAlign w:val="bottom"/>
            <w:hideMark/>
          </w:tcPr>
          <w:p w14:paraId="0F308987" w14:textId="77777777" w:rsidR="00E8066C" w:rsidRPr="003B5469" w:rsidRDefault="00E8066C"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t>708</w:t>
            </w:r>
          </w:p>
        </w:tc>
      </w:tr>
      <w:tr w:rsidR="00E8066C" w:rsidRPr="00513ED7" w14:paraId="5C53ADA4"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514A36E5" w14:textId="77777777" w:rsidR="00E8066C" w:rsidRPr="003B5469" w:rsidRDefault="00E8066C" w:rsidP="00144D90">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Trade support loans</w:t>
            </w:r>
          </w:p>
        </w:tc>
        <w:tc>
          <w:tcPr>
            <w:tcW w:w="682" w:type="pct"/>
            <w:tcBorders>
              <w:top w:val="nil"/>
              <w:left w:val="nil"/>
              <w:bottom w:val="nil"/>
              <w:right w:val="nil"/>
            </w:tcBorders>
            <w:shd w:val="clear" w:color="000000" w:fill="FFFFFF"/>
            <w:noWrap/>
            <w:vAlign w:val="bottom"/>
            <w:hideMark/>
          </w:tcPr>
          <w:p w14:paraId="2728D0C0" w14:textId="72154A05"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75</w:t>
            </w:r>
          </w:p>
        </w:tc>
        <w:tc>
          <w:tcPr>
            <w:tcW w:w="682" w:type="pct"/>
            <w:tcBorders>
              <w:top w:val="nil"/>
              <w:left w:val="nil"/>
              <w:bottom w:val="nil"/>
              <w:right w:val="nil"/>
            </w:tcBorders>
            <w:shd w:val="clear" w:color="000000" w:fill="EBFFFF"/>
            <w:noWrap/>
            <w:vAlign w:val="bottom"/>
            <w:hideMark/>
          </w:tcPr>
          <w:p w14:paraId="63DD1C41" w14:textId="7ACE4102"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99</w:t>
            </w:r>
          </w:p>
        </w:tc>
        <w:tc>
          <w:tcPr>
            <w:tcW w:w="659" w:type="pct"/>
            <w:tcBorders>
              <w:top w:val="nil"/>
              <w:left w:val="nil"/>
              <w:bottom w:val="nil"/>
              <w:right w:val="nil"/>
            </w:tcBorders>
            <w:shd w:val="clear" w:color="000000" w:fill="FFFFFF"/>
            <w:noWrap/>
            <w:vAlign w:val="bottom"/>
            <w:hideMark/>
          </w:tcPr>
          <w:p w14:paraId="3491E6E5" w14:textId="1AE1AE46"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24</w:t>
            </w:r>
          </w:p>
        </w:tc>
      </w:tr>
      <w:tr w:rsidR="00E8066C" w:rsidRPr="00513ED7" w14:paraId="217867B6"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11394D3D" w14:textId="77777777" w:rsidR="00E8066C" w:rsidRPr="003B5469" w:rsidRDefault="00E8066C" w:rsidP="00144D90">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CEFC loans and investments</w:t>
            </w:r>
          </w:p>
        </w:tc>
        <w:tc>
          <w:tcPr>
            <w:tcW w:w="682" w:type="pct"/>
            <w:tcBorders>
              <w:top w:val="nil"/>
              <w:left w:val="nil"/>
              <w:bottom w:val="nil"/>
              <w:right w:val="nil"/>
            </w:tcBorders>
            <w:shd w:val="clear" w:color="000000" w:fill="FFFFFF"/>
            <w:noWrap/>
            <w:vAlign w:val="bottom"/>
            <w:hideMark/>
          </w:tcPr>
          <w:p w14:paraId="5E54DCC6" w14:textId="719C9ED5"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517</w:t>
            </w:r>
          </w:p>
        </w:tc>
        <w:tc>
          <w:tcPr>
            <w:tcW w:w="682" w:type="pct"/>
            <w:tcBorders>
              <w:top w:val="nil"/>
              <w:left w:val="nil"/>
              <w:bottom w:val="nil"/>
              <w:right w:val="nil"/>
            </w:tcBorders>
            <w:shd w:val="clear" w:color="000000" w:fill="EBFFFF"/>
            <w:noWrap/>
            <w:vAlign w:val="bottom"/>
            <w:hideMark/>
          </w:tcPr>
          <w:p w14:paraId="78A679EF" w14:textId="5CDD6853"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477</w:t>
            </w:r>
          </w:p>
        </w:tc>
        <w:tc>
          <w:tcPr>
            <w:tcW w:w="659" w:type="pct"/>
            <w:tcBorders>
              <w:top w:val="nil"/>
              <w:left w:val="nil"/>
              <w:bottom w:val="nil"/>
              <w:right w:val="nil"/>
            </w:tcBorders>
            <w:shd w:val="clear" w:color="000000" w:fill="FFFFFF"/>
            <w:noWrap/>
            <w:vAlign w:val="bottom"/>
            <w:hideMark/>
          </w:tcPr>
          <w:p w14:paraId="25A0B625" w14:textId="77777777" w:rsidR="00E8066C" w:rsidRPr="003B5469" w:rsidRDefault="00E8066C"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t>40</w:t>
            </w:r>
          </w:p>
        </w:tc>
      </w:tr>
      <w:tr w:rsidR="00E8066C" w:rsidRPr="00513ED7" w14:paraId="4A46312A"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232F626C" w14:textId="77777777" w:rsidR="00E8066C" w:rsidRPr="003B5469" w:rsidRDefault="00E8066C" w:rsidP="00144D90">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 xml:space="preserve">Northern Australia Infrastructure Facility </w:t>
            </w:r>
          </w:p>
        </w:tc>
        <w:tc>
          <w:tcPr>
            <w:tcW w:w="682" w:type="pct"/>
            <w:tcBorders>
              <w:top w:val="nil"/>
              <w:left w:val="nil"/>
              <w:bottom w:val="nil"/>
              <w:right w:val="nil"/>
            </w:tcBorders>
            <w:shd w:val="clear" w:color="000000" w:fill="FFFFFF"/>
            <w:noWrap/>
            <w:vAlign w:val="bottom"/>
            <w:hideMark/>
          </w:tcPr>
          <w:p w14:paraId="6BDF90A4" w14:textId="2D7D9BF0"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229</w:t>
            </w:r>
          </w:p>
        </w:tc>
        <w:tc>
          <w:tcPr>
            <w:tcW w:w="682" w:type="pct"/>
            <w:tcBorders>
              <w:top w:val="nil"/>
              <w:left w:val="nil"/>
              <w:bottom w:val="nil"/>
              <w:right w:val="nil"/>
            </w:tcBorders>
            <w:shd w:val="clear" w:color="000000" w:fill="EBFFFF"/>
            <w:noWrap/>
            <w:vAlign w:val="bottom"/>
            <w:hideMark/>
          </w:tcPr>
          <w:p w14:paraId="7ABCC163" w14:textId="4E40135E"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190</w:t>
            </w:r>
          </w:p>
        </w:tc>
        <w:tc>
          <w:tcPr>
            <w:tcW w:w="659" w:type="pct"/>
            <w:tcBorders>
              <w:top w:val="nil"/>
              <w:left w:val="nil"/>
              <w:bottom w:val="nil"/>
              <w:right w:val="nil"/>
            </w:tcBorders>
            <w:shd w:val="clear" w:color="000000" w:fill="FFFFFF"/>
            <w:noWrap/>
            <w:vAlign w:val="bottom"/>
            <w:hideMark/>
          </w:tcPr>
          <w:p w14:paraId="3653DCB1" w14:textId="77777777" w:rsidR="00E8066C" w:rsidRPr="003B5469" w:rsidRDefault="00E8066C"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t>39</w:t>
            </w:r>
          </w:p>
        </w:tc>
      </w:tr>
      <w:tr w:rsidR="00E8066C" w:rsidRPr="00513ED7" w14:paraId="587A242E"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01D90150" w14:textId="77777777" w:rsidR="00E8066C" w:rsidRPr="003B5469" w:rsidRDefault="00E8066C" w:rsidP="00144D90">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Australian Business Securitisation Fund</w:t>
            </w:r>
          </w:p>
        </w:tc>
        <w:tc>
          <w:tcPr>
            <w:tcW w:w="682" w:type="pct"/>
            <w:tcBorders>
              <w:top w:val="nil"/>
              <w:left w:val="nil"/>
              <w:bottom w:val="nil"/>
              <w:right w:val="nil"/>
            </w:tcBorders>
            <w:shd w:val="clear" w:color="000000" w:fill="FFFFFF"/>
            <w:noWrap/>
            <w:vAlign w:val="bottom"/>
            <w:hideMark/>
          </w:tcPr>
          <w:p w14:paraId="7D14007F" w14:textId="5F979066"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235</w:t>
            </w:r>
          </w:p>
        </w:tc>
        <w:tc>
          <w:tcPr>
            <w:tcW w:w="682" w:type="pct"/>
            <w:tcBorders>
              <w:top w:val="nil"/>
              <w:left w:val="nil"/>
              <w:bottom w:val="nil"/>
              <w:right w:val="nil"/>
            </w:tcBorders>
            <w:shd w:val="clear" w:color="000000" w:fill="EBFFFF"/>
            <w:noWrap/>
            <w:vAlign w:val="bottom"/>
            <w:hideMark/>
          </w:tcPr>
          <w:p w14:paraId="03640F50" w14:textId="06D754F1"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88</w:t>
            </w:r>
          </w:p>
        </w:tc>
        <w:tc>
          <w:tcPr>
            <w:tcW w:w="659" w:type="pct"/>
            <w:tcBorders>
              <w:top w:val="nil"/>
              <w:left w:val="nil"/>
              <w:bottom w:val="nil"/>
              <w:right w:val="nil"/>
            </w:tcBorders>
            <w:shd w:val="clear" w:color="000000" w:fill="FFFFFF"/>
            <w:noWrap/>
            <w:vAlign w:val="bottom"/>
            <w:hideMark/>
          </w:tcPr>
          <w:p w14:paraId="30AC2E54" w14:textId="77777777" w:rsidR="00E8066C" w:rsidRPr="003B5469" w:rsidRDefault="00E8066C"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t>147</w:t>
            </w:r>
          </w:p>
        </w:tc>
      </w:tr>
      <w:tr w:rsidR="00E8066C" w:rsidRPr="00513ED7" w14:paraId="73E0B71C"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60CAE67B" w14:textId="77777777" w:rsidR="00E8066C" w:rsidRPr="003B5469" w:rsidRDefault="00E8066C" w:rsidP="00144D90">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Structured Finance Support Fund</w:t>
            </w:r>
          </w:p>
        </w:tc>
        <w:tc>
          <w:tcPr>
            <w:tcW w:w="682" w:type="pct"/>
            <w:tcBorders>
              <w:top w:val="nil"/>
              <w:left w:val="nil"/>
              <w:bottom w:val="nil"/>
              <w:right w:val="nil"/>
            </w:tcBorders>
            <w:shd w:val="clear" w:color="000000" w:fill="FFFFFF"/>
            <w:noWrap/>
            <w:vAlign w:val="bottom"/>
            <w:hideMark/>
          </w:tcPr>
          <w:p w14:paraId="62F8DA7E" w14:textId="3F8E5796"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1,186</w:t>
            </w:r>
          </w:p>
        </w:tc>
        <w:tc>
          <w:tcPr>
            <w:tcW w:w="682" w:type="pct"/>
            <w:tcBorders>
              <w:top w:val="nil"/>
              <w:left w:val="nil"/>
              <w:bottom w:val="nil"/>
              <w:right w:val="nil"/>
            </w:tcBorders>
            <w:shd w:val="clear" w:color="000000" w:fill="EBFFFF"/>
            <w:noWrap/>
            <w:vAlign w:val="bottom"/>
            <w:hideMark/>
          </w:tcPr>
          <w:p w14:paraId="7FE2FD7E" w14:textId="1961D8B4"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64</w:t>
            </w:r>
          </w:p>
        </w:tc>
        <w:tc>
          <w:tcPr>
            <w:tcW w:w="659" w:type="pct"/>
            <w:tcBorders>
              <w:top w:val="nil"/>
              <w:left w:val="nil"/>
              <w:bottom w:val="nil"/>
              <w:right w:val="nil"/>
            </w:tcBorders>
            <w:shd w:val="clear" w:color="000000" w:fill="FFFFFF"/>
            <w:noWrap/>
            <w:vAlign w:val="bottom"/>
            <w:hideMark/>
          </w:tcPr>
          <w:p w14:paraId="4223D64A" w14:textId="77777777" w:rsidR="00E8066C" w:rsidRPr="003B5469" w:rsidRDefault="00E8066C"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t>1,122</w:t>
            </w:r>
          </w:p>
        </w:tc>
      </w:tr>
      <w:tr w:rsidR="00E8066C" w:rsidRPr="00513ED7" w14:paraId="12C17834"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0EDDB266" w14:textId="77777777" w:rsidR="00E8066C" w:rsidRPr="003B5469" w:rsidRDefault="00E8066C" w:rsidP="00144D90">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Drought and rural assistance loans</w:t>
            </w:r>
          </w:p>
        </w:tc>
        <w:tc>
          <w:tcPr>
            <w:tcW w:w="682" w:type="pct"/>
            <w:tcBorders>
              <w:top w:val="nil"/>
              <w:left w:val="nil"/>
              <w:bottom w:val="nil"/>
              <w:right w:val="nil"/>
            </w:tcBorders>
            <w:shd w:val="clear" w:color="000000" w:fill="FFFFFF"/>
            <w:noWrap/>
            <w:vAlign w:val="bottom"/>
            <w:hideMark/>
          </w:tcPr>
          <w:p w14:paraId="6A11A508" w14:textId="2FA93BF7"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2,714</w:t>
            </w:r>
          </w:p>
        </w:tc>
        <w:tc>
          <w:tcPr>
            <w:tcW w:w="682" w:type="pct"/>
            <w:tcBorders>
              <w:top w:val="nil"/>
              <w:left w:val="nil"/>
              <w:bottom w:val="nil"/>
              <w:right w:val="nil"/>
            </w:tcBorders>
            <w:shd w:val="clear" w:color="000000" w:fill="EBFFFF"/>
            <w:noWrap/>
            <w:vAlign w:val="bottom"/>
            <w:hideMark/>
          </w:tcPr>
          <w:p w14:paraId="41F503AA" w14:textId="44DB2A71"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763</w:t>
            </w:r>
          </w:p>
        </w:tc>
        <w:tc>
          <w:tcPr>
            <w:tcW w:w="659" w:type="pct"/>
            <w:tcBorders>
              <w:top w:val="nil"/>
              <w:left w:val="nil"/>
              <w:bottom w:val="nil"/>
              <w:right w:val="nil"/>
            </w:tcBorders>
            <w:shd w:val="clear" w:color="000000" w:fill="FFFFFF"/>
            <w:noWrap/>
            <w:vAlign w:val="bottom"/>
            <w:hideMark/>
          </w:tcPr>
          <w:p w14:paraId="6F9A6FD7" w14:textId="77777777" w:rsidR="00E8066C" w:rsidRPr="003B5469" w:rsidRDefault="00E8066C"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t>1,951</w:t>
            </w:r>
          </w:p>
        </w:tc>
      </w:tr>
      <w:tr w:rsidR="00E8066C" w:rsidRPr="00513ED7" w14:paraId="7DAD4BFF"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232D285A" w14:textId="7FCF9794" w:rsidR="00E8066C" w:rsidRPr="003B5469" w:rsidRDefault="00E8066C" w:rsidP="00144D90">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Official Development Assistance</w:t>
            </w:r>
            <w:r w:rsidR="00A36B1E" w:rsidRPr="003B5469">
              <w:rPr>
                <w:rFonts w:ascii="Arial" w:hAnsi="Arial" w:cs="Arial"/>
                <w:color w:val="000000"/>
                <w:sz w:val="16"/>
                <w:szCs w:val="16"/>
              </w:rPr>
              <w:t xml:space="preserve"> – </w:t>
            </w:r>
            <w:r w:rsidRPr="003B5469">
              <w:rPr>
                <w:rFonts w:ascii="Arial" w:hAnsi="Arial" w:cs="Arial"/>
                <w:color w:val="000000"/>
                <w:sz w:val="16"/>
                <w:szCs w:val="16"/>
              </w:rPr>
              <w:t>Multilateral Replenishment</w:t>
            </w:r>
          </w:p>
        </w:tc>
        <w:tc>
          <w:tcPr>
            <w:tcW w:w="682" w:type="pct"/>
            <w:tcBorders>
              <w:top w:val="nil"/>
              <w:left w:val="nil"/>
              <w:bottom w:val="nil"/>
              <w:right w:val="nil"/>
            </w:tcBorders>
            <w:shd w:val="clear" w:color="000000" w:fill="FFFFFF"/>
            <w:noWrap/>
            <w:vAlign w:val="bottom"/>
            <w:hideMark/>
          </w:tcPr>
          <w:p w14:paraId="1671C6C9" w14:textId="17532125"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78</w:t>
            </w:r>
          </w:p>
        </w:tc>
        <w:tc>
          <w:tcPr>
            <w:tcW w:w="682" w:type="pct"/>
            <w:tcBorders>
              <w:top w:val="nil"/>
              <w:left w:val="nil"/>
              <w:bottom w:val="nil"/>
              <w:right w:val="nil"/>
            </w:tcBorders>
            <w:shd w:val="clear" w:color="000000" w:fill="EBFFFF"/>
            <w:noWrap/>
            <w:vAlign w:val="bottom"/>
            <w:hideMark/>
          </w:tcPr>
          <w:p w14:paraId="25E3C871" w14:textId="781EB014"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78</w:t>
            </w:r>
          </w:p>
        </w:tc>
        <w:tc>
          <w:tcPr>
            <w:tcW w:w="659" w:type="pct"/>
            <w:tcBorders>
              <w:top w:val="nil"/>
              <w:left w:val="nil"/>
              <w:bottom w:val="nil"/>
              <w:right w:val="nil"/>
            </w:tcBorders>
            <w:shd w:val="clear" w:color="000000" w:fill="FFFFFF"/>
            <w:noWrap/>
            <w:vAlign w:val="bottom"/>
            <w:hideMark/>
          </w:tcPr>
          <w:p w14:paraId="2E8D4C1A" w14:textId="77777777" w:rsidR="00E8066C" w:rsidRPr="003B5469" w:rsidRDefault="00E8066C"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t>0</w:t>
            </w:r>
          </w:p>
        </w:tc>
      </w:tr>
      <w:tr w:rsidR="00E8066C" w:rsidRPr="00513ED7" w14:paraId="5DE2CCF8"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7C496B92" w14:textId="77777777" w:rsidR="00E8066C" w:rsidRPr="003B5469" w:rsidRDefault="00E8066C" w:rsidP="00144D90">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National Housing Finance and Investment Corporation</w:t>
            </w:r>
          </w:p>
        </w:tc>
        <w:tc>
          <w:tcPr>
            <w:tcW w:w="682" w:type="pct"/>
            <w:tcBorders>
              <w:top w:val="nil"/>
              <w:left w:val="nil"/>
              <w:bottom w:val="nil"/>
              <w:right w:val="nil"/>
            </w:tcBorders>
            <w:shd w:val="clear" w:color="000000" w:fill="FFFFFF"/>
            <w:noWrap/>
            <w:vAlign w:val="bottom"/>
            <w:hideMark/>
          </w:tcPr>
          <w:p w14:paraId="27B0BCA6" w14:textId="16A5ADCB"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91</w:t>
            </w:r>
          </w:p>
        </w:tc>
        <w:tc>
          <w:tcPr>
            <w:tcW w:w="682" w:type="pct"/>
            <w:tcBorders>
              <w:top w:val="nil"/>
              <w:left w:val="nil"/>
              <w:bottom w:val="nil"/>
              <w:right w:val="nil"/>
            </w:tcBorders>
            <w:shd w:val="clear" w:color="000000" w:fill="EBFFFF"/>
            <w:noWrap/>
            <w:vAlign w:val="bottom"/>
            <w:hideMark/>
          </w:tcPr>
          <w:p w14:paraId="4241E27A" w14:textId="0E1E7DC0"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25</w:t>
            </w:r>
          </w:p>
        </w:tc>
        <w:tc>
          <w:tcPr>
            <w:tcW w:w="659" w:type="pct"/>
            <w:tcBorders>
              <w:top w:val="nil"/>
              <w:left w:val="nil"/>
              <w:bottom w:val="nil"/>
              <w:right w:val="nil"/>
            </w:tcBorders>
            <w:shd w:val="clear" w:color="000000" w:fill="FFFFFF"/>
            <w:noWrap/>
            <w:vAlign w:val="bottom"/>
            <w:hideMark/>
          </w:tcPr>
          <w:p w14:paraId="749A48AB" w14:textId="77777777" w:rsidR="00E8066C" w:rsidRPr="003B5469" w:rsidRDefault="00E8066C"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t>66</w:t>
            </w:r>
          </w:p>
        </w:tc>
      </w:tr>
      <w:tr w:rsidR="00E8066C" w:rsidRPr="00513ED7" w14:paraId="1E3B696A"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60DE21E1" w14:textId="7D6F5011" w:rsidR="00E8066C" w:rsidRPr="003B5469" w:rsidRDefault="00E8066C" w:rsidP="00144D90">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COVID</w:t>
            </w:r>
            <w:r w:rsidR="00A36B1E" w:rsidRPr="003B5469">
              <w:rPr>
                <w:rFonts w:ascii="Arial" w:hAnsi="Arial" w:cs="Arial"/>
                <w:color w:val="000000"/>
                <w:sz w:val="16"/>
                <w:szCs w:val="16"/>
              </w:rPr>
              <w:noBreakHyphen/>
            </w:r>
            <w:r w:rsidRPr="003B5469">
              <w:rPr>
                <w:rFonts w:ascii="Arial" w:hAnsi="Arial" w:cs="Arial"/>
                <w:color w:val="000000"/>
                <w:sz w:val="16"/>
                <w:szCs w:val="16"/>
              </w:rPr>
              <w:t>19 Support for Indonesia</w:t>
            </w:r>
            <w:r w:rsidR="00A36B1E" w:rsidRPr="003B5469">
              <w:rPr>
                <w:rFonts w:ascii="Arial" w:hAnsi="Arial" w:cs="Arial"/>
                <w:color w:val="000000"/>
                <w:sz w:val="16"/>
                <w:szCs w:val="16"/>
              </w:rPr>
              <w:t xml:space="preserve"> – </w:t>
            </w:r>
            <w:r w:rsidRPr="003B5469">
              <w:rPr>
                <w:rFonts w:ascii="Arial" w:hAnsi="Arial" w:cs="Arial"/>
                <w:color w:val="000000"/>
                <w:sz w:val="16"/>
                <w:szCs w:val="16"/>
              </w:rPr>
              <w:t>loan</w:t>
            </w:r>
          </w:p>
        </w:tc>
        <w:tc>
          <w:tcPr>
            <w:tcW w:w="682" w:type="pct"/>
            <w:tcBorders>
              <w:top w:val="nil"/>
              <w:left w:val="nil"/>
              <w:bottom w:val="nil"/>
              <w:right w:val="nil"/>
            </w:tcBorders>
            <w:shd w:val="clear" w:color="000000" w:fill="FFFFFF"/>
            <w:noWrap/>
            <w:vAlign w:val="bottom"/>
            <w:hideMark/>
          </w:tcPr>
          <w:p w14:paraId="44C6A222" w14:textId="15E5AAAF"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1,450</w:t>
            </w:r>
          </w:p>
        </w:tc>
        <w:tc>
          <w:tcPr>
            <w:tcW w:w="682" w:type="pct"/>
            <w:tcBorders>
              <w:top w:val="nil"/>
              <w:left w:val="nil"/>
              <w:bottom w:val="nil"/>
              <w:right w:val="nil"/>
            </w:tcBorders>
            <w:shd w:val="clear" w:color="000000" w:fill="EBFFFF"/>
            <w:noWrap/>
            <w:vAlign w:val="bottom"/>
            <w:hideMark/>
          </w:tcPr>
          <w:p w14:paraId="1346D3B0" w14:textId="542A036C"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1,450</w:t>
            </w:r>
          </w:p>
        </w:tc>
        <w:tc>
          <w:tcPr>
            <w:tcW w:w="659" w:type="pct"/>
            <w:tcBorders>
              <w:top w:val="nil"/>
              <w:left w:val="nil"/>
              <w:bottom w:val="nil"/>
              <w:right w:val="nil"/>
            </w:tcBorders>
            <w:shd w:val="clear" w:color="000000" w:fill="FFFFFF"/>
            <w:noWrap/>
            <w:vAlign w:val="bottom"/>
            <w:hideMark/>
          </w:tcPr>
          <w:p w14:paraId="1F33B88B" w14:textId="77777777" w:rsidR="00E8066C" w:rsidRPr="003B5469" w:rsidRDefault="00E8066C"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t>0</w:t>
            </w:r>
          </w:p>
        </w:tc>
      </w:tr>
      <w:tr w:rsidR="00E8066C" w:rsidRPr="00513ED7" w14:paraId="0B6198BD"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6847D4D5" w14:textId="6A2118C9" w:rsidR="00E8066C" w:rsidRPr="003B5469" w:rsidRDefault="00E8066C" w:rsidP="00144D90">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Financial Assistance to Papua New Guinea</w:t>
            </w:r>
            <w:r w:rsidR="00A36B1E" w:rsidRPr="003B5469">
              <w:rPr>
                <w:rFonts w:ascii="Arial" w:hAnsi="Arial" w:cs="Arial"/>
                <w:color w:val="000000"/>
                <w:sz w:val="16"/>
                <w:szCs w:val="16"/>
              </w:rPr>
              <w:t xml:space="preserve"> – </w:t>
            </w:r>
            <w:r w:rsidRPr="003B5469">
              <w:rPr>
                <w:rFonts w:ascii="Arial" w:hAnsi="Arial" w:cs="Arial"/>
                <w:color w:val="000000"/>
                <w:sz w:val="16"/>
                <w:szCs w:val="16"/>
              </w:rPr>
              <w:t>loan</w:t>
            </w:r>
          </w:p>
        </w:tc>
        <w:tc>
          <w:tcPr>
            <w:tcW w:w="682" w:type="pct"/>
            <w:tcBorders>
              <w:top w:val="nil"/>
              <w:left w:val="nil"/>
              <w:bottom w:val="nil"/>
              <w:right w:val="nil"/>
            </w:tcBorders>
            <w:shd w:val="clear" w:color="000000" w:fill="FFFFFF"/>
            <w:noWrap/>
            <w:vAlign w:val="bottom"/>
            <w:hideMark/>
          </w:tcPr>
          <w:p w14:paraId="26BCDA9A" w14:textId="1A05AC00"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539</w:t>
            </w:r>
          </w:p>
        </w:tc>
        <w:tc>
          <w:tcPr>
            <w:tcW w:w="682" w:type="pct"/>
            <w:tcBorders>
              <w:top w:val="nil"/>
              <w:left w:val="nil"/>
              <w:bottom w:val="nil"/>
              <w:right w:val="nil"/>
            </w:tcBorders>
            <w:shd w:val="clear" w:color="000000" w:fill="EBFFFF"/>
            <w:noWrap/>
            <w:vAlign w:val="bottom"/>
            <w:hideMark/>
          </w:tcPr>
          <w:p w14:paraId="361B1D03" w14:textId="44BB219D"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558</w:t>
            </w:r>
          </w:p>
        </w:tc>
        <w:tc>
          <w:tcPr>
            <w:tcW w:w="659" w:type="pct"/>
            <w:tcBorders>
              <w:top w:val="nil"/>
              <w:left w:val="nil"/>
              <w:bottom w:val="nil"/>
              <w:right w:val="nil"/>
            </w:tcBorders>
            <w:shd w:val="clear" w:color="000000" w:fill="FFFFFF"/>
            <w:noWrap/>
            <w:vAlign w:val="bottom"/>
            <w:hideMark/>
          </w:tcPr>
          <w:p w14:paraId="4934D87A" w14:textId="18430AD4"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19</w:t>
            </w:r>
          </w:p>
        </w:tc>
      </w:tr>
      <w:tr w:rsidR="00E8066C" w:rsidRPr="00513ED7" w14:paraId="6537B19C"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3A2D4B06" w14:textId="77777777" w:rsidR="00E8066C" w:rsidRPr="003B5469" w:rsidRDefault="00E8066C" w:rsidP="00144D90">
            <w:pPr>
              <w:spacing w:after="0" w:line="240" w:lineRule="auto"/>
              <w:ind w:left="170"/>
              <w:jc w:val="left"/>
              <w:rPr>
                <w:rFonts w:ascii="Arial" w:hAnsi="Arial" w:cs="Arial"/>
                <w:color w:val="000000"/>
                <w:sz w:val="16"/>
                <w:szCs w:val="16"/>
              </w:rPr>
            </w:pPr>
            <w:r w:rsidRPr="003B5469">
              <w:rPr>
                <w:rFonts w:ascii="Arial" w:hAnsi="Arial" w:cs="Arial"/>
                <w:color w:val="000000"/>
                <w:sz w:val="16"/>
                <w:szCs w:val="16"/>
              </w:rPr>
              <w:t>Net other(b)</w:t>
            </w:r>
          </w:p>
        </w:tc>
        <w:tc>
          <w:tcPr>
            <w:tcW w:w="682" w:type="pct"/>
            <w:tcBorders>
              <w:top w:val="nil"/>
              <w:left w:val="nil"/>
              <w:bottom w:val="nil"/>
              <w:right w:val="nil"/>
            </w:tcBorders>
            <w:shd w:val="clear" w:color="000000" w:fill="FFFFFF"/>
            <w:noWrap/>
            <w:vAlign w:val="bottom"/>
            <w:hideMark/>
          </w:tcPr>
          <w:p w14:paraId="76A40024" w14:textId="184C80B8"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2,199</w:t>
            </w:r>
          </w:p>
        </w:tc>
        <w:tc>
          <w:tcPr>
            <w:tcW w:w="682" w:type="pct"/>
            <w:tcBorders>
              <w:top w:val="nil"/>
              <w:left w:val="nil"/>
              <w:bottom w:val="nil"/>
              <w:right w:val="nil"/>
            </w:tcBorders>
            <w:shd w:val="clear" w:color="000000" w:fill="EBFFFF"/>
            <w:noWrap/>
            <w:vAlign w:val="bottom"/>
            <w:hideMark/>
          </w:tcPr>
          <w:p w14:paraId="0CA6528D" w14:textId="047229A7" w:rsidR="00E8066C" w:rsidRPr="003B5469" w:rsidRDefault="00A36B1E"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noBreakHyphen/>
            </w:r>
            <w:r w:rsidR="00E8066C" w:rsidRPr="003B5469">
              <w:rPr>
                <w:rFonts w:ascii="Arial" w:hAnsi="Arial" w:cs="Arial"/>
                <w:color w:val="000000"/>
                <w:sz w:val="16"/>
                <w:szCs w:val="16"/>
              </w:rPr>
              <w:t>1,962</w:t>
            </w:r>
          </w:p>
        </w:tc>
        <w:tc>
          <w:tcPr>
            <w:tcW w:w="659" w:type="pct"/>
            <w:tcBorders>
              <w:top w:val="nil"/>
              <w:left w:val="nil"/>
              <w:bottom w:val="nil"/>
              <w:right w:val="nil"/>
            </w:tcBorders>
            <w:shd w:val="clear" w:color="000000" w:fill="FFFFFF"/>
            <w:noWrap/>
            <w:vAlign w:val="bottom"/>
            <w:hideMark/>
          </w:tcPr>
          <w:p w14:paraId="63B9AD3C" w14:textId="77777777" w:rsidR="00E8066C" w:rsidRPr="003B5469" w:rsidRDefault="00E8066C" w:rsidP="00E8066C">
            <w:pPr>
              <w:spacing w:after="0" w:line="240" w:lineRule="auto"/>
              <w:jc w:val="right"/>
              <w:rPr>
                <w:rFonts w:ascii="Arial" w:hAnsi="Arial" w:cs="Arial"/>
                <w:color w:val="000000"/>
                <w:sz w:val="16"/>
                <w:szCs w:val="16"/>
              </w:rPr>
            </w:pPr>
            <w:r w:rsidRPr="003B5469">
              <w:rPr>
                <w:rFonts w:ascii="Arial" w:hAnsi="Arial" w:cs="Arial"/>
                <w:color w:val="000000"/>
                <w:sz w:val="16"/>
                <w:szCs w:val="16"/>
              </w:rPr>
              <w:t>237</w:t>
            </w:r>
          </w:p>
        </w:tc>
      </w:tr>
      <w:tr w:rsidR="00E8066C" w:rsidRPr="00513ED7" w14:paraId="16A07590"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24A58D35" w14:textId="77777777" w:rsidR="00E8066C" w:rsidRPr="003B5469" w:rsidRDefault="00E8066C" w:rsidP="00E8066C">
            <w:pPr>
              <w:spacing w:after="0" w:line="240" w:lineRule="auto"/>
              <w:jc w:val="left"/>
              <w:rPr>
                <w:rFonts w:ascii="Arial" w:hAnsi="Arial" w:cs="Arial"/>
                <w:b/>
                <w:color w:val="000000"/>
                <w:sz w:val="16"/>
                <w:szCs w:val="16"/>
              </w:rPr>
            </w:pPr>
            <w:r w:rsidRPr="003B5469">
              <w:rPr>
                <w:rFonts w:ascii="Arial" w:hAnsi="Arial" w:cs="Arial"/>
                <w:b/>
                <w:color w:val="000000"/>
                <w:sz w:val="16"/>
                <w:szCs w:val="16"/>
              </w:rPr>
              <w:t>Total net cash flows from investments in financial assets</w:t>
            </w:r>
          </w:p>
        </w:tc>
        <w:tc>
          <w:tcPr>
            <w:tcW w:w="682" w:type="pct"/>
            <w:tcBorders>
              <w:top w:val="nil"/>
              <w:left w:val="nil"/>
              <w:bottom w:val="nil"/>
              <w:right w:val="nil"/>
            </w:tcBorders>
            <w:shd w:val="clear" w:color="000000" w:fill="FFFFFF"/>
            <w:noWrap/>
            <w:vAlign w:val="bottom"/>
            <w:hideMark/>
          </w:tcPr>
          <w:p w14:paraId="7E26F46E" w14:textId="77777777" w:rsidR="00E8066C" w:rsidRPr="003B5469" w:rsidRDefault="00E8066C" w:rsidP="00E8066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82" w:type="pct"/>
            <w:tcBorders>
              <w:top w:val="nil"/>
              <w:left w:val="nil"/>
              <w:bottom w:val="nil"/>
              <w:right w:val="nil"/>
            </w:tcBorders>
            <w:shd w:val="clear" w:color="000000" w:fill="EBFFFF"/>
            <w:noWrap/>
            <w:vAlign w:val="bottom"/>
            <w:hideMark/>
          </w:tcPr>
          <w:p w14:paraId="377C196C" w14:textId="77777777" w:rsidR="00E8066C" w:rsidRPr="003B5469" w:rsidRDefault="00E8066C" w:rsidP="00E8066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c>
          <w:tcPr>
            <w:tcW w:w="659" w:type="pct"/>
            <w:tcBorders>
              <w:top w:val="nil"/>
              <w:left w:val="nil"/>
              <w:bottom w:val="nil"/>
              <w:right w:val="nil"/>
            </w:tcBorders>
            <w:shd w:val="clear" w:color="000000" w:fill="FFFFFF"/>
            <w:noWrap/>
            <w:vAlign w:val="bottom"/>
            <w:hideMark/>
          </w:tcPr>
          <w:p w14:paraId="2EE808A5" w14:textId="77777777" w:rsidR="00E8066C" w:rsidRPr="003B5469" w:rsidRDefault="00E8066C" w:rsidP="00E8066C">
            <w:pPr>
              <w:spacing w:after="0" w:line="240" w:lineRule="auto"/>
              <w:jc w:val="left"/>
              <w:rPr>
                <w:rFonts w:ascii="Arial" w:hAnsi="Arial" w:cs="Arial"/>
                <w:color w:val="000000"/>
                <w:sz w:val="16"/>
                <w:szCs w:val="16"/>
              </w:rPr>
            </w:pPr>
            <w:r w:rsidRPr="003B5469">
              <w:rPr>
                <w:rFonts w:ascii="Arial" w:hAnsi="Arial" w:cs="Arial"/>
                <w:color w:val="000000"/>
                <w:sz w:val="16"/>
                <w:szCs w:val="16"/>
              </w:rPr>
              <w:t> </w:t>
            </w:r>
          </w:p>
        </w:tc>
      </w:tr>
      <w:tr w:rsidR="00E8066C" w:rsidRPr="00513ED7" w14:paraId="1B9DBBEE" w14:textId="77777777" w:rsidTr="00144D90">
        <w:trPr>
          <w:divId w:val="1535657698"/>
          <w:trHeight w:hRule="exact" w:val="225"/>
        </w:trPr>
        <w:tc>
          <w:tcPr>
            <w:tcW w:w="2976" w:type="pct"/>
            <w:tcBorders>
              <w:top w:val="nil"/>
              <w:left w:val="nil"/>
              <w:bottom w:val="nil"/>
              <w:right w:val="nil"/>
            </w:tcBorders>
            <w:shd w:val="clear" w:color="000000" w:fill="FFFFFF"/>
            <w:noWrap/>
            <w:vAlign w:val="bottom"/>
            <w:hideMark/>
          </w:tcPr>
          <w:p w14:paraId="24CAE410" w14:textId="77777777" w:rsidR="00E8066C" w:rsidRPr="003B5469" w:rsidRDefault="00E8066C" w:rsidP="00144D90">
            <w:pPr>
              <w:spacing w:after="0" w:line="240" w:lineRule="auto"/>
              <w:ind w:left="170"/>
              <w:jc w:val="left"/>
              <w:rPr>
                <w:rFonts w:ascii="Arial" w:hAnsi="Arial" w:cs="Arial"/>
                <w:b/>
                <w:color w:val="000000"/>
                <w:sz w:val="16"/>
                <w:szCs w:val="16"/>
              </w:rPr>
            </w:pPr>
            <w:r w:rsidRPr="003B5469">
              <w:rPr>
                <w:rFonts w:ascii="Arial" w:hAnsi="Arial" w:cs="Arial"/>
                <w:b/>
                <w:color w:val="000000"/>
                <w:sz w:val="16"/>
                <w:szCs w:val="16"/>
              </w:rPr>
              <w:t>for policy purposes</w:t>
            </w:r>
          </w:p>
        </w:tc>
        <w:tc>
          <w:tcPr>
            <w:tcW w:w="682" w:type="pct"/>
            <w:tcBorders>
              <w:top w:val="nil"/>
              <w:left w:val="nil"/>
              <w:bottom w:val="single" w:sz="4" w:space="0" w:color="000000"/>
              <w:right w:val="nil"/>
            </w:tcBorders>
            <w:shd w:val="clear" w:color="000000" w:fill="FFFFFF"/>
            <w:noWrap/>
            <w:vAlign w:val="bottom"/>
            <w:hideMark/>
          </w:tcPr>
          <w:p w14:paraId="169C0FFC" w14:textId="6BC63D14" w:rsidR="00E8066C" w:rsidRPr="003B5469" w:rsidRDefault="00A36B1E" w:rsidP="00E8066C">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E8066C" w:rsidRPr="003B5469">
              <w:rPr>
                <w:rFonts w:ascii="Arial" w:hAnsi="Arial" w:cs="Arial"/>
                <w:b/>
                <w:color w:val="000000"/>
                <w:sz w:val="16"/>
                <w:szCs w:val="16"/>
              </w:rPr>
              <w:t>7,286</w:t>
            </w:r>
          </w:p>
        </w:tc>
        <w:tc>
          <w:tcPr>
            <w:tcW w:w="682" w:type="pct"/>
            <w:tcBorders>
              <w:top w:val="nil"/>
              <w:left w:val="nil"/>
              <w:bottom w:val="single" w:sz="4" w:space="0" w:color="000000"/>
              <w:right w:val="nil"/>
            </w:tcBorders>
            <w:shd w:val="clear" w:color="000000" w:fill="EBFFFF"/>
            <w:noWrap/>
            <w:vAlign w:val="bottom"/>
            <w:hideMark/>
          </w:tcPr>
          <w:p w14:paraId="7C1DE5AC" w14:textId="4CC211FA" w:rsidR="00E8066C" w:rsidRPr="003B5469" w:rsidRDefault="00A36B1E" w:rsidP="00E8066C">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E8066C" w:rsidRPr="003B5469">
              <w:rPr>
                <w:rFonts w:ascii="Arial" w:hAnsi="Arial" w:cs="Arial"/>
                <w:b/>
                <w:color w:val="000000"/>
                <w:sz w:val="16"/>
                <w:szCs w:val="16"/>
              </w:rPr>
              <w:t>3,364</w:t>
            </w:r>
          </w:p>
        </w:tc>
        <w:tc>
          <w:tcPr>
            <w:tcW w:w="659" w:type="pct"/>
            <w:tcBorders>
              <w:top w:val="nil"/>
              <w:left w:val="nil"/>
              <w:bottom w:val="single" w:sz="4" w:space="0" w:color="000000"/>
              <w:right w:val="nil"/>
            </w:tcBorders>
            <w:shd w:val="clear" w:color="000000" w:fill="FFFFFF"/>
            <w:noWrap/>
            <w:vAlign w:val="bottom"/>
            <w:hideMark/>
          </w:tcPr>
          <w:p w14:paraId="2201015B" w14:textId="77777777" w:rsidR="00E8066C" w:rsidRPr="003B5469" w:rsidRDefault="00E8066C" w:rsidP="00E8066C">
            <w:pPr>
              <w:spacing w:after="0" w:line="240" w:lineRule="auto"/>
              <w:jc w:val="right"/>
              <w:rPr>
                <w:rFonts w:ascii="Arial" w:hAnsi="Arial" w:cs="Arial"/>
                <w:b/>
                <w:color w:val="000000"/>
                <w:sz w:val="16"/>
                <w:szCs w:val="16"/>
              </w:rPr>
            </w:pPr>
            <w:r w:rsidRPr="003B5469">
              <w:rPr>
                <w:rFonts w:ascii="Arial" w:hAnsi="Arial" w:cs="Arial"/>
                <w:b/>
                <w:color w:val="000000"/>
                <w:sz w:val="16"/>
                <w:szCs w:val="16"/>
              </w:rPr>
              <w:t>3,922</w:t>
            </w:r>
          </w:p>
        </w:tc>
      </w:tr>
      <w:tr w:rsidR="00E8066C" w:rsidRPr="00513ED7" w14:paraId="3B0F0C6F" w14:textId="77777777" w:rsidTr="00144D90">
        <w:trPr>
          <w:divId w:val="1535657698"/>
          <w:trHeight w:hRule="exact" w:val="60"/>
        </w:trPr>
        <w:tc>
          <w:tcPr>
            <w:tcW w:w="2976" w:type="pct"/>
            <w:tcBorders>
              <w:top w:val="nil"/>
              <w:left w:val="nil"/>
              <w:bottom w:val="nil"/>
              <w:right w:val="nil"/>
            </w:tcBorders>
            <w:shd w:val="clear" w:color="000000" w:fill="FFFFFF"/>
            <w:noWrap/>
            <w:vAlign w:val="bottom"/>
            <w:hideMark/>
          </w:tcPr>
          <w:p w14:paraId="0D3F51F6" w14:textId="77777777" w:rsidR="00E8066C" w:rsidRPr="003B5469" w:rsidRDefault="00E8066C" w:rsidP="00144D90">
            <w:pPr>
              <w:spacing w:after="0" w:line="240" w:lineRule="auto"/>
              <w:ind w:left="170"/>
              <w:jc w:val="left"/>
              <w:rPr>
                <w:rFonts w:ascii="Arial" w:hAnsi="Arial" w:cs="Arial"/>
                <w:b/>
                <w:color w:val="000000"/>
                <w:sz w:val="16"/>
                <w:szCs w:val="16"/>
              </w:rPr>
            </w:pPr>
            <w:r w:rsidRPr="003B5469">
              <w:rPr>
                <w:rFonts w:ascii="Arial" w:hAnsi="Arial" w:cs="Arial"/>
                <w:b/>
                <w:color w:val="000000"/>
                <w:sz w:val="16"/>
                <w:szCs w:val="16"/>
              </w:rPr>
              <w:t> </w:t>
            </w:r>
          </w:p>
        </w:tc>
        <w:tc>
          <w:tcPr>
            <w:tcW w:w="682" w:type="pct"/>
            <w:tcBorders>
              <w:top w:val="nil"/>
              <w:left w:val="nil"/>
              <w:bottom w:val="nil"/>
              <w:right w:val="nil"/>
            </w:tcBorders>
            <w:shd w:val="clear" w:color="000000" w:fill="FFFFFF"/>
            <w:noWrap/>
            <w:vAlign w:val="bottom"/>
            <w:hideMark/>
          </w:tcPr>
          <w:p w14:paraId="5137FC32" w14:textId="77777777" w:rsidR="00E8066C" w:rsidRPr="003B5469" w:rsidRDefault="00E8066C" w:rsidP="00E8066C">
            <w:pPr>
              <w:spacing w:after="0" w:line="240" w:lineRule="auto"/>
              <w:jc w:val="left"/>
              <w:rPr>
                <w:rFonts w:ascii="Arial" w:hAnsi="Arial" w:cs="Arial"/>
                <w:b/>
                <w:color w:val="000000"/>
                <w:sz w:val="16"/>
                <w:szCs w:val="16"/>
              </w:rPr>
            </w:pPr>
            <w:r w:rsidRPr="003B5469">
              <w:rPr>
                <w:rFonts w:ascii="Arial" w:hAnsi="Arial" w:cs="Arial"/>
                <w:b/>
                <w:color w:val="000000"/>
                <w:sz w:val="16"/>
                <w:szCs w:val="16"/>
              </w:rPr>
              <w:t> </w:t>
            </w:r>
          </w:p>
        </w:tc>
        <w:tc>
          <w:tcPr>
            <w:tcW w:w="682" w:type="pct"/>
            <w:tcBorders>
              <w:top w:val="nil"/>
              <w:left w:val="nil"/>
              <w:bottom w:val="nil"/>
              <w:right w:val="nil"/>
            </w:tcBorders>
            <w:shd w:val="clear" w:color="000000" w:fill="EBFFFF"/>
            <w:noWrap/>
            <w:vAlign w:val="bottom"/>
            <w:hideMark/>
          </w:tcPr>
          <w:p w14:paraId="6BD2DBFC" w14:textId="77777777" w:rsidR="00E8066C" w:rsidRPr="003B5469" w:rsidRDefault="00E8066C" w:rsidP="00E8066C">
            <w:pPr>
              <w:spacing w:after="0" w:line="240" w:lineRule="auto"/>
              <w:jc w:val="left"/>
              <w:rPr>
                <w:rFonts w:ascii="Arial" w:hAnsi="Arial" w:cs="Arial"/>
                <w:b/>
                <w:color w:val="000000"/>
                <w:sz w:val="16"/>
                <w:szCs w:val="16"/>
              </w:rPr>
            </w:pPr>
            <w:r w:rsidRPr="003B5469">
              <w:rPr>
                <w:rFonts w:ascii="Arial" w:hAnsi="Arial" w:cs="Arial"/>
                <w:b/>
                <w:color w:val="000000"/>
                <w:sz w:val="16"/>
                <w:szCs w:val="16"/>
              </w:rPr>
              <w:t> </w:t>
            </w:r>
          </w:p>
        </w:tc>
        <w:tc>
          <w:tcPr>
            <w:tcW w:w="659" w:type="pct"/>
            <w:tcBorders>
              <w:top w:val="nil"/>
              <w:left w:val="nil"/>
              <w:bottom w:val="nil"/>
              <w:right w:val="nil"/>
            </w:tcBorders>
            <w:shd w:val="clear" w:color="000000" w:fill="FFFFFF"/>
            <w:noWrap/>
            <w:vAlign w:val="bottom"/>
            <w:hideMark/>
          </w:tcPr>
          <w:p w14:paraId="134E39E0" w14:textId="77777777" w:rsidR="00E8066C" w:rsidRPr="003B5469" w:rsidRDefault="00E8066C" w:rsidP="00E8066C">
            <w:pPr>
              <w:spacing w:after="0" w:line="240" w:lineRule="auto"/>
              <w:jc w:val="left"/>
              <w:rPr>
                <w:rFonts w:ascii="Arial" w:hAnsi="Arial" w:cs="Arial"/>
                <w:b/>
                <w:color w:val="000000"/>
                <w:sz w:val="16"/>
                <w:szCs w:val="16"/>
              </w:rPr>
            </w:pPr>
            <w:r w:rsidRPr="003B5469">
              <w:rPr>
                <w:rFonts w:ascii="Arial" w:hAnsi="Arial" w:cs="Arial"/>
                <w:b/>
                <w:color w:val="000000"/>
                <w:sz w:val="16"/>
                <w:szCs w:val="16"/>
              </w:rPr>
              <w:t> </w:t>
            </w:r>
          </w:p>
        </w:tc>
      </w:tr>
      <w:tr w:rsidR="00E8066C" w:rsidRPr="00513ED7" w14:paraId="58F22C9F" w14:textId="77777777" w:rsidTr="00144D90">
        <w:trPr>
          <w:divId w:val="1535657698"/>
          <w:trHeight w:hRule="exact" w:val="225"/>
        </w:trPr>
        <w:tc>
          <w:tcPr>
            <w:tcW w:w="2976" w:type="pct"/>
            <w:tcBorders>
              <w:top w:val="nil"/>
              <w:left w:val="nil"/>
              <w:bottom w:val="single" w:sz="4" w:space="0" w:color="000000"/>
              <w:right w:val="nil"/>
            </w:tcBorders>
            <w:shd w:val="clear" w:color="000000" w:fill="FFFFFF"/>
            <w:noWrap/>
            <w:vAlign w:val="bottom"/>
            <w:hideMark/>
          </w:tcPr>
          <w:p w14:paraId="4B5CD1CB" w14:textId="3064551C" w:rsidR="00E8066C" w:rsidRPr="003B5469" w:rsidRDefault="00E8066C" w:rsidP="00E8066C">
            <w:pPr>
              <w:spacing w:after="0" w:line="240" w:lineRule="auto"/>
              <w:jc w:val="left"/>
              <w:rPr>
                <w:rFonts w:ascii="Arial" w:hAnsi="Arial" w:cs="Arial"/>
                <w:b/>
                <w:color w:val="000000"/>
                <w:sz w:val="16"/>
                <w:szCs w:val="16"/>
              </w:rPr>
            </w:pPr>
            <w:r w:rsidRPr="003B5469">
              <w:rPr>
                <w:rFonts w:ascii="Arial" w:hAnsi="Arial" w:cs="Arial"/>
                <w:b/>
                <w:color w:val="000000"/>
                <w:sz w:val="16"/>
                <w:szCs w:val="16"/>
              </w:rPr>
              <w:t>2020</w:t>
            </w:r>
            <w:r w:rsidR="00A36B1E" w:rsidRPr="003B5469">
              <w:rPr>
                <w:rFonts w:ascii="Arial" w:hAnsi="Arial" w:cs="Arial"/>
                <w:b/>
                <w:color w:val="000000"/>
                <w:sz w:val="16"/>
                <w:szCs w:val="16"/>
              </w:rPr>
              <w:noBreakHyphen/>
            </w:r>
            <w:r w:rsidRPr="003B5469">
              <w:rPr>
                <w:rFonts w:ascii="Arial" w:hAnsi="Arial" w:cs="Arial"/>
                <w:b/>
                <w:color w:val="000000"/>
                <w:sz w:val="16"/>
                <w:szCs w:val="16"/>
              </w:rPr>
              <w:t>21 Headline cash balance</w:t>
            </w:r>
          </w:p>
        </w:tc>
        <w:tc>
          <w:tcPr>
            <w:tcW w:w="682" w:type="pct"/>
            <w:tcBorders>
              <w:top w:val="nil"/>
              <w:left w:val="nil"/>
              <w:bottom w:val="single" w:sz="4" w:space="0" w:color="000000"/>
              <w:right w:val="nil"/>
            </w:tcBorders>
            <w:shd w:val="clear" w:color="000000" w:fill="FFFFFF"/>
            <w:noWrap/>
            <w:vAlign w:val="bottom"/>
            <w:hideMark/>
          </w:tcPr>
          <w:p w14:paraId="42E93FEC" w14:textId="70472F08" w:rsidR="00E8066C" w:rsidRPr="003B5469" w:rsidRDefault="00A36B1E" w:rsidP="00E8066C">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E8066C" w:rsidRPr="003B5469">
              <w:rPr>
                <w:rFonts w:ascii="Arial" w:hAnsi="Arial" w:cs="Arial"/>
                <w:b/>
                <w:color w:val="000000"/>
                <w:sz w:val="16"/>
                <w:szCs w:val="16"/>
              </w:rPr>
              <w:t>168,238</w:t>
            </w:r>
          </w:p>
        </w:tc>
        <w:tc>
          <w:tcPr>
            <w:tcW w:w="682" w:type="pct"/>
            <w:tcBorders>
              <w:top w:val="nil"/>
              <w:left w:val="nil"/>
              <w:bottom w:val="single" w:sz="4" w:space="0" w:color="000000"/>
              <w:right w:val="nil"/>
            </w:tcBorders>
            <w:shd w:val="clear" w:color="000000" w:fill="EBFFFF"/>
            <w:noWrap/>
            <w:vAlign w:val="bottom"/>
            <w:hideMark/>
          </w:tcPr>
          <w:p w14:paraId="09461F26" w14:textId="50E6D767" w:rsidR="00E8066C" w:rsidRPr="003B5469" w:rsidRDefault="00A36B1E" w:rsidP="00E8066C">
            <w:pPr>
              <w:spacing w:after="0" w:line="240" w:lineRule="auto"/>
              <w:jc w:val="right"/>
              <w:rPr>
                <w:rFonts w:ascii="Arial" w:hAnsi="Arial" w:cs="Arial"/>
                <w:b/>
                <w:color w:val="000000"/>
                <w:sz w:val="16"/>
                <w:szCs w:val="16"/>
              </w:rPr>
            </w:pPr>
            <w:r w:rsidRPr="003B5469">
              <w:rPr>
                <w:rFonts w:ascii="Arial" w:hAnsi="Arial" w:cs="Arial"/>
                <w:b/>
                <w:color w:val="000000"/>
                <w:sz w:val="16"/>
                <w:szCs w:val="16"/>
              </w:rPr>
              <w:noBreakHyphen/>
            </w:r>
            <w:r w:rsidR="00E8066C" w:rsidRPr="003B5469">
              <w:rPr>
                <w:rFonts w:ascii="Arial" w:hAnsi="Arial" w:cs="Arial"/>
                <w:b/>
                <w:color w:val="000000"/>
                <w:sz w:val="16"/>
                <w:szCs w:val="16"/>
              </w:rPr>
              <w:t>137,535</w:t>
            </w:r>
          </w:p>
        </w:tc>
        <w:tc>
          <w:tcPr>
            <w:tcW w:w="659" w:type="pct"/>
            <w:tcBorders>
              <w:top w:val="nil"/>
              <w:left w:val="nil"/>
              <w:bottom w:val="single" w:sz="4" w:space="0" w:color="000000"/>
              <w:right w:val="nil"/>
            </w:tcBorders>
            <w:shd w:val="clear" w:color="000000" w:fill="FFFFFF"/>
            <w:noWrap/>
            <w:vAlign w:val="bottom"/>
            <w:hideMark/>
          </w:tcPr>
          <w:p w14:paraId="6225A32F" w14:textId="77777777" w:rsidR="00E8066C" w:rsidRPr="003B5469" w:rsidRDefault="00E8066C" w:rsidP="00E8066C">
            <w:pPr>
              <w:spacing w:after="0" w:line="240" w:lineRule="auto"/>
              <w:jc w:val="right"/>
              <w:rPr>
                <w:rFonts w:ascii="Arial" w:hAnsi="Arial" w:cs="Arial"/>
                <w:b/>
                <w:color w:val="000000"/>
                <w:sz w:val="16"/>
                <w:szCs w:val="16"/>
              </w:rPr>
            </w:pPr>
            <w:r w:rsidRPr="003B5469">
              <w:rPr>
                <w:rFonts w:ascii="Arial" w:hAnsi="Arial" w:cs="Arial"/>
                <w:b/>
                <w:color w:val="000000"/>
                <w:sz w:val="16"/>
                <w:szCs w:val="16"/>
              </w:rPr>
              <w:t>30,703</w:t>
            </w:r>
          </w:p>
        </w:tc>
      </w:tr>
    </w:tbl>
    <w:p w14:paraId="435670C2" w14:textId="42548027" w:rsidR="006B7E70" w:rsidRPr="003B5469" w:rsidRDefault="0091726C" w:rsidP="001C691E">
      <w:pPr>
        <w:pStyle w:val="ChartandTableFootnoteAlpha"/>
        <w:numPr>
          <w:ilvl w:val="0"/>
          <w:numId w:val="7"/>
        </w:numPr>
        <w:tabs>
          <w:tab w:val="clear" w:pos="852"/>
          <w:tab w:val="num" w:pos="0"/>
        </w:tabs>
        <w:ind w:left="284"/>
      </w:pPr>
      <w:r w:rsidRPr="003B5469">
        <w:t>This financial profile represents the actual repayments for 2020</w:t>
      </w:r>
      <w:r w:rsidR="00A36B1E" w:rsidRPr="003B5469">
        <w:noBreakHyphen/>
      </w:r>
      <w:r w:rsidRPr="003B5469">
        <w:t>21. As the loan agreement</w:t>
      </w:r>
      <w:r w:rsidR="009D5B07" w:rsidRPr="003B5469">
        <w:t xml:space="preserve"> between the Government and NBN Co allows some flexibility in relation to the timing of the repayment,</w:t>
      </w:r>
      <w:r w:rsidR="00BD47AA" w:rsidRPr="003B5469">
        <w:t xml:space="preserve"> the remaining amount is included in 2023</w:t>
      </w:r>
      <w:r w:rsidR="00A36B1E" w:rsidRPr="003B5469">
        <w:noBreakHyphen/>
      </w:r>
      <w:r w:rsidR="00BD47AA" w:rsidRPr="003B5469">
        <w:t>24.</w:t>
      </w:r>
    </w:p>
    <w:p w14:paraId="15F393B6" w14:textId="618D84D4" w:rsidR="00AF7E4E" w:rsidRPr="003B5469" w:rsidRDefault="00C204D0" w:rsidP="001C691E">
      <w:pPr>
        <w:pStyle w:val="ChartandTableFootnoteAlpha"/>
        <w:tabs>
          <w:tab w:val="clear" w:pos="852"/>
          <w:tab w:val="num" w:pos="284"/>
        </w:tabs>
        <w:ind w:hanging="852"/>
      </w:pPr>
      <w:r w:rsidRPr="003B5469">
        <w:t xml:space="preserve">Net other includes amounts </w:t>
      </w:r>
      <w:r w:rsidR="006B7E70" w:rsidRPr="003B5469">
        <w:t xml:space="preserve">that </w:t>
      </w:r>
      <w:r w:rsidRPr="003B5469">
        <w:t>have not been itemised for commercial</w:t>
      </w:r>
      <w:r w:rsidR="00A36B1E" w:rsidRPr="003B5469">
        <w:noBreakHyphen/>
      </w:r>
      <w:r w:rsidRPr="003B5469">
        <w:t>in</w:t>
      </w:r>
      <w:r w:rsidR="00A36B1E" w:rsidRPr="003B5469">
        <w:noBreakHyphen/>
      </w:r>
      <w:r w:rsidRPr="003B5469">
        <w:t>confidence reasons.</w:t>
      </w:r>
    </w:p>
    <w:p w14:paraId="1B210EFC" w14:textId="54CBC66E" w:rsidR="00C204D0" w:rsidRPr="003B5469" w:rsidRDefault="00C204D0" w:rsidP="0059341C">
      <w:pPr>
        <w:pStyle w:val="Heading2"/>
      </w:pPr>
      <w:r w:rsidRPr="003B5469">
        <w:t>Net debt, net financial worth and net worth</w:t>
      </w:r>
    </w:p>
    <w:p w14:paraId="5E48A825" w14:textId="42E5C792" w:rsidR="00C204D0" w:rsidRPr="003B5469" w:rsidRDefault="00C204D0" w:rsidP="00C204D0">
      <w:r w:rsidRPr="003B5469">
        <w:t xml:space="preserve">At the end of </w:t>
      </w:r>
      <w:r w:rsidR="00BB4725" w:rsidRPr="003B5469">
        <w:t>2020</w:t>
      </w:r>
      <w:r w:rsidR="00A36B1E" w:rsidRPr="003B5469">
        <w:noBreakHyphen/>
      </w:r>
      <w:r w:rsidR="00BB4725" w:rsidRPr="003B5469">
        <w:t>21</w:t>
      </w:r>
      <w:r w:rsidRPr="003B5469">
        <w:t>, net debt was $</w:t>
      </w:r>
      <w:r w:rsidR="0068757B" w:rsidRPr="003B5469">
        <w:t>59</w:t>
      </w:r>
      <w:r w:rsidR="006F41C4" w:rsidRPr="003B5469">
        <w:t>2.2</w:t>
      </w:r>
      <w:r w:rsidRPr="003B5469">
        <w:t xml:space="preserve"> billion (</w:t>
      </w:r>
      <w:r w:rsidR="006F41C4" w:rsidRPr="003B5469">
        <w:t>28.6</w:t>
      </w:r>
      <w:r w:rsidRPr="003B5469">
        <w:t xml:space="preserve"> per cent of GDP), $</w:t>
      </w:r>
      <w:r w:rsidR="009519CF" w:rsidRPr="003B5469">
        <w:t>2</w:t>
      </w:r>
      <w:r w:rsidR="006F41C4" w:rsidRPr="003B5469">
        <w:t>5.3</w:t>
      </w:r>
      <w:r w:rsidRPr="003B5469">
        <w:t xml:space="preserve"> billion </w:t>
      </w:r>
      <w:r w:rsidR="00EF6E97" w:rsidRPr="003B5469">
        <w:t>lower</w:t>
      </w:r>
      <w:r w:rsidRPr="003B5469">
        <w:t xml:space="preserve"> than estimated at the time of the </w:t>
      </w:r>
      <w:r w:rsidR="00BB4725" w:rsidRPr="003B5469">
        <w:t>2021</w:t>
      </w:r>
      <w:r w:rsidR="00A36B1E" w:rsidRPr="003B5469">
        <w:noBreakHyphen/>
      </w:r>
      <w:r w:rsidR="00BB4725" w:rsidRPr="003B5469">
        <w:t>22 Budget</w:t>
      </w:r>
      <w:r w:rsidRPr="003B5469">
        <w:t xml:space="preserve">. This primarily reflects the </w:t>
      </w:r>
      <w:r w:rsidR="009519CF" w:rsidRPr="003B5469">
        <w:t>decreased</w:t>
      </w:r>
      <w:r w:rsidRPr="003B5469">
        <w:t xml:space="preserve"> borrowing requirement stemming from the</w:t>
      </w:r>
      <w:r w:rsidR="009519CF" w:rsidRPr="003B5469">
        <w:t xml:space="preserve"> stronger</w:t>
      </w:r>
      <w:r w:rsidR="00A36B1E" w:rsidRPr="003B5469">
        <w:noBreakHyphen/>
      </w:r>
      <w:r w:rsidR="009519CF" w:rsidRPr="003B5469">
        <w:t>than</w:t>
      </w:r>
      <w:r w:rsidR="00A36B1E" w:rsidRPr="003B5469">
        <w:noBreakHyphen/>
      </w:r>
      <w:r w:rsidR="009519CF" w:rsidRPr="003B5469">
        <w:t xml:space="preserve">expected economic </w:t>
      </w:r>
      <w:r w:rsidR="00230B00" w:rsidRPr="003B5469">
        <w:t>outcomes</w:t>
      </w:r>
      <w:r w:rsidR="00974B24" w:rsidRPr="003B5469">
        <w:t>, partly offset by</w:t>
      </w:r>
      <w:r w:rsidR="003347A3" w:rsidRPr="003B5469">
        <w:t xml:space="preserve"> the effect of</w:t>
      </w:r>
      <w:r w:rsidR="00974B24" w:rsidRPr="003B5469">
        <w:t xml:space="preserve"> </w:t>
      </w:r>
      <w:r w:rsidR="004353FE" w:rsidRPr="003B5469">
        <w:t xml:space="preserve">decreasing </w:t>
      </w:r>
      <w:r w:rsidR="00974B24" w:rsidRPr="003B5469">
        <w:t>yields since</w:t>
      </w:r>
      <w:r w:rsidR="00E731CA" w:rsidRPr="003B5469">
        <w:t xml:space="preserve"> the 2021</w:t>
      </w:r>
      <w:r w:rsidR="00A36B1E" w:rsidRPr="003B5469">
        <w:noBreakHyphen/>
      </w:r>
      <w:r w:rsidR="00E731CA" w:rsidRPr="003B5469">
        <w:t>22 Budget</w:t>
      </w:r>
      <w:r w:rsidR="003347A3" w:rsidRPr="003B5469">
        <w:t xml:space="preserve"> on the market value of Australian Government Securities</w:t>
      </w:r>
      <w:r w:rsidRPr="003B5469">
        <w:t>.</w:t>
      </w:r>
    </w:p>
    <w:p w14:paraId="2467820A" w14:textId="028A7885" w:rsidR="00C204D0" w:rsidRPr="003B5469" w:rsidRDefault="00C204D0" w:rsidP="00C204D0">
      <w:r w:rsidRPr="003B5469">
        <w:t xml:space="preserve">Net financial worth was negative </w:t>
      </w:r>
      <w:r w:rsidR="00C34586" w:rsidRPr="003B5469">
        <w:t>$9</w:t>
      </w:r>
      <w:r w:rsidR="00B04BBE" w:rsidRPr="003B5469">
        <w:t>05</w:t>
      </w:r>
      <w:r w:rsidR="00C34586" w:rsidRPr="003B5469">
        <w:t xml:space="preserve">.9 </w:t>
      </w:r>
      <w:r w:rsidRPr="003B5469">
        <w:t xml:space="preserve">billion at the end of </w:t>
      </w:r>
      <w:r w:rsidR="00BB4725" w:rsidRPr="003B5469">
        <w:t>2020</w:t>
      </w:r>
      <w:r w:rsidR="00A36B1E" w:rsidRPr="003B5469">
        <w:noBreakHyphen/>
      </w:r>
      <w:r w:rsidR="00BB4725" w:rsidRPr="003B5469">
        <w:t>21</w:t>
      </w:r>
      <w:r w:rsidRPr="003B5469">
        <w:t>, compared with negative $</w:t>
      </w:r>
      <w:r w:rsidR="00562F54" w:rsidRPr="003B5469">
        <w:t>769.8</w:t>
      </w:r>
      <w:r w:rsidRPr="003B5469">
        <w:t xml:space="preserve"> billion estimated at the </w:t>
      </w:r>
      <w:r w:rsidR="00BB4725" w:rsidRPr="003B5469">
        <w:t>2021</w:t>
      </w:r>
      <w:r w:rsidR="00A36B1E" w:rsidRPr="003B5469">
        <w:noBreakHyphen/>
      </w:r>
      <w:r w:rsidR="00BB4725" w:rsidRPr="003B5469">
        <w:t>22 Budget</w:t>
      </w:r>
      <w:r w:rsidRPr="003B5469">
        <w:t>.</w:t>
      </w:r>
    </w:p>
    <w:p w14:paraId="31F47102" w14:textId="6CEBEB3D" w:rsidR="00C204D0" w:rsidRPr="003B5469" w:rsidRDefault="00C204D0" w:rsidP="00C204D0">
      <w:r w:rsidRPr="003B5469">
        <w:t>Net worth was negative $</w:t>
      </w:r>
      <w:r w:rsidR="00B04BBE" w:rsidRPr="003B5469">
        <w:t>725.2</w:t>
      </w:r>
      <w:r w:rsidRPr="003B5469">
        <w:t xml:space="preserve"> billion at the end of </w:t>
      </w:r>
      <w:r w:rsidR="00BB4725" w:rsidRPr="003B5469">
        <w:t>2020</w:t>
      </w:r>
      <w:r w:rsidR="00A36B1E" w:rsidRPr="003B5469">
        <w:noBreakHyphen/>
      </w:r>
      <w:r w:rsidR="00BB4725" w:rsidRPr="003B5469">
        <w:t>21</w:t>
      </w:r>
      <w:r w:rsidRPr="003B5469">
        <w:t>, compared with negative $</w:t>
      </w:r>
      <w:r w:rsidR="001263AB" w:rsidRPr="003B5469">
        <w:t>586.5</w:t>
      </w:r>
      <w:r w:rsidRPr="003B5469">
        <w:t xml:space="preserve"> billion estimated at the </w:t>
      </w:r>
      <w:r w:rsidR="00BB4725" w:rsidRPr="003B5469">
        <w:t>2021</w:t>
      </w:r>
      <w:r w:rsidR="00A36B1E" w:rsidRPr="003B5469">
        <w:noBreakHyphen/>
      </w:r>
      <w:r w:rsidR="00BB4725" w:rsidRPr="003B5469">
        <w:t>22 Budget</w:t>
      </w:r>
      <w:r w:rsidRPr="003B5469">
        <w:t>.</w:t>
      </w:r>
    </w:p>
    <w:p w14:paraId="58980FFF" w14:textId="45F1212A" w:rsidR="00D15BA3" w:rsidRPr="005405B3" w:rsidRDefault="00C204D0" w:rsidP="00BC188C">
      <w:r w:rsidRPr="003B5469">
        <w:t xml:space="preserve">The changes in net financial worth and net worth since the </w:t>
      </w:r>
      <w:r w:rsidR="00BB4725" w:rsidRPr="003B5469">
        <w:t>2021</w:t>
      </w:r>
      <w:r w:rsidR="00A36B1E" w:rsidRPr="003B5469">
        <w:noBreakHyphen/>
      </w:r>
      <w:r w:rsidR="00BB4725" w:rsidRPr="003B5469">
        <w:t xml:space="preserve">22 Budget </w:t>
      </w:r>
      <w:r w:rsidRPr="003B5469">
        <w:t>primarily reflect a</w:t>
      </w:r>
      <w:r w:rsidR="00246E4D" w:rsidRPr="003B5469">
        <w:t>n increase in the Government</w:t>
      </w:r>
      <w:r w:rsidR="00A36B1E" w:rsidRPr="003B5469">
        <w:t>’</w:t>
      </w:r>
      <w:r w:rsidR="00246E4D" w:rsidRPr="003B5469">
        <w:t>s reported superannuation liability, partially offset</w:t>
      </w:r>
      <w:r w:rsidR="00CF5294" w:rsidRPr="003B5469">
        <w:t xml:space="preserve"> by </w:t>
      </w:r>
      <w:r w:rsidRPr="003B5469">
        <w:t xml:space="preserve">the </w:t>
      </w:r>
      <w:r w:rsidR="00612F1A" w:rsidRPr="003B5469">
        <w:t>improvement</w:t>
      </w:r>
      <w:r w:rsidRPr="003B5469">
        <w:t xml:space="preserve"> in the underlying </w:t>
      </w:r>
      <w:r w:rsidRPr="005405B3">
        <w:t>cash balance</w:t>
      </w:r>
      <w:r w:rsidR="00CF5294" w:rsidRPr="005405B3">
        <w:t>.</w:t>
      </w:r>
      <w:r w:rsidRPr="00513ED7">
        <w:t xml:space="preserve"> </w:t>
      </w:r>
      <w:r w:rsidR="00D15BA3" w:rsidRPr="005405B3">
        <w:t xml:space="preserve">The reported increase in the </w:t>
      </w:r>
      <w:r w:rsidR="00D15BA3" w:rsidRPr="005405B3">
        <w:lastRenderedPageBreak/>
        <w:t>superannuation liability is consistent with previous years and is the result of the difference between the discount rates used to value the Government</w:t>
      </w:r>
      <w:r w:rsidR="00A36B1E" w:rsidRPr="005405B3">
        <w:t>’</w:t>
      </w:r>
      <w:r w:rsidR="00D15BA3" w:rsidRPr="005405B3">
        <w:t>s defined benefit superannuation liability at the 2021</w:t>
      </w:r>
      <w:r w:rsidR="00A36B1E" w:rsidRPr="005405B3">
        <w:noBreakHyphen/>
      </w:r>
      <w:r w:rsidR="00D15BA3" w:rsidRPr="005405B3">
        <w:t>22 Budget and at the 2020</w:t>
      </w:r>
      <w:r w:rsidR="00A36B1E" w:rsidRPr="005405B3">
        <w:noBreakHyphen/>
      </w:r>
      <w:r w:rsidR="00D15BA3" w:rsidRPr="005405B3">
        <w:t>21 Final Budget Outcome.</w:t>
      </w:r>
    </w:p>
    <w:p w14:paraId="5256287E" w14:textId="6AED3116" w:rsidR="00BC188C" w:rsidRPr="005405B3" w:rsidRDefault="00BC188C" w:rsidP="00BC188C">
      <w:r w:rsidRPr="005405B3">
        <w:t>At the 2021</w:t>
      </w:r>
      <w:r w:rsidR="00A36B1E" w:rsidRPr="005405B3">
        <w:noBreakHyphen/>
      </w:r>
      <w:r w:rsidRPr="005405B3">
        <w:t xml:space="preserve">22 Budget, the unfunded superannuation liabilities were </w:t>
      </w:r>
      <w:r w:rsidR="00513BD0" w:rsidRPr="005405B3">
        <w:t xml:space="preserve">estimated </w:t>
      </w:r>
      <w:r w:rsidRPr="005405B3">
        <w:t>using an actuarially determined long</w:t>
      </w:r>
      <w:r w:rsidR="00A36B1E" w:rsidRPr="005405B3">
        <w:noBreakHyphen/>
      </w:r>
      <w:r w:rsidRPr="005405B3">
        <w:t>term discount rate. This rate reflected the average annual rate estimated to apply over the remainder of the term to maturity of the liability and the actuaries</w:t>
      </w:r>
      <w:r w:rsidR="00A36B1E" w:rsidRPr="005405B3">
        <w:t>’</w:t>
      </w:r>
      <w:r w:rsidRPr="005405B3">
        <w:t xml:space="preserve"> views that </w:t>
      </w:r>
      <w:r w:rsidR="2D01E012" w:rsidRPr="005405B3">
        <w:t>short</w:t>
      </w:r>
      <w:r w:rsidR="00A36B1E" w:rsidRPr="005405B3">
        <w:noBreakHyphen/>
      </w:r>
      <w:r w:rsidRPr="005405B3">
        <w:t xml:space="preserve">term deviations are expected to be smoothed out in the longer term. This approach also reduces the volatility in reported liabilities that would occur from year to year if the </w:t>
      </w:r>
      <w:r w:rsidR="68C9269A" w:rsidRPr="005405B3">
        <w:t>long</w:t>
      </w:r>
      <w:r w:rsidR="00A36B1E" w:rsidRPr="005405B3">
        <w:noBreakHyphen/>
      </w:r>
      <w:r w:rsidR="68C9269A" w:rsidRPr="005405B3">
        <w:t>term</w:t>
      </w:r>
      <w:r w:rsidRPr="005405B3">
        <w:t xml:space="preserve"> government bond rate were used.</w:t>
      </w:r>
    </w:p>
    <w:p w14:paraId="1547D1A6" w14:textId="7AFB4CFB" w:rsidR="00BC188C" w:rsidRPr="005405B3" w:rsidRDefault="00BC188C" w:rsidP="00BC188C">
      <w:r w:rsidRPr="005405B3">
        <w:t>For the Final Budget Outcome, the Australian Accounting Standards require the use of the long</w:t>
      </w:r>
      <w:r w:rsidR="00A36B1E" w:rsidRPr="005405B3">
        <w:noBreakHyphen/>
      </w:r>
      <w:r w:rsidRPr="005405B3">
        <w:t>term government bond rate as at 30 June 2021 that best matches each individual scheme</w:t>
      </w:r>
      <w:r w:rsidR="00A36B1E" w:rsidRPr="005405B3">
        <w:t>’</w:t>
      </w:r>
      <w:r w:rsidRPr="005405B3">
        <w:t>s liability duration. This</w:t>
      </w:r>
      <w:r w:rsidRPr="005405B3" w:rsidDel="00291D0D">
        <w:t xml:space="preserve"> </w:t>
      </w:r>
      <w:r w:rsidRPr="005405B3">
        <w:t xml:space="preserve">results in differences in the superannuation liability from one Final Budget Outcome to the next, and between </w:t>
      </w:r>
      <w:r w:rsidR="00713653" w:rsidRPr="005405B3">
        <w:t>B</w:t>
      </w:r>
      <w:r w:rsidRPr="005405B3">
        <w:t>udgets and Final Budget Outcomes. At the 2020</w:t>
      </w:r>
      <w:r w:rsidR="00A36B1E" w:rsidRPr="005405B3">
        <w:noBreakHyphen/>
      </w:r>
      <w:r w:rsidRPr="005405B3">
        <w:t>21 Final Budget Outcome, the bond rates used were between 1.6</w:t>
      </w:r>
      <w:r w:rsidR="00E23310" w:rsidRPr="005405B3">
        <w:t> </w:t>
      </w:r>
      <w:r w:rsidRPr="005405B3">
        <w:t>and 2.3 per</w:t>
      </w:r>
      <w:r w:rsidR="00047841" w:rsidRPr="005405B3">
        <w:t> </w:t>
      </w:r>
      <w:r w:rsidRPr="005405B3">
        <w:t>cent per annum depending on the defined benefit scheme.</w:t>
      </w:r>
    </w:p>
    <w:p w14:paraId="0F9CCF3B" w14:textId="4CC8B4BA" w:rsidR="00045AD7" w:rsidRPr="00513ED7" w:rsidRDefault="00045AD7" w:rsidP="00BC188C">
      <w:r w:rsidRPr="005405B3">
        <w:t>The variance in the reported superannuation liability between the 2021</w:t>
      </w:r>
      <w:r w:rsidR="00A36B1E" w:rsidRPr="005405B3">
        <w:noBreakHyphen/>
      </w:r>
      <w:r w:rsidRPr="005405B3">
        <w:t>22 Budget and 2020</w:t>
      </w:r>
      <w:r w:rsidR="00A36B1E" w:rsidRPr="005405B3">
        <w:noBreakHyphen/>
      </w:r>
      <w:r w:rsidRPr="005405B3">
        <w:t>21 Final Budget Outcome was an increase of $163.5 billion. By way of comparison, the variance between the 2019</w:t>
      </w:r>
      <w:r w:rsidR="00A36B1E" w:rsidRPr="005405B3">
        <w:noBreakHyphen/>
      </w:r>
      <w:r w:rsidRPr="005405B3">
        <w:t>20 MYEFO and the 2019</w:t>
      </w:r>
      <w:r w:rsidR="00A36B1E" w:rsidRPr="005405B3">
        <w:noBreakHyphen/>
      </w:r>
      <w:r w:rsidRPr="005405B3">
        <w:t>20 Final Budget Outcome was an increase of $199.3 billion</w:t>
      </w:r>
      <w:r w:rsidR="00010C0E" w:rsidRPr="005405B3">
        <w:t>.</w:t>
      </w:r>
      <w:r w:rsidR="00D00E5D" w:rsidRPr="005405B3">
        <w:t xml:space="preserve"> </w:t>
      </w:r>
    </w:p>
    <w:p w14:paraId="6AB91EA3" w14:textId="74ADDB73" w:rsidR="00BE29A4" w:rsidRPr="003B5469" w:rsidRDefault="00C204D0" w:rsidP="00BE29A4">
      <w:pPr>
        <w:pStyle w:val="TableHeading"/>
        <w:rPr>
          <w:rFonts w:asciiTheme="minorHAnsi" w:eastAsiaTheme="minorHAnsi" w:hAnsiTheme="minorHAnsi" w:cstheme="minorBidi"/>
          <w:sz w:val="22"/>
          <w:szCs w:val="22"/>
          <w:lang w:eastAsia="en-US"/>
        </w:rPr>
      </w:pPr>
      <w:r w:rsidRPr="003B5469">
        <w:t xml:space="preserve">Table </w:t>
      </w:r>
      <w:r w:rsidR="00575077" w:rsidRPr="003B5469">
        <w:t>1</w:t>
      </w:r>
      <w:r w:rsidR="0001752C" w:rsidRPr="003B5469">
        <w:t>1</w:t>
      </w:r>
      <w:r w:rsidRPr="003B5469">
        <w:t>: Australian Government general government sector net worth, net financial worth, net debt and net interest payments</w:t>
      </w:r>
    </w:p>
    <w:tbl>
      <w:tblPr>
        <w:tblW w:w="5000" w:type="pct"/>
        <w:tblCellMar>
          <w:left w:w="0" w:type="dxa"/>
          <w:right w:w="28" w:type="dxa"/>
        </w:tblCellMar>
        <w:tblLook w:val="04A0" w:firstRow="1" w:lastRow="0" w:firstColumn="1" w:lastColumn="0" w:noHBand="0" w:noVBand="1"/>
      </w:tblPr>
      <w:tblGrid>
        <w:gridCol w:w="4215"/>
        <w:gridCol w:w="1183"/>
        <w:gridCol w:w="1183"/>
        <w:gridCol w:w="1129"/>
      </w:tblGrid>
      <w:tr w:rsidR="00BE29A4" w:rsidRPr="00513ED7" w14:paraId="64AEEE07" w14:textId="77777777" w:rsidTr="00BE29A4">
        <w:trPr>
          <w:trHeight w:hRule="exact" w:val="225"/>
        </w:trPr>
        <w:tc>
          <w:tcPr>
            <w:tcW w:w="2734" w:type="pct"/>
            <w:tcBorders>
              <w:top w:val="single" w:sz="4" w:space="0" w:color="000000"/>
              <w:left w:val="nil"/>
              <w:bottom w:val="nil"/>
              <w:right w:val="nil"/>
            </w:tcBorders>
            <w:shd w:val="clear" w:color="000000" w:fill="FFFFFF"/>
            <w:noWrap/>
            <w:vAlign w:val="center"/>
            <w:hideMark/>
          </w:tcPr>
          <w:p w14:paraId="398DBB18" w14:textId="6ADE3C38" w:rsidR="00BE29A4" w:rsidRPr="003B5469" w:rsidRDefault="00BE29A4" w:rsidP="00BE29A4">
            <w:pPr>
              <w:spacing w:after="0" w:line="240" w:lineRule="auto"/>
              <w:jc w:val="left"/>
              <w:rPr>
                <w:rFonts w:ascii="Arial" w:hAnsi="Arial" w:cs="Arial"/>
                <w:sz w:val="16"/>
                <w:szCs w:val="16"/>
              </w:rPr>
            </w:pPr>
            <w:r w:rsidRPr="003B5469">
              <w:rPr>
                <w:rFonts w:ascii="Arial" w:hAnsi="Arial" w:cs="Arial"/>
                <w:sz w:val="16"/>
                <w:szCs w:val="16"/>
              </w:rPr>
              <w:t> </w:t>
            </w:r>
          </w:p>
        </w:tc>
        <w:tc>
          <w:tcPr>
            <w:tcW w:w="767" w:type="pct"/>
            <w:tcBorders>
              <w:top w:val="single" w:sz="4" w:space="0" w:color="000000"/>
              <w:left w:val="nil"/>
              <w:bottom w:val="nil"/>
              <w:right w:val="nil"/>
            </w:tcBorders>
            <w:shd w:val="clear" w:color="000000" w:fill="FFFFFF"/>
            <w:noWrap/>
            <w:vAlign w:val="center"/>
            <w:hideMark/>
          </w:tcPr>
          <w:p w14:paraId="0D4F6289" w14:textId="2BA475C0"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767" w:type="pct"/>
            <w:tcBorders>
              <w:top w:val="single" w:sz="4" w:space="0" w:color="000000"/>
              <w:left w:val="nil"/>
              <w:bottom w:val="nil"/>
              <w:right w:val="nil"/>
            </w:tcBorders>
            <w:shd w:val="clear" w:color="000000" w:fill="EBFFFF"/>
            <w:noWrap/>
            <w:vAlign w:val="center"/>
            <w:hideMark/>
          </w:tcPr>
          <w:p w14:paraId="3983DAF1" w14:textId="1DE78EDA"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2020</w:t>
            </w:r>
            <w:r w:rsidR="00A36B1E" w:rsidRPr="003B5469">
              <w:rPr>
                <w:rFonts w:ascii="Arial" w:hAnsi="Arial" w:cs="Arial"/>
                <w:sz w:val="16"/>
                <w:szCs w:val="16"/>
              </w:rPr>
              <w:noBreakHyphen/>
            </w:r>
            <w:r w:rsidRPr="003B5469">
              <w:rPr>
                <w:rFonts w:ascii="Arial" w:hAnsi="Arial" w:cs="Arial"/>
                <w:sz w:val="16"/>
                <w:szCs w:val="16"/>
              </w:rPr>
              <w:t>21</w:t>
            </w:r>
          </w:p>
        </w:tc>
        <w:tc>
          <w:tcPr>
            <w:tcW w:w="733" w:type="pct"/>
            <w:tcBorders>
              <w:top w:val="single" w:sz="4" w:space="0" w:color="000000"/>
              <w:left w:val="nil"/>
              <w:bottom w:val="nil"/>
              <w:right w:val="nil"/>
            </w:tcBorders>
            <w:shd w:val="clear" w:color="000000" w:fill="FFFFFF"/>
            <w:noWrap/>
            <w:vAlign w:val="center"/>
            <w:hideMark/>
          </w:tcPr>
          <w:p w14:paraId="127319BC"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Change on</w:t>
            </w:r>
          </w:p>
        </w:tc>
      </w:tr>
      <w:tr w:rsidR="00BE29A4" w:rsidRPr="00513ED7" w14:paraId="3FB672BB" w14:textId="77777777" w:rsidTr="00BE29A4">
        <w:trPr>
          <w:trHeight w:hRule="exact" w:val="225"/>
        </w:trPr>
        <w:tc>
          <w:tcPr>
            <w:tcW w:w="2734" w:type="pct"/>
            <w:tcBorders>
              <w:top w:val="nil"/>
              <w:left w:val="nil"/>
              <w:bottom w:val="nil"/>
              <w:right w:val="nil"/>
            </w:tcBorders>
            <w:shd w:val="clear" w:color="000000" w:fill="FFFFFF"/>
            <w:noWrap/>
            <w:vAlign w:val="center"/>
            <w:hideMark/>
          </w:tcPr>
          <w:p w14:paraId="25EE6D3E" w14:textId="77777777" w:rsidR="00BE29A4" w:rsidRPr="003B5469" w:rsidRDefault="00BE29A4" w:rsidP="00BE29A4">
            <w:pPr>
              <w:spacing w:after="0" w:line="240" w:lineRule="auto"/>
              <w:jc w:val="left"/>
              <w:rPr>
                <w:rFonts w:ascii="Arial" w:hAnsi="Arial" w:cs="Arial"/>
                <w:sz w:val="16"/>
                <w:szCs w:val="16"/>
              </w:rPr>
            </w:pPr>
            <w:r w:rsidRPr="003B5469">
              <w:rPr>
                <w:rFonts w:ascii="Arial" w:hAnsi="Arial" w:cs="Arial"/>
                <w:sz w:val="16"/>
                <w:szCs w:val="16"/>
              </w:rPr>
              <w:t> </w:t>
            </w:r>
          </w:p>
        </w:tc>
        <w:tc>
          <w:tcPr>
            <w:tcW w:w="767" w:type="pct"/>
            <w:tcBorders>
              <w:top w:val="nil"/>
              <w:left w:val="nil"/>
              <w:bottom w:val="nil"/>
              <w:right w:val="nil"/>
            </w:tcBorders>
            <w:shd w:val="clear" w:color="000000" w:fill="FFFFFF"/>
            <w:noWrap/>
            <w:vAlign w:val="center"/>
            <w:hideMark/>
          </w:tcPr>
          <w:p w14:paraId="46E1B02D"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Estimate at</w:t>
            </w:r>
          </w:p>
        </w:tc>
        <w:tc>
          <w:tcPr>
            <w:tcW w:w="767" w:type="pct"/>
            <w:tcBorders>
              <w:top w:val="nil"/>
              <w:left w:val="nil"/>
              <w:bottom w:val="nil"/>
              <w:right w:val="nil"/>
            </w:tcBorders>
            <w:shd w:val="clear" w:color="000000" w:fill="EBFFFF"/>
            <w:noWrap/>
            <w:vAlign w:val="center"/>
            <w:hideMark/>
          </w:tcPr>
          <w:p w14:paraId="5B308138"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Outcome</w:t>
            </w:r>
          </w:p>
        </w:tc>
        <w:tc>
          <w:tcPr>
            <w:tcW w:w="733" w:type="pct"/>
            <w:tcBorders>
              <w:top w:val="nil"/>
              <w:left w:val="nil"/>
              <w:bottom w:val="nil"/>
              <w:right w:val="nil"/>
            </w:tcBorders>
            <w:shd w:val="clear" w:color="000000" w:fill="FFFFFF"/>
            <w:noWrap/>
            <w:vAlign w:val="center"/>
            <w:hideMark/>
          </w:tcPr>
          <w:p w14:paraId="6EDA1722" w14:textId="1A2E3A25"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2021</w:t>
            </w:r>
            <w:r w:rsidR="00A36B1E" w:rsidRPr="003B5469">
              <w:rPr>
                <w:rFonts w:ascii="Arial" w:hAnsi="Arial" w:cs="Arial"/>
                <w:sz w:val="16"/>
                <w:szCs w:val="16"/>
              </w:rPr>
              <w:noBreakHyphen/>
            </w:r>
            <w:r w:rsidRPr="003B5469">
              <w:rPr>
                <w:rFonts w:ascii="Arial" w:hAnsi="Arial" w:cs="Arial"/>
                <w:sz w:val="16"/>
                <w:szCs w:val="16"/>
              </w:rPr>
              <w:t>22</w:t>
            </w:r>
          </w:p>
        </w:tc>
      </w:tr>
      <w:tr w:rsidR="00BE29A4" w:rsidRPr="00513ED7" w14:paraId="5240577E" w14:textId="77777777" w:rsidTr="00BE29A4">
        <w:trPr>
          <w:trHeight w:hRule="exact" w:val="225"/>
        </w:trPr>
        <w:tc>
          <w:tcPr>
            <w:tcW w:w="2734" w:type="pct"/>
            <w:tcBorders>
              <w:top w:val="nil"/>
              <w:left w:val="nil"/>
              <w:bottom w:val="nil"/>
              <w:right w:val="nil"/>
            </w:tcBorders>
            <w:shd w:val="clear" w:color="000000" w:fill="FFFFFF"/>
            <w:noWrap/>
            <w:vAlign w:val="center"/>
            <w:hideMark/>
          </w:tcPr>
          <w:p w14:paraId="555C41AE" w14:textId="77777777" w:rsidR="00BE29A4" w:rsidRPr="003B5469" w:rsidRDefault="00BE29A4" w:rsidP="00BE29A4">
            <w:pPr>
              <w:spacing w:after="0" w:line="240" w:lineRule="auto"/>
              <w:jc w:val="left"/>
              <w:rPr>
                <w:rFonts w:ascii="Arial" w:hAnsi="Arial" w:cs="Arial"/>
                <w:sz w:val="16"/>
                <w:szCs w:val="16"/>
              </w:rPr>
            </w:pPr>
            <w:r w:rsidRPr="003B5469">
              <w:rPr>
                <w:rFonts w:ascii="Arial" w:hAnsi="Arial" w:cs="Arial"/>
                <w:sz w:val="16"/>
                <w:szCs w:val="16"/>
              </w:rPr>
              <w:t> </w:t>
            </w:r>
          </w:p>
        </w:tc>
        <w:tc>
          <w:tcPr>
            <w:tcW w:w="767" w:type="pct"/>
            <w:tcBorders>
              <w:top w:val="nil"/>
              <w:left w:val="nil"/>
              <w:bottom w:val="nil"/>
              <w:right w:val="nil"/>
            </w:tcBorders>
            <w:shd w:val="clear" w:color="000000" w:fill="FFFFFF"/>
            <w:noWrap/>
            <w:vAlign w:val="center"/>
            <w:hideMark/>
          </w:tcPr>
          <w:p w14:paraId="4F509091" w14:textId="1F5DC84A"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2021</w:t>
            </w:r>
            <w:r w:rsidR="00A36B1E" w:rsidRPr="003B5469">
              <w:rPr>
                <w:rFonts w:ascii="Arial" w:hAnsi="Arial" w:cs="Arial"/>
                <w:sz w:val="16"/>
                <w:szCs w:val="16"/>
              </w:rPr>
              <w:noBreakHyphen/>
            </w:r>
            <w:r w:rsidRPr="003B5469">
              <w:rPr>
                <w:rFonts w:ascii="Arial" w:hAnsi="Arial" w:cs="Arial"/>
                <w:sz w:val="16"/>
                <w:szCs w:val="16"/>
              </w:rPr>
              <w:t>22</w:t>
            </w:r>
          </w:p>
        </w:tc>
        <w:tc>
          <w:tcPr>
            <w:tcW w:w="767" w:type="pct"/>
            <w:tcBorders>
              <w:top w:val="nil"/>
              <w:left w:val="nil"/>
              <w:bottom w:val="nil"/>
              <w:right w:val="nil"/>
            </w:tcBorders>
            <w:shd w:val="clear" w:color="000000" w:fill="EBFFFF"/>
            <w:noWrap/>
            <w:vAlign w:val="center"/>
            <w:hideMark/>
          </w:tcPr>
          <w:p w14:paraId="60C6FB24"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 </w:t>
            </w:r>
          </w:p>
        </w:tc>
        <w:tc>
          <w:tcPr>
            <w:tcW w:w="733" w:type="pct"/>
            <w:tcBorders>
              <w:top w:val="nil"/>
              <w:left w:val="nil"/>
              <w:bottom w:val="nil"/>
              <w:right w:val="nil"/>
            </w:tcBorders>
            <w:shd w:val="clear" w:color="000000" w:fill="FFFFFF"/>
            <w:noWrap/>
            <w:vAlign w:val="bottom"/>
            <w:hideMark/>
          </w:tcPr>
          <w:p w14:paraId="4C9D8691"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Budget</w:t>
            </w:r>
          </w:p>
        </w:tc>
      </w:tr>
      <w:tr w:rsidR="00BE29A4" w:rsidRPr="00513ED7" w14:paraId="1D43A703" w14:textId="77777777" w:rsidTr="00BE29A4">
        <w:trPr>
          <w:trHeight w:hRule="exact" w:val="225"/>
        </w:trPr>
        <w:tc>
          <w:tcPr>
            <w:tcW w:w="2734" w:type="pct"/>
            <w:tcBorders>
              <w:top w:val="nil"/>
              <w:left w:val="nil"/>
              <w:bottom w:val="nil"/>
              <w:right w:val="nil"/>
            </w:tcBorders>
            <w:shd w:val="clear" w:color="000000" w:fill="FFFFFF"/>
            <w:noWrap/>
            <w:vAlign w:val="center"/>
            <w:hideMark/>
          </w:tcPr>
          <w:p w14:paraId="09696F6B" w14:textId="77777777" w:rsidR="00BE29A4" w:rsidRPr="003B5469" w:rsidRDefault="00BE29A4" w:rsidP="00BE29A4">
            <w:pPr>
              <w:spacing w:after="0" w:line="240" w:lineRule="auto"/>
              <w:jc w:val="left"/>
              <w:rPr>
                <w:rFonts w:ascii="Arial" w:hAnsi="Arial" w:cs="Arial"/>
                <w:sz w:val="16"/>
                <w:szCs w:val="16"/>
              </w:rPr>
            </w:pPr>
            <w:r w:rsidRPr="003B5469">
              <w:rPr>
                <w:rFonts w:ascii="Arial" w:hAnsi="Arial" w:cs="Arial"/>
                <w:sz w:val="16"/>
                <w:szCs w:val="16"/>
              </w:rPr>
              <w:t> </w:t>
            </w:r>
          </w:p>
        </w:tc>
        <w:tc>
          <w:tcPr>
            <w:tcW w:w="767" w:type="pct"/>
            <w:tcBorders>
              <w:top w:val="nil"/>
              <w:left w:val="nil"/>
              <w:bottom w:val="nil"/>
              <w:right w:val="nil"/>
            </w:tcBorders>
            <w:shd w:val="clear" w:color="000000" w:fill="FFFFFF"/>
            <w:noWrap/>
            <w:vAlign w:val="center"/>
            <w:hideMark/>
          </w:tcPr>
          <w:p w14:paraId="2CE40BE7"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Budget</w:t>
            </w:r>
          </w:p>
        </w:tc>
        <w:tc>
          <w:tcPr>
            <w:tcW w:w="767" w:type="pct"/>
            <w:tcBorders>
              <w:top w:val="nil"/>
              <w:left w:val="nil"/>
              <w:bottom w:val="nil"/>
              <w:right w:val="nil"/>
            </w:tcBorders>
            <w:shd w:val="clear" w:color="000000" w:fill="EBFFFF"/>
            <w:noWrap/>
            <w:vAlign w:val="center"/>
            <w:hideMark/>
          </w:tcPr>
          <w:p w14:paraId="43A960F4"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 </w:t>
            </w:r>
          </w:p>
        </w:tc>
        <w:tc>
          <w:tcPr>
            <w:tcW w:w="733" w:type="pct"/>
            <w:tcBorders>
              <w:top w:val="nil"/>
              <w:left w:val="nil"/>
              <w:bottom w:val="nil"/>
              <w:right w:val="nil"/>
            </w:tcBorders>
            <w:shd w:val="clear" w:color="000000" w:fill="FFFFFF"/>
            <w:noWrap/>
            <w:vAlign w:val="center"/>
            <w:hideMark/>
          </w:tcPr>
          <w:p w14:paraId="53F947C8" w14:textId="77777777" w:rsidR="00BE29A4" w:rsidRPr="003B5469" w:rsidRDefault="00BE29A4" w:rsidP="00BE29A4">
            <w:pPr>
              <w:spacing w:after="0" w:line="240" w:lineRule="auto"/>
              <w:jc w:val="center"/>
              <w:rPr>
                <w:rFonts w:ascii="Arial" w:hAnsi="Arial" w:cs="Arial"/>
                <w:sz w:val="16"/>
                <w:szCs w:val="16"/>
              </w:rPr>
            </w:pPr>
            <w:r w:rsidRPr="003B5469">
              <w:rPr>
                <w:rFonts w:ascii="Arial" w:hAnsi="Arial" w:cs="Arial"/>
                <w:sz w:val="16"/>
                <w:szCs w:val="16"/>
              </w:rPr>
              <w:t> </w:t>
            </w:r>
          </w:p>
        </w:tc>
      </w:tr>
      <w:tr w:rsidR="00BE29A4" w:rsidRPr="00513ED7" w14:paraId="52AE1891" w14:textId="77777777" w:rsidTr="00BE29A4">
        <w:trPr>
          <w:trHeight w:hRule="exact" w:val="225"/>
        </w:trPr>
        <w:tc>
          <w:tcPr>
            <w:tcW w:w="2734" w:type="pct"/>
            <w:tcBorders>
              <w:top w:val="nil"/>
              <w:left w:val="nil"/>
              <w:bottom w:val="nil"/>
              <w:right w:val="nil"/>
            </w:tcBorders>
            <w:shd w:val="clear" w:color="000000" w:fill="FFFFFF"/>
            <w:noWrap/>
            <w:vAlign w:val="center"/>
            <w:hideMark/>
          </w:tcPr>
          <w:p w14:paraId="476AF262" w14:textId="77777777" w:rsidR="00BE29A4" w:rsidRPr="003B5469" w:rsidRDefault="00BE29A4" w:rsidP="00BE29A4">
            <w:pPr>
              <w:spacing w:after="0" w:line="240" w:lineRule="auto"/>
              <w:jc w:val="left"/>
              <w:rPr>
                <w:rFonts w:ascii="Arial" w:hAnsi="Arial" w:cs="Arial"/>
                <w:sz w:val="16"/>
                <w:szCs w:val="16"/>
              </w:rPr>
            </w:pPr>
            <w:r w:rsidRPr="003B5469">
              <w:rPr>
                <w:rFonts w:ascii="Arial" w:hAnsi="Arial" w:cs="Arial"/>
                <w:sz w:val="16"/>
                <w:szCs w:val="16"/>
              </w:rPr>
              <w:t> </w:t>
            </w:r>
          </w:p>
        </w:tc>
        <w:tc>
          <w:tcPr>
            <w:tcW w:w="767" w:type="pct"/>
            <w:tcBorders>
              <w:top w:val="nil"/>
              <w:left w:val="nil"/>
              <w:bottom w:val="single" w:sz="4" w:space="0" w:color="000000"/>
              <w:right w:val="nil"/>
            </w:tcBorders>
            <w:shd w:val="clear" w:color="000000" w:fill="FFFFFF"/>
            <w:noWrap/>
            <w:vAlign w:val="center"/>
            <w:hideMark/>
          </w:tcPr>
          <w:p w14:paraId="6CE180B3"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$b</w:t>
            </w:r>
          </w:p>
        </w:tc>
        <w:tc>
          <w:tcPr>
            <w:tcW w:w="767" w:type="pct"/>
            <w:tcBorders>
              <w:top w:val="nil"/>
              <w:left w:val="nil"/>
              <w:bottom w:val="single" w:sz="4" w:space="0" w:color="000000"/>
              <w:right w:val="nil"/>
            </w:tcBorders>
            <w:shd w:val="clear" w:color="000000" w:fill="EBFFFF"/>
            <w:noWrap/>
            <w:vAlign w:val="center"/>
            <w:hideMark/>
          </w:tcPr>
          <w:p w14:paraId="221350D6"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$b</w:t>
            </w:r>
          </w:p>
        </w:tc>
        <w:tc>
          <w:tcPr>
            <w:tcW w:w="733" w:type="pct"/>
            <w:tcBorders>
              <w:top w:val="nil"/>
              <w:left w:val="nil"/>
              <w:bottom w:val="single" w:sz="4" w:space="0" w:color="000000"/>
              <w:right w:val="nil"/>
            </w:tcBorders>
            <w:shd w:val="clear" w:color="000000" w:fill="FFFFFF"/>
            <w:noWrap/>
            <w:vAlign w:val="center"/>
            <w:hideMark/>
          </w:tcPr>
          <w:p w14:paraId="5A10D451"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$b</w:t>
            </w:r>
          </w:p>
        </w:tc>
      </w:tr>
      <w:tr w:rsidR="00BE29A4" w:rsidRPr="00513ED7" w14:paraId="45D738BB" w14:textId="77777777" w:rsidTr="00BE29A4">
        <w:trPr>
          <w:trHeight w:hRule="exact" w:val="225"/>
        </w:trPr>
        <w:tc>
          <w:tcPr>
            <w:tcW w:w="2734" w:type="pct"/>
            <w:tcBorders>
              <w:top w:val="nil"/>
              <w:left w:val="nil"/>
              <w:bottom w:val="nil"/>
              <w:right w:val="nil"/>
            </w:tcBorders>
            <w:shd w:val="clear" w:color="000000" w:fill="FFFFFF"/>
            <w:noWrap/>
            <w:vAlign w:val="center"/>
            <w:hideMark/>
          </w:tcPr>
          <w:p w14:paraId="7BF15727" w14:textId="77777777" w:rsidR="00BE29A4" w:rsidRPr="003B5469" w:rsidRDefault="00BE29A4" w:rsidP="00BE29A4">
            <w:pPr>
              <w:spacing w:after="0" w:line="240" w:lineRule="auto"/>
              <w:jc w:val="left"/>
              <w:rPr>
                <w:rFonts w:ascii="Arial" w:hAnsi="Arial" w:cs="Arial"/>
                <w:sz w:val="16"/>
                <w:szCs w:val="16"/>
              </w:rPr>
            </w:pPr>
            <w:r w:rsidRPr="003B5469">
              <w:rPr>
                <w:rFonts w:ascii="Arial" w:hAnsi="Arial" w:cs="Arial"/>
                <w:sz w:val="16"/>
                <w:szCs w:val="16"/>
              </w:rPr>
              <w:t>Financial assets</w:t>
            </w:r>
          </w:p>
        </w:tc>
        <w:tc>
          <w:tcPr>
            <w:tcW w:w="767" w:type="pct"/>
            <w:tcBorders>
              <w:top w:val="nil"/>
              <w:left w:val="nil"/>
              <w:bottom w:val="nil"/>
              <w:right w:val="nil"/>
            </w:tcBorders>
            <w:shd w:val="clear" w:color="000000" w:fill="FFFFFF"/>
            <w:noWrap/>
            <w:vAlign w:val="center"/>
            <w:hideMark/>
          </w:tcPr>
          <w:p w14:paraId="74A96342"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509.9</w:t>
            </w:r>
          </w:p>
        </w:tc>
        <w:tc>
          <w:tcPr>
            <w:tcW w:w="767" w:type="pct"/>
            <w:tcBorders>
              <w:top w:val="nil"/>
              <w:left w:val="nil"/>
              <w:bottom w:val="nil"/>
              <w:right w:val="nil"/>
            </w:tcBorders>
            <w:shd w:val="clear" w:color="000000" w:fill="EBFFFF"/>
            <w:noWrap/>
            <w:vAlign w:val="center"/>
            <w:hideMark/>
          </w:tcPr>
          <w:p w14:paraId="2151D0FE"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547.0</w:t>
            </w:r>
          </w:p>
        </w:tc>
        <w:tc>
          <w:tcPr>
            <w:tcW w:w="733" w:type="pct"/>
            <w:tcBorders>
              <w:top w:val="nil"/>
              <w:left w:val="nil"/>
              <w:bottom w:val="nil"/>
              <w:right w:val="nil"/>
            </w:tcBorders>
            <w:shd w:val="clear" w:color="000000" w:fill="FFFFFF"/>
            <w:noWrap/>
            <w:vAlign w:val="center"/>
            <w:hideMark/>
          </w:tcPr>
          <w:p w14:paraId="5ACB570B"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37.1</w:t>
            </w:r>
          </w:p>
        </w:tc>
      </w:tr>
      <w:tr w:rsidR="00BE29A4" w:rsidRPr="00513ED7" w14:paraId="680B3CCA" w14:textId="77777777" w:rsidTr="00BE29A4">
        <w:trPr>
          <w:trHeight w:hRule="exact" w:val="225"/>
        </w:trPr>
        <w:tc>
          <w:tcPr>
            <w:tcW w:w="2734" w:type="pct"/>
            <w:tcBorders>
              <w:top w:val="nil"/>
              <w:left w:val="nil"/>
              <w:bottom w:val="nil"/>
              <w:right w:val="nil"/>
            </w:tcBorders>
            <w:shd w:val="clear" w:color="000000" w:fill="FFFFFF"/>
            <w:noWrap/>
            <w:vAlign w:val="center"/>
            <w:hideMark/>
          </w:tcPr>
          <w:p w14:paraId="6CA841D0" w14:textId="12D96482" w:rsidR="00BE29A4" w:rsidRPr="003B5469" w:rsidRDefault="00BE29A4" w:rsidP="00BE29A4">
            <w:pPr>
              <w:spacing w:after="0" w:line="240" w:lineRule="auto"/>
              <w:jc w:val="left"/>
              <w:rPr>
                <w:rFonts w:ascii="Arial" w:hAnsi="Arial" w:cs="Arial"/>
                <w:sz w:val="16"/>
                <w:szCs w:val="16"/>
              </w:rPr>
            </w:pPr>
            <w:r w:rsidRPr="003B5469">
              <w:rPr>
                <w:rFonts w:ascii="Arial" w:hAnsi="Arial" w:cs="Arial"/>
                <w:sz w:val="16"/>
                <w:szCs w:val="16"/>
              </w:rPr>
              <w:t>Non</w:t>
            </w:r>
            <w:r w:rsidR="00A36B1E" w:rsidRPr="003B5469">
              <w:rPr>
                <w:rFonts w:ascii="Arial" w:hAnsi="Arial" w:cs="Arial"/>
                <w:sz w:val="16"/>
                <w:szCs w:val="16"/>
              </w:rPr>
              <w:noBreakHyphen/>
            </w:r>
            <w:r w:rsidRPr="003B5469">
              <w:rPr>
                <w:rFonts w:ascii="Arial" w:hAnsi="Arial" w:cs="Arial"/>
                <w:sz w:val="16"/>
                <w:szCs w:val="16"/>
              </w:rPr>
              <w:t>financial assets</w:t>
            </w:r>
          </w:p>
        </w:tc>
        <w:tc>
          <w:tcPr>
            <w:tcW w:w="767" w:type="pct"/>
            <w:tcBorders>
              <w:top w:val="nil"/>
              <w:left w:val="nil"/>
              <w:bottom w:val="nil"/>
              <w:right w:val="nil"/>
            </w:tcBorders>
            <w:shd w:val="clear" w:color="000000" w:fill="FFFFFF"/>
            <w:noWrap/>
            <w:vAlign w:val="center"/>
            <w:hideMark/>
          </w:tcPr>
          <w:p w14:paraId="0DF1A746"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183.3</w:t>
            </w:r>
          </w:p>
        </w:tc>
        <w:tc>
          <w:tcPr>
            <w:tcW w:w="767" w:type="pct"/>
            <w:tcBorders>
              <w:top w:val="nil"/>
              <w:left w:val="nil"/>
              <w:bottom w:val="nil"/>
              <w:right w:val="nil"/>
            </w:tcBorders>
            <w:shd w:val="clear" w:color="000000" w:fill="EBFFFF"/>
            <w:noWrap/>
            <w:vAlign w:val="center"/>
            <w:hideMark/>
          </w:tcPr>
          <w:p w14:paraId="0AAAF2B0"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180.7</w:t>
            </w:r>
          </w:p>
        </w:tc>
        <w:tc>
          <w:tcPr>
            <w:tcW w:w="733" w:type="pct"/>
            <w:tcBorders>
              <w:top w:val="nil"/>
              <w:left w:val="nil"/>
              <w:bottom w:val="nil"/>
              <w:right w:val="nil"/>
            </w:tcBorders>
            <w:shd w:val="clear" w:color="000000" w:fill="FFFFFF"/>
            <w:noWrap/>
            <w:vAlign w:val="center"/>
            <w:hideMark/>
          </w:tcPr>
          <w:p w14:paraId="5B2CFDA3" w14:textId="23BD0A3D" w:rsidR="00BE29A4" w:rsidRPr="003B5469" w:rsidRDefault="00A36B1E" w:rsidP="00BE29A4">
            <w:pPr>
              <w:spacing w:after="0" w:line="240" w:lineRule="auto"/>
              <w:jc w:val="right"/>
              <w:rPr>
                <w:rFonts w:ascii="Arial" w:hAnsi="Arial" w:cs="Arial"/>
                <w:sz w:val="16"/>
                <w:szCs w:val="16"/>
              </w:rPr>
            </w:pPr>
            <w:r w:rsidRPr="003B5469">
              <w:rPr>
                <w:rFonts w:ascii="Arial" w:hAnsi="Arial" w:cs="Arial"/>
                <w:sz w:val="16"/>
                <w:szCs w:val="16"/>
              </w:rPr>
              <w:noBreakHyphen/>
            </w:r>
            <w:r w:rsidR="00BE29A4" w:rsidRPr="003B5469">
              <w:rPr>
                <w:rFonts w:ascii="Arial" w:hAnsi="Arial" w:cs="Arial"/>
                <w:sz w:val="16"/>
                <w:szCs w:val="16"/>
              </w:rPr>
              <w:t>2.6</w:t>
            </w:r>
          </w:p>
        </w:tc>
      </w:tr>
      <w:tr w:rsidR="00BE29A4" w:rsidRPr="00513ED7" w14:paraId="326E2810" w14:textId="77777777" w:rsidTr="00BE29A4">
        <w:trPr>
          <w:trHeight w:hRule="exact" w:val="225"/>
        </w:trPr>
        <w:tc>
          <w:tcPr>
            <w:tcW w:w="2734" w:type="pct"/>
            <w:tcBorders>
              <w:top w:val="nil"/>
              <w:left w:val="nil"/>
              <w:bottom w:val="nil"/>
              <w:right w:val="nil"/>
            </w:tcBorders>
            <w:shd w:val="clear" w:color="000000" w:fill="FFFFFF"/>
            <w:noWrap/>
            <w:vAlign w:val="center"/>
            <w:hideMark/>
          </w:tcPr>
          <w:p w14:paraId="122804C7" w14:textId="77777777" w:rsidR="00BE29A4" w:rsidRPr="003B5469" w:rsidRDefault="00BE29A4" w:rsidP="00BE29A4">
            <w:pPr>
              <w:spacing w:after="0" w:line="240" w:lineRule="auto"/>
              <w:jc w:val="left"/>
              <w:rPr>
                <w:rFonts w:ascii="Arial" w:hAnsi="Arial" w:cs="Arial"/>
                <w:b/>
                <w:sz w:val="16"/>
                <w:szCs w:val="16"/>
              </w:rPr>
            </w:pPr>
            <w:r w:rsidRPr="003B5469">
              <w:rPr>
                <w:rFonts w:ascii="Arial" w:hAnsi="Arial" w:cs="Arial"/>
                <w:b/>
                <w:sz w:val="16"/>
                <w:szCs w:val="16"/>
              </w:rPr>
              <w:t>Total assets</w:t>
            </w:r>
          </w:p>
        </w:tc>
        <w:tc>
          <w:tcPr>
            <w:tcW w:w="767" w:type="pct"/>
            <w:tcBorders>
              <w:top w:val="nil"/>
              <w:left w:val="nil"/>
              <w:bottom w:val="nil"/>
              <w:right w:val="nil"/>
            </w:tcBorders>
            <w:shd w:val="clear" w:color="000000" w:fill="FFFFFF"/>
            <w:noWrap/>
            <w:vAlign w:val="center"/>
            <w:hideMark/>
          </w:tcPr>
          <w:p w14:paraId="244BEF48"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693.2</w:t>
            </w:r>
          </w:p>
        </w:tc>
        <w:tc>
          <w:tcPr>
            <w:tcW w:w="767" w:type="pct"/>
            <w:tcBorders>
              <w:top w:val="nil"/>
              <w:left w:val="nil"/>
              <w:bottom w:val="nil"/>
              <w:right w:val="nil"/>
            </w:tcBorders>
            <w:shd w:val="clear" w:color="000000" w:fill="EBFFFF"/>
            <w:noWrap/>
            <w:vAlign w:val="center"/>
            <w:hideMark/>
          </w:tcPr>
          <w:p w14:paraId="10275E59"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727.7</w:t>
            </w:r>
          </w:p>
        </w:tc>
        <w:tc>
          <w:tcPr>
            <w:tcW w:w="733" w:type="pct"/>
            <w:tcBorders>
              <w:top w:val="nil"/>
              <w:left w:val="nil"/>
              <w:bottom w:val="nil"/>
              <w:right w:val="nil"/>
            </w:tcBorders>
            <w:shd w:val="clear" w:color="000000" w:fill="FFFFFF"/>
            <w:noWrap/>
            <w:vAlign w:val="center"/>
            <w:hideMark/>
          </w:tcPr>
          <w:p w14:paraId="515B30DB"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34.5</w:t>
            </w:r>
          </w:p>
        </w:tc>
      </w:tr>
      <w:tr w:rsidR="00BE29A4" w:rsidRPr="00513ED7" w14:paraId="3A43457F" w14:textId="77777777" w:rsidTr="00BE29A4">
        <w:trPr>
          <w:trHeight w:hRule="exact" w:val="60"/>
        </w:trPr>
        <w:tc>
          <w:tcPr>
            <w:tcW w:w="2734" w:type="pct"/>
            <w:tcBorders>
              <w:top w:val="nil"/>
              <w:left w:val="nil"/>
              <w:bottom w:val="nil"/>
              <w:right w:val="nil"/>
            </w:tcBorders>
            <w:shd w:val="clear" w:color="000000" w:fill="FFFFFF"/>
            <w:noWrap/>
            <w:vAlign w:val="center"/>
            <w:hideMark/>
          </w:tcPr>
          <w:p w14:paraId="4703B3DF" w14:textId="77777777" w:rsidR="00BE29A4" w:rsidRPr="003B5469" w:rsidRDefault="00BE29A4" w:rsidP="00BE29A4">
            <w:pPr>
              <w:spacing w:after="0" w:line="240" w:lineRule="auto"/>
              <w:jc w:val="left"/>
              <w:rPr>
                <w:rFonts w:ascii="Arial" w:hAnsi="Arial" w:cs="Arial"/>
                <w:b/>
                <w:sz w:val="16"/>
                <w:szCs w:val="16"/>
              </w:rPr>
            </w:pPr>
            <w:r w:rsidRPr="003B5469">
              <w:rPr>
                <w:rFonts w:ascii="Arial" w:hAnsi="Arial" w:cs="Arial"/>
                <w:b/>
                <w:sz w:val="16"/>
                <w:szCs w:val="16"/>
              </w:rPr>
              <w:t> </w:t>
            </w:r>
          </w:p>
        </w:tc>
        <w:tc>
          <w:tcPr>
            <w:tcW w:w="767" w:type="pct"/>
            <w:tcBorders>
              <w:top w:val="nil"/>
              <w:left w:val="nil"/>
              <w:bottom w:val="nil"/>
              <w:right w:val="nil"/>
            </w:tcBorders>
            <w:shd w:val="clear" w:color="000000" w:fill="FFFFFF"/>
            <w:noWrap/>
            <w:vAlign w:val="center"/>
            <w:hideMark/>
          </w:tcPr>
          <w:p w14:paraId="7418457B"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 </w:t>
            </w:r>
          </w:p>
        </w:tc>
        <w:tc>
          <w:tcPr>
            <w:tcW w:w="767" w:type="pct"/>
            <w:tcBorders>
              <w:top w:val="nil"/>
              <w:left w:val="nil"/>
              <w:bottom w:val="nil"/>
              <w:right w:val="nil"/>
            </w:tcBorders>
            <w:shd w:val="clear" w:color="000000" w:fill="EBFFFF"/>
            <w:noWrap/>
            <w:vAlign w:val="center"/>
            <w:hideMark/>
          </w:tcPr>
          <w:p w14:paraId="622E66DC"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 </w:t>
            </w:r>
          </w:p>
        </w:tc>
        <w:tc>
          <w:tcPr>
            <w:tcW w:w="733" w:type="pct"/>
            <w:tcBorders>
              <w:top w:val="nil"/>
              <w:left w:val="nil"/>
              <w:bottom w:val="nil"/>
              <w:right w:val="nil"/>
            </w:tcBorders>
            <w:shd w:val="clear" w:color="000000" w:fill="FFFFFF"/>
            <w:noWrap/>
            <w:vAlign w:val="center"/>
            <w:hideMark/>
          </w:tcPr>
          <w:p w14:paraId="292CE468"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 </w:t>
            </w:r>
          </w:p>
        </w:tc>
      </w:tr>
      <w:tr w:rsidR="00BE29A4" w:rsidRPr="00513ED7" w14:paraId="1A58DBDE" w14:textId="77777777" w:rsidTr="00BE29A4">
        <w:trPr>
          <w:trHeight w:hRule="exact" w:val="225"/>
        </w:trPr>
        <w:tc>
          <w:tcPr>
            <w:tcW w:w="2734" w:type="pct"/>
            <w:tcBorders>
              <w:top w:val="nil"/>
              <w:left w:val="nil"/>
              <w:bottom w:val="nil"/>
              <w:right w:val="nil"/>
            </w:tcBorders>
            <w:shd w:val="clear" w:color="000000" w:fill="FFFFFF"/>
            <w:noWrap/>
            <w:vAlign w:val="center"/>
            <w:hideMark/>
          </w:tcPr>
          <w:p w14:paraId="41CDD933" w14:textId="77777777" w:rsidR="00BE29A4" w:rsidRPr="003B5469" w:rsidRDefault="00BE29A4" w:rsidP="00BE29A4">
            <w:pPr>
              <w:spacing w:after="0" w:line="240" w:lineRule="auto"/>
              <w:jc w:val="left"/>
              <w:rPr>
                <w:rFonts w:ascii="Arial" w:hAnsi="Arial" w:cs="Arial"/>
                <w:b/>
                <w:sz w:val="16"/>
                <w:szCs w:val="16"/>
              </w:rPr>
            </w:pPr>
            <w:r w:rsidRPr="003B5469">
              <w:rPr>
                <w:rFonts w:ascii="Arial" w:hAnsi="Arial" w:cs="Arial"/>
                <w:b/>
                <w:sz w:val="16"/>
                <w:szCs w:val="16"/>
              </w:rPr>
              <w:t>Total liabilities</w:t>
            </w:r>
          </w:p>
        </w:tc>
        <w:tc>
          <w:tcPr>
            <w:tcW w:w="767" w:type="pct"/>
            <w:tcBorders>
              <w:top w:val="nil"/>
              <w:left w:val="nil"/>
              <w:bottom w:val="single" w:sz="4" w:space="0" w:color="000000"/>
              <w:right w:val="nil"/>
            </w:tcBorders>
            <w:shd w:val="clear" w:color="000000" w:fill="FFFFFF"/>
            <w:noWrap/>
            <w:vAlign w:val="center"/>
            <w:hideMark/>
          </w:tcPr>
          <w:p w14:paraId="11125EFC"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1,279.7</w:t>
            </w:r>
          </w:p>
        </w:tc>
        <w:tc>
          <w:tcPr>
            <w:tcW w:w="767" w:type="pct"/>
            <w:tcBorders>
              <w:top w:val="nil"/>
              <w:left w:val="nil"/>
              <w:bottom w:val="single" w:sz="4" w:space="0" w:color="000000"/>
              <w:right w:val="nil"/>
            </w:tcBorders>
            <w:shd w:val="clear" w:color="000000" w:fill="EBFFFF"/>
            <w:noWrap/>
            <w:vAlign w:val="center"/>
            <w:hideMark/>
          </w:tcPr>
          <w:p w14:paraId="08D29AC7"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1,453.0</w:t>
            </w:r>
          </w:p>
        </w:tc>
        <w:tc>
          <w:tcPr>
            <w:tcW w:w="733" w:type="pct"/>
            <w:tcBorders>
              <w:top w:val="nil"/>
              <w:left w:val="nil"/>
              <w:bottom w:val="single" w:sz="4" w:space="0" w:color="000000"/>
              <w:right w:val="nil"/>
            </w:tcBorders>
            <w:shd w:val="clear" w:color="000000" w:fill="FFFFFF"/>
            <w:noWrap/>
            <w:vAlign w:val="center"/>
            <w:hideMark/>
          </w:tcPr>
          <w:p w14:paraId="128884BC"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173.3</w:t>
            </w:r>
          </w:p>
        </w:tc>
      </w:tr>
      <w:tr w:rsidR="00BE29A4" w:rsidRPr="00513ED7" w14:paraId="3ED5A548" w14:textId="77777777" w:rsidTr="00BE29A4">
        <w:trPr>
          <w:trHeight w:hRule="exact" w:val="60"/>
        </w:trPr>
        <w:tc>
          <w:tcPr>
            <w:tcW w:w="2734" w:type="pct"/>
            <w:tcBorders>
              <w:top w:val="nil"/>
              <w:left w:val="nil"/>
              <w:bottom w:val="nil"/>
              <w:right w:val="nil"/>
            </w:tcBorders>
            <w:shd w:val="clear" w:color="000000" w:fill="FFFFFF"/>
            <w:noWrap/>
            <w:vAlign w:val="center"/>
            <w:hideMark/>
          </w:tcPr>
          <w:p w14:paraId="5DF796A2" w14:textId="77777777" w:rsidR="00BE29A4" w:rsidRPr="003B5469" w:rsidRDefault="00BE29A4" w:rsidP="00BE29A4">
            <w:pPr>
              <w:spacing w:after="0" w:line="240" w:lineRule="auto"/>
              <w:jc w:val="left"/>
              <w:rPr>
                <w:rFonts w:ascii="Arial" w:hAnsi="Arial" w:cs="Arial"/>
                <w:b/>
                <w:sz w:val="16"/>
                <w:szCs w:val="16"/>
              </w:rPr>
            </w:pPr>
            <w:r w:rsidRPr="003B5469">
              <w:rPr>
                <w:rFonts w:ascii="Arial" w:hAnsi="Arial" w:cs="Arial"/>
                <w:b/>
                <w:sz w:val="16"/>
                <w:szCs w:val="16"/>
              </w:rPr>
              <w:t> </w:t>
            </w:r>
          </w:p>
        </w:tc>
        <w:tc>
          <w:tcPr>
            <w:tcW w:w="767" w:type="pct"/>
            <w:tcBorders>
              <w:top w:val="nil"/>
              <w:left w:val="nil"/>
              <w:bottom w:val="nil"/>
              <w:right w:val="nil"/>
            </w:tcBorders>
            <w:shd w:val="clear" w:color="000000" w:fill="FFFFFF"/>
            <w:noWrap/>
            <w:vAlign w:val="center"/>
            <w:hideMark/>
          </w:tcPr>
          <w:p w14:paraId="7E5AAD86"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 </w:t>
            </w:r>
          </w:p>
        </w:tc>
        <w:tc>
          <w:tcPr>
            <w:tcW w:w="767" w:type="pct"/>
            <w:tcBorders>
              <w:top w:val="nil"/>
              <w:left w:val="nil"/>
              <w:bottom w:val="nil"/>
              <w:right w:val="nil"/>
            </w:tcBorders>
            <w:shd w:val="clear" w:color="000000" w:fill="EBFFFF"/>
            <w:noWrap/>
            <w:vAlign w:val="center"/>
            <w:hideMark/>
          </w:tcPr>
          <w:p w14:paraId="77BFE45D"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 </w:t>
            </w:r>
          </w:p>
        </w:tc>
        <w:tc>
          <w:tcPr>
            <w:tcW w:w="733" w:type="pct"/>
            <w:tcBorders>
              <w:top w:val="nil"/>
              <w:left w:val="nil"/>
              <w:bottom w:val="nil"/>
              <w:right w:val="nil"/>
            </w:tcBorders>
            <w:shd w:val="clear" w:color="000000" w:fill="FFFFFF"/>
            <w:noWrap/>
            <w:vAlign w:val="center"/>
            <w:hideMark/>
          </w:tcPr>
          <w:p w14:paraId="17A8B933"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 </w:t>
            </w:r>
          </w:p>
        </w:tc>
      </w:tr>
      <w:tr w:rsidR="00BE29A4" w:rsidRPr="00513ED7" w14:paraId="15B6E89F" w14:textId="77777777" w:rsidTr="00BE29A4">
        <w:trPr>
          <w:trHeight w:hRule="exact" w:val="225"/>
        </w:trPr>
        <w:tc>
          <w:tcPr>
            <w:tcW w:w="2734" w:type="pct"/>
            <w:tcBorders>
              <w:top w:val="nil"/>
              <w:left w:val="nil"/>
              <w:bottom w:val="single" w:sz="4" w:space="0" w:color="000000"/>
              <w:right w:val="nil"/>
            </w:tcBorders>
            <w:shd w:val="clear" w:color="000000" w:fill="FFFFFF"/>
            <w:noWrap/>
            <w:vAlign w:val="center"/>
            <w:hideMark/>
          </w:tcPr>
          <w:p w14:paraId="25328723" w14:textId="77777777" w:rsidR="00BE29A4" w:rsidRPr="003B5469" w:rsidRDefault="00BE29A4" w:rsidP="00BE29A4">
            <w:pPr>
              <w:spacing w:after="0" w:line="240" w:lineRule="auto"/>
              <w:jc w:val="left"/>
              <w:rPr>
                <w:rFonts w:ascii="Arial" w:hAnsi="Arial" w:cs="Arial"/>
                <w:b/>
                <w:sz w:val="16"/>
                <w:szCs w:val="16"/>
              </w:rPr>
            </w:pPr>
            <w:r w:rsidRPr="003B5469">
              <w:rPr>
                <w:rFonts w:ascii="Arial" w:hAnsi="Arial" w:cs="Arial"/>
                <w:b/>
                <w:sz w:val="16"/>
                <w:szCs w:val="16"/>
              </w:rPr>
              <w:t>Net worth</w:t>
            </w:r>
          </w:p>
        </w:tc>
        <w:tc>
          <w:tcPr>
            <w:tcW w:w="767" w:type="pct"/>
            <w:tcBorders>
              <w:top w:val="nil"/>
              <w:left w:val="nil"/>
              <w:bottom w:val="single" w:sz="4" w:space="0" w:color="000000"/>
              <w:right w:val="nil"/>
            </w:tcBorders>
            <w:shd w:val="clear" w:color="000000" w:fill="FFFFFF"/>
            <w:noWrap/>
            <w:vAlign w:val="center"/>
            <w:hideMark/>
          </w:tcPr>
          <w:p w14:paraId="1E77043C" w14:textId="4770E101" w:rsidR="00BE29A4" w:rsidRPr="003B5469" w:rsidRDefault="00A36B1E" w:rsidP="00BE29A4">
            <w:pPr>
              <w:spacing w:after="0" w:line="240" w:lineRule="auto"/>
              <w:jc w:val="right"/>
              <w:rPr>
                <w:rFonts w:ascii="Arial" w:hAnsi="Arial" w:cs="Arial"/>
                <w:b/>
                <w:sz w:val="16"/>
                <w:szCs w:val="16"/>
              </w:rPr>
            </w:pPr>
            <w:r w:rsidRPr="003B5469">
              <w:rPr>
                <w:rFonts w:ascii="Arial" w:hAnsi="Arial" w:cs="Arial"/>
                <w:b/>
                <w:sz w:val="16"/>
                <w:szCs w:val="16"/>
              </w:rPr>
              <w:noBreakHyphen/>
            </w:r>
            <w:r w:rsidR="00BE29A4" w:rsidRPr="003B5469">
              <w:rPr>
                <w:rFonts w:ascii="Arial" w:hAnsi="Arial" w:cs="Arial"/>
                <w:b/>
                <w:sz w:val="16"/>
                <w:szCs w:val="16"/>
              </w:rPr>
              <w:t>586.5</w:t>
            </w:r>
          </w:p>
        </w:tc>
        <w:tc>
          <w:tcPr>
            <w:tcW w:w="767" w:type="pct"/>
            <w:tcBorders>
              <w:top w:val="nil"/>
              <w:left w:val="nil"/>
              <w:bottom w:val="single" w:sz="4" w:space="0" w:color="000000"/>
              <w:right w:val="nil"/>
            </w:tcBorders>
            <w:shd w:val="clear" w:color="000000" w:fill="EBFFFF"/>
            <w:noWrap/>
            <w:vAlign w:val="center"/>
            <w:hideMark/>
          </w:tcPr>
          <w:p w14:paraId="56EA4651" w14:textId="2B4BB164" w:rsidR="00BE29A4" w:rsidRPr="003B5469" w:rsidRDefault="00A36B1E" w:rsidP="00BE29A4">
            <w:pPr>
              <w:spacing w:after="0" w:line="240" w:lineRule="auto"/>
              <w:jc w:val="right"/>
              <w:rPr>
                <w:rFonts w:ascii="Arial" w:hAnsi="Arial" w:cs="Arial"/>
                <w:b/>
                <w:sz w:val="16"/>
                <w:szCs w:val="16"/>
              </w:rPr>
            </w:pPr>
            <w:r w:rsidRPr="003B5469">
              <w:rPr>
                <w:rFonts w:ascii="Arial" w:hAnsi="Arial" w:cs="Arial"/>
                <w:b/>
                <w:sz w:val="16"/>
                <w:szCs w:val="16"/>
              </w:rPr>
              <w:noBreakHyphen/>
            </w:r>
            <w:r w:rsidR="00BE29A4" w:rsidRPr="003B5469">
              <w:rPr>
                <w:rFonts w:ascii="Arial" w:hAnsi="Arial" w:cs="Arial"/>
                <w:b/>
                <w:sz w:val="16"/>
                <w:szCs w:val="16"/>
              </w:rPr>
              <w:t>725.2</w:t>
            </w:r>
          </w:p>
        </w:tc>
        <w:tc>
          <w:tcPr>
            <w:tcW w:w="733" w:type="pct"/>
            <w:tcBorders>
              <w:top w:val="nil"/>
              <w:left w:val="nil"/>
              <w:bottom w:val="single" w:sz="4" w:space="0" w:color="000000"/>
              <w:right w:val="nil"/>
            </w:tcBorders>
            <w:shd w:val="clear" w:color="000000" w:fill="FFFFFF"/>
            <w:noWrap/>
            <w:vAlign w:val="center"/>
            <w:hideMark/>
          </w:tcPr>
          <w:p w14:paraId="74986711" w14:textId="00A26D40" w:rsidR="00BE29A4" w:rsidRPr="003B5469" w:rsidRDefault="00A36B1E" w:rsidP="00BE29A4">
            <w:pPr>
              <w:spacing w:after="0" w:line="240" w:lineRule="auto"/>
              <w:jc w:val="right"/>
              <w:rPr>
                <w:rFonts w:ascii="Arial" w:hAnsi="Arial" w:cs="Arial"/>
                <w:b/>
                <w:sz w:val="16"/>
                <w:szCs w:val="16"/>
              </w:rPr>
            </w:pPr>
            <w:r w:rsidRPr="003B5469">
              <w:rPr>
                <w:rFonts w:ascii="Arial" w:hAnsi="Arial" w:cs="Arial"/>
                <w:b/>
                <w:sz w:val="16"/>
                <w:szCs w:val="16"/>
              </w:rPr>
              <w:noBreakHyphen/>
            </w:r>
            <w:r w:rsidR="00BE29A4" w:rsidRPr="003B5469">
              <w:rPr>
                <w:rFonts w:ascii="Arial" w:hAnsi="Arial" w:cs="Arial"/>
                <w:b/>
                <w:sz w:val="16"/>
                <w:szCs w:val="16"/>
              </w:rPr>
              <w:t>138.7</w:t>
            </w:r>
          </w:p>
        </w:tc>
      </w:tr>
      <w:tr w:rsidR="00BE29A4" w:rsidRPr="00513ED7" w14:paraId="70E867F9" w14:textId="77777777" w:rsidTr="00BE29A4">
        <w:trPr>
          <w:trHeight w:hRule="exact" w:val="60"/>
        </w:trPr>
        <w:tc>
          <w:tcPr>
            <w:tcW w:w="2734" w:type="pct"/>
            <w:tcBorders>
              <w:top w:val="nil"/>
              <w:left w:val="nil"/>
              <w:bottom w:val="nil"/>
              <w:right w:val="nil"/>
            </w:tcBorders>
            <w:shd w:val="clear" w:color="000000" w:fill="FFFFFF"/>
            <w:noWrap/>
            <w:vAlign w:val="center"/>
            <w:hideMark/>
          </w:tcPr>
          <w:p w14:paraId="2506CF8A" w14:textId="77777777" w:rsidR="00BE29A4" w:rsidRPr="003B5469" w:rsidRDefault="00BE29A4" w:rsidP="00BE29A4">
            <w:pPr>
              <w:spacing w:after="0" w:line="240" w:lineRule="auto"/>
              <w:jc w:val="left"/>
              <w:rPr>
                <w:rFonts w:ascii="Arial" w:hAnsi="Arial" w:cs="Arial"/>
                <w:b/>
                <w:sz w:val="16"/>
                <w:szCs w:val="16"/>
              </w:rPr>
            </w:pPr>
            <w:r w:rsidRPr="003B5469">
              <w:rPr>
                <w:rFonts w:ascii="Arial" w:hAnsi="Arial" w:cs="Arial"/>
                <w:b/>
                <w:sz w:val="16"/>
                <w:szCs w:val="16"/>
              </w:rPr>
              <w:t> </w:t>
            </w:r>
          </w:p>
        </w:tc>
        <w:tc>
          <w:tcPr>
            <w:tcW w:w="767" w:type="pct"/>
            <w:tcBorders>
              <w:top w:val="nil"/>
              <w:left w:val="nil"/>
              <w:bottom w:val="nil"/>
              <w:right w:val="nil"/>
            </w:tcBorders>
            <w:shd w:val="clear" w:color="000000" w:fill="FFFFFF"/>
            <w:noWrap/>
            <w:vAlign w:val="center"/>
            <w:hideMark/>
          </w:tcPr>
          <w:p w14:paraId="1154A851"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 </w:t>
            </w:r>
          </w:p>
        </w:tc>
        <w:tc>
          <w:tcPr>
            <w:tcW w:w="767" w:type="pct"/>
            <w:tcBorders>
              <w:top w:val="nil"/>
              <w:left w:val="nil"/>
              <w:bottom w:val="nil"/>
              <w:right w:val="nil"/>
            </w:tcBorders>
            <w:shd w:val="clear" w:color="000000" w:fill="EBFFFF"/>
            <w:noWrap/>
            <w:vAlign w:val="center"/>
            <w:hideMark/>
          </w:tcPr>
          <w:p w14:paraId="77C9F454"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 </w:t>
            </w:r>
          </w:p>
        </w:tc>
        <w:tc>
          <w:tcPr>
            <w:tcW w:w="733" w:type="pct"/>
            <w:tcBorders>
              <w:top w:val="nil"/>
              <w:left w:val="nil"/>
              <w:bottom w:val="nil"/>
              <w:right w:val="nil"/>
            </w:tcBorders>
            <w:shd w:val="clear" w:color="000000" w:fill="FFFFFF"/>
            <w:noWrap/>
            <w:vAlign w:val="center"/>
            <w:hideMark/>
          </w:tcPr>
          <w:p w14:paraId="19AF309B"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 </w:t>
            </w:r>
          </w:p>
        </w:tc>
      </w:tr>
      <w:tr w:rsidR="00BE29A4" w:rsidRPr="00513ED7" w14:paraId="4DE48FC5" w14:textId="77777777" w:rsidTr="00BE29A4">
        <w:trPr>
          <w:trHeight w:hRule="exact" w:val="225"/>
        </w:trPr>
        <w:tc>
          <w:tcPr>
            <w:tcW w:w="2734" w:type="pct"/>
            <w:tcBorders>
              <w:top w:val="nil"/>
              <w:left w:val="nil"/>
              <w:bottom w:val="nil"/>
              <w:right w:val="nil"/>
            </w:tcBorders>
            <w:shd w:val="clear" w:color="000000" w:fill="FFFFFF"/>
            <w:noWrap/>
            <w:vAlign w:val="center"/>
            <w:hideMark/>
          </w:tcPr>
          <w:p w14:paraId="1EE9A81B" w14:textId="77777777" w:rsidR="00BE29A4" w:rsidRPr="003B5469" w:rsidRDefault="00BE29A4" w:rsidP="00BE29A4">
            <w:pPr>
              <w:spacing w:after="0" w:line="240" w:lineRule="auto"/>
              <w:jc w:val="left"/>
              <w:rPr>
                <w:rFonts w:ascii="Arial" w:hAnsi="Arial" w:cs="Arial"/>
                <w:b/>
                <w:sz w:val="16"/>
                <w:szCs w:val="16"/>
              </w:rPr>
            </w:pPr>
            <w:r w:rsidRPr="003B5469">
              <w:rPr>
                <w:rFonts w:ascii="Arial" w:hAnsi="Arial" w:cs="Arial"/>
                <w:b/>
                <w:sz w:val="16"/>
                <w:szCs w:val="16"/>
              </w:rPr>
              <w:t xml:space="preserve">Net financial worth(a) </w:t>
            </w:r>
          </w:p>
        </w:tc>
        <w:tc>
          <w:tcPr>
            <w:tcW w:w="767" w:type="pct"/>
            <w:tcBorders>
              <w:top w:val="nil"/>
              <w:left w:val="nil"/>
              <w:bottom w:val="nil"/>
              <w:right w:val="nil"/>
            </w:tcBorders>
            <w:shd w:val="clear" w:color="000000" w:fill="FFFFFF"/>
            <w:noWrap/>
            <w:vAlign w:val="center"/>
            <w:hideMark/>
          </w:tcPr>
          <w:p w14:paraId="04E2D5F9" w14:textId="000A138E" w:rsidR="00BE29A4" w:rsidRPr="003B5469" w:rsidRDefault="00A36B1E" w:rsidP="00BE29A4">
            <w:pPr>
              <w:spacing w:after="0" w:line="240" w:lineRule="auto"/>
              <w:jc w:val="right"/>
              <w:rPr>
                <w:rFonts w:ascii="Arial" w:hAnsi="Arial" w:cs="Arial"/>
                <w:b/>
                <w:sz w:val="16"/>
                <w:szCs w:val="16"/>
              </w:rPr>
            </w:pPr>
            <w:r w:rsidRPr="003B5469">
              <w:rPr>
                <w:rFonts w:ascii="Arial" w:hAnsi="Arial" w:cs="Arial"/>
                <w:b/>
                <w:sz w:val="16"/>
                <w:szCs w:val="16"/>
              </w:rPr>
              <w:noBreakHyphen/>
            </w:r>
            <w:r w:rsidR="00BE29A4" w:rsidRPr="003B5469">
              <w:rPr>
                <w:rFonts w:ascii="Arial" w:hAnsi="Arial" w:cs="Arial"/>
                <w:b/>
                <w:sz w:val="16"/>
                <w:szCs w:val="16"/>
              </w:rPr>
              <w:t>769.8</w:t>
            </w:r>
          </w:p>
        </w:tc>
        <w:tc>
          <w:tcPr>
            <w:tcW w:w="767" w:type="pct"/>
            <w:tcBorders>
              <w:top w:val="nil"/>
              <w:left w:val="nil"/>
              <w:bottom w:val="nil"/>
              <w:right w:val="nil"/>
            </w:tcBorders>
            <w:shd w:val="clear" w:color="000000" w:fill="EBFFFF"/>
            <w:noWrap/>
            <w:vAlign w:val="center"/>
            <w:hideMark/>
          </w:tcPr>
          <w:p w14:paraId="0D3773D9" w14:textId="272ECAC3" w:rsidR="00BE29A4" w:rsidRPr="003B5469" w:rsidRDefault="00A36B1E" w:rsidP="00BE29A4">
            <w:pPr>
              <w:spacing w:after="0" w:line="240" w:lineRule="auto"/>
              <w:jc w:val="right"/>
              <w:rPr>
                <w:rFonts w:ascii="Arial" w:hAnsi="Arial" w:cs="Arial"/>
                <w:b/>
                <w:sz w:val="16"/>
                <w:szCs w:val="16"/>
              </w:rPr>
            </w:pPr>
            <w:r w:rsidRPr="003B5469">
              <w:rPr>
                <w:rFonts w:ascii="Arial" w:hAnsi="Arial" w:cs="Arial"/>
                <w:b/>
                <w:sz w:val="16"/>
                <w:szCs w:val="16"/>
              </w:rPr>
              <w:noBreakHyphen/>
            </w:r>
            <w:r w:rsidR="00BE29A4" w:rsidRPr="003B5469">
              <w:rPr>
                <w:rFonts w:ascii="Arial" w:hAnsi="Arial" w:cs="Arial"/>
                <w:b/>
                <w:sz w:val="16"/>
                <w:szCs w:val="16"/>
              </w:rPr>
              <w:t>905.9</w:t>
            </w:r>
          </w:p>
        </w:tc>
        <w:tc>
          <w:tcPr>
            <w:tcW w:w="733" w:type="pct"/>
            <w:tcBorders>
              <w:top w:val="nil"/>
              <w:left w:val="nil"/>
              <w:bottom w:val="nil"/>
              <w:right w:val="nil"/>
            </w:tcBorders>
            <w:shd w:val="clear" w:color="000000" w:fill="FFFFFF"/>
            <w:noWrap/>
            <w:vAlign w:val="center"/>
            <w:hideMark/>
          </w:tcPr>
          <w:p w14:paraId="2363FCC3" w14:textId="3B9598EB" w:rsidR="00BE29A4" w:rsidRPr="003B5469" w:rsidRDefault="00A36B1E" w:rsidP="00BE29A4">
            <w:pPr>
              <w:spacing w:after="0" w:line="240" w:lineRule="auto"/>
              <w:jc w:val="right"/>
              <w:rPr>
                <w:rFonts w:ascii="Arial" w:hAnsi="Arial" w:cs="Arial"/>
                <w:b/>
                <w:sz w:val="16"/>
                <w:szCs w:val="16"/>
              </w:rPr>
            </w:pPr>
            <w:r w:rsidRPr="003B5469">
              <w:rPr>
                <w:rFonts w:ascii="Arial" w:hAnsi="Arial" w:cs="Arial"/>
                <w:b/>
                <w:sz w:val="16"/>
                <w:szCs w:val="16"/>
              </w:rPr>
              <w:noBreakHyphen/>
            </w:r>
            <w:r w:rsidR="00BE29A4" w:rsidRPr="003B5469">
              <w:rPr>
                <w:rFonts w:ascii="Arial" w:hAnsi="Arial" w:cs="Arial"/>
                <w:b/>
                <w:sz w:val="16"/>
                <w:szCs w:val="16"/>
              </w:rPr>
              <w:t>136.1</w:t>
            </w:r>
          </w:p>
        </w:tc>
      </w:tr>
      <w:tr w:rsidR="00BE29A4" w:rsidRPr="00513ED7" w14:paraId="1F50A1B6" w14:textId="77777777" w:rsidTr="00BE29A4">
        <w:trPr>
          <w:trHeight w:hRule="exact" w:val="225"/>
        </w:trPr>
        <w:tc>
          <w:tcPr>
            <w:tcW w:w="2734" w:type="pct"/>
            <w:tcBorders>
              <w:top w:val="nil"/>
              <w:left w:val="nil"/>
              <w:bottom w:val="single" w:sz="4" w:space="0" w:color="000000"/>
              <w:right w:val="nil"/>
            </w:tcBorders>
            <w:shd w:val="clear" w:color="000000" w:fill="FFFFFF"/>
            <w:noWrap/>
            <w:vAlign w:val="center"/>
            <w:hideMark/>
          </w:tcPr>
          <w:p w14:paraId="546C449E" w14:textId="77777777" w:rsidR="00BE29A4" w:rsidRPr="003B5469" w:rsidRDefault="00BE29A4" w:rsidP="00BE29A4">
            <w:pPr>
              <w:spacing w:after="0" w:line="240" w:lineRule="auto"/>
              <w:jc w:val="left"/>
              <w:rPr>
                <w:rFonts w:ascii="Arial" w:hAnsi="Arial" w:cs="Arial"/>
                <w:sz w:val="16"/>
                <w:szCs w:val="16"/>
              </w:rPr>
            </w:pPr>
            <w:r w:rsidRPr="003B5469">
              <w:rPr>
                <w:rFonts w:ascii="Arial" w:hAnsi="Arial" w:cs="Arial"/>
                <w:sz w:val="16"/>
                <w:szCs w:val="16"/>
              </w:rPr>
              <w:t>Per cent of GDP</w:t>
            </w:r>
          </w:p>
        </w:tc>
        <w:tc>
          <w:tcPr>
            <w:tcW w:w="767" w:type="pct"/>
            <w:tcBorders>
              <w:top w:val="nil"/>
              <w:left w:val="nil"/>
              <w:bottom w:val="single" w:sz="4" w:space="0" w:color="000000"/>
              <w:right w:val="nil"/>
            </w:tcBorders>
            <w:shd w:val="clear" w:color="000000" w:fill="FFFFFF"/>
            <w:noWrap/>
            <w:vAlign w:val="center"/>
            <w:hideMark/>
          </w:tcPr>
          <w:p w14:paraId="5891493F" w14:textId="418399DB" w:rsidR="00BE29A4" w:rsidRPr="003B5469" w:rsidRDefault="00A36B1E" w:rsidP="00BE29A4">
            <w:pPr>
              <w:spacing w:after="0" w:line="240" w:lineRule="auto"/>
              <w:jc w:val="right"/>
              <w:rPr>
                <w:rFonts w:ascii="Arial" w:hAnsi="Arial" w:cs="Arial"/>
                <w:sz w:val="16"/>
                <w:szCs w:val="16"/>
              </w:rPr>
            </w:pPr>
            <w:r w:rsidRPr="003B5469">
              <w:rPr>
                <w:rFonts w:ascii="Arial" w:hAnsi="Arial" w:cs="Arial"/>
                <w:sz w:val="16"/>
                <w:szCs w:val="16"/>
              </w:rPr>
              <w:noBreakHyphen/>
            </w:r>
            <w:r w:rsidR="00BE29A4" w:rsidRPr="003B5469">
              <w:rPr>
                <w:rFonts w:ascii="Arial" w:hAnsi="Arial" w:cs="Arial"/>
                <w:sz w:val="16"/>
                <w:szCs w:val="16"/>
              </w:rPr>
              <w:t>37.4</w:t>
            </w:r>
          </w:p>
        </w:tc>
        <w:tc>
          <w:tcPr>
            <w:tcW w:w="767" w:type="pct"/>
            <w:tcBorders>
              <w:top w:val="nil"/>
              <w:left w:val="nil"/>
              <w:bottom w:val="single" w:sz="4" w:space="0" w:color="000000"/>
              <w:right w:val="nil"/>
            </w:tcBorders>
            <w:shd w:val="clear" w:color="000000" w:fill="EBFFFF"/>
            <w:noWrap/>
            <w:vAlign w:val="center"/>
            <w:hideMark/>
          </w:tcPr>
          <w:p w14:paraId="58B3ECA6" w14:textId="017459B2" w:rsidR="00BE29A4" w:rsidRPr="003B5469" w:rsidRDefault="00A36B1E" w:rsidP="00BE29A4">
            <w:pPr>
              <w:spacing w:after="0" w:line="240" w:lineRule="auto"/>
              <w:jc w:val="right"/>
              <w:rPr>
                <w:rFonts w:ascii="Arial" w:hAnsi="Arial" w:cs="Arial"/>
                <w:sz w:val="16"/>
                <w:szCs w:val="16"/>
              </w:rPr>
            </w:pPr>
            <w:r w:rsidRPr="003B5469">
              <w:rPr>
                <w:rFonts w:ascii="Arial" w:hAnsi="Arial" w:cs="Arial"/>
                <w:sz w:val="16"/>
                <w:szCs w:val="16"/>
              </w:rPr>
              <w:noBreakHyphen/>
            </w:r>
            <w:r w:rsidR="00BE29A4" w:rsidRPr="003B5469">
              <w:rPr>
                <w:rFonts w:ascii="Arial" w:hAnsi="Arial" w:cs="Arial"/>
                <w:sz w:val="16"/>
                <w:szCs w:val="16"/>
              </w:rPr>
              <w:t>43.8</w:t>
            </w:r>
          </w:p>
        </w:tc>
        <w:tc>
          <w:tcPr>
            <w:tcW w:w="733" w:type="pct"/>
            <w:tcBorders>
              <w:top w:val="nil"/>
              <w:left w:val="nil"/>
              <w:bottom w:val="single" w:sz="4" w:space="0" w:color="000000"/>
              <w:right w:val="nil"/>
            </w:tcBorders>
            <w:shd w:val="clear" w:color="000000" w:fill="FFFFFF"/>
            <w:noWrap/>
            <w:vAlign w:val="center"/>
            <w:hideMark/>
          </w:tcPr>
          <w:p w14:paraId="098A7253"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 </w:t>
            </w:r>
          </w:p>
        </w:tc>
      </w:tr>
      <w:tr w:rsidR="00BE29A4" w:rsidRPr="00513ED7" w14:paraId="60B3C3DF" w14:textId="77777777" w:rsidTr="00BE29A4">
        <w:trPr>
          <w:trHeight w:hRule="exact" w:val="60"/>
        </w:trPr>
        <w:tc>
          <w:tcPr>
            <w:tcW w:w="2734" w:type="pct"/>
            <w:tcBorders>
              <w:top w:val="nil"/>
              <w:left w:val="nil"/>
              <w:bottom w:val="nil"/>
              <w:right w:val="nil"/>
            </w:tcBorders>
            <w:shd w:val="clear" w:color="000000" w:fill="FFFFFF"/>
            <w:noWrap/>
            <w:vAlign w:val="center"/>
            <w:hideMark/>
          </w:tcPr>
          <w:p w14:paraId="7358887F" w14:textId="77777777" w:rsidR="00BE29A4" w:rsidRPr="003B5469" w:rsidRDefault="00BE29A4" w:rsidP="00BE29A4">
            <w:pPr>
              <w:spacing w:after="0" w:line="240" w:lineRule="auto"/>
              <w:jc w:val="left"/>
              <w:rPr>
                <w:rFonts w:ascii="Arial" w:hAnsi="Arial" w:cs="Arial"/>
                <w:b/>
                <w:sz w:val="16"/>
                <w:szCs w:val="16"/>
              </w:rPr>
            </w:pPr>
            <w:r w:rsidRPr="003B5469">
              <w:rPr>
                <w:rFonts w:ascii="Arial" w:hAnsi="Arial" w:cs="Arial"/>
                <w:b/>
                <w:sz w:val="16"/>
                <w:szCs w:val="16"/>
              </w:rPr>
              <w:t> </w:t>
            </w:r>
          </w:p>
        </w:tc>
        <w:tc>
          <w:tcPr>
            <w:tcW w:w="767" w:type="pct"/>
            <w:tcBorders>
              <w:top w:val="nil"/>
              <w:left w:val="nil"/>
              <w:bottom w:val="nil"/>
              <w:right w:val="nil"/>
            </w:tcBorders>
            <w:shd w:val="clear" w:color="000000" w:fill="FFFFFF"/>
            <w:noWrap/>
            <w:vAlign w:val="center"/>
            <w:hideMark/>
          </w:tcPr>
          <w:p w14:paraId="267977FC"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 </w:t>
            </w:r>
          </w:p>
        </w:tc>
        <w:tc>
          <w:tcPr>
            <w:tcW w:w="767" w:type="pct"/>
            <w:tcBorders>
              <w:top w:val="nil"/>
              <w:left w:val="nil"/>
              <w:bottom w:val="nil"/>
              <w:right w:val="nil"/>
            </w:tcBorders>
            <w:shd w:val="clear" w:color="000000" w:fill="EBFFFF"/>
            <w:noWrap/>
            <w:vAlign w:val="center"/>
            <w:hideMark/>
          </w:tcPr>
          <w:p w14:paraId="1CFCBE2A"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 </w:t>
            </w:r>
          </w:p>
        </w:tc>
        <w:tc>
          <w:tcPr>
            <w:tcW w:w="733" w:type="pct"/>
            <w:tcBorders>
              <w:top w:val="nil"/>
              <w:left w:val="nil"/>
              <w:bottom w:val="nil"/>
              <w:right w:val="nil"/>
            </w:tcBorders>
            <w:shd w:val="clear" w:color="000000" w:fill="FFFFFF"/>
            <w:noWrap/>
            <w:vAlign w:val="center"/>
            <w:hideMark/>
          </w:tcPr>
          <w:p w14:paraId="27180CE7"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 </w:t>
            </w:r>
          </w:p>
        </w:tc>
      </w:tr>
      <w:tr w:rsidR="00BE29A4" w:rsidRPr="00513ED7" w14:paraId="1CCF5934" w14:textId="77777777" w:rsidTr="00BE29A4">
        <w:trPr>
          <w:trHeight w:hRule="exact" w:val="225"/>
        </w:trPr>
        <w:tc>
          <w:tcPr>
            <w:tcW w:w="2734" w:type="pct"/>
            <w:tcBorders>
              <w:top w:val="nil"/>
              <w:left w:val="nil"/>
              <w:bottom w:val="nil"/>
              <w:right w:val="nil"/>
            </w:tcBorders>
            <w:shd w:val="clear" w:color="000000" w:fill="FFFFFF"/>
            <w:noWrap/>
            <w:vAlign w:val="center"/>
            <w:hideMark/>
          </w:tcPr>
          <w:p w14:paraId="6B6E2690" w14:textId="77777777" w:rsidR="00BE29A4" w:rsidRPr="003B5469" w:rsidRDefault="00BE29A4" w:rsidP="00BE29A4">
            <w:pPr>
              <w:spacing w:after="0" w:line="240" w:lineRule="auto"/>
              <w:jc w:val="left"/>
              <w:rPr>
                <w:rFonts w:ascii="Arial" w:hAnsi="Arial" w:cs="Arial"/>
                <w:b/>
                <w:sz w:val="16"/>
                <w:szCs w:val="16"/>
              </w:rPr>
            </w:pPr>
            <w:r w:rsidRPr="003B5469">
              <w:rPr>
                <w:rFonts w:ascii="Arial" w:hAnsi="Arial" w:cs="Arial"/>
                <w:b/>
                <w:sz w:val="16"/>
                <w:szCs w:val="16"/>
              </w:rPr>
              <w:t>Net debt(b)</w:t>
            </w:r>
          </w:p>
        </w:tc>
        <w:tc>
          <w:tcPr>
            <w:tcW w:w="767" w:type="pct"/>
            <w:tcBorders>
              <w:top w:val="nil"/>
              <w:left w:val="nil"/>
              <w:bottom w:val="nil"/>
              <w:right w:val="nil"/>
            </w:tcBorders>
            <w:shd w:val="clear" w:color="000000" w:fill="FFFFFF"/>
            <w:noWrap/>
            <w:vAlign w:val="center"/>
            <w:hideMark/>
          </w:tcPr>
          <w:p w14:paraId="7BCA595F"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617.5</w:t>
            </w:r>
          </w:p>
        </w:tc>
        <w:tc>
          <w:tcPr>
            <w:tcW w:w="767" w:type="pct"/>
            <w:tcBorders>
              <w:top w:val="nil"/>
              <w:left w:val="nil"/>
              <w:bottom w:val="nil"/>
              <w:right w:val="nil"/>
            </w:tcBorders>
            <w:shd w:val="clear" w:color="000000" w:fill="EBFFFF"/>
            <w:noWrap/>
            <w:vAlign w:val="center"/>
            <w:hideMark/>
          </w:tcPr>
          <w:p w14:paraId="1CD3837B"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592.2</w:t>
            </w:r>
          </w:p>
        </w:tc>
        <w:tc>
          <w:tcPr>
            <w:tcW w:w="733" w:type="pct"/>
            <w:tcBorders>
              <w:top w:val="nil"/>
              <w:left w:val="nil"/>
              <w:bottom w:val="nil"/>
              <w:right w:val="nil"/>
            </w:tcBorders>
            <w:shd w:val="clear" w:color="000000" w:fill="FFFFFF"/>
            <w:noWrap/>
            <w:vAlign w:val="center"/>
            <w:hideMark/>
          </w:tcPr>
          <w:p w14:paraId="7967C3CC" w14:textId="42726EF5" w:rsidR="00BE29A4" w:rsidRPr="003B5469" w:rsidRDefault="00A36B1E" w:rsidP="00BE29A4">
            <w:pPr>
              <w:spacing w:after="0" w:line="240" w:lineRule="auto"/>
              <w:jc w:val="right"/>
              <w:rPr>
                <w:rFonts w:ascii="Arial" w:hAnsi="Arial" w:cs="Arial"/>
                <w:b/>
                <w:sz w:val="16"/>
                <w:szCs w:val="16"/>
              </w:rPr>
            </w:pPr>
            <w:r w:rsidRPr="003B5469">
              <w:rPr>
                <w:rFonts w:ascii="Arial" w:hAnsi="Arial" w:cs="Arial"/>
                <w:b/>
                <w:sz w:val="16"/>
                <w:szCs w:val="16"/>
              </w:rPr>
              <w:noBreakHyphen/>
            </w:r>
            <w:r w:rsidR="00BE29A4" w:rsidRPr="003B5469">
              <w:rPr>
                <w:rFonts w:ascii="Arial" w:hAnsi="Arial" w:cs="Arial"/>
                <w:b/>
                <w:sz w:val="16"/>
                <w:szCs w:val="16"/>
              </w:rPr>
              <w:t>25.3</w:t>
            </w:r>
          </w:p>
        </w:tc>
      </w:tr>
      <w:tr w:rsidR="00BE29A4" w:rsidRPr="00513ED7" w14:paraId="7135032E" w14:textId="77777777" w:rsidTr="00BE29A4">
        <w:trPr>
          <w:trHeight w:hRule="exact" w:val="225"/>
        </w:trPr>
        <w:tc>
          <w:tcPr>
            <w:tcW w:w="2734" w:type="pct"/>
            <w:tcBorders>
              <w:top w:val="nil"/>
              <w:left w:val="nil"/>
              <w:bottom w:val="single" w:sz="4" w:space="0" w:color="000000"/>
              <w:right w:val="nil"/>
            </w:tcBorders>
            <w:shd w:val="clear" w:color="000000" w:fill="FFFFFF"/>
            <w:noWrap/>
            <w:vAlign w:val="center"/>
            <w:hideMark/>
          </w:tcPr>
          <w:p w14:paraId="599DEF8A" w14:textId="77777777" w:rsidR="00BE29A4" w:rsidRPr="003B5469" w:rsidRDefault="00BE29A4" w:rsidP="00BE29A4">
            <w:pPr>
              <w:spacing w:after="0" w:line="240" w:lineRule="auto"/>
              <w:jc w:val="left"/>
              <w:rPr>
                <w:rFonts w:ascii="Arial" w:hAnsi="Arial" w:cs="Arial"/>
                <w:sz w:val="16"/>
                <w:szCs w:val="16"/>
              </w:rPr>
            </w:pPr>
            <w:r w:rsidRPr="003B5469">
              <w:rPr>
                <w:rFonts w:ascii="Arial" w:hAnsi="Arial" w:cs="Arial"/>
                <w:sz w:val="16"/>
                <w:szCs w:val="16"/>
              </w:rPr>
              <w:t>Per cent of GDP</w:t>
            </w:r>
          </w:p>
        </w:tc>
        <w:tc>
          <w:tcPr>
            <w:tcW w:w="767" w:type="pct"/>
            <w:tcBorders>
              <w:top w:val="nil"/>
              <w:left w:val="nil"/>
              <w:bottom w:val="single" w:sz="4" w:space="0" w:color="000000"/>
              <w:right w:val="nil"/>
            </w:tcBorders>
            <w:shd w:val="clear" w:color="000000" w:fill="FFFFFF"/>
            <w:noWrap/>
            <w:vAlign w:val="center"/>
            <w:hideMark/>
          </w:tcPr>
          <w:p w14:paraId="1AFB5E32"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30.0</w:t>
            </w:r>
          </w:p>
        </w:tc>
        <w:tc>
          <w:tcPr>
            <w:tcW w:w="767" w:type="pct"/>
            <w:tcBorders>
              <w:top w:val="nil"/>
              <w:left w:val="nil"/>
              <w:bottom w:val="single" w:sz="4" w:space="0" w:color="000000"/>
              <w:right w:val="nil"/>
            </w:tcBorders>
            <w:shd w:val="clear" w:color="000000" w:fill="EBFFFF"/>
            <w:noWrap/>
            <w:vAlign w:val="center"/>
            <w:hideMark/>
          </w:tcPr>
          <w:p w14:paraId="38596E92"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28.6</w:t>
            </w:r>
          </w:p>
        </w:tc>
        <w:tc>
          <w:tcPr>
            <w:tcW w:w="733" w:type="pct"/>
            <w:tcBorders>
              <w:top w:val="nil"/>
              <w:left w:val="nil"/>
              <w:bottom w:val="single" w:sz="4" w:space="0" w:color="000000"/>
              <w:right w:val="nil"/>
            </w:tcBorders>
            <w:shd w:val="clear" w:color="000000" w:fill="FFFFFF"/>
            <w:noWrap/>
            <w:vAlign w:val="center"/>
            <w:hideMark/>
          </w:tcPr>
          <w:p w14:paraId="59F398AD"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 </w:t>
            </w:r>
          </w:p>
        </w:tc>
      </w:tr>
      <w:tr w:rsidR="00BE29A4" w:rsidRPr="00513ED7" w14:paraId="60A54CBC" w14:textId="77777777" w:rsidTr="00BE29A4">
        <w:trPr>
          <w:trHeight w:hRule="exact" w:val="60"/>
        </w:trPr>
        <w:tc>
          <w:tcPr>
            <w:tcW w:w="2734" w:type="pct"/>
            <w:tcBorders>
              <w:top w:val="nil"/>
              <w:left w:val="nil"/>
              <w:bottom w:val="nil"/>
              <w:right w:val="nil"/>
            </w:tcBorders>
            <w:shd w:val="clear" w:color="000000" w:fill="FFFFFF"/>
            <w:noWrap/>
            <w:vAlign w:val="center"/>
            <w:hideMark/>
          </w:tcPr>
          <w:p w14:paraId="19C7EFDA" w14:textId="77777777" w:rsidR="00BE29A4" w:rsidRPr="003B5469" w:rsidRDefault="00BE29A4" w:rsidP="00BE29A4">
            <w:pPr>
              <w:spacing w:after="0" w:line="240" w:lineRule="auto"/>
              <w:jc w:val="left"/>
              <w:rPr>
                <w:rFonts w:ascii="Arial" w:hAnsi="Arial" w:cs="Arial"/>
                <w:color w:val="0000FF"/>
                <w:sz w:val="16"/>
                <w:szCs w:val="16"/>
              </w:rPr>
            </w:pPr>
            <w:r w:rsidRPr="003B5469">
              <w:rPr>
                <w:rFonts w:ascii="Arial" w:hAnsi="Arial" w:cs="Arial"/>
                <w:color w:val="0000FF"/>
                <w:sz w:val="16"/>
                <w:szCs w:val="16"/>
              </w:rPr>
              <w:t> </w:t>
            </w:r>
          </w:p>
        </w:tc>
        <w:tc>
          <w:tcPr>
            <w:tcW w:w="767" w:type="pct"/>
            <w:tcBorders>
              <w:top w:val="nil"/>
              <w:left w:val="nil"/>
              <w:bottom w:val="nil"/>
              <w:right w:val="nil"/>
            </w:tcBorders>
            <w:shd w:val="clear" w:color="000000" w:fill="FFFFFF"/>
            <w:noWrap/>
            <w:vAlign w:val="center"/>
            <w:hideMark/>
          </w:tcPr>
          <w:p w14:paraId="264946A7" w14:textId="77777777" w:rsidR="00BE29A4" w:rsidRPr="003B5469" w:rsidRDefault="00BE29A4" w:rsidP="00BE29A4">
            <w:pPr>
              <w:spacing w:after="0" w:line="240" w:lineRule="auto"/>
              <w:jc w:val="right"/>
              <w:rPr>
                <w:rFonts w:ascii="Arial" w:hAnsi="Arial" w:cs="Arial"/>
                <w:color w:val="0000FF"/>
                <w:sz w:val="16"/>
                <w:szCs w:val="16"/>
              </w:rPr>
            </w:pPr>
            <w:r w:rsidRPr="003B5469">
              <w:rPr>
                <w:rFonts w:ascii="Arial" w:hAnsi="Arial" w:cs="Arial"/>
                <w:color w:val="0000FF"/>
                <w:sz w:val="16"/>
                <w:szCs w:val="16"/>
              </w:rPr>
              <w:t> </w:t>
            </w:r>
          </w:p>
        </w:tc>
        <w:tc>
          <w:tcPr>
            <w:tcW w:w="767" w:type="pct"/>
            <w:tcBorders>
              <w:top w:val="nil"/>
              <w:left w:val="nil"/>
              <w:bottom w:val="nil"/>
              <w:right w:val="nil"/>
            </w:tcBorders>
            <w:shd w:val="clear" w:color="000000" w:fill="EBFFFF"/>
            <w:noWrap/>
            <w:vAlign w:val="center"/>
            <w:hideMark/>
          </w:tcPr>
          <w:p w14:paraId="642840F1" w14:textId="77777777" w:rsidR="00BE29A4" w:rsidRPr="003B5469" w:rsidRDefault="00BE29A4" w:rsidP="00BE29A4">
            <w:pPr>
              <w:spacing w:after="0" w:line="240" w:lineRule="auto"/>
              <w:jc w:val="right"/>
              <w:rPr>
                <w:rFonts w:ascii="Arial" w:hAnsi="Arial" w:cs="Arial"/>
                <w:color w:val="0000FF"/>
                <w:sz w:val="16"/>
                <w:szCs w:val="16"/>
              </w:rPr>
            </w:pPr>
            <w:r w:rsidRPr="003B5469">
              <w:rPr>
                <w:rFonts w:ascii="Arial" w:hAnsi="Arial" w:cs="Arial"/>
                <w:color w:val="0000FF"/>
                <w:sz w:val="16"/>
                <w:szCs w:val="16"/>
              </w:rPr>
              <w:t> </w:t>
            </w:r>
          </w:p>
        </w:tc>
        <w:tc>
          <w:tcPr>
            <w:tcW w:w="733" w:type="pct"/>
            <w:tcBorders>
              <w:top w:val="nil"/>
              <w:left w:val="nil"/>
              <w:bottom w:val="nil"/>
              <w:right w:val="nil"/>
            </w:tcBorders>
            <w:shd w:val="clear" w:color="000000" w:fill="FFFFFF"/>
            <w:noWrap/>
            <w:vAlign w:val="center"/>
            <w:hideMark/>
          </w:tcPr>
          <w:p w14:paraId="77505A4E" w14:textId="77777777" w:rsidR="00BE29A4" w:rsidRPr="003B5469" w:rsidRDefault="00BE29A4" w:rsidP="00BE29A4">
            <w:pPr>
              <w:spacing w:after="0" w:line="240" w:lineRule="auto"/>
              <w:jc w:val="right"/>
              <w:rPr>
                <w:rFonts w:ascii="Arial" w:hAnsi="Arial" w:cs="Arial"/>
                <w:color w:val="0000FF"/>
                <w:sz w:val="16"/>
                <w:szCs w:val="16"/>
              </w:rPr>
            </w:pPr>
            <w:r w:rsidRPr="003B5469">
              <w:rPr>
                <w:rFonts w:ascii="Arial" w:hAnsi="Arial" w:cs="Arial"/>
                <w:color w:val="0000FF"/>
                <w:sz w:val="16"/>
                <w:szCs w:val="16"/>
              </w:rPr>
              <w:t> </w:t>
            </w:r>
          </w:p>
        </w:tc>
      </w:tr>
      <w:tr w:rsidR="00BE29A4" w:rsidRPr="00513ED7" w14:paraId="026378FE" w14:textId="77777777" w:rsidTr="00BE29A4">
        <w:trPr>
          <w:trHeight w:hRule="exact" w:val="225"/>
        </w:trPr>
        <w:tc>
          <w:tcPr>
            <w:tcW w:w="2734" w:type="pct"/>
            <w:tcBorders>
              <w:top w:val="nil"/>
              <w:left w:val="nil"/>
              <w:bottom w:val="nil"/>
              <w:right w:val="nil"/>
            </w:tcBorders>
            <w:shd w:val="clear" w:color="000000" w:fill="FFFFFF"/>
            <w:noWrap/>
            <w:vAlign w:val="center"/>
            <w:hideMark/>
          </w:tcPr>
          <w:p w14:paraId="407D9F70" w14:textId="77777777" w:rsidR="00BE29A4" w:rsidRPr="003B5469" w:rsidRDefault="00BE29A4" w:rsidP="00BE29A4">
            <w:pPr>
              <w:spacing w:after="0" w:line="240" w:lineRule="auto"/>
              <w:jc w:val="left"/>
              <w:rPr>
                <w:rFonts w:ascii="Arial" w:hAnsi="Arial" w:cs="Arial"/>
                <w:b/>
                <w:sz w:val="16"/>
                <w:szCs w:val="16"/>
              </w:rPr>
            </w:pPr>
            <w:r w:rsidRPr="003B5469">
              <w:rPr>
                <w:rFonts w:ascii="Arial" w:hAnsi="Arial" w:cs="Arial"/>
                <w:b/>
                <w:sz w:val="16"/>
                <w:szCs w:val="16"/>
              </w:rPr>
              <w:t>Net interest payments</w:t>
            </w:r>
          </w:p>
        </w:tc>
        <w:tc>
          <w:tcPr>
            <w:tcW w:w="767" w:type="pct"/>
            <w:tcBorders>
              <w:top w:val="nil"/>
              <w:left w:val="nil"/>
              <w:bottom w:val="nil"/>
              <w:right w:val="nil"/>
            </w:tcBorders>
            <w:shd w:val="clear" w:color="000000" w:fill="FFFFFF"/>
            <w:noWrap/>
            <w:vAlign w:val="center"/>
            <w:hideMark/>
          </w:tcPr>
          <w:p w14:paraId="2E5A6F0B"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14.1</w:t>
            </w:r>
          </w:p>
        </w:tc>
        <w:tc>
          <w:tcPr>
            <w:tcW w:w="767" w:type="pct"/>
            <w:tcBorders>
              <w:top w:val="nil"/>
              <w:left w:val="nil"/>
              <w:bottom w:val="nil"/>
              <w:right w:val="nil"/>
            </w:tcBorders>
            <w:shd w:val="clear" w:color="000000" w:fill="EBFFFF"/>
            <w:noWrap/>
            <w:vAlign w:val="center"/>
            <w:hideMark/>
          </w:tcPr>
          <w:p w14:paraId="5E62CD4A"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14.3</w:t>
            </w:r>
          </w:p>
        </w:tc>
        <w:tc>
          <w:tcPr>
            <w:tcW w:w="733" w:type="pct"/>
            <w:tcBorders>
              <w:top w:val="nil"/>
              <w:left w:val="nil"/>
              <w:bottom w:val="nil"/>
              <w:right w:val="nil"/>
            </w:tcBorders>
            <w:shd w:val="clear" w:color="000000" w:fill="FFFFFF"/>
            <w:noWrap/>
            <w:vAlign w:val="center"/>
            <w:hideMark/>
          </w:tcPr>
          <w:p w14:paraId="0F6A76FD" w14:textId="77777777" w:rsidR="00BE29A4" w:rsidRPr="003B5469" w:rsidRDefault="00BE29A4" w:rsidP="00BE29A4">
            <w:pPr>
              <w:spacing w:after="0" w:line="240" w:lineRule="auto"/>
              <w:jc w:val="right"/>
              <w:rPr>
                <w:rFonts w:ascii="Arial" w:hAnsi="Arial" w:cs="Arial"/>
                <w:b/>
                <w:sz w:val="16"/>
                <w:szCs w:val="16"/>
              </w:rPr>
            </w:pPr>
            <w:r w:rsidRPr="003B5469">
              <w:rPr>
                <w:rFonts w:ascii="Arial" w:hAnsi="Arial" w:cs="Arial"/>
                <w:b/>
                <w:sz w:val="16"/>
                <w:szCs w:val="16"/>
              </w:rPr>
              <w:t>0.2</w:t>
            </w:r>
          </w:p>
        </w:tc>
      </w:tr>
      <w:tr w:rsidR="00BE29A4" w:rsidRPr="00513ED7" w14:paraId="54048315" w14:textId="77777777" w:rsidTr="00BE29A4">
        <w:trPr>
          <w:trHeight w:hRule="exact" w:val="225"/>
        </w:trPr>
        <w:tc>
          <w:tcPr>
            <w:tcW w:w="2734" w:type="pct"/>
            <w:tcBorders>
              <w:top w:val="nil"/>
              <w:left w:val="nil"/>
              <w:bottom w:val="single" w:sz="4" w:space="0" w:color="000000"/>
              <w:right w:val="nil"/>
            </w:tcBorders>
            <w:shd w:val="clear" w:color="000000" w:fill="FFFFFF"/>
            <w:noWrap/>
            <w:vAlign w:val="center"/>
            <w:hideMark/>
          </w:tcPr>
          <w:p w14:paraId="3D255AC7" w14:textId="77777777" w:rsidR="00BE29A4" w:rsidRPr="003B5469" w:rsidRDefault="00BE29A4" w:rsidP="00BE29A4">
            <w:pPr>
              <w:spacing w:after="0" w:line="240" w:lineRule="auto"/>
              <w:jc w:val="left"/>
              <w:rPr>
                <w:rFonts w:ascii="Arial" w:hAnsi="Arial" w:cs="Arial"/>
                <w:sz w:val="16"/>
                <w:szCs w:val="16"/>
              </w:rPr>
            </w:pPr>
            <w:r w:rsidRPr="003B5469">
              <w:rPr>
                <w:rFonts w:ascii="Arial" w:hAnsi="Arial" w:cs="Arial"/>
                <w:sz w:val="16"/>
                <w:szCs w:val="16"/>
              </w:rPr>
              <w:t>Per cent of GDP</w:t>
            </w:r>
          </w:p>
        </w:tc>
        <w:tc>
          <w:tcPr>
            <w:tcW w:w="767" w:type="pct"/>
            <w:tcBorders>
              <w:top w:val="nil"/>
              <w:left w:val="nil"/>
              <w:bottom w:val="single" w:sz="4" w:space="0" w:color="000000"/>
              <w:right w:val="nil"/>
            </w:tcBorders>
            <w:shd w:val="clear" w:color="000000" w:fill="FFFFFF"/>
            <w:noWrap/>
            <w:vAlign w:val="center"/>
            <w:hideMark/>
          </w:tcPr>
          <w:p w14:paraId="5D18481B"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0.7</w:t>
            </w:r>
          </w:p>
        </w:tc>
        <w:tc>
          <w:tcPr>
            <w:tcW w:w="767" w:type="pct"/>
            <w:tcBorders>
              <w:top w:val="nil"/>
              <w:left w:val="nil"/>
              <w:bottom w:val="single" w:sz="4" w:space="0" w:color="000000"/>
              <w:right w:val="nil"/>
            </w:tcBorders>
            <w:shd w:val="clear" w:color="000000" w:fill="EBFFFF"/>
            <w:noWrap/>
            <w:vAlign w:val="center"/>
            <w:hideMark/>
          </w:tcPr>
          <w:p w14:paraId="07930D0D"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0.7</w:t>
            </w:r>
          </w:p>
        </w:tc>
        <w:tc>
          <w:tcPr>
            <w:tcW w:w="733" w:type="pct"/>
            <w:tcBorders>
              <w:top w:val="nil"/>
              <w:left w:val="nil"/>
              <w:bottom w:val="single" w:sz="4" w:space="0" w:color="000000"/>
              <w:right w:val="nil"/>
            </w:tcBorders>
            <w:shd w:val="clear" w:color="000000" w:fill="FFFFFF"/>
            <w:noWrap/>
            <w:vAlign w:val="center"/>
            <w:hideMark/>
          </w:tcPr>
          <w:p w14:paraId="2F686C03" w14:textId="77777777" w:rsidR="00BE29A4" w:rsidRPr="003B5469" w:rsidRDefault="00BE29A4" w:rsidP="00BE29A4">
            <w:pPr>
              <w:spacing w:after="0" w:line="240" w:lineRule="auto"/>
              <w:jc w:val="right"/>
              <w:rPr>
                <w:rFonts w:ascii="Arial" w:hAnsi="Arial" w:cs="Arial"/>
                <w:sz w:val="16"/>
                <w:szCs w:val="16"/>
              </w:rPr>
            </w:pPr>
            <w:r w:rsidRPr="003B5469">
              <w:rPr>
                <w:rFonts w:ascii="Arial" w:hAnsi="Arial" w:cs="Arial"/>
                <w:sz w:val="16"/>
                <w:szCs w:val="16"/>
              </w:rPr>
              <w:t> </w:t>
            </w:r>
          </w:p>
        </w:tc>
      </w:tr>
    </w:tbl>
    <w:p w14:paraId="132DEB3B" w14:textId="15B5808D" w:rsidR="00C204D0" w:rsidRPr="003B5469" w:rsidRDefault="00C204D0" w:rsidP="001C691E">
      <w:pPr>
        <w:pStyle w:val="ChartandTableFootnoteAlpha"/>
        <w:numPr>
          <w:ilvl w:val="0"/>
          <w:numId w:val="9"/>
        </w:numPr>
        <w:tabs>
          <w:tab w:val="clear" w:pos="852"/>
          <w:tab w:val="num" w:pos="284"/>
        </w:tabs>
        <w:ind w:left="284"/>
      </w:pPr>
      <w:r w:rsidRPr="003B5469">
        <w:t>Net financial worth equals total financial assets minus total liabilities.</w:t>
      </w:r>
    </w:p>
    <w:p w14:paraId="63A5FE10" w14:textId="52D0410B" w:rsidR="00C204D0" w:rsidRPr="003B5469" w:rsidRDefault="00C204D0" w:rsidP="001C691E">
      <w:pPr>
        <w:pStyle w:val="ChartandTableFootnoteAlpha"/>
        <w:tabs>
          <w:tab w:val="clear" w:pos="852"/>
          <w:tab w:val="num" w:pos="284"/>
        </w:tabs>
        <w:ind w:left="284"/>
      </w:pPr>
      <w:r w:rsidRPr="003B5469">
        <w:t xml:space="preserve">Net debt is the sum of </w:t>
      </w:r>
      <w:proofErr w:type="gramStart"/>
      <w:r w:rsidRPr="003B5469">
        <w:t>interest bearing</w:t>
      </w:r>
      <w:proofErr w:type="gramEnd"/>
      <w:r w:rsidRPr="003B5469">
        <w:t xml:space="preserve"> liabilities </w:t>
      </w:r>
      <w:r w:rsidRPr="003B5469">
        <w:rPr>
          <w:i/>
        </w:rPr>
        <w:t>less</w:t>
      </w:r>
      <w:r w:rsidRPr="003B5469">
        <w:t xml:space="preserve"> the sum of selected financial assets (cash and deposits, advances paid and investments, loans and placements).</w:t>
      </w:r>
    </w:p>
    <w:p w14:paraId="1FD5AC76" w14:textId="44AB24C1" w:rsidR="00755F34" w:rsidRPr="00513ED7" w:rsidRDefault="00755F34" w:rsidP="00702304"/>
    <w:sectPr w:rsidR="00755F34" w:rsidRPr="00513ED7" w:rsidSect="008253FB">
      <w:headerReference w:type="even" r:id="rId11"/>
      <w:headerReference w:type="default" r:id="rId12"/>
      <w:footerReference w:type="even" r:id="rId13"/>
      <w:footerReference w:type="default" r:id="rId14"/>
      <w:footerReference w:type="first" r:id="rId15"/>
      <w:pgSz w:w="11906" w:h="16838" w:code="9"/>
      <w:pgMar w:top="2835" w:right="2098" w:bottom="2466" w:left="2098" w:header="1814" w:footer="18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A4453" w14:textId="77777777" w:rsidR="00DA3B85" w:rsidRDefault="00DA3B85" w:rsidP="00E40261">
      <w:pPr>
        <w:spacing w:after="0" w:line="240" w:lineRule="auto"/>
      </w:pPr>
      <w:r>
        <w:separator/>
      </w:r>
    </w:p>
  </w:endnote>
  <w:endnote w:type="continuationSeparator" w:id="0">
    <w:p w14:paraId="61A733DF" w14:textId="77777777" w:rsidR="00DA3B85" w:rsidRDefault="00DA3B85" w:rsidP="00E40261">
      <w:pPr>
        <w:spacing w:after="0" w:line="240" w:lineRule="auto"/>
      </w:pPr>
      <w:r>
        <w:continuationSeparator/>
      </w:r>
    </w:p>
  </w:endnote>
  <w:endnote w:type="continuationNotice" w:id="1">
    <w:p w14:paraId="05CB1BCC" w14:textId="77777777" w:rsidR="00DA3B85" w:rsidRDefault="00DA3B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791A" w14:textId="6B33F92F" w:rsidR="00614554" w:rsidRPr="002C40D4" w:rsidRDefault="00614554" w:rsidP="002C40D4">
    <w:pPr>
      <w:pStyle w:val="Footer"/>
    </w:pPr>
    <w:r w:rsidRPr="002C40D4">
      <w:fldChar w:fldCharType="begin"/>
    </w:r>
    <w:r w:rsidRPr="002C40D4">
      <w:instrText xml:space="preserve"> PAGE  \* Arabic  \* MERGEFORMAT </w:instrText>
    </w:r>
    <w:r w:rsidRPr="002C40D4">
      <w:fldChar w:fldCharType="separate"/>
    </w:r>
    <w:r w:rsidRPr="002C40D4">
      <w:t>6</w:t>
    </w:r>
    <w:r w:rsidRPr="002C40D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2420" w14:textId="069192D7" w:rsidR="00614554" w:rsidRDefault="00614554" w:rsidP="00F43D0F">
    <w:pPr>
      <w:pStyle w:val="Footer"/>
    </w:pPr>
    <w:r w:rsidRPr="00E8792E">
      <w:fldChar w:fldCharType="begin"/>
    </w:r>
    <w:r w:rsidRPr="00E8792E">
      <w:instrText xml:space="preserve"> PAGE  \* Arabic  \* MERGEFORMAT </w:instrText>
    </w:r>
    <w:r w:rsidRPr="00E8792E">
      <w:fldChar w:fldCharType="separate"/>
    </w:r>
    <w:r w:rsidRPr="00E8792E">
      <w:t>1</w:t>
    </w:r>
    <w:r w:rsidRPr="00E8792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9477E" w14:textId="332605CB" w:rsidR="00614554" w:rsidRPr="0098254D" w:rsidRDefault="00614554" w:rsidP="0098254D">
    <w:pPr>
      <w:pStyle w:val="Footer"/>
    </w:pPr>
    <w:r w:rsidRPr="0098254D">
      <w:fldChar w:fldCharType="begin"/>
    </w:r>
    <w:r w:rsidRPr="0098254D">
      <w:instrText xml:space="preserve"> PAGE  \* Arabic  \* MERGEFORMAT </w:instrText>
    </w:r>
    <w:r w:rsidRPr="0098254D">
      <w:fldChar w:fldCharType="separate"/>
    </w:r>
    <w:r w:rsidRPr="0098254D">
      <w:t>1</w:t>
    </w:r>
    <w:r w:rsidRPr="0098254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C5B89" w14:textId="77777777" w:rsidR="00DA3B85" w:rsidRDefault="00DA3B85" w:rsidP="00E40261">
      <w:pPr>
        <w:spacing w:after="0" w:line="240" w:lineRule="auto"/>
      </w:pPr>
      <w:r>
        <w:separator/>
      </w:r>
    </w:p>
  </w:footnote>
  <w:footnote w:type="continuationSeparator" w:id="0">
    <w:p w14:paraId="28019AAD" w14:textId="77777777" w:rsidR="00DA3B85" w:rsidRDefault="00DA3B85" w:rsidP="00E40261">
      <w:pPr>
        <w:spacing w:after="0" w:line="240" w:lineRule="auto"/>
      </w:pPr>
      <w:r>
        <w:continuationSeparator/>
      </w:r>
    </w:p>
  </w:footnote>
  <w:footnote w:type="continuationNotice" w:id="1">
    <w:p w14:paraId="33E35429" w14:textId="77777777" w:rsidR="00DA3B85" w:rsidRDefault="00DA3B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CA6FB" w14:textId="1BFA2CD1" w:rsidR="00614554" w:rsidRPr="00AA5439" w:rsidRDefault="00614554" w:rsidP="00AA5439">
    <w:pPr>
      <w:pStyle w:val="HeaderEven"/>
      <w:rPr>
        <w:sz w:val="2"/>
        <w:szCs w:val="2"/>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614554" w14:paraId="6AADAA75" w14:textId="77777777" w:rsidTr="002A6A16">
      <w:trPr>
        <w:trHeight w:hRule="exact" w:val="340"/>
      </w:trPr>
      <w:tc>
        <w:tcPr>
          <w:tcW w:w="7797" w:type="dxa"/>
        </w:tcPr>
        <w:p w14:paraId="02BEBEE3" w14:textId="626597DE" w:rsidR="00614554" w:rsidRDefault="00C11148" w:rsidP="008F55F8">
          <w:pPr>
            <w:pStyle w:val="HeaderEven"/>
            <w:ind w:left="-113"/>
          </w:pPr>
          <w:r>
            <w:fldChar w:fldCharType="begin"/>
          </w:r>
          <w:r>
            <w:instrText>TITLE   \* MERGEFORMAT</w:instrText>
          </w:r>
          <w:r>
            <w:fldChar w:fldCharType="separate"/>
          </w:r>
          <w:r w:rsidR="00BA4D4F">
            <w:t>Final Budget Outcome 2020–21</w:t>
          </w:r>
          <w:r>
            <w:fldChar w:fldCharType="end"/>
          </w:r>
        </w:p>
      </w:tc>
    </w:tr>
  </w:tbl>
  <w:p w14:paraId="237139DA" w14:textId="77777777" w:rsidR="00614554" w:rsidRPr="00AA5439" w:rsidRDefault="00614554" w:rsidP="00AA5439">
    <w:pPr>
      <w:pStyle w:val="HeaderEven"/>
      <w:rPr>
        <w:sz w:val="2"/>
        <w:szCs w:val="4"/>
      </w:rPr>
    </w:pPr>
  </w:p>
  <w:p w14:paraId="49C52787" w14:textId="77777777" w:rsidR="00614554" w:rsidRPr="007703C7" w:rsidRDefault="00614554" w:rsidP="007703C7">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97F2" w14:textId="4BF3D159" w:rsidR="00614554" w:rsidRPr="000635BE" w:rsidRDefault="00614554" w:rsidP="000635BE">
    <w:pPr>
      <w:pStyle w:val="HeaderOdd"/>
      <w:rPr>
        <w:sz w:val="2"/>
        <w:szCs w:val="4"/>
      </w:rPr>
    </w:pPr>
  </w:p>
  <w:tbl>
    <w:tblPr>
      <w:tblStyle w:val="TableGrid"/>
      <w:tblW w:w="7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tblGrid>
    <w:tr w:rsidR="00614554" w14:paraId="6D2282FA" w14:textId="77777777" w:rsidTr="002A6A16">
      <w:trPr>
        <w:trHeight w:hRule="exact" w:val="340"/>
      </w:trPr>
      <w:tc>
        <w:tcPr>
          <w:tcW w:w="7797" w:type="dxa"/>
        </w:tcPr>
        <w:p w14:paraId="6F2803B1" w14:textId="43448C06" w:rsidR="00614554" w:rsidRDefault="00C11148" w:rsidP="000635BE">
          <w:pPr>
            <w:pStyle w:val="HeaderOdd"/>
          </w:pPr>
          <w:r>
            <w:fldChar w:fldCharType="begin"/>
          </w:r>
          <w:r>
            <w:instrText xml:space="preserve"> SUBJECT   \* MERGEFORMAT </w:instrText>
          </w:r>
          <w:r>
            <w:fldChar w:fldCharType="separate"/>
          </w:r>
          <w:r w:rsidR="00BA4D4F">
            <w:t>Part 1: Australian Government Budget Outcome 2020–21</w:t>
          </w:r>
          <w:r>
            <w:fldChar w:fldCharType="end"/>
          </w:r>
        </w:p>
      </w:tc>
    </w:tr>
  </w:tbl>
  <w:p w14:paraId="60079D64" w14:textId="77777777" w:rsidR="00614554" w:rsidRPr="00AA5439" w:rsidRDefault="00614554" w:rsidP="00AA543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2909"/>
    <w:multiLevelType w:val="multilevel"/>
    <w:tmpl w:val="753AC1F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2" w15:restartNumberingAfterBreak="0">
    <w:nsid w:val="3B2E19AC"/>
    <w:multiLevelType w:val="singleLevel"/>
    <w:tmpl w:val="6B46FF52"/>
    <w:lvl w:ilvl="0">
      <w:start w:val="1"/>
      <w:numFmt w:val="lowerLetter"/>
      <w:lvlRestart w:val="0"/>
      <w:pStyle w:val="ChartandTableFootnoteAlpha"/>
      <w:lvlText w:val="(%1)"/>
      <w:lvlJc w:val="left"/>
      <w:pPr>
        <w:tabs>
          <w:tab w:val="num" w:pos="852"/>
        </w:tabs>
        <w:ind w:left="852" w:hanging="284"/>
      </w:pPr>
    </w:lvl>
  </w:abstractNum>
  <w:abstractNum w:abstractNumId="3" w15:restartNumberingAfterBreak="0">
    <w:nsid w:val="43FB49B7"/>
    <w:multiLevelType w:val="multi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AF38B8"/>
    <w:multiLevelType w:val="multilevel"/>
    <w:tmpl w:val="C09468FA"/>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lvlOverride w:ilvl="0">
      <w:startOverride w:val="1"/>
    </w:lvlOverride>
  </w:num>
  <w:num w:numId="4">
    <w:abstractNumId w:val="1"/>
    <w:lvlOverride w:ilvl="0">
      <w:startOverride w:val="1"/>
    </w:lvlOverride>
  </w:num>
  <w:num w:numId="5">
    <w:abstractNumId w:val="4"/>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comments" w:enforcement="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C204D0"/>
    <w:rsid w:val="0000120B"/>
    <w:rsid w:val="00002884"/>
    <w:rsid w:val="00002AE6"/>
    <w:rsid w:val="000043CD"/>
    <w:rsid w:val="0000569F"/>
    <w:rsid w:val="000057D7"/>
    <w:rsid w:val="000071EF"/>
    <w:rsid w:val="00007276"/>
    <w:rsid w:val="000079E3"/>
    <w:rsid w:val="00010408"/>
    <w:rsid w:val="00010C0E"/>
    <w:rsid w:val="00010DE3"/>
    <w:rsid w:val="0001181F"/>
    <w:rsid w:val="00011D4E"/>
    <w:rsid w:val="00011DBB"/>
    <w:rsid w:val="000123B2"/>
    <w:rsid w:val="0001303D"/>
    <w:rsid w:val="00013773"/>
    <w:rsid w:val="00013EA8"/>
    <w:rsid w:val="0001581E"/>
    <w:rsid w:val="00016BF1"/>
    <w:rsid w:val="00017140"/>
    <w:rsid w:val="0001752C"/>
    <w:rsid w:val="000175E1"/>
    <w:rsid w:val="00017927"/>
    <w:rsid w:val="00017EA2"/>
    <w:rsid w:val="00022D97"/>
    <w:rsid w:val="0002309A"/>
    <w:rsid w:val="000243F9"/>
    <w:rsid w:val="000250B3"/>
    <w:rsid w:val="00025B64"/>
    <w:rsid w:val="00025CC0"/>
    <w:rsid w:val="00026679"/>
    <w:rsid w:val="00026E0A"/>
    <w:rsid w:val="000274AE"/>
    <w:rsid w:val="000277DB"/>
    <w:rsid w:val="00027F4E"/>
    <w:rsid w:val="000306E7"/>
    <w:rsid w:val="00030E20"/>
    <w:rsid w:val="00030EC3"/>
    <w:rsid w:val="000311AC"/>
    <w:rsid w:val="0003189E"/>
    <w:rsid w:val="000335E0"/>
    <w:rsid w:val="000340FB"/>
    <w:rsid w:val="00034C15"/>
    <w:rsid w:val="000351E2"/>
    <w:rsid w:val="000354CE"/>
    <w:rsid w:val="00035D8D"/>
    <w:rsid w:val="00036287"/>
    <w:rsid w:val="000367B0"/>
    <w:rsid w:val="000406CA"/>
    <w:rsid w:val="00040EA8"/>
    <w:rsid w:val="00041826"/>
    <w:rsid w:val="00042864"/>
    <w:rsid w:val="000428C1"/>
    <w:rsid w:val="00042CA5"/>
    <w:rsid w:val="00043576"/>
    <w:rsid w:val="00043A14"/>
    <w:rsid w:val="00045AD7"/>
    <w:rsid w:val="0004629C"/>
    <w:rsid w:val="000462B7"/>
    <w:rsid w:val="0004696D"/>
    <w:rsid w:val="00046FF0"/>
    <w:rsid w:val="00047841"/>
    <w:rsid w:val="00047A7B"/>
    <w:rsid w:val="0005042E"/>
    <w:rsid w:val="000507AD"/>
    <w:rsid w:val="0005107F"/>
    <w:rsid w:val="00051B43"/>
    <w:rsid w:val="00053B2D"/>
    <w:rsid w:val="00053CB8"/>
    <w:rsid w:val="00054AEE"/>
    <w:rsid w:val="000551C0"/>
    <w:rsid w:val="00055A1B"/>
    <w:rsid w:val="000564CC"/>
    <w:rsid w:val="00060081"/>
    <w:rsid w:val="00060278"/>
    <w:rsid w:val="00060D35"/>
    <w:rsid w:val="00061572"/>
    <w:rsid w:val="00061C90"/>
    <w:rsid w:val="000622DA"/>
    <w:rsid w:val="000634FE"/>
    <w:rsid w:val="000635BE"/>
    <w:rsid w:val="0006371D"/>
    <w:rsid w:val="00063CB7"/>
    <w:rsid w:val="00064013"/>
    <w:rsid w:val="00064747"/>
    <w:rsid w:val="00064C99"/>
    <w:rsid w:val="00065D4C"/>
    <w:rsid w:val="000670DB"/>
    <w:rsid w:val="000673DC"/>
    <w:rsid w:val="00067916"/>
    <w:rsid w:val="00067B45"/>
    <w:rsid w:val="00070969"/>
    <w:rsid w:val="000713FF"/>
    <w:rsid w:val="00071FCB"/>
    <w:rsid w:val="000728EA"/>
    <w:rsid w:val="000729D8"/>
    <w:rsid w:val="00073005"/>
    <w:rsid w:val="0007329E"/>
    <w:rsid w:val="00073791"/>
    <w:rsid w:val="0007384B"/>
    <w:rsid w:val="000746B7"/>
    <w:rsid w:val="0007530D"/>
    <w:rsid w:val="00075B0B"/>
    <w:rsid w:val="000768BC"/>
    <w:rsid w:val="00076E29"/>
    <w:rsid w:val="00077564"/>
    <w:rsid w:val="00077DE0"/>
    <w:rsid w:val="00077E3D"/>
    <w:rsid w:val="000804E7"/>
    <w:rsid w:val="00080B1B"/>
    <w:rsid w:val="000811E0"/>
    <w:rsid w:val="00081890"/>
    <w:rsid w:val="00081E8D"/>
    <w:rsid w:val="000824C8"/>
    <w:rsid w:val="00082882"/>
    <w:rsid w:val="0008350E"/>
    <w:rsid w:val="00084B69"/>
    <w:rsid w:val="00085114"/>
    <w:rsid w:val="00085BD8"/>
    <w:rsid w:val="00087583"/>
    <w:rsid w:val="000879E5"/>
    <w:rsid w:val="00092006"/>
    <w:rsid w:val="00092CF4"/>
    <w:rsid w:val="00092D0F"/>
    <w:rsid w:val="00092DA1"/>
    <w:rsid w:val="0009345B"/>
    <w:rsid w:val="00093E48"/>
    <w:rsid w:val="000955A4"/>
    <w:rsid w:val="00095EE9"/>
    <w:rsid w:val="0009605D"/>
    <w:rsid w:val="0009607F"/>
    <w:rsid w:val="00096BFE"/>
    <w:rsid w:val="000970AB"/>
    <w:rsid w:val="000975B9"/>
    <w:rsid w:val="000A0A84"/>
    <w:rsid w:val="000A1078"/>
    <w:rsid w:val="000A10C0"/>
    <w:rsid w:val="000A13B6"/>
    <w:rsid w:val="000A1B88"/>
    <w:rsid w:val="000A2136"/>
    <w:rsid w:val="000A27E2"/>
    <w:rsid w:val="000A2A3E"/>
    <w:rsid w:val="000A2EE0"/>
    <w:rsid w:val="000A2F1E"/>
    <w:rsid w:val="000A318A"/>
    <w:rsid w:val="000A3FD8"/>
    <w:rsid w:val="000A486C"/>
    <w:rsid w:val="000A59A8"/>
    <w:rsid w:val="000A5DC2"/>
    <w:rsid w:val="000A6000"/>
    <w:rsid w:val="000A6FE4"/>
    <w:rsid w:val="000A7251"/>
    <w:rsid w:val="000A7C0C"/>
    <w:rsid w:val="000B0C9F"/>
    <w:rsid w:val="000B1152"/>
    <w:rsid w:val="000B1483"/>
    <w:rsid w:val="000B1505"/>
    <w:rsid w:val="000B17D2"/>
    <w:rsid w:val="000B266B"/>
    <w:rsid w:val="000B2F42"/>
    <w:rsid w:val="000B38ED"/>
    <w:rsid w:val="000B3D57"/>
    <w:rsid w:val="000B4107"/>
    <w:rsid w:val="000B43DD"/>
    <w:rsid w:val="000B4952"/>
    <w:rsid w:val="000B5175"/>
    <w:rsid w:val="000B6CCE"/>
    <w:rsid w:val="000B6EFD"/>
    <w:rsid w:val="000B7FD6"/>
    <w:rsid w:val="000C01BA"/>
    <w:rsid w:val="000C026A"/>
    <w:rsid w:val="000C0CB8"/>
    <w:rsid w:val="000C1ABF"/>
    <w:rsid w:val="000C1AD0"/>
    <w:rsid w:val="000C2156"/>
    <w:rsid w:val="000C27C7"/>
    <w:rsid w:val="000C2A5C"/>
    <w:rsid w:val="000C3239"/>
    <w:rsid w:val="000C3D04"/>
    <w:rsid w:val="000C49A2"/>
    <w:rsid w:val="000C4B82"/>
    <w:rsid w:val="000C53A0"/>
    <w:rsid w:val="000C65E8"/>
    <w:rsid w:val="000C6C58"/>
    <w:rsid w:val="000C6CA9"/>
    <w:rsid w:val="000C6F44"/>
    <w:rsid w:val="000C74F5"/>
    <w:rsid w:val="000D0A1E"/>
    <w:rsid w:val="000D0AB2"/>
    <w:rsid w:val="000D0D2C"/>
    <w:rsid w:val="000D12CD"/>
    <w:rsid w:val="000D2DE2"/>
    <w:rsid w:val="000D37DD"/>
    <w:rsid w:val="000D4BEE"/>
    <w:rsid w:val="000D5987"/>
    <w:rsid w:val="000D6479"/>
    <w:rsid w:val="000D66B2"/>
    <w:rsid w:val="000D6B44"/>
    <w:rsid w:val="000D6C32"/>
    <w:rsid w:val="000D6D6C"/>
    <w:rsid w:val="000D7013"/>
    <w:rsid w:val="000D72F2"/>
    <w:rsid w:val="000E06CF"/>
    <w:rsid w:val="000E08FB"/>
    <w:rsid w:val="000E0C6D"/>
    <w:rsid w:val="000E105B"/>
    <w:rsid w:val="000E13E1"/>
    <w:rsid w:val="000E149B"/>
    <w:rsid w:val="000E1F14"/>
    <w:rsid w:val="000E31E8"/>
    <w:rsid w:val="000E3AF7"/>
    <w:rsid w:val="000E41FE"/>
    <w:rsid w:val="000E62FB"/>
    <w:rsid w:val="000E6D80"/>
    <w:rsid w:val="000F0A9E"/>
    <w:rsid w:val="000F10E1"/>
    <w:rsid w:val="000F1132"/>
    <w:rsid w:val="000F18D7"/>
    <w:rsid w:val="000F2209"/>
    <w:rsid w:val="000F2F5B"/>
    <w:rsid w:val="000F31CA"/>
    <w:rsid w:val="000F45D9"/>
    <w:rsid w:val="000F471C"/>
    <w:rsid w:val="000F5CA4"/>
    <w:rsid w:val="001005AA"/>
    <w:rsid w:val="0010171B"/>
    <w:rsid w:val="00102AF3"/>
    <w:rsid w:val="00102DE3"/>
    <w:rsid w:val="001030E7"/>
    <w:rsid w:val="001035C6"/>
    <w:rsid w:val="00103658"/>
    <w:rsid w:val="001037E7"/>
    <w:rsid w:val="00103F65"/>
    <w:rsid w:val="001042DD"/>
    <w:rsid w:val="00105868"/>
    <w:rsid w:val="00105E61"/>
    <w:rsid w:val="00106368"/>
    <w:rsid w:val="001068FE"/>
    <w:rsid w:val="00106C5F"/>
    <w:rsid w:val="00110C29"/>
    <w:rsid w:val="00110CCA"/>
    <w:rsid w:val="0011175D"/>
    <w:rsid w:val="0011184C"/>
    <w:rsid w:val="00111C0E"/>
    <w:rsid w:val="0011270A"/>
    <w:rsid w:val="00113016"/>
    <w:rsid w:val="00114239"/>
    <w:rsid w:val="00114DBE"/>
    <w:rsid w:val="00115538"/>
    <w:rsid w:val="00116837"/>
    <w:rsid w:val="001169F3"/>
    <w:rsid w:val="00116AD7"/>
    <w:rsid w:val="00117278"/>
    <w:rsid w:val="0011730A"/>
    <w:rsid w:val="0011731F"/>
    <w:rsid w:val="001177B2"/>
    <w:rsid w:val="00117D4F"/>
    <w:rsid w:val="001203C7"/>
    <w:rsid w:val="00120452"/>
    <w:rsid w:val="00121648"/>
    <w:rsid w:val="00121CF3"/>
    <w:rsid w:val="00124731"/>
    <w:rsid w:val="00124C44"/>
    <w:rsid w:val="0012588A"/>
    <w:rsid w:val="00125E63"/>
    <w:rsid w:val="001263AB"/>
    <w:rsid w:val="00126816"/>
    <w:rsid w:val="00126846"/>
    <w:rsid w:val="00127F7A"/>
    <w:rsid w:val="00131B5F"/>
    <w:rsid w:val="00132187"/>
    <w:rsid w:val="00132877"/>
    <w:rsid w:val="00133953"/>
    <w:rsid w:val="001341DA"/>
    <w:rsid w:val="001349F5"/>
    <w:rsid w:val="00134C5F"/>
    <w:rsid w:val="0013504F"/>
    <w:rsid w:val="00135052"/>
    <w:rsid w:val="00135D44"/>
    <w:rsid w:val="00136416"/>
    <w:rsid w:val="00136BD0"/>
    <w:rsid w:val="0013739D"/>
    <w:rsid w:val="001378A2"/>
    <w:rsid w:val="00137F3C"/>
    <w:rsid w:val="00141F0E"/>
    <w:rsid w:val="0014324E"/>
    <w:rsid w:val="0014345C"/>
    <w:rsid w:val="0014404E"/>
    <w:rsid w:val="00144D90"/>
    <w:rsid w:val="00145622"/>
    <w:rsid w:val="00145A23"/>
    <w:rsid w:val="00146455"/>
    <w:rsid w:val="001479A0"/>
    <w:rsid w:val="00150D26"/>
    <w:rsid w:val="00151874"/>
    <w:rsid w:val="001522DB"/>
    <w:rsid w:val="0015324A"/>
    <w:rsid w:val="00153431"/>
    <w:rsid w:val="0015375E"/>
    <w:rsid w:val="0015420D"/>
    <w:rsid w:val="001547C2"/>
    <w:rsid w:val="001547C4"/>
    <w:rsid w:val="001554D9"/>
    <w:rsid w:val="00155ED4"/>
    <w:rsid w:val="001564F5"/>
    <w:rsid w:val="00156947"/>
    <w:rsid w:val="00156B07"/>
    <w:rsid w:val="001577F2"/>
    <w:rsid w:val="00157B8A"/>
    <w:rsid w:val="00157CE0"/>
    <w:rsid w:val="00157F3D"/>
    <w:rsid w:val="0016034C"/>
    <w:rsid w:val="001603A1"/>
    <w:rsid w:val="00160B4E"/>
    <w:rsid w:val="001619F3"/>
    <w:rsid w:val="00161A48"/>
    <w:rsid w:val="001620C5"/>
    <w:rsid w:val="0016291F"/>
    <w:rsid w:val="001632F7"/>
    <w:rsid w:val="001642A1"/>
    <w:rsid w:val="00165566"/>
    <w:rsid w:val="001656E3"/>
    <w:rsid w:val="001657A6"/>
    <w:rsid w:val="00165C35"/>
    <w:rsid w:val="00167A93"/>
    <w:rsid w:val="00170B25"/>
    <w:rsid w:val="00171314"/>
    <w:rsid w:val="001716D1"/>
    <w:rsid w:val="00171757"/>
    <w:rsid w:val="00171939"/>
    <w:rsid w:val="00172CFE"/>
    <w:rsid w:val="00173107"/>
    <w:rsid w:val="00174283"/>
    <w:rsid w:val="001752A9"/>
    <w:rsid w:val="00175BD7"/>
    <w:rsid w:val="00176165"/>
    <w:rsid w:val="0017658C"/>
    <w:rsid w:val="00176E68"/>
    <w:rsid w:val="0017707C"/>
    <w:rsid w:val="00177612"/>
    <w:rsid w:val="001777E0"/>
    <w:rsid w:val="00181D27"/>
    <w:rsid w:val="00182112"/>
    <w:rsid w:val="0018230B"/>
    <w:rsid w:val="00182D48"/>
    <w:rsid w:val="001839E8"/>
    <w:rsid w:val="00183C2D"/>
    <w:rsid w:val="001868A1"/>
    <w:rsid w:val="00187ACD"/>
    <w:rsid w:val="0019115B"/>
    <w:rsid w:val="001934C9"/>
    <w:rsid w:val="0019354F"/>
    <w:rsid w:val="001936E6"/>
    <w:rsid w:val="0019370C"/>
    <w:rsid w:val="00193AF4"/>
    <w:rsid w:val="00193F2C"/>
    <w:rsid w:val="00194D91"/>
    <w:rsid w:val="001964FC"/>
    <w:rsid w:val="00196C73"/>
    <w:rsid w:val="001970E6"/>
    <w:rsid w:val="001972AD"/>
    <w:rsid w:val="001974FB"/>
    <w:rsid w:val="0019771C"/>
    <w:rsid w:val="0019773F"/>
    <w:rsid w:val="00197F98"/>
    <w:rsid w:val="001A073A"/>
    <w:rsid w:val="001A2627"/>
    <w:rsid w:val="001A2F84"/>
    <w:rsid w:val="001A41D8"/>
    <w:rsid w:val="001A49AF"/>
    <w:rsid w:val="001A4A36"/>
    <w:rsid w:val="001A4AC7"/>
    <w:rsid w:val="001A5569"/>
    <w:rsid w:val="001A57F2"/>
    <w:rsid w:val="001A58B9"/>
    <w:rsid w:val="001A5FF0"/>
    <w:rsid w:val="001A6B1A"/>
    <w:rsid w:val="001A6E9A"/>
    <w:rsid w:val="001A7092"/>
    <w:rsid w:val="001A7285"/>
    <w:rsid w:val="001A74D7"/>
    <w:rsid w:val="001B0852"/>
    <w:rsid w:val="001B1CC9"/>
    <w:rsid w:val="001B1DDA"/>
    <w:rsid w:val="001B33B7"/>
    <w:rsid w:val="001B34EE"/>
    <w:rsid w:val="001B3ED5"/>
    <w:rsid w:val="001B439F"/>
    <w:rsid w:val="001B57DE"/>
    <w:rsid w:val="001B6656"/>
    <w:rsid w:val="001B7209"/>
    <w:rsid w:val="001C15FA"/>
    <w:rsid w:val="001C1C07"/>
    <w:rsid w:val="001C2499"/>
    <w:rsid w:val="001C29BA"/>
    <w:rsid w:val="001C4711"/>
    <w:rsid w:val="001C5170"/>
    <w:rsid w:val="001C582D"/>
    <w:rsid w:val="001C691E"/>
    <w:rsid w:val="001C7368"/>
    <w:rsid w:val="001C7888"/>
    <w:rsid w:val="001C7D31"/>
    <w:rsid w:val="001D0100"/>
    <w:rsid w:val="001D022F"/>
    <w:rsid w:val="001D1096"/>
    <w:rsid w:val="001D1923"/>
    <w:rsid w:val="001D1FF6"/>
    <w:rsid w:val="001D29D7"/>
    <w:rsid w:val="001D30A9"/>
    <w:rsid w:val="001D33D6"/>
    <w:rsid w:val="001D45FD"/>
    <w:rsid w:val="001D5C15"/>
    <w:rsid w:val="001D68E1"/>
    <w:rsid w:val="001D6AA7"/>
    <w:rsid w:val="001D6C08"/>
    <w:rsid w:val="001D7752"/>
    <w:rsid w:val="001E0349"/>
    <w:rsid w:val="001E05AB"/>
    <w:rsid w:val="001E076A"/>
    <w:rsid w:val="001E1491"/>
    <w:rsid w:val="001E14C3"/>
    <w:rsid w:val="001E1C10"/>
    <w:rsid w:val="001E1E24"/>
    <w:rsid w:val="001E2E1B"/>
    <w:rsid w:val="001E33FC"/>
    <w:rsid w:val="001E3714"/>
    <w:rsid w:val="001E3800"/>
    <w:rsid w:val="001E3F72"/>
    <w:rsid w:val="001E4217"/>
    <w:rsid w:val="001E434D"/>
    <w:rsid w:val="001E5642"/>
    <w:rsid w:val="001E570D"/>
    <w:rsid w:val="001E653A"/>
    <w:rsid w:val="001F08E1"/>
    <w:rsid w:val="001F0EF8"/>
    <w:rsid w:val="001F1E40"/>
    <w:rsid w:val="001F2216"/>
    <w:rsid w:val="001F2F7D"/>
    <w:rsid w:val="001F4219"/>
    <w:rsid w:val="001F445C"/>
    <w:rsid w:val="001F5F6C"/>
    <w:rsid w:val="001F6738"/>
    <w:rsid w:val="001F6E81"/>
    <w:rsid w:val="001F72CF"/>
    <w:rsid w:val="00200170"/>
    <w:rsid w:val="00200DD5"/>
    <w:rsid w:val="002010C4"/>
    <w:rsid w:val="002016D3"/>
    <w:rsid w:val="002018B7"/>
    <w:rsid w:val="00201D1D"/>
    <w:rsid w:val="0020218F"/>
    <w:rsid w:val="00202AC6"/>
    <w:rsid w:val="00203265"/>
    <w:rsid w:val="002032D7"/>
    <w:rsid w:val="00203A4D"/>
    <w:rsid w:val="00203E47"/>
    <w:rsid w:val="00204072"/>
    <w:rsid w:val="00205201"/>
    <w:rsid w:val="00205869"/>
    <w:rsid w:val="00205DA7"/>
    <w:rsid w:val="002102F7"/>
    <w:rsid w:val="00212322"/>
    <w:rsid w:val="00212964"/>
    <w:rsid w:val="002131A7"/>
    <w:rsid w:val="002133C6"/>
    <w:rsid w:val="00213B49"/>
    <w:rsid w:val="002152B1"/>
    <w:rsid w:val="00215321"/>
    <w:rsid w:val="002157DD"/>
    <w:rsid w:val="0021767C"/>
    <w:rsid w:val="0021772D"/>
    <w:rsid w:val="0022008B"/>
    <w:rsid w:val="002202CC"/>
    <w:rsid w:val="0022032B"/>
    <w:rsid w:val="00221166"/>
    <w:rsid w:val="00221965"/>
    <w:rsid w:val="00221C03"/>
    <w:rsid w:val="00221D59"/>
    <w:rsid w:val="00221F32"/>
    <w:rsid w:val="00221F50"/>
    <w:rsid w:val="00223424"/>
    <w:rsid w:val="00225900"/>
    <w:rsid w:val="00225F01"/>
    <w:rsid w:val="00227212"/>
    <w:rsid w:val="002272EF"/>
    <w:rsid w:val="00227621"/>
    <w:rsid w:val="00227664"/>
    <w:rsid w:val="00227901"/>
    <w:rsid w:val="00227B9F"/>
    <w:rsid w:val="00227CE4"/>
    <w:rsid w:val="0023060C"/>
    <w:rsid w:val="00230A7C"/>
    <w:rsid w:val="00230B00"/>
    <w:rsid w:val="0023123F"/>
    <w:rsid w:val="002321BC"/>
    <w:rsid w:val="00232C7D"/>
    <w:rsid w:val="00232C9F"/>
    <w:rsid w:val="00233201"/>
    <w:rsid w:val="00233516"/>
    <w:rsid w:val="0023380E"/>
    <w:rsid w:val="00234282"/>
    <w:rsid w:val="002344D1"/>
    <w:rsid w:val="00234AF5"/>
    <w:rsid w:val="00235EA2"/>
    <w:rsid w:val="00236317"/>
    <w:rsid w:val="002365F8"/>
    <w:rsid w:val="0023737E"/>
    <w:rsid w:val="00237847"/>
    <w:rsid w:val="00237D02"/>
    <w:rsid w:val="00237F04"/>
    <w:rsid w:val="00237FF2"/>
    <w:rsid w:val="00240A7A"/>
    <w:rsid w:val="00240BAE"/>
    <w:rsid w:val="00240EDD"/>
    <w:rsid w:val="002413E0"/>
    <w:rsid w:val="002438A4"/>
    <w:rsid w:val="00243AF5"/>
    <w:rsid w:val="002451AD"/>
    <w:rsid w:val="00245239"/>
    <w:rsid w:val="00245D41"/>
    <w:rsid w:val="00246D23"/>
    <w:rsid w:val="00246E4D"/>
    <w:rsid w:val="002474F7"/>
    <w:rsid w:val="0025030F"/>
    <w:rsid w:val="00250B3E"/>
    <w:rsid w:val="00250FA6"/>
    <w:rsid w:val="002512DA"/>
    <w:rsid w:val="00251434"/>
    <w:rsid w:val="00253F1A"/>
    <w:rsid w:val="00253F32"/>
    <w:rsid w:val="0025481B"/>
    <w:rsid w:val="00254884"/>
    <w:rsid w:val="002551E0"/>
    <w:rsid w:val="00255E82"/>
    <w:rsid w:val="00255ED2"/>
    <w:rsid w:val="00255FCE"/>
    <w:rsid w:val="00256218"/>
    <w:rsid w:val="002562B2"/>
    <w:rsid w:val="002574BF"/>
    <w:rsid w:val="00257760"/>
    <w:rsid w:val="00260601"/>
    <w:rsid w:val="00260F00"/>
    <w:rsid w:val="00262D6D"/>
    <w:rsid w:val="00262DDE"/>
    <w:rsid w:val="00262DF4"/>
    <w:rsid w:val="00262F80"/>
    <w:rsid w:val="002639B6"/>
    <w:rsid w:val="00263EAB"/>
    <w:rsid w:val="0026473D"/>
    <w:rsid w:val="00264C90"/>
    <w:rsid w:val="002651DB"/>
    <w:rsid w:val="00265DD2"/>
    <w:rsid w:val="00265FD4"/>
    <w:rsid w:val="0026644A"/>
    <w:rsid w:val="00266EAC"/>
    <w:rsid w:val="0026712E"/>
    <w:rsid w:val="00267200"/>
    <w:rsid w:val="00267850"/>
    <w:rsid w:val="00267ACB"/>
    <w:rsid w:val="00267BFD"/>
    <w:rsid w:val="002703BB"/>
    <w:rsid w:val="002711AD"/>
    <w:rsid w:val="00272806"/>
    <w:rsid w:val="0027476D"/>
    <w:rsid w:val="00275189"/>
    <w:rsid w:val="00276341"/>
    <w:rsid w:val="00276589"/>
    <w:rsid w:val="00277326"/>
    <w:rsid w:val="00277B80"/>
    <w:rsid w:val="00280063"/>
    <w:rsid w:val="0028035B"/>
    <w:rsid w:val="00281716"/>
    <w:rsid w:val="00281A51"/>
    <w:rsid w:val="00282216"/>
    <w:rsid w:val="002833CB"/>
    <w:rsid w:val="00283D03"/>
    <w:rsid w:val="002844FF"/>
    <w:rsid w:val="00284B47"/>
    <w:rsid w:val="00284DC3"/>
    <w:rsid w:val="002852FC"/>
    <w:rsid w:val="00285868"/>
    <w:rsid w:val="00287635"/>
    <w:rsid w:val="00290739"/>
    <w:rsid w:val="00291D0D"/>
    <w:rsid w:val="002923E9"/>
    <w:rsid w:val="00292984"/>
    <w:rsid w:val="002937FB"/>
    <w:rsid w:val="00293893"/>
    <w:rsid w:val="002953A6"/>
    <w:rsid w:val="00296189"/>
    <w:rsid w:val="0029621F"/>
    <w:rsid w:val="002979D5"/>
    <w:rsid w:val="00297B1E"/>
    <w:rsid w:val="002A0613"/>
    <w:rsid w:val="002A075F"/>
    <w:rsid w:val="002A0E1C"/>
    <w:rsid w:val="002A1293"/>
    <w:rsid w:val="002A1D71"/>
    <w:rsid w:val="002A2103"/>
    <w:rsid w:val="002A2606"/>
    <w:rsid w:val="002A2F81"/>
    <w:rsid w:val="002A39FF"/>
    <w:rsid w:val="002A40F1"/>
    <w:rsid w:val="002A4199"/>
    <w:rsid w:val="002A47DB"/>
    <w:rsid w:val="002A5067"/>
    <w:rsid w:val="002A538A"/>
    <w:rsid w:val="002A5502"/>
    <w:rsid w:val="002A6422"/>
    <w:rsid w:val="002A6A16"/>
    <w:rsid w:val="002A6E60"/>
    <w:rsid w:val="002B085C"/>
    <w:rsid w:val="002B12AC"/>
    <w:rsid w:val="002B3633"/>
    <w:rsid w:val="002B3B39"/>
    <w:rsid w:val="002B5136"/>
    <w:rsid w:val="002B5AA5"/>
    <w:rsid w:val="002B6106"/>
    <w:rsid w:val="002B617E"/>
    <w:rsid w:val="002B73E5"/>
    <w:rsid w:val="002B7CC0"/>
    <w:rsid w:val="002C05D1"/>
    <w:rsid w:val="002C0A4F"/>
    <w:rsid w:val="002C0C70"/>
    <w:rsid w:val="002C141C"/>
    <w:rsid w:val="002C1833"/>
    <w:rsid w:val="002C1A41"/>
    <w:rsid w:val="002C1E2F"/>
    <w:rsid w:val="002C2106"/>
    <w:rsid w:val="002C28E3"/>
    <w:rsid w:val="002C2BE8"/>
    <w:rsid w:val="002C2F25"/>
    <w:rsid w:val="002C3B02"/>
    <w:rsid w:val="002C3B0D"/>
    <w:rsid w:val="002C3BEF"/>
    <w:rsid w:val="002C3DEB"/>
    <w:rsid w:val="002C40D4"/>
    <w:rsid w:val="002C4E81"/>
    <w:rsid w:val="002C51C1"/>
    <w:rsid w:val="002C5E10"/>
    <w:rsid w:val="002C7017"/>
    <w:rsid w:val="002C7B52"/>
    <w:rsid w:val="002D104C"/>
    <w:rsid w:val="002D170F"/>
    <w:rsid w:val="002D1F37"/>
    <w:rsid w:val="002D2E4F"/>
    <w:rsid w:val="002D38DB"/>
    <w:rsid w:val="002D3E7B"/>
    <w:rsid w:val="002D3FE9"/>
    <w:rsid w:val="002D4644"/>
    <w:rsid w:val="002D4CE4"/>
    <w:rsid w:val="002D599F"/>
    <w:rsid w:val="002D5EB6"/>
    <w:rsid w:val="002D6465"/>
    <w:rsid w:val="002D71CF"/>
    <w:rsid w:val="002D7A24"/>
    <w:rsid w:val="002E06F7"/>
    <w:rsid w:val="002E072F"/>
    <w:rsid w:val="002E1557"/>
    <w:rsid w:val="002E1F00"/>
    <w:rsid w:val="002E2074"/>
    <w:rsid w:val="002E2C3C"/>
    <w:rsid w:val="002E30B1"/>
    <w:rsid w:val="002E44DA"/>
    <w:rsid w:val="002E638A"/>
    <w:rsid w:val="002E739F"/>
    <w:rsid w:val="002E7574"/>
    <w:rsid w:val="002E7B71"/>
    <w:rsid w:val="002F0213"/>
    <w:rsid w:val="002F0280"/>
    <w:rsid w:val="002F0347"/>
    <w:rsid w:val="002F11C8"/>
    <w:rsid w:val="002F1FF1"/>
    <w:rsid w:val="002F211F"/>
    <w:rsid w:val="002F2BFD"/>
    <w:rsid w:val="002F36C5"/>
    <w:rsid w:val="002F443C"/>
    <w:rsid w:val="002F4BBE"/>
    <w:rsid w:val="002F5339"/>
    <w:rsid w:val="002F5A12"/>
    <w:rsid w:val="002F5DCD"/>
    <w:rsid w:val="002F62E5"/>
    <w:rsid w:val="003004C9"/>
    <w:rsid w:val="0030079A"/>
    <w:rsid w:val="00300C91"/>
    <w:rsid w:val="0030178A"/>
    <w:rsid w:val="00301A18"/>
    <w:rsid w:val="00302FD0"/>
    <w:rsid w:val="003038E4"/>
    <w:rsid w:val="00304062"/>
    <w:rsid w:val="003054DB"/>
    <w:rsid w:val="003060CA"/>
    <w:rsid w:val="0030727D"/>
    <w:rsid w:val="00310F08"/>
    <w:rsid w:val="00310F51"/>
    <w:rsid w:val="00311575"/>
    <w:rsid w:val="00311630"/>
    <w:rsid w:val="003116EB"/>
    <w:rsid w:val="00311E24"/>
    <w:rsid w:val="00312D74"/>
    <w:rsid w:val="00312F71"/>
    <w:rsid w:val="00313A9E"/>
    <w:rsid w:val="003143CF"/>
    <w:rsid w:val="0031460B"/>
    <w:rsid w:val="00315369"/>
    <w:rsid w:val="00315C83"/>
    <w:rsid w:val="00316A22"/>
    <w:rsid w:val="00316C96"/>
    <w:rsid w:val="00317CDC"/>
    <w:rsid w:val="00320177"/>
    <w:rsid w:val="003206A1"/>
    <w:rsid w:val="0032106A"/>
    <w:rsid w:val="00321514"/>
    <w:rsid w:val="00321743"/>
    <w:rsid w:val="00321953"/>
    <w:rsid w:val="003222B7"/>
    <w:rsid w:val="00322464"/>
    <w:rsid w:val="00322753"/>
    <w:rsid w:val="00322894"/>
    <w:rsid w:val="00322C14"/>
    <w:rsid w:val="00322FE0"/>
    <w:rsid w:val="00323313"/>
    <w:rsid w:val="003247D4"/>
    <w:rsid w:val="00324D0F"/>
    <w:rsid w:val="00326147"/>
    <w:rsid w:val="0032632B"/>
    <w:rsid w:val="003264D3"/>
    <w:rsid w:val="00326C64"/>
    <w:rsid w:val="00326DE4"/>
    <w:rsid w:val="00326FE1"/>
    <w:rsid w:val="00327EFC"/>
    <w:rsid w:val="003303B0"/>
    <w:rsid w:val="003305F3"/>
    <w:rsid w:val="003317FF"/>
    <w:rsid w:val="00331BC4"/>
    <w:rsid w:val="00331DB1"/>
    <w:rsid w:val="0033245D"/>
    <w:rsid w:val="003324C1"/>
    <w:rsid w:val="0033275C"/>
    <w:rsid w:val="003328DD"/>
    <w:rsid w:val="003332F2"/>
    <w:rsid w:val="00333FAB"/>
    <w:rsid w:val="00334262"/>
    <w:rsid w:val="003342F3"/>
    <w:rsid w:val="003347A3"/>
    <w:rsid w:val="00335459"/>
    <w:rsid w:val="00335B28"/>
    <w:rsid w:val="00335D03"/>
    <w:rsid w:val="00335DFF"/>
    <w:rsid w:val="003361D0"/>
    <w:rsid w:val="003361F7"/>
    <w:rsid w:val="00336860"/>
    <w:rsid w:val="003370F9"/>
    <w:rsid w:val="00337101"/>
    <w:rsid w:val="003377C3"/>
    <w:rsid w:val="00340E91"/>
    <w:rsid w:val="00340FFC"/>
    <w:rsid w:val="00341645"/>
    <w:rsid w:val="003421CD"/>
    <w:rsid w:val="00343452"/>
    <w:rsid w:val="0034439F"/>
    <w:rsid w:val="00344D92"/>
    <w:rsid w:val="00344E47"/>
    <w:rsid w:val="003451F5"/>
    <w:rsid w:val="00345DEC"/>
    <w:rsid w:val="003465A5"/>
    <w:rsid w:val="0034765C"/>
    <w:rsid w:val="003478ED"/>
    <w:rsid w:val="00350157"/>
    <w:rsid w:val="003502AB"/>
    <w:rsid w:val="003502BF"/>
    <w:rsid w:val="003506C0"/>
    <w:rsid w:val="00351083"/>
    <w:rsid w:val="003510B5"/>
    <w:rsid w:val="00351E05"/>
    <w:rsid w:val="0035257E"/>
    <w:rsid w:val="00352A45"/>
    <w:rsid w:val="00352C55"/>
    <w:rsid w:val="0035595D"/>
    <w:rsid w:val="00356555"/>
    <w:rsid w:val="003570B8"/>
    <w:rsid w:val="003571C6"/>
    <w:rsid w:val="0035744D"/>
    <w:rsid w:val="00357B07"/>
    <w:rsid w:val="003601D9"/>
    <w:rsid w:val="0036059E"/>
    <w:rsid w:val="00360947"/>
    <w:rsid w:val="00360E01"/>
    <w:rsid w:val="00360F18"/>
    <w:rsid w:val="00361BFD"/>
    <w:rsid w:val="003628D8"/>
    <w:rsid w:val="00362E16"/>
    <w:rsid w:val="003631B1"/>
    <w:rsid w:val="00364735"/>
    <w:rsid w:val="00364F5F"/>
    <w:rsid w:val="003667F7"/>
    <w:rsid w:val="00367A51"/>
    <w:rsid w:val="00370DD5"/>
    <w:rsid w:val="00370E18"/>
    <w:rsid w:val="00371E31"/>
    <w:rsid w:val="003729EE"/>
    <w:rsid w:val="00372F00"/>
    <w:rsid w:val="0037323B"/>
    <w:rsid w:val="00376351"/>
    <w:rsid w:val="003763BF"/>
    <w:rsid w:val="00376670"/>
    <w:rsid w:val="00376818"/>
    <w:rsid w:val="00376D4F"/>
    <w:rsid w:val="00376F6C"/>
    <w:rsid w:val="0038011E"/>
    <w:rsid w:val="003803F9"/>
    <w:rsid w:val="003809E3"/>
    <w:rsid w:val="00380A71"/>
    <w:rsid w:val="00381231"/>
    <w:rsid w:val="00381706"/>
    <w:rsid w:val="00381873"/>
    <w:rsid w:val="00381D29"/>
    <w:rsid w:val="0038253B"/>
    <w:rsid w:val="00382E3D"/>
    <w:rsid w:val="00382E5E"/>
    <w:rsid w:val="00382F07"/>
    <w:rsid w:val="00383246"/>
    <w:rsid w:val="00383D4A"/>
    <w:rsid w:val="0038459E"/>
    <w:rsid w:val="00384A19"/>
    <w:rsid w:val="003856A6"/>
    <w:rsid w:val="00385A68"/>
    <w:rsid w:val="003905C2"/>
    <w:rsid w:val="00391444"/>
    <w:rsid w:val="00391C4F"/>
    <w:rsid w:val="00391D8C"/>
    <w:rsid w:val="00392102"/>
    <w:rsid w:val="003923AA"/>
    <w:rsid w:val="00394505"/>
    <w:rsid w:val="00394CEE"/>
    <w:rsid w:val="003956FA"/>
    <w:rsid w:val="00395AB4"/>
    <w:rsid w:val="00395BB6"/>
    <w:rsid w:val="003966C9"/>
    <w:rsid w:val="00397447"/>
    <w:rsid w:val="00397B86"/>
    <w:rsid w:val="00397D6E"/>
    <w:rsid w:val="003A0954"/>
    <w:rsid w:val="003A1AF2"/>
    <w:rsid w:val="003A238F"/>
    <w:rsid w:val="003A246B"/>
    <w:rsid w:val="003A2818"/>
    <w:rsid w:val="003A287A"/>
    <w:rsid w:val="003A2A8B"/>
    <w:rsid w:val="003A3622"/>
    <w:rsid w:val="003A3AC2"/>
    <w:rsid w:val="003A457A"/>
    <w:rsid w:val="003A4A12"/>
    <w:rsid w:val="003A4C74"/>
    <w:rsid w:val="003A4E52"/>
    <w:rsid w:val="003A6634"/>
    <w:rsid w:val="003A6FF4"/>
    <w:rsid w:val="003A77CF"/>
    <w:rsid w:val="003A7DB3"/>
    <w:rsid w:val="003B091A"/>
    <w:rsid w:val="003B15CC"/>
    <w:rsid w:val="003B199C"/>
    <w:rsid w:val="003B1E57"/>
    <w:rsid w:val="003B2036"/>
    <w:rsid w:val="003B264F"/>
    <w:rsid w:val="003B3E8B"/>
    <w:rsid w:val="003B3EAA"/>
    <w:rsid w:val="003B4696"/>
    <w:rsid w:val="003B51B1"/>
    <w:rsid w:val="003B5469"/>
    <w:rsid w:val="003B5C71"/>
    <w:rsid w:val="003B6A73"/>
    <w:rsid w:val="003B6F41"/>
    <w:rsid w:val="003C191E"/>
    <w:rsid w:val="003C23DC"/>
    <w:rsid w:val="003C41E9"/>
    <w:rsid w:val="003C5944"/>
    <w:rsid w:val="003C6E0B"/>
    <w:rsid w:val="003C6F62"/>
    <w:rsid w:val="003D1D35"/>
    <w:rsid w:val="003D24AA"/>
    <w:rsid w:val="003D3119"/>
    <w:rsid w:val="003D359E"/>
    <w:rsid w:val="003D3B70"/>
    <w:rsid w:val="003D3E6D"/>
    <w:rsid w:val="003D4212"/>
    <w:rsid w:val="003D45D9"/>
    <w:rsid w:val="003D467B"/>
    <w:rsid w:val="003D663D"/>
    <w:rsid w:val="003D7421"/>
    <w:rsid w:val="003D771F"/>
    <w:rsid w:val="003E012E"/>
    <w:rsid w:val="003E0FB0"/>
    <w:rsid w:val="003E1A13"/>
    <w:rsid w:val="003E1C5B"/>
    <w:rsid w:val="003E208F"/>
    <w:rsid w:val="003E2267"/>
    <w:rsid w:val="003E4B30"/>
    <w:rsid w:val="003E51C4"/>
    <w:rsid w:val="003E54A6"/>
    <w:rsid w:val="003E6E61"/>
    <w:rsid w:val="003E718A"/>
    <w:rsid w:val="003E7464"/>
    <w:rsid w:val="003F03F3"/>
    <w:rsid w:val="003F08CF"/>
    <w:rsid w:val="003F0A8E"/>
    <w:rsid w:val="003F0C28"/>
    <w:rsid w:val="003F1166"/>
    <w:rsid w:val="003F149D"/>
    <w:rsid w:val="003F1A59"/>
    <w:rsid w:val="003F24FA"/>
    <w:rsid w:val="003F2791"/>
    <w:rsid w:val="003F3D72"/>
    <w:rsid w:val="003F4051"/>
    <w:rsid w:val="003F42D4"/>
    <w:rsid w:val="003F4348"/>
    <w:rsid w:val="003F5F82"/>
    <w:rsid w:val="003F6236"/>
    <w:rsid w:val="004001C0"/>
    <w:rsid w:val="00401D5D"/>
    <w:rsid w:val="00402D1B"/>
    <w:rsid w:val="00402DEF"/>
    <w:rsid w:val="00403169"/>
    <w:rsid w:val="004039A1"/>
    <w:rsid w:val="00403B79"/>
    <w:rsid w:val="004044BA"/>
    <w:rsid w:val="00404A7C"/>
    <w:rsid w:val="004058C6"/>
    <w:rsid w:val="004060C4"/>
    <w:rsid w:val="00406A0B"/>
    <w:rsid w:val="00407B8C"/>
    <w:rsid w:val="0041035C"/>
    <w:rsid w:val="0041082A"/>
    <w:rsid w:val="004108E0"/>
    <w:rsid w:val="004111A7"/>
    <w:rsid w:val="00411268"/>
    <w:rsid w:val="00411476"/>
    <w:rsid w:val="004117E7"/>
    <w:rsid w:val="00411CCD"/>
    <w:rsid w:val="004126DD"/>
    <w:rsid w:val="00413813"/>
    <w:rsid w:val="00413997"/>
    <w:rsid w:val="00414467"/>
    <w:rsid w:val="0041526C"/>
    <w:rsid w:val="00415AD9"/>
    <w:rsid w:val="0041621B"/>
    <w:rsid w:val="00416481"/>
    <w:rsid w:val="0041787C"/>
    <w:rsid w:val="004178E6"/>
    <w:rsid w:val="00420244"/>
    <w:rsid w:val="00420DB6"/>
    <w:rsid w:val="004215ED"/>
    <w:rsid w:val="004217A2"/>
    <w:rsid w:val="00421D79"/>
    <w:rsid w:val="0042278E"/>
    <w:rsid w:val="00423176"/>
    <w:rsid w:val="004233DE"/>
    <w:rsid w:val="004241C5"/>
    <w:rsid w:val="00424872"/>
    <w:rsid w:val="004256CC"/>
    <w:rsid w:val="00425BB1"/>
    <w:rsid w:val="00427C61"/>
    <w:rsid w:val="0043041E"/>
    <w:rsid w:val="00430A4B"/>
    <w:rsid w:val="00430F97"/>
    <w:rsid w:val="00430F9C"/>
    <w:rsid w:val="00431A82"/>
    <w:rsid w:val="00431C3F"/>
    <w:rsid w:val="00432000"/>
    <w:rsid w:val="004325B0"/>
    <w:rsid w:val="00432DD9"/>
    <w:rsid w:val="0043411F"/>
    <w:rsid w:val="004347B6"/>
    <w:rsid w:val="004347E6"/>
    <w:rsid w:val="0043511B"/>
    <w:rsid w:val="004353FE"/>
    <w:rsid w:val="00435A51"/>
    <w:rsid w:val="00435B14"/>
    <w:rsid w:val="00435E63"/>
    <w:rsid w:val="00437C67"/>
    <w:rsid w:val="00441635"/>
    <w:rsid w:val="00442682"/>
    <w:rsid w:val="004429E8"/>
    <w:rsid w:val="00442C55"/>
    <w:rsid w:val="00443B6D"/>
    <w:rsid w:val="004448DB"/>
    <w:rsid w:val="0044628A"/>
    <w:rsid w:val="00446467"/>
    <w:rsid w:val="00446945"/>
    <w:rsid w:val="0044798D"/>
    <w:rsid w:val="00447AC8"/>
    <w:rsid w:val="00447E2C"/>
    <w:rsid w:val="004501BF"/>
    <w:rsid w:val="004513F6"/>
    <w:rsid w:val="00452310"/>
    <w:rsid w:val="004536D9"/>
    <w:rsid w:val="00453CC6"/>
    <w:rsid w:val="00453F9A"/>
    <w:rsid w:val="004542E8"/>
    <w:rsid w:val="00455095"/>
    <w:rsid w:val="00455A92"/>
    <w:rsid w:val="0045662B"/>
    <w:rsid w:val="004574D1"/>
    <w:rsid w:val="0046159A"/>
    <w:rsid w:val="004642FD"/>
    <w:rsid w:val="00465957"/>
    <w:rsid w:val="00466AEE"/>
    <w:rsid w:val="00470A7C"/>
    <w:rsid w:val="00471425"/>
    <w:rsid w:val="00472BE6"/>
    <w:rsid w:val="0047524F"/>
    <w:rsid w:val="00475CD8"/>
    <w:rsid w:val="0047604E"/>
    <w:rsid w:val="004766D2"/>
    <w:rsid w:val="0047762F"/>
    <w:rsid w:val="00477E12"/>
    <w:rsid w:val="00480297"/>
    <w:rsid w:val="00480B4A"/>
    <w:rsid w:val="00481030"/>
    <w:rsid w:val="004814EB"/>
    <w:rsid w:val="0048281B"/>
    <w:rsid w:val="00483507"/>
    <w:rsid w:val="004847E2"/>
    <w:rsid w:val="00484DB6"/>
    <w:rsid w:val="00485434"/>
    <w:rsid w:val="0048563A"/>
    <w:rsid w:val="004860EB"/>
    <w:rsid w:val="0048616D"/>
    <w:rsid w:val="004864DD"/>
    <w:rsid w:val="0048777A"/>
    <w:rsid w:val="004878B9"/>
    <w:rsid w:val="00487C65"/>
    <w:rsid w:val="00490016"/>
    <w:rsid w:val="00490AE9"/>
    <w:rsid w:val="00490E36"/>
    <w:rsid w:val="00491290"/>
    <w:rsid w:val="00491417"/>
    <w:rsid w:val="004920D2"/>
    <w:rsid w:val="00493E6B"/>
    <w:rsid w:val="00493EBD"/>
    <w:rsid w:val="00494D46"/>
    <w:rsid w:val="00494DDF"/>
    <w:rsid w:val="00494F36"/>
    <w:rsid w:val="004953F5"/>
    <w:rsid w:val="00495E36"/>
    <w:rsid w:val="0049613A"/>
    <w:rsid w:val="00497BA5"/>
    <w:rsid w:val="004A02F2"/>
    <w:rsid w:val="004A0535"/>
    <w:rsid w:val="004A0576"/>
    <w:rsid w:val="004A0E22"/>
    <w:rsid w:val="004A152A"/>
    <w:rsid w:val="004A1738"/>
    <w:rsid w:val="004A1A99"/>
    <w:rsid w:val="004A205C"/>
    <w:rsid w:val="004A31EA"/>
    <w:rsid w:val="004A33DE"/>
    <w:rsid w:val="004A4632"/>
    <w:rsid w:val="004A4760"/>
    <w:rsid w:val="004A50CE"/>
    <w:rsid w:val="004A608F"/>
    <w:rsid w:val="004A66C8"/>
    <w:rsid w:val="004A6CDB"/>
    <w:rsid w:val="004A74A3"/>
    <w:rsid w:val="004A7D94"/>
    <w:rsid w:val="004B00F3"/>
    <w:rsid w:val="004B2EF9"/>
    <w:rsid w:val="004B31CE"/>
    <w:rsid w:val="004B31FC"/>
    <w:rsid w:val="004B39C9"/>
    <w:rsid w:val="004B405F"/>
    <w:rsid w:val="004B4860"/>
    <w:rsid w:val="004B4C31"/>
    <w:rsid w:val="004B59D1"/>
    <w:rsid w:val="004B69A5"/>
    <w:rsid w:val="004B7465"/>
    <w:rsid w:val="004B7F12"/>
    <w:rsid w:val="004C058D"/>
    <w:rsid w:val="004C0CBA"/>
    <w:rsid w:val="004C1002"/>
    <w:rsid w:val="004C151F"/>
    <w:rsid w:val="004C198E"/>
    <w:rsid w:val="004C1C4B"/>
    <w:rsid w:val="004C2792"/>
    <w:rsid w:val="004C2794"/>
    <w:rsid w:val="004C2916"/>
    <w:rsid w:val="004C2C01"/>
    <w:rsid w:val="004C2C19"/>
    <w:rsid w:val="004C37C4"/>
    <w:rsid w:val="004C4020"/>
    <w:rsid w:val="004C43B2"/>
    <w:rsid w:val="004C7032"/>
    <w:rsid w:val="004C79B2"/>
    <w:rsid w:val="004D0469"/>
    <w:rsid w:val="004D0C9B"/>
    <w:rsid w:val="004D21CA"/>
    <w:rsid w:val="004D230F"/>
    <w:rsid w:val="004D2548"/>
    <w:rsid w:val="004D2817"/>
    <w:rsid w:val="004D2C5C"/>
    <w:rsid w:val="004D2FCB"/>
    <w:rsid w:val="004D31D4"/>
    <w:rsid w:val="004D362C"/>
    <w:rsid w:val="004D3A24"/>
    <w:rsid w:val="004D4377"/>
    <w:rsid w:val="004D67C6"/>
    <w:rsid w:val="004D7055"/>
    <w:rsid w:val="004D74C0"/>
    <w:rsid w:val="004D7799"/>
    <w:rsid w:val="004D7E49"/>
    <w:rsid w:val="004E0376"/>
    <w:rsid w:val="004E0925"/>
    <w:rsid w:val="004E1831"/>
    <w:rsid w:val="004E19CC"/>
    <w:rsid w:val="004E1DC9"/>
    <w:rsid w:val="004E1ECA"/>
    <w:rsid w:val="004E28E3"/>
    <w:rsid w:val="004E3636"/>
    <w:rsid w:val="004E472F"/>
    <w:rsid w:val="004E4B89"/>
    <w:rsid w:val="004E727B"/>
    <w:rsid w:val="004E79E0"/>
    <w:rsid w:val="004E7FB2"/>
    <w:rsid w:val="004F02C3"/>
    <w:rsid w:val="004F03A7"/>
    <w:rsid w:val="004F08CF"/>
    <w:rsid w:val="004F0C6C"/>
    <w:rsid w:val="004F0CFC"/>
    <w:rsid w:val="004F1346"/>
    <w:rsid w:val="004F1468"/>
    <w:rsid w:val="004F1813"/>
    <w:rsid w:val="004F2190"/>
    <w:rsid w:val="004F21B5"/>
    <w:rsid w:val="004F21E8"/>
    <w:rsid w:val="004F235C"/>
    <w:rsid w:val="004F30B1"/>
    <w:rsid w:val="004F3A8D"/>
    <w:rsid w:val="004F3FD9"/>
    <w:rsid w:val="004F4FE6"/>
    <w:rsid w:val="004F54DB"/>
    <w:rsid w:val="004F5A85"/>
    <w:rsid w:val="004F5A90"/>
    <w:rsid w:val="004F5B9B"/>
    <w:rsid w:val="004F60DD"/>
    <w:rsid w:val="004F6A42"/>
    <w:rsid w:val="004F6BAC"/>
    <w:rsid w:val="004F6E7B"/>
    <w:rsid w:val="00501E5D"/>
    <w:rsid w:val="00502EFC"/>
    <w:rsid w:val="0050389B"/>
    <w:rsid w:val="005038C9"/>
    <w:rsid w:val="00504672"/>
    <w:rsid w:val="00504FAA"/>
    <w:rsid w:val="0050519C"/>
    <w:rsid w:val="005061B7"/>
    <w:rsid w:val="0050651F"/>
    <w:rsid w:val="00506D78"/>
    <w:rsid w:val="00506EE2"/>
    <w:rsid w:val="00506F12"/>
    <w:rsid w:val="0050700F"/>
    <w:rsid w:val="005073C6"/>
    <w:rsid w:val="005100AF"/>
    <w:rsid w:val="0051023E"/>
    <w:rsid w:val="00510A88"/>
    <w:rsid w:val="00510C27"/>
    <w:rsid w:val="00510EB3"/>
    <w:rsid w:val="00511858"/>
    <w:rsid w:val="00511B12"/>
    <w:rsid w:val="00511FA5"/>
    <w:rsid w:val="00513095"/>
    <w:rsid w:val="00513180"/>
    <w:rsid w:val="0051349A"/>
    <w:rsid w:val="005135CD"/>
    <w:rsid w:val="00513BD0"/>
    <w:rsid w:val="00513ED7"/>
    <w:rsid w:val="005151D9"/>
    <w:rsid w:val="005151DD"/>
    <w:rsid w:val="005153E2"/>
    <w:rsid w:val="00515439"/>
    <w:rsid w:val="005178C1"/>
    <w:rsid w:val="005207AF"/>
    <w:rsid w:val="005208B2"/>
    <w:rsid w:val="00520C0F"/>
    <w:rsid w:val="00520FF2"/>
    <w:rsid w:val="00521303"/>
    <w:rsid w:val="00521EEE"/>
    <w:rsid w:val="0052347D"/>
    <w:rsid w:val="00523999"/>
    <w:rsid w:val="00523ACE"/>
    <w:rsid w:val="00523AF2"/>
    <w:rsid w:val="005241CF"/>
    <w:rsid w:val="00524C5C"/>
    <w:rsid w:val="00525C79"/>
    <w:rsid w:val="00525EFB"/>
    <w:rsid w:val="00526CAA"/>
    <w:rsid w:val="00526EED"/>
    <w:rsid w:val="00527767"/>
    <w:rsid w:val="005300F0"/>
    <w:rsid w:val="00530391"/>
    <w:rsid w:val="00532F12"/>
    <w:rsid w:val="005347AE"/>
    <w:rsid w:val="00535CAA"/>
    <w:rsid w:val="00536222"/>
    <w:rsid w:val="005367E6"/>
    <w:rsid w:val="005370EB"/>
    <w:rsid w:val="00537799"/>
    <w:rsid w:val="005402DB"/>
    <w:rsid w:val="005405B3"/>
    <w:rsid w:val="00541316"/>
    <w:rsid w:val="005435ED"/>
    <w:rsid w:val="00543899"/>
    <w:rsid w:val="00543ED3"/>
    <w:rsid w:val="00544B0C"/>
    <w:rsid w:val="00544CA6"/>
    <w:rsid w:val="00545826"/>
    <w:rsid w:val="00546E20"/>
    <w:rsid w:val="00547547"/>
    <w:rsid w:val="005476D6"/>
    <w:rsid w:val="00547D09"/>
    <w:rsid w:val="00550D05"/>
    <w:rsid w:val="0055228F"/>
    <w:rsid w:val="005540F8"/>
    <w:rsid w:val="005541C4"/>
    <w:rsid w:val="005542ED"/>
    <w:rsid w:val="00554448"/>
    <w:rsid w:val="00555256"/>
    <w:rsid w:val="005554F8"/>
    <w:rsid w:val="005555E4"/>
    <w:rsid w:val="00555774"/>
    <w:rsid w:val="00555C05"/>
    <w:rsid w:val="005560DC"/>
    <w:rsid w:val="00556AC0"/>
    <w:rsid w:val="005577BB"/>
    <w:rsid w:val="00557D8B"/>
    <w:rsid w:val="0056106D"/>
    <w:rsid w:val="00561668"/>
    <w:rsid w:val="00561D95"/>
    <w:rsid w:val="005623AB"/>
    <w:rsid w:val="00562F54"/>
    <w:rsid w:val="00563283"/>
    <w:rsid w:val="005633C8"/>
    <w:rsid w:val="00563D1F"/>
    <w:rsid w:val="00564111"/>
    <w:rsid w:val="00564814"/>
    <w:rsid w:val="00565502"/>
    <w:rsid w:val="00566071"/>
    <w:rsid w:val="005662DB"/>
    <w:rsid w:val="005674CD"/>
    <w:rsid w:val="005674D7"/>
    <w:rsid w:val="00567B35"/>
    <w:rsid w:val="005701A6"/>
    <w:rsid w:val="005701EA"/>
    <w:rsid w:val="0057043F"/>
    <w:rsid w:val="00570A28"/>
    <w:rsid w:val="00571212"/>
    <w:rsid w:val="00571792"/>
    <w:rsid w:val="00571850"/>
    <w:rsid w:val="00571BEC"/>
    <w:rsid w:val="00572540"/>
    <w:rsid w:val="0057288D"/>
    <w:rsid w:val="00572F83"/>
    <w:rsid w:val="00574757"/>
    <w:rsid w:val="00574798"/>
    <w:rsid w:val="00575077"/>
    <w:rsid w:val="00575504"/>
    <w:rsid w:val="0057687A"/>
    <w:rsid w:val="00577085"/>
    <w:rsid w:val="005800FC"/>
    <w:rsid w:val="005808E6"/>
    <w:rsid w:val="00582FA9"/>
    <w:rsid w:val="00583F71"/>
    <w:rsid w:val="00584436"/>
    <w:rsid w:val="00584609"/>
    <w:rsid w:val="005846A3"/>
    <w:rsid w:val="005850B6"/>
    <w:rsid w:val="005856C8"/>
    <w:rsid w:val="0058583F"/>
    <w:rsid w:val="00586CC4"/>
    <w:rsid w:val="00587099"/>
    <w:rsid w:val="00587CD5"/>
    <w:rsid w:val="00591BA8"/>
    <w:rsid w:val="00591F10"/>
    <w:rsid w:val="00592470"/>
    <w:rsid w:val="0059298B"/>
    <w:rsid w:val="0059341C"/>
    <w:rsid w:val="00593C84"/>
    <w:rsid w:val="00593CC4"/>
    <w:rsid w:val="005940CD"/>
    <w:rsid w:val="005955B9"/>
    <w:rsid w:val="00596D93"/>
    <w:rsid w:val="00596E82"/>
    <w:rsid w:val="0059754D"/>
    <w:rsid w:val="005A1552"/>
    <w:rsid w:val="005A1BDB"/>
    <w:rsid w:val="005A2FB5"/>
    <w:rsid w:val="005A43A4"/>
    <w:rsid w:val="005A46A8"/>
    <w:rsid w:val="005A508F"/>
    <w:rsid w:val="005A69B7"/>
    <w:rsid w:val="005A6B81"/>
    <w:rsid w:val="005A7349"/>
    <w:rsid w:val="005B1D81"/>
    <w:rsid w:val="005B2171"/>
    <w:rsid w:val="005B21D6"/>
    <w:rsid w:val="005B258B"/>
    <w:rsid w:val="005B2795"/>
    <w:rsid w:val="005B2C79"/>
    <w:rsid w:val="005B3010"/>
    <w:rsid w:val="005B3DE8"/>
    <w:rsid w:val="005B428F"/>
    <w:rsid w:val="005B4E16"/>
    <w:rsid w:val="005B52C9"/>
    <w:rsid w:val="005B674C"/>
    <w:rsid w:val="005B6D5F"/>
    <w:rsid w:val="005B70CC"/>
    <w:rsid w:val="005B779E"/>
    <w:rsid w:val="005B7A39"/>
    <w:rsid w:val="005C02B4"/>
    <w:rsid w:val="005C03D9"/>
    <w:rsid w:val="005C1C9C"/>
    <w:rsid w:val="005C3D3A"/>
    <w:rsid w:val="005C3EAD"/>
    <w:rsid w:val="005C42C9"/>
    <w:rsid w:val="005C4D98"/>
    <w:rsid w:val="005C5B38"/>
    <w:rsid w:val="005C645A"/>
    <w:rsid w:val="005C6840"/>
    <w:rsid w:val="005D0FF9"/>
    <w:rsid w:val="005D10B9"/>
    <w:rsid w:val="005D191C"/>
    <w:rsid w:val="005D1F41"/>
    <w:rsid w:val="005D23CB"/>
    <w:rsid w:val="005D24ED"/>
    <w:rsid w:val="005D24FD"/>
    <w:rsid w:val="005D26BD"/>
    <w:rsid w:val="005D38CF"/>
    <w:rsid w:val="005D3903"/>
    <w:rsid w:val="005D3C0D"/>
    <w:rsid w:val="005D3DF6"/>
    <w:rsid w:val="005D42FA"/>
    <w:rsid w:val="005D49AA"/>
    <w:rsid w:val="005D4C6C"/>
    <w:rsid w:val="005D53DC"/>
    <w:rsid w:val="005D65FE"/>
    <w:rsid w:val="005D7088"/>
    <w:rsid w:val="005E1C72"/>
    <w:rsid w:val="005E2C5C"/>
    <w:rsid w:val="005E426A"/>
    <w:rsid w:val="005E54D0"/>
    <w:rsid w:val="005E565D"/>
    <w:rsid w:val="005E57CE"/>
    <w:rsid w:val="005E73B1"/>
    <w:rsid w:val="005E780F"/>
    <w:rsid w:val="005E792C"/>
    <w:rsid w:val="005F03B2"/>
    <w:rsid w:val="005F0AAE"/>
    <w:rsid w:val="005F0C98"/>
    <w:rsid w:val="005F2384"/>
    <w:rsid w:val="005F2572"/>
    <w:rsid w:val="005F3262"/>
    <w:rsid w:val="005F7C06"/>
    <w:rsid w:val="0060056E"/>
    <w:rsid w:val="00601894"/>
    <w:rsid w:val="00602E71"/>
    <w:rsid w:val="0060305C"/>
    <w:rsid w:val="0060392A"/>
    <w:rsid w:val="006040DD"/>
    <w:rsid w:val="006045F2"/>
    <w:rsid w:val="00604D66"/>
    <w:rsid w:val="00605153"/>
    <w:rsid w:val="00605A21"/>
    <w:rsid w:val="0060612D"/>
    <w:rsid w:val="006069C3"/>
    <w:rsid w:val="00606D93"/>
    <w:rsid w:val="0060714C"/>
    <w:rsid w:val="00607B4D"/>
    <w:rsid w:val="006100A1"/>
    <w:rsid w:val="00610246"/>
    <w:rsid w:val="00610C66"/>
    <w:rsid w:val="00611DA8"/>
    <w:rsid w:val="006128D9"/>
    <w:rsid w:val="00612F1A"/>
    <w:rsid w:val="006134FF"/>
    <w:rsid w:val="006135E5"/>
    <w:rsid w:val="0061360D"/>
    <w:rsid w:val="00614554"/>
    <w:rsid w:val="0061496A"/>
    <w:rsid w:val="006151F8"/>
    <w:rsid w:val="00615224"/>
    <w:rsid w:val="0061561E"/>
    <w:rsid w:val="0061601F"/>
    <w:rsid w:val="0061636E"/>
    <w:rsid w:val="0061638F"/>
    <w:rsid w:val="00616442"/>
    <w:rsid w:val="006171F6"/>
    <w:rsid w:val="006173C0"/>
    <w:rsid w:val="00617E27"/>
    <w:rsid w:val="0062018E"/>
    <w:rsid w:val="00620D90"/>
    <w:rsid w:val="0062174E"/>
    <w:rsid w:val="006227E2"/>
    <w:rsid w:val="00622CDB"/>
    <w:rsid w:val="006230C8"/>
    <w:rsid w:val="006233F8"/>
    <w:rsid w:val="00624CAA"/>
    <w:rsid w:val="00625F5A"/>
    <w:rsid w:val="0062628B"/>
    <w:rsid w:val="00630152"/>
    <w:rsid w:val="00631807"/>
    <w:rsid w:val="00632BCB"/>
    <w:rsid w:val="00633008"/>
    <w:rsid w:val="0063317B"/>
    <w:rsid w:val="006332BD"/>
    <w:rsid w:val="006333DD"/>
    <w:rsid w:val="00633879"/>
    <w:rsid w:val="00633935"/>
    <w:rsid w:val="00633A23"/>
    <w:rsid w:val="006340E8"/>
    <w:rsid w:val="00634BB0"/>
    <w:rsid w:val="0063534F"/>
    <w:rsid w:val="006356B6"/>
    <w:rsid w:val="00636120"/>
    <w:rsid w:val="00637747"/>
    <w:rsid w:val="0064040F"/>
    <w:rsid w:val="006407B2"/>
    <w:rsid w:val="00641373"/>
    <w:rsid w:val="0064171D"/>
    <w:rsid w:val="00641DCC"/>
    <w:rsid w:val="00642230"/>
    <w:rsid w:val="00642E4E"/>
    <w:rsid w:val="006433A2"/>
    <w:rsid w:val="006434B5"/>
    <w:rsid w:val="006435F5"/>
    <w:rsid w:val="00643E25"/>
    <w:rsid w:val="006440DA"/>
    <w:rsid w:val="00644BD6"/>
    <w:rsid w:val="00646060"/>
    <w:rsid w:val="00646931"/>
    <w:rsid w:val="006473FC"/>
    <w:rsid w:val="006500C9"/>
    <w:rsid w:val="00650F13"/>
    <w:rsid w:val="00651CFD"/>
    <w:rsid w:val="00652229"/>
    <w:rsid w:val="0065309D"/>
    <w:rsid w:val="00653294"/>
    <w:rsid w:val="00654022"/>
    <w:rsid w:val="006544B1"/>
    <w:rsid w:val="006544C8"/>
    <w:rsid w:val="00654AC9"/>
    <w:rsid w:val="006552F7"/>
    <w:rsid w:val="00655738"/>
    <w:rsid w:val="00655787"/>
    <w:rsid w:val="006566C4"/>
    <w:rsid w:val="00656BB2"/>
    <w:rsid w:val="006572D8"/>
    <w:rsid w:val="00657CB5"/>
    <w:rsid w:val="0065F5E9"/>
    <w:rsid w:val="006601B6"/>
    <w:rsid w:val="0066076B"/>
    <w:rsid w:val="006609D3"/>
    <w:rsid w:val="006610AB"/>
    <w:rsid w:val="00661C78"/>
    <w:rsid w:val="00662908"/>
    <w:rsid w:val="00662DB6"/>
    <w:rsid w:val="0066358F"/>
    <w:rsid w:val="006643B1"/>
    <w:rsid w:val="0066493A"/>
    <w:rsid w:val="00664F1B"/>
    <w:rsid w:val="006652B6"/>
    <w:rsid w:val="006654AA"/>
    <w:rsid w:val="00665724"/>
    <w:rsid w:val="00665969"/>
    <w:rsid w:val="00665C1F"/>
    <w:rsid w:val="0066649D"/>
    <w:rsid w:val="0066705B"/>
    <w:rsid w:val="0067051F"/>
    <w:rsid w:val="0067134C"/>
    <w:rsid w:val="00671E69"/>
    <w:rsid w:val="00673607"/>
    <w:rsid w:val="00673656"/>
    <w:rsid w:val="00673733"/>
    <w:rsid w:val="00675BBA"/>
    <w:rsid w:val="00676B14"/>
    <w:rsid w:val="006778B9"/>
    <w:rsid w:val="00677D85"/>
    <w:rsid w:val="00677EBB"/>
    <w:rsid w:val="00680287"/>
    <w:rsid w:val="00680B22"/>
    <w:rsid w:val="00680B7E"/>
    <w:rsid w:val="006816FD"/>
    <w:rsid w:val="00682D05"/>
    <w:rsid w:val="006832D2"/>
    <w:rsid w:val="006836D2"/>
    <w:rsid w:val="00683864"/>
    <w:rsid w:val="00684AA9"/>
    <w:rsid w:val="00684BE2"/>
    <w:rsid w:val="00684C5A"/>
    <w:rsid w:val="00685700"/>
    <w:rsid w:val="00686200"/>
    <w:rsid w:val="00686415"/>
    <w:rsid w:val="00686524"/>
    <w:rsid w:val="00686780"/>
    <w:rsid w:val="00686C9A"/>
    <w:rsid w:val="006871A0"/>
    <w:rsid w:val="0068757B"/>
    <w:rsid w:val="00687BD0"/>
    <w:rsid w:val="006901CE"/>
    <w:rsid w:val="006902F4"/>
    <w:rsid w:val="006905AD"/>
    <w:rsid w:val="00691F9E"/>
    <w:rsid w:val="0069229D"/>
    <w:rsid w:val="00692411"/>
    <w:rsid w:val="00692ED2"/>
    <w:rsid w:val="00692F76"/>
    <w:rsid w:val="00694310"/>
    <w:rsid w:val="00695A3E"/>
    <w:rsid w:val="00695DA1"/>
    <w:rsid w:val="0069682F"/>
    <w:rsid w:val="00696E93"/>
    <w:rsid w:val="006971CE"/>
    <w:rsid w:val="006A0066"/>
    <w:rsid w:val="006A1FB3"/>
    <w:rsid w:val="006A22EC"/>
    <w:rsid w:val="006A2B24"/>
    <w:rsid w:val="006A2E43"/>
    <w:rsid w:val="006A2FFB"/>
    <w:rsid w:val="006A35A6"/>
    <w:rsid w:val="006A50E5"/>
    <w:rsid w:val="006A5AB9"/>
    <w:rsid w:val="006A672D"/>
    <w:rsid w:val="006A6E08"/>
    <w:rsid w:val="006A7B42"/>
    <w:rsid w:val="006B1A69"/>
    <w:rsid w:val="006B2039"/>
    <w:rsid w:val="006B2134"/>
    <w:rsid w:val="006B246F"/>
    <w:rsid w:val="006B25CD"/>
    <w:rsid w:val="006B39AD"/>
    <w:rsid w:val="006B42EA"/>
    <w:rsid w:val="006B4630"/>
    <w:rsid w:val="006B4BEB"/>
    <w:rsid w:val="006B516A"/>
    <w:rsid w:val="006B5516"/>
    <w:rsid w:val="006B619B"/>
    <w:rsid w:val="006B668F"/>
    <w:rsid w:val="006B692D"/>
    <w:rsid w:val="006B73A8"/>
    <w:rsid w:val="006B7940"/>
    <w:rsid w:val="006B7E70"/>
    <w:rsid w:val="006B7F28"/>
    <w:rsid w:val="006C015A"/>
    <w:rsid w:val="006C0DEE"/>
    <w:rsid w:val="006C289B"/>
    <w:rsid w:val="006C2941"/>
    <w:rsid w:val="006C2BD6"/>
    <w:rsid w:val="006C2D96"/>
    <w:rsid w:val="006C3E1F"/>
    <w:rsid w:val="006C40F2"/>
    <w:rsid w:val="006C44D3"/>
    <w:rsid w:val="006C4A90"/>
    <w:rsid w:val="006C5706"/>
    <w:rsid w:val="006C6450"/>
    <w:rsid w:val="006C69E2"/>
    <w:rsid w:val="006D0A3B"/>
    <w:rsid w:val="006D0AF6"/>
    <w:rsid w:val="006D1857"/>
    <w:rsid w:val="006D1C34"/>
    <w:rsid w:val="006D1D02"/>
    <w:rsid w:val="006D1E57"/>
    <w:rsid w:val="006D2685"/>
    <w:rsid w:val="006D2F3A"/>
    <w:rsid w:val="006D365F"/>
    <w:rsid w:val="006D3B3B"/>
    <w:rsid w:val="006D48BE"/>
    <w:rsid w:val="006D52C2"/>
    <w:rsid w:val="006D68CD"/>
    <w:rsid w:val="006D6F86"/>
    <w:rsid w:val="006D74CC"/>
    <w:rsid w:val="006E0E7C"/>
    <w:rsid w:val="006E1288"/>
    <w:rsid w:val="006E1336"/>
    <w:rsid w:val="006E1C2A"/>
    <w:rsid w:val="006E29BD"/>
    <w:rsid w:val="006E3A8D"/>
    <w:rsid w:val="006E424D"/>
    <w:rsid w:val="006E56AA"/>
    <w:rsid w:val="006E5A2E"/>
    <w:rsid w:val="006E5B52"/>
    <w:rsid w:val="006E6223"/>
    <w:rsid w:val="006E659D"/>
    <w:rsid w:val="006E75A9"/>
    <w:rsid w:val="006E7F35"/>
    <w:rsid w:val="006E7F46"/>
    <w:rsid w:val="006F05B4"/>
    <w:rsid w:val="006F1CF0"/>
    <w:rsid w:val="006F2413"/>
    <w:rsid w:val="006F3129"/>
    <w:rsid w:val="006F41C4"/>
    <w:rsid w:val="006F447E"/>
    <w:rsid w:val="006F466F"/>
    <w:rsid w:val="006F5D7F"/>
    <w:rsid w:val="006F5E0D"/>
    <w:rsid w:val="006F6A7B"/>
    <w:rsid w:val="00700B8C"/>
    <w:rsid w:val="0070203E"/>
    <w:rsid w:val="00702304"/>
    <w:rsid w:val="00702B8C"/>
    <w:rsid w:val="007034CC"/>
    <w:rsid w:val="00703701"/>
    <w:rsid w:val="007037E7"/>
    <w:rsid w:val="007041E2"/>
    <w:rsid w:val="00704886"/>
    <w:rsid w:val="00705111"/>
    <w:rsid w:val="0070627E"/>
    <w:rsid w:val="00706F21"/>
    <w:rsid w:val="00707953"/>
    <w:rsid w:val="00707B7A"/>
    <w:rsid w:val="00707DD3"/>
    <w:rsid w:val="007123DD"/>
    <w:rsid w:val="007125E7"/>
    <w:rsid w:val="00712EB3"/>
    <w:rsid w:val="00713653"/>
    <w:rsid w:val="007136D4"/>
    <w:rsid w:val="00713866"/>
    <w:rsid w:val="00713DD9"/>
    <w:rsid w:val="0071442C"/>
    <w:rsid w:val="007158AC"/>
    <w:rsid w:val="00715E0D"/>
    <w:rsid w:val="00715E67"/>
    <w:rsid w:val="00717759"/>
    <w:rsid w:val="00717B5E"/>
    <w:rsid w:val="00720218"/>
    <w:rsid w:val="0072069F"/>
    <w:rsid w:val="007214FF"/>
    <w:rsid w:val="007218FF"/>
    <w:rsid w:val="00722286"/>
    <w:rsid w:val="00722B45"/>
    <w:rsid w:val="00723CFD"/>
    <w:rsid w:val="0072449F"/>
    <w:rsid w:val="007257C1"/>
    <w:rsid w:val="00726D75"/>
    <w:rsid w:val="00727FE0"/>
    <w:rsid w:val="00730014"/>
    <w:rsid w:val="00731010"/>
    <w:rsid w:val="00731072"/>
    <w:rsid w:val="00731BEF"/>
    <w:rsid w:val="00731E60"/>
    <w:rsid w:val="00732076"/>
    <w:rsid w:val="007346A0"/>
    <w:rsid w:val="00734962"/>
    <w:rsid w:val="00735938"/>
    <w:rsid w:val="00735A07"/>
    <w:rsid w:val="00735BA0"/>
    <w:rsid w:val="0073610C"/>
    <w:rsid w:val="00736377"/>
    <w:rsid w:val="007364DC"/>
    <w:rsid w:val="00737075"/>
    <w:rsid w:val="007374AB"/>
    <w:rsid w:val="00737B53"/>
    <w:rsid w:val="00737EEC"/>
    <w:rsid w:val="00737FBE"/>
    <w:rsid w:val="0074085E"/>
    <w:rsid w:val="00742067"/>
    <w:rsid w:val="00742247"/>
    <w:rsid w:val="0074516D"/>
    <w:rsid w:val="007452F1"/>
    <w:rsid w:val="00745642"/>
    <w:rsid w:val="007459C2"/>
    <w:rsid w:val="00745A68"/>
    <w:rsid w:val="00746A0B"/>
    <w:rsid w:val="0074734F"/>
    <w:rsid w:val="00747754"/>
    <w:rsid w:val="007479A2"/>
    <w:rsid w:val="00747A6C"/>
    <w:rsid w:val="00747C9D"/>
    <w:rsid w:val="007503B5"/>
    <w:rsid w:val="00750679"/>
    <w:rsid w:val="00752B28"/>
    <w:rsid w:val="00752BFD"/>
    <w:rsid w:val="00752BFE"/>
    <w:rsid w:val="007539B5"/>
    <w:rsid w:val="00754240"/>
    <w:rsid w:val="00754C74"/>
    <w:rsid w:val="00754CF2"/>
    <w:rsid w:val="00755704"/>
    <w:rsid w:val="00755AE8"/>
    <w:rsid w:val="00755F34"/>
    <w:rsid w:val="0075662C"/>
    <w:rsid w:val="007567FA"/>
    <w:rsid w:val="00757276"/>
    <w:rsid w:val="00757443"/>
    <w:rsid w:val="007578F8"/>
    <w:rsid w:val="00757CD7"/>
    <w:rsid w:val="00757F09"/>
    <w:rsid w:val="00761452"/>
    <w:rsid w:val="00761506"/>
    <w:rsid w:val="0076155F"/>
    <w:rsid w:val="00761C23"/>
    <w:rsid w:val="00762005"/>
    <w:rsid w:val="007632B0"/>
    <w:rsid w:val="007646D2"/>
    <w:rsid w:val="00764B0E"/>
    <w:rsid w:val="00764B87"/>
    <w:rsid w:val="00764EE6"/>
    <w:rsid w:val="00765132"/>
    <w:rsid w:val="007653E0"/>
    <w:rsid w:val="00766F71"/>
    <w:rsid w:val="007703C7"/>
    <w:rsid w:val="00771140"/>
    <w:rsid w:val="00771206"/>
    <w:rsid w:val="0077192E"/>
    <w:rsid w:val="00771D89"/>
    <w:rsid w:val="00772350"/>
    <w:rsid w:val="00772909"/>
    <w:rsid w:val="007729DE"/>
    <w:rsid w:val="007742BD"/>
    <w:rsid w:val="00774538"/>
    <w:rsid w:val="0077581D"/>
    <w:rsid w:val="00775AEB"/>
    <w:rsid w:val="0077601A"/>
    <w:rsid w:val="007775B4"/>
    <w:rsid w:val="007812DF"/>
    <w:rsid w:val="00782056"/>
    <w:rsid w:val="00782341"/>
    <w:rsid w:val="0078266A"/>
    <w:rsid w:val="007832BB"/>
    <w:rsid w:val="0078388F"/>
    <w:rsid w:val="00783D07"/>
    <w:rsid w:val="00784E76"/>
    <w:rsid w:val="0078539F"/>
    <w:rsid w:val="007869D1"/>
    <w:rsid w:val="007873FE"/>
    <w:rsid w:val="00787FF8"/>
    <w:rsid w:val="00791275"/>
    <w:rsid w:val="0079190C"/>
    <w:rsid w:val="00791992"/>
    <w:rsid w:val="00791D0A"/>
    <w:rsid w:val="00792414"/>
    <w:rsid w:val="0079253B"/>
    <w:rsid w:val="00792660"/>
    <w:rsid w:val="00792F0C"/>
    <w:rsid w:val="0079363D"/>
    <w:rsid w:val="00793934"/>
    <w:rsid w:val="00793B56"/>
    <w:rsid w:val="007942B8"/>
    <w:rsid w:val="00794CAA"/>
    <w:rsid w:val="00795643"/>
    <w:rsid w:val="00796B97"/>
    <w:rsid w:val="00796FB4"/>
    <w:rsid w:val="007A0ACB"/>
    <w:rsid w:val="007A1A27"/>
    <w:rsid w:val="007A1C45"/>
    <w:rsid w:val="007A226B"/>
    <w:rsid w:val="007A3156"/>
    <w:rsid w:val="007A408F"/>
    <w:rsid w:val="007A4208"/>
    <w:rsid w:val="007A4223"/>
    <w:rsid w:val="007A448E"/>
    <w:rsid w:val="007A4B74"/>
    <w:rsid w:val="007A4DD7"/>
    <w:rsid w:val="007A4FC8"/>
    <w:rsid w:val="007A564F"/>
    <w:rsid w:val="007A5AD9"/>
    <w:rsid w:val="007A6E1B"/>
    <w:rsid w:val="007A74EE"/>
    <w:rsid w:val="007AB42F"/>
    <w:rsid w:val="007B07CE"/>
    <w:rsid w:val="007B0C67"/>
    <w:rsid w:val="007B1186"/>
    <w:rsid w:val="007B1EB8"/>
    <w:rsid w:val="007B27FA"/>
    <w:rsid w:val="007B3009"/>
    <w:rsid w:val="007B3528"/>
    <w:rsid w:val="007B41E7"/>
    <w:rsid w:val="007B560C"/>
    <w:rsid w:val="007B5A51"/>
    <w:rsid w:val="007B5A8E"/>
    <w:rsid w:val="007B5CF6"/>
    <w:rsid w:val="007B619B"/>
    <w:rsid w:val="007B7DAF"/>
    <w:rsid w:val="007C1D5A"/>
    <w:rsid w:val="007C2696"/>
    <w:rsid w:val="007C41C9"/>
    <w:rsid w:val="007C4997"/>
    <w:rsid w:val="007C4EA7"/>
    <w:rsid w:val="007C5673"/>
    <w:rsid w:val="007C56F0"/>
    <w:rsid w:val="007C5A6E"/>
    <w:rsid w:val="007C5FA5"/>
    <w:rsid w:val="007C7DD6"/>
    <w:rsid w:val="007D08D3"/>
    <w:rsid w:val="007D0DD9"/>
    <w:rsid w:val="007D1CE0"/>
    <w:rsid w:val="007D1F32"/>
    <w:rsid w:val="007D28DF"/>
    <w:rsid w:val="007D2D9D"/>
    <w:rsid w:val="007D330B"/>
    <w:rsid w:val="007D3E67"/>
    <w:rsid w:val="007D4283"/>
    <w:rsid w:val="007D4D05"/>
    <w:rsid w:val="007D594E"/>
    <w:rsid w:val="007D6A55"/>
    <w:rsid w:val="007D71AF"/>
    <w:rsid w:val="007E0690"/>
    <w:rsid w:val="007E0C2C"/>
    <w:rsid w:val="007E188D"/>
    <w:rsid w:val="007E2940"/>
    <w:rsid w:val="007E2C1C"/>
    <w:rsid w:val="007E2DCE"/>
    <w:rsid w:val="007E3355"/>
    <w:rsid w:val="007E337C"/>
    <w:rsid w:val="007E3D5A"/>
    <w:rsid w:val="007E3F6F"/>
    <w:rsid w:val="007E4B5D"/>
    <w:rsid w:val="007E55CC"/>
    <w:rsid w:val="007E68A4"/>
    <w:rsid w:val="007F2523"/>
    <w:rsid w:val="007F2D76"/>
    <w:rsid w:val="007F368E"/>
    <w:rsid w:val="007F403A"/>
    <w:rsid w:val="007F4ECE"/>
    <w:rsid w:val="007F54E5"/>
    <w:rsid w:val="007F5DF0"/>
    <w:rsid w:val="007F6387"/>
    <w:rsid w:val="007F7B08"/>
    <w:rsid w:val="00800AB0"/>
    <w:rsid w:val="00801A7A"/>
    <w:rsid w:val="00801E31"/>
    <w:rsid w:val="00801F12"/>
    <w:rsid w:val="00801F46"/>
    <w:rsid w:val="00802860"/>
    <w:rsid w:val="00804552"/>
    <w:rsid w:val="0080519A"/>
    <w:rsid w:val="0080563B"/>
    <w:rsid w:val="00806DAD"/>
    <w:rsid w:val="00807862"/>
    <w:rsid w:val="00807E89"/>
    <w:rsid w:val="00810755"/>
    <w:rsid w:val="0081085D"/>
    <w:rsid w:val="00810C4F"/>
    <w:rsid w:val="008115D6"/>
    <w:rsid w:val="008128F4"/>
    <w:rsid w:val="0081372D"/>
    <w:rsid w:val="00813A3C"/>
    <w:rsid w:val="00814B2D"/>
    <w:rsid w:val="00815042"/>
    <w:rsid w:val="00815929"/>
    <w:rsid w:val="008176D4"/>
    <w:rsid w:val="00820A8A"/>
    <w:rsid w:val="00821484"/>
    <w:rsid w:val="00822CDE"/>
    <w:rsid w:val="00824016"/>
    <w:rsid w:val="008246B8"/>
    <w:rsid w:val="00824E07"/>
    <w:rsid w:val="008253FB"/>
    <w:rsid w:val="00825DAC"/>
    <w:rsid w:val="00826437"/>
    <w:rsid w:val="00826629"/>
    <w:rsid w:val="00826D6F"/>
    <w:rsid w:val="00826D94"/>
    <w:rsid w:val="00827855"/>
    <w:rsid w:val="008303A3"/>
    <w:rsid w:val="00830D04"/>
    <w:rsid w:val="00830FB9"/>
    <w:rsid w:val="00831B34"/>
    <w:rsid w:val="008323FA"/>
    <w:rsid w:val="00832A76"/>
    <w:rsid w:val="00833478"/>
    <w:rsid w:val="00833BC9"/>
    <w:rsid w:val="00834969"/>
    <w:rsid w:val="008350C9"/>
    <w:rsid w:val="0083598A"/>
    <w:rsid w:val="00835E10"/>
    <w:rsid w:val="008362EE"/>
    <w:rsid w:val="008370AF"/>
    <w:rsid w:val="00837D19"/>
    <w:rsid w:val="00837D6E"/>
    <w:rsid w:val="008409C0"/>
    <w:rsid w:val="00841032"/>
    <w:rsid w:val="0084242C"/>
    <w:rsid w:val="00842C25"/>
    <w:rsid w:val="008431DE"/>
    <w:rsid w:val="00844A79"/>
    <w:rsid w:val="00845708"/>
    <w:rsid w:val="008457FB"/>
    <w:rsid w:val="008462EF"/>
    <w:rsid w:val="00846EE6"/>
    <w:rsid w:val="008473A3"/>
    <w:rsid w:val="00847E9A"/>
    <w:rsid w:val="0085056D"/>
    <w:rsid w:val="00850DDD"/>
    <w:rsid w:val="0085138A"/>
    <w:rsid w:val="00851F7D"/>
    <w:rsid w:val="0085299C"/>
    <w:rsid w:val="008536BD"/>
    <w:rsid w:val="0085404E"/>
    <w:rsid w:val="00854973"/>
    <w:rsid w:val="00854E6A"/>
    <w:rsid w:val="00855067"/>
    <w:rsid w:val="00855523"/>
    <w:rsid w:val="00855BE1"/>
    <w:rsid w:val="0085624D"/>
    <w:rsid w:val="008564E0"/>
    <w:rsid w:val="00860EB2"/>
    <w:rsid w:val="00860FDA"/>
    <w:rsid w:val="00861C23"/>
    <w:rsid w:val="00861D9C"/>
    <w:rsid w:val="00861E5F"/>
    <w:rsid w:val="00862BA5"/>
    <w:rsid w:val="008638BD"/>
    <w:rsid w:val="00863FBA"/>
    <w:rsid w:val="00864A37"/>
    <w:rsid w:val="00864D2B"/>
    <w:rsid w:val="008651E2"/>
    <w:rsid w:val="0086521A"/>
    <w:rsid w:val="008652DA"/>
    <w:rsid w:val="00865767"/>
    <w:rsid w:val="00865861"/>
    <w:rsid w:val="00865A3E"/>
    <w:rsid w:val="00865DF4"/>
    <w:rsid w:val="0087073E"/>
    <w:rsid w:val="00870F4C"/>
    <w:rsid w:val="00872E5E"/>
    <w:rsid w:val="00873E62"/>
    <w:rsid w:val="00876B62"/>
    <w:rsid w:val="00876EBB"/>
    <w:rsid w:val="0088127F"/>
    <w:rsid w:val="00881995"/>
    <w:rsid w:val="00881D59"/>
    <w:rsid w:val="00881F46"/>
    <w:rsid w:val="00882290"/>
    <w:rsid w:val="0088266D"/>
    <w:rsid w:val="00882EB0"/>
    <w:rsid w:val="00885620"/>
    <w:rsid w:val="00886E77"/>
    <w:rsid w:val="00890570"/>
    <w:rsid w:val="008907BE"/>
    <w:rsid w:val="00890925"/>
    <w:rsid w:val="00890BF4"/>
    <w:rsid w:val="00891B44"/>
    <w:rsid w:val="0089248E"/>
    <w:rsid w:val="00893507"/>
    <w:rsid w:val="00893900"/>
    <w:rsid w:val="0089481B"/>
    <w:rsid w:val="008948E5"/>
    <w:rsid w:val="0089586A"/>
    <w:rsid w:val="008A0231"/>
    <w:rsid w:val="008A0A50"/>
    <w:rsid w:val="008A3649"/>
    <w:rsid w:val="008A3797"/>
    <w:rsid w:val="008A388F"/>
    <w:rsid w:val="008A49AF"/>
    <w:rsid w:val="008A4A08"/>
    <w:rsid w:val="008A4A26"/>
    <w:rsid w:val="008A4D3E"/>
    <w:rsid w:val="008A4D69"/>
    <w:rsid w:val="008A5337"/>
    <w:rsid w:val="008A6658"/>
    <w:rsid w:val="008A6999"/>
    <w:rsid w:val="008A7A08"/>
    <w:rsid w:val="008B056C"/>
    <w:rsid w:val="008B0B99"/>
    <w:rsid w:val="008B1086"/>
    <w:rsid w:val="008B1C95"/>
    <w:rsid w:val="008B2428"/>
    <w:rsid w:val="008B2AA1"/>
    <w:rsid w:val="008B2F8C"/>
    <w:rsid w:val="008B3894"/>
    <w:rsid w:val="008B389F"/>
    <w:rsid w:val="008B3932"/>
    <w:rsid w:val="008B393C"/>
    <w:rsid w:val="008B487D"/>
    <w:rsid w:val="008B4A2E"/>
    <w:rsid w:val="008B4A66"/>
    <w:rsid w:val="008B5E80"/>
    <w:rsid w:val="008B62E7"/>
    <w:rsid w:val="008B6DF9"/>
    <w:rsid w:val="008B7161"/>
    <w:rsid w:val="008B7666"/>
    <w:rsid w:val="008B76BF"/>
    <w:rsid w:val="008B7A8B"/>
    <w:rsid w:val="008C0BFA"/>
    <w:rsid w:val="008C142A"/>
    <w:rsid w:val="008C192D"/>
    <w:rsid w:val="008C2264"/>
    <w:rsid w:val="008C23B7"/>
    <w:rsid w:val="008C3248"/>
    <w:rsid w:val="008C328E"/>
    <w:rsid w:val="008C510E"/>
    <w:rsid w:val="008C5470"/>
    <w:rsid w:val="008C5A3E"/>
    <w:rsid w:val="008C6783"/>
    <w:rsid w:val="008C6995"/>
    <w:rsid w:val="008C69A4"/>
    <w:rsid w:val="008C6A80"/>
    <w:rsid w:val="008C6EDA"/>
    <w:rsid w:val="008C6FB0"/>
    <w:rsid w:val="008D07AF"/>
    <w:rsid w:val="008D0965"/>
    <w:rsid w:val="008D09A5"/>
    <w:rsid w:val="008D0B3C"/>
    <w:rsid w:val="008D13EA"/>
    <w:rsid w:val="008D1524"/>
    <w:rsid w:val="008D2159"/>
    <w:rsid w:val="008D240F"/>
    <w:rsid w:val="008D364A"/>
    <w:rsid w:val="008D38C8"/>
    <w:rsid w:val="008D45DE"/>
    <w:rsid w:val="008D498C"/>
    <w:rsid w:val="008D49B1"/>
    <w:rsid w:val="008D569D"/>
    <w:rsid w:val="008D671E"/>
    <w:rsid w:val="008D6C5F"/>
    <w:rsid w:val="008D71E5"/>
    <w:rsid w:val="008D7F14"/>
    <w:rsid w:val="008E07E2"/>
    <w:rsid w:val="008E0980"/>
    <w:rsid w:val="008E1B36"/>
    <w:rsid w:val="008E1DE3"/>
    <w:rsid w:val="008E29CC"/>
    <w:rsid w:val="008E3895"/>
    <w:rsid w:val="008E3ABA"/>
    <w:rsid w:val="008E41B8"/>
    <w:rsid w:val="008E520C"/>
    <w:rsid w:val="008E5903"/>
    <w:rsid w:val="008E5DC6"/>
    <w:rsid w:val="008E6088"/>
    <w:rsid w:val="008E64B0"/>
    <w:rsid w:val="008E65AF"/>
    <w:rsid w:val="008E7225"/>
    <w:rsid w:val="008E780E"/>
    <w:rsid w:val="008E7B48"/>
    <w:rsid w:val="008E7DC3"/>
    <w:rsid w:val="008E7F96"/>
    <w:rsid w:val="008F009A"/>
    <w:rsid w:val="008F0A86"/>
    <w:rsid w:val="008F1298"/>
    <w:rsid w:val="008F12A2"/>
    <w:rsid w:val="008F1958"/>
    <w:rsid w:val="008F2106"/>
    <w:rsid w:val="008F3706"/>
    <w:rsid w:val="008F378C"/>
    <w:rsid w:val="008F447D"/>
    <w:rsid w:val="008F5103"/>
    <w:rsid w:val="008F55F8"/>
    <w:rsid w:val="008F5C69"/>
    <w:rsid w:val="008F6369"/>
    <w:rsid w:val="009020C0"/>
    <w:rsid w:val="00902F7C"/>
    <w:rsid w:val="00902F81"/>
    <w:rsid w:val="009032F5"/>
    <w:rsid w:val="00903646"/>
    <w:rsid w:val="00904F83"/>
    <w:rsid w:val="00905435"/>
    <w:rsid w:val="0090563D"/>
    <w:rsid w:val="00906A53"/>
    <w:rsid w:val="00906A65"/>
    <w:rsid w:val="00907298"/>
    <w:rsid w:val="00907C1E"/>
    <w:rsid w:val="00907E37"/>
    <w:rsid w:val="0091057F"/>
    <w:rsid w:val="009113F3"/>
    <w:rsid w:val="00911FE4"/>
    <w:rsid w:val="0091222D"/>
    <w:rsid w:val="00912E3B"/>
    <w:rsid w:val="0091424B"/>
    <w:rsid w:val="0091431C"/>
    <w:rsid w:val="00914DB7"/>
    <w:rsid w:val="00916797"/>
    <w:rsid w:val="0091726C"/>
    <w:rsid w:val="0091762D"/>
    <w:rsid w:val="00920341"/>
    <w:rsid w:val="00920856"/>
    <w:rsid w:val="00920C0C"/>
    <w:rsid w:val="00920C25"/>
    <w:rsid w:val="0092129F"/>
    <w:rsid w:val="00921319"/>
    <w:rsid w:val="00922A9E"/>
    <w:rsid w:val="00923041"/>
    <w:rsid w:val="00923977"/>
    <w:rsid w:val="00924CBF"/>
    <w:rsid w:val="00925AB3"/>
    <w:rsid w:val="009269A9"/>
    <w:rsid w:val="0092739D"/>
    <w:rsid w:val="00930A13"/>
    <w:rsid w:val="00931EA7"/>
    <w:rsid w:val="0093347E"/>
    <w:rsid w:val="0093363A"/>
    <w:rsid w:val="009341E5"/>
    <w:rsid w:val="00935F4A"/>
    <w:rsid w:val="0093649D"/>
    <w:rsid w:val="00940E6E"/>
    <w:rsid w:val="00943352"/>
    <w:rsid w:val="00943433"/>
    <w:rsid w:val="00943A4C"/>
    <w:rsid w:val="00943C8B"/>
    <w:rsid w:val="009440D7"/>
    <w:rsid w:val="00944DDB"/>
    <w:rsid w:val="009451B7"/>
    <w:rsid w:val="00946842"/>
    <w:rsid w:val="00947DE7"/>
    <w:rsid w:val="0095073F"/>
    <w:rsid w:val="00950D09"/>
    <w:rsid w:val="009510EE"/>
    <w:rsid w:val="00951343"/>
    <w:rsid w:val="009519CF"/>
    <w:rsid w:val="009539EE"/>
    <w:rsid w:val="00954301"/>
    <w:rsid w:val="009554D8"/>
    <w:rsid w:val="00957136"/>
    <w:rsid w:val="00957440"/>
    <w:rsid w:val="009614F2"/>
    <w:rsid w:val="009617EF"/>
    <w:rsid w:val="00961ABC"/>
    <w:rsid w:val="00962568"/>
    <w:rsid w:val="009626B4"/>
    <w:rsid w:val="00963146"/>
    <w:rsid w:val="00964AB5"/>
    <w:rsid w:val="009652A8"/>
    <w:rsid w:val="00965341"/>
    <w:rsid w:val="00966B29"/>
    <w:rsid w:val="009670D0"/>
    <w:rsid w:val="00967CAC"/>
    <w:rsid w:val="00967E17"/>
    <w:rsid w:val="009700C1"/>
    <w:rsid w:val="00970497"/>
    <w:rsid w:val="00970EA1"/>
    <w:rsid w:val="0097179D"/>
    <w:rsid w:val="009718CD"/>
    <w:rsid w:val="00971BB5"/>
    <w:rsid w:val="00971D14"/>
    <w:rsid w:val="00972894"/>
    <w:rsid w:val="00973037"/>
    <w:rsid w:val="00974A57"/>
    <w:rsid w:val="00974B24"/>
    <w:rsid w:val="00975E95"/>
    <w:rsid w:val="009760EE"/>
    <w:rsid w:val="009804EC"/>
    <w:rsid w:val="009804F5"/>
    <w:rsid w:val="00980C5C"/>
    <w:rsid w:val="00981470"/>
    <w:rsid w:val="0098239F"/>
    <w:rsid w:val="0098254D"/>
    <w:rsid w:val="00982559"/>
    <w:rsid w:val="00982698"/>
    <w:rsid w:val="00982B38"/>
    <w:rsid w:val="0098342D"/>
    <w:rsid w:val="00983817"/>
    <w:rsid w:val="00983A11"/>
    <w:rsid w:val="00983A70"/>
    <w:rsid w:val="009859FC"/>
    <w:rsid w:val="00985CE6"/>
    <w:rsid w:val="009863EE"/>
    <w:rsid w:val="009867C2"/>
    <w:rsid w:val="00987794"/>
    <w:rsid w:val="00987938"/>
    <w:rsid w:val="00990174"/>
    <w:rsid w:val="0099075C"/>
    <w:rsid w:val="00991ACA"/>
    <w:rsid w:val="00993DDD"/>
    <w:rsid w:val="00994A3F"/>
    <w:rsid w:val="00994A6F"/>
    <w:rsid w:val="00994CF0"/>
    <w:rsid w:val="009955CE"/>
    <w:rsid w:val="00996125"/>
    <w:rsid w:val="009968B5"/>
    <w:rsid w:val="00996ACC"/>
    <w:rsid w:val="009A17E8"/>
    <w:rsid w:val="009A1DD5"/>
    <w:rsid w:val="009A4698"/>
    <w:rsid w:val="009A4865"/>
    <w:rsid w:val="009A553C"/>
    <w:rsid w:val="009A6063"/>
    <w:rsid w:val="009A6556"/>
    <w:rsid w:val="009A6619"/>
    <w:rsid w:val="009A6687"/>
    <w:rsid w:val="009A739D"/>
    <w:rsid w:val="009A77B3"/>
    <w:rsid w:val="009B06FD"/>
    <w:rsid w:val="009B0FEC"/>
    <w:rsid w:val="009B12F5"/>
    <w:rsid w:val="009B2726"/>
    <w:rsid w:val="009B29DF"/>
    <w:rsid w:val="009B3038"/>
    <w:rsid w:val="009B4090"/>
    <w:rsid w:val="009B4E74"/>
    <w:rsid w:val="009B5200"/>
    <w:rsid w:val="009B5C60"/>
    <w:rsid w:val="009B5F76"/>
    <w:rsid w:val="009B601E"/>
    <w:rsid w:val="009B7009"/>
    <w:rsid w:val="009B76CA"/>
    <w:rsid w:val="009B79C9"/>
    <w:rsid w:val="009B7F82"/>
    <w:rsid w:val="009C26EE"/>
    <w:rsid w:val="009C2BAF"/>
    <w:rsid w:val="009C2FF7"/>
    <w:rsid w:val="009C30A2"/>
    <w:rsid w:val="009C37E9"/>
    <w:rsid w:val="009C3CD6"/>
    <w:rsid w:val="009C4684"/>
    <w:rsid w:val="009C48AC"/>
    <w:rsid w:val="009C4905"/>
    <w:rsid w:val="009C490F"/>
    <w:rsid w:val="009C501B"/>
    <w:rsid w:val="009C54EF"/>
    <w:rsid w:val="009C5DF1"/>
    <w:rsid w:val="009C65B1"/>
    <w:rsid w:val="009C6AAB"/>
    <w:rsid w:val="009C7608"/>
    <w:rsid w:val="009C78AB"/>
    <w:rsid w:val="009C7916"/>
    <w:rsid w:val="009C7EF8"/>
    <w:rsid w:val="009D0DC8"/>
    <w:rsid w:val="009D2D55"/>
    <w:rsid w:val="009D3360"/>
    <w:rsid w:val="009D3435"/>
    <w:rsid w:val="009D352C"/>
    <w:rsid w:val="009D3DE1"/>
    <w:rsid w:val="009D4875"/>
    <w:rsid w:val="009D56C3"/>
    <w:rsid w:val="009D5B07"/>
    <w:rsid w:val="009D66CF"/>
    <w:rsid w:val="009D69CF"/>
    <w:rsid w:val="009D74C4"/>
    <w:rsid w:val="009D7662"/>
    <w:rsid w:val="009E0131"/>
    <w:rsid w:val="009E0357"/>
    <w:rsid w:val="009E09B8"/>
    <w:rsid w:val="009E1F3C"/>
    <w:rsid w:val="009E2B0C"/>
    <w:rsid w:val="009E3CBF"/>
    <w:rsid w:val="009E4189"/>
    <w:rsid w:val="009E4D58"/>
    <w:rsid w:val="009E4D92"/>
    <w:rsid w:val="009E524E"/>
    <w:rsid w:val="009E55F9"/>
    <w:rsid w:val="009E5EE1"/>
    <w:rsid w:val="009E6E1E"/>
    <w:rsid w:val="009E766A"/>
    <w:rsid w:val="009E7814"/>
    <w:rsid w:val="009E7DE5"/>
    <w:rsid w:val="009F09A6"/>
    <w:rsid w:val="009F1153"/>
    <w:rsid w:val="009F14FF"/>
    <w:rsid w:val="009F18AE"/>
    <w:rsid w:val="009F38B4"/>
    <w:rsid w:val="009F3A24"/>
    <w:rsid w:val="009F51F8"/>
    <w:rsid w:val="009F7AF7"/>
    <w:rsid w:val="00A0056A"/>
    <w:rsid w:val="00A00B6D"/>
    <w:rsid w:val="00A00D13"/>
    <w:rsid w:val="00A01F6E"/>
    <w:rsid w:val="00A02340"/>
    <w:rsid w:val="00A02750"/>
    <w:rsid w:val="00A03BEF"/>
    <w:rsid w:val="00A0429D"/>
    <w:rsid w:val="00A051D7"/>
    <w:rsid w:val="00A05C1A"/>
    <w:rsid w:val="00A06065"/>
    <w:rsid w:val="00A065E3"/>
    <w:rsid w:val="00A06A3A"/>
    <w:rsid w:val="00A06B5F"/>
    <w:rsid w:val="00A070BD"/>
    <w:rsid w:val="00A07369"/>
    <w:rsid w:val="00A074F7"/>
    <w:rsid w:val="00A07D06"/>
    <w:rsid w:val="00A07EB0"/>
    <w:rsid w:val="00A10259"/>
    <w:rsid w:val="00A10BFA"/>
    <w:rsid w:val="00A10C38"/>
    <w:rsid w:val="00A10E93"/>
    <w:rsid w:val="00A11BBC"/>
    <w:rsid w:val="00A1274B"/>
    <w:rsid w:val="00A12857"/>
    <w:rsid w:val="00A1372C"/>
    <w:rsid w:val="00A148F0"/>
    <w:rsid w:val="00A163E2"/>
    <w:rsid w:val="00A1658D"/>
    <w:rsid w:val="00A16869"/>
    <w:rsid w:val="00A17044"/>
    <w:rsid w:val="00A174A6"/>
    <w:rsid w:val="00A175D2"/>
    <w:rsid w:val="00A2096A"/>
    <w:rsid w:val="00A20FA2"/>
    <w:rsid w:val="00A210DB"/>
    <w:rsid w:val="00A211A0"/>
    <w:rsid w:val="00A21B70"/>
    <w:rsid w:val="00A21BB7"/>
    <w:rsid w:val="00A2231D"/>
    <w:rsid w:val="00A23280"/>
    <w:rsid w:val="00A23510"/>
    <w:rsid w:val="00A23638"/>
    <w:rsid w:val="00A247AA"/>
    <w:rsid w:val="00A2564E"/>
    <w:rsid w:val="00A25EE6"/>
    <w:rsid w:val="00A268AC"/>
    <w:rsid w:val="00A269D8"/>
    <w:rsid w:val="00A27225"/>
    <w:rsid w:val="00A279DF"/>
    <w:rsid w:val="00A30441"/>
    <w:rsid w:val="00A30A02"/>
    <w:rsid w:val="00A3174B"/>
    <w:rsid w:val="00A31AA0"/>
    <w:rsid w:val="00A31B2A"/>
    <w:rsid w:val="00A31C2B"/>
    <w:rsid w:val="00A32A68"/>
    <w:rsid w:val="00A331A2"/>
    <w:rsid w:val="00A340B5"/>
    <w:rsid w:val="00A36359"/>
    <w:rsid w:val="00A36880"/>
    <w:rsid w:val="00A36B1E"/>
    <w:rsid w:val="00A36C64"/>
    <w:rsid w:val="00A36C9A"/>
    <w:rsid w:val="00A3711D"/>
    <w:rsid w:val="00A3726D"/>
    <w:rsid w:val="00A3775E"/>
    <w:rsid w:val="00A37A15"/>
    <w:rsid w:val="00A37B0C"/>
    <w:rsid w:val="00A418F0"/>
    <w:rsid w:val="00A42B7F"/>
    <w:rsid w:val="00A43175"/>
    <w:rsid w:val="00A432BD"/>
    <w:rsid w:val="00A43FC2"/>
    <w:rsid w:val="00A441B7"/>
    <w:rsid w:val="00A446FB"/>
    <w:rsid w:val="00A448A8"/>
    <w:rsid w:val="00A45AA9"/>
    <w:rsid w:val="00A46954"/>
    <w:rsid w:val="00A47153"/>
    <w:rsid w:val="00A50056"/>
    <w:rsid w:val="00A501ED"/>
    <w:rsid w:val="00A50DC0"/>
    <w:rsid w:val="00A51551"/>
    <w:rsid w:val="00A5222F"/>
    <w:rsid w:val="00A52A8A"/>
    <w:rsid w:val="00A5413C"/>
    <w:rsid w:val="00A54924"/>
    <w:rsid w:val="00A54ABC"/>
    <w:rsid w:val="00A54E1A"/>
    <w:rsid w:val="00A57BB1"/>
    <w:rsid w:val="00A6167F"/>
    <w:rsid w:val="00A628A9"/>
    <w:rsid w:val="00A62BD7"/>
    <w:rsid w:val="00A62E3F"/>
    <w:rsid w:val="00A633CB"/>
    <w:rsid w:val="00A645AA"/>
    <w:rsid w:val="00A646AA"/>
    <w:rsid w:val="00A65ADD"/>
    <w:rsid w:val="00A66116"/>
    <w:rsid w:val="00A67095"/>
    <w:rsid w:val="00A673EF"/>
    <w:rsid w:val="00A70233"/>
    <w:rsid w:val="00A726BE"/>
    <w:rsid w:val="00A72B03"/>
    <w:rsid w:val="00A734FE"/>
    <w:rsid w:val="00A735F1"/>
    <w:rsid w:val="00A73725"/>
    <w:rsid w:val="00A73849"/>
    <w:rsid w:val="00A73A9E"/>
    <w:rsid w:val="00A73E8C"/>
    <w:rsid w:val="00A750C3"/>
    <w:rsid w:val="00A80175"/>
    <w:rsid w:val="00A80E8F"/>
    <w:rsid w:val="00A81656"/>
    <w:rsid w:val="00A81A5E"/>
    <w:rsid w:val="00A82AAA"/>
    <w:rsid w:val="00A842FD"/>
    <w:rsid w:val="00A8438A"/>
    <w:rsid w:val="00A850BD"/>
    <w:rsid w:val="00A8548F"/>
    <w:rsid w:val="00A863FA"/>
    <w:rsid w:val="00A865D9"/>
    <w:rsid w:val="00A87FB2"/>
    <w:rsid w:val="00A90343"/>
    <w:rsid w:val="00A910D9"/>
    <w:rsid w:val="00A9154D"/>
    <w:rsid w:val="00A91FA2"/>
    <w:rsid w:val="00A93139"/>
    <w:rsid w:val="00A93643"/>
    <w:rsid w:val="00A93FDA"/>
    <w:rsid w:val="00A94C76"/>
    <w:rsid w:val="00A94CF5"/>
    <w:rsid w:val="00A950C3"/>
    <w:rsid w:val="00A95842"/>
    <w:rsid w:val="00A963BC"/>
    <w:rsid w:val="00A966D2"/>
    <w:rsid w:val="00A97166"/>
    <w:rsid w:val="00AA0603"/>
    <w:rsid w:val="00AA2E18"/>
    <w:rsid w:val="00AA429A"/>
    <w:rsid w:val="00AA505D"/>
    <w:rsid w:val="00AA5439"/>
    <w:rsid w:val="00AA5E1E"/>
    <w:rsid w:val="00AA649D"/>
    <w:rsid w:val="00AA7958"/>
    <w:rsid w:val="00AA7B2B"/>
    <w:rsid w:val="00AB0B5E"/>
    <w:rsid w:val="00AB1220"/>
    <w:rsid w:val="00AB260A"/>
    <w:rsid w:val="00AB3A59"/>
    <w:rsid w:val="00AB3EAC"/>
    <w:rsid w:val="00AB3EEE"/>
    <w:rsid w:val="00AB4C73"/>
    <w:rsid w:val="00AB50D2"/>
    <w:rsid w:val="00AB5C70"/>
    <w:rsid w:val="00AB607B"/>
    <w:rsid w:val="00AB63E5"/>
    <w:rsid w:val="00AB6BFB"/>
    <w:rsid w:val="00AC0754"/>
    <w:rsid w:val="00AC0ABF"/>
    <w:rsid w:val="00AC14F2"/>
    <w:rsid w:val="00AC2605"/>
    <w:rsid w:val="00AC272A"/>
    <w:rsid w:val="00AC4C27"/>
    <w:rsid w:val="00AC4DDC"/>
    <w:rsid w:val="00AC7418"/>
    <w:rsid w:val="00AC7428"/>
    <w:rsid w:val="00AC7456"/>
    <w:rsid w:val="00AC7E5B"/>
    <w:rsid w:val="00AD0528"/>
    <w:rsid w:val="00AD1192"/>
    <w:rsid w:val="00AD15C9"/>
    <w:rsid w:val="00AD19F9"/>
    <w:rsid w:val="00AD22FD"/>
    <w:rsid w:val="00AD2DF1"/>
    <w:rsid w:val="00AD3487"/>
    <w:rsid w:val="00AD40DE"/>
    <w:rsid w:val="00AD4353"/>
    <w:rsid w:val="00AD4F7C"/>
    <w:rsid w:val="00AD6007"/>
    <w:rsid w:val="00AD6895"/>
    <w:rsid w:val="00AD68DA"/>
    <w:rsid w:val="00AD6A73"/>
    <w:rsid w:val="00AD6E20"/>
    <w:rsid w:val="00AD7611"/>
    <w:rsid w:val="00AD7A98"/>
    <w:rsid w:val="00AE0205"/>
    <w:rsid w:val="00AE03EE"/>
    <w:rsid w:val="00AE0823"/>
    <w:rsid w:val="00AE102B"/>
    <w:rsid w:val="00AE3BEA"/>
    <w:rsid w:val="00AE774B"/>
    <w:rsid w:val="00AE7862"/>
    <w:rsid w:val="00AF0CD8"/>
    <w:rsid w:val="00AF0FF2"/>
    <w:rsid w:val="00AF10C0"/>
    <w:rsid w:val="00AF1727"/>
    <w:rsid w:val="00AF1FC7"/>
    <w:rsid w:val="00AF22FB"/>
    <w:rsid w:val="00AF338D"/>
    <w:rsid w:val="00AF3F04"/>
    <w:rsid w:val="00AF3FEC"/>
    <w:rsid w:val="00AF479B"/>
    <w:rsid w:val="00AF4D1B"/>
    <w:rsid w:val="00AF4F30"/>
    <w:rsid w:val="00AF60A3"/>
    <w:rsid w:val="00AF678D"/>
    <w:rsid w:val="00AF6DE3"/>
    <w:rsid w:val="00AF71F3"/>
    <w:rsid w:val="00AF721C"/>
    <w:rsid w:val="00AF7A8F"/>
    <w:rsid w:val="00AF7E4E"/>
    <w:rsid w:val="00B005B7"/>
    <w:rsid w:val="00B00B1F"/>
    <w:rsid w:val="00B00B24"/>
    <w:rsid w:val="00B016F8"/>
    <w:rsid w:val="00B018F6"/>
    <w:rsid w:val="00B01E0C"/>
    <w:rsid w:val="00B02675"/>
    <w:rsid w:val="00B02716"/>
    <w:rsid w:val="00B03FD3"/>
    <w:rsid w:val="00B04BBE"/>
    <w:rsid w:val="00B054E0"/>
    <w:rsid w:val="00B063D9"/>
    <w:rsid w:val="00B0683E"/>
    <w:rsid w:val="00B06B3F"/>
    <w:rsid w:val="00B07CDB"/>
    <w:rsid w:val="00B10864"/>
    <w:rsid w:val="00B115CF"/>
    <w:rsid w:val="00B1299A"/>
    <w:rsid w:val="00B20323"/>
    <w:rsid w:val="00B20A4B"/>
    <w:rsid w:val="00B20F7D"/>
    <w:rsid w:val="00B232F6"/>
    <w:rsid w:val="00B23471"/>
    <w:rsid w:val="00B24A75"/>
    <w:rsid w:val="00B26076"/>
    <w:rsid w:val="00B260AD"/>
    <w:rsid w:val="00B262B3"/>
    <w:rsid w:val="00B26623"/>
    <w:rsid w:val="00B26E04"/>
    <w:rsid w:val="00B274B4"/>
    <w:rsid w:val="00B27778"/>
    <w:rsid w:val="00B30E9E"/>
    <w:rsid w:val="00B31344"/>
    <w:rsid w:val="00B31495"/>
    <w:rsid w:val="00B314FB"/>
    <w:rsid w:val="00B3166B"/>
    <w:rsid w:val="00B31BD8"/>
    <w:rsid w:val="00B326F7"/>
    <w:rsid w:val="00B32A6F"/>
    <w:rsid w:val="00B34356"/>
    <w:rsid w:val="00B34FFD"/>
    <w:rsid w:val="00B35A38"/>
    <w:rsid w:val="00B36076"/>
    <w:rsid w:val="00B3644A"/>
    <w:rsid w:val="00B36DD0"/>
    <w:rsid w:val="00B4195A"/>
    <w:rsid w:val="00B42BC7"/>
    <w:rsid w:val="00B436E6"/>
    <w:rsid w:val="00B43C4D"/>
    <w:rsid w:val="00B459CF"/>
    <w:rsid w:val="00B46605"/>
    <w:rsid w:val="00B46ED9"/>
    <w:rsid w:val="00B471D4"/>
    <w:rsid w:val="00B50271"/>
    <w:rsid w:val="00B50F96"/>
    <w:rsid w:val="00B52CC3"/>
    <w:rsid w:val="00B5395F"/>
    <w:rsid w:val="00B53E4F"/>
    <w:rsid w:val="00B541BA"/>
    <w:rsid w:val="00B54DCE"/>
    <w:rsid w:val="00B5524B"/>
    <w:rsid w:val="00B55837"/>
    <w:rsid w:val="00B55F41"/>
    <w:rsid w:val="00B56046"/>
    <w:rsid w:val="00B56286"/>
    <w:rsid w:val="00B5693D"/>
    <w:rsid w:val="00B56C91"/>
    <w:rsid w:val="00B56D02"/>
    <w:rsid w:val="00B57018"/>
    <w:rsid w:val="00B57232"/>
    <w:rsid w:val="00B5796F"/>
    <w:rsid w:val="00B6087C"/>
    <w:rsid w:val="00B617A2"/>
    <w:rsid w:val="00B61D54"/>
    <w:rsid w:val="00B62799"/>
    <w:rsid w:val="00B6690F"/>
    <w:rsid w:val="00B66FCD"/>
    <w:rsid w:val="00B6749D"/>
    <w:rsid w:val="00B674EA"/>
    <w:rsid w:val="00B6788D"/>
    <w:rsid w:val="00B70DBA"/>
    <w:rsid w:val="00B70FCA"/>
    <w:rsid w:val="00B71C8F"/>
    <w:rsid w:val="00B7280D"/>
    <w:rsid w:val="00B72A9D"/>
    <w:rsid w:val="00B72E32"/>
    <w:rsid w:val="00B72FF1"/>
    <w:rsid w:val="00B730CE"/>
    <w:rsid w:val="00B73125"/>
    <w:rsid w:val="00B7322A"/>
    <w:rsid w:val="00B73442"/>
    <w:rsid w:val="00B73981"/>
    <w:rsid w:val="00B742E3"/>
    <w:rsid w:val="00B74C93"/>
    <w:rsid w:val="00B77469"/>
    <w:rsid w:val="00B77A80"/>
    <w:rsid w:val="00B77ECD"/>
    <w:rsid w:val="00B82F7B"/>
    <w:rsid w:val="00B8388C"/>
    <w:rsid w:val="00B838BB"/>
    <w:rsid w:val="00B83A13"/>
    <w:rsid w:val="00B83AB8"/>
    <w:rsid w:val="00B83EA7"/>
    <w:rsid w:val="00B8425E"/>
    <w:rsid w:val="00B84557"/>
    <w:rsid w:val="00B84B65"/>
    <w:rsid w:val="00B84D43"/>
    <w:rsid w:val="00B85BCC"/>
    <w:rsid w:val="00B868D1"/>
    <w:rsid w:val="00B87C17"/>
    <w:rsid w:val="00B916FC"/>
    <w:rsid w:val="00B91AED"/>
    <w:rsid w:val="00B93453"/>
    <w:rsid w:val="00B93B99"/>
    <w:rsid w:val="00B947DA"/>
    <w:rsid w:val="00B949C2"/>
    <w:rsid w:val="00B96041"/>
    <w:rsid w:val="00B974CA"/>
    <w:rsid w:val="00B97B5D"/>
    <w:rsid w:val="00BA2324"/>
    <w:rsid w:val="00BA2708"/>
    <w:rsid w:val="00BA480A"/>
    <w:rsid w:val="00BA4D4F"/>
    <w:rsid w:val="00BA584D"/>
    <w:rsid w:val="00BA65D5"/>
    <w:rsid w:val="00BA6A56"/>
    <w:rsid w:val="00BA701C"/>
    <w:rsid w:val="00BA765C"/>
    <w:rsid w:val="00BB0C5A"/>
    <w:rsid w:val="00BB0FF8"/>
    <w:rsid w:val="00BB207D"/>
    <w:rsid w:val="00BB2180"/>
    <w:rsid w:val="00BB3D7A"/>
    <w:rsid w:val="00BB45E8"/>
    <w:rsid w:val="00BB463B"/>
    <w:rsid w:val="00BB4725"/>
    <w:rsid w:val="00BB5DA4"/>
    <w:rsid w:val="00BB615E"/>
    <w:rsid w:val="00BB6D6A"/>
    <w:rsid w:val="00BB7285"/>
    <w:rsid w:val="00BB7C27"/>
    <w:rsid w:val="00BC0552"/>
    <w:rsid w:val="00BC0EB9"/>
    <w:rsid w:val="00BC188C"/>
    <w:rsid w:val="00BC2433"/>
    <w:rsid w:val="00BC2614"/>
    <w:rsid w:val="00BC39DE"/>
    <w:rsid w:val="00BC5636"/>
    <w:rsid w:val="00BC58E0"/>
    <w:rsid w:val="00BC5BEA"/>
    <w:rsid w:val="00BC76D8"/>
    <w:rsid w:val="00BC77E1"/>
    <w:rsid w:val="00BC78A5"/>
    <w:rsid w:val="00BD1100"/>
    <w:rsid w:val="00BD1297"/>
    <w:rsid w:val="00BD2716"/>
    <w:rsid w:val="00BD2D0D"/>
    <w:rsid w:val="00BD34FE"/>
    <w:rsid w:val="00BD361E"/>
    <w:rsid w:val="00BD3DAD"/>
    <w:rsid w:val="00BD47AA"/>
    <w:rsid w:val="00BD66C7"/>
    <w:rsid w:val="00BD7991"/>
    <w:rsid w:val="00BE1168"/>
    <w:rsid w:val="00BE11F8"/>
    <w:rsid w:val="00BE1457"/>
    <w:rsid w:val="00BE1D25"/>
    <w:rsid w:val="00BE1D76"/>
    <w:rsid w:val="00BE1F2D"/>
    <w:rsid w:val="00BE29A4"/>
    <w:rsid w:val="00BE2CD6"/>
    <w:rsid w:val="00BE2FF5"/>
    <w:rsid w:val="00BE4661"/>
    <w:rsid w:val="00BE49F6"/>
    <w:rsid w:val="00BE530F"/>
    <w:rsid w:val="00BE56D4"/>
    <w:rsid w:val="00BE5C4B"/>
    <w:rsid w:val="00BE5FB3"/>
    <w:rsid w:val="00BE682E"/>
    <w:rsid w:val="00BE7999"/>
    <w:rsid w:val="00BE7CF7"/>
    <w:rsid w:val="00BF19B6"/>
    <w:rsid w:val="00BF32A8"/>
    <w:rsid w:val="00BF422E"/>
    <w:rsid w:val="00BF42DE"/>
    <w:rsid w:val="00BF4705"/>
    <w:rsid w:val="00BF5051"/>
    <w:rsid w:val="00BF50AE"/>
    <w:rsid w:val="00BF5481"/>
    <w:rsid w:val="00BF60C8"/>
    <w:rsid w:val="00BF69AB"/>
    <w:rsid w:val="00BF6B6E"/>
    <w:rsid w:val="00BF7037"/>
    <w:rsid w:val="00C00FA3"/>
    <w:rsid w:val="00C01D6F"/>
    <w:rsid w:val="00C01E91"/>
    <w:rsid w:val="00C01FA3"/>
    <w:rsid w:val="00C02A09"/>
    <w:rsid w:val="00C02A3D"/>
    <w:rsid w:val="00C02D4E"/>
    <w:rsid w:val="00C03865"/>
    <w:rsid w:val="00C043E2"/>
    <w:rsid w:val="00C04A58"/>
    <w:rsid w:val="00C05446"/>
    <w:rsid w:val="00C05FC3"/>
    <w:rsid w:val="00C060D7"/>
    <w:rsid w:val="00C0667D"/>
    <w:rsid w:val="00C07D66"/>
    <w:rsid w:val="00C10209"/>
    <w:rsid w:val="00C106D0"/>
    <w:rsid w:val="00C11148"/>
    <w:rsid w:val="00C11C07"/>
    <w:rsid w:val="00C12AE1"/>
    <w:rsid w:val="00C13399"/>
    <w:rsid w:val="00C13633"/>
    <w:rsid w:val="00C139DE"/>
    <w:rsid w:val="00C1549B"/>
    <w:rsid w:val="00C15648"/>
    <w:rsid w:val="00C166CC"/>
    <w:rsid w:val="00C1699F"/>
    <w:rsid w:val="00C17161"/>
    <w:rsid w:val="00C17510"/>
    <w:rsid w:val="00C177DF"/>
    <w:rsid w:val="00C17CBA"/>
    <w:rsid w:val="00C17E3D"/>
    <w:rsid w:val="00C20319"/>
    <w:rsid w:val="00C20349"/>
    <w:rsid w:val="00C204D0"/>
    <w:rsid w:val="00C20FEC"/>
    <w:rsid w:val="00C21D38"/>
    <w:rsid w:val="00C22BAC"/>
    <w:rsid w:val="00C23495"/>
    <w:rsid w:val="00C247B3"/>
    <w:rsid w:val="00C264B5"/>
    <w:rsid w:val="00C26831"/>
    <w:rsid w:val="00C268F3"/>
    <w:rsid w:val="00C277BC"/>
    <w:rsid w:val="00C278B7"/>
    <w:rsid w:val="00C2796F"/>
    <w:rsid w:val="00C27CDF"/>
    <w:rsid w:val="00C31FB2"/>
    <w:rsid w:val="00C32EBC"/>
    <w:rsid w:val="00C33129"/>
    <w:rsid w:val="00C34313"/>
    <w:rsid w:val="00C34426"/>
    <w:rsid w:val="00C34586"/>
    <w:rsid w:val="00C34A97"/>
    <w:rsid w:val="00C34E2B"/>
    <w:rsid w:val="00C34F47"/>
    <w:rsid w:val="00C353E9"/>
    <w:rsid w:val="00C35A35"/>
    <w:rsid w:val="00C36243"/>
    <w:rsid w:val="00C364D8"/>
    <w:rsid w:val="00C37096"/>
    <w:rsid w:val="00C37B8E"/>
    <w:rsid w:val="00C37BAD"/>
    <w:rsid w:val="00C40A7F"/>
    <w:rsid w:val="00C41489"/>
    <w:rsid w:val="00C4293F"/>
    <w:rsid w:val="00C4322F"/>
    <w:rsid w:val="00C44195"/>
    <w:rsid w:val="00C44721"/>
    <w:rsid w:val="00C45AA2"/>
    <w:rsid w:val="00C45E02"/>
    <w:rsid w:val="00C45F8D"/>
    <w:rsid w:val="00C461BE"/>
    <w:rsid w:val="00C468DC"/>
    <w:rsid w:val="00C47C21"/>
    <w:rsid w:val="00C516B3"/>
    <w:rsid w:val="00C51BF5"/>
    <w:rsid w:val="00C51D5A"/>
    <w:rsid w:val="00C5215A"/>
    <w:rsid w:val="00C527B9"/>
    <w:rsid w:val="00C52997"/>
    <w:rsid w:val="00C53E38"/>
    <w:rsid w:val="00C54996"/>
    <w:rsid w:val="00C556D5"/>
    <w:rsid w:val="00C55DAE"/>
    <w:rsid w:val="00C577DE"/>
    <w:rsid w:val="00C577E8"/>
    <w:rsid w:val="00C57F17"/>
    <w:rsid w:val="00C601D0"/>
    <w:rsid w:val="00C605FE"/>
    <w:rsid w:val="00C61B53"/>
    <w:rsid w:val="00C61CCC"/>
    <w:rsid w:val="00C62618"/>
    <w:rsid w:val="00C62C27"/>
    <w:rsid w:val="00C63366"/>
    <w:rsid w:val="00C63B2C"/>
    <w:rsid w:val="00C64CC1"/>
    <w:rsid w:val="00C64E93"/>
    <w:rsid w:val="00C65506"/>
    <w:rsid w:val="00C65C5E"/>
    <w:rsid w:val="00C666A4"/>
    <w:rsid w:val="00C66E2C"/>
    <w:rsid w:val="00C67A23"/>
    <w:rsid w:val="00C67AE5"/>
    <w:rsid w:val="00C70B61"/>
    <w:rsid w:val="00C716ED"/>
    <w:rsid w:val="00C7212F"/>
    <w:rsid w:val="00C72780"/>
    <w:rsid w:val="00C72DD7"/>
    <w:rsid w:val="00C7367B"/>
    <w:rsid w:val="00C746C5"/>
    <w:rsid w:val="00C7566E"/>
    <w:rsid w:val="00C75DAF"/>
    <w:rsid w:val="00C77504"/>
    <w:rsid w:val="00C825A5"/>
    <w:rsid w:val="00C827E1"/>
    <w:rsid w:val="00C8304D"/>
    <w:rsid w:val="00C83171"/>
    <w:rsid w:val="00C83206"/>
    <w:rsid w:val="00C83B02"/>
    <w:rsid w:val="00C83BA0"/>
    <w:rsid w:val="00C840EB"/>
    <w:rsid w:val="00C85228"/>
    <w:rsid w:val="00C8545D"/>
    <w:rsid w:val="00C85A9C"/>
    <w:rsid w:val="00C87053"/>
    <w:rsid w:val="00C879EF"/>
    <w:rsid w:val="00C87BB6"/>
    <w:rsid w:val="00C901A5"/>
    <w:rsid w:val="00C90BA5"/>
    <w:rsid w:val="00C9201C"/>
    <w:rsid w:val="00C927AD"/>
    <w:rsid w:val="00C92C51"/>
    <w:rsid w:val="00C93398"/>
    <w:rsid w:val="00C935B5"/>
    <w:rsid w:val="00C94A60"/>
    <w:rsid w:val="00C94B75"/>
    <w:rsid w:val="00C95216"/>
    <w:rsid w:val="00C95EA9"/>
    <w:rsid w:val="00C9634B"/>
    <w:rsid w:val="00C96DAC"/>
    <w:rsid w:val="00C96F86"/>
    <w:rsid w:val="00C978D8"/>
    <w:rsid w:val="00CA02D0"/>
    <w:rsid w:val="00CA16E9"/>
    <w:rsid w:val="00CA1BDA"/>
    <w:rsid w:val="00CA334C"/>
    <w:rsid w:val="00CA568B"/>
    <w:rsid w:val="00CA72B6"/>
    <w:rsid w:val="00CB0342"/>
    <w:rsid w:val="00CB08ED"/>
    <w:rsid w:val="00CB31FF"/>
    <w:rsid w:val="00CB3B08"/>
    <w:rsid w:val="00CB3FB7"/>
    <w:rsid w:val="00CB40C0"/>
    <w:rsid w:val="00CB40C8"/>
    <w:rsid w:val="00CB4140"/>
    <w:rsid w:val="00CB4456"/>
    <w:rsid w:val="00CB530C"/>
    <w:rsid w:val="00CB53DD"/>
    <w:rsid w:val="00CB57C5"/>
    <w:rsid w:val="00CB5E3E"/>
    <w:rsid w:val="00CB664F"/>
    <w:rsid w:val="00CB7397"/>
    <w:rsid w:val="00CB7FA0"/>
    <w:rsid w:val="00CC0187"/>
    <w:rsid w:val="00CC0E31"/>
    <w:rsid w:val="00CC187B"/>
    <w:rsid w:val="00CC3AB8"/>
    <w:rsid w:val="00CC4A65"/>
    <w:rsid w:val="00CC4AEE"/>
    <w:rsid w:val="00CC5ED0"/>
    <w:rsid w:val="00CC6004"/>
    <w:rsid w:val="00CC6132"/>
    <w:rsid w:val="00CC78D0"/>
    <w:rsid w:val="00CC7907"/>
    <w:rsid w:val="00CC7A1D"/>
    <w:rsid w:val="00CD014C"/>
    <w:rsid w:val="00CD0E84"/>
    <w:rsid w:val="00CD11C1"/>
    <w:rsid w:val="00CD16BC"/>
    <w:rsid w:val="00CD29AA"/>
    <w:rsid w:val="00CD2D6B"/>
    <w:rsid w:val="00CD36C5"/>
    <w:rsid w:val="00CD3AF9"/>
    <w:rsid w:val="00CD429C"/>
    <w:rsid w:val="00CD511B"/>
    <w:rsid w:val="00CD55B2"/>
    <w:rsid w:val="00CD5B6B"/>
    <w:rsid w:val="00CD6BB9"/>
    <w:rsid w:val="00CD77EB"/>
    <w:rsid w:val="00CD7819"/>
    <w:rsid w:val="00CE001E"/>
    <w:rsid w:val="00CE0241"/>
    <w:rsid w:val="00CE0874"/>
    <w:rsid w:val="00CE1462"/>
    <w:rsid w:val="00CE1D8A"/>
    <w:rsid w:val="00CE2930"/>
    <w:rsid w:val="00CE37DD"/>
    <w:rsid w:val="00CE4144"/>
    <w:rsid w:val="00CE46EA"/>
    <w:rsid w:val="00CE4AA7"/>
    <w:rsid w:val="00CE4DFC"/>
    <w:rsid w:val="00CE6753"/>
    <w:rsid w:val="00CE6E65"/>
    <w:rsid w:val="00CE6E9E"/>
    <w:rsid w:val="00CF031C"/>
    <w:rsid w:val="00CF03ED"/>
    <w:rsid w:val="00CF0CDC"/>
    <w:rsid w:val="00CF10F6"/>
    <w:rsid w:val="00CF124A"/>
    <w:rsid w:val="00CF19D8"/>
    <w:rsid w:val="00CF41A1"/>
    <w:rsid w:val="00CF4DE6"/>
    <w:rsid w:val="00CF5294"/>
    <w:rsid w:val="00CF60FD"/>
    <w:rsid w:val="00CF6C6F"/>
    <w:rsid w:val="00CF6ED2"/>
    <w:rsid w:val="00CF6F4A"/>
    <w:rsid w:val="00CF715E"/>
    <w:rsid w:val="00CF7DF4"/>
    <w:rsid w:val="00CF7E6E"/>
    <w:rsid w:val="00D00949"/>
    <w:rsid w:val="00D00E5D"/>
    <w:rsid w:val="00D019B3"/>
    <w:rsid w:val="00D041C2"/>
    <w:rsid w:val="00D047B4"/>
    <w:rsid w:val="00D0492D"/>
    <w:rsid w:val="00D05068"/>
    <w:rsid w:val="00D05261"/>
    <w:rsid w:val="00D06C36"/>
    <w:rsid w:val="00D070AE"/>
    <w:rsid w:val="00D076B5"/>
    <w:rsid w:val="00D07891"/>
    <w:rsid w:val="00D07BB6"/>
    <w:rsid w:val="00D07DBB"/>
    <w:rsid w:val="00D10047"/>
    <w:rsid w:val="00D11C22"/>
    <w:rsid w:val="00D15BA3"/>
    <w:rsid w:val="00D16675"/>
    <w:rsid w:val="00D16833"/>
    <w:rsid w:val="00D1685E"/>
    <w:rsid w:val="00D17116"/>
    <w:rsid w:val="00D17B4D"/>
    <w:rsid w:val="00D17E71"/>
    <w:rsid w:val="00D214C7"/>
    <w:rsid w:val="00D2159F"/>
    <w:rsid w:val="00D21D80"/>
    <w:rsid w:val="00D221A9"/>
    <w:rsid w:val="00D239A1"/>
    <w:rsid w:val="00D24E5D"/>
    <w:rsid w:val="00D255A3"/>
    <w:rsid w:val="00D27078"/>
    <w:rsid w:val="00D27F90"/>
    <w:rsid w:val="00D30102"/>
    <w:rsid w:val="00D311A6"/>
    <w:rsid w:val="00D3164B"/>
    <w:rsid w:val="00D31755"/>
    <w:rsid w:val="00D31D1D"/>
    <w:rsid w:val="00D32FEC"/>
    <w:rsid w:val="00D3340F"/>
    <w:rsid w:val="00D36A75"/>
    <w:rsid w:val="00D370D1"/>
    <w:rsid w:val="00D37C99"/>
    <w:rsid w:val="00D37DC4"/>
    <w:rsid w:val="00D401CD"/>
    <w:rsid w:val="00D4119C"/>
    <w:rsid w:val="00D413F2"/>
    <w:rsid w:val="00D4251C"/>
    <w:rsid w:val="00D42BE0"/>
    <w:rsid w:val="00D42CC7"/>
    <w:rsid w:val="00D4431B"/>
    <w:rsid w:val="00D454E1"/>
    <w:rsid w:val="00D45B90"/>
    <w:rsid w:val="00D46A76"/>
    <w:rsid w:val="00D50C30"/>
    <w:rsid w:val="00D515F5"/>
    <w:rsid w:val="00D51E28"/>
    <w:rsid w:val="00D52F59"/>
    <w:rsid w:val="00D53A84"/>
    <w:rsid w:val="00D53AA8"/>
    <w:rsid w:val="00D53AB9"/>
    <w:rsid w:val="00D5553A"/>
    <w:rsid w:val="00D560BD"/>
    <w:rsid w:val="00D56DDD"/>
    <w:rsid w:val="00D57FEB"/>
    <w:rsid w:val="00D6067C"/>
    <w:rsid w:val="00D6158D"/>
    <w:rsid w:val="00D6162F"/>
    <w:rsid w:val="00D64FDC"/>
    <w:rsid w:val="00D654D1"/>
    <w:rsid w:val="00D65BA5"/>
    <w:rsid w:val="00D65E81"/>
    <w:rsid w:val="00D672B8"/>
    <w:rsid w:val="00D67673"/>
    <w:rsid w:val="00D67A50"/>
    <w:rsid w:val="00D67B74"/>
    <w:rsid w:val="00D67ECF"/>
    <w:rsid w:val="00D71336"/>
    <w:rsid w:val="00D7232E"/>
    <w:rsid w:val="00D734B3"/>
    <w:rsid w:val="00D734F1"/>
    <w:rsid w:val="00D73505"/>
    <w:rsid w:val="00D74724"/>
    <w:rsid w:val="00D74812"/>
    <w:rsid w:val="00D74A46"/>
    <w:rsid w:val="00D75E69"/>
    <w:rsid w:val="00D76282"/>
    <w:rsid w:val="00D7649B"/>
    <w:rsid w:val="00D7756E"/>
    <w:rsid w:val="00D77B2B"/>
    <w:rsid w:val="00D77D73"/>
    <w:rsid w:val="00D77DAA"/>
    <w:rsid w:val="00D7A3AC"/>
    <w:rsid w:val="00D80A62"/>
    <w:rsid w:val="00D80BD2"/>
    <w:rsid w:val="00D8150D"/>
    <w:rsid w:val="00D827F4"/>
    <w:rsid w:val="00D82B0F"/>
    <w:rsid w:val="00D83D6C"/>
    <w:rsid w:val="00D83F96"/>
    <w:rsid w:val="00D86700"/>
    <w:rsid w:val="00D86B18"/>
    <w:rsid w:val="00D878E7"/>
    <w:rsid w:val="00D903B1"/>
    <w:rsid w:val="00D90A8B"/>
    <w:rsid w:val="00D90BA9"/>
    <w:rsid w:val="00D91A9F"/>
    <w:rsid w:val="00D927B3"/>
    <w:rsid w:val="00D92F75"/>
    <w:rsid w:val="00D93499"/>
    <w:rsid w:val="00D94156"/>
    <w:rsid w:val="00D95477"/>
    <w:rsid w:val="00D965C6"/>
    <w:rsid w:val="00D97361"/>
    <w:rsid w:val="00D97484"/>
    <w:rsid w:val="00D979ED"/>
    <w:rsid w:val="00D97F5B"/>
    <w:rsid w:val="00DA00AB"/>
    <w:rsid w:val="00DA029C"/>
    <w:rsid w:val="00DA0590"/>
    <w:rsid w:val="00DA1BAC"/>
    <w:rsid w:val="00DA224C"/>
    <w:rsid w:val="00DA3294"/>
    <w:rsid w:val="00DA33CC"/>
    <w:rsid w:val="00DA3B85"/>
    <w:rsid w:val="00DA3CCE"/>
    <w:rsid w:val="00DA3E73"/>
    <w:rsid w:val="00DA42A3"/>
    <w:rsid w:val="00DA42B3"/>
    <w:rsid w:val="00DA4B8E"/>
    <w:rsid w:val="00DA4D42"/>
    <w:rsid w:val="00DA5725"/>
    <w:rsid w:val="00DA58C6"/>
    <w:rsid w:val="00DA6C95"/>
    <w:rsid w:val="00DA6D01"/>
    <w:rsid w:val="00DA6EC0"/>
    <w:rsid w:val="00DA756D"/>
    <w:rsid w:val="00DB014B"/>
    <w:rsid w:val="00DB02F6"/>
    <w:rsid w:val="00DB27AC"/>
    <w:rsid w:val="00DB3245"/>
    <w:rsid w:val="00DB3919"/>
    <w:rsid w:val="00DB3CAF"/>
    <w:rsid w:val="00DB3E28"/>
    <w:rsid w:val="00DB40C9"/>
    <w:rsid w:val="00DB4228"/>
    <w:rsid w:val="00DB468D"/>
    <w:rsid w:val="00DB592C"/>
    <w:rsid w:val="00DB5988"/>
    <w:rsid w:val="00DC04FB"/>
    <w:rsid w:val="00DC06D0"/>
    <w:rsid w:val="00DC0773"/>
    <w:rsid w:val="00DC0BE0"/>
    <w:rsid w:val="00DC21F8"/>
    <w:rsid w:val="00DC2427"/>
    <w:rsid w:val="00DC3053"/>
    <w:rsid w:val="00DC31A2"/>
    <w:rsid w:val="00DC3350"/>
    <w:rsid w:val="00DC389F"/>
    <w:rsid w:val="00DC4945"/>
    <w:rsid w:val="00DC4DAB"/>
    <w:rsid w:val="00DC5312"/>
    <w:rsid w:val="00DC6773"/>
    <w:rsid w:val="00DC6A00"/>
    <w:rsid w:val="00DC6E31"/>
    <w:rsid w:val="00DC72C7"/>
    <w:rsid w:val="00DC7924"/>
    <w:rsid w:val="00DC7E8F"/>
    <w:rsid w:val="00DD0D02"/>
    <w:rsid w:val="00DD164D"/>
    <w:rsid w:val="00DD2149"/>
    <w:rsid w:val="00DD2235"/>
    <w:rsid w:val="00DD30DB"/>
    <w:rsid w:val="00DD4040"/>
    <w:rsid w:val="00DD499E"/>
    <w:rsid w:val="00DD4B33"/>
    <w:rsid w:val="00DD501A"/>
    <w:rsid w:val="00DD613D"/>
    <w:rsid w:val="00DD629A"/>
    <w:rsid w:val="00DD6632"/>
    <w:rsid w:val="00DD6978"/>
    <w:rsid w:val="00DD763A"/>
    <w:rsid w:val="00DE050E"/>
    <w:rsid w:val="00DE0A0D"/>
    <w:rsid w:val="00DE0F9F"/>
    <w:rsid w:val="00DE1B48"/>
    <w:rsid w:val="00DE2A28"/>
    <w:rsid w:val="00DE3176"/>
    <w:rsid w:val="00DE32D0"/>
    <w:rsid w:val="00DE3328"/>
    <w:rsid w:val="00DE3FEB"/>
    <w:rsid w:val="00DE459B"/>
    <w:rsid w:val="00DE4940"/>
    <w:rsid w:val="00DE5C21"/>
    <w:rsid w:val="00DE6556"/>
    <w:rsid w:val="00DE699B"/>
    <w:rsid w:val="00DE7188"/>
    <w:rsid w:val="00DE71D2"/>
    <w:rsid w:val="00DE7728"/>
    <w:rsid w:val="00DE7F4C"/>
    <w:rsid w:val="00DE7F52"/>
    <w:rsid w:val="00DF02D1"/>
    <w:rsid w:val="00DF0BED"/>
    <w:rsid w:val="00DF250B"/>
    <w:rsid w:val="00DF259C"/>
    <w:rsid w:val="00DF33D5"/>
    <w:rsid w:val="00DF39C4"/>
    <w:rsid w:val="00DF3F02"/>
    <w:rsid w:val="00DF48F3"/>
    <w:rsid w:val="00DF5635"/>
    <w:rsid w:val="00DF5B2B"/>
    <w:rsid w:val="00DF5DFE"/>
    <w:rsid w:val="00DF7614"/>
    <w:rsid w:val="00DF7A4D"/>
    <w:rsid w:val="00E00298"/>
    <w:rsid w:val="00E00DF3"/>
    <w:rsid w:val="00E01481"/>
    <w:rsid w:val="00E023F2"/>
    <w:rsid w:val="00E035A1"/>
    <w:rsid w:val="00E0376B"/>
    <w:rsid w:val="00E037C2"/>
    <w:rsid w:val="00E04041"/>
    <w:rsid w:val="00E04BB3"/>
    <w:rsid w:val="00E04FAD"/>
    <w:rsid w:val="00E0545D"/>
    <w:rsid w:val="00E05B4E"/>
    <w:rsid w:val="00E06011"/>
    <w:rsid w:val="00E06C90"/>
    <w:rsid w:val="00E06E8C"/>
    <w:rsid w:val="00E0747C"/>
    <w:rsid w:val="00E078FE"/>
    <w:rsid w:val="00E0A5E6"/>
    <w:rsid w:val="00E11FAE"/>
    <w:rsid w:val="00E13A4B"/>
    <w:rsid w:val="00E13DA4"/>
    <w:rsid w:val="00E14375"/>
    <w:rsid w:val="00E147E9"/>
    <w:rsid w:val="00E15270"/>
    <w:rsid w:val="00E155EB"/>
    <w:rsid w:val="00E15C30"/>
    <w:rsid w:val="00E16A70"/>
    <w:rsid w:val="00E16C7C"/>
    <w:rsid w:val="00E16D48"/>
    <w:rsid w:val="00E200A5"/>
    <w:rsid w:val="00E20309"/>
    <w:rsid w:val="00E20511"/>
    <w:rsid w:val="00E20FFD"/>
    <w:rsid w:val="00E21A61"/>
    <w:rsid w:val="00E23310"/>
    <w:rsid w:val="00E23547"/>
    <w:rsid w:val="00E246F3"/>
    <w:rsid w:val="00E24D58"/>
    <w:rsid w:val="00E24E68"/>
    <w:rsid w:val="00E2565A"/>
    <w:rsid w:val="00E26553"/>
    <w:rsid w:val="00E268C0"/>
    <w:rsid w:val="00E272CC"/>
    <w:rsid w:val="00E3091E"/>
    <w:rsid w:val="00E31E24"/>
    <w:rsid w:val="00E31FDA"/>
    <w:rsid w:val="00E327B9"/>
    <w:rsid w:val="00E32F5F"/>
    <w:rsid w:val="00E33807"/>
    <w:rsid w:val="00E33AA3"/>
    <w:rsid w:val="00E342A6"/>
    <w:rsid w:val="00E34442"/>
    <w:rsid w:val="00E37463"/>
    <w:rsid w:val="00E37A45"/>
    <w:rsid w:val="00E37E9C"/>
    <w:rsid w:val="00E37FC4"/>
    <w:rsid w:val="00E40261"/>
    <w:rsid w:val="00E4058A"/>
    <w:rsid w:val="00E4108A"/>
    <w:rsid w:val="00E413DB"/>
    <w:rsid w:val="00E415D6"/>
    <w:rsid w:val="00E41D57"/>
    <w:rsid w:val="00E4363C"/>
    <w:rsid w:val="00E43745"/>
    <w:rsid w:val="00E43918"/>
    <w:rsid w:val="00E4475B"/>
    <w:rsid w:val="00E44CDD"/>
    <w:rsid w:val="00E454E5"/>
    <w:rsid w:val="00E4685E"/>
    <w:rsid w:val="00E46ABC"/>
    <w:rsid w:val="00E51C14"/>
    <w:rsid w:val="00E5279C"/>
    <w:rsid w:val="00E549D8"/>
    <w:rsid w:val="00E54CDB"/>
    <w:rsid w:val="00E55D0B"/>
    <w:rsid w:val="00E57EEC"/>
    <w:rsid w:val="00E60DA6"/>
    <w:rsid w:val="00E60E90"/>
    <w:rsid w:val="00E611E7"/>
    <w:rsid w:val="00E616A4"/>
    <w:rsid w:val="00E61940"/>
    <w:rsid w:val="00E636C6"/>
    <w:rsid w:val="00E638A6"/>
    <w:rsid w:val="00E648B9"/>
    <w:rsid w:val="00E65CDA"/>
    <w:rsid w:val="00E66821"/>
    <w:rsid w:val="00E678EB"/>
    <w:rsid w:val="00E70A61"/>
    <w:rsid w:val="00E711CA"/>
    <w:rsid w:val="00E7176E"/>
    <w:rsid w:val="00E72766"/>
    <w:rsid w:val="00E72D81"/>
    <w:rsid w:val="00E730EA"/>
    <w:rsid w:val="00E731CA"/>
    <w:rsid w:val="00E7394F"/>
    <w:rsid w:val="00E75803"/>
    <w:rsid w:val="00E75FE5"/>
    <w:rsid w:val="00E767AC"/>
    <w:rsid w:val="00E77773"/>
    <w:rsid w:val="00E80210"/>
    <w:rsid w:val="00E803EC"/>
    <w:rsid w:val="00E8066C"/>
    <w:rsid w:val="00E807CE"/>
    <w:rsid w:val="00E8097D"/>
    <w:rsid w:val="00E80EDB"/>
    <w:rsid w:val="00E816F2"/>
    <w:rsid w:val="00E82676"/>
    <w:rsid w:val="00E829CD"/>
    <w:rsid w:val="00E82AB8"/>
    <w:rsid w:val="00E83037"/>
    <w:rsid w:val="00E8306F"/>
    <w:rsid w:val="00E83490"/>
    <w:rsid w:val="00E840B4"/>
    <w:rsid w:val="00E85D49"/>
    <w:rsid w:val="00E85FEB"/>
    <w:rsid w:val="00E860AF"/>
    <w:rsid w:val="00E867B9"/>
    <w:rsid w:val="00E87586"/>
    <w:rsid w:val="00E8792E"/>
    <w:rsid w:val="00E91B6C"/>
    <w:rsid w:val="00E9207B"/>
    <w:rsid w:val="00E9295B"/>
    <w:rsid w:val="00E92A66"/>
    <w:rsid w:val="00E92C8A"/>
    <w:rsid w:val="00E934D1"/>
    <w:rsid w:val="00E93607"/>
    <w:rsid w:val="00E94F0E"/>
    <w:rsid w:val="00E95460"/>
    <w:rsid w:val="00E95B7B"/>
    <w:rsid w:val="00E9601B"/>
    <w:rsid w:val="00E96E45"/>
    <w:rsid w:val="00E96F84"/>
    <w:rsid w:val="00EA0597"/>
    <w:rsid w:val="00EA0AB7"/>
    <w:rsid w:val="00EA16EB"/>
    <w:rsid w:val="00EA24BD"/>
    <w:rsid w:val="00EA3329"/>
    <w:rsid w:val="00EA4C8D"/>
    <w:rsid w:val="00EA4E7A"/>
    <w:rsid w:val="00EA52E4"/>
    <w:rsid w:val="00EA77D4"/>
    <w:rsid w:val="00EA7E30"/>
    <w:rsid w:val="00EB06DA"/>
    <w:rsid w:val="00EB0811"/>
    <w:rsid w:val="00EB10E7"/>
    <w:rsid w:val="00EB15CF"/>
    <w:rsid w:val="00EB16B4"/>
    <w:rsid w:val="00EB3967"/>
    <w:rsid w:val="00EB4300"/>
    <w:rsid w:val="00EB4A26"/>
    <w:rsid w:val="00EB5A31"/>
    <w:rsid w:val="00EB624A"/>
    <w:rsid w:val="00EB648A"/>
    <w:rsid w:val="00EB6B8F"/>
    <w:rsid w:val="00EC0992"/>
    <w:rsid w:val="00EC1289"/>
    <w:rsid w:val="00EC13D7"/>
    <w:rsid w:val="00EC15D2"/>
    <w:rsid w:val="00EC20F7"/>
    <w:rsid w:val="00EC286A"/>
    <w:rsid w:val="00EC3B4E"/>
    <w:rsid w:val="00EC3E4D"/>
    <w:rsid w:val="00EC57BE"/>
    <w:rsid w:val="00EC5A30"/>
    <w:rsid w:val="00EC60D5"/>
    <w:rsid w:val="00EC624A"/>
    <w:rsid w:val="00EC66D4"/>
    <w:rsid w:val="00EC70C1"/>
    <w:rsid w:val="00EC7CA0"/>
    <w:rsid w:val="00ED00A5"/>
    <w:rsid w:val="00ED076C"/>
    <w:rsid w:val="00ED09A5"/>
    <w:rsid w:val="00ED255E"/>
    <w:rsid w:val="00ED257C"/>
    <w:rsid w:val="00ED3F1C"/>
    <w:rsid w:val="00ED4372"/>
    <w:rsid w:val="00ED45B1"/>
    <w:rsid w:val="00ED4BF2"/>
    <w:rsid w:val="00ED4D95"/>
    <w:rsid w:val="00ED4E32"/>
    <w:rsid w:val="00ED4E84"/>
    <w:rsid w:val="00ED50AD"/>
    <w:rsid w:val="00ED5862"/>
    <w:rsid w:val="00ED5C9B"/>
    <w:rsid w:val="00ED79C2"/>
    <w:rsid w:val="00EE011F"/>
    <w:rsid w:val="00EE01CE"/>
    <w:rsid w:val="00EE02D3"/>
    <w:rsid w:val="00EE1176"/>
    <w:rsid w:val="00EE145D"/>
    <w:rsid w:val="00EE1754"/>
    <w:rsid w:val="00EE2127"/>
    <w:rsid w:val="00EE2242"/>
    <w:rsid w:val="00EE305F"/>
    <w:rsid w:val="00EE3F44"/>
    <w:rsid w:val="00EE4612"/>
    <w:rsid w:val="00EE4C06"/>
    <w:rsid w:val="00EE4D9F"/>
    <w:rsid w:val="00EE52DD"/>
    <w:rsid w:val="00EE5692"/>
    <w:rsid w:val="00EE5F4E"/>
    <w:rsid w:val="00EE5FBF"/>
    <w:rsid w:val="00EE71B0"/>
    <w:rsid w:val="00EE732C"/>
    <w:rsid w:val="00EE75EE"/>
    <w:rsid w:val="00EE760E"/>
    <w:rsid w:val="00EF0358"/>
    <w:rsid w:val="00EF0DED"/>
    <w:rsid w:val="00EF2481"/>
    <w:rsid w:val="00EF28FF"/>
    <w:rsid w:val="00EF3AE9"/>
    <w:rsid w:val="00EF4C8A"/>
    <w:rsid w:val="00EF5174"/>
    <w:rsid w:val="00EF525D"/>
    <w:rsid w:val="00EF57EB"/>
    <w:rsid w:val="00EF5A40"/>
    <w:rsid w:val="00EF5BB9"/>
    <w:rsid w:val="00EF5BC0"/>
    <w:rsid w:val="00EF62EB"/>
    <w:rsid w:val="00EF641B"/>
    <w:rsid w:val="00EF6E40"/>
    <w:rsid w:val="00EF6E97"/>
    <w:rsid w:val="00EF767E"/>
    <w:rsid w:val="00F000F6"/>
    <w:rsid w:val="00F00A9A"/>
    <w:rsid w:val="00F0214B"/>
    <w:rsid w:val="00F021B8"/>
    <w:rsid w:val="00F024C1"/>
    <w:rsid w:val="00F0265F"/>
    <w:rsid w:val="00F04745"/>
    <w:rsid w:val="00F04B82"/>
    <w:rsid w:val="00F058C3"/>
    <w:rsid w:val="00F07B8F"/>
    <w:rsid w:val="00F07EAB"/>
    <w:rsid w:val="00F11693"/>
    <w:rsid w:val="00F12F0B"/>
    <w:rsid w:val="00F1378F"/>
    <w:rsid w:val="00F14C97"/>
    <w:rsid w:val="00F16531"/>
    <w:rsid w:val="00F16641"/>
    <w:rsid w:val="00F16B2B"/>
    <w:rsid w:val="00F1799A"/>
    <w:rsid w:val="00F179C9"/>
    <w:rsid w:val="00F206C9"/>
    <w:rsid w:val="00F2150A"/>
    <w:rsid w:val="00F22254"/>
    <w:rsid w:val="00F22B19"/>
    <w:rsid w:val="00F233D8"/>
    <w:rsid w:val="00F23E40"/>
    <w:rsid w:val="00F24C80"/>
    <w:rsid w:val="00F24E81"/>
    <w:rsid w:val="00F25913"/>
    <w:rsid w:val="00F25BBB"/>
    <w:rsid w:val="00F261D3"/>
    <w:rsid w:val="00F26635"/>
    <w:rsid w:val="00F26B08"/>
    <w:rsid w:val="00F26F3A"/>
    <w:rsid w:val="00F2773D"/>
    <w:rsid w:val="00F30F82"/>
    <w:rsid w:val="00F3103B"/>
    <w:rsid w:val="00F349CE"/>
    <w:rsid w:val="00F34D74"/>
    <w:rsid w:val="00F34D98"/>
    <w:rsid w:val="00F35022"/>
    <w:rsid w:val="00F3550B"/>
    <w:rsid w:val="00F357E7"/>
    <w:rsid w:val="00F36106"/>
    <w:rsid w:val="00F362DE"/>
    <w:rsid w:val="00F3751A"/>
    <w:rsid w:val="00F37845"/>
    <w:rsid w:val="00F37B53"/>
    <w:rsid w:val="00F4018F"/>
    <w:rsid w:val="00F4126A"/>
    <w:rsid w:val="00F418BA"/>
    <w:rsid w:val="00F41E11"/>
    <w:rsid w:val="00F42602"/>
    <w:rsid w:val="00F4319E"/>
    <w:rsid w:val="00F431D6"/>
    <w:rsid w:val="00F43B9A"/>
    <w:rsid w:val="00F43D0F"/>
    <w:rsid w:val="00F445F3"/>
    <w:rsid w:val="00F4481B"/>
    <w:rsid w:val="00F44B49"/>
    <w:rsid w:val="00F4695C"/>
    <w:rsid w:val="00F4718F"/>
    <w:rsid w:val="00F50E5A"/>
    <w:rsid w:val="00F5123D"/>
    <w:rsid w:val="00F51756"/>
    <w:rsid w:val="00F51AB6"/>
    <w:rsid w:val="00F525D0"/>
    <w:rsid w:val="00F52A72"/>
    <w:rsid w:val="00F54249"/>
    <w:rsid w:val="00F5590E"/>
    <w:rsid w:val="00F55C54"/>
    <w:rsid w:val="00F570F5"/>
    <w:rsid w:val="00F57925"/>
    <w:rsid w:val="00F57A58"/>
    <w:rsid w:val="00F606E1"/>
    <w:rsid w:val="00F63379"/>
    <w:rsid w:val="00F63470"/>
    <w:rsid w:val="00F635F5"/>
    <w:rsid w:val="00F65E0E"/>
    <w:rsid w:val="00F65FCD"/>
    <w:rsid w:val="00F6653E"/>
    <w:rsid w:val="00F67B55"/>
    <w:rsid w:val="00F71236"/>
    <w:rsid w:val="00F719B7"/>
    <w:rsid w:val="00F71B4C"/>
    <w:rsid w:val="00F73A85"/>
    <w:rsid w:val="00F74059"/>
    <w:rsid w:val="00F750B1"/>
    <w:rsid w:val="00F757D9"/>
    <w:rsid w:val="00F76848"/>
    <w:rsid w:val="00F76D46"/>
    <w:rsid w:val="00F7732E"/>
    <w:rsid w:val="00F7799D"/>
    <w:rsid w:val="00F77FF2"/>
    <w:rsid w:val="00F80839"/>
    <w:rsid w:val="00F80FC1"/>
    <w:rsid w:val="00F81F7A"/>
    <w:rsid w:val="00F82653"/>
    <w:rsid w:val="00F82B42"/>
    <w:rsid w:val="00F8361D"/>
    <w:rsid w:val="00F83BAF"/>
    <w:rsid w:val="00F84567"/>
    <w:rsid w:val="00F84F40"/>
    <w:rsid w:val="00F855E6"/>
    <w:rsid w:val="00F8564E"/>
    <w:rsid w:val="00F858EA"/>
    <w:rsid w:val="00F8648C"/>
    <w:rsid w:val="00F8663B"/>
    <w:rsid w:val="00F866F6"/>
    <w:rsid w:val="00F8693B"/>
    <w:rsid w:val="00F87B67"/>
    <w:rsid w:val="00F87B95"/>
    <w:rsid w:val="00F8E554"/>
    <w:rsid w:val="00F91CE2"/>
    <w:rsid w:val="00F91CE9"/>
    <w:rsid w:val="00F91F1F"/>
    <w:rsid w:val="00F93EC2"/>
    <w:rsid w:val="00F95672"/>
    <w:rsid w:val="00F95E10"/>
    <w:rsid w:val="00F964CE"/>
    <w:rsid w:val="00F96D62"/>
    <w:rsid w:val="00F97556"/>
    <w:rsid w:val="00F975FD"/>
    <w:rsid w:val="00FA0473"/>
    <w:rsid w:val="00FA0D05"/>
    <w:rsid w:val="00FA1F29"/>
    <w:rsid w:val="00FA2E43"/>
    <w:rsid w:val="00FA3050"/>
    <w:rsid w:val="00FA3B1C"/>
    <w:rsid w:val="00FA464D"/>
    <w:rsid w:val="00FA59FA"/>
    <w:rsid w:val="00FA6A31"/>
    <w:rsid w:val="00FA6BC8"/>
    <w:rsid w:val="00FA79E1"/>
    <w:rsid w:val="00FB07E9"/>
    <w:rsid w:val="00FB0CAA"/>
    <w:rsid w:val="00FB1FD8"/>
    <w:rsid w:val="00FB23FE"/>
    <w:rsid w:val="00FB27A3"/>
    <w:rsid w:val="00FB3D7F"/>
    <w:rsid w:val="00FB4009"/>
    <w:rsid w:val="00FB44CD"/>
    <w:rsid w:val="00FB4650"/>
    <w:rsid w:val="00FB4B22"/>
    <w:rsid w:val="00FB4DCB"/>
    <w:rsid w:val="00FB5065"/>
    <w:rsid w:val="00FB7036"/>
    <w:rsid w:val="00FB7B21"/>
    <w:rsid w:val="00FC076F"/>
    <w:rsid w:val="00FC0E4C"/>
    <w:rsid w:val="00FC35EE"/>
    <w:rsid w:val="00FC36EE"/>
    <w:rsid w:val="00FC4941"/>
    <w:rsid w:val="00FC581F"/>
    <w:rsid w:val="00FC59E5"/>
    <w:rsid w:val="00FC6E9B"/>
    <w:rsid w:val="00FC7371"/>
    <w:rsid w:val="00FC74BE"/>
    <w:rsid w:val="00FC7A09"/>
    <w:rsid w:val="00FC7CA2"/>
    <w:rsid w:val="00FC7E31"/>
    <w:rsid w:val="00FD0719"/>
    <w:rsid w:val="00FD1547"/>
    <w:rsid w:val="00FD336B"/>
    <w:rsid w:val="00FD3404"/>
    <w:rsid w:val="00FD3B00"/>
    <w:rsid w:val="00FD40ED"/>
    <w:rsid w:val="00FD4459"/>
    <w:rsid w:val="00FD47C0"/>
    <w:rsid w:val="00FD4868"/>
    <w:rsid w:val="00FD4E7D"/>
    <w:rsid w:val="00FD5012"/>
    <w:rsid w:val="00FD51C8"/>
    <w:rsid w:val="00FD51CF"/>
    <w:rsid w:val="00FD5B97"/>
    <w:rsid w:val="00FD607E"/>
    <w:rsid w:val="00FD7596"/>
    <w:rsid w:val="00FD7684"/>
    <w:rsid w:val="00FE019C"/>
    <w:rsid w:val="00FE0300"/>
    <w:rsid w:val="00FE176C"/>
    <w:rsid w:val="00FE23B1"/>
    <w:rsid w:val="00FE25B8"/>
    <w:rsid w:val="00FE2F33"/>
    <w:rsid w:val="00FE48A3"/>
    <w:rsid w:val="00FE6346"/>
    <w:rsid w:val="00FE73E7"/>
    <w:rsid w:val="00FE7713"/>
    <w:rsid w:val="00FF005E"/>
    <w:rsid w:val="00FF0375"/>
    <w:rsid w:val="00FF03E4"/>
    <w:rsid w:val="00FF061C"/>
    <w:rsid w:val="00FF068E"/>
    <w:rsid w:val="00FF0699"/>
    <w:rsid w:val="00FF1182"/>
    <w:rsid w:val="00FF29D4"/>
    <w:rsid w:val="00FF3799"/>
    <w:rsid w:val="00FF46FC"/>
    <w:rsid w:val="00FF4E3B"/>
    <w:rsid w:val="00FF5C86"/>
    <w:rsid w:val="00FF6949"/>
    <w:rsid w:val="00FF6A01"/>
    <w:rsid w:val="00FF6B83"/>
    <w:rsid w:val="00FF74E7"/>
    <w:rsid w:val="00FF7A3D"/>
    <w:rsid w:val="010DB6DE"/>
    <w:rsid w:val="0131BD6F"/>
    <w:rsid w:val="013B4B95"/>
    <w:rsid w:val="015F25B6"/>
    <w:rsid w:val="01FB9E1E"/>
    <w:rsid w:val="020E3555"/>
    <w:rsid w:val="0222E394"/>
    <w:rsid w:val="025748B2"/>
    <w:rsid w:val="02584B8C"/>
    <w:rsid w:val="02F607D4"/>
    <w:rsid w:val="02F8C089"/>
    <w:rsid w:val="02FD45EA"/>
    <w:rsid w:val="03059E9F"/>
    <w:rsid w:val="030B42D4"/>
    <w:rsid w:val="03139448"/>
    <w:rsid w:val="032F6BBC"/>
    <w:rsid w:val="0340373B"/>
    <w:rsid w:val="03B6E28C"/>
    <w:rsid w:val="03C11AAE"/>
    <w:rsid w:val="03DDB642"/>
    <w:rsid w:val="03F9FEB3"/>
    <w:rsid w:val="043021EF"/>
    <w:rsid w:val="044AE28A"/>
    <w:rsid w:val="045C43A2"/>
    <w:rsid w:val="0483B8AF"/>
    <w:rsid w:val="048A9B4C"/>
    <w:rsid w:val="04922330"/>
    <w:rsid w:val="049B4D39"/>
    <w:rsid w:val="04C82ABE"/>
    <w:rsid w:val="04F3B6D4"/>
    <w:rsid w:val="04F6CA7E"/>
    <w:rsid w:val="050C7369"/>
    <w:rsid w:val="0548ACE4"/>
    <w:rsid w:val="058F3527"/>
    <w:rsid w:val="05A32340"/>
    <w:rsid w:val="05CB5867"/>
    <w:rsid w:val="05DF32BE"/>
    <w:rsid w:val="05E1BCD8"/>
    <w:rsid w:val="0630C52C"/>
    <w:rsid w:val="063741DD"/>
    <w:rsid w:val="06448B3D"/>
    <w:rsid w:val="065FA490"/>
    <w:rsid w:val="066D7C3C"/>
    <w:rsid w:val="0690A1BE"/>
    <w:rsid w:val="069BBC1F"/>
    <w:rsid w:val="06A18B7D"/>
    <w:rsid w:val="06AC11C4"/>
    <w:rsid w:val="07612CE1"/>
    <w:rsid w:val="076296F6"/>
    <w:rsid w:val="078F284C"/>
    <w:rsid w:val="07ACA081"/>
    <w:rsid w:val="07C1F113"/>
    <w:rsid w:val="07CE673A"/>
    <w:rsid w:val="08017043"/>
    <w:rsid w:val="0818C961"/>
    <w:rsid w:val="0830B22B"/>
    <w:rsid w:val="083C7042"/>
    <w:rsid w:val="08C819ED"/>
    <w:rsid w:val="08DDE098"/>
    <w:rsid w:val="08ECC3F7"/>
    <w:rsid w:val="08F70B60"/>
    <w:rsid w:val="0935B235"/>
    <w:rsid w:val="096E645E"/>
    <w:rsid w:val="0972C384"/>
    <w:rsid w:val="09766384"/>
    <w:rsid w:val="098A87C2"/>
    <w:rsid w:val="09AEA94D"/>
    <w:rsid w:val="09E28995"/>
    <w:rsid w:val="09F85C3A"/>
    <w:rsid w:val="0A060948"/>
    <w:rsid w:val="0A104CCB"/>
    <w:rsid w:val="0A234FF5"/>
    <w:rsid w:val="0A567102"/>
    <w:rsid w:val="0A5A3B3B"/>
    <w:rsid w:val="0A5B87A3"/>
    <w:rsid w:val="0A6BE3D8"/>
    <w:rsid w:val="0A84F6FD"/>
    <w:rsid w:val="0AA38497"/>
    <w:rsid w:val="0AD1DFE3"/>
    <w:rsid w:val="0B0AE5D2"/>
    <w:rsid w:val="0B5FB593"/>
    <w:rsid w:val="0B8C875D"/>
    <w:rsid w:val="0BD71326"/>
    <w:rsid w:val="0BF8027A"/>
    <w:rsid w:val="0C5645E8"/>
    <w:rsid w:val="0CA9CCCE"/>
    <w:rsid w:val="0CAC24EE"/>
    <w:rsid w:val="0CF5E6B0"/>
    <w:rsid w:val="0D05F81E"/>
    <w:rsid w:val="0D073327"/>
    <w:rsid w:val="0D0BABAE"/>
    <w:rsid w:val="0D2FC858"/>
    <w:rsid w:val="0D91D06A"/>
    <w:rsid w:val="0DAED3AD"/>
    <w:rsid w:val="0DE8E457"/>
    <w:rsid w:val="0E3CE84C"/>
    <w:rsid w:val="0E6ACC97"/>
    <w:rsid w:val="0E706EC5"/>
    <w:rsid w:val="0E756171"/>
    <w:rsid w:val="0EC18024"/>
    <w:rsid w:val="0EEEFF0C"/>
    <w:rsid w:val="0F100027"/>
    <w:rsid w:val="0F2052EF"/>
    <w:rsid w:val="0F95FA68"/>
    <w:rsid w:val="0FA1784A"/>
    <w:rsid w:val="0FAE7D1D"/>
    <w:rsid w:val="0FEB83C7"/>
    <w:rsid w:val="100D9F53"/>
    <w:rsid w:val="10266AAD"/>
    <w:rsid w:val="102EF289"/>
    <w:rsid w:val="104732E5"/>
    <w:rsid w:val="1074BCD2"/>
    <w:rsid w:val="10AD9F19"/>
    <w:rsid w:val="10B7DC46"/>
    <w:rsid w:val="10BECAAD"/>
    <w:rsid w:val="10DFC7EE"/>
    <w:rsid w:val="10F07B27"/>
    <w:rsid w:val="11330A62"/>
    <w:rsid w:val="11508C1D"/>
    <w:rsid w:val="1169B5CC"/>
    <w:rsid w:val="1175B60D"/>
    <w:rsid w:val="11CFF2F5"/>
    <w:rsid w:val="11DBA1A4"/>
    <w:rsid w:val="12074F65"/>
    <w:rsid w:val="1207FE34"/>
    <w:rsid w:val="1254230F"/>
    <w:rsid w:val="12A1A767"/>
    <w:rsid w:val="12A5EF8F"/>
    <w:rsid w:val="12ADACC0"/>
    <w:rsid w:val="12B0C97F"/>
    <w:rsid w:val="12C13C86"/>
    <w:rsid w:val="12C287E0"/>
    <w:rsid w:val="13537DF8"/>
    <w:rsid w:val="13654EEC"/>
    <w:rsid w:val="1383DF86"/>
    <w:rsid w:val="13955B8D"/>
    <w:rsid w:val="139C5772"/>
    <w:rsid w:val="13A5CD95"/>
    <w:rsid w:val="1411A970"/>
    <w:rsid w:val="14149219"/>
    <w:rsid w:val="148ADCA8"/>
    <w:rsid w:val="149F976F"/>
    <w:rsid w:val="14BFF6D5"/>
    <w:rsid w:val="14E46AE3"/>
    <w:rsid w:val="14FE0AA1"/>
    <w:rsid w:val="152C07CE"/>
    <w:rsid w:val="15458B6A"/>
    <w:rsid w:val="1560E8A8"/>
    <w:rsid w:val="157EB5AD"/>
    <w:rsid w:val="1581546B"/>
    <w:rsid w:val="15C3105A"/>
    <w:rsid w:val="15F96E04"/>
    <w:rsid w:val="1616B4C8"/>
    <w:rsid w:val="16804440"/>
    <w:rsid w:val="1687A28A"/>
    <w:rsid w:val="16941ADE"/>
    <w:rsid w:val="1697572B"/>
    <w:rsid w:val="16E7ED6C"/>
    <w:rsid w:val="17001290"/>
    <w:rsid w:val="17C853AB"/>
    <w:rsid w:val="1824CD3C"/>
    <w:rsid w:val="183E04D4"/>
    <w:rsid w:val="18C3DF2C"/>
    <w:rsid w:val="18C6EE40"/>
    <w:rsid w:val="19129B24"/>
    <w:rsid w:val="1912FB8D"/>
    <w:rsid w:val="19523003"/>
    <w:rsid w:val="196D90FE"/>
    <w:rsid w:val="19A2003E"/>
    <w:rsid w:val="19A5C01C"/>
    <w:rsid w:val="19B4F4B2"/>
    <w:rsid w:val="19E5401D"/>
    <w:rsid w:val="19F03074"/>
    <w:rsid w:val="19FAF62A"/>
    <w:rsid w:val="19FB8A9E"/>
    <w:rsid w:val="1A0B98F6"/>
    <w:rsid w:val="1A1E0E64"/>
    <w:rsid w:val="1A1E77CA"/>
    <w:rsid w:val="1A3A2D63"/>
    <w:rsid w:val="1A6B0A0B"/>
    <w:rsid w:val="1AD8EA83"/>
    <w:rsid w:val="1ADA2887"/>
    <w:rsid w:val="1AFC2358"/>
    <w:rsid w:val="1B159A95"/>
    <w:rsid w:val="1B3F3786"/>
    <w:rsid w:val="1B47EAD0"/>
    <w:rsid w:val="1B594AA6"/>
    <w:rsid w:val="1B6F68C1"/>
    <w:rsid w:val="1B8704E0"/>
    <w:rsid w:val="1BA44A83"/>
    <w:rsid w:val="1BD1FE7A"/>
    <w:rsid w:val="1C102617"/>
    <w:rsid w:val="1C10F2BE"/>
    <w:rsid w:val="1C1BB10D"/>
    <w:rsid w:val="1C2D0EE0"/>
    <w:rsid w:val="1C7FD670"/>
    <w:rsid w:val="1CE1FB58"/>
    <w:rsid w:val="1CF19D99"/>
    <w:rsid w:val="1CF80B8E"/>
    <w:rsid w:val="1D0A85DF"/>
    <w:rsid w:val="1D179E0B"/>
    <w:rsid w:val="1DA53B7E"/>
    <w:rsid w:val="1DA9D7BA"/>
    <w:rsid w:val="1DB4792F"/>
    <w:rsid w:val="1DCB1322"/>
    <w:rsid w:val="1DD04E98"/>
    <w:rsid w:val="1E452B52"/>
    <w:rsid w:val="1E5DD16E"/>
    <w:rsid w:val="1E6AD7DB"/>
    <w:rsid w:val="1E94A023"/>
    <w:rsid w:val="1EBE0E2A"/>
    <w:rsid w:val="1EC7D653"/>
    <w:rsid w:val="1F4A6D00"/>
    <w:rsid w:val="1F8145EE"/>
    <w:rsid w:val="1F855271"/>
    <w:rsid w:val="1F9DE74C"/>
    <w:rsid w:val="1FBFD01A"/>
    <w:rsid w:val="1FF9D729"/>
    <w:rsid w:val="20505B84"/>
    <w:rsid w:val="208005D0"/>
    <w:rsid w:val="20DB47EA"/>
    <w:rsid w:val="20DE16F6"/>
    <w:rsid w:val="2109F3AE"/>
    <w:rsid w:val="213EC12E"/>
    <w:rsid w:val="2147C498"/>
    <w:rsid w:val="2165C6E5"/>
    <w:rsid w:val="216D6FF9"/>
    <w:rsid w:val="21F472EA"/>
    <w:rsid w:val="2212C59E"/>
    <w:rsid w:val="2214E5C5"/>
    <w:rsid w:val="22243A29"/>
    <w:rsid w:val="22339D4C"/>
    <w:rsid w:val="22397000"/>
    <w:rsid w:val="223C8C71"/>
    <w:rsid w:val="2271B867"/>
    <w:rsid w:val="227DC339"/>
    <w:rsid w:val="22B82FD5"/>
    <w:rsid w:val="22C536D7"/>
    <w:rsid w:val="22E29245"/>
    <w:rsid w:val="230C04B9"/>
    <w:rsid w:val="234E4637"/>
    <w:rsid w:val="2370F5F4"/>
    <w:rsid w:val="237D6C27"/>
    <w:rsid w:val="2386DC46"/>
    <w:rsid w:val="23A978BA"/>
    <w:rsid w:val="23B1B63B"/>
    <w:rsid w:val="2404A285"/>
    <w:rsid w:val="240CCACA"/>
    <w:rsid w:val="241B6D2B"/>
    <w:rsid w:val="241FF70A"/>
    <w:rsid w:val="246E46F7"/>
    <w:rsid w:val="246F8E11"/>
    <w:rsid w:val="24987C6F"/>
    <w:rsid w:val="24DD1DB4"/>
    <w:rsid w:val="25756538"/>
    <w:rsid w:val="2578AF30"/>
    <w:rsid w:val="257BAC2B"/>
    <w:rsid w:val="25CB9282"/>
    <w:rsid w:val="25E6B639"/>
    <w:rsid w:val="262E045A"/>
    <w:rsid w:val="2646C3F6"/>
    <w:rsid w:val="266C403C"/>
    <w:rsid w:val="26D4A1D8"/>
    <w:rsid w:val="26EFCBD6"/>
    <w:rsid w:val="26F25800"/>
    <w:rsid w:val="27090709"/>
    <w:rsid w:val="270B6788"/>
    <w:rsid w:val="271CCEEA"/>
    <w:rsid w:val="27267B45"/>
    <w:rsid w:val="272A3982"/>
    <w:rsid w:val="272E7CC7"/>
    <w:rsid w:val="273FE3CD"/>
    <w:rsid w:val="280647D1"/>
    <w:rsid w:val="2813F77D"/>
    <w:rsid w:val="281517E1"/>
    <w:rsid w:val="282B848E"/>
    <w:rsid w:val="283CD5E5"/>
    <w:rsid w:val="2850C5F4"/>
    <w:rsid w:val="28BE5835"/>
    <w:rsid w:val="28D206C0"/>
    <w:rsid w:val="290BD3FE"/>
    <w:rsid w:val="2918ED92"/>
    <w:rsid w:val="2923A4D0"/>
    <w:rsid w:val="2936BC48"/>
    <w:rsid w:val="2938F0B9"/>
    <w:rsid w:val="293A3036"/>
    <w:rsid w:val="2948A681"/>
    <w:rsid w:val="29532537"/>
    <w:rsid w:val="29551B5E"/>
    <w:rsid w:val="295EA93D"/>
    <w:rsid w:val="29A7F696"/>
    <w:rsid w:val="29D2DA17"/>
    <w:rsid w:val="29DB5996"/>
    <w:rsid w:val="29E45E1B"/>
    <w:rsid w:val="29E9EF22"/>
    <w:rsid w:val="2A2AFAEF"/>
    <w:rsid w:val="2A84C322"/>
    <w:rsid w:val="2AA538F6"/>
    <w:rsid w:val="2AA7A218"/>
    <w:rsid w:val="2AB06276"/>
    <w:rsid w:val="2ACDB09E"/>
    <w:rsid w:val="2B0AE2C3"/>
    <w:rsid w:val="2B14071A"/>
    <w:rsid w:val="2B47F508"/>
    <w:rsid w:val="2B4F02CE"/>
    <w:rsid w:val="2B608CA8"/>
    <w:rsid w:val="2B6E3909"/>
    <w:rsid w:val="2B70EB98"/>
    <w:rsid w:val="2BAC6B43"/>
    <w:rsid w:val="2BCA2CA8"/>
    <w:rsid w:val="2BCE6090"/>
    <w:rsid w:val="2BCF2CB8"/>
    <w:rsid w:val="2C2CAC4D"/>
    <w:rsid w:val="2C49A214"/>
    <w:rsid w:val="2C5DBA93"/>
    <w:rsid w:val="2C73F235"/>
    <w:rsid w:val="2C8AFD6F"/>
    <w:rsid w:val="2CC2F9B7"/>
    <w:rsid w:val="2CCFF45E"/>
    <w:rsid w:val="2CDD6290"/>
    <w:rsid w:val="2CF69B8D"/>
    <w:rsid w:val="2D01E012"/>
    <w:rsid w:val="2D178DDA"/>
    <w:rsid w:val="2D1D538C"/>
    <w:rsid w:val="2D4C4FEC"/>
    <w:rsid w:val="2DA4135A"/>
    <w:rsid w:val="2DC7704E"/>
    <w:rsid w:val="2DD593C7"/>
    <w:rsid w:val="2E33F818"/>
    <w:rsid w:val="2E71FFED"/>
    <w:rsid w:val="2EB0475A"/>
    <w:rsid w:val="2EC915A8"/>
    <w:rsid w:val="2ECBC820"/>
    <w:rsid w:val="2EDB3955"/>
    <w:rsid w:val="2EE3C18D"/>
    <w:rsid w:val="2F2ACDAA"/>
    <w:rsid w:val="2F536496"/>
    <w:rsid w:val="2F5CC703"/>
    <w:rsid w:val="2F75D5D1"/>
    <w:rsid w:val="2F85B8B2"/>
    <w:rsid w:val="2F8D4BEC"/>
    <w:rsid w:val="2F929DD5"/>
    <w:rsid w:val="2F9B0025"/>
    <w:rsid w:val="2FA8582C"/>
    <w:rsid w:val="2FA8AC86"/>
    <w:rsid w:val="2FED8BA4"/>
    <w:rsid w:val="300D79C0"/>
    <w:rsid w:val="305D8231"/>
    <w:rsid w:val="3069300E"/>
    <w:rsid w:val="30746217"/>
    <w:rsid w:val="309E639D"/>
    <w:rsid w:val="3119CCD7"/>
    <w:rsid w:val="31258AB8"/>
    <w:rsid w:val="317DC44E"/>
    <w:rsid w:val="31A735EA"/>
    <w:rsid w:val="31AF3012"/>
    <w:rsid w:val="31D1E6ED"/>
    <w:rsid w:val="31D5B9B9"/>
    <w:rsid w:val="31E38D4D"/>
    <w:rsid w:val="31ED8C6A"/>
    <w:rsid w:val="31FF4A11"/>
    <w:rsid w:val="32588D1A"/>
    <w:rsid w:val="326806BE"/>
    <w:rsid w:val="329A6E4A"/>
    <w:rsid w:val="32B5CCCD"/>
    <w:rsid w:val="32BC08F6"/>
    <w:rsid w:val="32F38E51"/>
    <w:rsid w:val="331E350A"/>
    <w:rsid w:val="333EE238"/>
    <w:rsid w:val="33525CD5"/>
    <w:rsid w:val="335A98FC"/>
    <w:rsid w:val="3373BDE9"/>
    <w:rsid w:val="33D21F41"/>
    <w:rsid w:val="33DB60EC"/>
    <w:rsid w:val="3407D780"/>
    <w:rsid w:val="341B9D11"/>
    <w:rsid w:val="341FE991"/>
    <w:rsid w:val="34204DE4"/>
    <w:rsid w:val="347495C5"/>
    <w:rsid w:val="34985A80"/>
    <w:rsid w:val="34AE564B"/>
    <w:rsid w:val="34BCC8B9"/>
    <w:rsid w:val="34C7CC14"/>
    <w:rsid w:val="34F15C6C"/>
    <w:rsid w:val="34F83EE9"/>
    <w:rsid w:val="34FCA81A"/>
    <w:rsid w:val="350E74BF"/>
    <w:rsid w:val="350F33FB"/>
    <w:rsid w:val="3510F12B"/>
    <w:rsid w:val="351FFFD3"/>
    <w:rsid w:val="3597D643"/>
    <w:rsid w:val="3599C068"/>
    <w:rsid w:val="35DC1537"/>
    <w:rsid w:val="35EE0F19"/>
    <w:rsid w:val="3621C421"/>
    <w:rsid w:val="3623B048"/>
    <w:rsid w:val="3628C020"/>
    <w:rsid w:val="36440235"/>
    <w:rsid w:val="36717851"/>
    <w:rsid w:val="36E3E5BE"/>
    <w:rsid w:val="37515374"/>
    <w:rsid w:val="3760B3D3"/>
    <w:rsid w:val="37902345"/>
    <w:rsid w:val="379DF2AE"/>
    <w:rsid w:val="37A4312A"/>
    <w:rsid w:val="37C6D47E"/>
    <w:rsid w:val="37CE091C"/>
    <w:rsid w:val="37D45099"/>
    <w:rsid w:val="3850AA1B"/>
    <w:rsid w:val="389FBC5C"/>
    <w:rsid w:val="38CF9AC2"/>
    <w:rsid w:val="38D72431"/>
    <w:rsid w:val="38E9B3B0"/>
    <w:rsid w:val="38EAF2C7"/>
    <w:rsid w:val="390A570F"/>
    <w:rsid w:val="390B735F"/>
    <w:rsid w:val="3976AABF"/>
    <w:rsid w:val="39A4C059"/>
    <w:rsid w:val="39A83CD7"/>
    <w:rsid w:val="39BD45AB"/>
    <w:rsid w:val="39F9FCBB"/>
    <w:rsid w:val="3A2C5E63"/>
    <w:rsid w:val="3A5AFBA4"/>
    <w:rsid w:val="3A6013A4"/>
    <w:rsid w:val="3ADCB40C"/>
    <w:rsid w:val="3B042489"/>
    <w:rsid w:val="3B5225A0"/>
    <w:rsid w:val="3B76E343"/>
    <w:rsid w:val="3B8F7A43"/>
    <w:rsid w:val="3BB33E90"/>
    <w:rsid w:val="3BC08DD2"/>
    <w:rsid w:val="3C0F77F4"/>
    <w:rsid w:val="3C366EF1"/>
    <w:rsid w:val="3C3F80D4"/>
    <w:rsid w:val="3C418316"/>
    <w:rsid w:val="3C4C2B5C"/>
    <w:rsid w:val="3C54A57D"/>
    <w:rsid w:val="3C8A24DB"/>
    <w:rsid w:val="3C8E8898"/>
    <w:rsid w:val="3C910A4D"/>
    <w:rsid w:val="3C975E99"/>
    <w:rsid w:val="3CBDAAAD"/>
    <w:rsid w:val="3CEC5032"/>
    <w:rsid w:val="3D2D213D"/>
    <w:rsid w:val="3D5D12B2"/>
    <w:rsid w:val="3D75CA23"/>
    <w:rsid w:val="3D9C6EB1"/>
    <w:rsid w:val="3DC39089"/>
    <w:rsid w:val="3DFFFE43"/>
    <w:rsid w:val="3E4A1BE2"/>
    <w:rsid w:val="3E672AAF"/>
    <w:rsid w:val="3E7E5CB4"/>
    <w:rsid w:val="3E98F06F"/>
    <w:rsid w:val="3EBD286B"/>
    <w:rsid w:val="3F15BD4B"/>
    <w:rsid w:val="3F690B70"/>
    <w:rsid w:val="3F6CD351"/>
    <w:rsid w:val="3F86D60B"/>
    <w:rsid w:val="3F8C991D"/>
    <w:rsid w:val="3F975B5A"/>
    <w:rsid w:val="3FAA70AC"/>
    <w:rsid w:val="3FBD6A75"/>
    <w:rsid w:val="3FC7CE05"/>
    <w:rsid w:val="3FE5561D"/>
    <w:rsid w:val="400A1A74"/>
    <w:rsid w:val="4013E9B4"/>
    <w:rsid w:val="401AC48D"/>
    <w:rsid w:val="4040F57A"/>
    <w:rsid w:val="404B667A"/>
    <w:rsid w:val="40ABF25D"/>
    <w:rsid w:val="40C96F2B"/>
    <w:rsid w:val="40C9F257"/>
    <w:rsid w:val="40DAE3C1"/>
    <w:rsid w:val="414A5E81"/>
    <w:rsid w:val="414B3764"/>
    <w:rsid w:val="415421E5"/>
    <w:rsid w:val="4196C20B"/>
    <w:rsid w:val="41B6292D"/>
    <w:rsid w:val="41C03834"/>
    <w:rsid w:val="41DA8E43"/>
    <w:rsid w:val="421DC9EB"/>
    <w:rsid w:val="422DB082"/>
    <w:rsid w:val="42446C5D"/>
    <w:rsid w:val="42481649"/>
    <w:rsid w:val="427EAB78"/>
    <w:rsid w:val="42CE2BAE"/>
    <w:rsid w:val="42DE3108"/>
    <w:rsid w:val="42E21A87"/>
    <w:rsid w:val="431C5F67"/>
    <w:rsid w:val="432670E5"/>
    <w:rsid w:val="433F48D8"/>
    <w:rsid w:val="43688E17"/>
    <w:rsid w:val="436B9A77"/>
    <w:rsid w:val="43818288"/>
    <w:rsid w:val="4389D1B1"/>
    <w:rsid w:val="43B591E0"/>
    <w:rsid w:val="44037A3F"/>
    <w:rsid w:val="44352F8E"/>
    <w:rsid w:val="443F4CED"/>
    <w:rsid w:val="4471736C"/>
    <w:rsid w:val="448031E0"/>
    <w:rsid w:val="44A88888"/>
    <w:rsid w:val="44BD41F5"/>
    <w:rsid w:val="44C2FA2E"/>
    <w:rsid w:val="44EACEF9"/>
    <w:rsid w:val="44F076D1"/>
    <w:rsid w:val="457E4C02"/>
    <w:rsid w:val="45B26A70"/>
    <w:rsid w:val="46015739"/>
    <w:rsid w:val="4638A1FB"/>
    <w:rsid w:val="465A9621"/>
    <w:rsid w:val="46A82187"/>
    <w:rsid w:val="46B1D527"/>
    <w:rsid w:val="46B7D856"/>
    <w:rsid w:val="46C7D9C3"/>
    <w:rsid w:val="4707EFE4"/>
    <w:rsid w:val="47267335"/>
    <w:rsid w:val="4749BD44"/>
    <w:rsid w:val="4762E250"/>
    <w:rsid w:val="478B02B2"/>
    <w:rsid w:val="47DF77A3"/>
    <w:rsid w:val="481F3896"/>
    <w:rsid w:val="482838EA"/>
    <w:rsid w:val="486031EA"/>
    <w:rsid w:val="486BED0D"/>
    <w:rsid w:val="487C80AC"/>
    <w:rsid w:val="48825BB9"/>
    <w:rsid w:val="488823A3"/>
    <w:rsid w:val="48BEBA86"/>
    <w:rsid w:val="48CB98BE"/>
    <w:rsid w:val="48DC2A5A"/>
    <w:rsid w:val="48EAFED4"/>
    <w:rsid w:val="490CF85E"/>
    <w:rsid w:val="49364C26"/>
    <w:rsid w:val="49502D1B"/>
    <w:rsid w:val="495735F2"/>
    <w:rsid w:val="498EBF9C"/>
    <w:rsid w:val="4994BC0F"/>
    <w:rsid w:val="49AA0990"/>
    <w:rsid w:val="49B2B934"/>
    <w:rsid w:val="49E360BB"/>
    <w:rsid w:val="49EA1AB3"/>
    <w:rsid w:val="49F7B023"/>
    <w:rsid w:val="49FE2CD4"/>
    <w:rsid w:val="49FFE1CD"/>
    <w:rsid w:val="4A0F76BF"/>
    <w:rsid w:val="4A3DD186"/>
    <w:rsid w:val="4A654A85"/>
    <w:rsid w:val="4A93F4E7"/>
    <w:rsid w:val="4ADFE83C"/>
    <w:rsid w:val="4AE53FE1"/>
    <w:rsid w:val="4B039701"/>
    <w:rsid w:val="4B18F1E5"/>
    <w:rsid w:val="4B29BDBD"/>
    <w:rsid w:val="4B5A1521"/>
    <w:rsid w:val="4B7496AB"/>
    <w:rsid w:val="4B760C8D"/>
    <w:rsid w:val="4B931932"/>
    <w:rsid w:val="4B943AC6"/>
    <w:rsid w:val="4BA808F5"/>
    <w:rsid w:val="4BAA67A7"/>
    <w:rsid w:val="4C5CEA4C"/>
    <w:rsid w:val="4CD4F13A"/>
    <w:rsid w:val="4CE06914"/>
    <w:rsid w:val="4D05C292"/>
    <w:rsid w:val="4D28441E"/>
    <w:rsid w:val="4D446E89"/>
    <w:rsid w:val="4D7432ED"/>
    <w:rsid w:val="4D824151"/>
    <w:rsid w:val="4DB65E55"/>
    <w:rsid w:val="4DCBB4CA"/>
    <w:rsid w:val="4DDBA7B9"/>
    <w:rsid w:val="4E110C36"/>
    <w:rsid w:val="4E661D21"/>
    <w:rsid w:val="4E8DD330"/>
    <w:rsid w:val="4EB65EE0"/>
    <w:rsid w:val="4EF792E3"/>
    <w:rsid w:val="4F0545FF"/>
    <w:rsid w:val="4F1D6EC4"/>
    <w:rsid w:val="4F233D8F"/>
    <w:rsid w:val="4F3817B0"/>
    <w:rsid w:val="4F63FC46"/>
    <w:rsid w:val="4F80C60E"/>
    <w:rsid w:val="4F820CA6"/>
    <w:rsid w:val="4F8BD9A1"/>
    <w:rsid w:val="4F8F68CE"/>
    <w:rsid w:val="4FA29F32"/>
    <w:rsid w:val="4FC2A7C5"/>
    <w:rsid w:val="4FDFF4A5"/>
    <w:rsid w:val="4FE38AA6"/>
    <w:rsid w:val="50085BD8"/>
    <w:rsid w:val="500AF153"/>
    <w:rsid w:val="50182698"/>
    <w:rsid w:val="50561D81"/>
    <w:rsid w:val="5090BA05"/>
    <w:rsid w:val="50EA7CD7"/>
    <w:rsid w:val="50F21CC1"/>
    <w:rsid w:val="5103558C"/>
    <w:rsid w:val="5143EA1D"/>
    <w:rsid w:val="514A6331"/>
    <w:rsid w:val="515BE38A"/>
    <w:rsid w:val="5169A3DF"/>
    <w:rsid w:val="519FCDF4"/>
    <w:rsid w:val="5210F257"/>
    <w:rsid w:val="5231EA99"/>
    <w:rsid w:val="523D4C8E"/>
    <w:rsid w:val="529F25ED"/>
    <w:rsid w:val="52D90828"/>
    <w:rsid w:val="52E301E9"/>
    <w:rsid w:val="52F79C59"/>
    <w:rsid w:val="53175976"/>
    <w:rsid w:val="53320D1B"/>
    <w:rsid w:val="53547886"/>
    <w:rsid w:val="5376E0C4"/>
    <w:rsid w:val="53F29285"/>
    <w:rsid w:val="53F44120"/>
    <w:rsid w:val="544E59F7"/>
    <w:rsid w:val="54972397"/>
    <w:rsid w:val="54C5A305"/>
    <w:rsid w:val="550BE3FF"/>
    <w:rsid w:val="55364120"/>
    <w:rsid w:val="55516018"/>
    <w:rsid w:val="555AD3A2"/>
    <w:rsid w:val="5569DE69"/>
    <w:rsid w:val="556CC6AF"/>
    <w:rsid w:val="55836294"/>
    <w:rsid w:val="558E1431"/>
    <w:rsid w:val="55B89E32"/>
    <w:rsid w:val="55CA5743"/>
    <w:rsid w:val="55FCD21B"/>
    <w:rsid w:val="5612806F"/>
    <w:rsid w:val="56166B5A"/>
    <w:rsid w:val="56278351"/>
    <w:rsid w:val="567F1A05"/>
    <w:rsid w:val="56A4F810"/>
    <w:rsid w:val="56D69F02"/>
    <w:rsid w:val="56DC66C7"/>
    <w:rsid w:val="56EE4133"/>
    <w:rsid w:val="57127D53"/>
    <w:rsid w:val="571E342A"/>
    <w:rsid w:val="5725561D"/>
    <w:rsid w:val="572CAED0"/>
    <w:rsid w:val="575469BF"/>
    <w:rsid w:val="57848B74"/>
    <w:rsid w:val="57B313C5"/>
    <w:rsid w:val="57B5603B"/>
    <w:rsid w:val="581CD515"/>
    <w:rsid w:val="581FE4C6"/>
    <w:rsid w:val="58352DA7"/>
    <w:rsid w:val="584A21F5"/>
    <w:rsid w:val="58796663"/>
    <w:rsid w:val="588C4BD2"/>
    <w:rsid w:val="58B2DD63"/>
    <w:rsid w:val="59057082"/>
    <w:rsid w:val="59277346"/>
    <w:rsid w:val="592EE339"/>
    <w:rsid w:val="596D5E10"/>
    <w:rsid w:val="59DD1751"/>
    <w:rsid w:val="59E6525B"/>
    <w:rsid w:val="59FD100B"/>
    <w:rsid w:val="5A078739"/>
    <w:rsid w:val="5A175132"/>
    <w:rsid w:val="5A363A67"/>
    <w:rsid w:val="5A43ED69"/>
    <w:rsid w:val="5A645EEC"/>
    <w:rsid w:val="5A7FA285"/>
    <w:rsid w:val="5AC3C32E"/>
    <w:rsid w:val="5AC50626"/>
    <w:rsid w:val="5AD3DD52"/>
    <w:rsid w:val="5AD4D774"/>
    <w:rsid w:val="5AF72332"/>
    <w:rsid w:val="5AFD638A"/>
    <w:rsid w:val="5B054070"/>
    <w:rsid w:val="5B438963"/>
    <w:rsid w:val="5B8360E6"/>
    <w:rsid w:val="5BAB663A"/>
    <w:rsid w:val="5BBBD400"/>
    <w:rsid w:val="5BC0AAB5"/>
    <w:rsid w:val="5BC47A08"/>
    <w:rsid w:val="5BFA74C3"/>
    <w:rsid w:val="5C028C8C"/>
    <w:rsid w:val="5C1E75FA"/>
    <w:rsid w:val="5C23148C"/>
    <w:rsid w:val="5C3C5398"/>
    <w:rsid w:val="5C4C0AA6"/>
    <w:rsid w:val="5C82B51E"/>
    <w:rsid w:val="5CA2D725"/>
    <w:rsid w:val="5CC594A0"/>
    <w:rsid w:val="5CF4E195"/>
    <w:rsid w:val="5CFB8D94"/>
    <w:rsid w:val="5D15D863"/>
    <w:rsid w:val="5D70DE9A"/>
    <w:rsid w:val="5DB5D589"/>
    <w:rsid w:val="5DD73F3B"/>
    <w:rsid w:val="5DF45060"/>
    <w:rsid w:val="5E1B4016"/>
    <w:rsid w:val="5E32F09F"/>
    <w:rsid w:val="5F107543"/>
    <w:rsid w:val="5F196386"/>
    <w:rsid w:val="5F3FB077"/>
    <w:rsid w:val="5FAFACAA"/>
    <w:rsid w:val="5FC0BC62"/>
    <w:rsid w:val="5FFA22A8"/>
    <w:rsid w:val="601B2BAC"/>
    <w:rsid w:val="601C153B"/>
    <w:rsid w:val="601ECB48"/>
    <w:rsid w:val="60245C88"/>
    <w:rsid w:val="6042CA13"/>
    <w:rsid w:val="605B3D70"/>
    <w:rsid w:val="6116EE3C"/>
    <w:rsid w:val="612882CA"/>
    <w:rsid w:val="61607063"/>
    <w:rsid w:val="6193FBB5"/>
    <w:rsid w:val="619E7FAC"/>
    <w:rsid w:val="61CC0E89"/>
    <w:rsid w:val="61CFEF53"/>
    <w:rsid w:val="61DABFC7"/>
    <w:rsid w:val="622B30EE"/>
    <w:rsid w:val="623B21DE"/>
    <w:rsid w:val="62403A7A"/>
    <w:rsid w:val="62423250"/>
    <w:rsid w:val="6250BD54"/>
    <w:rsid w:val="62E8BB63"/>
    <w:rsid w:val="6321B5F3"/>
    <w:rsid w:val="6331BC3F"/>
    <w:rsid w:val="63352D05"/>
    <w:rsid w:val="634FBBE5"/>
    <w:rsid w:val="636C68CA"/>
    <w:rsid w:val="6379CF9A"/>
    <w:rsid w:val="63829F7A"/>
    <w:rsid w:val="63918DD7"/>
    <w:rsid w:val="63B853D0"/>
    <w:rsid w:val="63CF97BD"/>
    <w:rsid w:val="63EC1865"/>
    <w:rsid w:val="641029EF"/>
    <w:rsid w:val="644241AE"/>
    <w:rsid w:val="644615FC"/>
    <w:rsid w:val="646C8D65"/>
    <w:rsid w:val="647E5E27"/>
    <w:rsid w:val="648EF302"/>
    <w:rsid w:val="64A67424"/>
    <w:rsid w:val="64C07BAC"/>
    <w:rsid w:val="64D957A7"/>
    <w:rsid w:val="651DCAFF"/>
    <w:rsid w:val="654CA752"/>
    <w:rsid w:val="654F290D"/>
    <w:rsid w:val="658BCA90"/>
    <w:rsid w:val="65BB9E07"/>
    <w:rsid w:val="65C82D16"/>
    <w:rsid w:val="65FC3836"/>
    <w:rsid w:val="661C8857"/>
    <w:rsid w:val="6672904F"/>
    <w:rsid w:val="66809DE2"/>
    <w:rsid w:val="66EB5617"/>
    <w:rsid w:val="67082533"/>
    <w:rsid w:val="676C1E25"/>
    <w:rsid w:val="67900A81"/>
    <w:rsid w:val="67B77FD9"/>
    <w:rsid w:val="67D474EC"/>
    <w:rsid w:val="68059F33"/>
    <w:rsid w:val="6815A7AD"/>
    <w:rsid w:val="6837D824"/>
    <w:rsid w:val="683CA855"/>
    <w:rsid w:val="688DDAB9"/>
    <w:rsid w:val="68BD5209"/>
    <w:rsid w:val="68C9269A"/>
    <w:rsid w:val="68CBCAEB"/>
    <w:rsid w:val="68E07F58"/>
    <w:rsid w:val="68E0AB69"/>
    <w:rsid w:val="68E5C255"/>
    <w:rsid w:val="691CC9E6"/>
    <w:rsid w:val="69238FBE"/>
    <w:rsid w:val="69317BE9"/>
    <w:rsid w:val="693B2138"/>
    <w:rsid w:val="69611C79"/>
    <w:rsid w:val="696C1F98"/>
    <w:rsid w:val="6986EA69"/>
    <w:rsid w:val="699F9665"/>
    <w:rsid w:val="69D8077F"/>
    <w:rsid w:val="69E5E90A"/>
    <w:rsid w:val="69F6E9E8"/>
    <w:rsid w:val="6A095C21"/>
    <w:rsid w:val="6A2A4703"/>
    <w:rsid w:val="6A37F63A"/>
    <w:rsid w:val="6A5E6351"/>
    <w:rsid w:val="6A7DD9F8"/>
    <w:rsid w:val="6A937A45"/>
    <w:rsid w:val="6AB14E2F"/>
    <w:rsid w:val="6AC0235F"/>
    <w:rsid w:val="6ADF6638"/>
    <w:rsid w:val="6B318DAA"/>
    <w:rsid w:val="6B38E9B5"/>
    <w:rsid w:val="6BD80706"/>
    <w:rsid w:val="6BE88C80"/>
    <w:rsid w:val="6BF6ED92"/>
    <w:rsid w:val="6C199146"/>
    <w:rsid w:val="6C41B380"/>
    <w:rsid w:val="6C564856"/>
    <w:rsid w:val="6C62DA82"/>
    <w:rsid w:val="6C632A5B"/>
    <w:rsid w:val="6C6B8D2B"/>
    <w:rsid w:val="6C7B9E94"/>
    <w:rsid w:val="6CABFEAB"/>
    <w:rsid w:val="6CD1D523"/>
    <w:rsid w:val="6CF66967"/>
    <w:rsid w:val="6DD3DCB7"/>
    <w:rsid w:val="6DDB6EBD"/>
    <w:rsid w:val="6DEFB41C"/>
    <w:rsid w:val="6E09A04B"/>
    <w:rsid w:val="6E107421"/>
    <w:rsid w:val="6E3755E8"/>
    <w:rsid w:val="6EDB5BCD"/>
    <w:rsid w:val="6EE8E522"/>
    <w:rsid w:val="6EEB78FC"/>
    <w:rsid w:val="6EF3AA34"/>
    <w:rsid w:val="6EFC7DAE"/>
    <w:rsid w:val="6F0CA8D9"/>
    <w:rsid w:val="6F2965BA"/>
    <w:rsid w:val="6F468B89"/>
    <w:rsid w:val="6F485AB1"/>
    <w:rsid w:val="6F73BA95"/>
    <w:rsid w:val="6F749A61"/>
    <w:rsid w:val="6F849411"/>
    <w:rsid w:val="6FB4331F"/>
    <w:rsid w:val="6FC8B937"/>
    <w:rsid w:val="70163D7A"/>
    <w:rsid w:val="70260BE8"/>
    <w:rsid w:val="7041FCEA"/>
    <w:rsid w:val="708FE80A"/>
    <w:rsid w:val="70C227B7"/>
    <w:rsid w:val="70D20B0E"/>
    <w:rsid w:val="7114DBDE"/>
    <w:rsid w:val="7115B260"/>
    <w:rsid w:val="712E04BF"/>
    <w:rsid w:val="71347082"/>
    <w:rsid w:val="71449D61"/>
    <w:rsid w:val="7151E016"/>
    <w:rsid w:val="718ED86C"/>
    <w:rsid w:val="723D1553"/>
    <w:rsid w:val="723D85C7"/>
    <w:rsid w:val="7250E451"/>
    <w:rsid w:val="72FFE22B"/>
    <w:rsid w:val="730972EE"/>
    <w:rsid w:val="73189472"/>
    <w:rsid w:val="7319199C"/>
    <w:rsid w:val="7330AD67"/>
    <w:rsid w:val="735AD576"/>
    <w:rsid w:val="73615177"/>
    <w:rsid w:val="73B2C8FF"/>
    <w:rsid w:val="73F30DA6"/>
    <w:rsid w:val="7418E8E6"/>
    <w:rsid w:val="74291172"/>
    <w:rsid w:val="744B6D78"/>
    <w:rsid w:val="746490A6"/>
    <w:rsid w:val="74B8576A"/>
    <w:rsid w:val="74D36AD0"/>
    <w:rsid w:val="750FF36E"/>
    <w:rsid w:val="7510ABAC"/>
    <w:rsid w:val="754C3389"/>
    <w:rsid w:val="758400A0"/>
    <w:rsid w:val="75ADAFB6"/>
    <w:rsid w:val="75BAF7CC"/>
    <w:rsid w:val="75C2EAB6"/>
    <w:rsid w:val="75D70BDA"/>
    <w:rsid w:val="75F51EB1"/>
    <w:rsid w:val="760B28F0"/>
    <w:rsid w:val="76711C61"/>
    <w:rsid w:val="76718CFD"/>
    <w:rsid w:val="76A00EE3"/>
    <w:rsid w:val="7715D020"/>
    <w:rsid w:val="77D59B1A"/>
    <w:rsid w:val="77DE0127"/>
    <w:rsid w:val="77E88A34"/>
    <w:rsid w:val="780102EF"/>
    <w:rsid w:val="781FEAC3"/>
    <w:rsid w:val="7884D477"/>
    <w:rsid w:val="7894AC05"/>
    <w:rsid w:val="78B7C239"/>
    <w:rsid w:val="78C5DF1F"/>
    <w:rsid w:val="78F32F4B"/>
    <w:rsid w:val="78FCC945"/>
    <w:rsid w:val="793A5ABD"/>
    <w:rsid w:val="79631E43"/>
    <w:rsid w:val="7979E070"/>
    <w:rsid w:val="79C56A2B"/>
    <w:rsid w:val="79EE4E6B"/>
    <w:rsid w:val="79F5D684"/>
    <w:rsid w:val="7A0CB0DD"/>
    <w:rsid w:val="7A1998CB"/>
    <w:rsid w:val="7A53751A"/>
    <w:rsid w:val="7A5F0E96"/>
    <w:rsid w:val="7A84D017"/>
    <w:rsid w:val="7AA90C81"/>
    <w:rsid w:val="7AA9660D"/>
    <w:rsid w:val="7AF9D0E0"/>
    <w:rsid w:val="7B1165E9"/>
    <w:rsid w:val="7B204E88"/>
    <w:rsid w:val="7B23C6DA"/>
    <w:rsid w:val="7B28D36D"/>
    <w:rsid w:val="7B38FEAA"/>
    <w:rsid w:val="7B6CCB6C"/>
    <w:rsid w:val="7B948D21"/>
    <w:rsid w:val="7B9867E7"/>
    <w:rsid w:val="7B9D0F0C"/>
    <w:rsid w:val="7BEF3D3B"/>
    <w:rsid w:val="7BF68397"/>
    <w:rsid w:val="7C05E68D"/>
    <w:rsid w:val="7C10124F"/>
    <w:rsid w:val="7C398EEB"/>
    <w:rsid w:val="7C68AAD9"/>
    <w:rsid w:val="7C7F58CC"/>
    <w:rsid w:val="7CCBDFEF"/>
    <w:rsid w:val="7CF86B56"/>
    <w:rsid w:val="7D518A8C"/>
    <w:rsid w:val="7D74EEB2"/>
    <w:rsid w:val="7D852C37"/>
    <w:rsid w:val="7DB35AF4"/>
    <w:rsid w:val="7DBA91B3"/>
    <w:rsid w:val="7DFE5E6B"/>
    <w:rsid w:val="7E0A44F5"/>
    <w:rsid w:val="7E2784F3"/>
    <w:rsid w:val="7E2CBC4F"/>
    <w:rsid w:val="7EE54432"/>
    <w:rsid w:val="7F2761A9"/>
    <w:rsid w:val="7F2A0A0A"/>
    <w:rsid w:val="7F3D1685"/>
    <w:rsid w:val="7F464298"/>
    <w:rsid w:val="7F512BE6"/>
    <w:rsid w:val="7F689830"/>
    <w:rsid w:val="7F7EF206"/>
    <w:rsid w:val="7FBDF07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451B3"/>
  <w15:chartTrackingRefBased/>
  <w15:docId w15:val="{19E85431-E8EA-4F53-8D79-CF3B109F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07D"/>
    <w:pPr>
      <w:spacing w:after="240" w:line="260" w:lineRule="exact"/>
      <w:jc w:val="both"/>
    </w:pPr>
    <w:rPr>
      <w:rFonts w:ascii="Book Antiqua" w:eastAsia="Times New Roman" w:hAnsi="Book Antiqua" w:cs="Times New Roman"/>
      <w:sz w:val="20"/>
      <w:szCs w:val="20"/>
      <w:lang w:eastAsia="en-AU"/>
    </w:rPr>
  </w:style>
  <w:style w:type="paragraph" w:styleId="Heading1">
    <w:name w:val="heading 1"/>
    <w:basedOn w:val="HeadingBase"/>
    <w:next w:val="Normal"/>
    <w:link w:val="Heading1Char"/>
    <w:qFormat/>
    <w:rsid w:val="00791275"/>
    <w:pPr>
      <w:spacing w:after="240"/>
      <w:jc w:val="center"/>
      <w:outlineLvl w:val="0"/>
    </w:pPr>
    <w:rPr>
      <w:rFonts w:ascii="Arial Bold" w:hAnsi="Arial Bold"/>
      <w:b/>
      <w:kern w:val="34"/>
      <w:sz w:val="36"/>
    </w:rPr>
  </w:style>
  <w:style w:type="paragraph" w:styleId="Heading2">
    <w:name w:val="heading 2"/>
    <w:basedOn w:val="HeadingBase"/>
    <w:next w:val="Normal"/>
    <w:link w:val="Heading2Char"/>
    <w:qFormat/>
    <w:rsid w:val="00791275"/>
    <w:pPr>
      <w:spacing w:before="240" w:after="240"/>
      <w:outlineLvl w:val="1"/>
    </w:pPr>
    <w:rPr>
      <w:rFonts w:ascii="Arial Bold" w:hAnsi="Arial Bold"/>
      <w:b/>
      <w:sz w:val="26"/>
    </w:rPr>
  </w:style>
  <w:style w:type="paragraph" w:styleId="Heading3">
    <w:name w:val="heading 3"/>
    <w:basedOn w:val="HeadingBase"/>
    <w:next w:val="Normal"/>
    <w:link w:val="Heading3Char"/>
    <w:qFormat/>
    <w:rsid w:val="00BB207D"/>
    <w:pPr>
      <w:spacing w:before="120" w:after="120"/>
      <w:outlineLvl w:val="2"/>
    </w:pPr>
    <w:rPr>
      <w:rFonts w:ascii="Arial Bold" w:hAnsi="Arial Bold"/>
      <w:b/>
      <w:sz w:val="22"/>
    </w:rPr>
  </w:style>
  <w:style w:type="paragraph" w:styleId="Heading4">
    <w:name w:val="heading 4"/>
    <w:basedOn w:val="HeadingBase"/>
    <w:next w:val="Normal"/>
    <w:link w:val="Heading4Char"/>
    <w:qFormat/>
    <w:rsid w:val="00BB207D"/>
    <w:pPr>
      <w:spacing w:after="120"/>
      <w:outlineLvl w:val="3"/>
    </w:pPr>
    <w:rPr>
      <w:rFonts w:ascii="Arial Bold" w:hAnsi="Arial Bold"/>
      <w:b/>
      <w:sz w:val="20"/>
    </w:rPr>
  </w:style>
  <w:style w:type="paragraph" w:styleId="Heading5">
    <w:name w:val="heading 5"/>
    <w:basedOn w:val="HeadingBase"/>
    <w:next w:val="Normal"/>
    <w:link w:val="Heading5Char"/>
    <w:qFormat/>
    <w:rsid w:val="001D33D6"/>
    <w:pPr>
      <w:spacing w:after="120"/>
      <w:outlineLvl w:val="4"/>
    </w:pPr>
    <w:rPr>
      <w:bCs/>
      <w:i/>
      <w:iCs/>
      <w:sz w:val="20"/>
      <w:szCs w:val="26"/>
    </w:rPr>
  </w:style>
  <w:style w:type="paragraph" w:styleId="Heading6">
    <w:name w:val="heading 6"/>
    <w:basedOn w:val="HeadingBase"/>
    <w:next w:val="Normal"/>
    <w:link w:val="Heading6Char"/>
    <w:rsid w:val="00BB207D"/>
    <w:pPr>
      <w:spacing w:after="120"/>
      <w:outlineLvl w:val="5"/>
    </w:pPr>
    <w:rPr>
      <w:bCs/>
      <w:sz w:val="20"/>
      <w:szCs w:val="22"/>
    </w:rPr>
  </w:style>
  <w:style w:type="paragraph" w:styleId="Heading7">
    <w:name w:val="heading 7"/>
    <w:basedOn w:val="HeadingBase"/>
    <w:next w:val="Normal"/>
    <w:link w:val="Heading7Char"/>
    <w:rsid w:val="00BB207D"/>
    <w:pPr>
      <w:spacing w:before="120"/>
      <w:outlineLvl w:val="6"/>
    </w:pPr>
    <w:rPr>
      <w:sz w:val="20"/>
      <w:szCs w:val="24"/>
    </w:rPr>
  </w:style>
  <w:style w:type="paragraph" w:styleId="Heading8">
    <w:name w:val="heading 8"/>
    <w:basedOn w:val="HeadingBase"/>
    <w:next w:val="Normal"/>
    <w:link w:val="Heading8Char"/>
    <w:rsid w:val="00BB207D"/>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BB207D"/>
    <w:pPr>
      <w:tabs>
        <w:tab w:val="center" w:pos="4153"/>
        <w:tab w:val="right" w:pos="8306"/>
      </w:tabs>
    </w:pPr>
  </w:style>
  <w:style w:type="character" w:customStyle="1" w:styleId="HeaderChar">
    <w:name w:val="Header Char"/>
    <w:basedOn w:val="DefaultParagraphFont"/>
    <w:link w:val="Header"/>
    <w:rsid w:val="00BB207D"/>
    <w:rPr>
      <w:rFonts w:ascii="Book Antiqua" w:eastAsia="Times New Roman" w:hAnsi="Book Antiqua" w:cs="Times New Roman"/>
      <w:i/>
      <w:sz w:val="20"/>
      <w:szCs w:val="20"/>
      <w:lang w:eastAsia="en-AU"/>
    </w:rPr>
  </w:style>
  <w:style w:type="paragraph" w:styleId="Footer">
    <w:name w:val="footer"/>
    <w:basedOn w:val="FooterBase"/>
    <w:link w:val="FooterChar"/>
    <w:rsid w:val="00BB207D"/>
    <w:pPr>
      <w:tabs>
        <w:tab w:val="center" w:pos="4153"/>
        <w:tab w:val="right" w:pos="8306"/>
      </w:tabs>
    </w:pPr>
  </w:style>
  <w:style w:type="character" w:customStyle="1" w:styleId="FooterChar">
    <w:name w:val="Footer Char"/>
    <w:basedOn w:val="DefaultParagraphFont"/>
    <w:link w:val="Footer"/>
    <w:rsid w:val="00BB207D"/>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E40261"/>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E40261"/>
    <w:rPr>
      <w:rFonts w:ascii="Calibri" w:eastAsia="Times New Roman" w:hAnsi="Calibri" w:cs="Calibri"/>
      <w:b/>
      <w:i/>
      <w:caps/>
      <w:sz w:val="24"/>
      <w:szCs w:val="20"/>
      <w:lang w:eastAsia="en-AU"/>
    </w:rPr>
  </w:style>
  <w:style w:type="paragraph" w:customStyle="1" w:styleId="SecurityClassificationFooter">
    <w:name w:val="Security Classification Footer"/>
    <w:link w:val="SecurityClassificationFooterChar"/>
    <w:rsid w:val="00E40261"/>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E40261"/>
    <w:rPr>
      <w:rFonts w:ascii="Calibri" w:eastAsia="Times New Roman" w:hAnsi="Calibri" w:cs="Calibri"/>
      <w:b/>
      <w:i/>
      <w:caps/>
      <w:sz w:val="24"/>
      <w:szCs w:val="20"/>
      <w:lang w:eastAsia="en-AU"/>
    </w:rPr>
  </w:style>
  <w:style w:type="paragraph" w:customStyle="1" w:styleId="DLMSecurityHeader">
    <w:name w:val="DLM Security Header"/>
    <w:link w:val="DLMSecurityHeaderChar"/>
    <w:rsid w:val="00E40261"/>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E40261"/>
    <w:rPr>
      <w:rFonts w:ascii="Calibri" w:eastAsia="Times New Roman" w:hAnsi="Calibri" w:cs="Calibri"/>
      <w:b/>
      <w:i/>
      <w:caps/>
      <w:sz w:val="24"/>
      <w:szCs w:val="20"/>
      <w:lang w:eastAsia="en-AU"/>
    </w:rPr>
  </w:style>
  <w:style w:type="paragraph" w:customStyle="1" w:styleId="DLMSecurityFooter">
    <w:name w:val="DLM Security Footer"/>
    <w:link w:val="DLMSecurityFooterChar"/>
    <w:rsid w:val="00E40261"/>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E40261"/>
    <w:rPr>
      <w:rFonts w:ascii="Calibri" w:eastAsia="Times New Roman" w:hAnsi="Calibri" w:cs="Calibri"/>
      <w:b/>
      <w:i/>
      <w:caps/>
      <w:sz w:val="24"/>
      <w:szCs w:val="20"/>
      <w:lang w:eastAsia="en-AU"/>
    </w:rPr>
  </w:style>
  <w:style w:type="paragraph" w:customStyle="1" w:styleId="Classification">
    <w:name w:val="Classification"/>
    <w:basedOn w:val="HeadingBase"/>
    <w:rsid w:val="0011175D"/>
    <w:pPr>
      <w:jc w:val="center"/>
    </w:pPr>
    <w:rPr>
      <w:rFonts w:ascii="Arial Bold" w:hAnsi="Arial Bold"/>
      <w:b/>
      <w:caps/>
      <w:sz w:val="22"/>
    </w:rPr>
  </w:style>
  <w:style w:type="paragraph" w:customStyle="1" w:styleId="FileProperties">
    <w:name w:val="File Properties"/>
    <w:basedOn w:val="Normal"/>
    <w:rsid w:val="00BB207D"/>
    <w:rPr>
      <w:i/>
    </w:rPr>
  </w:style>
  <w:style w:type="paragraph" w:customStyle="1" w:styleId="AlphaParagraph">
    <w:name w:val="Alpha Paragraph"/>
    <w:basedOn w:val="Normal"/>
    <w:rsid w:val="00BB207D"/>
    <w:pPr>
      <w:numPr>
        <w:numId w:val="1"/>
      </w:numPr>
      <w:tabs>
        <w:tab w:val="num" w:pos="360"/>
      </w:tabs>
    </w:pPr>
  </w:style>
  <w:style w:type="paragraph" w:customStyle="1" w:styleId="HeadingBase">
    <w:name w:val="Heading Base"/>
    <w:rsid w:val="00BB207D"/>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BB207D"/>
    <w:pPr>
      <w:spacing w:after="240"/>
      <w:jc w:val="center"/>
      <w:outlineLvl w:val="3"/>
    </w:pPr>
    <w:rPr>
      <w:b/>
      <w:smallCaps/>
      <w:sz w:val="30"/>
    </w:rPr>
  </w:style>
  <w:style w:type="paragraph" w:styleId="BalloonText">
    <w:name w:val="Balloon Text"/>
    <w:basedOn w:val="Normal"/>
    <w:link w:val="BalloonTextChar"/>
    <w:rsid w:val="00BB207D"/>
    <w:rPr>
      <w:rFonts w:ascii="Tahoma" w:hAnsi="Tahoma" w:cs="Tahoma"/>
      <w:sz w:val="16"/>
      <w:szCs w:val="16"/>
    </w:rPr>
  </w:style>
  <w:style w:type="character" w:customStyle="1" w:styleId="BalloonTextChar">
    <w:name w:val="Balloon Text Char"/>
    <w:basedOn w:val="DefaultParagraphFont"/>
    <w:link w:val="BalloonText"/>
    <w:rsid w:val="00BB207D"/>
    <w:rPr>
      <w:rFonts w:ascii="Tahoma" w:eastAsia="Times New Roman" w:hAnsi="Tahoma" w:cs="Tahoma"/>
      <w:sz w:val="16"/>
      <w:szCs w:val="16"/>
      <w:lang w:eastAsia="en-AU"/>
    </w:rPr>
  </w:style>
  <w:style w:type="paragraph" w:customStyle="1" w:styleId="BlockedQuotation">
    <w:name w:val="Blocked Quotation"/>
    <w:basedOn w:val="Normal"/>
    <w:rsid w:val="00BB207D"/>
    <w:pPr>
      <w:ind w:left="567"/>
    </w:pPr>
  </w:style>
  <w:style w:type="paragraph" w:customStyle="1" w:styleId="BoxText">
    <w:name w:val="Box Text"/>
    <w:basedOn w:val="Normal"/>
    <w:qFormat/>
    <w:rsid w:val="00BB207D"/>
    <w:pPr>
      <w:spacing w:before="120" w:after="120" w:line="240" w:lineRule="auto"/>
    </w:pPr>
  </w:style>
  <w:style w:type="paragraph" w:customStyle="1" w:styleId="BoxBullet">
    <w:name w:val="Box Bullet"/>
    <w:basedOn w:val="BoxText"/>
    <w:rsid w:val="00BB207D"/>
    <w:pPr>
      <w:numPr>
        <w:numId w:val="4"/>
      </w:numPr>
    </w:pPr>
  </w:style>
  <w:style w:type="paragraph" w:customStyle="1" w:styleId="BoxHeading">
    <w:name w:val="Box Heading"/>
    <w:basedOn w:val="HeadingBase"/>
    <w:next w:val="BoxText"/>
    <w:rsid w:val="00BB207D"/>
    <w:pPr>
      <w:spacing w:before="120" w:after="120"/>
    </w:pPr>
    <w:rPr>
      <w:b/>
      <w:sz w:val="20"/>
    </w:rPr>
  </w:style>
  <w:style w:type="character" w:customStyle="1" w:styleId="Heading6Char">
    <w:name w:val="Heading 6 Char"/>
    <w:basedOn w:val="DefaultParagraphFont"/>
    <w:link w:val="Heading6"/>
    <w:rsid w:val="00BB207D"/>
    <w:rPr>
      <w:rFonts w:ascii="Arial" w:eastAsia="Times New Roman" w:hAnsi="Arial" w:cs="Times New Roman"/>
      <w:bCs/>
      <w:sz w:val="20"/>
      <w:lang w:eastAsia="en-AU"/>
    </w:rPr>
  </w:style>
  <w:style w:type="paragraph" w:customStyle="1" w:styleId="BoxSubHeading">
    <w:name w:val="Box Sub Heading"/>
    <w:basedOn w:val="Heading6"/>
    <w:rsid w:val="00BB207D"/>
    <w:pPr>
      <w:spacing w:before="120" w:after="40"/>
    </w:pPr>
  </w:style>
  <w:style w:type="paragraph" w:customStyle="1" w:styleId="Bullet">
    <w:name w:val="Bullet"/>
    <w:basedOn w:val="Normal"/>
    <w:link w:val="BulletChar"/>
    <w:qFormat/>
    <w:rsid w:val="00BB207D"/>
    <w:pPr>
      <w:numPr>
        <w:numId w:val="2"/>
      </w:numPr>
    </w:pPr>
  </w:style>
  <w:style w:type="paragraph" w:styleId="Caption">
    <w:name w:val="caption"/>
    <w:basedOn w:val="Normal"/>
    <w:next w:val="Normal"/>
    <w:rsid w:val="00BB207D"/>
    <w:rPr>
      <w:b/>
      <w:bCs/>
    </w:rPr>
  </w:style>
  <w:style w:type="paragraph" w:customStyle="1" w:styleId="ChartandTableFootnote">
    <w:name w:val="Chart and Table Footnote"/>
    <w:basedOn w:val="HeadingBase"/>
    <w:next w:val="Normal"/>
    <w:rsid w:val="000E149B"/>
    <w:pPr>
      <w:keepNext w:val="0"/>
      <w:tabs>
        <w:tab w:val="left" w:pos="709"/>
      </w:tabs>
      <w:ind w:left="709" w:hanging="709"/>
      <w:jc w:val="both"/>
    </w:pPr>
    <w:rPr>
      <w:color w:val="000000"/>
      <w:sz w:val="16"/>
    </w:rPr>
  </w:style>
  <w:style w:type="paragraph" w:customStyle="1" w:styleId="ChartandTableFootnoteAlpha">
    <w:name w:val="Chart and Table Footnote Alpha"/>
    <w:basedOn w:val="HeadingBase"/>
    <w:next w:val="Normal"/>
    <w:rsid w:val="0007530D"/>
    <w:pPr>
      <w:keepNext w:val="0"/>
      <w:numPr>
        <w:numId w:val="3"/>
      </w:numPr>
      <w:jc w:val="both"/>
    </w:pPr>
    <w:rPr>
      <w:color w:val="000000"/>
      <w:sz w:val="16"/>
    </w:rPr>
  </w:style>
  <w:style w:type="paragraph" w:customStyle="1" w:styleId="ChartandTableFootnoteSmall">
    <w:name w:val="Chart and Table Footnote Small"/>
    <w:basedOn w:val="HeadingBase"/>
    <w:next w:val="Normal"/>
    <w:rsid w:val="00BB207D"/>
    <w:pPr>
      <w:keepNext w:val="0"/>
      <w:tabs>
        <w:tab w:val="left" w:pos="284"/>
      </w:tabs>
      <w:jc w:val="both"/>
    </w:pPr>
    <w:rPr>
      <w:color w:val="000000"/>
      <w:sz w:val="15"/>
    </w:rPr>
  </w:style>
  <w:style w:type="paragraph" w:customStyle="1" w:styleId="ChartGraphic">
    <w:name w:val="Chart Graphic"/>
    <w:basedOn w:val="HeadingBase"/>
    <w:rsid w:val="00BB207D"/>
    <w:pPr>
      <w:jc w:val="center"/>
    </w:pPr>
    <w:rPr>
      <w:sz w:val="20"/>
    </w:rPr>
  </w:style>
  <w:style w:type="paragraph" w:customStyle="1" w:styleId="ChartHeading">
    <w:name w:val="Chart Heading"/>
    <w:basedOn w:val="HeadingBase"/>
    <w:next w:val="ChartGraphic"/>
    <w:qFormat/>
    <w:rsid w:val="00BB207D"/>
    <w:pPr>
      <w:spacing w:before="120" w:after="20"/>
      <w:jc w:val="center"/>
    </w:pPr>
    <w:rPr>
      <w:b/>
      <w:sz w:val="20"/>
    </w:rPr>
  </w:style>
  <w:style w:type="paragraph" w:customStyle="1" w:styleId="ChartMainHeading">
    <w:name w:val="Chart Main Heading"/>
    <w:basedOn w:val="Normal"/>
    <w:next w:val="ChartGraphic"/>
    <w:rsid w:val="00BB207D"/>
    <w:pPr>
      <w:keepNext/>
      <w:spacing w:before="120" w:after="20" w:line="240" w:lineRule="auto"/>
      <w:jc w:val="center"/>
    </w:pPr>
    <w:rPr>
      <w:rFonts w:ascii="Arial Bold" w:hAnsi="Arial Bold"/>
      <w:b/>
    </w:rPr>
  </w:style>
  <w:style w:type="paragraph" w:customStyle="1" w:styleId="ChartSecondHeading">
    <w:name w:val="Chart Second Heading"/>
    <w:basedOn w:val="HeadingBase"/>
    <w:next w:val="ChartGraphic"/>
    <w:rsid w:val="00BB207D"/>
    <w:pPr>
      <w:spacing w:before="60"/>
      <w:jc w:val="center"/>
    </w:pPr>
    <w:rPr>
      <w:sz w:val="20"/>
    </w:rPr>
  </w:style>
  <w:style w:type="character" w:styleId="CommentReference">
    <w:name w:val="annotation reference"/>
    <w:basedOn w:val="DefaultParagraphFont"/>
    <w:uiPriority w:val="99"/>
    <w:semiHidden/>
    <w:rsid w:val="00BB207D"/>
    <w:rPr>
      <w:sz w:val="16"/>
      <w:szCs w:val="16"/>
    </w:rPr>
  </w:style>
  <w:style w:type="paragraph" w:styleId="CommentText">
    <w:name w:val="annotation text"/>
    <w:basedOn w:val="Normal"/>
    <w:link w:val="CommentTextChar"/>
    <w:uiPriority w:val="99"/>
    <w:semiHidden/>
    <w:rsid w:val="00BB207D"/>
  </w:style>
  <w:style w:type="character" w:customStyle="1" w:styleId="CommentTextChar">
    <w:name w:val="Comment Text Char"/>
    <w:basedOn w:val="DefaultParagraphFont"/>
    <w:link w:val="CommentText"/>
    <w:uiPriority w:val="99"/>
    <w:semiHidden/>
    <w:rsid w:val="00BB207D"/>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BB207D"/>
    <w:rPr>
      <w:b/>
      <w:bCs/>
    </w:rPr>
  </w:style>
  <w:style w:type="character" w:customStyle="1" w:styleId="CommentSubjectChar">
    <w:name w:val="Comment Subject Char"/>
    <w:basedOn w:val="CommentTextChar"/>
    <w:link w:val="CommentSubject"/>
    <w:semiHidden/>
    <w:rsid w:val="00BB207D"/>
    <w:rPr>
      <w:rFonts w:ascii="Book Antiqua" w:eastAsia="Times New Roman" w:hAnsi="Book Antiqua" w:cs="Times New Roman"/>
      <w:b/>
      <w:bCs/>
      <w:sz w:val="20"/>
      <w:szCs w:val="20"/>
      <w:lang w:eastAsia="en-AU"/>
    </w:rPr>
  </w:style>
  <w:style w:type="paragraph" w:customStyle="1" w:styleId="ContentsHeading">
    <w:name w:val="Contents Heading"/>
    <w:basedOn w:val="HeadingBase"/>
    <w:next w:val="Normal"/>
    <w:rsid w:val="008253FB"/>
    <w:pPr>
      <w:spacing w:after="720"/>
      <w:jc w:val="center"/>
    </w:pPr>
    <w:rPr>
      <w:rFonts w:ascii="Arial Bold" w:hAnsi="Arial Bold"/>
      <w:b/>
      <w:sz w:val="36"/>
    </w:rPr>
  </w:style>
  <w:style w:type="paragraph" w:customStyle="1" w:styleId="ContentsnoToC">
    <w:name w:val="Contents no ToC"/>
    <w:basedOn w:val="ContentsHeading"/>
    <w:rsid w:val="00BB207D"/>
  </w:style>
  <w:style w:type="paragraph" w:customStyle="1" w:styleId="Dash">
    <w:name w:val="Dash"/>
    <w:basedOn w:val="Normal"/>
    <w:qFormat/>
    <w:rsid w:val="00BB207D"/>
    <w:pPr>
      <w:numPr>
        <w:ilvl w:val="1"/>
        <w:numId w:val="2"/>
      </w:numPr>
      <w:tabs>
        <w:tab w:val="left" w:pos="567"/>
      </w:tabs>
    </w:pPr>
  </w:style>
  <w:style w:type="paragraph" w:styleId="DocumentMap">
    <w:name w:val="Document Map"/>
    <w:basedOn w:val="Normal"/>
    <w:link w:val="DocumentMapChar"/>
    <w:semiHidden/>
    <w:rsid w:val="00BB207D"/>
    <w:pPr>
      <w:shd w:val="clear" w:color="auto" w:fill="000080"/>
    </w:pPr>
    <w:rPr>
      <w:rFonts w:ascii="Tahoma" w:hAnsi="Tahoma" w:cs="Tahoma"/>
    </w:rPr>
  </w:style>
  <w:style w:type="character" w:customStyle="1" w:styleId="DocumentMapChar">
    <w:name w:val="Document Map Char"/>
    <w:basedOn w:val="DefaultParagraphFont"/>
    <w:link w:val="DocumentMap"/>
    <w:semiHidden/>
    <w:rsid w:val="00BB207D"/>
    <w:rPr>
      <w:rFonts w:ascii="Tahoma" w:eastAsia="Times New Roman" w:hAnsi="Tahoma" w:cs="Tahoma"/>
      <w:sz w:val="20"/>
      <w:szCs w:val="20"/>
      <w:shd w:val="clear" w:color="auto" w:fill="000080"/>
      <w:lang w:eastAsia="en-AU"/>
    </w:rPr>
  </w:style>
  <w:style w:type="paragraph" w:customStyle="1" w:styleId="DoubleDot">
    <w:name w:val="Double Dot"/>
    <w:basedOn w:val="Normal"/>
    <w:rsid w:val="00BB207D"/>
    <w:pPr>
      <w:numPr>
        <w:ilvl w:val="2"/>
        <w:numId w:val="2"/>
      </w:numPr>
      <w:tabs>
        <w:tab w:val="clear" w:pos="850"/>
        <w:tab w:val="num" w:pos="360"/>
        <w:tab w:val="left" w:pos="851"/>
      </w:tabs>
    </w:pPr>
  </w:style>
  <w:style w:type="character" w:styleId="EndnoteReference">
    <w:name w:val="endnote reference"/>
    <w:basedOn w:val="DefaultParagraphFont"/>
    <w:unhideWhenUsed/>
    <w:rsid w:val="00BB207D"/>
    <w:rPr>
      <w:vertAlign w:val="superscript"/>
    </w:rPr>
  </w:style>
  <w:style w:type="paragraph" w:styleId="EndnoteText">
    <w:name w:val="endnote text"/>
    <w:basedOn w:val="Normal"/>
    <w:link w:val="EndnoteTextChar"/>
    <w:unhideWhenUsed/>
    <w:rsid w:val="00BB207D"/>
  </w:style>
  <w:style w:type="character" w:customStyle="1" w:styleId="EndnoteTextChar">
    <w:name w:val="Endnote Text Char"/>
    <w:basedOn w:val="DefaultParagraphFont"/>
    <w:link w:val="EndnoteText"/>
    <w:rsid w:val="00BB207D"/>
    <w:rPr>
      <w:rFonts w:ascii="Book Antiqua" w:eastAsia="Times New Roman" w:hAnsi="Book Antiqua" w:cs="Times New Roman"/>
      <w:sz w:val="20"/>
      <w:szCs w:val="20"/>
      <w:lang w:eastAsia="en-AU"/>
    </w:rPr>
  </w:style>
  <w:style w:type="paragraph" w:customStyle="1" w:styleId="FigureHeading">
    <w:name w:val="Figure Heading"/>
    <w:basedOn w:val="HeadingBase"/>
    <w:next w:val="ChartGraphic"/>
    <w:rsid w:val="00BB207D"/>
    <w:pPr>
      <w:spacing w:before="120" w:after="20"/>
    </w:pPr>
    <w:rPr>
      <w:b/>
      <w:sz w:val="20"/>
    </w:rPr>
  </w:style>
  <w:style w:type="paragraph" w:customStyle="1" w:styleId="FooterBase">
    <w:name w:val="Footer Base"/>
    <w:rsid w:val="00BB207D"/>
    <w:pPr>
      <w:spacing w:after="0" w:line="240" w:lineRule="auto"/>
      <w:jc w:val="center"/>
    </w:pPr>
    <w:rPr>
      <w:rFonts w:ascii="Arial" w:eastAsia="Times New Roman" w:hAnsi="Arial" w:cs="Times New Roman"/>
      <w:sz w:val="20"/>
      <w:szCs w:val="20"/>
      <w:lang w:eastAsia="en-AU"/>
    </w:rPr>
  </w:style>
  <w:style w:type="paragraph" w:customStyle="1" w:styleId="FooterEven">
    <w:name w:val="Footer Even"/>
    <w:basedOn w:val="Footer"/>
    <w:rsid w:val="0011175D"/>
    <w:pPr>
      <w:pBdr>
        <w:top w:val="single" w:sz="4" w:space="10" w:color="0364C3" w:themeColor="accent1"/>
      </w:pBdr>
      <w:jc w:val="left"/>
    </w:pPr>
    <w:rPr>
      <w:sz w:val="18"/>
    </w:rPr>
  </w:style>
  <w:style w:type="paragraph" w:customStyle="1" w:styleId="FooterOdd">
    <w:name w:val="Footer Odd"/>
    <w:basedOn w:val="Footer"/>
    <w:rsid w:val="0011175D"/>
    <w:pPr>
      <w:pBdr>
        <w:top w:val="single" w:sz="4" w:space="10" w:color="0364C3" w:themeColor="accent1"/>
      </w:pBdr>
      <w:jc w:val="right"/>
    </w:pPr>
    <w:rPr>
      <w:sz w:val="18"/>
    </w:rPr>
  </w:style>
  <w:style w:type="character" w:styleId="FootnoteReference">
    <w:name w:val="footnote reference"/>
    <w:basedOn w:val="DefaultParagraphFont"/>
    <w:rsid w:val="00BB207D"/>
    <w:rPr>
      <w:vertAlign w:val="superscript"/>
    </w:rPr>
  </w:style>
  <w:style w:type="paragraph" w:styleId="FootnoteText">
    <w:name w:val="footnote text"/>
    <w:basedOn w:val="Normal"/>
    <w:link w:val="FootnoteTextChar"/>
    <w:rsid w:val="001D33D6"/>
    <w:pPr>
      <w:tabs>
        <w:tab w:val="left" w:pos="284"/>
      </w:tabs>
      <w:spacing w:after="120" w:line="240" w:lineRule="auto"/>
      <w:ind w:left="284" w:hanging="284"/>
      <w:contextualSpacing/>
    </w:pPr>
    <w:rPr>
      <w:sz w:val="18"/>
    </w:rPr>
  </w:style>
  <w:style w:type="character" w:customStyle="1" w:styleId="FootnoteTextChar">
    <w:name w:val="Footnote Text Char"/>
    <w:basedOn w:val="DefaultParagraphFont"/>
    <w:link w:val="FootnoteText"/>
    <w:rsid w:val="001D33D6"/>
    <w:rPr>
      <w:rFonts w:ascii="Book Antiqua" w:eastAsia="Times New Roman" w:hAnsi="Book Antiqua" w:cs="Times New Roman"/>
      <w:sz w:val="18"/>
      <w:szCs w:val="20"/>
      <w:lang w:eastAsia="en-AU"/>
    </w:rPr>
  </w:style>
  <w:style w:type="character" w:customStyle="1" w:styleId="FramedHeader">
    <w:name w:val="Framed Header"/>
    <w:basedOn w:val="DefaultParagraphFont"/>
    <w:rsid w:val="00BB207D"/>
    <w:rPr>
      <w:rFonts w:ascii="Book Antiqua" w:hAnsi="Book Antiqua"/>
      <w:i/>
      <w:dstrike w:val="0"/>
      <w:color w:val="auto"/>
      <w:sz w:val="20"/>
      <w:vertAlign w:val="baseline"/>
    </w:rPr>
  </w:style>
  <w:style w:type="paragraph" w:customStyle="1" w:styleId="HeaderBase">
    <w:name w:val="Header Base"/>
    <w:rsid w:val="0011175D"/>
    <w:pPr>
      <w:spacing w:after="0" w:line="240" w:lineRule="auto"/>
    </w:pPr>
    <w:rPr>
      <w:rFonts w:ascii="Arial" w:eastAsia="Times New Roman" w:hAnsi="Arial" w:cs="Times New Roman"/>
      <w:sz w:val="18"/>
      <w:szCs w:val="20"/>
      <w:lang w:eastAsia="en-AU"/>
    </w:rPr>
  </w:style>
  <w:style w:type="paragraph" w:customStyle="1" w:styleId="HeaderEven">
    <w:name w:val="Header Even"/>
    <w:basedOn w:val="HeaderBase"/>
    <w:rsid w:val="00F43D0F"/>
    <w:rPr>
      <w:i/>
    </w:rPr>
  </w:style>
  <w:style w:type="paragraph" w:customStyle="1" w:styleId="HeaderOdd">
    <w:name w:val="Header Odd"/>
    <w:basedOn w:val="HeaderBase"/>
    <w:rsid w:val="00F43D0F"/>
    <w:pPr>
      <w:jc w:val="right"/>
    </w:pPr>
    <w:rPr>
      <w:i/>
    </w:rPr>
  </w:style>
  <w:style w:type="character" w:customStyle="1" w:styleId="Heading1Char">
    <w:name w:val="Heading 1 Char"/>
    <w:basedOn w:val="DefaultParagraphFont"/>
    <w:link w:val="Heading1"/>
    <w:rsid w:val="00791275"/>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791275"/>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BB207D"/>
    <w:rPr>
      <w:rFonts w:ascii="Arial Bold" w:eastAsia="Times New Roman" w:hAnsi="Arial Bold" w:cs="Times New Roman"/>
      <w:b/>
      <w:szCs w:val="20"/>
      <w:lang w:eastAsia="en-AU"/>
    </w:rPr>
  </w:style>
  <w:style w:type="paragraph" w:customStyle="1" w:styleId="Heading3noTOC">
    <w:name w:val="Heading 3 no TOC"/>
    <w:basedOn w:val="Heading3"/>
    <w:rsid w:val="00BB207D"/>
    <w:pPr>
      <w:outlineLvl w:val="9"/>
    </w:pPr>
  </w:style>
  <w:style w:type="character" w:customStyle="1" w:styleId="Heading4Char">
    <w:name w:val="Heading 4 Char"/>
    <w:basedOn w:val="DefaultParagraphFont"/>
    <w:link w:val="Heading4"/>
    <w:rsid w:val="00BB207D"/>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1D33D6"/>
    <w:rPr>
      <w:rFonts w:ascii="Arial" w:eastAsia="Times New Roman" w:hAnsi="Arial" w:cs="Times New Roman"/>
      <w:bCs/>
      <w:i/>
      <w:iCs/>
      <w:sz w:val="20"/>
      <w:szCs w:val="26"/>
      <w:lang w:eastAsia="en-AU"/>
    </w:rPr>
  </w:style>
  <w:style w:type="character" w:customStyle="1" w:styleId="Heading7Char">
    <w:name w:val="Heading 7 Char"/>
    <w:basedOn w:val="DefaultParagraphFont"/>
    <w:link w:val="Heading7"/>
    <w:rsid w:val="00BB207D"/>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BB207D"/>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BB207D"/>
    <w:rPr>
      <w:rFonts w:ascii="Times New Roman" w:hAnsi="Times New Roman"/>
      <w:vanish/>
      <w:sz w:val="16"/>
    </w:rPr>
  </w:style>
  <w:style w:type="character" w:styleId="Hyperlink">
    <w:name w:val="Hyperlink"/>
    <w:basedOn w:val="DefaultParagraphFont"/>
    <w:uiPriority w:val="99"/>
    <w:unhideWhenUsed/>
    <w:rsid w:val="00BB207D"/>
    <w:rPr>
      <w:color w:val="0000FF"/>
      <w:u w:val="single"/>
    </w:rPr>
  </w:style>
  <w:style w:type="paragraph" w:styleId="Index1">
    <w:name w:val="index 1"/>
    <w:basedOn w:val="Normal"/>
    <w:next w:val="Normal"/>
    <w:rsid w:val="00BB207D"/>
    <w:pPr>
      <w:ind w:left="200" w:hanging="200"/>
    </w:pPr>
  </w:style>
  <w:style w:type="paragraph" w:styleId="Index2">
    <w:name w:val="index 2"/>
    <w:basedOn w:val="Normal"/>
    <w:next w:val="Normal"/>
    <w:rsid w:val="00BB207D"/>
    <w:pPr>
      <w:ind w:left="400" w:hanging="200"/>
    </w:pPr>
  </w:style>
  <w:style w:type="paragraph" w:styleId="Index3">
    <w:name w:val="index 3"/>
    <w:basedOn w:val="Normal"/>
    <w:next w:val="Normal"/>
    <w:rsid w:val="00BB207D"/>
    <w:pPr>
      <w:ind w:left="600" w:hanging="200"/>
    </w:pPr>
  </w:style>
  <w:style w:type="paragraph" w:styleId="Index4">
    <w:name w:val="index 4"/>
    <w:basedOn w:val="Normal"/>
    <w:next w:val="Normal"/>
    <w:autoRedefine/>
    <w:semiHidden/>
    <w:rsid w:val="00BB207D"/>
    <w:pPr>
      <w:ind w:left="800" w:hanging="200"/>
    </w:pPr>
  </w:style>
  <w:style w:type="paragraph" w:styleId="Index5">
    <w:name w:val="index 5"/>
    <w:basedOn w:val="Normal"/>
    <w:next w:val="Normal"/>
    <w:autoRedefine/>
    <w:semiHidden/>
    <w:rsid w:val="00BB207D"/>
    <w:pPr>
      <w:ind w:left="1000" w:hanging="200"/>
    </w:pPr>
  </w:style>
  <w:style w:type="paragraph" w:styleId="Index6">
    <w:name w:val="index 6"/>
    <w:basedOn w:val="Normal"/>
    <w:next w:val="Normal"/>
    <w:autoRedefine/>
    <w:semiHidden/>
    <w:rsid w:val="00BB207D"/>
    <w:pPr>
      <w:ind w:left="1200" w:hanging="200"/>
    </w:pPr>
  </w:style>
  <w:style w:type="paragraph" w:styleId="Index7">
    <w:name w:val="index 7"/>
    <w:basedOn w:val="Normal"/>
    <w:next w:val="Normal"/>
    <w:autoRedefine/>
    <w:semiHidden/>
    <w:rsid w:val="00BB207D"/>
    <w:pPr>
      <w:ind w:left="1400" w:hanging="200"/>
    </w:pPr>
  </w:style>
  <w:style w:type="paragraph" w:styleId="Index8">
    <w:name w:val="index 8"/>
    <w:basedOn w:val="Normal"/>
    <w:next w:val="Normal"/>
    <w:autoRedefine/>
    <w:semiHidden/>
    <w:rsid w:val="00BB207D"/>
    <w:pPr>
      <w:ind w:left="1600" w:hanging="200"/>
    </w:pPr>
  </w:style>
  <w:style w:type="paragraph" w:styleId="Index9">
    <w:name w:val="index 9"/>
    <w:basedOn w:val="Normal"/>
    <w:next w:val="Normal"/>
    <w:autoRedefine/>
    <w:semiHidden/>
    <w:rsid w:val="00BB207D"/>
    <w:pPr>
      <w:ind w:left="1800" w:hanging="200"/>
    </w:pPr>
  </w:style>
  <w:style w:type="paragraph" w:styleId="IndexHeading">
    <w:name w:val="index heading"/>
    <w:basedOn w:val="Normal"/>
    <w:next w:val="Index1"/>
    <w:rsid w:val="00BB207D"/>
    <w:rPr>
      <w:rFonts w:ascii="Arial Bold" w:hAnsi="Arial Bold" w:cs="Arial"/>
      <w:b/>
      <w:bCs/>
      <w:color w:val="002B54"/>
    </w:rPr>
  </w:style>
  <w:style w:type="paragraph" w:styleId="MacroText">
    <w:name w:val="macro"/>
    <w:link w:val="MacroTextChar"/>
    <w:unhideWhenUsed/>
    <w:rsid w:val="00BB207D"/>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BB207D"/>
    <w:rPr>
      <w:rFonts w:ascii="Courier New" w:eastAsia="Times New Roman" w:hAnsi="Courier New" w:cs="Courier New"/>
      <w:sz w:val="20"/>
      <w:szCs w:val="20"/>
      <w:lang w:eastAsia="en-AU"/>
    </w:rPr>
  </w:style>
  <w:style w:type="paragraph" w:styleId="NormalIndent">
    <w:name w:val="Normal Indent"/>
    <w:basedOn w:val="Normal"/>
    <w:rsid w:val="00BB207D"/>
    <w:pPr>
      <w:ind w:left="567"/>
    </w:pPr>
  </w:style>
  <w:style w:type="paragraph" w:customStyle="1" w:styleId="NoteTableHeading">
    <w:name w:val="Note Table Heading"/>
    <w:basedOn w:val="HeadingBase"/>
    <w:next w:val="Normal"/>
    <w:rsid w:val="00BB207D"/>
    <w:pPr>
      <w:spacing w:before="240"/>
    </w:pPr>
    <w:rPr>
      <w:b/>
      <w:sz w:val="20"/>
    </w:rPr>
  </w:style>
  <w:style w:type="paragraph" w:customStyle="1" w:styleId="OverviewParagraph">
    <w:name w:val="Overview Paragraph"/>
    <w:basedOn w:val="Normal"/>
    <w:rsid w:val="00BB207D"/>
    <w:pPr>
      <w:spacing w:before="120" w:after="120" w:line="240" w:lineRule="auto"/>
    </w:pPr>
  </w:style>
  <w:style w:type="character" w:styleId="PageNumber">
    <w:name w:val="page number"/>
    <w:basedOn w:val="DefaultParagraphFont"/>
    <w:rsid w:val="00BB207D"/>
    <w:rPr>
      <w:rFonts w:ascii="Arial" w:hAnsi="Arial" w:cs="Arial"/>
    </w:rPr>
  </w:style>
  <w:style w:type="paragraph" w:customStyle="1" w:styleId="SingleParagraph">
    <w:name w:val="Single Paragraph"/>
    <w:basedOn w:val="Normal"/>
    <w:rsid w:val="00BB207D"/>
    <w:pPr>
      <w:spacing w:after="0"/>
    </w:pPr>
  </w:style>
  <w:style w:type="paragraph" w:customStyle="1" w:styleId="Source">
    <w:name w:val="Source"/>
    <w:basedOn w:val="Normal"/>
    <w:rsid w:val="000E149B"/>
    <w:pPr>
      <w:tabs>
        <w:tab w:val="left" w:pos="709"/>
      </w:tabs>
      <w:spacing w:line="240" w:lineRule="auto"/>
      <w:ind w:left="709" w:hanging="709"/>
    </w:pPr>
    <w:rPr>
      <w:rFonts w:ascii="Arial" w:hAnsi="Arial"/>
      <w:sz w:val="16"/>
    </w:rPr>
  </w:style>
  <w:style w:type="paragraph" w:customStyle="1" w:styleId="SourceBox">
    <w:name w:val="Source Box"/>
    <w:basedOn w:val="Source"/>
    <w:rsid w:val="00BB207D"/>
    <w:pPr>
      <w:spacing w:after="120"/>
    </w:pPr>
  </w:style>
  <w:style w:type="paragraph" w:customStyle="1" w:styleId="TableColumnHeadingBase">
    <w:name w:val="Table Column Heading Base"/>
    <w:basedOn w:val="Normal"/>
    <w:rsid w:val="00BB207D"/>
    <w:pPr>
      <w:spacing w:before="40" w:after="40" w:line="240" w:lineRule="auto"/>
      <w:jc w:val="left"/>
    </w:pPr>
    <w:rPr>
      <w:rFonts w:ascii="Arial Bold" w:hAnsi="Arial Bold"/>
      <w:b/>
      <w:sz w:val="16"/>
    </w:rPr>
  </w:style>
  <w:style w:type="paragraph" w:customStyle="1" w:styleId="TableColumnHeadingCentred">
    <w:name w:val="Table Column Heading Centred"/>
    <w:basedOn w:val="TableColumnHeadingBase"/>
    <w:next w:val="Normal"/>
    <w:rsid w:val="00BB207D"/>
    <w:pPr>
      <w:jc w:val="center"/>
    </w:pPr>
  </w:style>
  <w:style w:type="paragraph" w:customStyle="1" w:styleId="TableColumnHeadingLeft">
    <w:name w:val="Table Column Heading Left"/>
    <w:basedOn w:val="TableColumnHeadingBase"/>
    <w:next w:val="Normal"/>
    <w:rsid w:val="00BB207D"/>
  </w:style>
  <w:style w:type="paragraph" w:customStyle="1" w:styleId="TableColumnHeadingRight">
    <w:name w:val="Table Column Heading Right"/>
    <w:basedOn w:val="TableColumnHeadingBase"/>
    <w:next w:val="Normal"/>
    <w:rsid w:val="00BB207D"/>
    <w:pPr>
      <w:jc w:val="right"/>
    </w:pPr>
  </w:style>
  <w:style w:type="paragraph" w:customStyle="1" w:styleId="TableColumnHeadingS118pt">
    <w:name w:val="Table Column Heading S11 8 pt"/>
    <w:basedOn w:val="TableColumnHeadingBase"/>
    <w:rsid w:val="00BB207D"/>
    <w:pPr>
      <w:spacing w:after="0"/>
    </w:pPr>
    <w:rPr>
      <w:rFonts w:ascii="Arial" w:hAnsi="Arial"/>
    </w:rPr>
  </w:style>
  <w:style w:type="paragraph" w:customStyle="1" w:styleId="TableColumnHeadingS119pt">
    <w:name w:val="Table Column Heading S11 9 pt"/>
    <w:basedOn w:val="TableColumnHeadingBase"/>
    <w:rsid w:val="00BB207D"/>
    <w:pPr>
      <w:spacing w:before="60" w:after="60"/>
    </w:pPr>
    <w:rPr>
      <w:rFonts w:ascii="Arial" w:hAnsi="Arial"/>
      <w:sz w:val="18"/>
    </w:rPr>
  </w:style>
  <w:style w:type="paragraph" w:customStyle="1" w:styleId="TableGraphic">
    <w:name w:val="Table Graphic"/>
    <w:basedOn w:val="Normal"/>
    <w:next w:val="Normal"/>
    <w:rsid w:val="00BB207D"/>
    <w:pPr>
      <w:spacing w:after="0" w:line="240" w:lineRule="auto"/>
      <w:ind w:right="-113"/>
    </w:pPr>
  </w:style>
  <w:style w:type="table" w:styleId="TableGrid">
    <w:name w:val="Table Grid"/>
    <w:basedOn w:val="TableNormal"/>
    <w:rsid w:val="00BB207D"/>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link w:val="TableHeadingChar"/>
    <w:qFormat/>
    <w:rsid w:val="00BB207D"/>
    <w:pPr>
      <w:spacing w:before="120" w:after="20"/>
    </w:pPr>
    <w:rPr>
      <w:b/>
      <w:sz w:val="20"/>
    </w:rPr>
  </w:style>
  <w:style w:type="paragraph" w:customStyle="1" w:styleId="TableHeadingcontinued">
    <w:name w:val="Table Heading continued"/>
    <w:basedOn w:val="HeadingBase"/>
    <w:next w:val="TableGraphic"/>
    <w:rsid w:val="00BB207D"/>
    <w:pPr>
      <w:spacing w:before="120" w:after="20"/>
    </w:pPr>
    <w:rPr>
      <w:rFonts w:ascii="Arial Bold" w:hAnsi="Arial Bold"/>
      <w:b/>
      <w:sz w:val="20"/>
    </w:rPr>
  </w:style>
  <w:style w:type="paragraph" w:styleId="TableofAuthorities">
    <w:name w:val="table of authorities"/>
    <w:basedOn w:val="Normal"/>
    <w:next w:val="Normal"/>
    <w:rsid w:val="00BB207D"/>
    <w:pPr>
      <w:ind w:left="200" w:hanging="200"/>
    </w:pPr>
  </w:style>
  <w:style w:type="paragraph" w:styleId="TableofFigures">
    <w:name w:val="table of figures"/>
    <w:basedOn w:val="Normal"/>
    <w:next w:val="Normal"/>
    <w:rsid w:val="00BB207D"/>
  </w:style>
  <w:style w:type="paragraph" w:customStyle="1" w:styleId="TableTextBase">
    <w:name w:val="Table Text Base"/>
    <w:basedOn w:val="Normal"/>
    <w:rsid w:val="00BB207D"/>
    <w:pPr>
      <w:spacing w:before="20" w:after="20" w:line="240" w:lineRule="auto"/>
      <w:jc w:val="left"/>
    </w:pPr>
    <w:rPr>
      <w:rFonts w:ascii="Arial" w:hAnsi="Arial"/>
      <w:sz w:val="16"/>
    </w:rPr>
  </w:style>
  <w:style w:type="paragraph" w:customStyle="1" w:styleId="TableTextCentred">
    <w:name w:val="Table Text Centred"/>
    <w:basedOn w:val="TableTextBase"/>
    <w:rsid w:val="00BB207D"/>
    <w:pPr>
      <w:jc w:val="center"/>
    </w:pPr>
  </w:style>
  <w:style w:type="paragraph" w:customStyle="1" w:styleId="TableTextIndented">
    <w:name w:val="Table Text Indented"/>
    <w:basedOn w:val="TableTextBase"/>
    <w:rsid w:val="00BB207D"/>
    <w:pPr>
      <w:ind w:left="284"/>
    </w:pPr>
  </w:style>
  <w:style w:type="paragraph" w:customStyle="1" w:styleId="TableTextLeft">
    <w:name w:val="Table Text Left"/>
    <w:basedOn w:val="TableTextBase"/>
    <w:rsid w:val="00BB207D"/>
  </w:style>
  <w:style w:type="paragraph" w:customStyle="1" w:styleId="TableTextRight">
    <w:name w:val="Table Text Right"/>
    <w:basedOn w:val="TableTextBase"/>
    <w:rsid w:val="00BB207D"/>
    <w:pPr>
      <w:jc w:val="right"/>
    </w:pPr>
  </w:style>
  <w:style w:type="paragraph" w:styleId="TOAHeading">
    <w:name w:val="toa heading"/>
    <w:basedOn w:val="Normal"/>
    <w:next w:val="Normal"/>
    <w:rsid w:val="00BB207D"/>
    <w:pPr>
      <w:spacing w:before="120"/>
    </w:pPr>
    <w:rPr>
      <w:rFonts w:ascii="Arial" w:hAnsi="Arial" w:cs="Arial"/>
      <w:b/>
      <w:bCs/>
      <w:sz w:val="24"/>
      <w:szCs w:val="24"/>
    </w:rPr>
  </w:style>
  <w:style w:type="paragraph" w:styleId="TOC1">
    <w:name w:val="toc 1"/>
    <w:basedOn w:val="HeaderBase"/>
    <w:next w:val="Normal"/>
    <w:uiPriority w:val="2"/>
    <w:rsid w:val="006C3E1F"/>
    <w:pPr>
      <w:tabs>
        <w:tab w:val="right" w:leader="dot" w:pos="7700"/>
      </w:tabs>
      <w:spacing w:before="240"/>
      <w:ind w:right="851"/>
    </w:pPr>
    <w:rPr>
      <w:rFonts w:ascii="Arial Bold" w:hAnsi="Arial Bold"/>
      <w:b/>
      <w:sz w:val="22"/>
    </w:rPr>
  </w:style>
  <w:style w:type="paragraph" w:styleId="TOC2">
    <w:name w:val="toc 2"/>
    <w:basedOn w:val="HeadingBase"/>
    <w:next w:val="Normal"/>
    <w:uiPriority w:val="2"/>
    <w:rsid w:val="00BB207D"/>
    <w:pPr>
      <w:tabs>
        <w:tab w:val="left" w:pos="992"/>
        <w:tab w:val="right" w:leader="dot" w:pos="7700"/>
      </w:tabs>
      <w:spacing w:before="40"/>
      <w:ind w:left="851" w:right="851" w:hanging="851"/>
    </w:pPr>
    <w:rPr>
      <w:sz w:val="20"/>
    </w:rPr>
  </w:style>
  <w:style w:type="paragraph" w:styleId="TOC3">
    <w:name w:val="toc 3"/>
    <w:basedOn w:val="HeadingBase"/>
    <w:next w:val="Normal"/>
    <w:uiPriority w:val="2"/>
    <w:unhideWhenUsed/>
    <w:rsid w:val="00BB207D"/>
    <w:pPr>
      <w:tabs>
        <w:tab w:val="right" w:leader="dot" w:pos="7700"/>
      </w:tabs>
      <w:spacing w:before="40"/>
      <w:ind w:right="851"/>
    </w:pPr>
    <w:rPr>
      <w:sz w:val="20"/>
    </w:rPr>
  </w:style>
  <w:style w:type="paragraph" w:styleId="TOC4">
    <w:name w:val="toc 4"/>
    <w:basedOn w:val="HeadingBase"/>
    <w:next w:val="Normal"/>
    <w:uiPriority w:val="2"/>
    <w:unhideWhenUsed/>
    <w:rsid w:val="00BB207D"/>
    <w:pPr>
      <w:tabs>
        <w:tab w:val="right" w:leader="dot" w:pos="7700"/>
      </w:tabs>
      <w:spacing w:before="40"/>
      <w:ind w:right="851"/>
    </w:pPr>
    <w:rPr>
      <w:sz w:val="20"/>
    </w:rPr>
  </w:style>
  <w:style w:type="paragraph" w:styleId="TOC5">
    <w:name w:val="toc 5"/>
    <w:basedOn w:val="Normal"/>
    <w:next w:val="Normal"/>
    <w:autoRedefine/>
    <w:uiPriority w:val="2"/>
    <w:semiHidden/>
    <w:rsid w:val="00BB207D"/>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BB207D"/>
    <w:pPr>
      <w:tabs>
        <w:tab w:val="left" w:pos="851"/>
      </w:tabs>
      <w:ind w:left="851" w:hanging="851"/>
    </w:pPr>
    <w:rPr>
      <w:color w:val="000000"/>
    </w:rPr>
  </w:style>
  <w:style w:type="paragraph" w:styleId="TOC7">
    <w:name w:val="toc 7"/>
    <w:basedOn w:val="Normal"/>
    <w:next w:val="Normal"/>
    <w:autoRedefine/>
    <w:uiPriority w:val="2"/>
    <w:semiHidden/>
    <w:rsid w:val="00BB207D"/>
    <w:pPr>
      <w:ind w:left="1200"/>
    </w:pPr>
  </w:style>
  <w:style w:type="paragraph" w:styleId="TOC8">
    <w:name w:val="toc 8"/>
    <w:basedOn w:val="Normal"/>
    <w:next w:val="Normal"/>
    <w:autoRedefine/>
    <w:uiPriority w:val="2"/>
    <w:semiHidden/>
    <w:rsid w:val="00BB207D"/>
    <w:pPr>
      <w:ind w:left="1400"/>
    </w:pPr>
  </w:style>
  <w:style w:type="paragraph" w:styleId="TOC9">
    <w:name w:val="toc 9"/>
    <w:basedOn w:val="Normal"/>
    <w:next w:val="Normal"/>
    <w:autoRedefine/>
    <w:uiPriority w:val="2"/>
    <w:semiHidden/>
    <w:rsid w:val="00BB207D"/>
    <w:pPr>
      <w:ind w:left="1600"/>
    </w:pPr>
  </w:style>
  <w:style w:type="paragraph" w:customStyle="1" w:styleId="TPHeading1">
    <w:name w:val="TP Heading 1"/>
    <w:basedOn w:val="HeadingBase"/>
    <w:semiHidden/>
    <w:rsid w:val="00BB207D"/>
    <w:pPr>
      <w:spacing w:before="60" w:after="60"/>
      <w:ind w:left="1134"/>
    </w:pPr>
    <w:rPr>
      <w:rFonts w:ascii="Arial Bold" w:hAnsi="Arial Bold"/>
      <w:b/>
      <w:caps/>
      <w:spacing w:val="-10"/>
      <w:sz w:val="28"/>
    </w:rPr>
  </w:style>
  <w:style w:type="paragraph" w:customStyle="1" w:styleId="TPHeading2">
    <w:name w:val="TP Heading 2"/>
    <w:basedOn w:val="HeadingBase"/>
    <w:semiHidden/>
    <w:rsid w:val="00BB207D"/>
    <w:pPr>
      <w:ind w:left="1134"/>
    </w:pPr>
    <w:rPr>
      <w:caps/>
      <w:spacing w:val="-10"/>
      <w:sz w:val="28"/>
    </w:rPr>
  </w:style>
  <w:style w:type="paragraph" w:customStyle="1" w:styleId="TPHeading3">
    <w:name w:val="TP Heading 3"/>
    <w:basedOn w:val="HeadingBase"/>
    <w:semiHidden/>
    <w:rsid w:val="00BB207D"/>
    <w:pPr>
      <w:ind w:left="1134"/>
    </w:pPr>
    <w:rPr>
      <w:caps/>
      <w:spacing w:val="-10"/>
    </w:rPr>
  </w:style>
  <w:style w:type="paragraph" w:customStyle="1" w:styleId="TPHeading3bold">
    <w:name w:val="TP Heading 3 bold"/>
    <w:basedOn w:val="TPHeading3"/>
    <w:semiHidden/>
    <w:rsid w:val="00BB207D"/>
    <w:rPr>
      <w:rFonts w:cs="Arial"/>
      <w:b/>
      <w:sz w:val="22"/>
      <w:szCs w:val="22"/>
    </w:rPr>
  </w:style>
  <w:style w:type="paragraph" w:customStyle="1" w:styleId="TPHEADING3boldspace">
    <w:name w:val="TP HEADING 3 bold space"/>
    <w:basedOn w:val="TPHeading3bold"/>
    <w:semiHidden/>
    <w:rsid w:val="00BB207D"/>
    <w:pPr>
      <w:spacing w:after="120"/>
    </w:pPr>
  </w:style>
  <w:style w:type="paragraph" w:customStyle="1" w:styleId="TPHEADING3space">
    <w:name w:val="TP HEADING 3 space"/>
    <w:basedOn w:val="TPHeading3"/>
    <w:semiHidden/>
    <w:rsid w:val="00BB207D"/>
    <w:pPr>
      <w:spacing w:before="120" w:after="120"/>
    </w:pPr>
    <w:rPr>
      <w:rFonts w:cs="Arial"/>
      <w:sz w:val="22"/>
      <w:szCs w:val="22"/>
    </w:rPr>
  </w:style>
  <w:style w:type="paragraph" w:customStyle="1" w:styleId="TPHeading4">
    <w:name w:val="TP Heading 4"/>
    <w:basedOn w:val="TPHeading3"/>
    <w:semiHidden/>
    <w:rsid w:val="00BB207D"/>
    <w:rPr>
      <w:sz w:val="20"/>
    </w:rPr>
  </w:style>
  <w:style w:type="paragraph" w:customStyle="1" w:styleId="TPHEADING4space">
    <w:name w:val="TP HEADING 4 space"/>
    <w:basedOn w:val="TPHEADING3space"/>
    <w:semiHidden/>
    <w:rsid w:val="00BB207D"/>
  </w:style>
  <w:style w:type="paragraph" w:customStyle="1" w:styleId="Boxcontinuedover">
    <w:name w:val="Box continued over"/>
    <w:basedOn w:val="BoxText"/>
    <w:qFormat/>
    <w:rsid w:val="0011175D"/>
    <w:pPr>
      <w:spacing w:before="240" w:after="0"/>
      <w:jc w:val="right"/>
    </w:pPr>
    <w:rPr>
      <w:rFonts w:ascii="Arial" w:hAnsi="Arial"/>
      <w:b/>
      <w:bCs/>
      <w:sz w:val="18"/>
      <w:szCs w:val="16"/>
    </w:rPr>
  </w:style>
  <w:style w:type="character" w:customStyle="1" w:styleId="TableHeadingChar">
    <w:name w:val="Table Heading Char"/>
    <w:link w:val="TableHeading"/>
    <w:locked/>
    <w:rsid w:val="00431C3F"/>
    <w:rPr>
      <w:rFonts w:ascii="Arial" w:eastAsia="Times New Roman" w:hAnsi="Arial" w:cs="Times New Roman"/>
      <w:b/>
      <w:sz w:val="20"/>
      <w:szCs w:val="20"/>
      <w:lang w:eastAsia="en-AU"/>
    </w:rPr>
  </w:style>
  <w:style w:type="paragraph" w:styleId="Revision">
    <w:name w:val="Revision"/>
    <w:hidden/>
    <w:uiPriority w:val="99"/>
    <w:semiHidden/>
    <w:rsid w:val="00864A37"/>
    <w:pPr>
      <w:spacing w:after="0" w:line="240" w:lineRule="auto"/>
    </w:pPr>
    <w:rPr>
      <w:rFonts w:ascii="Book Antiqua" w:eastAsia="Times New Roman" w:hAnsi="Book Antiqua" w:cs="Times New Roman"/>
      <w:sz w:val="20"/>
      <w:szCs w:val="20"/>
      <w:lang w:eastAsia="en-AU"/>
    </w:rPr>
  </w:style>
  <w:style w:type="character" w:styleId="Mention">
    <w:name w:val="Mention"/>
    <w:basedOn w:val="DefaultParagraphFont"/>
    <w:uiPriority w:val="99"/>
    <w:unhideWhenUsed/>
    <w:rsid w:val="008B0B99"/>
    <w:rPr>
      <w:color w:val="2B579A"/>
      <w:shd w:val="clear" w:color="auto" w:fill="E6E6E6"/>
    </w:rPr>
  </w:style>
  <w:style w:type="character" w:styleId="UnresolvedMention">
    <w:name w:val="Unresolved Mention"/>
    <w:basedOn w:val="DefaultParagraphFont"/>
    <w:uiPriority w:val="99"/>
    <w:unhideWhenUsed/>
    <w:rsid w:val="00C277BC"/>
    <w:rPr>
      <w:color w:val="605E5C"/>
      <w:shd w:val="clear" w:color="auto" w:fill="E1DFDD"/>
    </w:rPr>
  </w:style>
  <w:style w:type="paragraph" w:styleId="ListParagraph">
    <w:name w:val="List Paragraph"/>
    <w:basedOn w:val="Normal"/>
    <w:uiPriority w:val="34"/>
    <w:qFormat/>
    <w:rsid w:val="00855523"/>
    <w:pPr>
      <w:ind w:left="720"/>
      <w:contextualSpacing/>
    </w:pPr>
  </w:style>
  <w:style w:type="paragraph" w:customStyle="1" w:styleId="OutlineNumbered1">
    <w:name w:val="Outline Numbered 1"/>
    <w:basedOn w:val="Normal"/>
    <w:link w:val="OutlineNumbered1Char"/>
    <w:rsid w:val="00C87BB6"/>
    <w:pPr>
      <w:numPr>
        <w:numId w:val="5"/>
      </w:numPr>
    </w:pPr>
  </w:style>
  <w:style w:type="character" w:customStyle="1" w:styleId="OutlineNumbered1Char">
    <w:name w:val="Outline Numbered 1 Char"/>
    <w:basedOn w:val="DefaultParagraphFont"/>
    <w:link w:val="OutlineNumbered1"/>
    <w:rsid w:val="00991ACA"/>
    <w:rPr>
      <w:rFonts w:ascii="Book Antiqua" w:eastAsia="Times New Roman" w:hAnsi="Book Antiqua" w:cs="Times New Roman"/>
      <w:sz w:val="20"/>
      <w:szCs w:val="20"/>
      <w:lang w:eastAsia="en-AU"/>
    </w:rPr>
  </w:style>
  <w:style w:type="paragraph" w:customStyle="1" w:styleId="OutlineNumbered2">
    <w:name w:val="Outline Numbered 2"/>
    <w:basedOn w:val="Normal"/>
    <w:link w:val="OutlineNumbered2Char"/>
    <w:rsid w:val="00991ACA"/>
    <w:pPr>
      <w:numPr>
        <w:ilvl w:val="1"/>
        <w:numId w:val="5"/>
      </w:numPr>
    </w:pPr>
  </w:style>
  <w:style w:type="character" w:customStyle="1" w:styleId="OutlineNumbered2Char">
    <w:name w:val="Outline Numbered 2 Char"/>
    <w:basedOn w:val="DefaultParagraphFont"/>
    <w:link w:val="OutlineNumbered2"/>
    <w:rsid w:val="00991ACA"/>
    <w:rPr>
      <w:rFonts w:ascii="Book Antiqua" w:eastAsia="Times New Roman" w:hAnsi="Book Antiqua" w:cs="Times New Roman"/>
      <w:sz w:val="20"/>
      <w:szCs w:val="20"/>
      <w:lang w:eastAsia="en-AU"/>
    </w:rPr>
  </w:style>
  <w:style w:type="paragraph" w:customStyle="1" w:styleId="OutlineNumbered3">
    <w:name w:val="Outline Numbered 3"/>
    <w:basedOn w:val="Normal"/>
    <w:link w:val="OutlineNumbered3Char"/>
    <w:rsid w:val="00991ACA"/>
    <w:pPr>
      <w:numPr>
        <w:ilvl w:val="2"/>
        <w:numId w:val="5"/>
      </w:numPr>
    </w:pPr>
  </w:style>
  <w:style w:type="character" w:customStyle="1" w:styleId="OutlineNumbered3Char">
    <w:name w:val="Outline Numbered 3 Char"/>
    <w:basedOn w:val="DefaultParagraphFont"/>
    <w:link w:val="OutlineNumbered3"/>
    <w:rsid w:val="00991ACA"/>
    <w:rPr>
      <w:rFonts w:ascii="Book Antiqua" w:eastAsia="Times New Roman" w:hAnsi="Book Antiqua" w:cs="Times New Roman"/>
      <w:sz w:val="20"/>
      <w:szCs w:val="20"/>
      <w:lang w:eastAsia="en-AU"/>
    </w:rPr>
  </w:style>
  <w:style w:type="character" w:customStyle="1" w:styleId="BulletChar">
    <w:name w:val="Bullet Char"/>
    <w:link w:val="Bullet"/>
    <w:locked/>
    <w:rsid w:val="000274AE"/>
    <w:rPr>
      <w:rFonts w:ascii="Book Antiqua" w:eastAsia="Times New Roman" w:hAnsi="Book Antiqua" w:cs="Times New Roman"/>
      <w:sz w:val="20"/>
      <w:szCs w:val="20"/>
      <w:lang w:eastAsia="en-AU"/>
    </w:rPr>
  </w:style>
  <w:style w:type="character" w:styleId="FollowedHyperlink">
    <w:name w:val="FollowedHyperlink"/>
    <w:basedOn w:val="DefaultParagraphFont"/>
    <w:uiPriority w:val="99"/>
    <w:semiHidden/>
    <w:unhideWhenUsed/>
    <w:rsid w:val="00A36C64"/>
    <w:rPr>
      <w:color w:val="E61E26" w:themeColor="followedHyperlink"/>
      <w:u w:val="single"/>
    </w:rPr>
  </w:style>
  <w:style w:type="paragraph" w:styleId="BodyText">
    <w:name w:val="Body Text"/>
    <w:basedOn w:val="Normal"/>
    <w:link w:val="BodyTextChar"/>
    <w:uiPriority w:val="99"/>
    <w:unhideWhenUsed/>
    <w:rsid w:val="007E2940"/>
    <w:pPr>
      <w:spacing w:after="120"/>
    </w:pPr>
  </w:style>
  <w:style w:type="character" w:customStyle="1" w:styleId="BodyTextChar">
    <w:name w:val="Body Text Char"/>
    <w:basedOn w:val="DefaultParagraphFont"/>
    <w:link w:val="BodyText"/>
    <w:uiPriority w:val="99"/>
    <w:rsid w:val="007E2940"/>
    <w:rPr>
      <w:rFonts w:ascii="Book Antiqua" w:eastAsia="Times New Roman" w:hAnsi="Book Antiqua" w:cs="Times New Roman"/>
      <w:sz w:val="20"/>
      <w:szCs w:val="20"/>
      <w:lang w:eastAsia="en-AU"/>
    </w:rPr>
  </w:style>
  <w:style w:type="paragraph" w:styleId="NormalWeb">
    <w:name w:val="Normal (Web)"/>
    <w:basedOn w:val="Normal"/>
    <w:uiPriority w:val="99"/>
    <w:semiHidden/>
    <w:unhideWhenUsed/>
    <w:rsid w:val="00A36B1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602">
      <w:bodyDiv w:val="1"/>
      <w:marLeft w:val="0"/>
      <w:marRight w:val="0"/>
      <w:marTop w:val="0"/>
      <w:marBottom w:val="0"/>
      <w:divBdr>
        <w:top w:val="none" w:sz="0" w:space="0" w:color="auto"/>
        <w:left w:val="none" w:sz="0" w:space="0" w:color="auto"/>
        <w:bottom w:val="none" w:sz="0" w:space="0" w:color="auto"/>
        <w:right w:val="none" w:sz="0" w:space="0" w:color="auto"/>
      </w:divBdr>
    </w:div>
    <w:div w:id="11500040">
      <w:bodyDiv w:val="1"/>
      <w:marLeft w:val="0"/>
      <w:marRight w:val="0"/>
      <w:marTop w:val="0"/>
      <w:marBottom w:val="0"/>
      <w:divBdr>
        <w:top w:val="none" w:sz="0" w:space="0" w:color="auto"/>
        <w:left w:val="none" w:sz="0" w:space="0" w:color="auto"/>
        <w:bottom w:val="none" w:sz="0" w:space="0" w:color="auto"/>
        <w:right w:val="none" w:sz="0" w:space="0" w:color="auto"/>
      </w:divBdr>
    </w:div>
    <w:div w:id="50269825">
      <w:bodyDiv w:val="1"/>
      <w:marLeft w:val="0"/>
      <w:marRight w:val="0"/>
      <w:marTop w:val="0"/>
      <w:marBottom w:val="0"/>
      <w:divBdr>
        <w:top w:val="none" w:sz="0" w:space="0" w:color="auto"/>
        <w:left w:val="none" w:sz="0" w:space="0" w:color="auto"/>
        <w:bottom w:val="none" w:sz="0" w:space="0" w:color="auto"/>
        <w:right w:val="none" w:sz="0" w:space="0" w:color="auto"/>
      </w:divBdr>
    </w:div>
    <w:div w:id="78991580">
      <w:bodyDiv w:val="1"/>
      <w:marLeft w:val="0"/>
      <w:marRight w:val="0"/>
      <w:marTop w:val="0"/>
      <w:marBottom w:val="0"/>
      <w:divBdr>
        <w:top w:val="none" w:sz="0" w:space="0" w:color="auto"/>
        <w:left w:val="none" w:sz="0" w:space="0" w:color="auto"/>
        <w:bottom w:val="none" w:sz="0" w:space="0" w:color="auto"/>
        <w:right w:val="none" w:sz="0" w:space="0" w:color="auto"/>
      </w:divBdr>
    </w:div>
    <w:div w:id="113596185">
      <w:bodyDiv w:val="1"/>
      <w:marLeft w:val="0"/>
      <w:marRight w:val="0"/>
      <w:marTop w:val="0"/>
      <w:marBottom w:val="0"/>
      <w:divBdr>
        <w:top w:val="none" w:sz="0" w:space="0" w:color="auto"/>
        <w:left w:val="none" w:sz="0" w:space="0" w:color="auto"/>
        <w:bottom w:val="none" w:sz="0" w:space="0" w:color="auto"/>
        <w:right w:val="none" w:sz="0" w:space="0" w:color="auto"/>
      </w:divBdr>
    </w:div>
    <w:div w:id="117381274">
      <w:bodyDiv w:val="1"/>
      <w:marLeft w:val="0"/>
      <w:marRight w:val="0"/>
      <w:marTop w:val="0"/>
      <w:marBottom w:val="0"/>
      <w:divBdr>
        <w:top w:val="none" w:sz="0" w:space="0" w:color="auto"/>
        <w:left w:val="none" w:sz="0" w:space="0" w:color="auto"/>
        <w:bottom w:val="none" w:sz="0" w:space="0" w:color="auto"/>
        <w:right w:val="none" w:sz="0" w:space="0" w:color="auto"/>
      </w:divBdr>
    </w:div>
    <w:div w:id="156120539">
      <w:bodyDiv w:val="1"/>
      <w:marLeft w:val="0"/>
      <w:marRight w:val="0"/>
      <w:marTop w:val="0"/>
      <w:marBottom w:val="0"/>
      <w:divBdr>
        <w:top w:val="none" w:sz="0" w:space="0" w:color="auto"/>
        <w:left w:val="none" w:sz="0" w:space="0" w:color="auto"/>
        <w:bottom w:val="none" w:sz="0" w:space="0" w:color="auto"/>
        <w:right w:val="none" w:sz="0" w:space="0" w:color="auto"/>
      </w:divBdr>
    </w:div>
    <w:div w:id="188877997">
      <w:bodyDiv w:val="1"/>
      <w:marLeft w:val="0"/>
      <w:marRight w:val="0"/>
      <w:marTop w:val="0"/>
      <w:marBottom w:val="0"/>
      <w:divBdr>
        <w:top w:val="none" w:sz="0" w:space="0" w:color="auto"/>
        <w:left w:val="none" w:sz="0" w:space="0" w:color="auto"/>
        <w:bottom w:val="none" w:sz="0" w:space="0" w:color="auto"/>
        <w:right w:val="none" w:sz="0" w:space="0" w:color="auto"/>
      </w:divBdr>
    </w:div>
    <w:div w:id="212012253">
      <w:bodyDiv w:val="1"/>
      <w:marLeft w:val="0"/>
      <w:marRight w:val="0"/>
      <w:marTop w:val="0"/>
      <w:marBottom w:val="0"/>
      <w:divBdr>
        <w:top w:val="none" w:sz="0" w:space="0" w:color="auto"/>
        <w:left w:val="none" w:sz="0" w:space="0" w:color="auto"/>
        <w:bottom w:val="none" w:sz="0" w:space="0" w:color="auto"/>
        <w:right w:val="none" w:sz="0" w:space="0" w:color="auto"/>
      </w:divBdr>
    </w:div>
    <w:div w:id="241526106">
      <w:bodyDiv w:val="1"/>
      <w:marLeft w:val="0"/>
      <w:marRight w:val="0"/>
      <w:marTop w:val="0"/>
      <w:marBottom w:val="0"/>
      <w:divBdr>
        <w:top w:val="none" w:sz="0" w:space="0" w:color="auto"/>
        <w:left w:val="none" w:sz="0" w:space="0" w:color="auto"/>
        <w:bottom w:val="none" w:sz="0" w:space="0" w:color="auto"/>
        <w:right w:val="none" w:sz="0" w:space="0" w:color="auto"/>
      </w:divBdr>
    </w:div>
    <w:div w:id="253055501">
      <w:bodyDiv w:val="1"/>
      <w:marLeft w:val="0"/>
      <w:marRight w:val="0"/>
      <w:marTop w:val="0"/>
      <w:marBottom w:val="0"/>
      <w:divBdr>
        <w:top w:val="none" w:sz="0" w:space="0" w:color="auto"/>
        <w:left w:val="none" w:sz="0" w:space="0" w:color="auto"/>
        <w:bottom w:val="none" w:sz="0" w:space="0" w:color="auto"/>
        <w:right w:val="none" w:sz="0" w:space="0" w:color="auto"/>
      </w:divBdr>
    </w:div>
    <w:div w:id="253519948">
      <w:bodyDiv w:val="1"/>
      <w:marLeft w:val="0"/>
      <w:marRight w:val="0"/>
      <w:marTop w:val="0"/>
      <w:marBottom w:val="0"/>
      <w:divBdr>
        <w:top w:val="none" w:sz="0" w:space="0" w:color="auto"/>
        <w:left w:val="none" w:sz="0" w:space="0" w:color="auto"/>
        <w:bottom w:val="none" w:sz="0" w:space="0" w:color="auto"/>
        <w:right w:val="none" w:sz="0" w:space="0" w:color="auto"/>
      </w:divBdr>
    </w:div>
    <w:div w:id="276135706">
      <w:bodyDiv w:val="1"/>
      <w:marLeft w:val="0"/>
      <w:marRight w:val="0"/>
      <w:marTop w:val="0"/>
      <w:marBottom w:val="0"/>
      <w:divBdr>
        <w:top w:val="none" w:sz="0" w:space="0" w:color="auto"/>
        <w:left w:val="none" w:sz="0" w:space="0" w:color="auto"/>
        <w:bottom w:val="none" w:sz="0" w:space="0" w:color="auto"/>
        <w:right w:val="none" w:sz="0" w:space="0" w:color="auto"/>
      </w:divBdr>
    </w:div>
    <w:div w:id="313803111">
      <w:bodyDiv w:val="1"/>
      <w:marLeft w:val="0"/>
      <w:marRight w:val="0"/>
      <w:marTop w:val="0"/>
      <w:marBottom w:val="0"/>
      <w:divBdr>
        <w:top w:val="none" w:sz="0" w:space="0" w:color="auto"/>
        <w:left w:val="none" w:sz="0" w:space="0" w:color="auto"/>
        <w:bottom w:val="none" w:sz="0" w:space="0" w:color="auto"/>
        <w:right w:val="none" w:sz="0" w:space="0" w:color="auto"/>
      </w:divBdr>
    </w:div>
    <w:div w:id="316303238">
      <w:bodyDiv w:val="1"/>
      <w:marLeft w:val="0"/>
      <w:marRight w:val="0"/>
      <w:marTop w:val="0"/>
      <w:marBottom w:val="0"/>
      <w:divBdr>
        <w:top w:val="none" w:sz="0" w:space="0" w:color="auto"/>
        <w:left w:val="none" w:sz="0" w:space="0" w:color="auto"/>
        <w:bottom w:val="none" w:sz="0" w:space="0" w:color="auto"/>
        <w:right w:val="none" w:sz="0" w:space="0" w:color="auto"/>
      </w:divBdr>
    </w:div>
    <w:div w:id="368992791">
      <w:bodyDiv w:val="1"/>
      <w:marLeft w:val="0"/>
      <w:marRight w:val="0"/>
      <w:marTop w:val="0"/>
      <w:marBottom w:val="0"/>
      <w:divBdr>
        <w:top w:val="none" w:sz="0" w:space="0" w:color="auto"/>
        <w:left w:val="none" w:sz="0" w:space="0" w:color="auto"/>
        <w:bottom w:val="none" w:sz="0" w:space="0" w:color="auto"/>
        <w:right w:val="none" w:sz="0" w:space="0" w:color="auto"/>
      </w:divBdr>
    </w:div>
    <w:div w:id="385110806">
      <w:bodyDiv w:val="1"/>
      <w:marLeft w:val="0"/>
      <w:marRight w:val="0"/>
      <w:marTop w:val="0"/>
      <w:marBottom w:val="0"/>
      <w:divBdr>
        <w:top w:val="none" w:sz="0" w:space="0" w:color="auto"/>
        <w:left w:val="none" w:sz="0" w:space="0" w:color="auto"/>
        <w:bottom w:val="none" w:sz="0" w:space="0" w:color="auto"/>
        <w:right w:val="none" w:sz="0" w:space="0" w:color="auto"/>
      </w:divBdr>
    </w:div>
    <w:div w:id="388190199">
      <w:bodyDiv w:val="1"/>
      <w:marLeft w:val="0"/>
      <w:marRight w:val="0"/>
      <w:marTop w:val="0"/>
      <w:marBottom w:val="0"/>
      <w:divBdr>
        <w:top w:val="none" w:sz="0" w:space="0" w:color="auto"/>
        <w:left w:val="none" w:sz="0" w:space="0" w:color="auto"/>
        <w:bottom w:val="none" w:sz="0" w:space="0" w:color="auto"/>
        <w:right w:val="none" w:sz="0" w:space="0" w:color="auto"/>
      </w:divBdr>
    </w:div>
    <w:div w:id="400257243">
      <w:bodyDiv w:val="1"/>
      <w:marLeft w:val="0"/>
      <w:marRight w:val="0"/>
      <w:marTop w:val="0"/>
      <w:marBottom w:val="0"/>
      <w:divBdr>
        <w:top w:val="none" w:sz="0" w:space="0" w:color="auto"/>
        <w:left w:val="none" w:sz="0" w:space="0" w:color="auto"/>
        <w:bottom w:val="none" w:sz="0" w:space="0" w:color="auto"/>
        <w:right w:val="none" w:sz="0" w:space="0" w:color="auto"/>
      </w:divBdr>
    </w:div>
    <w:div w:id="425419016">
      <w:bodyDiv w:val="1"/>
      <w:marLeft w:val="0"/>
      <w:marRight w:val="0"/>
      <w:marTop w:val="0"/>
      <w:marBottom w:val="0"/>
      <w:divBdr>
        <w:top w:val="none" w:sz="0" w:space="0" w:color="auto"/>
        <w:left w:val="none" w:sz="0" w:space="0" w:color="auto"/>
        <w:bottom w:val="none" w:sz="0" w:space="0" w:color="auto"/>
        <w:right w:val="none" w:sz="0" w:space="0" w:color="auto"/>
      </w:divBdr>
    </w:div>
    <w:div w:id="433551415">
      <w:bodyDiv w:val="1"/>
      <w:marLeft w:val="0"/>
      <w:marRight w:val="0"/>
      <w:marTop w:val="0"/>
      <w:marBottom w:val="0"/>
      <w:divBdr>
        <w:top w:val="none" w:sz="0" w:space="0" w:color="auto"/>
        <w:left w:val="none" w:sz="0" w:space="0" w:color="auto"/>
        <w:bottom w:val="none" w:sz="0" w:space="0" w:color="auto"/>
        <w:right w:val="none" w:sz="0" w:space="0" w:color="auto"/>
      </w:divBdr>
    </w:div>
    <w:div w:id="434792217">
      <w:bodyDiv w:val="1"/>
      <w:marLeft w:val="0"/>
      <w:marRight w:val="0"/>
      <w:marTop w:val="0"/>
      <w:marBottom w:val="0"/>
      <w:divBdr>
        <w:top w:val="none" w:sz="0" w:space="0" w:color="auto"/>
        <w:left w:val="none" w:sz="0" w:space="0" w:color="auto"/>
        <w:bottom w:val="none" w:sz="0" w:space="0" w:color="auto"/>
        <w:right w:val="none" w:sz="0" w:space="0" w:color="auto"/>
      </w:divBdr>
    </w:div>
    <w:div w:id="547180135">
      <w:bodyDiv w:val="1"/>
      <w:marLeft w:val="0"/>
      <w:marRight w:val="0"/>
      <w:marTop w:val="0"/>
      <w:marBottom w:val="0"/>
      <w:divBdr>
        <w:top w:val="none" w:sz="0" w:space="0" w:color="auto"/>
        <w:left w:val="none" w:sz="0" w:space="0" w:color="auto"/>
        <w:bottom w:val="none" w:sz="0" w:space="0" w:color="auto"/>
        <w:right w:val="none" w:sz="0" w:space="0" w:color="auto"/>
      </w:divBdr>
    </w:div>
    <w:div w:id="559289156">
      <w:bodyDiv w:val="1"/>
      <w:marLeft w:val="0"/>
      <w:marRight w:val="0"/>
      <w:marTop w:val="0"/>
      <w:marBottom w:val="0"/>
      <w:divBdr>
        <w:top w:val="none" w:sz="0" w:space="0" w:color="auto"/>
        <w:left w:val="none" w:sz="0" w:space="0" w:color="auto"/>
        <w:bottom w:val="none" w:sz="0" w:space="0" w:color="auto"/>
        <w:right w:val="none" w:sz="0" w:space="0" w:color="auto"/>
      </w:divBdr>
    </w:div>
    <w:div w:id="565339345">
      <w:bodyDiv w:val="1"/>
      <w:marLeft w:val="0"/>
      <w:marRight w:val="0"/>
      <w:marTop w:val="0"/>
      <w:marBottom w:val="0"/>
      <w:divBdr>
        <w:top w:val="none" w:sz="0" w:space="0" w:color="auto"/>
        <w:left w:val="none" w:sz="0" w:space="0" w:color="auto"/>
        <w:bottom w:val="none" w:sz="0" w:space="0" w:color="auto"/>
        <w:right w:val="none" w:sz="0" w:space="0" w:color="auto"/>
      </w:divBdr>
    </w:div>
    <w:div w:id="570039286">
      <w:bodyDiv w:val="1"/>
      <w:marLeft w:val="0"/>
      <w:marRight w:val="0"/>
      <w:marTop w:val="0"/>
      <w:marBottom w:val="0"/>
      <w:divBdr>
        <w:top w:val="none" w:sz="0" w:space="0" w:color="auto"/>
        <w:left w:val="none" w:sz="0" w:space="0" w:color="auto"/>
        <w:bottom w:val="none" w:sz="0" w:space="0" w:color="auto"/>
        <w:right w:val="none" w:sz="0" w:space="0" w:color="auto"/>
      </w:divBdr>
    </w:div>
    <w:div w:id="581911820">
      <w:bodyDiv w:val="1"/>
      <w:marLeft w:val="0"/>
      <w:marRight w:val="0"/>
      <w:marTop w:val="0"/>
      <w:marBottom w:val="0"/>
      <w:divBdr>
        <w:top w:val="none" w:sz="0" w:space="0" w:color="auto"/>
        <w:left w:val="none" w:sz="0" w:space="0" w:color="auto"/>
        <w:bottom w:val="none" w:sz="0" w:space="0" w:color="auto"/>
        <w:right w:val="none" w:sz="0" w:space="0" w:color="auto"/>
      </w:divBdr>
    </w:div>
    <w:div w:id="582177974">
      <w:bodyDiv w:val="1"/>
      <w:marLeft w:val="0"/>
      <w:marRight w:val="0"/>
      <w:marTop w:val="0"/>
      <w:marBottom w:val="0"/>
      <w:divBdr>
        <w:top w:val="none" w:sz="0" w:space="0" w:color="auto"/>
        <w:left w:val="none" w:sz="0" w:space="0" w:color="auto"/>
        <w:bottom w:val="none" w:sz="0" w:space="0" w:color="auto"/>
        <w:right w:val="none" w:sz="0" w:space="0" w:color="auto"/>
      </w:divBdr>
    </w:div>
    <w:div w:id="599066628">
      <w:bodyDiv w:val="1"/>
      <w:marLeft w:val="0"/>
      <w:marRight w:val="0"/>
      <w:marTop w:val="0"/>
      <w:marBottom w:val="0"/>
      <w:divBdr>
        <w:top w:val="none" w:sz="0" w:space="0" w:color="auto"/>
        <w:left w:val="none" w:sz="0" w:space="0" w:color="auto"/>
        <w:bottom w:val="none" w:sz="0" w:space="0" w:color="auto"/>
        <w:right w:val="none" w:sz="0" w:space="0" w:color="auto"/>
      </w:divBdr>
    </w:div>
    <w:div w:id="648481132">
      <w:bodyDiv w:val="1"/>
      <w:marLeft w:val="0"/>
      <w:marRight w:val="0"/>
      <w:marTop w:val="0"/>
      <w:marBottom w:val="0"/>
      <w:divBdr>
        <w:top w:val="none" w:sz="0" w:space="0" w:color="auto"/>
        <w:left w:val="none" w:sz="0" w:space="0" w:color="auto"/>
        <w:bottom w:val="none" w:sz="0" w:space="0" w:color="auto"/>
        <w:right w:val="none" w:sz="0" w:space="0" w:color="auto"/>
      </w:divBdr>
    </w:div>
    <w:div w:id="708804283">
      <w:bodyDiv w:val="1"/>
      <w:marLeft w:val="0"/>
      <w:marRight w:val="0"/>
      <w:marTop w:val="0"/>
      <w:marBottom w:val="0"/>
      <w:divBdr>
        <w:top w:val="none" w:sz="0" w:space="0" w:color="auto"/>
        <w:left w:val="none" w:sz="0" w:space="0" w:color="auto"/>
        <w:bottom w:val="none" w:sz="0" w:space="0" w:color="auto"/>
        <w:right w:val="none" w:sz="0" w:space="0" w:color="auto"/>
      </w:divBdr>
    </w:div>
    <w:div w:id="714544825">
      <w:bodyDiv w:val="1"/>
      <w:marLeft w:val="0"/>
      <w:marRight w:val="0"/>
      <w:marTop w:val="0"/>
      <w:marBottom w:val="0"/>
      <w:divBdr>
        <w:top w:val="none" w:sz="0" w:space="0" w:color="auto"/>
        <w:left w:val="none" w:sz="0" w:space="0" w:color="auto"/>
        <w:bottom w:val="none" w:sz="0" w:space="0" w:color="auto"/>
        <w:right w:val="none" w:sz="0" w:space="0" w:color="auto"/>
      </w:divBdr>
    </w:div>
    <w:div w:id="728115325">
      <w:bodyDiv w:val="1"/>
      <w:marLeft w:val="0"/>
      <w:marRight w:val="0"/>
      <w:marTop w:val="0"/>
      <w:marBottom w:val="0"/>
      <w:divBdr>
        <w:top w:val="none" w:sz="0" w:space="0" w:color="auto"/>
        <w:left w:val="none" w:sz="0" w:space="0" w:color="auto"/>
        <w:bottom w:val="none" w:sz="0" w:space="0" w:color="auto"/>
        <w:right w:val="none" w:sz="0" w:space="0" w:color="auto"/>
      </w:divBdr>
    </w:div>
    <w:div w:id="728386889">
      <w:bodyDiv w:val="1"/>
      <w:marLeft w:val="0"/>
      <w:marRight w:val="0"/>
      <w:marTop w:val="0"/>
      <w:marBottom w:val="0"/>
      <w:divBdr>
        <w:top w:val="none" w:sz="0" w:space="0" w:color="auto"/>
        <w:left w:val="none" w:sz="0" w:space="0" w:color="auto"/>
        <w:bottom w:val="none" w:sz="0" w:space="0" w:color="auto"/>
        <w:right w:val="none" w:sz="0" w:space="0" w:color="auto"/>
      </w:divBdr>
    </w:div>
    <w:div w:id="755595659">
      <w:bodyDiv w:val="1"/>
      <w:marLeft w:val="0"/>
      <w:marRight w:val="0"/>
      <w:marTop w:val="0"/>
      <w:marBottom w:val="0"/>
      <w:divBdr>
        <w:top w:val="none" w:sz="0" w:space="0" w:color="auto"/>
        <w:left w:val="none" w:sz="0" w:space="0" w:color="auto"/>
        <w:bottom w:val="none" w:sz="0" w:space="0" w:color="auto"/>
        <w:right w:val="none" w:sz="0" w:space="0" w:color="auto"/>
      </w:divBdr>
    </w:div>
    <w:div w:id="773941685">
      <w:bodyDiv w:val="1"/>
      <w:marLeft w:val="0"/>
      <w:marRight w:val="0"/>
      <w:marTop w:val="0"/>
      <w:marBottom w:val="0"/>
      <w:divBdr>
        <w:top w:val="none" w:sz="0" w:space="0" w:color="auto"/>
        <w:left w:val="none" w:sz="0" w:space="0" w:color="auto"/>
        <w:bottom w:val="none" w:sz="0" w:space="0" w:color="auto"/>
        <w:right w:val="none" w:sz="0" w:space="0" w:color="auto"/>
      </w:divBdr>
    </w:div>
    <w:div w:id="832722050">
      <w:bodyDiv w:val="1"/>
      <w:marLeft w:val="0"/>
      <w:marRight w:val="0"/>
      <w:marTop w:val="0"/>
      <w:marBottom w:val="0"/>
      <w:divBdr>
        <w:top w:val="none" w:sz="0" w:space="0" w:color="auto"/>
        <w:left w:val="none" w:sz="0" w:space="0" w:color="auto"/>
        <w:bottom w:val="none" w:sz="0" w:space="0" w:color="auto"/>
        <w:right w:val="none" w:sz="0" w:space="0" w:color="auto"/>
      </w:divBdr>
    </w:div>
    <w:div w:id="874849050">
      <w:bodyDiv w:val="1"/>
      <w:marLeft w:val="0"/>
      <w:marRight w:val="0"/>
      <w:marTop w:val="0"/>
      <w:marBottom w:val="0"/>
      <w:divBdr>
        <w:top w:val="none" w:sz="0" w:space="0" w:color="auto"/>
        <w:left w:val="none" w:sz="0" w:space="0" w:color="auto"/>
        <w:bottom w:val="none" w:sz="0" w:space="0" w:color="auto"/>
        <w:right w:val="none" w:sz="0" w:space="0" w:color="auto"/>
      </w:divBdr>
    </w:div>
    <w:div w:id="884369109">
      <w:bodyDiv w:val="1"/>
      <w:marLeft w:val="0"/>
      <w:marRight w:val="0"/>
      <w:marTop w:val="0"/>
      <w:marBottom w:val="0"/>
      <w:divBdr>
        <w:top w:val="none" w:sz="0" w:space="0" w:color="auto"/>
        <w:left w:val="none" w:sz="0" w:space="0" w:color="auto"/>
        <w:bottom w:val="none" w:sz="0" w:space="0" w:color="auto"/>
        <w:right w:val="none" w:sz="0" w:space="0" w:color="auto"/>
      </w:divBdr>
    </w:div>
    <w:div w:id="886140646">
      <w:bodyDiv w:val="1"/>
      <w:marLeft w:val="0"/>
      <w:marRight w:val="0"/>
      <w:marTop w:val="0"/>
      <w:marBottom w:val="0"/>
      <w:divBdr>
        <w:top w:val="none" w:sz="0" w:space="0" w:color="auto"/>
        <w:left w:val="none" w:sz="0" w:space="0" w:color="auto"/>
        <w:bottom w:val="none" w:sz="0" w:space="0" w:color="auto"/>
        <w:right w:val="none" w:sz="0" w:space="0" w:color="auto"/>
      </w:divBdr>
    </w:div>
    <w:div w:id="898054263">
      <w:bodyDiv w:val="1"/>
      <w:marLeft w:val="0"/>
      <w:marRight w:val="0"/>
      <w:marTop w:val="0"/>
      <w:marBottom w:val="0"/>
      <w:divBdr>
        <w:top w:val="none" w:sz="0" w:space="0" w:color="auto"/>
        <w:left w:val="none" w:sz="0" w:space="0" w:color="auto"/>
        <w:bottom w:val="none" w:sz="0" w:space="0" w:color="auto"/>
        <w:right w:val="none" w:sz="0" w:space="0" w:color="auto"/>
      </w:divBdr>
    </w:div>
    <w:div w:id="903301733">
      <w:bodyDiv w:val="1"/>
      <w:marLeft w:val="0"/>
      <w:marRight w:val="0"/>
      <w:marTop w:val="0"/>
      <w:marBottom w:val="0"/>
      <w:divBdr>
        <w:top w:val="none" w:sz="0" w:space="0" w:color="auto"/>
        <w:left w:val="none" w:sz="0" w:space="0" w:color="auto"/>
        <w:bottom w:val="none" w:sz="0" w:space="0" w:color="auto"/>
        <w:right w:val="none" w:sz="0" w:space="0" w:color="auto"/>
      </w:divBdr>
    </w:div>
    <w:div w:id="920483514">
      <w:bodyDiv w:val="1"/>
      <w:marLeft w:val="0"/>
      <w:marRight w:val="0"/>
      <w:marTop w:val="0"/>
      <w:marBottom w:val="0"/>
      <w:divBdr>
        <w:top w:val="none" w:sz="0" w:space="0" w:color="auto"/>
        <w:left w:val="none" w:sz="0" w:space="0" w:color="auto"/>
        <w:bottom w:val="none" w:sz="0" w:space="0" w:color="auto"/>
        <w:right w:val="none" w:sz="0" w:space="0" w:color="auto"/>
      </w:divBdr>
    </w:div>
    <w:div w:id="951976604">
      <w:bodyDiv w:val="1"/>
      <w:marLeft w:val="0"/>
      <w:marRight w:val="0"/>
      <w:marTop w:val="0"/>
      <w:marBottom w:val="0"/>
      <w:divBdr>
        <w:top w:val="none" w:sz="0" w:space="0" w:color="auto"/>
        <w:left w:val="none" w:sz="0" w:space="0" w:color="auto"/>
        <w:bottom w:val="none" w:sz="0" w:space="0" w:color="auto"/>
        <w:right w:val="none" w:sz="0" w:space="0" w:color="auto"/>
      </w:divBdr>
    </w:div>
    <w:div w:id="954559229">
      <w:bodyDiv w:val="1"/>
      <w:marLeft w:val="0"/>
      <w:marRight w:val="0"/>
      <w:marTop w:val="0"/>
      <w:marBottom w:val="0"/>
      <w:divBdr>
        <w:top w:val="none" w:sz="0" w:space="0" w:color="auto"/>
        <w:left w:val="none" w:sz="0" w:space="0" w:color="auto"/>
        <w:bottom w:val="none" w:sz="0" w:space="0" w:color="auto"/>
        <w:right w:val="none" w:sz="0" w:space="0" w:color="auto"/>
      </w:divBdr>
    </w:div>
    <w:div w:id="964893552">
      <w:bodyDiv w:val="1"/>
      <w:marLeft w:val="0"/>
      <w:marRight w:val="0"/>
      <w:marTop w:val="0"/>
      <w:marBottom w:val="0"/>
      <w:divBdr>
        <w:top w:val="none" w:sz="0" w:space="0" w:color="auto"/>
        <w:left w:val="none" w:sz="0" w:space="0" w:color="auto"/>
        <w:bottom w:val="none" w:sz="0" w:space="0" w:color="auto"/>
        <w:right w:val="none" w:sz="0" w:space="0" w:color="auto"/>
      </w:divBdr>
    </w:div>
    <w:div w:id="980308940">
      <w:bodyDiv w:val="1"/>
      <w:marLeft w:val="0"/>
      <w:marRight w:val="0"/>
      <w:marTop w:val="0"/>
      <w:marBottom w:val="0"/>
      <w:divBdr>
        <w:top w:val="none" w:sz="0" w:space="0" w:color="auto"/>
        <w:left w:val="none" w:sz="0" w:space="0" w:color="auto"/>
        <w:bottom w:val="none" w:sz="0" w:space="0" w:color="auto"/>
        <w:right w:val="none" w:sz="0" w:space="0" w:color="auto"/>
      </w:divBdr>
    </w:div>
    <w:div w:id="1006637823">
      <w:bodyDiv w:val="1"/>
      <w:marLeft w:val="0"/>
      <w:marRight w:val="0"/>
      <w:marTop w:val="0"/>
      <w:marBottom w:val="0"/>
      <w:divBdr>
        <w:top w:val="none" w:sz="0" w:space="0" w:color="auto"/>
        <w:left w:val="none" w:sz="0" w:space="0" w:color="auto"/>
        <w:bottom w:val="none" w:sz="0" w:space="0" w:color="auto"/>
        <w:right w:val="none" w:sz="0" w:space="0" w:color="auto"/>
      </w:divBdr>
    </w:div>
    <w:div w:id="1028263193">
      <w:bodyDiv w:val="1"/>
      <w:marLeft w:val="0"/>
      <w:marRight w:val="0"/>
      <w:marTop w:val="0"/>
      <w:marBottom w:val="0"/>
      <w:divBdr>
        <w:top w:val="none" w:sz="0" w:space="0" w:color="auto"/>
        <w:left w:val="none" w:sz="0" w:space="0" w:color="auto"/>
        <w:bottom w:val="none" w:sz="0" w:space="0" w:color="auto"/>
        <w:right w:val="none" w:sz="0" w:space="0" w:color="auto"/>
      </w:divBdr>
    </w:div>
    <w:div w:id="1039891795">
      <w:bodyDiv w:val="1"/>
      <w:marLeft w:val="0"/>
      <w:marRight w:val="0"/>
      <w:marTop w:val="0"/>
      <w:marBottom w:val="0"/>
      <w:divBdr>
        <w:top w:val="none" w:sz="0" w:space="0" w:color="auto"/>
        <w:left w:val="none" w:sz="0" w:space="0" w:color="auto"/>
        <w:bottom w:val="none" w:sz="0" w:space="0" w:color="auto"/>
        <w:right w:val="none" w:sz="0" w:space="0" w:color="auto"/>
      </w:divBdr>
    </w:div>
    <w:div w:id="1078871001">
      <w:bodyDiv w:val="1"/>
      <w:marLeft w:val="0"/>
      <w:marRight w:val="0"/>
      <w:marTop w:val="0"/>
      <w:marBottom w:val="0"/>
      <w:divBdr>
        <w:top w:val="none" w:sz="0" w:space="0" w:color="auto"/>
        <w:left w:val="none" w:sz="0" w:space="0" w:color="auto"/>
        <w:bottom w:val="none" w:sz="0" w:space="0" w:color="auto"/>
        <w:right w:val="none" w:sz="0" w:space="0" w:color="auto"/>
      </w:divBdr>
    </w:div>
    <w:div w:id="1097411168">
      <w:bodyDiv w:val="1"/>
      <w:marLeft w:val="0"/>
      <w:marRight w:val="0"/>
      <w:marTop w:val="0"/>
      <w:marBottom w:val="0"/>
      <w:divBdr>
        <w:top w:val="none" w:sz="0" w:space="0" w:color="auto"/>
        <w:left w:val="none" w:sz="0" w:space="0" w:color="auto"/>
        <w:bottom w:val="none" w:sz="0" w:space="0" w:color="auto"/>
        <w:right w:val="none" w:sz="0" w:space="0" w:color="auto"/>
      </w:divBdr>
    </w:div>
    <w:div w:id="1102258005">
      <w:bodyDiv w:val="1"/>
      <w:marLeft w:val="0"/>
      <w:marRight w:val="0"/>
      <w:marTop w:val="0"/>
      <w:marBottom w:val="0"/>
      <w:divBdr>
        <w:top w:val="none" w:sz="0" w:space="0" w:color="auto"/>
        <w:left w:val="none" w:sz="0" w:space="0" w:color="auto"/>
        <w:bottom w:val="none" w:sz="0" w:space="0" w:color="auto"/>
        <w:right w:val="none" w:sz="0" w:space="0" w:color="auto"/>
      </w:divBdr>
    </w:div>
    <w:div w:id="1113787954">
      <w:bodyDiv w:val="1"/>
      <w:marLeft w:val="0"/>
      <w:marRight w:val="0"/>
      <w:marTop w:val="0"/>
      <w:marBottom w:val="0"/>
      <w:divBdr>
        <w:top w:val="none" w:sz="0" w:space="0" w:color="auto"/>
        <w:left w:val="none" w:sz="0" w:space="0" w:color="auto"/>
        <w:bottom w:val="none" w:sz="0" w:space="0" w:color="auto"/>
        <w:right w:val="none" w:sz="0" w:space="0" w:color="auto"/>
      </w:divBdr>
    </w:div>
    <w:div w:id="1136415475">
      <w:bodyDiv w:val="1"/>
      <w:marLeft w:val="0"/>
      <w:marRight w:val="0"/>
      <w:marTop w:val="0"/>
      <w:marBottom w:val="0"/>
      <w:divBdr>
        <w:top w:val="none" w:sz="0" w:space="0" w:color="auto"/>
        <w:left w:val="none" w:sz="0" w:space="0" w:color="auto"/>
        <w:bottom w:val="none" w:sz="0" w:space="0" w:color="auto"/>
        <w:right w:val="none" w:sz="0" w:space="0" w:color="auto"/>
      </w:divBdr>
    </w:div>
    <w:div w:id="1154907455">
      <w:bodyDiv w:val="1"/>
      <w:marLeft w:val="0"/>
      <w:marRight w:val="0"/>
      <w:marTop w:val="0"/>
      <w:marBottom w:val="0"/>
      <w:divBdr>
        <w:top w:val="none" w:sz="0" w:space="0" w:color="auto"/>
        <w:left w:val="none" w:sz="0" w:space="0" w:color="auto"/>
        <w:bottom w:val="none" w:sz="0" w:space="0" w:color="auto"/>
        <w:right w:val="none" w:sz="0" w:space="0" w:color="auto"/>
      </w:divBdr>
    </w:div>
    <w:div w:id="1207836216">
      <w:bodyDiv w:val="1"/>
      <w:marLeft w:val="0"/>
      <w:marRight w:val="0"/>
      <w:marTop w:val="0"/>
      <w:marBottom w:val="0"/>
      <w:divBdr>
        <w:top w:val="none" w:sz="0" w:space="0" w:color="auto"/>
        <w:left w:val="none" w:sz="0" w:space="0" w:color="auto"/>
        <w:bottom w:val="none" w:sz="0" w:space="0" w:color="auto"/>
        <w:right w:val="none" w:sz="0" w:space="0" w:color="auto"/>
      </w:divBdr>
    </w:div>
    <w:div w:id="1238633728">
      <w:bodyDiv w:val="1"/>
      <w:marLeft w:val="0"/>
      <w:marRight w:val="0"/>
      <w:marTop w:val="0"/>
      <w:marBottom w:val="0"/>
      <w:divBdr>
        <w:top w:val="none" w:sz="0" w:space="0" w:color="auto"/>
        <w:left w:val="none" w:sz="0" w:space="0" w:color="auto"/>
        <w:bottom w:val="none" w:sz="0" w:space="0" w:color="auto"/>
        <w:right w:val="none" w:sz="0" w:space="0" w:color="auto"/>
      </w:divBdr>
    </w:div>
    <w:div w:id="1241719839">
      <w:bodyDiv w:val="1"/>
      <w:marLeft w:val="0"/>
      <w:marRight w:val="0"/>
      <w:marTop w:val="0"/>
      <w:marBottom w:val="0"/>
      <w:divBdr>
        <w:top w:val="none" w:sz="0" w:space="0" w:color="auto"/>
        <w:left w:val="none" w:sz="0" w:space="0" w:color="auto"/>
        <w:bottom w:val="none" w:sz="0" w:space="0" w:color="auto"/>
        <w:right w:val="none" w:sz="0" w:space="0" w:color="auto"/>
      </w:divBdr>
    </w:div>
    <w:div w:id="1254625662">
      <w:bodyDiv w:val="1"/>
      <w:marLeft w:val="0"/>
      <w:marRight w:val="0"/>
      <w:marTop w:val="0"/>
      <w:marBottom w:val="0"/>
      <w:divBdr>
        <w:top w:val="none" w:sz="0" w:space="0" w:color="auto"/>
        <w:left w:val="none" w:sz="0" w:space="0" w:color="auto"/>
        <w:bottom w:val="none" w:sz="0" w:space="0" w:color="auto"/>
        <w:right w:val="none" w:sz="0" w:space="0" w:color="auto"/>
      </w:divBdr>
    </w:div>
    <w:div w:id="1272857799">
      <w:bodyDiv w:val="1"/>
      <w:marLeft w:val="0"/>
      <w:marRight w:val="0"/>
      <w:marTop w:val="0"/>
      <w:marBottom w:val="0"/>
      <w:divBdr>
        <w:top w:val="none" w:sz="0" w:space="0" w:color="auto"/>
        <w:left w:val="none" w:sz="0" w:space="0" w:color="auto"/>
        <w:bottom w:val="none" w:sz="0" w:space="0" w:color="auto"/>
        <w:right w:val="none" w:sz="0" w:space="0" w:color="auto"/>
      </w:divBdr>
    </w:div>
    <w:div w:id="1318223530">
      <w:bodyDiv w:val="1"/>
      <w:marLeft w:val="0"/>
      <w:marRight w:val="0"/>
      <w:marTop w:val="0"/>
      <w:marBottom w:val="0"/>
      <w:divBdr>
        <w:top w:val="none" w:sz="0" w:space="0" w:color="auto"/>
        <w:left w:val="none" w:sz="0" w:space="0" w:color="auto"/>
        <w:bottom w:val="none" w:sz="0" w:space="0" w:color="auto"/>
        <w:right w:val="none" w:sz="0" w:space="0" w:color="auto"/>
      </w:divBdr>
    </w:div>
    <w:div w:id="1333603972">
      <w:bodyDiv w:val="1"/>
      <w:marLeft w:val="0"/>
      <w:marRight w:val="0"/>
      <w:marTop w:val="0"/>
      <w:marBottom w:val="0"/>
      <w:divBdr>
        <w:top w:val="none" w:sz="0" w:space="0" w:color="auto"/>
        <w:left w:val="none" w:sz="0" w:space="0" w:color="auto"/>
        <w:bottom w:val="none" w:sz="0" w:space="0" w:color="auto"/>
        <w:right w:val="none" w:sz="0" w:space="0" w:color="auto"/>
      </w:divBdr>
    </w:div>
    <w:div w:id="1344237486">
      <w:bodyDiv w:val="1"/>
      <w:marLeft w:val="0"/>
      <w:marRight w:val="0"/>
      <w:marTop w:val="0"/>
      <w:marBottom w:val="0"/>
      <w:divBdr>
        <w:top w:val="none" w:sz="0" w:space="0" w:color="auto"/>
        <w:left w:val="none" w:sz="0" w:space="0" w:color="auto"/>
        <w:bottom w:val="none" w:sz="0" w:space="0" w:color="auto"/>
        <w:right w:val="none" w:sz="0" w:space="0" w:color="auto"/>
      </w:divBdr>
    </w:div>
    <w:div w:id="1421176777">
      <w:bodyDiv w:val="1"/>
      <w:marLeft w:val="0"/>
      <w:marRight w:val="0"/>
      <w:marTop w:val="0"/>
      <w:marBottom w:val="0"/>
      <w:divBdr>
        <w:top w:val="none" w:sz="0" w:space="0" w:color="auto"/>
        <w:left w:val="none" w:sz="0" w:space="0" w:color="auto"/>
        <w:bottom w:val="none" w:sz="0" w:space="0" w:color="auto"/>
        <w:right w:val="none" w:sz="0" w:space="0" w:color="auto"/>
      </w:divBdr>
    </w:div>
    <w:div w:id="1453940026">
      <w:bodyDiv w:val="1"/>
      <w:marLeft w:val="0"/>
      <w:marRight w:val="0"/>
      <w:marTop w:val="0"/>
      <w:marBottom w:val="0"/>
      <w:divBdr>
        <w:top w:val="none" w:sz="0" w:space="0" w:color="auto"/>
        <w:left w:val="none" w:sz="0" w:space="0" w:color="auto"/>
        <w:bottom w:val="none" w:sz="0" w:space="0" w:color="auto"/>
        <w:right w:val="none" w:sz="0" w:space="0" w:color="auto"/>
      </w:divBdr>
    </w:div>
    <w:div w:id="1480540423">
      <w:bodyDiv w:val="1"/>
      <w:marLeft w:val="0"/>
      <w:marRight w:val="0"/>
      <w:marTop w:val="0"/>
      <w:marBottom w:val="0"/>
      <w:divBdr>
        <w:top w:val="none" w:sz="0" w:space="0" w:color="auto"/>
        <w:left w:val="none" w:sz="0" w:space="0" w:color="auto"/>
        <w:bottom w:val="none" w:sz="0" w:space="0" w:color="auto"/>
        <w:right w:val="none" w:sz="0" w:space="0" w:color="auto"/>
      </w:divBdr>
    </w:div>
    <w:div w:id="1531183279">
      <w:bodyDiv w:val="1"/>
      <w:marLeft w:val="0"/>
      <w:marRight w:val="0"/>
      <w:marTop w:val="0"/>
      <w:marBottom w:val="0"/>
      <w:divBdr>
        <w:top w:val="none" w:sz="0" w:space="0" w:color="auto"/>
        <w:left w:val="none" w:sz="0" w:space="0" w:color="auto"/>
        <w:bottom w:val="none" w:sz="0" w:space="0" w:color="auto"/>
        <w:right w:val="none" w:sz="0" w:space="0" w:color="auto"/>
      </w:divBdr>
    </w:div>
    <w:div w:id="1535657698">
      <w:bodyDiv w:val="1"/>
      <w:marLeft w:val="0"/>
      <w:marRight w:val="0"/>
      <w:marTop w:val="0"/>
      <w:marBottom w:val="0"/>
      <w:divBdr>
        <w:top w:val="none" w:sz="0" w:space="0" w:color="auto"/>
        <w:left w:val="none" w:sz="0" w:space="0" w:color="auto"/>
        <w:bottom w:val="none" w:sz="0" w:space="0" w:color="auto"/>
        <w:right w:val="none" w:sz="0" w:space="0" w:color="auto"/>
      </w:divBdr>
    </w:div>
    <w:div w:id="1566911764">
      <w:bodyDiv w:val="1"/>
      <w:marLeft w:val="0"/>
      <w:marRight w:val="0"/>
      <w:marTop w:val="0"/>
      <w:marBottom w:val="0"/>
      <w:divBdr>
        <w:top w:val="none" w:sz="0" w:space="0" w:color="auto"/>
        <w:left w:val="none" w:sz="0" w:space="0" w:color="auto"/>
        <w:bottom w:val="none" w:sz="0" w:space="0" w:color="auto"/>
        <w:right w:val="none" w:sz="0" w:space="0" w:color="auto"/>
      </w:divBdr>
    </w:div>
    <w:div w:id="1571651138">
      <w:bodyDiv w:val="1"/>
      <w:marLeft w:val="0"/>
      <w:marRight w:val="0"/>
      <w:marTop w:val="0"/>
      <w:marBottom w:val="0"/>
      <w:divBdr>
        <w:top w:val="none" w:sz="0" w:space="0" w:color="auto"/>
        <w:left w:val="none" w:sz="0" w:space="0" w:color="auto"/>
        <w:bottom w:val="none" w:sz="0" w:space="0" w:color="auto"/>
        <w:right w:val="none" w:sz="0" w:space="0" w:color="auto"/>
      </w:divBdr>
    </w:div>
    <w:div w:id="1588030296">
      <w:bodyDiv w:val="1"/>
      <w:marLeft w:val="0"/>
      <w:marRight w:val="0"/>
      <w:marTop w:val="0"/>
      <w:marBottom w:val="0"/>
      <w:divBdr>
        <w:top w:val="none" w:sz="0" w:space="0" w:color="auto"/>
        <w:left w:val="none" w:sz="0" w:space="0" w:color="auto"/>
        <w:bottom w:val="none" w:sz="0" w:space="0" w:color="auto"/>
        <w:right w:val="none" w:sz="0" w:space="0" w:color="auto"/>
      </w:divBdr>
    </w:div>
    <w:div w:id="1590042851">
      <w:bodyDiv w:val="1"/>
      <w:marLeft w:val="0"/>
      <w:marRight w:val="0"/>
      <w:marTop w:val="0"/>
      <w:marBottom w:val="0"/>
      <w:divBdr>
        <w:top w:val="none" w:sz="0" w:space="0" w:color="auto"/>
        <w:left w:val="none" w:sz="0" w:space="0" w:color="auto"/>
        <w:bottom w:val="none" w:sz="0" w:space="0" w:color="auto"/>
        <w:right w:val="none" w:sz="0" w:space="0" w:color="auto"/>
      </w:divBdr>
    </w:div>
    <w:div w:id="1594850739">
      <w:bodyDiv w:val="1"/>
      <w:marLeft w:val="0"/>
      <w:marRight w:val="0"/>
      <w:marTop w:val="0"/>
      <w:marBottom w:val="0"/>
      <w:divBdr>
        <w:top w:val="none" w:sz="0" w:space="0" w:color="auto"/>
        <w:left w:val="none" w:sz="0" w:space="0" w:color="auto"/>
        <w:bottom w:val="none" w:sz="0" w:space="0" w:color="auto"/>
        <w:right w:val="none" w:sz="0" w:space="0" w:color="auto"/>
      </w:divBdr>
    </w:div>
    <w:div w:id="1634291192">
      <w:bodyDiv w:val="1"/>
      <w:marLeft w:val="0"/>
      <w:marRight w:val="0"/>
      <w:marTop w:val="0"/>
      <w:marBottom w:val="0"/>
      <w:divBdr>
        <w:top w:val="none" w:sz="0" w:space="0" w:color="auto"/>
        <w:left w:val="none" w:sz="0" w:space="0" w:color="auto"/>
        <w:bottom w:val="none" w:sz="0" w:space="0" w:color="auto"/>
        <w:right w:val="none" w:sz="0" w:space="0" w:color="auto"/>
      </w:divBdr>
    </w:div>
    <w:div w:id="1647397883">
      <w:bodyDiv w:val="1"/>
      <w:marLeft w:val="0"/>
      <w:marRight w:val="0"/>
      <w:marTop w:val="0"/>
      <w:marBottom w:val="0"/>
      <w:divBdr>
        <w:top w:val="none" w:sz="0" w:space="0" w:color="auto"/>
        <w:left w:val="none" w:sz="0" w:space="0" w:color="auto"/>
        <w:bottom w:val="none" w:sz="0" w:space="0" w:color="auto"/>
        <w:right w:val="none" w:sz="0" w:space="0" w:color="auto"/>
      </w:divBdr>
    </w:div>
    <w:div w:id="1648777074">
      <w:bodyDiv w:val="1"/>
      <w:marLeft w:val="0"/>
      <w:marRight w:val="0"/>
      <w:marTop w:val="0"/>
      <w:marBottom w:val="0"/>
      <w:divBdr>
        <w:top w:val="none" w:sz="0" w:space="0" w:color="auto"/>
        <w:left w:val="none" w:sz="0" w:space="0" w:color="auto"/>
        <w:bottom w:val="none" w:sz="0" w:space="0" w:color="auto"/>
        <w:right w:val="none" w:sz="0" w:space="0" w:color="auto"/>
      </w:divBdr>
    </w:div>
    <w:div w:id="1704549801">
      <w:bodyDiv w:val="1"/>
      <w:marLeft w:val="0"/>
      <w:marRight w:val="0"/>
      <w:marTop w:val="0"/>
      <w:marBottom w:val="0"/>
      <w:divBdr>
        <w:top w:val="none" w:sz="0" w:space="0" w:color="auto"/>
        <w:left w:val="none" w:sz="0" w:space="0" w:color="auto"/>
        <w:bottom w:val="none" w:sz="0" w:space="0" w:color="auto"/>
        <w:right w:val="none" w:sz="0" w:space="0" w:color="auto"/>
      </w:divBdr>
    </w:div>
    <w:div w:id="1710690884">
      <w:bodyDiv w:val="1"/>
      <w:marLeft w:val="0"/>
      <w:marRight w:val="0"/>
      <w:marTop w:val="0"/>
      <w:marBottom w:val="0"/>
      <w:divBdr>
        <w:top w:val="none" w:sz="0" w:space="0" w:color="auto"/>
        <w:left w:val="none" w:sz="0" w:space="0" w:color="auto"/>
        <w:bottom w:val="none" w:sz="0" w:space="0" w:color="auto"/>
        <w:right w:val="none" w:sz="0" w:space="0" w:color="auto"/>
      </w:divBdr>
    </w:div>
    <w:div w:id="1743717444">
      <w:bodyDiv w:val="1"/>
      <w:marLeft w:val="0"/>
      <w:marRight w:val="0"/>
      <w:marTop w:val="0"/>
      <w:marBottom w:val="0"/>
      <w:divBdr>
        <w:top w:val="none" w:sz="0" w:space="0" w:color="auto"/>
        <w:left w:val="none" w:sz="0" w:space="0" w:color="auto"/>
        <w:bottom w:val="none" w:sz="0" w:space="0" w:color="auto"/>
        <w:right w:val="none" w:sz="0" w:space="0" w:color="auto"/>
      </w:divBdr>
    </w:div>
    <w:div w:id="1753896585">
      <w:bodyDiv w:val="1"/>
      <w:marLeft w:val="0"/>
      <w:marRight w:val="0"/>
      <w:marTop w:val="0"/>
      <w:marBottom w:val="0"/>
      <w:divBdr>
        <w:top w:val="none" w:sz="0" w:space="0" w:color="auto"/>
        <w:left w:val="none" w:sz="0" w:space="0" w:color="auto"/>
        <w:bottom w:val="none" w:sz="0" w:space="0" w:color="auto"/>
        <w:right w:val="none" w:sz="0" w:space="0" w:color="auto"/>
      </w:divBdr>
    </w:div>
    <w:div w:id="1867980497">
      <w:bodyDiv w:val="1"/>
      <w:marLeft w:val="0"/>
      <w:marRight w:val="0"/>
      <w:marTop w:val="0"/>
      <w:marBottom w:val="0"/>
      <w:divBdr>
        <w:top w:val="none" w:sz="0" w:space="0" w:color="auto"/>
        <w:left w:val="none" w:sz="0" w:space="0" w:color="auto"/>
        <w:bottom w:val="none" w:sz="0" w:space="0" w:color="auto"/>
        <w:right w:val="none" w:sz="0" w:space="0" w:color="auto"/>
      </w:divBdr>
    </w:div>
    <w:div w:id="1868248386">
      <w:bodyDiv w:val="1"/>
      <w:marLeft w:val="0"/>
      <w:marRight w:val="0"/>
      <w:marTop w:val="0"/>
      <w:marBottom w:val="0"/>
      <w:divBdr>
        <w:top w:val="none" w:sz="0" w:space="0" w:color="auto"/>
        <w:left w:val="none" w:sz="0" w:space="0" w:color="auto"/>
        <w:bottom w:val="none" w:sz="0" w:space="0" w:color="auto"/>
        <w:right w:val="none" w:sz="0" w:space="0" w:color="auto"/>
      </w:divBdr>
    </w:div>
    <w:div w:id="1879080680">
      <w:bodyDiv w:val="1"/>
      <w:marLeft w:val="0"/>
      <w:marRight w:val="0"/>
      <w:marTop w:val="0"/>
      <w:marBottom w:val="0"/>
      <w:divBdr>
        <w:top w:val="none" w:sz="0" w:space="0" w:color="auto"/>
        <w:left w:val="none" w:sz="0" w:space="0" w:color="auto"/>
        <w:bottom w:val="none" w:sz="0" w:space="0" w:color="auto"/>
        <w:right w:val="none" w:sz="0" w:space="0" w:color="auto"/>
      </w:divBdr>
    </w:div>
    <w:div w:id="1902521863">
      <w:bodyDiv w:val="1"/>
      <w:marLeft w:val="0"/>
      <w:marRight w:val="0"/>
      <w:marTop w:val="0"/>
      <w:marBottom w:val="0"/>
      <w:divBdr>
        <w:top w:val="none" w:sz="0" w:space="0" w:color="auto"/>
        <w:left w:val="none" w:sz="0" w:space="0" w:color="auto"/>
        <w:bottom w:val="none" w:sz="0" w:space="0" w:color="auto"/>
        <w:right w:val="none" w:sz="0" w:space="0" w:color="auto"/>
      </w:divBdr>
    </w:div>
    <w:div w:id="1937899634">
      <w:bodyDiv w:val="1"/>
      <w:marLeft w:val="0"/>
      <w:marRight w:val="0"/>
      <w:marTop w:val="0"/>
      <w:marBottom w:val="0"/>
      <w:divBdr>
        <w:top w:val="none" w:sz="0" w:space="0" w:color="auto"/>
        <w:left w:val="none" w:sz="0" w:space="0" w:color="auto"/>
        <w:bottom w:val="none" w:sz="0" w:space="0" w:color="auto"/>
        <w:right w:val="none" w:sz="0" w:space="0" w:color="auto"/>
      </w:divBdr>
    </w:div>
    <w:div w:id="1956212533">
      <w:bodyDiv w:val="1"/>
      <w:marLeft w:val="0"/>
      <w:marRight w:val="0"/>
      <w:marTop w:val="0"/>
      <w:marBottom w:val="0"/>
      <w:divBdr>
        <w:top w:val="none" w:sz="0" w:space="0" w:color="auto"/>
        <w:left w:val="none" w:sz="0" w:space="0" w:color="auto"/>
        <w:bottom w:val="none" w:sz="0" w:space="0" w:color="auto"/>
        <w:right w:val="none" w:sz="0" w:space="0" w:color="auto"/>
      </w:divBdr>
    </w:div>
    <w:div w:id="1968924089">
      <w:bodyDiv w:val="1"/>
      <w:marLeft w:val="0"/>
      <w:marRight w:val="0"/>
      <w:marTop w:val="0"/>
      <w:marBottom w:val="0"/>
      <w:divBdr>
        <w:top w:val="none" w:sz="0" w:space="0" w:color="auto"/>
        <w:left w:val="none" w:sz="0" w:space="0" w:color="auto"/>
        <w:bottom w:val="none" w:sz="0" w:space="0" w:color="auto"/>
        <w:right w:val="none" w:sz="0" w:space="0" w:color="auto"/>
      </w:divBdr>
    </w:div>
    <w:div w:id="1978558969">
      <w:bodyDiv w:val="1"/>
      <w:marLeft w:val="0"/>
      <w:marRight w:val="0"/>
      <w:marTop w:val="0"/>
      <w:marBottom w:val="0"/>
      <w:divBdr>
        <w:top w:val="none" w:sz="0" w:space="0" w:color="auto"/>
        <w:left w:val="none" w:sz="0" w:space="0" w:color="auto"/>
        <w:bottom w:val="none" w:sz="0" w:space="0" w:color="auto"/>
        <w:right w:val="none" w:sz="0" w:space="0" w:color="auto"/>
      </w:divBdr>
    </w:div>
    <w:div w:id="1985163883">
      <w:bodyDiv w:val="1"/>
      <w:marLeft w:val="0"/>
      <w:marRight w:val="0"/>
      <w:marTop w:val="0"/>
      <w:marBottom w:val="0"/>
      <w:divBdr>
        <w:top w:val="none" w:sz="0" w:space="0" w:color="auto"/>
        <w:left w:val="none" w:sz="0" w:space="0" w:color="auto"/>
        <w:bottom w:val="none" w:sz="0" w:space="0" w:color="auto"/>
        <w:right w:val="none" w:sz="0" w:space="0" w:color="auto"/>
      </w:divBdr>
    </w:div>
    <w:div w:id="1994485028">
      <w:bodyDiv w:val="1"/>
      <w:marLeft w:val="0"/>
      <w:marRight w:val="0"/>
      <w:marTop w:val="0"/>
      <w:marBottom w:val="0"/>
      <w:divBdr>
        <w:top w:val="none" w:sz="0" w:space="0" w:color="auto"/>
        <w:left w:val="none" w:sz="0" w:space="0" w:color="auto"/>
        <w:bottom w:val="none" w:sz="0" w:space="0" w:color="auto"/>
        <w:right w:val="none" w:sz="0" w:space="0" w:color="auto"/>
      </w:divBdr>
    </w:div>
    <w:div w:id="2022514325">
      <w:bodyDiv w:val="1"/>
      <w:marLeft w:val="0"/>
      <w:marRight w:val="0"/>
      <w:marTop w:val="0"/>
      <w:marBottom w:val="0"/>
      <w:divBdr>
        <w:top w:val="none" w:sz="0" w:space="0" w:color="auto"/>
        <w:left w:val="none" w:sz="0" w:space="0" w:color="auto"/>
        <w:bottom w:val="none" w:sz="0" w:space="0" w:color="auto"/>
        <w:right w:val="none" w:sz="0" w:space="0" w:color="auto"/>
      </w:divBdr>
    </w:div>
    <w:div w:id="2071419552">
      <w:bodyDiv w:val="1"/>
      <w:marLeft w:val="0"/>
      <w:marRight w:val="0"/>
      <w:marTop w:val="0"/>
      <w:marBottom w:val="0"/>
      <w:divBdr>
        <w:top w:val="none" w:sz="0" w:space="0" w:color="auto"/>
        <w:left w:val="none" w:sz="0" w:space="0" w:color="auto"/>
        <w:bottom w:val="none" w:sz="0" w:space="0" w:color="auto"/>
        <w:right w:val="none" w:sz="0" w:space="0" w:color="auto"/>
      </w:divBdr>
    </w:div>
    <w:div w:id="2078436534">
      <w:bodyDiv w:val="1"/>
      <w:marLeft w:val="0"/>
      <w:marRight w:val="0"/>
      <w:marTop w:val="0"/>
      <w:marBottom w:val="0"/>
      <w:divBdr>
        <w:top w:val="none" w:sz="0" w:space="0" w:color="auto"/>
        <w:left w:val="none" w:sz="0" w:space="0" w:color="auto"/>
        <w:bottom w:val="none" w:sz="0" w:space="0" w:color="auto"/>
        <w:right w:val="none" w:sz="0" w:space="0" w:color="auto"/>
      </w:divBdr>
    </w:div>
    <w:div w:id="2092969816">
      <w:bodyDiv w:val="1"/>
      <w:marLeft w:val="0"/>
      <w:marRight w:val="0"/>
      <w:marTop w:val="0"/>
      <w:marBottom w:val="0"/>
      <w:divBdr>
        <w:top w:val="none" w:sz="0" w:space="0" w:color="auto"/>
        <w:left w:val="none" w:sz="0" w:space="0" w:color="auto"/>
        <w:bottom w:val="none" w:sz="0" w:space="0" w:color="auto"/>
        <w:right w:val="none" w:sz="0" w:space="0" w:color="auto"/>
      </w:divBdr>
    </w:div>
    <w:div w:id="2108576096">
      <w:bodyDiv w:val="1"/>
      <w:marLeft w:val="0"/>
      <w:marRight w:val="0"/>
      <w:marTop w:val="0"/>
      <w:marBottom w:val="0"/>
      <w:divBdr>
        <w:top w:val="none" w:sz="0" w:space="0" w:color="auto"/>
        <w:left w:val="none" w:sz="0" w:space="0" w:color="auto"/>
        <w:bottom w:val="none" w:sz="0" w:space="0" w:color="auto"/>
        <w:right w:val="none" w:sz="0" w:space="0" w:color="auto"/>
      </w:divBdr>
    </w:div>
    <w:div w:id="21281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udget%20Template.dotm" TargetMode="External"/></Relationships>
</file>

<file path=word/documenttasks/documenttasks1.xml><?xml version="1.0" encoding="utf-8"?>
<t:Tasks xmlns:t="http://schemas.microsoft.com/office/tasks/2019/documenttasks" xmlns:oel="http://schemas.microsoft.com/office/2019/extlst">
  <t:Task id="{39071BDD-0DC2-4923-B7A7-BFF43C96161B}">
    <t:Anchor>
      <t:Comment id="1495239256"/>
    </t:Anchor>
    <t:History>
      <t:Event id="{AD9F93AF-D49A-4E32-B7CA-475B06A8E283}" time="2021-09-13T04:27:01.931Z">
        <t:Attribution userId="S::debra.chesters@treasury.gov.au::38ea8cff-abd5-4cb1-a122-1e5c5fe15b48" userProvider="AD" userName="Chesters, Debra"/>
        <t:Anchor>
          <t:Comment id="1495239256"/>
        </t:Anchor>
        <t:Create/>
      </t:Event>
      <t:Event id="{FB3A7A85-ECC8-4348-85E1-9CE736AA72CD}" time="2021-09-13T04:27:01.931Z">
        <t:Attribution userId="S::debra.chesters@treasury.gov.au::38ea8cff-abd5-4cb1-a122-1e5c5fe15b48" userProvider="AD" userName="Chesters, Debra"/>
        <t:Anchor>
          <t:Comment id="1495239256"/>
        </t:Anchor>
        <t:Assign userId="S::Jack.Elliott@treasury.gov.au::47febcbc-0311-4635-bf3e-62ee2d0ebbc1" userProvider="AD" userName="Elliott, Jack"/>
      </t:Event>
      <t:Event id="{67D56EF3-6690-4EEC-98FA-8693E7FB8C87}" time="2021-09-13T04:27:01.931Z">
        <t:Attribution userId="S::debra.chesters@treasury.gov.au::38ea8cff-abd5-4cb1-a122-1e5c5fe15b48" userProvider="AD" userName="Chesters, Debra"/>
        <t:Anchor>
          <t:Comment id="1495239256"/>
        </t:Anchor>
        <t:SetTitle title="@Elliott, Jack are tables 7 &amp; 8 new this FBO? if so should we flag for BG?"/>
      </t:Event>
    </t:History>
  </t:Task>
  <t:Task id="{2F03DA42-80F6-4E11-9638-2209E1E9F136}">
    <t:Anchor>
      <t:Comment id="1904714572"/>
    </t:Anchor>
    <t:History>
      <t:Event id="{4B7F5732-D556-42BC-89B3-D891412495F6}" time="2021-09-20T02:22:05.546Z">
        <t:Attribution userId="S::debra.chesters@treasury.gov.au::38ea8cff-abd5-4cb1-a122-1e5c5fe15b48" userProvider="AD" userName="Chesters, Debra"/>
        <t:Anchor>
          <t:Comment id="1904714572"/>
        </t:Anchor>
        <t:Create/>
      </t:Event>
      <t:Event id="{9CFDF530-DCB7-456B-96CD-3BAA7689D661}" time="2021-09-20T02:22:05.546Z">
        <t:Attribution userId="S::debra.chesters@treasury.gov.au::38ea8cff-abd5-4cb1-a122-1e5c5fe15b48" userProvider="AD" userName="Chesters, Debra"/>
        <t:Anchor>
          <t:Comment id="1904714572"/>
        </t:Anchor>
        <t:Assign userId="S::Jack.Elliott@treasury.gov.au::47febcbc-0311-4635-bf3e-62ee2d0ebbc1" userProvider="AD" userName="Elliott, Jack"/>
      </t:Event>
      <t:Event id="{20DD3A9D-AADC-4C34-804A-DD14D9408154}" time="2021-09-20T02:22:05.546Z">
        <t:Attribution userId="S::debra.chesters@treasury.gov.au::38ea8cff-abd5-4cb1-a122-1e5c5fe15b48" userProvider="AD" userName="Chesters, Debra"/>
        <t:Anchor>
          <t:Comment id="1904714572"/>
        </t:Anchor>
        <t:SetTitle title="@Elliott, Jack this sounds a bit funny but has this language been approved by SES/JW already previously? If not i'd suggest changing to &quot;the impact of the COVID-19 pandemic&quot; on the outlook; rather than 'effect of covid on the outlook'. but if this has …"/>
      </t:Event>
    </t:History>
  </t:Task>
</t:Tasks>
</file>

<file path=word/theme/theme1.xml><?xml version="1.0" encoding="utf-8"?>
<a:theme xmlns:a="http://schemas.openxmlformats.org/drawingml/2006/main" name="Office Theme">
  <a:themeElements>
    <a:clrScheme name="Budget_UPDATE">
      <a:dk1>
        <a:sysClr val="windowText" lastClr="000000"/>
      </a:dk1>
      <a:lt1>
        <a:sysClr val="window" lastClr="FFFFFF"/>
      </a:lt1>
      <a:dk2>
        <a:srgbClr val="004874"/>
      </a:dk2>
      <a:lt2>
        <a:srgbClr val="6D7684"/>
      </a:lt2>
      <a:accent1>
        <a:srgbClr val="0364C3"/>
      </a:accent1>
      <a:accent2>
        <a:srgbClr val="BE5154"/>
      </a:accent2>
      <a:accent3>
        <a:srgbClr val="844D9E"/>
      </a:accent3>
      <a:accent4>
        <a:srgbClr val="00818F"/>
      </a:accent4>
      <a:accent5>
        <a:srgbClr val="213657"/>
      </a:accent5>
      <a:accent6>
        <a:srgbClr val="02843D"/>
      </a:accent6>
      <a:hlink>
        <a:srgbClr val="3A6FAF"/>
      </a:hlink>
      <a:folHlink>
        <a:srgbClr val="E61E2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8" ma:contentTypeDescription="Create a new document." ma:contentTypeScope="" ma:versionID="092904712c5e4c6a15b1bdf1190fae0f">
  <xsd:schema xmlns:xsd="http://www.w3.org/2001/XMLSchema" xmlns:xs="http://www.w3.org/2001/XMLSchema" xmlns:p="http://schemas.microsoft.com/office/2006/metadata/properties" xmlns:ns2="9115ddca-c623-419f-a3c0-6a1c58c4dac8" xmlns:ns3="244fe85f-b655-4145-9b20-543b75dc1c24" targetNamespace="http://schemas.microsoft.com/office/2006/metadata/properties" ma:root="true" ma:fieldsID="22849c979aeee53219bde45a02bc19c3" ns2:_="" ns3:_="">
    <xsd:import namespace="9115ddca-c623-419f-a3c0-6a1c58c4dac8"/>
    <xsd:import namespace="244fe85f-b655-4145-9b20-543b75dc1c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9115ddca-c623-419f-a3c0-6a1c58c4dac8" xsi:nil="true"/>
    <Notes xmlns="9115ddca-c623-419f-a3c0-6a1c58c4da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E40C4-A30D-4C90-8668-BDF15322C96E}">
  <ds:schemaRefs>
    <ds:schemaRef ds:uri="http://schemas.microsoft.com/sharepoint/v3/contenttype/forms"/>
  </ds:schemaRefs>
</ds:datastoreItem>
</file>

<file path=customXml/itemProps2.xml><?xml version="1.0" encoding="utf-8"?>
<ds:datastoreItem xmlns:ds="http://schemas.openxmlformats.org/officeDocument/2006/customXml" ds:itemID="{9C90F992-1871-4AA7-B10E-9DFB3531D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9AE12-CC9A-412D-949E-EC548DA98921}">
  <ds:schemaRefs>
    <ds:schemaRef ds:uri="http://schemas.microsoft.com/office/2006/documentManagement/types"/>
    <ds:schemaRef ds:uri="http://schemas.microsoft.com/office/infopath/2007/PartnerControls"/>
    <ds:schemaRef ds:uri="9115ddca-c623-419f-a3c0-6a1c58c4dac8"/>
    <ds:schemaRef ds:uri="http://purl.org/dc/elements/1.1/"/>
    <ds:schemaRef ds:uri="http://schemas.microsoft.com/office/2006/metadata/properties"/>
    <ds:schemaRef ds:uri="http://purl.org/dc/terms/"/>
    <ds:schemaRef ds:uri="244fe85f-b655-4145-9b20-543b75dc1c24"/>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15E2C8E-F16F-4218-8BDF-A1A308297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Template.dotm</Template>
  <TotalTime>163</TotalTime>
  <Pages>17</Pages>
  <Words>4292</Words>
  <Characters>24233</Characters>
  <Application>Microsoft Office Word</Application>
  <DocSecurity>0</DocSecurity>
  <Lines>1621</Lines>
  <Paragraphs>1067</Paragraphs>
  <ScaleCrop>false</ScaleCrop>
  <HeadingPairs>
    <vt:vector size="2" baseType="variant">
      <vt:variant>
        <vt:lpstr>Title</vt:lpstr>
      </vt:variant>
      <vt:variant>
        <vt:i4>1</vt:i4>
      </vt:variant>
    </vt:vector>
  </HeadingPairs>
  <TitlesOfParts>
    <vt:vector size="1" baseType="lpstr">
      <vt:lpstr>Final Budget Outcome 2020–21</vt:lpstr>
    </vt:vector>
  </TitlesOfParts>
  <Company>Australian Government - The Treasury</Company>
  <LinksUpToDate>false</LinksUpToDate>
  <CharactersWithSpaces>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Budget Outcome 2020–21</dc:title>
  <dc:subject>Part 1: Australian Government Budget Outcome 2020–21</dc:subject>
  <dc:creator>Australian Government</dc:creator>
  <cp:keywords/>
  <dc:description/>
  <cp:lastModifiedBy>Hill, Christine</cp:lastModifiedBy>
  <cp:revision>1141</cp:revision>
  <cp:lastPrinted>2021-09-24T01:36:00Z</cp:lastPrinted>
  <dcterms:created xsi:type="dcterms:W3CDTF">2021-09-03T03:29:00Z</dcterms:created>
  <dcterms:modified xsi:type="dcterms:W3CDTF">2021-09-27T01:06:00Z</dcterms:modified>
</cp:coreProperties>
</file>