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7381" w14:textId="2D55BEE2" w:rsidR="00565BE0" w:rsidRPr="00F6273C" w:rsidRDefault="007D7E50" w:rsidP="00762ADD">
      <w:pPr>
        <w:pStyle w:val="Heading1"/>
        <w:rPr>
          <w:bCs/>
          <w:iCs/>
        </w:rPr>
      </w:pPr>
      <w:r w:rsidRPr="00F6273C">
        <w:rPr>
          <w:bCs/>
          <w:iCs/>
          <w:color w:val="0000FF"/>
          <w:sz w:val="15"/>
          <w:szCs w:val="15"/>
        </w:rPr>
        <w:fldChar w:fldCharType="begin"/>
      </w:r>
      <w:r w:rsidRPr="00F6273C">
        <w:rPr>
          <w:color w:val="0000FF"/>
          <w:sz w:val="15"/>
          <w:szCs w:val="15"/>
        </w:rPr>
        <w:instrText xml:space="preserve"> :Start Index: </w:instrText>
      </w:r>
      <w:r w:rsidRPr="00F6273C">
        <w:rPr>
          <w:bCs/>
          <w:iCs/>
          <w:color w:val="0000FF"/>
          <w:sz w:val="15"/>
          <w:szCs w:val="15"/>
        </w:rPr>
        <w:fldChar w:fldCharType="end"/>
      </w:r>
      <w:r w:rsidR="005642B3" w:rsidRPr="00F6273C">
        <w:rPr>
          <w:bCs/>
          <w:iCs/>
          <w:color w:val="008000"/>
          <w:sz w:val="15"/>
          <w:szCs w:val="15"/>
        </w:rPr>
        <w:fldChar w:fldCharType="begin"/>
      </w:r>
      <w:r w:rsidR="005642B3" w:rsidRPr="00F6273C">
        <w:rPr>
          <w:bCs/>
          <w:iCs/>
          <w:color w:val="008000"/>
          <w:sz w:val="15"/>
          <w:szCs w:val="15"/>
        </w:rPr>
        <w:instrText xml:space="preserve"> :Accountability:|MECD_TP3|Treasury|MECD|Trevor Power|Caroline Gibbons|Alice Shen|4267 </w:instrText>
      </w:r>
      <w:r w:rsidR="005642B3" w:rsidRPr="00F6273C">
        <w:rPr>
          <w:bCs/>
          <w:iCs/>
          <w:color w:val="008000"/>
          <w:sz w:val="15"/>
          <w:szCs w:val="15"/>
        </w:rPr>
        <w:fldChar w:fldCharType="end"/>
      </w:r>
      <w:r w:rsidR="00CB2ED5" w:rsidRPr="00F6273C">
        <w:rPr>
          <w:bCs/>
          <w:iCs/>
          <w:color w:val="008000"/>
          <w:sz w:val="15"/>
          <w:szCs w:val="15"/>
        </w:rPr>
        <w:fldChar w:fldCharType="begin"/>
      </w:r>
      <w:r w:rsidR="00CB2ED5" w:rsidRPr="00F6273C">
        <w:rPr>
          <w:bCs/>
          <w:iCs/>
          <w:color w:val="008000"/>
          <w:sz w:val="15"/>
          <w:szCs w:val="15"/>
        </w:rPr>
        <w:instrText xml:space="preserve"> :Accountability:|MECD_TP2|Treasury|MECD|Trevor Power|Michael Gardner|Alice Shen|3082 </w:instrText>
      </w:r>
      <w:r w:rsidR="00CB2ED5" w:rsidRPr="00F6273C">
        <w:rPr>
          <w:bCs/>
          <w:iCs/>
          <w:color w:val="008000"/>
          <w:sz w:val="15"/>
          <w:szCs w:val="15"/>
        </w:rPr>
        <w:fldChar w:fldCharType="end"/>
      </w:r>
      <w:r w:rsidR="007D269F" w:rsidRPr="00F6273C">
        <w:rPr>
          <w:bCs/>
          <w:iCs/>
          <w:color w:val="008000"/>
          <w:sz w:val="15"/>
          <w:szCs w:val="15"/>
        </w:rPr>
        <w:fldChar w:fldCharType="begin"/>
      </w:r>
      <w:r w:rsidR="007D269F" w:rsidRPr="00F6273C">
        <w:rPr>
          <w:bCs/>
          <w:iCs/>
          <w:color w:val="008000"/>
          <w:sz w:val="15"/>
          <w:szCs w:val="15"/>
        </w:rPr>
        <w:instrText xml:space="preserve"> :Accountability:|FARM_AB1|Finance|FARM|Angela Baum|Tony Olliffee|Niki Lee|6215 2697 </w:instrText>
      </w:r>
      <w:r w:rsidR="007D269F" w:rsidRPr="00F6273C">
        <w:rPr>
          <w:bCs/>
          <w:iCs/>
          <w:color w:val="008000"/>
          <w:sz w:val="15"/>
          <w:szCs w:val="15"/>
        </w:rPr>
        <w:fldChar w:fldCharType="end"/>
      </w:r>
      <w:r w:rsidR="00E1538D" w:rsidRPr="00F6273C">
        <w:rPr>
          <w:bCs/>
          <w:iCs/>
          <w:color w:val="008000"/>
          <w:sz w:val="15"/>
          <w:szCs w:val="15"/>
        </w:rPr>
        <w:fldChar w:fldCharType="begin"/>
      </w:r>
      <w:r w:rsidR="00E1538D" w:rsidRPr="00F6273C">
        <w:rPr>
          <w:bCs/>
          <w:iCs/>
          <w:color w:val="008000"/>
          <w:sz w:val="15"/>
          <w:szCs w:val="15"/>
        </w:rPr>
        <w:instrText xml:space="preserve"> :Accountability:|TAD_KDM2|Treasury|TAD|Katrina Di Marco|Richard Maher|Isla Pawson|4511 </w:instrText>
      </w:r>
      <w:r w:rsidR="00E1538D" w:rsidRPr="00F6273C">
        <w:rPr>
          <w:bCs/>
          <w:iCs/>
          <w:color w:val="008000"/>
          <w:sz w:val="15"/>
          <w:szCs w:val="15"/>
        </w:rPr>
        <w:fldChar w:fldCharType="end"/>
      </w:r>
      <w:r w:rsidR="00871E37" w:rsidRPr="00F6273C">
        <w:rPr>
          <w:bCs/>
          <w:iCs/>
          <w:color w:val="008000"/>
          <w:sz w:val="15"/>
          <w:szCs w:val="15"/>
        </w:rPr>
        <w:fldChar w:fldCharType="begin"/>
      </w:r>
      <w:r w:rsidR="00871E37" w:rsidRPr="00F6273C">
        <w:rPr>
          <w:bCs/>
          <w:iCs/>
          <w:color w:val="008000"/>
          <w:sz w:val="15"/>
          <w:szCs w:val="15"/>
        </w:rPr>
        <w:instrText xml:space="preserve"> :Accountability:|BPCD_ER1|Finance|BPCD|Elicia Rudnicki|Rumesh Gunerante|Rumesh Gunerante|62153855 </w:instrText>
      </w:r>
      <w:r w:rsidR="00871E37" w:rsidRPr="00F6273C">
        <w:rPr>
          <w:bCs/>
          <w:iCs/>
          <w:color w:val="008000"/>
          <w:sz w:val="15"/>
          <w:szCs w:val="15"/>
        </w:rPr>
        <w:fldChar w:fldCharType="end"/>
      </w:r>
      <w:r w:rsidR="00871E37" w:rsidRPr="00F6273C">
        <w:rPr>
          <w:bCs/>
          <w:iCs/>
          <w:color w:val="008000"/>
          <w:sz w:val="15"/>
          <w:szCs w:val="15"/>
        </w:rPr>
        <w:fldChar w:fldCharType="begin"/>
      </w:r>
      <w:r w:rsidR="00871E37" w:rsidRPr="00F6273C">
        <w:rPr>
          <w:bCs/>
          <w:iCs/>
          <w:color w:val="008000"/>
          <w:sz w:val="15"/>
          <w:szCs w:val="15"/>
        </w:rPr>
        <w:instrText xml:space="preserve"> :Accountability:|FARM_HH1|Finance|FARM|Holly Hart|Tony Olliffee|Niki Lee|6215 2697 </w:instrText>
      </w:r>
      <w:r w:rsidR="00871E37" w:rsidRPr="00F6273C">
        <w:rPr>
          <w:bCs/>
          <w:iCs/>
          <w:color w:val="008000"/>
          <w:sz w:val="15"/>
          <w:szCs w:val="15"/>
        </w:rPr>
        <w:fldChar w:fldCharType="end"/>
      </w:r>
      <w:r w:rsidR="00AA0C91" w:rsidRPr="00F6273C">
        <w:rPr>
          <w:bCs/>
          <w:iCs/>
          <w:color w:val="008000"/>
          <w:sz w:val="15"/>
          <w:szCs w:val="15"/>
        </w:rPr>
        <w:fldChar w:fldCharType="begin"/>
      </w:r>
      <w:r w:rsidR="00AA0C91" w:rsidRPr="00F6273C">
        <w:rPr>
          <w:bCs/>
          <w:iCs/>
          <w:color w:val="008000"/>
          <w:sz w:val="15"/>
          <w:szCs w:val="15"/>
        </w:rPr>
        <w:instrText xml:space="preserve"> :Accountability:|MCD_CB3|Treasury|MCD|Christine Barron|Paul Palisi|David Da Silva|3967 </w:instrText>
      </w:r>
      <w:r w:rsidR="00AA0C91" w:rsidRPr="00F6273C">
        <w:rPr>
          <w:bCs/>
          <w:iCs/>
          <w:color w:val="008000"/>
          <w:sz w:val="15"/>
          <w:szCs w:val="15"/>
        </w:rPr>
        <w:fldChar w:fldCharType="end"/>
      </w:r>
      <w:r w:rsidR="00373445" w:rsidRPr="00F6273C">
        <w:rPr>
          <w:bCs/>
          <w:iCs/>
          <w:color w:val="008000"/>
          <w:sz w:val="15"/>
          <w:szCs w:val="15"/>
        </w:rPr>
        <w:fldChar w:fldCharType="begin"/>
      </w:r>
      <w:r w:rsidR="00373445" w:rsidRPr="00F6273C">
        <w:rPr>
          <w:color w:val="008000"/>
          <w:sz w:val="15"/>
          <w:szCs w:val="15"/>
        </w:rPr>
        <w:instrText xml:space="preserve"> :Accountability:|BPD_JR3|Treasury|BPD|Jonathan Rollings|Jane Gordon|Michael O'Brien|3645 </w:instrText>
      </w:r>
      <w:r w:rsidR="00373445" w:rsidRPr="00F6273C">
        <w:rPr>
          <w:bCs/>
          <w:iCs/>
          <w:color w:val="008000"/>
          <w:sz w:val="15"/>
          <w:szCs w:val="15"/>
        </w:rPr>
        <w:fldChar w:fldCharType="end"/>
      </w:r>
      <w:r w:rsidR="008C2EF5" w:rsidRPr="00F6273C">
        <w:rPr>
          <w:bCs/>
          <w:iCs/>
          <w:color w:val="008000"/>
          <w:sz w:val="15"/>
          <w:szCs w:val="15"/>
        </w:rPr>
        <w:fldChar w:fldCharType="begin"/>
      </w:r>
      <w:r w:rsidR="008C2EF5" w:rsidRPr="00F6273C">
        <w:rPr>
          <w:color w:val="008000"/>
          <w:sz w:val="15"/>
          <w:szCs w:val="15"/>
        </w:rPr>
        <w:instrText xml:space="preserve"> :Accountability:|NSCSRD_DW1|Treasury|NSCSRD|Damien White|Peta Dixon|Peta Dixon|2886 </w:instrText>
      </w:r>
      <w:r w:rsidR="008C2EF5" w:rsidRPr="00F6273C">
        <w:rPr>
          <w:bCs/>
          <w:iCs/>
          <w:color w:val="008000"/>
          <w:sz w:val="15"/>
          <w:szCs w:val="15"/>
        </w:rPr>
        <w:fldChar w:fldCharType="end"/>
      </w:r>
      <w:r w:rsidR="00C43EAF" w:rsidRPr="00F6273C">
        <w:rPr>
          <w:bCs/>
          <w:iCs/>
          <w:color w:val="008000"/>
          <w:sz w:val="15"/>
          <w:szCs w:val="15"/>
        </w:rPr>
        <w:fldChar w:fldCharType="begin"/>
      </w:r>
      <w:r w:rsidR="00C43EAF" w:rsidRPr="00F6273C">
        <w:rPr>
          <w:color w:val="008000"/>
          <w:sz w:val="15"/>
          <w:szCs w:val="15"/>
        </w:rPr>
        <w:instrText xml:space="preserve"> :Accountability:|FSD_JK3|Treasury|FSD|James Kelly|Lauren Hogan|John Nguyen|4559 </w:instrText>
      </w:r>
      <w:r w:rsidR="00C43EAF" w:rsidRPr="00F6273C">
        <w:rPr>
          <w:bCs/>
          <w:iCs/>
          <w:color w:val="008000"/>
          <w:sz w:val="15"/>
          <w:szCs w:val="15"/>
        </w:rPr>
        <w:fldChar w:fldCharType="end"/>
      </w:r>
      <w:r w:rsidR="00C43EAF" w:rsidRPr="00F6273C">
        <w:rPr>
          <w:bCs/>
          <w:iCs/>
          <w:color w:val="008000"/>
          <w:sz w:val="15"/>
          <w:szCs w:val="15"/>
        </w:rPr>
        <w:fldChar w:fldCharType="begin"/>
      </w:r>
      <w:r w:rsidR="00C43EAF" w:rsidRPr="00F6273C">
        <w:rPr>
          <w:color w:val="008000"/>
          <w:sz w:val="15"/>
          <w:szCs w:val="15"/>
        </w:rPr>
        <w:instrText xml:space="preserve"> :Accountability:|FSD_JK2|Treasury|FSD|James Kelly|James Douglas|John Nguyen|4559 </w:instrText>
      </w:r>
      <w:r w:rsidR="00C43EAF" w:rsidRPr="00F6273C">
        <w:rPr>
          <w:bCs/>
          <w:iCs/>
          <w:color w:val="008000"/>
          <w:sz w:val="15"/>
          <w:szCs w:val="15"/>
        </w:rPr>
        <w:fldChar w:fldCharType="end"/>
      </w:r>
      <w:r w:rsidR="00C43EAF" w:rsidRPr="00F6273C">
        <w:rPr>
          <w:bCs/>
          <w:iCs/>
          <w:color w:val="008000"/>
          <w:sz w:val="15"/>
          <w:szCs w:val="15"/>
        </w:rPr>
        <w:fldChar w:fldCharType="begin"/>
      </w:r>
      <w:r w:rsidR="00C43EAF" w:rsidRPr="00F6273C">
        <w:rPr>
          <w:color w:val="008000"/>
          <w:sz w:val="15"/>
          <w:szCs w:val="15"/>
        </w:rPr>
        <w:instrText xml:space="preserve"> :Accountability:|FSD_JK1|Treasury|FSD|James Kelly|</w:instrText>
      </w:r>
      <w:r w:rsidR="00EC10F1" w:rsidRPr="00F6273C">
        <w:rPr>
          <w:color w:val="008000"/>
          <w:sz w:val="15"/>
          <w:szCs w:val="15"/>
        </w:rPr>
        <w:instrText>Isobel Sloan</w:instrText>
      </w:r>
      <w:r w:rsidR="00C43EAF" w:rsidRPr="00F6273C">
        <w:rPr>
          <w:color w:val="008000"/>
          <w:sz w:val="15"/>
          <w:szCs w:val="15"/>
        </w:rPr>
        <w:instrText xml:space="preserve">|John Nguyen|4559 </w:instrText>
      </w:r>
      <w:r w:rsidR="00C43EAF" w:rsidRPr="00F6273C">
        <w:rPr>
          <w:bCs/>
          <w:iCs/>
          <w:color w:val="008000"/>
          <w:sz w:val="15"/>
          <w:szCs w:val="15"/>
        </w:rPr>
        <w:fldChar w:fldCharType="end"/>
      </w:r>
      <w:r w:rsidR="00434984" w:rsidRPr="00F6273C">
        <w:rPr>
          <w:bCs/>
          <w:iCs/>
          <w:color w:val="008000"/>
          <w:sz w:val="15"/>
          <w:szCs w:val="15"/>
        </w:rPr>
        <w:fldChar w:fldCharType="begin"/>
      </w:r>
      <w:r w:rsidR="00434984" w:rsidRPr="00F6273C">
        <w:rPr>
          <w:color w:val="008000"/>
          <w:sz w:val="15"/>
          <w:szCs w:val="15"/>
        </w:rPr>
        <w:instrText xml:space="preserve"> :Accountability:|CITD_PM1|Treasury|CITD|Paul McCullough|Paul Fischer|Niall Peat|4294 </w:instrText>
      </w:r>
      <w:r w:rsidR="00434984" w:rsidRPr="00F6273C">
        <w:rPr>
          <w:bCs/>
          <w:iCs/>
          <w:color w:val="008000"/>
          <w:sz w:val="15"/>
          <w:szCs w:val="15"/>
        </w:rPr>
        <w:fldChar w:fldCharType="end"/>
      </w:r>
      <w:r w:rsidR="00434984" w:rsidRPr="00F6273C">
        <w:rPr>
          <w:bCs/>
          <w:iCs/>
          <w:color w:val="008000"/>
          <w:sz w:val="15"/>
          <w:szCs w:val="15"/>
        </w:rPr>
        <w:fldChar w:fldCharType="begin"/>
      </w:r>
      <w:r w:rsidR="00434984" w:rsidRPr="00F6273C">
        <w:rPr>
          <w:color w:val="008000"/>
          <w:sz w:val="15"/>
          <w:szCs w:val="15"/>
        </w:rPr>
        <w:instrText xml:space="preserve"> :Accountability:|EIID_MB4|Treasury|EIID|Matt Brine|Gregory Derlacz|Lisa Schafranek|4450 </w:instrText>
      </w:r>
      <w:r w:rsidR="00434984" w:rsidRPr="00F6273C">
        <w:rPr>
          <w:bCs/>
          <w:iCs/>
          <w:color w:val="008000"/>
          <w:sz w:val="15"/>
          <w:szCs w:val="15"/>
        </w:rPr>
        <w:fldChar w:fldCharType="end"/>
      </w:r>
      <w:r w:rsidR="00B33514" w:rsidRPr="00F6273C">
        <w:rPr>
          <w:bCs/>
          <w:iCs/>
          <w:color w:val="008000"/>
          <w:sz w:val="15"/>
          <w:szCs w:val="15"/>
        </w:rPr>
        <w:fldChar w:fldCharType="begin"/>
      </w:r>
      <w:r w:rsidR="00B33514" w:rsidRPr="00F6273C">
        <w:rPr>
          <w:color w:val="008000"/>
          <w:sz w:val="15"/>
          <w:szCs w:val="15"/>
        </w:rPr>
        <w:instrText xml:space="preserve"> :Accountability:|MCD_CB2|Treasury|MCD|Christine Barron|Alex Paull|David Da Silva|3967 </w:instrText>
      </w:r>
      <w:r w:rsidR="00B33514" w:rsidRPr="00F6273C">
        <w:rPr>
          <w:bCs/>
          <w:iCs/>
          <w:color w:val="008000"/>
          <w:sz w:val="15"/>
          <w:szCs w:val="15"/>
        </w:rPr>
        <w:fldChar w:fldCharType="end"/>
      </w:r>
      <w:r w:rsidR="00F3513F" w:rsidRPr="00F6273C">
        <w:rPr>
          <w:bCs/>
          <w:iCs/>
          <w:color w:val="008000"/>
          <w:sz w:val="15"/>
          <w:szCs w:val="15"/>
        </w:rPr>
        <w:fldChar w:fldCharType="begin"/>
      </w:r>
      <w:r w:rsidR="00F3513F" w:rsidRPr="00F6273C">
        <w:rPr>
          <w:color w:val="008000"/>
          <w:sz w:val="15"/>
          <w:szCs w:val="15"/>
        </w:rPr>
        <w:instrText xml:space="preserve"> :Accountability:|SPD_VW6|Treasury|SPD|Vicki Wilkinson|Carla Adami|Danika Maxwell|4129 </w:instrText>
      </w:r>
      <w:r w:rsidR="00F3513F" w:rsidRPr="00F6273C">
        <w:rPr>
          <w:bCs/>
          <w:iCs/>
          <w:color w:val="008000"/>
          <w:sz w:val="15"/>
          <w:szCs w:val="15"/>
        </w:rPr>
        <w:fldChar w:fldCharType="end"/>
      </w:r>
      <w:r w:rsidR="00F3513F" w:rsidRPr="00F6273C">
        <w:rPr>
          <w:bCs/>
          <w:iCs/>
          <w:color w:val="008000"/>
          <w:sz w:val="15"/>
          <w:szCs w:val="15"/>
        </w:rPr>
        <w:fldChar w:fldCharType="begin"/>
      </w:r>
      <w:r w:rsidR="00F3513F" w:rsidRPr="00F6273C">
        <w:rPr>
          <w:color w:val="008000"/>
          <w:sz w:val="15"/>
          <w:szCs w:val="15"/>
        </w:rPr>
        <w:instrText xml:space="preserve"> :Accountability:|EIID_MB3|Treasury|EIID|Matt Brine|Matthew Burston|Lisa Schafranek|4450 </w:instrText>
      </w:r>
      <w:r w:rsidR="00F3513F" w:rsidRPr="00F6273C">
        <w:rPr>
          <w:bCs/>
          <w:iCs/>
          <w:color w:val="008000"/>
          <w:sz w:val="15"/>
          <w:szCs w:val="15"/>
        </w:rPr>
        <w:fldChar w:fldCharType="end"/>
      </w:r>
      <w:r w:rsidR="008C08B5" w:rsidRPr="00F6273C">
        <w:rPr>
          <w:bCs/>
          <w:iCs/>
          <w:color w:val="008000"/>
          <w:sz w:val="15"/>
          <w:szCs w:val="15"/>
        </w:rPr>
        <w:fldChar w:fldCharType="begin"/>
      </w:r>
      <w:r w:rsidR="008C08B5" w:rsidRPr="00F6273C">
        <w:rPr>
          <w:color w:val="008000"/>
          <w:sz w:val="15"/>
          <w:szCs w:val="15"/>
        </w:rPr>
        <w:instrText xml:space="preserve"> :Accountability:|SPD_VW5|Treasury|SPD|Vicki Wilkinson|Michele Arcaro|Danika Maxwell|4129 </w:instrText>
      </w:r>
      <w:r w:rsidR="008C08B5" w:rsidRPr="00F6273C">
        <w:rPr>
          <w:bCs/>
          <w:iCs/>
          <w:color w:val="008000"/>
          <w:sz w:val="15"/>
          <w:szCs w:val="15"/>
        </w:rPr>
        <w:fldChar w:fldCharType="end"/>
      </w:r>
      <w:r w:rsidR="008C08B5" w:rsidRPr="00F6273C">
        <w:rPr>
          <w:bCs/>
          <w:iCs/>
          <w:color w:val="008000"/>
          <w:sz w:val="15"/>
          <w:szCs w:val="15"/>
        </w:rPr>
        <w:fldChar w:fldCharType="begin"/>
      </w:r>
      <w:r w:rsidR="008C08B5" w:rsidRPr="00F6273C">
        <w:rPr>
          <w:color w:val="008000"/>
          <w:sz w:val="15"/>
          <w:szCs w:val="15"/>
        </w:rPr>
        <w:instrText xml:space="preserve"> :Accountability:|EIID_MB2|Treasury|EIID|Matt Brine|Simon Milnes|Lisa Schafranek|4450 </w:instrText>
      </w:r>
      <w:r w:rsidR="008C08B5" w:rsidRPr="00F6273C">
        <w:rPr>
          <w:bCs/>
          <w:iCs/>
          <w:color w:val="008000"/>
          <w:sz w:val="15"/>
          <w:szCs w:val="15"/>
        </w:rPr>
        <w:fldChar w:fldCharType="end"/>
      </w:r>
      <w:r w:rsidR="008C08B5" w:rsidRPr="00F6273C">
        <w:rPr>
          <w:bCs/>
          <w:iCs/>
          <w:color w:val="008000"/>
          <w:sz w:val="15"/>
          <w:szCs w:val="15"/>
        </w:rPr>
        <w:fldChar w:fldCharType="begin"/>
      </w:r>
      <w:r w:rsidR="008C08B5" w:rsidRPr="00F6273C">
        <w:rPr>
          <w:color w:val="008000"/>
          <w:sz w:val="15"/>
          <w:szCs w:val="15"/>
        </w:rPr>
        <w:instrText xml:space="preserve"> :Accountability:|EIID_MB1|Treasury|EIID|Matt Brine|Chai Tee|Lisa Schafranek|4450 </w:instrText>
      </w:r>
      <w:r w:rsidR="008C08B5" w:rsidRPr="00F6273C">
        <w:rPr>
          <w:bCs/>
          <w:iCs/>
          <w:color w:val="008000"/>
          <w:sz w:val="15"/>
          <w:szCs w:val="15"/>
        </w:rPr>
        <w:fldChar w:fldCharType="end"/>
      </w:r>
      <w:r w:rsidR="005D4378" w:rsidRPr="00F6273C">
        <w:rPr>
          <w:bCs/>
          <w:iCs/>
          <w:color w:val="008000"/>
          <w:sz w:val="15"/>
          <w:szCs w:val="15"/>
        </w:rPr>
        <w:fldChar w:fldCharType="begin"/>
      </w:r>
      <w:r w:rsidR="005D4378" w:rsidRPr="00F6273C">
        <w:rPr>
          <w:color w:val="008000"/>
          <w:sz w:val="15"/>
          <w:szCs w:val="15"/>
        </w:rPr>
        <w:instrText xml:space="preserve"> :Accountability:|IITD_HT2|Treasury|IITD|Hector Thompson|Tina Smith|Tim Vogler|3477 </w:instrText>
      </w:r>
      <w:r w:rsidR="005D4378" w:rsidRPr="00F6273C">
        <w:rPr>
          <w:bCs/>
          <w:iCs/>
          <w:color w:val="008000"/>
          <w:sz w:val="15"/>
          <w:szCs w:val="15"/>
        </w:rPr>
        <w:fldChar w:fldCharType="end"/>
      </w:r>
      <w:r w:rsidR="005D4378" w:rsidRPr="00F6273C">
        <w:rPr>
          <w:bCs/>
          <w:iCs/>
          <w:color w:val="008000"/>
          <w:sz w:val="15"/>
          <w:szCs w:val="15"/>
        </w:rPr>
        <w:fldChar w:fldCharType="begin"/>
      </w:r>
      <w:r w:rsidR="005D4378" w:rsidRPr="00F6273C">
        <w:rPr>
          <w:color w:val="008000"/>
          <w:sz w:val="15"/>
          <w:szCs w:val="15"/>
        </w:rPr>
        <w:instrText xml:space="preserve"> :Accountability:|MCD_CB1|Treasury|MCD|Christine Barron|Jodi Keall|David Da Silva|3967 </w:instrText>
      </w:r>
      <w:r w:rsidR="005D4378" w:rsidRPr="00F6273C">
        <w:rPr>
          <w:bCs/>
          <w:iCs/>
          <w:color w:val="008000"/>
          <w:sz w:val="15"/>
          <w:szCs w:val="15"/>
        </w:rPr>
        <w:fldChar w:fldCharType="end"/>
      </w:r>
      <w:r w:rsidR="008C02E2" w:rsidRPr="00F6273C">
        <w:rPr>
          <w:bCs/>
          <w:iCs/>
          <w:color w:val="008000"/>
          <w:sz w:val="15"/>
          <w:szCs w:val="15"/>
        </w:rPr>
        <w:fldChar w:fldCharType="begin"/>
      </w:r>
      <w:r w:rsidR="008C02E2" w:rsidRPr="00F6273C">
        <w:rPr>
          <w:color w:val="008000"/>
          <w:sz w:val="15"/>
          <w:szCs w:val="15"/>
        </w:rPr>
        <w:instrText xml:space="preserve"> :Accountability:|SPD_VW4|Treasury|SPD|Vicki Wilkinson|Miles Vonthethoff|Danika Maxwell|4129 </w:instrText>
      </w:r>
      <w:r w:rsidR="008C02E2" w:rsidRPr="00F6273C">
        <w:rPr>
          <w:bCs/>
          <w:iCs/>
          <w:color w:val="008000"/>
          <w:sz w:val="15"/>
          <w:szCs w:val="15"/>
        </w:rPr>
        <w:fldChar w:fldCharType="end"/>
      </w:r>
      <w:r w:rsidR="008C02E2" w:rsidRPr="00F6273C">
        <w:rPr>
          <w:bCs/>
          <w:iCs/>
          <w:color w:val="008000"/>
          <w:sz w:val="15"/>
          <w:szCs w:val="15"/>
        </w:rPr>
        <w:fldChar w:fldCharType="begin"/>
      </w:r>
      <w:r w:rsidR="008C02E2" w:rsidRPr="00F6273C">
        <w:rPr>
          <w:color w:val="008000"/>
          <w:sz w:val="15"/>
          <w:szCs w:val="15"/>
        </w:rPr>
        <w:instrText xml:space="preserve"> :Accountability:|IITD_HT1|Treasury|IITD|Hector Thompson|Georgina Prasad|Tim Vogler|3477 </w:instrText>
      </w:r>
      <w:r w:rsidR="008C02E2" w:rsidRPr="00F6273C">
        <w:rPr>
          <w:bCs/>
          <w:iCs/>
          <w:color w:val="008000"/>
          <w:sz w:val="15"/>
          <w:szCs w:val="15"/>
        </w:rPr>
        <w:fldChar w:fldCharType="end"/>
      </w:r>
      <w:r w:rsidR="00D344AA" w:rsidRPr="00F6273C">
        <w:rPr>
          <w:bCs/>
          <w:iCs/>
          <w:color w:val="008000"/>
          <w:sz w:val="15"/>
          <w:szCs w:val="15"/>
        </w:rPr>
        <w:fldChar w:fldCharType="begin"/>
      </w:r>
      <w:r w:rsidR="00D344AA" w:rsidRPr="00F6273C">
        <w:rPr>
          <w:color w:val="008000"/>
          <w:sz w:val="15"/>
          <w:szCs w:val="15"/>
        </w:rPr>
        <w:instrText xml:space="preserve"> :Accountability:|RIPD_RJ2|Treasury|RIPD|Robert Jeremenko|Jordan George|James Mullaly|4517 </w:instrText>
      </w:r>
      <w:r w:rsidR="00D344AA" w:rsidRPr="00F6273C">
        <w:rPr>
          <w:bCs/>
          <w:iCs/>
          <w:color w:val="008000"/>
          <w:sz w:val="15"/>
          <w:szCs w:val="15"/>
        </w:rPr>
        <w:fldChar w:fldCharType="end"/>
      </w:r>
      <w:r w:rsidR="00E35D4C" w:rsidRPr="00F6273C">
        <w:rPr>
          <w:bCs/>
          <w:iCs/>
          <w:color w:val="008000"/>
          <w:sz w:val="15"/>
          <w:szCs w:val="15"/>
        </w:rPr>
        <w:fldChar w:fldCharType="begin"/>
      </w:r>
      <w:r w:rsidR="00E35D4C" w:rsidRPr="00F6273C">
        <w:rPr>
          <w:color w:val="008000"/>
          <w:sz w:val="15"/>
          <w:szCs w:val="15"/>
        </w:rPr>
        <w:instrText xml:space="preserve"> :Accountability:|RIPD_RJ1|Treasury|RIPD|Robert Jeremenko|James Thomson|James Mullaly|4517 </w:instrText>
      </w:r>
      <w:r w:rsidR="00E35D4C" w:rsidRPr="00F6273C">
        <w:rPr>
          <w:bCs/>
          <w:iCs/>
          <w:color w:val="008000"/>
          <w:sz w:val="15"/>
          <w:szCs w:val="15"/>
        </w:rPr>
        <w:fldChar w:fldCharType="end"/>
      </w:r>
      <w:r w:rsidR="00E35D4C" w:rsidRPr="00F6273C">
        <w:rPr>
          <w:bCs/>
          <w:iCs/>
          <w:color w:val="008000"/>
          <w:sz w:val="15"/>
          <w:szCs w:val="15"/>
        </w:rPr>
        <w:fldChar w:fldCharType="begin"/>
      </w:r>
      <w:r w:rsidR="00E35D4C" w:rsidRPr="00F6273C">
        <w:rPr>
          <w:color w:val="008000"/>
          <w:sz w:val="15"/>
          <w:szCs w:val="15"/>
        </w:rPr>
        <w:instrText xml:space="preserve"> :Accountability:|JKD_PB2|Treasury|JKD|Philippa Brown|Nick Mowbray|Dan Parsons|3709 </w:instrText>
      </w:r>
      <w:r w:rsidR="00E35D4C" w:rsidRPr="00F6273C">
        <w:rPr>
          <w:bCs/>
          <w:iCs/>
          <w:color w:val="008000"/>
          <w:sz w:val="15"/>
          <w:szCs w:val="15"/>
        </w:rPr>
        <w:fldChar w:fldCharType="end"/>
      </w:r>
      <w:r w:rsidR="00E35D4C" w:rsidRPr="00F6273C">
        <w:rPr>
          <w:bCs/>
          <w:iCs/>
          <w:color w:val="008000"/>
          <w:sz w:val="15"/>
          <w:szCs w:val="15"/>
        </w:rPr>
        <w:fldChar w:fldCharType="begin"/>
      </w:r>
      <w:r w:rsidR="00E35D4C" w:rsidRPr="00F6273C">
        <w:rPr>
          <w:color w:val="008000"/>
          <w:sz w:val="15"/>
          <w:szCs w:val="15"/>
        </w:rPr>
        <w:instrText xml:space="preserve"> :Accountability:|JKD_PB1|Treasury|JKD|Philippa Brown|</w:instrText>
      </w:r>
      <w:r w:rsidR="00A44E8A" w:rsidRPr="00F6273C">
        <w:rPr>
          <w:color w:val="008000"/>
          <w:sz w:val="15"/>
          <w:szCs w:val="15"/>
        </w:rPr>
        <w:instrText>Adam Hawkins</w:instrText>
      </w:r>
      <w:r w:rsidR="00E35D4C" w:rsidRPr="00F6273C">
        <w:rPr>
          <w:color w:val="008000"/>
          <w:sz w:val="15"/>
          <w:szCs w:val="15"/>
        </w:rPr>
        <w:instrText xml:space="preserve">|Dan Parsons|3709 </w:instrText>
      </w:r>
      <w:r w:rsidR="00E35D4C" w:rsidRPr="00F6273C">
        <w:rPr>
          <w:bCs/>
          <w:iCs/>
          <w:color w:val="008000"/>
          <w:sz w:val="15"/>
          <w:szCs w:val="15"/>
        </w:rPr>
        <w:fldChar w:fldCharType="end"/>
      </w:r>
      <w:r w:rsidR="00305F1E" w:rsidRPr="00F6273C">
        <w:rPr>
          <w:bCs/>
          <w:iCs/>
          <w:color w:val="008000"/>
          <w:sz w:val="15"/>
          <w:szCs w:val="15"/>
        </w:rPr>
        <w:fldChar w:fldCharType="begin"/>
      </w:r>
      <w:r w:rsidR="00305F1E" w:rsidRPr="00F6273C">
        <w:rPr>
          <w:color w:val="008000"/>
          <w:sz w:val="15"/>
          <w:szCs w:val="15"/>
        </w:rPr>
        <w:instrText xml:space="preserve"> :Accountability:|TAD_KDM1|Treasury|TAD|Katrina Di Marco|</w:instrText>
      </w:r>
      <w:r w:rsidR="00165B02" w:rsidRPr="00F6273C">
        <w:rPr>
          <w:color w:val="008000"/>
          <w:sz w:val="15"/>
          <w:szCs w:val="15"/>
        </w:rPr>
        <w:instrText>Mark Bott</w:instrText>
      </w:r>
      <w:r w:rsidR="00305F1E" w:rsidRPr="00F6273C">
        <w:rPr>
          <w:color w:val="008000"/>
          <w:sz w:val="15"/>
          <w:szCs w:val="15"/>
        </w:rPr>
        <w:instrText xml:space="preserve">|Isla Pawson|4511 </w:instrText>
      </w:r>
      <w:r w:rsidR="00305F1E" w:rsidRPr="00F6273C">
        <w:rPr>
          <w:bCs/>
          <w:iCs/>
          <w:color w:val="008000"/>
          <w:sz w:val="15"/>
          <w:szCs w:val="15"/>
        </w:rPr>
        <w:fldChar w:fldCharType="end"/>
      </w:r>
      <w:r w:rsidR="00855896" w:rsidRPr="00F6273C">
        <w:rPr>
          <w:bCs/>
          <w:iCs/>
          <w:color w:val="008000"/>
          <w:sz w:val="15"/>
          <w:szCs w:val="15"/>
        </w:rPr>
        <w:fldChar w:fldCharType="begin"/>
      </w:r>
      <w:r w:rsidR="00855896" w:rsidRPr="00F6273C">
        <w:rPr>
          <w:color w:val="008000"/>
          <w:sz w:val="15"/>
          <w:szCs w:val="15"/>
        </w:rPr>
        <w:instrText xml:space="preserve"> :Accountability:|MECD_TP1|Treasury|MECD|T</w:instrText>
      </w:r>
      <w:r w:rsidR="00265834" w:rsidRPr="00F6273C">
        <w:rPr>
          <w:color w:val="008000"/>
          <w:sz w:val="15"/>
          <w:szCs w:val="15"/>
        </w:rPr>
        <w:instrText>revor Power|Grant Ferres</w:instrText>
      </w:r>
      <w:r w:rsidR="00855896" w:rsidRPr="00F6273C">
        <w:rPr>
          <w:color w:val="008000"/>
          <w:sz w:val="15"/>
          <w:szCs w:val="15"/>
        </w:rPr>
        <w:instrText xml:space="preserve">|Alice Shen|4267 </w:instrText>
      </w:r>
      <w:r w:rsidR="00855896" w:rsidRPr="00F6273C">
        <w:rPr>
          <w:bCs/>
          <w:iCs/>
          <w:color w:val="008000"/>
          <w:sz w:val="15"/>
          <w:szCs w:val="15"/>
        </w:rPr>
        <w:fldChar w:fldCharType="end"/>
      </w:r>
      <w:r w:rsidR="00413C0E" w:rsidRPr="00F6273C">
        <w:rPr>
          <w:bCs/>
          <w:iCs/>
          <w:color w:val="008000"/>
          <w:sz w:val="15"/>
          <w:szCs w:val="15"/>
        </w:rPr>
        <w:fldChar w:fldCharType="begin"/>
      </w:r>
      <w:r w:rsidR="00413C0E" w:rsidRPr="00F6273C">
        <w:rPr>
          <w:color w:val="008000"/>
          <w:sz w:val="15"/>
          <w:szCs w:val="15"/>
        </w:rPr>
        <w:instrText xml:space="preserve"> :Accountability:|SPD_VW3|Treasury|SPD|Vicki Wilkinson|Nick Loan|Danika Maxwell|4129 </w:instrText>
      </w:r>
      <w:r w:rsidR="00413C0E" w:rsidRPr="00F6273C">
        <w:rPr>
          <w:bCs/>
          <w:iCs/>
          <w:color w:val="008000"/>
          <w:sz w:val="15"/>
          <w:szCs w:val="15"/>
        </w:rPr>
        <w:fldChar w:fldCharType="end"/>
      </w:r>
      <w:r w:rsidR="00D37C44" w:rsidRPr="00F6273C">
        <w:rPr>
          <w:bCs/>
          <w:iCs/>
          <w:color w:val="008000"/>
          <w:sz w:val="15"/>
          <w:szCs w:val="15"/>
        </w:rPr>
        <w:fldChar w:fldCharType="begin"/>
      </w:r>
      <w:r w:rsidR="00D37C44" w:rsidRPr="00F6273C">
        <w:rPr>
          <w:color w:val="008000"/>
          <w:sz w:val="15"/>
          <w:szCs w:val="15"/>
        </w:rPr>
        <w:instrText xml:space="preserve"> :Accountability:|CCT_MD1|Treasury|CCT|Michelle Dowdell|Susan Trainor|Clare Caitcheon|2329 </w:instrText>
      </w:r>
      <w:r w:rsidR="00D37C44" w:rsidRPr="00F6273C">
        <w:rPr>
          <w:bCs/>
          <w:iCs/>
          <w:color w:val="008000"/>
          <w:sz w:val="15"/>
          <w:szCs w:val="15"/>
        </w:rPr>
        <w:fldChar w:fldCharType="end"/>
      </w:r>
      <w:r w:rsidR="00B807F8" w:rsidRPr="00F6273C">
        <w:rPr>
          <w:bCs/>
          <w:iCs/>
          <w:color w:val="008000"/>
          <w:sz w:val="15"/>
          <w:szCs w:val="15"/>
        </w:rPr>
        <w:fldChar w:fldCharType="begin"/>
      </w:r>
      <w:r w:rsidR="00B807F8" w:rsidRPr="00F6273C">
        <w:rPr>
          <w:color w:val="008000"/>
          <w:sz w:val="15"/>
          <w:szCs w:val="15"/>
        </w:rPr>
        <w:instrText xml:space="preserve"> :Accountability:|SPD_VW2|Treasury|SPD|Vicki Wilkinson|Tamara Lee|Danika Maxwell|4129 </w:instrText>
      </w:r>
      <w:r w:rsidR="00B807F8" w:rsidRPr="00F6273C">
        <w:rPr>
          <w:bCs/>
          <w:iCs/>
          <w:color w:val="008000"/>
          <w:sz w:val="15"/>
          <w:szCs w:val="15"/>
        </w:rPr>
        <w:fldChar w:fldCharType="end"/>
      </w:r>
      <w:r w:rsidR="00C05104" w:rsidRPr="00F6273C">
        <w:rPr>
          <w:bCs/>
          <w:iCs/>
          <w:color w:val="008000"/>
          <w:sz w:val="15"/>
          <w:szCs w:val="15"/>
        </w:rPr>
        <w:fldChar w:fldCharType="begin"/>
      </w:r>
      <w:r w:rsidR="00C05104" w:rsidRPr="00F6273C">
        <w:rPr>
          <w:color w:val="008000"/>
          <w:sz w:val="15"/>
          <w:szCs w:val="15"/>
        </w:rPr>
        <w:instrText xml:space="preserve"> :Accountability:|SPD_VW1|Treasury|SPD|Vicki Wilkinson|Victoria Wooley|Danika Maxwell|4129 </w:instrText>
      </w:r>
      <w:r w:rsidR="00C05104" w:rsidRPr="00F6273C">
        <w:rPr>
          <w:bCs/>
          <w:iCs/>
          <w:color w:val="008000"/>
          <w:sz w:val="15"/>
          <w:szCs w:val="15"/>
        </w:rPr>
        <w:fldChar w:fldCharType="end"/>
      </w:r>
      <w:r w:rsidR="005B1CAC" w:rsidRPr="00F6273C">
        <w:rPr>
          <w:bCs/>
          <w:iCs/>
          <w:color w:val="008000"/>
          <w:sz w:val="15"/>
          <w:szCs w:val="15"/>
        </w:rPr>
        <w:fldChar w:fldCharType="begin"/>
      </w:r>
      <w:r w:rsidR="005B1CAC" w:rsidRPr="00F6273C">
        <w:rPr>
          <w:color w:val="008000"/>
          <w:sz w:val="15"/>
          <w:szCs w:val="15"/>
        </w:rPr>
        <w:instrText xml:space="preserve"> :Accountability:|CERT_EW1|Treasury|CERT|Elizabeth Williamson|Sally Etherington|Gabriel Dickinson|3568 </w:instrText>
      </w:r>
      <w:r w:rsidR="005B1CAC" w:rsidRPr="00F6273C">
        <w:rPr>
          <w:bCs/>
          <w:iCs/>
          <w:color w:val="008000"/>
          <w:sz w:val="15"/>
          <w:szCs w:val="15"/>
        </w:rPr>
        <w:fldChar w:fldCharType="end"/>
      </w:r>
      <w:r w:rsidR="00FB1233" w:rsidRPr="00F6273C">
        <w:rPr>
          <w:bCs/>
          <w:iCs/>
          <w:color w:val="008000"/>
          <w:sz w:val="15"/>
          <w:szCs w:val="15"/>
        </w:rPr>
        <w:fldChar w:fldCharType="begin"/>
      </w:r>
      <w:r w:rsidR="00FB1233" w:rsidRPr="00F6273C">
        <w:rPr>
          <w:color w:val="008000"/>
          <w:sz w:val="15"/>
          <w:szCs w:val="15"/>
        </w:rPr>
        <w:instrText xml:space="preserve"> :Accountability:|BPD_JR2|Treasury|BPD|Jonathan Rollings|Karen Dunn|Michael O'Brien|3645 </w:instrText>
      </w:r>
      <w:r w:rsidR="00FB1233" w:rsidRPr="00F6273C">
        <w:rPr>
          <w:bCs/>
          <w:iCs/>
          <w:color w:val="008000"/>
          <w:sz w:val="15"/>
          <w:szCs w:val="15"/>
        </w:rPr>
        <w:fldChar w:fldCharType="end"/>
      </w:r>
      <w:r w:rsidRPr="00F6273C">
        <w:rPr>
          <w:bCs/>
          <w:iCs/>
          <w:color w:val="008000"/>
          <w:sz w:val="15"/>
          <w:szCs w:val="15"/>
        </w:rPr>
        <w:fldChar w:fldCharType="begin"/>
      </w:r>
      <w:r w:rsidRPr="00F6273C">
        <w:rPr>
          <w:color w:val="008000"/>
          <w:sz w:val="15"/>
          <w:szCs w:val="15"/>
        </w:rPr>
        <w:instrText xml:space="preserve"> :Accountability:|BPD_JR1|Treasury|BPD|Jonathan Rollings|Shibani Iyer|Michael O'Brien|3645 </w:instrText>
      </w:r>
      <w:r w:rsidRPr="00F6273C">
        <w:rPr>
          <w:bCs/>
          <w:iCs/>
          <w:color w:val="008000"/>
          <w:sz w:val="15"/>
          <w:szCs w:val="15"/>
        </w:rPr>
        <w:fldChar w:fldCharType="end"/>
      </w:r>
      <w:r w:rsidRPr="00F6273C">
        <w:rPr>
          <w:bCs/>
          <w:iCs/>
          <w:color w:val="FF0000"/>
          <w:sz w:val="15"/>
          <w:szCs w:val="15"/>
        </w:rPr>
        <w:fldChar w:fldCharType="begin"/>
      </w:r>
      <w:r w:rsidRPr="00F6273C">
        <w:rPr>
          <w:color w:val="FF0000"/>
          <w:sz w:val="15"/>
          <w:szCs w:val="15"/>
        </w:rPr>
        <w:instrText xml:space="preserve"> :End Index: </w:instrText>
      </w:r>
      <w:r w:rsidRPr="00F6273C">
        <w:rPr>
          <w:bCs/>
          <w:iCs/>
          <w:color w:val="FF0000"/>
          <w:sz w:val="15"/>
          <w:szCs w:val="15"/>
        </w:rPr>
        <w:fldChar w:fldCharType="end"/>
      </w:r>
      <w:r w:rsidR="003C14B1" w:rsidRPr="00F6273C">
        <w:rPr>
          <w:color w:val="0000FF"/>
        </w:rPr>
        <w:fldChar w:fldCharType="begin"/>
      </w:r>
      <w:r w:rsidR="003C14B1" w:rsidRPr="00F6273C">
        <w:rPr>
          <w:color w:val="0000FF"/>
        </w:rPr>
        <w:instrText xml:space="preserve"> :Start:BPD_JR1 </w:instrText>
      </w:r>
      <w:r w:rsidR="003C14B1" w:rsidRPr="00F6273C">
        <w:rPr>
          <w:color w:val="0000FF"/>
        </w:rPr>
        <w:fldChar w:fldCharType="end"/>
      </w:r>
      <w:r w:rsidR="00565BE0" w:rsidRPr="00F6273C">
        <w:t>Part 1: Overview</w:t>
      </w:r>
    </w:p>
    <w:p w14:paraId="3D6CC5DB" w14:textId="0FDDB7E6" w:rsidR="001C39A2" w:rsidRPr="00F6273C" w:rsidRDefault="00761899" w:rsidP="00762ADD">
      <w:r w:rsidRPr="00F6273C">
        <w:t xml:space="preserve">The global </w:t>
      </w:r>
      <w:r w:rsidR="008643DE" w:rsidRPr="00F6273C">
        <w:t>COVID</w:t>
      </w:r>
      <w:r w:rsidR="006B2A22" w:rsidRPr="00F6273C">
        <w:noBreakHyphen/>
      </w:r>
      <w:r w:rsidR="008643DE" w:rsidRPr="00F6273C">
        <w:t xml:space="preserve">19 </w:t>
      </w:r>
      <w:r w:rsidRPr="00F6273C">
        <w:t xml:space="preserve">pandemic is </w:t>
      </w:r>
      <w:proofErr w:type="gramStart"/>
      <w:r w:rsidRPr="00F6273C">
        <w:t>a</w:t>
      </w:r>
      <w:proofErr w:type="gramEnd"/>
      <w:r w:rsidRPr="00F6273C">
        <w:t xml:space="preserve"> once</w:t>
      </w:r>
      <w:r w:rsidR="006B2A22" w:rsidRPr="00F6273C">
        <w:noBreakHyphen/>
      </w:r>
      <w:r w:rsidRPr="00F6273C">
        <w:t>in</w:t>
      </w:r>
      <w:r w:rsidR="006B2A22" w:rsidRPr="00F6273C">
        <w:noBreakHyphen/>
      </w:r>
      <w:r w:rsidRPr="00F6273C">
        <w:t>a</w:t>
      </w:r>
      <w:r w:rsidR="006B2A22" w:rsidRPr="00F6273C">
        <w:noBreakHyphen/>
      </w:r>
      <w:r w:rsidR="000C076C" w:rsidRPr="00F6273C">
        <w:t xml:space="preserve">century </w:t>
      </w:r>
      <w:r w:rsidRPr="00F6273C">
        <w:t>shock. It is placing immense pressure on health systems and economies all around the world.</w:t>
      </w:r>
      <w:r w:rsidR="00D35B6B" w:rsidRPr="00F6273C">
        <w:t xml:space="preserve"> The Government has acted swiftly and decisively to address the significant impacts of COVID</w:t>
      </w:r>
      <w:r w:rsidR="006B2A22" w:rsidRPr="00F6273C">
        <w:noBreakHyphen/>
      </w:r>
      <w:r w:rsidR="00D35B6B" w:rsidRPr="00F6273C">
        <w:t>19 on Australia</w:t>
      </w:r>
      <w:r w:rsidR="006B2A22" w:rsidRPr="00F6273C">
        <w:t>’</w:t>
      </w:r>
      <w:r w:rsidR="00D35B6B" w:rsidRPr="00F6273C">
        <w:t>s health system</w:t>
      </w:r>
      <w:r w:rsidR="00441809" w:rsidRPr="00F6273C">
        <w:t>, the</w:t>
      </w:r>
      <w:r w:rsidR="00D35B6B" w:rsidRPr="00F6273C">
        <w:t xml:space="preserve"> economy</w:t>
      </w:r>
      <w:r w:rsidR="00441809" w:rsidRPr="00F6273C">
        <w:t xml:space="preserve"> and jobs</w:t>
      </w:r>
      <w:r w:rsidR="00DA5029" w:rsidRPr="00F6273C">
        <w:t>,</w:t>
      </w:r>
      <w:r w:rsidR="00441809" w:rsidRPr="00F6273C">
        <w:t xml:space="preserve"> by</w:t>
      </w:r>
      <w:r w:rsidR="00DA5029" w:rsidRPr="00F6273C">
        <w:t xml:space="preserve"> providing</w:t>
      </w:r>
      <w:r w:rsidR="00D35B6B" w:rsidRPr="00F6273C">
        <w:t xml:space="preserve"> an unprecedented level of</w:t>
      </w:r>
      <w:r w:rsidR="00BD43D8" w:rsidRPr="00F6273C">
        <w:t xml:space="preserve"> support</w:t>
      </w:r>
      <w:r w:rsidR="00D35B6B" w:rsidRPr="00F6273C">
        <w:t xml:space="preserve"> to</w:t>
      </w:r>
      <w:r w:rsidR="00BD43D8" w:rsidRPr="00F6273C">
        <w:t xml:space="preserve"> </w:t>
      </w:r>
      <w:r w:rsidR="00DA5029" w:rsidRPr="00F6273C">
        <w:t xml:space="preserve">assist </w:t>
      </w:r>
      <w:r w:rsidR="00BD43D8" w:rsidRPr="00F6273C">
        <w:t>households</w:t>
      </w:r>
      <w:r w:rsidR="00D35B6B" w:rsidRPr="00F6273C">
        <w:t>,</w:t>
      </w:r>
      <w:r w:rsidR="00BD43D8" w:rsidRPr="00F6273C">
        <w:t xml:space="preserve"> </w:t>
      </w:r>
      <w:r w:rsidR="00D35B6B" w:rsidRPr="00F6273C">
        <w:t>keep businesses in business</w:t>
      </w:r>
      <w:r w:rsidR="00BD43D8" w:rsidRPr="00F6273C">
        <w:t xml:space="preserve"> </w:t>
      </w:r>
      <w:r w:rsidR="00D366A5" w:rsidRPr="00F6273C">
        <w:t>and</w:t>
      </w:r>
      <w:r w:rsidR="00D27D52" w:rsidRPr="00F6273C">
        <w:t xml:space="preserve"> </w:t>
      </w:r>
      <w:r w:rsidR="00DA5029" w:rsidRPr="00F6273C">
        <w:t xml:space="preserve">keep </w:t>
      </w:r>
      <w:r w:rsidR="00D35B6B" w:rsidRPr="00F6273C">
        <w:t>Australians in</w:t>
      </w:r>
      <w:r w:rsidR="006B2A22" w:rsidRPr="00F6273C">
        <w:t> </w:t>
      </w:r>
      <w:r w:rsidR="00D35B6B" w:rsidRPr="00F6273C">
        <w:t>jobs.</w:t>
      </w:r>
      <w:r w:rsidR="00FB1233" w:rsidRPr="00F6273C">
        <w:rPr>
          <w:color w:val="FF0000"/>
        </w:rPr>
        <w:fldChar w:fldCharType="begin"/>
      </w:r>
      <w:r w:rsidR="00FB1233" w:rsidRPr="00F6273C">
        <w:rPr>
          <w:color w:val="FF0000"/>
        </w:rPr>
        <w:instrText xml:space="preserve"> :End:BPD_JR1 </w:instrText>
      </w:r>
      <w:r w:rsidR="00FB1233" w:rsidRPr="00F6273C">
        <w:rPr>
          <w:color w:val="FF0000"/>
        </w:rPr>
        <w:fldChar w:fldCharType="end"/>
      </w:r>
    </w:p>
    <w:p w14:paraId="6B100DE0" w14:textId="3F066158" w:rsidR="008A471B" w:rsidRPr="00F6273C" w:rsidRDefault="00FB1233" w:rsidP="00762ADD">
      <w:r w:rsidRPr="00F6273C">
        <w:rPr>
          <w:color w:val="0000FF"/>
        </w:rPr>
        <w:fldChar w:fldCharType="begin"/>
      </w:r>
      <w:r w:rsidRPr="00F6273C">
        <w:rPr>
          <w:color w:val="0000FF"/>
        </w:rPr>
        <w:instrText xml:space="preserve"> :Start:BPD_JR2 </w:instrText>
      </w:r>
      <w:r w:rsidRPr="00F6273C">
        <w:rPr>
          <w:color w:val="0000FF"/>
        </w:rPr>
        <w:fldChar w:fldCharType="end"/>
      </w:r>
      <w:r w:rsidR="00AC3C8C" w:rsidRPr="00F6273C">
        <w:t>The Government</w:t>
      </w:r>
      <w:r w:rsidR="006B2A22" w:rsidRPr="00F6273C">
        <w:t>’</w:t>
      </w:r>
      <w:r w:rsidR="00AC3C8C" w:rsidRPr="00F6273C">
        <w:t xml:space="preserve">s responsible fiscal management over the </w:t>
      </w:r>
      <w:r w:rsidR="00623DB5" w:rsidRPr="00F6273C">
        <w:t xml:space="preserve">past </w:t>
      </w:r>
      <w:r w:rsidR="00AC3C8C" w:rsidRPr="00F6273C">
        <w:t>six and a half years has provided the capacity to respond to the unprecedented economic</w:t>
      </w:r>
      <w:r w:rsidR="00441809" w:rsidRPr="00F6273C">
        <w:t xml:space="preserve"> and fiscal</w:t>
      </w:r>
      <w:r w:rsidR="00E5575B" w:rsidRPr="00F6273C">
        <w:t xml:space="preserve"> challenges posed by the COVID</w:t>
      </w:r>
      <w:r w:rsidR="006B2A22" w:rsidRPr="00F6273C">
        <w:noBreakHyphen/>
      </w:r>
      <w:r w:rsidR="00AC3C8C" w:rsidRPr="00F6273C">
        <w:t xml:space="preserve">19 pandemic. Australia has low levels of debt </w:t>
      </w:r>
      <w:r w:rsidR="000C076C" w:rsidRPr="00F6273C">
        <w:t xml:space="preserve">as a share of </w:t>
      </w:r>
      <w:r w:rsidR="00AC3C8C" w:rsidRPr="00F6273C">
        <w:t xml:space="preserve">GDP compared </w:t>
      </w:r>
      <w:r w:rsidR="00623DB5" w:rsidRPr="00F6273C">
        <w:t xml:space="preserve">with </w:t>
      </w:r>
      <w:r w:rsidR="00AC3C8C" w:rsidRPr="00F6273C">
        <w:t xml:space="preserve">many other countries and in </w:t>
      </w:r>
      <w:proofErr w:type="gramStart"/>
      <w:r w:rsidR="00AC3C8C" w:rsidRPr="00F6273C">
        <w:t>2018</w:t>
      </w:r>
      <w:r w:rsidR="006B2A22" w:rsidRPr="00F6273C">
        <w:noBreakHyphen/>
      </w:r>
      <w:r w:rsidR="00AC3C8C" w:rsidRPr="00F6273C">
        <w:t>19</w:t>
      </w:r>
      <w:proofErr w:type="gramEnd"/>
      <w:r w:rsidR="00AC3C8C" w:rsidRPr="00F6273C">
        <w:t xml:space="preserve"> the Government returned the budget to balance for the first time in 11 years</w:t>
      </w:r>
      <w:r w:rsidR="008A471B" w:rsidRPr="00F6273C">
        <w:t>.</w:t>
      </w:r>
      <w:r w:rsidRPr="00F6273C">
        <w:rPr>
          <w:color w:val="FF0000"/>
        </w:rPr>
        <w:fldChar w:fldCharType="begin"/>
      </w:r>
      <w:r w:rsidRPr="00F6273C">
        <w:rPr>
          <w:color w:val="FF0000"/>
        </w:rPr>
        <w:instrText xml:space="preserve"> :End:BPD_JR2 </w:instrText>
      </w:r>
      <w:r w:rsidRPr="00F6273C">
        <w:rPr>
          <w:color w:val="FF0000"/>
        </w:rPr>
        <w:fldChar w:fldCharType="end"/>
      </w:r>
    </w:p>
    <w:p w14:paraId="62ED5C76" w14:textId="5B061C58" w:rsidR="00595C71" w:rsidRPr="00F6273C" w:rsidRDefault="005B1CAC" w:rsidP="00762ADD">
      <w:r w:rsidRPr="00F6273C">
        <w:rPr>
          <w:color w:val="0000FF"/>
        </w:rPr>
        <w:fldChar w:fldCharType="begin"/>
      </w:r>
      <w:r w:rsidRPr="00F6273C">
        <w:rPr>
          <w:color w:val="0000FF"/>
        </w:rPr>
        <w:instrText xml:space="preserve"> :Start:BPD_JR1 </w:instrText>
      </w:r>
      <w:r w:rsidRPr="00F6273C">
        <w:rPr>
          <w:color w:val="0000FF"/>
        </w:rPr>
        <w:fldChar w:fldCharType="end"/>
      </w:r>
      <w:r w:rsidR="003E3C38" w:rsidRPr="00F6273C">
        <w:t xml:space="preserve">The Government </w:t>
      </w:r>
      <w:r w:rsidR="00DA315B" w:rsidRPr="00F6273C">
        <w:t xml:space="preserve">is </w:t>
      </w:r>
      <w:r w:rsidR="00EB45C5" w:rsidRPr="00F6273C">
        <w:t>provid</w:t>
      </w:r>
      <w:r w:rsidR="00DA315B" w:rsidRPr="00F6273C">
        <w:t>ing</w:t>
      </w:r>
      <w:r w:rsidR="00EB45C5" w:rsidRPr="00F6273C">
        <w:t xml:space="preserve"> timely</w:t>
      </w:r>
      <w:r w:rsidR="00A229E5" w:rsidRPr="00F6273C">
        <w:t xml:space="preserve"> </w:t>
      </w:r>
      <w:r w:rsidR="00056814" w:rsidRPr="00F6273C">
        <w:t>economic support</w:t>
      </w:r>
      <w:r w:rsidR="003E3C38" w:rsidRPr="00F6273C">
        <w:t xml:space="preserve"> </w:t>
      </w:r>
      <w:r w:rsidR="00D366A5" w:rsidRPr="00F6273C">
        <w:t>with</w:t>
      </w:r>
      <w:r w:rsidR="00B81B66" w:rsidRPr="00F6273C">
        <w:t xml:space="preserve"> </w:t>
      </w:r>
      <w:r w:rsidR="00762ADD" w:rsidRPr="00F6273C">
        <w:t>$2</w:t>
      </w:r>
      <w:r w:rsidR="003A4E4A" w:rsidRPr="00F6273C">
        <w:t>8</w:t>
      </w:r>
      <w:r w:rsidR="00FC5787" w:rsidRPr="00F6273C">
        <w:t>9</w:t>
      </w:r>
      <w:r w:rsidR="00762ADD" w:rsidRPr="00F6273C">
        <w:t> </w:t>
      </w:r>
      <w:r w:rsidR="003E3C38" w:rsidRPr="00F6273C">
        <w:t xml:space="preserve">billion in fiscal and balance sheet </w:t>
      </w:r>
      <w:r w:rsidR="00B81B66" w:rsidRPr="00F6273C">
        <w:t>measures</w:t>
      </w:r>
      <w:r w:rsidR="003E3C38" w:rsidRPr="00F6273C">
        <w:t>, equivalent to around 1</w:t>
      </w:r>
      <w:r w:rsidR="003A4E4A" w:rsidRPr="00F6273C">
        <w:t>4.</w:t>
      </w:r>
      <w:r w:rsidR="00C0621B">
        <w:t>6</w:t>
      </w:r>
      <w:r w:rsidR="00FC5787" w:rsidRPr="00F6273C">
        <w:t xml:space="preserve"> </w:t>
      </w:r>
      <w:r w:rsidR="003E3C38" w:rsidRPr="00F6273C">
        <w:t>per</w:t>
      </w:r>
      <w:r w:rsidR="00FC5787" w:rsidRPr="00F6273C">
        <w:t xml:space="preserve"> </w:t>
      </w:r>
      <w:r w:rsidR="003E3C38" w:rsidRPr="00F6273C">
        <w:t xml:space="preserve">cent of </w:t>
      </w:r>
      <w:r w:rsidR="003A4E4A" w:rsidRPr="00F6273C">
        <w:t>2019</w:t>
      </w:r>
      <w:r w:rsidR="006B2A22" w:rsidRPr="00F6273C">
        <w:noBreakHyphen/>
      </w:r>
      <w:r w:rsidR="003A4E4A" w:rsidRPr="00F6273C">
        <w:t xml:space="preserve">20 </w:t>
      </w:r>
      <w:r w:rsidR="003E3C38" w:rsidRPr="00F6273C">
        <w:t>GDP</w:t>
      </w:r>
      <w:r w:rsidR="00855896" w:rsidRPr="00F6273C">
        <w:t>.</w:t>
      </w:r>
      <w:r w:rsidR="00375492" w:rsidRPr="00F6273C">
        <w:t xml:space="preserve"> </w:t>
      </w:r>
      <w:r w:rsidR="006559B3" w:rsidRPr="00F6273C">
        <w:rPr>
          <w:color w:val="FF0000"/>
        </w:rPr>
        <w:fldChar w:fldCharType="begin"/>
      </w:r>
      <w:r w:rsidR="006559B3" w:rsidRPr="00F6273C">
        <w:rPr>
          <w:color w:val="FF0000"/>
        </w:rPr>
        <w:instrText xml:space="preserve"> :End:BPD_JR1 </w:instrText>
      </w:r>
      <w:r w:rsidR="006559B3" w:rsidRPr="00F6273C">
        <w:rPr>
          <w:color w:val="FF0000"/>
        </w:rPr>
        <w:fldChar w:fldCharType="end"/>
      </w:r>
      <w:r w:rsidR="006559B3" w:rsidRPr="00F6273C">
        <w:rPr>
          <w:color w:val="0000FF"/>
        </w:rPr>
        <w:fldChar w:fldCharType="begin"/>
      </w:r>
      <w:r w:rsidR="006559B3" w:rsidRPr="00F6273C">
        <w:rPr>
          <w:color w:val="0000FF"/>
        </w:rPr>
        <w:instrText xml:space="preserve"> :Start:BPD_JR2 </w:instrText>
      </w:r>
      <w:r w:rsidR="006559B3" w:rsidRPr="00F6273C">
        <w:rPr>
          <w:color w:val="0000FF"/>
        </w:rPr>
        <w:fldChar w:fldCharType="end"/>
      </w:r>
      <w:r w:rsidR="00056814" w:rsidRPr="00F6273C">
        <w:t>T</w:t>
      </w:r>
      <w:r w:rsidR="00A229E5" w:rsidRPr="00F6273C">
        <w:t>his action, together with large declines in taxation receipts</w:t>
      </w:r>
      <w:r w:rsidR="00515CCC" w:rsidRPr="00F6273C">
        <w:t xml:space="preserve"> and increases in payments</w:t>
      </w:r>
      <w:r w:rsidR="00A229E5" w:rsidRPr="00F6273C">
        <w:t>, has seen a majo</w:t>
      </w:r>
      <w:r w:rsidR="00D366A5" w:rsidRPr="00F6273C">
        <w:t>r deterioration in the budget</w:t>
      </w:r>
      <w:r w:rsidR="00515CCC" w:rsidRPr="00F6273C">
        <w:t xml:space="preserve"> position</w:t>
      </w:r>
      <w:r w:rsidR="00D366A5" w:rsidRPr="00F6273C">
        <w:t>, with estimated deficits of $</w:t>
      </w:r>
      <w:r w:rsidR="003A4E4A" w:rsidRPr="00F6273C">
        <w:t>85.8</w:t>
      </w:r>
      <w:r w:rsidR="00D366A5" w:rsidRPr="00F6273C">
        <w:t xml:space="preserve"> billion</w:t>
      </w:r>
      <w:r w:rsidR="00441809" w:rsidRPr="00F6273C">
        <w:t xml:space="preserve"> in 2019</w:t>
      </w:r>
      <w:r w:rsidR="006B2A22" w:rsidRPr="00F6273C">
        <w:noBreakHyphen/>
      </w:r>
      <w:r w:rsidR="00441809" w:rsidRPr="00F6273C">
        <w:t>20</w:t>
      </w:r>
      <w:r w:rsidR="00D366A5" w:rsidRPr="00F6273C">
        <w:t xml:space="preserve"> and $</w:t>
      </w:r>
      <w:r w:rsidR="003A4E4A" w:rsidRPr="00F6273C">
        <w:t>184.5</w:t>
      </w:r>
      <w:r w:rsidR="00D366A5" w:rsidRPr="00F6273C">
        <w:t xml:space="preserve"> billion in 2020</w:t>
      </w:r>
      <w:r w:rsidR="006B2A22" w:rsidRPr="00F6273C">
        <w:noBreakHyphen/>
      </w:r>
      <w:r w:rsidR="00D366A5" w:rsidRPr="00F6273C">
        <w:t>21</w:t>
      </w:r>
      <w:r w:rsidR="00441809" w:rsidRPr="00F6273C">
        <w:t>.</w:t>
      </w:r>
      <w:r w:rsidR="00D021E9" w:rsidRPr="00F6273C">
        <w:t xml:space="preserve"> </w:t>
      </w:r>
      <w:r w:rsidR="0079724A" w:rsidRPr="00F6273C">
        <w:rPr>
          <w:color w:val="FF0000"/>
        </w:rPr>
        <w:fldChar w:fldCharType="begin"/>
      </w:r>
      <w:r w:rsidR="0079724A" w:rsidRPr="00F6273C">
        <w:rPr>
          <w:color w:val="FF0000"/>
        </w:rPr>
        <w:instrText xml:space="preserve"> :End:BPD_JR2 </w:instrText>
      </w:r>
      <w:r w:rsidR="0079724A" w:rsidRPr="00F6273C">
        <w:rPr>
          <w:color w:val="FF0000"/>
        </w:rPr>
        <w:fldChar w:fldCharType="end"/>
      </w:r>
    </w:p>
    <w:p w14:paraId="654B536E" w14:textId="7079790D" w:rsidR="004465F4" w:rsidRPr="00F6273C" w:rsidRDefault="00AE7A59" w:rsidP="00762ADD">
      <w:r w:rsidRPr="00F6273C">
        <w:rPr>
          <w:color w:val="0000FF"/>
        </w:rPr>
        <w:fldChar w:fldCharType="begin"/>
      </w:r>
      <w:r w:rsidRPr="00F6273C">
        <w:rPr>
          <w:color w:val="0000FF"/>
        </w:rPr>
        <w:instrText xml:space="preserve"> :Start:MECD_TP1 </w:instrText>
      </w:r>
      <w:r w:rsidRPr="00F6273C">
        <w:rPr>
          <w:color w:val="0000FF"/>
        </w:rPr>
        <w:fldChar w:fldCharType="end"/>
      </w:r>
      <w:r w:rsidR="004465F4" w:rsidRPr="00F6273C">
        <w:t>The domestic and global outlook has deteriorated sharply.</w:t>
      </w:r>
      <w:r w:rsidR="00265834" w:rsidRPr="00F6273C">
        <w:rPr>
          <w:color w:val="FF0000"/>
        </w:rPr>
        <w:fldChar w:fldCharType="begin"/>
      </w:r>
      <w:r w:rsidR="00265834" w:rsidRPr="00F6273C">
        <w:rPr>
          <w:color w:val="FF0000"/>
        </w:rPr>
        <w:instrText xml:space="preserve"> :End:MECD_TP1 </w:instrText>
      </w:r>
      <w:r w:rsidR="00265834" w:rsidRPr="00F6273C">
        <w:rPr>
          <w:color w:val="FF0000"/>
        </w:rPr>
        <w:fldChar w:fldCharType="end"/>
      </w:r>
      <w:r w:rsidR="004465F4" w:rsidRPr="00F6273C">
        <w:t xml:space="preserve"> </w:t>
      </w:r>
      <w:r w:rsidR="00CB2ED5" w:rsidRPr="00F6273C">
        <w:rPr>
          <w:color w:val="0000FF"/>
        </w:rPr>
        <w:fldChar w:fldCharType="begin"/>
      </w:r>
      <w:r w:rsidR="00CB2ED5" w:rsidRPr="00F6273C">
        <w:rPr>
          <w:color w:val="0000FF"/>
        </w:rPr>
        <w:instrText xml:space="preserve"> :Start:MECD_TP2 </w:instrText>
      </w:r>
      <w:r w:rsidR="00CB2ED5" w:rsidRPr="00F6273C">
        <w:rPr>
          <w:color w:val="0000FF"/>
        </w:rPr>
        <w:fldChar w:fldCharType="end"/>
      </w:r>
      <w:r w:rsidR="007353AD" w:rsidRPr="00F6273C">
        <w:t>T</w:t>
      </w:r>
      <w:r w:rsidR="004465F4" w:rsidRPr="00F6273C">
        <w:t xml:space="preserve">he world is experiencing its most severe economic crisis since the Great Depression. </w:t>
      </w:r>
      <w:r w:rsidR="00CB2ED5" w:rsidRPr="00F6273C">
        <w:rPr>
          <w:color w:val="FF0000"/>
        </w:rPr>
        <w:fldChar w:fldCharType="begin"/>
      </w:r>
      <w:r w:rsidR="00CB2ED5" w:rsidRPr="00F6273C">
        <w:rPr>
          <w:color w:val="FF0000"/>
        </w:rPr>
        <w:instrText xml:space="preserve"> :End:MECD_TP2 </w:instrText>
      </w:r>
      <w:r w:rsidR="00CB2ED5" w:rsidRPr="00F6273C">
        <w:rPr>
          <w:color w:val="FF0000"/>
        </w:rPr>
        <w:fldChar w:fldCharType="end"/>
      </w:r>
      <w:r w:rsidR="00CB2ED5" w:rsidRPr="00F6273C">
        <w:rPr>
          <w:color w:val="0000FF"/>
        </w:rPr>
        <w:fldChar w:fldCharType="begin"/>
      </w:r>
      <w:r w:rsidR="00CB2ED5" w:rsidRPr="00F6273C">
        <w:rPr>
          <w:color w:val="0000FF"/>
        </w:rPr>
        <w:instrText xml:space="preserve"> :Start:MECD_TP1 </w:instrText>
      </w:r>
      <w:r w:rsidR="00CB2ED5" w:rsidRPr="00F6273C">
        <w:rPr>
          <w:color w:val="0000FF"/>
        </w:rPr>
        <w:fldChar w:fldCharType="end"/>
      </w:r>
      <w:r w:rsidR="007353AD" w:rsidRPr="00F6273C">
        <w:t>While the COVID</w:t>
      </w:r>
      <w:r w:rsidR="006B2A22" w:rsidRPr="00F6273C">
        <w:noBreakHyphen/>
      </w:r>
      <w:r w:rsidR="007353AD" w:rsidRPr="00F6273C">
        <w:t>19 pandemic is having profound impacts on Australia</w:t>
      </w:r>
      <w:r w:rsidR="006B2A22" w:rsidRPr="00F6273C">
        <w:t>’</w:t>
      </w:r>
      <w:r w:rsidR="007353AD" w:rsidRPr="00F6273C">
        <w:t>s economy,</w:t>
      </w:r>
      <w:r w:rsidR="001A4C75" w:rsidRPr="00F6273C">
        <w:rPr>
          <w:color w:val="FF0000"/>
        </w:rPr>
        <w:fldChar w:fldCharType="begin"/>
      </w:r>
      <w:r w:rsidR="001A4C75" w:rsidRPr="00F6273C">
        <w:rPr>
          <w:color w:val="FF0000"/>
        </w:rPr>
        <w:instrText xml:space="preserve"> :End:MECD_TP1 </w:instrText>
      </w:r>
      <w:r w:rsidR="001A4C75" w:rsidRPr="00F6273C">
        <w:rPr>
          <w:color w:val="FF0000"/>
        </w:rPr>
        <w:fldChar w:fldCharType="end"/>
      </w:r>
      <w:r w:rsidR="007353AD" w:rsidRPr="00F6273C">
        <w:t xml:space="preserve"> </w:t>
      </w:r>
      <w:r w:rsidR="001A4C75" w:rsidRPr="00F6273C">
        <w:rPr>
          <w:color w:val="0000FF"/>
        </w:rPr>
        <w:fldChar w:fldCharType="begin"/>
      </w:r>
      <w:r w:rsidR="001A4C75" w:rsidRPr="00F6273C">
        <w:rPr>
          <w:color w:val="0000FF"/>
        </w:rPr>
        <w:instrText xml:space="preserve"> :Start:MECD_TP2 </w:instrText>
      </w:r>
      <w:r w:rsidR="001A4C75" w:rsidRPr="00F6273C">
        <w:rPr>
          <w:color w:val="0000FF"/>
        </w:rPr>
        <w:fldChar w:fldCharType="end"/>
      </w:r>
      <w:r w:rsidR="004465F4" w:rsidRPr="00F6273C">
        <w:t>Australia has</w:t>
      </w:r>
      <w:r w:rsidR="007353AD" w:rsidRPr="00F6273C">
        <w:t xml:space="preserve"> so far</w:t>
      </w:r>
      <w:r w:rsidR="004465F4" w:rsidRPr="00F6273C">
        <w:t xml:space="preserve"> outperformed most other countries in</w:t>
      </w:r>
      <w:r w:rsidR="000C076C" w:rsidRPr="00F6273C">
        <w:t xml:space="preserve"> </w:t>
      </w:r>
      <w:r w:rsidR="004465F4" w:rsidRPr="00F6273C">
        <w:t>both health and economic outcomes</w:t>
      </w:r>
      <w:r w:rsidR="00D117BE" w:rsidRPr="00F6273C">
        <w:t>.</w:t>
      </w:r>
      <w:r w:rsidR="004465F4" w:rsidRPr="00F6273C">
        <w:t xml:space="preserve"> </w:t>
      </w:r>
      <w:r w:rsidR="001A4C75" w:rsidRPr="00F6273C">
        <w:rPr>
          <w:color w:val="FF0000"/>
        </w:rPr>
        <w:fldChar w:fldCharType="begin"/>
      </w:r>
      <w:r w:rsidR="001A4C75" w:rsidRPr="00F6273C">
        <w:rPr>
          <w:color w:val="FF0000"/>
        </w:rPr>
        <w:instrText xml:space="preserve"> :End:MECD_TP2 </w:instrText>
      </w:r>
      <w:r w:rsidR="001A4C75" w:rsidRPr="00F6273C">
        <w:rPr>
          <w:color w:val="FF0000"/>
        </w:rPr>
        <w:fldChar w:fldCharType="end"/>
      </w:r>
    </w:p>
    <w:p w14:paraId="43F5B1D9" w14:textId="40836AA1" w:rsidR="009D71CF" w:rsidRPr="00683D3F" w:rsidRDefault="001A4C75" w:rsidP="00762ADD">
      <w:pPr>
        <w:rPr>
          <w:spacing w:val="-2"/>
        </w:rPr>
      </w:pPr>
      <w:r w:rsidRPr="00683D3F">
        <w:rPr>
          <w:color w:val="0000FF"/>
          <w:spacing w:val="-2"/>
        </w:rPr>
        <w:fldChar w:fldCharType="begin"/>
      </w:r>
      <w:r w:rsidRPr="00683D3F">
        <w:rPr>
          <w:color w:val="0000FF"/>
          <w:spacing w:val="-2"/>
        </w:rPr>
        <w:instrText xml:space="preserve"> :Start:MECD_TP1 </w:instrText>
      </w:r>
      <w:r w:rsidRPr="00683D3F">
        <w:rPr>
          <w:color w:val="0000FF"/>
          <w:spacing w:val="-2"/>
        </w:rPr>
        <w:fldChar w:fldCharType="end"/>
      </w:r>
      <w:r w:rsidR="004465F4" w:rsidRPr="00683D3F">
        <w:rPr>
          <w:spacing w:val="-2"/>
        </w:rPr>
        <w:t xml:space="preserve">Real GDP </w:t>
      </w:r>
      <w:proofErr w:type="gramStart"/>
      <w:r w:rsidR="004465F4" w:rsidRPr="00683D3F">
        <w:rPr>
          <w:spacing w:val="-2"/>
        </w:rPr>
        <w:t>is forecast</w:t>
      </w:r>
      <w:proofErr w:type="gramEnd"/>
      <w:r w:rsidR="004465F4" w:rsidRPr="00683D3F">
        <w:rPr>
          <w:spacing w:val="-2"/>
        </w:rPr>
        <w:t xml:space="preserve"> to have </w:t>
      </w:r>
      <w:r w:rsidR="00D35B6B" w:rsidRPr="00683D3F">
        <w:rPr>
          <w:spacing w:val="-2"/>
        </w:rPr>
        <w:t xml:space="preserve">experienced its sharpest fall on record </w:t>
      </w:r>
      <w:r w:rsidR="004465F4" w:rsidRPr="00683D3F">
        <w:rPr>
          <w:spacing w:val="-2"/>
        </w:rPr>
        <w:t>in the June quarter</w:t>
      </w:r>
      <w:r w:rsidR="00D35B6B" w:rsidRPr="00683D3F">
        <w:rPr>
          <w:spacing w:val="-2"/>
        </w:rPr>
        <w:t>.</w:t>
      </w:r>
      <w:r w:rsidR="004465F4" w:rsidRPr="00683D3F">
        <w:rPr>
          <w:spacing w:val="-2"/>
        </w:rPr>
        <w:t xml:space="preserve"> </w:t>
      </w:r>
      <w:r w:rsidR="00D35B6B" w:rsidRPr="00683D3F">
        <w:rPr>
          <w:spacing w:val="-2"/>
        </w:rPr>
        <w:t xml:space="preserve">Activity </w:t>
      </w:r>
      <w:proofErr w:type="gramStart"/>
      <w:r w:rsidR="00D35B6B" w:rsidRPr="00683D3F">
        <w:rPr>
          <w:spacing w:val="-2"/>
        </w:rPr>
        <w:t>is expected</w:t>
      </w:r>
      <w:proofErr w:type="gramEnd"/>
      <w:r w:rsidR="00D35B6B" w:rsidRPr="00683D3F">
        <w:rPr>
          <w:spacing w:val="-2"/>
        </w:rPr>
        <w:t xml:space="preserve"> to pick up in the September quarter and beyond, with the easing of restrictions in most parts of the country. </w:t>
      </w:r>
      <w:r w:rsidR="0077061C" w:rsidRPr="00683D3F">
        <w:rPr>
          <w:spacing w:val="-2"/>
        </w:rPr>
        <w:t xml:space="preserve">Real GDP </w:t>
      </w:r>
      <w:proofErr w:type="gramStart"/>
      <w:r w:rsidR="0077061C" w:rsidRPr="00683D3F">
        <w:rPr>
          <w:spacing w:val="-2"/>
        </w:rPr>
        <w:t>is forecast</w:t>
      </w:r>
      <w:proofErr w:type="gramEnd"/>
      <w:r w:rsidR="0077061C" w:rsidRPr="00683D3F">
        <w:rPr>
          <w:spacing w:val="-2"/>
        </w:rPr>
        <w:t xml:space="preserve"> to fall by </w:t>
      </w:r>
      <w:r w:rsidR="00683D3F" w:rsidRPr="00683D3F">
        <w:rPr>
          <w:spacing w:val="-2"/>
        </w:rPr>
        <w:t>¼ </w:t>
      </w:r>
      <w:r w:rsidR="0077061C" w:rsidRPr="00683D3F">
        <w:rPr>
          <w:spacing w:val="-2"/>
        </w:rPr>
        <w:t>per </w:t>
      </w:r>
      <w:r w:rsidR="00683D3F">
        <w:rPr>
          <w:spacing w:val="-2"/>
        </w:rPr>
        <w:t>cent in 2019</w:t>
      </w:r>
      <w:r w:rsidR="00683D3F">
        <w:rPr>
          <w:spacing w:val="-2"/>
        </w:rPr>
        <w:noBreakHyphen/>
      </w:r>
      <w:r w:rsidR="0077061C" w:rsidRPr="00683D3F">
        <w:rPr>
          <w:spacing w:val="-2"/>
        </w:rPr>
        <w:t xml:space="preserve">20 and by 2½ per cent in 2020-21. In calendar-year terms, real GDP </w:t>
      </w:r>
      <w:proofErr w:type="gramStart"/>
      <w:r w:rsidR="0077061C" w:rsidRPr="00683D3F">
        <w:rPr>
          <w:spacing w:val="-2"/>
        </w:rPr>
        <w:t>is forecast</w:t>
      </w:r>
      <w:proofErr w:type="gramEnd"/>
      <w:r w:rsidR="0077061C" w:rsidRPr="00683D3F">
        <w:rPr>
          <w:spacing w:val="-2"/>
        </w:rPr>
        <w:t xml:space="preserve"> to fall by 3¾ per cent in 2020, before increasing by 2½ per cent in 2021. </w:t>
      </w:r>
      <w:r w:rsidR="004465F4" w:rsidRPr="00683D3F">
        <w:rPr>
          <w:spacing w:val="-2"/>
        </w:rPr>
        <w:t xml:space="preserve">The economy </w:t>
      </w:r>
      <w:proofErr w:type="gramStart"/>
      <w:r w:rsidR="004465F4" w:rsidRPr="00683D3F">
        <w:rPr>
          <w:spacing w:val="-2"/>
        </w:rPr>
        <w:t>is forecast</w:t>
      </w:r>
      <w:proofErr w:type="gramEnd"/>
      <w:r w:rsidR="004465F4" w:rsidRPr="00683D3F">
        <w:rPr>
          <w:spacing w:val="-2"/>
        </w:rPr>
        <w:t xml:space="preserve"> to recover faster than in past </w:t>
      </w:r>
      <w:r w:rsidR="00CF0A20" w:rsidRPr="00683D3F">
        <w:rPr>
          <w:spacing w:val="-2"/>
        </w:rPr>
        <w:t xml:space="preserve">recessions </w:t>
      </w:r>
      <w:r w:rsidR="004465F4" w:rsidRPr="00683D3F">
        <w:rPr>
          <w:spacing w:val="-2"/>
        </w:rPr>
        <w:t xml:space="preserve">due to </w:t>
      </w:r>
      <w:r w:rsidR="00DA315B" w:rsidRPr="00683D3F">
        <w:rPr>
          <w:spacing w:val="-2"/>
        </w:rPr>
        <w:t xml:space="preserve">the unwinding </w:t>
      </w:r>
      <w:r w:rsidR="004465F4" w:rsidRPr="00683D3F">
        <w:rPr>
          <w:spacing w:val="-2"/>
        </w:rPr>
        <w:t xml:space="preserve">of restrictions, but </w:t>
      </w:r>
      <w:r w:rsidR="00CF0A20" w:rsidRPr="00683D3F">
        <w:rPr>
          <w:spacing w:val="-2"/>
        </w:rPr>
        <w:t>it will be a long road back</w:t>
      </w:r>
      <w:r w:rsidR="00DA315B" w:rsidRPr="00683D3F">
        <w:rPr>
          <w:spacing w:val="-2"/>
        </w:rPr>
        <w:t>.</w:t>
      </w:r>
      <w:r w:rsidR="00816468" w:rsidRPr="00683D3F">
        <w:rPr>
          <w:spacing w:val="-2"/>
        </w:rPr>
        <w:t xml:space="preserve"> The</w:t>
      </w:r>
      <w:r w:rsidR="00CF0A20" w:rsidRPr="00683D3F">
        <w:rPr>
          <w:spacing w:val="-2"/>
        </w:rPr>
        <w:t xml:space="preserve"> </w:t>
      </w:r>
      <w:r w:rsidR="00816468" w:rsidRPr="00683D3F">
        <w:rPr>
          <w:spacing w:val="-2"/>
        </w:rPr>
        <w:t>u</w:t>
      </w:r>
      <w:r w:rsidR="00CF0A20" w:rsidRPr="00683D3F">
        <w:rPr>
          <w:spacing w:val="-2"/>
        </w:rPr>
        <w:t>nemployment</w:t>
      </w:r>
      <w:r w:rsidR="00816468" w:rsidRPr="00683D3F">
        <w:rPr>
          <w:spacing w:val="-2"/>
        </w:rPr>
        <w:t xml:space="preserve"> rate</w:t>
      </w:r>
      <w:r w:rsidR="00CF0A20" w:rsidRPr="00683D3F">
        <w:rPr>
          <w:spacing w:val="-2"/>
        </w:rPr>
        <w:t xml:space="preserve"> will remain elevated for some time</w:t>
      </w:r>
      <w:r w:rsidR="004465F4" w:rsidRPr="00683D3F">
        <w:rPr>
          <w:spacing w:val="-2"/>
        </w:rPr>
        <w:t>.</w:t>
      </w:r>
      <w:r w:rsidR="00AE7A59" w:rsidRPr="00683D3F">
        <w:rPr>
          <w:color w:val="FF0000"/>
          <w:spacing w:val="-2"/>
        </w:rPr>
        <w:fldChar w:fldCharType="begin"/>
      </w:r>
      <w:r w:rsidR="00AE7A59" w:rsidRPr="00683D3F">
        <w:rPr>
          <w:color w:val="FF0000"/>
          <w:spacing w:val="-2"/>
        </w:rPr>
        <w:instrText xml:space="preserve"> :End:MECD_TP1 </w:instrText>
      </w:r>
      <w:r w:rsidR="00AE7A59" w:rsidRPr="00683D3F">
        <w:rPr>
          <w:color w:val="FF0000"/>
          <w:spacing w:val="-2"/>
        </w:rPr>
        <w:fldChar w:fldCharType="end"/>
      </w:r>
    </w:p>
    <w:p w14:paraId="2AD430C7" w14:textId="7C38F142" w:rsidR="00A229E5" w:rsidRPr="00F6273C" w:rsidRDefault="006559B3" w:rsidP="00762ADD">
      <w:r w:rsidRPr="00F6273C">
        <w:rPr>
          <w:color w:val="0000FF"/>
        </w:rPr>
        <w:fldChar w:fldCharType="begin"/>
      </w:r>
      <w:r w:rsidRPr="00F6273C">
        <w:rPr>
          <w:color w:val="0000FF"/>
        </w:rPr>
        <w:instrText xml:space="preserve"> :Start:BPD_JR2 </w:instrText>
      </w:r>
      <w:r w:rsidRPr="00F6273C">
        <w:rPr>
          <w:color w:val="0000FF"/>
        </w:rPr>
        <w:fldChar w:fldCharType="end"/>
      </w:r>
      <w:r w:rsidR="00A229E5" w:rsidRPr="00F6273C">
        <w:t>The economic and fiscal outlook remain</w:t>
      </w:r>
      <w:r w:rsidR="00196AF2" w:rsidRPr="00F6273C">
        <w:t>s</w:t>
      </w:r>
      <w:r w:rsidR="00A229E5" w:rsidRPr="00F6273C">
        <w:t xml:space="preserve"> highly uncertain</w:t>
      </w:r>
      <w:r w:rsidR="001C4C6C" w:rsidRPr="00F6273C">
        <w:t>. The G</w:t>
      </w:r>
      <w:r w:rsidR="00A229E5" w:rsidRPr="00F6273C">
        <w:t xml:space="preserve">overnment will </w:t>
      </w:r>
      <w:r w:rsidR="001C4C6C" w:rsidRPr="00F6273C">
        <w:t xml:space="preserve">provide </w:t>
      </w:r>
      <w:r w:rsidR="00A229E5" w:rsidRPr="00F6273C">
        <w:t xml:space="preserve">forecasts </w:t>
      </w:r>
      <w:r w:rsidR="001C4C6C" w:rsidRPr="00F6273C">
        <w:t>and projections</w:t>
      </w:r>
      <w:r w:rsidR="00E6252C" w:rsidRPr="00F6273C">
        <w:t xml:space="preserve"> over the forward estimates period and medium term</w:t>
      </w:r>
      <w:r w:rsidR="001C4C6C" w:rsidRPr="00F6273C">
        <w:t xml:space="preserve"> </w:t>
      </w:r>
      <w:r w:rsidR="00A229E5" w:rsidRPr="00F6273C">
        <w:t xml:space="preserve">in the </w:t>
      </w:r>
      <w:r w:rsidR="001C4C6C" w:rsidRPr="00F6273C">
        <w:t>2020</w:t>
      </w:r>
      <w:r w:rsidR="006B2A22" w:rsidRPr="00F6273C">
        <w:noBreakHyphen/>
      </w:r>
      <w:r w:rsidR="001C4C6C" w:rsidRPr="00F6273C">
        <w:t>21 Budget</w:t>
      </w:r>
      <w:r w:rsidR="00E6252C" w:rsidRPr="00F6273C">
        <w:t>,</w:t>
      </w:r>
      <w:r w:rsidR="001C4C6C" w:rsidRPr="00F6273C">
        <w:t xml:space="preserve"> to </w:t>
      </w:r>
      <w:proofErr w:type="gramStart"/>
      <w:r w:rsidR="001C4C6C" w:rsidRPr="00F6273C">
        <w:t>be delivered</w:t>
      </w:r>
      <w:proofErr w:type="gramEnd"/>
      <w:r w:rsidR="001C4C6C" w:rsidRPr="00F6273C">
        <w:t xml:space="preserve"> on 6 </w:t>
      </w:r>
      <w:r w:rsidR="00A229E5" w:rsidRPr="00F6273C">
        <w:t>October</w:t>
      </w:r>
      <w:r w:rsidR="0088667A" w:rsidRPr="00F6273C">
        <w:t xml:space="preserve"> 2020</w:t>
      </w:r>
      <w:r w:rsidR="00A229E5" w:rsidRPr="00F6273C">
        <w:t>.</w:t>
      </w:r>
      <w:r w:rsidRPr="00F6273C">
        <w:rPr>
          <w:color w:val="FF0000"/>
        </w:rPr>
        <w:fldChar w:fldCharType="begin"/>
      </w:r>
      <w:r w:rsidRPr="00F6273C">
        <w:rPr>
          <w:color w:val="FF0000"/>
        </w:rPr>
        <w:instrText xml:space="preserve"> :End:BPD_JR2 </w:instrText>
      </w:r>
      <w:r w:rsidRPr="00F6273C">
        <w:rPr>
          <w:color w:val="FF0000"/>
        </w:rPr>
        <w:fldChar w:fldCharType="end"/>
      </w:r>
    </w:p>
    <w:p w14:paraId="581F080A" w14:textId="01B20ABC" w:rsidR="00821D1E" w:rsidRPr="00F6273C" w:rsidRDefault="007D269F" w:rsidP="00683D3F">
      <w:pPr>
        <w:pStyle w:val="TableHeading"/>
      </w:pPr>
      <w:r w:rsidRPr="00F6273C">
        <w:rPr>
          <w:color w:val="0000FF"/>
        </w:rPr>
        <w:fldChar w:fldCharType="begin"/>
      </w:r>
      <w:r w:rsidRPr="00F6273C">
        <w:rPr>
          <w:color w:val="0000FF"/>
        </w:rPr>
        <w:instrText xml:space="preserve"> :Start:FARM_AB1 </w:instrText>
      </w:r>
      <w:r w:rsidRPr="00F6273C">
        <w:rPr>
          <w:color w:val="0000FF"/>
        </w:rPr>
        <w:fldChar w:fldCharType="end"/>
      </w:r>
      <w:r w:rsidR="00565BE0" w:rsidRPr="00F6273C">
        <w:t xml:space="preserve">Table </w:t>
      </w:r>
      <w:r w:rsidR="00FE4347" w:rsidRPr="00F6273C">
        <w:t>1.</w:t>
      </w:r>
      <w:r w:rsidR="00565BE0" w:rsidRPr="00F6273C">
        <w:t xml:space="preserve">1: Budget </w:t>
      </w:r>
      <w:r w:rsidR="00542F52" w:rsidRPr="00F6273C">
        <w:t>a</w:t>
      </w:r>
      <w:r w:rsidR="00565BE0" w:rsidRPr="00F6273C">
        <w:t>ggregates</w:t>
      </w:r>
      <w:r w:rsidR="00821D1E" w:rsidRPr="00F6273C">
        <w:rPr>
          <w:rFonts w:ascii="Book Antiqua" w:hAnsi="Book Antiqua"/>
        </w:rPr>
        <w:fldChar w:fldCharType="begin" w:fldLock="1"/>
      </w:r>
      <w:r w:rsidR="00821D1E" w:rsidRPr="00F6273C">
        <w:instrText xml:space="preserve"> LINK Excel.Sheet.12 "\\\\budget.gov\\budget_shares\\budget$\\2020 Economic and Fiscal Update\\001 Overview\\03 Charts and tables\\Overview tables\\Table 1 - Budget Aggregates.xlsx" "S1.T1!R4C11:R10C15" \a \f 4 \h </w:instrText>
      </w:r>
      <w:r w:rsidR="00623DB5" w:rsidRPr="00F6273C">
        <w:instrText xml:space="preserve"> \* MERGEFORMAT </w:instrText>
      </w:r>
      <w:r w:rsidR="00821D1E" w:rsidRPr="00F6273C">
        <w:rPr>
          <w:rFonts w:ascii="Book Antiqua" w:hAnsi="Book Antiqua"/>
        </w:rPr>
        <w:fldChar w:fldCharType="separate"/>
      </w:r>
    </w:p>
    <w:tbl>
      <w:tblPr>
        <w:tblW w:w="5000" w:type="pct"/>
        <w:tblLook w:val="04A0" w:firstRow="1" w:lastRow="0" w:firstColumn="1" w:lastColumn="0" w:noHBand="0" w:noVBand="1"/>
      </w:tblPr>
      <w:tblGrid>
        <w:gridCol w:w="5682"/>
        <w:gridCol w:w="1013"/>
        <w:gridCol w:w="1015"/>
      </w:tblGrid>
      <w:tr w:rsidR="00BE1626" w:rsidRPr="00F6273C" w14:paraId="08A596AF" w14:textId="77777777" w:rsidTr="00821D1E">
        <w:trPr>
          <w:trHeight w:hRule="exact" w:val="225"/>
        </w:trPr>
        <w:tc>
          <w:tcPr>
            <w:tcW w:w="3685" w:type="pct"/>
            <w:tcBorders>
              <w:top w:val="single" w:sz="4" w:space="0" w:color="000000"/>
              <w:left w:val="nil"/>
              <w:bottom w:val="nil"/>
              <w:right w:val="nil"/>
            </w:tcBorders>
            <w:shd w:val="clear" w:color="000000" w:fill="FFFFFF"/>
            <w:noWrap/>
            <w:vAlign w:val="center"/>
            <w:hideMark/>
          </w:tcPr>
          <w:p w14:paraId="453442CA" w14:textId="2FB1EEB3" w:rsidR="00821D1E" w:rsidRPr="00F6273C" w:rsidRDefault="00821D1E" w:rsidP="0090678D">
            <w:pPr>
              <w:spacing w:after="0" w:line="240" w:lineRule="auto"/>
              <w:jc w:val="left"/>
              <w:rPr>
                <w:rFonts w:ascii="Arial" w:hAnsi="Arial" w:cs="Arial"/>
                <w:sz w:val="16"/>
                <w:szCs w:val="16"/>
              </w:rPr>
            </w:pPr>
            <w:r w:rsidRPr="00F6273C">
              <w:rPr>
                <w:rFonts w:ascii="Arial" w:hAnsi="Arial" w:cs="Arial"/>
                <w:sz w:val="16"/>
                <w:szCs w:val="16"/>
              </w:rPr>
              <w:t> </w:t>
            </w:r>
          </w:p>
        </w:tc>
        <w:tc>
          <w:tcPr>
            <w:tcW w:w="1315" w:type="pct"/>
            <w:gridSpan w:val="2"/>
            <w:tcBorders>
              <w:top w:val="single" w:sz="4" w:space="0" w:color="000000"/>
              <w:left w:val="nil"/>
              <w:bottom w:val="single" w:sz="4" w:space="0" w:color="000000"/>
              <w:right w:val="nil"/>
            </w:tcBorders>
            <w:shd w:val="clear" w:color="auto" w:fill="auto"/>
            <w:noWrap/>
            <w:vAlign w:val="center"/>
            <w:hideMark/>
          </w:tcPr>
          <w:p w14:paraId="00F31627" w14:textId="77777777" w:rsidR="00821D1E" w:rsidRPr="00F6273C" w:rsidRDefault="00821D1E" w:rsidP="0090678D">
            <w:pPr>
              <w:spacing w:after="0" w:line="240" w:lineRule="auto"/>
              <w:jc w:val="center"/>
              <w:rPr>
                <w:rFonts w:ascii="Arial" w:hAnsi="Arial" w:cs="Arial"/>
                <w:sz w:val="16"/>
                <w:szCs w:val="16"/>
              </w:rPr>
            </w:pPr>
            <w:r w:rsidRPr="00F6273C">
              <w:rPr>
                <w:rFonts w:ascii="Arial" w:hAnsi="Arial" w:cs="Arial"/>
                <w:sz w:val="16"/>
                <w:szCs w:val="16"/>
              </w:rPr>
              <w:t>Estimates</w:t>
            </w:r>
          </w:p>
        </w:tc>
      </w:tr>
      <w:tr w:rsidR="00BE1626" w:rsidRPr="00F6273C" w14:paraId="698761C3" w14:textId="77777777" w:rsidTr="00821D1E">
        <w:trPr>
          <w:trHeight w:hRule="exact" w:val="225"/>
        </w:trPr>
        <w:tc>
          <w:tcPr>
            <w:tcW w:w="3685" w:type="pct"/>
            <w:tcBorders>
              <w:top w:val="nil"/>
              <w:left w:val="nil"/>
              <w:bottom w:val="nil"/>
              <w:right w:val="nil"/>
            </w:tcBorders>
            <w:shd w:val="clear" w:color="000000" w:fill="FFFFFF"/>
            <w:noWrap/>
            <w:vAlign w:val="center"/>
            <w:hideMark/>
          </w:tcPr>
          <w:p w14:paraId="53927A1C" w14:textId="77777777" w:rsidR="00821D1E" w:rsidRPr="00F6273C" w:rsidRDefault="00821D1E" w:rsidP="0090678D">
            <w:pPr>
              <w:spacing w:after="0" w:line="240" w:lineRule="auto"/>
              <w:jc w:val="left"/>
              <w:rPr>
                <w:rFonts w:ascii="Arial" w:hAnsi="Arial" w:cs="Arial"/>
                <w:sz w:val="16"/>
                <w:szCs w:val="16"/>
              </w:rPr>
            </w:pPr>
            <w:r w:rsidRPr="00F6273C">
              <w:rPr>
                <w:rFonts w:ascii="Arial" w:hAnsi="Arial" w:cs="Arial"/>
                <w:sz w:val="16"/>
                <w:szCs w:val="16"/>
              </w:rPr>
              <w:t> </w:t>
            </w:r>
          </w:p>
        </w:tc>
        <w:tc>
          <w:tcPr>
            <w:tcW w:w="657" w:type="pct"/>
            <w:tcBorders>
              <w:top w:val="single" w:sz="4" w:space="0" w:color="000000"/>
              <w:left w:val="nil"/>
              <w:bottom w:val="single" w:sz="4" w:space="0" w:color="000000"/>
              <w:right w:val="nil"/>
            </w:tcBorders>
            <w:shd w:val="clear" w:color="000000" w:fill="FFFFFF"/>
            <w:noWrap/>
            <w:vAlign w:val="center"/>
            <w:hideMark/>
          </w:tcPr>
          <w:p w14:paraId="356374E7" w14:textId="39F5C26C" w:rsidR="00821D1E" w:rsidRPr="00F6273C" w:rsidRDefault="00821D1E" w:rsidP="0090678D">
            <w:pPr>
              <w:spacing w:after="0" w:line="240" w:lineRule="auto"/>
              <w:jc w:val="right"/>
              <w:rPr>
                <w:rFonts w:ascii="Arial" w:hAnsi="Arial" w:cs="Arial"/>
                <w:sz w:val="16"/>
                <w:szCs w:val="16"/>
              </w:rPr>
            </w:pPr>
            <w:r w:rsidRPr="00F6273C">
              <w:rPr>
                <w:rFonts w:ascii="Arial" w:hAnsi="Arial" w:cs="Arial"/>
                <w:sz w:val="16"/>
                <w:szCs w:val="16"/>
              </w:rPr>
              <w:t>2019</w:t>
            </w:r>
            <w:r w:rsidR="006B2A22" w:rsidRPr="00F6273C">
              <w:rPr>
                <w:rFonts w:ascii="Arial" w:hAnsi="Arial" w:cs="Arial"/>
                <w:sz w:val="16"/>
                <w:szCs w:val="16"/>
              </w:rPr>
              <w:noBreakHyphen/>
            </w:r>
            <w:r w:rsidRPr="00F6273C">
              <w:rPr>
                <w:rFonts w:ascii="Arial" w:hAnsi="Arial" w:cs="Arial"/>
                <w:sz w:val="16"/>
                <w:szCs w:val="16"/>
              </w:rPr>
              <w:t>20</w:t>
            </w:r>
          </w:p>
        </w:tc>
        <w:tc>
          <w:tcPr>
            <w:tcW w:w="657" w:type="pct"/>
            <w:tcBorders>
              <w:top w:val="single" w:sz="4" w:space="0" w:color="000000"/>
              <w:left w:val="nil"/>
              <w:bottom w:val="single" w:sz="4" w:space="0" w:color="000000"/>
              <w:right w:val="nil"/>
            </w:tcBorders>
            <w:shd w:val="clear" w:color="000000" w:fill="E6E6E6"/>
            <w:noWrap/>
            <w:vAlign w:val="center"/>
            <w:hideMark/>
          </w:tcPr>
          <w:p w14:paraId="4388934A" w14:textId="75EA4D02" w:rsidR="00821D1E" w:rsidRPr="00F6273C" w:rsidRDefault="00821D1E" w:rsidP="0090678D">
            <w:pPr>
              <w:spacing w:after="0" w:line="240" w:lineRule="auto"/>
              <w:jc w:val="right"/>
              <w:rPr>
                <w:rFonts w:ascii="Arial" w:hAnsi="Arial" w:cs="Arial"/>
                <w:sz w:val="16"/>
                <w:szCs w:val="16"/>
              </w:rPr>
            </w:pPr>
            <w:r w:rsidRPr="00F6273C">
              <w:rPr>
                <w:rFonts w:ascii="Arial" w:hAnsi="Arial" w:cs="Arial"/>
                <w:sz w:val="16"/>
                <w:szCs w:val="16"/>
              </w:rPr>
              <w:t>2020</w:t>
            </w:r>
            <w:r w:rsidR="006B2A22" w:rsidRPr="00F6273C">
              <w:rPr>
                <w:rFonts w:ascii="Arial" w:hAnsi="Arial" w:cs="Arial"/>
                <w:sz w:val="16"/>
                <w:szCs w:val="16"/>
              </w:rPr>
              <w:noBreakHyphen/>
            </w:r>
            <w:r w:rsidRPr="00F6273C">
              <w:rPr>
                <w:rFonts w:ascii="Arial" w:hAnsi="Arial" w:cs="Arial"/>
                <w:sz w:val="16"/>
                <w:szCs w:val="16"/>
              </w:rPr>
              <w:t>21</w:t>
            </w:r>
          </w:p>
        </w:tc>
      </w:tr>
      <w:tr w:rsidR="00BE1626" w:rsidRPr="00F6273C" w14:paraId="5FEF172D" w14:textId="77777777" w:rsidTr="00821D1E">
        <w:trPr>
          <w:trHeight w:hRule="exact" w:val="225"/>
        </w:trPr>
        <w:tc>
          <w:tcPr>
            <w:tcW w:w="3685" w:type="pct"/>
            <w:tcBorders>
              <w:top w:val="nil"/>
              <w:left w:val="nil"/>
              <w:bottom w:val="nil"/>
              <w:right w:val="nil"/>
            </w:tcBorders>
            <w:shd w:val="clear" w:color="000000" w:fill="FFFFFF"/>
            <w:noWrap/>
            <w:vAlign w:val="center"/>
            <w:hideMark/>
          </w:tcPr>
          <w:p w14:paraId="09BE548E" w14:textId="77777777" w:rsidR="00821D1E" w:rsidRPr="00F6273C" w:rsidRDefault="00821D1E" w:rsidP="0090678D">
            <w:pPr>
              <w:spacing w:after="0" w:line="240" w:lineRule="auto"/>
              <w:jc w:val="left"/>
              <w:rPr>
                <w:rFonts w:ascii="Arial" w:hAnsi="Arial" w:cs="Arial"/>
                <w:b/>
                <w:bCs/>
                <w:sz w:val="16"/>
                <w:szCs w:val="16"/>
              </w:rPr>
            </w:pPr>
            <w:r w:rsidRPr="00F6273C">
              <w:rPr>
                <w:rFonts w:ascii="Arial" w:hAnsi="Arial" w:cs="Arial"/>
                <w:b/>
                <w:bCs/>
                <w:sz w:val="16"/>
                <w:szCs w:val="16"/>
              </w:rPr>
              <w:t>Underlying cash balance ($b)(a)(b)</w:t>
            </w:r>
          </w:p>
        </w:tc>
        <w:tc>
          <w:tcPr>
            <w:tcW w:w="657" w:type="pct"/>
            <w:tcBorders>
              <w:top w:val="nil"/>
              <w:left w:val="nil"/>
              <w:bottom w:val="nil"/>
              <w:right w:val="nil"/>
            </w:tcBorders>
            <w:shd w:val="clear" w:color="000000" w:fill="FFFFFF"/>
            <w:noWrap/>
            <w:vAlign w:val="center"/>
            <w:hideMark/>
          </w:tcPr>
          <w:p w14:paraId="65BE6F7A" w14:textId="6A957335" w:rsidR="00821D1E" w:rsidRPr="00F6273C" w:rsidRDefault="006B2A22" w:rsidP="0090678D">
            <w:pPr>
              <w:spacing w:after="0" w:line="240" w:lineRule="auto"/>
              <w:jc w:val="right"/>
              <w:rPr>
                <w:rFonts w:ascii="Arial" w:hAnsi="Arial" w:cs="Arial"/>
                <w:b/>
                <w:bCs/>
                <w:sz w:val="16"/>
                <w:szCs w:val="16"/>
              </w:rPr>
            </w:pPr>
            <w:r w:rsidRPr="00F6273C">
              <w:rPr>
                <w:rFonts w:ascii="Arial" w:hAnsi="Arial" w:cs="Arial"/>
                <w:b/>
                <w:bCs/>
                <w:sz w:val="16"/>
                <w:szCs w:val="16"/>
              </w:rPr>
              <w:noBreakHyphen/>
            </w:r>
            <w:r w:rsidR="00821D1E" w:rsidRPr="00F6273C">
              <w:rPr>
                <w:rFonts w:ascii="Arial" w:hAnsi="Arial" w:cs="Arial"/>
                <w:b/>
                <w:bCs/>
                <w:sz w:val="16"/>
                <w:szCs w:val="16"/>
              </w:rPr>
              <w:t>85.8</w:t>
            </w:r>
          </w:p>
        </w:tc>
        <w:tc>
          <w:tcPr>
            <w:tcW w:w="657" w:type="pct"/>
            <w:tcBorders>
              <w:top w:val="nil"/>
              <w:left w:val="nil"/>
              <w:bottom w:val="nil"/>
              <w:right w:val="nil"/>
            </w:tcBorders>
            <w:shd w:val="clear" w:color="000000" w:fill="E6E6E6"/>
            <w:noWrap/>
            <w:vAlign w:val="center"/>
            <w:hideMark/>
          </w:tcPr>
          <w:p w14:paraId="55C77562" w14:textId="5FF4CFB8" w:rsidR="00821D1E" w:rsidRPr="00F6273C" w:rsidRDefault="006B2A22" w:rsidP="0090678D">
            <w:pPr>
              <w:spacing w:after="0" w:line="240" w:lineRule="auto"/>
              <w:jc w:val="right"/>
              <w:rPr>
                <w:rFonts w:ascii="Arial" w:hAnsi="Arial" w:cs="Arial"/>
                <w:b/>
                <w:bCs/>
                <w:sz w:val="16"/>
                <w:szCs w:val="16"/>
              </w:rPr>
            </w:pPr>
            <w:r w:rsidRPr="00F6273C">
              <w:rPr>
                <w:rFonts w:ascii="Arial" w:hAnsi="Arial" w:cs="Arial"/>
                <w:b/>
                <w:bCs/>
                <w:sz w:val="16"/>
                <w:szCs w:val="16"/>
              </w:rPr>
              <w:noBreakHyphen/>
            </w:r>
            <w:r w:rsidR="00821D1E" w:rsidRPr="00F6273C">
              <w:rPr>
                <w:rFonts w:ascii="Arial" w:hAnsi="Arial" w:cs="Arial"/>
                <w:b/>
                <w:bCs/>
                <w:sz w:val="16"/>
                <w:szCs w:val="16"/>
              </w:rPr>
              <w:t>184.5</w:t>
            </w:r>
          </w:p>
        </w:tc>
      </w:tr>
      <w:tr w:rsidR="00BE1626" w:rsidRPr="00F6273C" w14:paraId="2521308E" w14:textId="77777777" w:rsidTr="00821D1E">
        <w:trPr>
          <w:trHeight w:hRule="exact" w:val="225"/>
        </w:trPr>
        <w:tc>
          <w:tcPr>
            <w:tcW w:w="3685" w:type="pct"/>
            <w:tcBorders>
              <w:top w:val="nil"/>
              <w:left w:val="nil"/>
              <w:bottom w:val="nil"/>
              <w:right w:val="nil"/>
            </w:tcBorders>
            <w:shd w:val="clear" w:color="000000" w:fill="FFFFFF"/>
            <w:noWrap/>
            <w:vAlign w:val="center"/>
            <w:hideMark/>
          </w:tcPr>
          <w:p w14:paraId="72590CBC" w14:textId="77777777" w:rsidR="00821D1E" w:rsidRPr="00F6273C" w:rsidRDefault="00821D1E" w:rsidP="0090678D">
            <w:pPr>
              <w:spacing w:after="0" w:line="240" w:lineRule="auto"/>
              <w:jc w:val="left"/>
              <w:rPr>
                <w:rFonts w:ascii="Arial" w:hAnsi="Arial" w:cs="Arial"/>
                <w:sz w:val="16"/>
                <w:szCs w:val="16"/>
              </w:rPr>
            </w:pPr>
            <w:r w:rsidRPr="00F6273C">
              <w:rPr>
                <w:rFonts w:ascii="Arial" w:hAnsi="Arial" w:cs="Arial"/>
                <w:sz w:val="16"/>
                <w:szCs w:val="16"/>
              </w:rPr>
              <w:t>Per cent of GDP</w:t>
            </w:r>
          </w:p>
        </w:tc>
        <w:tc>
          <w:tcPr>
            <w:tcW w:w="657" w:type="pct"/>
            <w:tcBorders>
              <w:top w:val="nil"/>
              <w:left w:val="nil"/>
              <w:bottom w:val="nil"/>
              <w:right w:val="nil"/>
            </w:tcBorders>
            <w:shd w:val="clear" w:color="000000" w:fill="FFFFFF"/>
            <w:noWrap/>
            <w:vAlign w:val="center"/>
            <w:hideMark/>
          </w:tcPr>
          <w:p w14:paraId="5D4A7E02" w14:textId="7D9A48BD" w:rsidR="00821D1E" w:rsidRPr="00F6273C" w:rsidRDefault="006B2A22" w:rsidP="0090678D">
            <w:pPr>
              <w:spacing w:after="0" w:line="240" w:lineRule="auto"/>
              <w:jc w:val="right"/>
              <w:rPr>
                <w:rFonts w:ascii="Arial" w:hAnsi="Arial" w:cs="Arial"/>
                <w:sz w:val="16"/>
                <w:szCs w:val="16"/>
              </w:rPr>
            </w:pPr>
            <w:r w:rsidRPr="00F6273C">
              <w:rPr>
                <w:rFonts w:ascii="Arial" w:hAnsi="Arial" w:cs="Arial"/>
                <w:sz w:val="16"/>
                <w:szCs w:val="16"/>
              </w:rPr>
              <w:noBreakHyphen/>
            </w:r>
            <w:r w:rsidR="00821D1E" w:rsidRPr="00F6273C">
              <w:rPr>
                <w:rFonts w:ascii="Arial" w:hAnsi="Arial" w:cs="Arial"/>
                <w:sz w:val="16"/>
                <w:szCs w:val="16"/>
              </w:rPr>
              <w:t>4.3</w:t>
            </w:r>
          </w:p>
        </w:tc>
        <w:tc>
          <w:tcPr>
            <w:tcW w:w="657" w:type="pct"/>
            <w:tcBorders>
              <w:top w:val="nil"/>
              <w:left w:val="nil"/>
              <w:bottom w:val="nil"/>
              <w:right w:val="nil"/>
            </w:tcBorders>
            <w:shd w:val="clear" w:color="000000" w:fill="E6E6E6"/>
            <w:noWrap/>
            <w:vAlign w:val="center"/>
            <w:hideMark/>
          </w:tcPr>
          <w:p w14:paraId="0DD0FA5B" w14:textId="56A7990D" w:rsidR="00821D1E" w:rsidRPr="00F6273C" w:rsidRDefault="006B2A22" w:rsidP="0090678D">
            <w:pPr>
              <w:spacing w:after="0" w:line="240" w:lineRule="auto"/>
              <w:jc w:val="right"/>
              <w:rPr>
                <w:rFonts w:ascii="Arial" w:hAnsi="Arial" w:cs="Arial"/>
                <w:sz w:val="16"/>
                <w:szCs w:val="16"/>
              </w:rPr>
            </w:pPr>
            <w:r w:rsidRPr="00F6273C">
              <w:rPr>
                <w:rFonts w:ascii="Arial" w:hAnsi="Arial" w:cs="Arial"/>
                <w:sz w:val="16"/>
                <w:szCs w:val="16"/>
              </w:rPr>
              <w:noBreakHyphen/>
            </w:r>
            <w:r w:rsidR="00821D1E" w:rsidRPr="00F6273C">
              <w:rPr>
                <w:rFonts w:ascii="Arial" w:hAnsi="Arial" w:cs="Arial"/>
                <w:sz w:val="16"/>
                <w:szCs w:val="16"/>
              </w:rPr>
              <w:t>9.7</w:t>
            </w:r>
          </w:p>
        </w:tc>
      </w:tr>
      <w:tr w:rsidR="00BE1626" w:rsidRPr="00F6273C" w14:paraId="3A8F8A1B" w14:textId="77777777" w:rsidTr="00821D1E">
        <w:trPr>
          <w:trHeight w:hRule="exact" w:val="60"/>
        </w:trPr>
        <w:tc>
          <w:tcPr>
            <w:tcW w:w="3685" w:type="pct"/>
            <w:tcBorders>
              <w:top w:val="nil"/>
              <w:left w:val="nil"/>
              <w:bottom w:val="single" w:sz="4" w:space="0" w:color="auto"/>
              <w:right w:val="nil"/>
            </w:tcBorders>
            <w:shd w:val="clear" w:color="000000" w:fill="FFFFFF"/>
            <w:noWrap/>
            <w:vAlign w:val="center"/>
            <w:hideMark/>
          </w:tcPr>
          <w:p w14:paraId="0550739B" w14:textId="77777777" w:rsidR="00821D1E" w:rsidRPr="00F6273C" w:rsidRDefault="00821D1E" w:rsidP="0090678D">
            <w:pPr>
              <w:spacing w:after="0" w:line="240" w:lineRule="auto"/>
              <w:jc w:val="left"/>
              <w:rPr>
                <w:rFonts w:ascii="Arial" w:hAnsi="Arial" w:cs="Arial"/>
                <w:sz w:val="16"/>
                <w:szCs w:val="16"/>
              </w:rPr>
            </w:pPr>
            <w:r w:rsidRPr="00F6273C">
              <w:rPr>
                <w:rFonts w:ascii="Arial" w:hAnsi="Arial" w:cs="Arial"/>
                <w:sz w:val="16"/>
                <w:szCs w:val="16"/>
              </w:rPr>
              <w:t> </w:t>
            </w:r>
          </w:p>
        </w:tc>
        <w:tc>
          <w:tcPr>
            <w:tcW w:w="657" w:type="pct"/>
            <w:tcBorders>
              <w:top w:val="nil"/>
              <w:left w:val="nil"/>
              <w:bottom w:val="single" w:sz="4" w:space="0" w:color="auto"/>
              <w:right w:val="nil"/>
            </w:tcBorders>
            <w:shd w:val="clear" w:color="000000" w:fill="FFFFFF"/>
            <w:noWrap/>
            <w:vAlign w:val="center"/>
            <w:hideMark/>
          </w:tcPr>
          <w:p w14:paraId="7A6FC7BD" w14:textId="77777777" w:rsidR="00821D1E" w:rsidRPr="00F6273C" w:rsidRDefault="00821D1E" w:rsidP="0090678D">
            <w:pPr>
              <w:spacing w:after="0" w:line="240" w:lineRule="auto"/>
              <w:jc w:val="right"/>
              <w:rPr>
                <w:rFonts w:ascii="Arial" w:hAnsi="Arial" w:cs="Arial"/>
                <w:sz w:val="16"/>
                <w:szCs w:val="16"/>
              </w:rPr>
            </w:pPr>
            <w:r w:rsidRPr="00F6273C">
              <w:rPr>
                <w:rFonts w:ascii="Arial" w:hAnsi="Arial" w:cs="Arial"/>
                <w:sz w:val="16"/>
                <w:szCs w:val="16"/>
              </w:rPr>
              <w:t> </w:t>
            </w:r>
          </w:p>
        </w:tc>
        <w:tc>
          <w:tcPr>
            <w:tcW w:w="657" w:type="pct"/>
            <w:tcBorders>
              <w:top w:val="nil"/>
              <w:left w:val="nil"/>
              <w:bottom w:val="single" w:sz="4" w:space="0" w:color="auto"/>
              <w:right w:val="nil"/>
            </w:tcBorders>
            <w:shd w:val="clear" w:color="000000" w:fill="E6E6E6"/>
            <w:noWrap/>
            <w:vAlign w:val="center"/>
            <w:hideMark/>
          </w:tcPr>
          <w:p w14:paraId="2D4E93F9" w14:textId="77777777" w:rsidR="00821D1E" w:rsidRPr="00F6273C" w:rsidRDefault="00821D1E" w:rsidP="0090678D">
            <w:pPr>
              <w:spacing w:after="0" w:line="240" w:lineRule="auto"/>
              <w:jc w:val="right"/>
              <w:rPr>
                <w:rFonts w:ascii="Arial" w:hAnsi="Arial" w:cs="Arial"/>
                <w:sz w:val="16"/>
                <w:szCs w:val="16"/>
              </w:rPr>
            </w:pPr>
            <w:r w:rsidRPr="00F6273C">
              <w:rPr>
                <w:rFonts w:ascii="Arial" w:hAnsi="Arial" w:cs="Arial"/>
                <w:sz w:val="16"/>
                <w:szCs w:val="16"/>
              </w:rPr>
              <w:t> </w:t>
            </w:r>
          </w:p>
        </w:tc>
      </w:tr>
    </w:tbl>
    <w:p w14:paraId="039BDB04" w14:textId="1002EFB8" w:rsidR="00B97258" w:rsidRPr="00F6273C" w:rsidRDefault="00821D1E" w:rsidP="00B97258">
      <w:pPr>
        <w:pStyle w:val="ChartandTableFootnoteAlpha"/>
        <w:numPr>
          <w:ilvl w:val="0"/>
          <w:numId w:val="12"/>
        </w:numPr>
        <w:rPr>
          <w:rFonts w:eastAsia="Calibri"/>
          <w:color w:val="auto"/>
        </w:rPr>
      </w:pPr>
      <w:r w:rsidRPr="00F6273C">
        <w:rPr>
          <w:color w:val="auto"/>
        </w:rPr>
        <w:fldChar w:fldCharType="end"/>
      </w:r>
      <w:r w:rsidR="00B97258" w:rsidRPr="00F6273C">
        <w:rPr>
          <w:color w:val="auto"/>
        </w:rPr>
        <w:t>Excludes expected net Future Fund earnings before 2020</w:t>
      </w:r>
      <w:r w:rsidR="006B2A22" w:rsidRPr="00F6273C">
        <w:rPr>
          <w:color w:val="auto"/>
        </w:rPr>
        <w:noBreakHyphen/>
      </w:r>
      <w:r w:rsidR="00B97258" w:rsidRPr="00F6273C">
        <w:rPr>
          <w:color w:val="auto"/>
        </w:rPr>
        <w:t>21.</w:t>
      </w:r>
      <w:r w:rsidR="007D269F" w:rsidRPr="00F6273C">
        <w:rPr>
          <w:color w:val="FF0000"/>
        </w:rPr>
        <w:fldChar w:fldCharType="begin"/>
      </w:r>
      <w:r w:rsidR="007D269F" w:rsidRPr="00F6273C">
        <w:rPr>
          <w:color w:val="FF0000"/>
        </w:rPr>
        <w:instrText xml:space="preserve"> :End:FARM_AB1 </w:instrText>
      </w:r>
      <w:r w:rsidR="007D269F" w:rsidRPr="00F6273C">
        <w:rPr>
          <w:color w:val="FF0000"/>
        </w:rPr>
        <w:fldChar w:fldCharType="end"/>
      </w:r>
    </w:p>
    <w:p w14:paraId="69878FCB" w14:textId="682FC387" w:rsidR="00F50D19" w:rsidRPr="0077061C" w:rsidRDefault="007D269F" w:rsidP="00DC19DD">
      <w:pPr>
        <w:pStyle w:val="ChartandTableFootnoteAlpha"/>
      </w:pPr>
      <w:r w:rsidRPr="00DC19DD">
        <w:rPr>
          <w:rFonts w:eastAsia="Calibri"/>
          <w:color w:val="000000" w:themeColor="text1"/>
        </w:rPr>
        <w:fldChar w:fldCharType="begin"/>
      </w:r>
      <w:r w:rsidRPr="00DC19DD">
        <w:rPr>
          <w:rFonts w:eastAsia="Calibri"/>
          <w:color w:val="000000" w:themeColor="text1"/>
        </w:rPr>
        <w:instrText xml:space="preserve"> :Start:BPCD_ER1 </w:instrText>
      </w:r>
      <w:r w:rsidRPr="00DC19DD">
        <w:rPr>
          <w:rFonts w:eastAsia="Calibri"/>
          <w:color w:val="000000" w:themeColor="text1"/>
        </w:rPr>
        <w:fldChar w:fldCharType="end"/>
      </w:r>
      <w:r w:rsidR="00DC19DD" w:rsidRPr="00DC19DD">
        <w:rPr>
          <w:rFonts w:eastAsia="Calibri"/>
          <w:color w:val="000000" w:themeColor="text1"/>
        </w:rPr>
        <w:t xml:space="preserve">The 2019-20 estimates in this Economic and Fiscal Update reflect preliminary expected outcomes. There may be differences between this update and the 2019-20 Final Budget Outcome to </w:t>
      </w:r>
      <w:proofErr w:type="gramStart"/>
      <w:r w:rsidR="00DC19DD" w:rsidRPr="00DC19DD">
        <w:rPr>
          <w:rFonts w:eastAsia="Calibri"/>
          <w:color w:val="000000" w:themeColor="text1"/>
        </w:rPr>
        <w:t>be released</w:t>
      </w:r>
      <w:proofErr w:type="gramEnd"/>
      <w:r w:rsidR="00DC19DD" w:rsidRPr="00DC19DD">
        <w:rPr>
          <w:rFonts w:eastAsia="Calibri"/>
          <w:color w:val="000000" w:themeColor="text1"/>
        </w:rPr>
        <w:t xml:space="preserve"> in September </w:t>
      </w:r>
      <w:r w:rsidR="00DC19DD" w:rsidRPr="0077061C">
        <w:rPr>
          <w:rFonts w:eastAsia="Calibri"/>
        </w:rPr>
        <w:t>2020</w:t>
      </w:r>
      <w:r w:rsidR="00B97258" w:rsidRPr="00DC19DD">
        <w:rPr>
          <w:rFonts w:eastAsia="Calibri"/>
          <w:color w:val="000000" w:themeColor="text1"/>
        </w:rPr>
        <w:t>.</w:t>
      </w:r>
      <w:r w:rsidRPr="00DC19DD">
        <w:rPr>
          <w:rFonts w:ascii="Arial Bold" w:hAnsi="Arial Bold"/>
          <w:b/>
          <w:color w:val="0000FF"/>
          <w:sz w:val="26"/>
        </w:rPr>
        <w:fldChar w:fldCharType="begin"/>
      </w:r>
      <w:r w:rsidRPr="00DC19DD">
        <w:rPr>
          <w:rFonts w:ascii="Arial Bold" w:hAnsi="Arial Bold"/>
          <w:b/>
          <w:color w:val="0000FF"/>
          <w:sz w:val="26"/>
        </w:rPr>
        <w:instrText xml:space="preserve"> :End:BPCD_ER1 </w:instrText>
      </w:r>
      <w:r w:rsidRPr="00DC19DD">
        <w:rPr>
          <w:rFonts w:ascii="Arial Bold" w:hAnsi="Arial Bold"/>
          <w:b/>
          <w:color w:val="0000FF"/>
          <w:sz w:val="26"/>
        </w:rPr>
        <w:fldChar w:fldCharType="end"/>
      </w:r>
    </w:p>
    <w:p w14:paraId="19B69DF6" w14:textId="265271AA" w:rsidR="00565BE0" w:rsidRPr="00F6273C" w:rsidRDefault="001A3E21" w:rsidP="00762ADD">
      <w:pPr>
        <w:pStyle w:val="Heading2"/>
      </w:pPr>
      <w:r w:rsidRPr="00F6273C">
        <w:rPr>
          <w:color w:val="0000FF"/>
        </w:rPr>
        <w:lastRenderedPageBreak/>
        <w:fldChar w:fldCharType="begin"/>
      </w:r>
      <w:r w:rsidRPr="00F6273C">
        <w:rPr>
          <w:color w:val="0000FF"/>
        </w:rPr>
        <w:instrText xml:space="preserve"> :Start:MECD_TP1 </w:instrText>
      </w:r>
      <w:r w:rsidRPr="00F6273C">
        <w:rPr>
          <w:color w:val="0000FF"/>
        </w:rPr>
        <w:fldChar w:fldCharType="end"/>
      </w:r>
      <w:r w:rsidR="00565BE0" w:rsidRPr="00F6273C">
        <w:t xml:space="preserve">Economic </w:t>
      </w:r>
      <w:r w:rsidR="00542F52" w:rsidRPr="00F6273C">
        <w:t>o</w:t>
      </w:r>
      <w:r w:rsidR="00565BE0" w:rsidRPr="00F6273C">
        <w:t xml:space="preserve">utlook </w:t>
      </w:r>
    </w:p>
    <w:p w14:paraId="69C3A084" w14:textId="28A84895" w:rsidR="004465F4" w:rsidRPr="00F6273C" w:rsidRDefault="004465F4" w:rsidP="00762ADD">
      <w:r w:rsidRPr="00F6273C">
        <w:t xml:space="preserve">The </w:t>
      </w:r>
      <w:r w:rsidR="008643DE" w:rsidRPr="00F6273C">
        <w:t>COVID</w:t>
      </w:r>
      <w:r w:rsidR="006B2A22" w:rsidRPr="00F6273C">
        <w:noBreakHyphen/>
      </w:r>
      <w:r w:rsidR="008643DE" w:rsidRPr="00F6273C">
        <w:t>19</w:t>
      </w:r>
      <w:r w:rsidRPr="00F6273C">
        <w:t xml:space="preserve"> pandemic</w:t>
      </w:r>
      <w:r w:rsidR="006C4CE4" w:rsidRPr="00F6273C">
        <w:t xml:space="preserve"> </w:t>
      </w:r>
      <w:r w:rsidRPr="00F6273C">
        <w:t xml:space="preserve">has caused severe contractions in economic activity. The global economy is </w:t>
      </w:r>
      <w:r w:rsidR="006C4CE4" w:rsidRPr="00F6273C">
        <w:t>facing its largest recession since the Great Depression</w:t>
      </w:r>
      <w:r w:rsidRPr="00F6273C">
        <w:t xml:space="preserve">. This is despite the significant fiscal and monetary </w:t>
      </w:r>
      <w:r w:rsidR="00EB0B2D" w:rsidRPr="00F6273C">
        <w:t>support</w:t>
      </w:r>
      <w:r w:rsidRPr="00F6273C">
        <w:t xml:space="preserve"> introduced around the world to dampen the economic effects of the pandemic. Global economic activity </w:t>
      </w:r>
      <w:proofErr w:type="gramStart"/>
      <w:r w:rsidRPr="00F6273C">
        <w:t>is expected</w:t>
      </w:r>
      <w:proofErr w:type="gramEnd"/>
      <w:r w:rsidRPr="00F6273C">
        <w:t xml:space="preserve"> to improve gradually as containment measures are lifted, but recoveries in many economies are forecast to be protracted, with lingering effects from the crisis on confidence, balance sheets and the labour market.</w:t>
      </w:r>
      <w:r w:rsidR="005642B3" w:rsidRPr="00F6273C">
        <w:rPr>
          <w:color w:val="FF0000"/>
        </w:rPr>
        <w:t xml:space="preserve"> </w:t>
      </w:r>
      <w:r w:rsidR="005642B3" w:rsidRPr="00F6273C">
        <w:rPr>
          <w:color w:val="FF0000"/>
        </w:rPr>
        <w:fldChar w:fldCharType="begin"/>
      </w:r>
      <w:r w:rsidR="005642B3" w:rsidRPr="00F6273C">
        <w:rPr>
          <w:color w:val="FF0000"/>
        </w:rPr>
        <w:instrText xml:space="preserve"> :End:MECD_TP1 </w:instrText>
      </w:r>
      <w:r w:rsidR="005642B3" w:rsidRPr="00F6273C">
        <w:rPr>
          <w:color w:val="FF0000"/>
        </w:rPr>
        <w:fldChar w:fldCharType="end"/>
      </w:r>
    </w:p>
    <w:p w14:paraId="71FCFAA2" w14:textId="340FAEC0" w:rsidR="00517E31" w:rsidRPr="00F6273C" w:rsidRDefault="000F37CC" w:rsidP="00762ADD">
      <w:r w:rsidRPr="00F6273C">
        <w:rPr>
          <w:color w:val="0000FF"/>
        </w:rPr>
        <w:fldChar w:fldCharType="begin"/>
      </w:r>
      <w:r w:rsidRPr="00F6273C">
        <w:rPr>
          <w:color w:val="0000FF"/>
        </w:rPr>
        <w:instrText xml:space="preserve"> :Start:MECD_TP2 </w:instrText>
      </w:r>
      <w:r w:rsidRPr="00F6273C">
        <w:rPr>
          <w:color w:val="0000FF"/>
        </w:rPr>
        <w:fldChar w:fldCharType="end"/>
      </w:r>
      <w:r w:rsidR="004465F4" w:rsidRPr="00F6273C">
        <w:t>Australia has outperformed most advanced economies in</w:t>
      </w:r>
      <w:r w:rsidR="00CA73CF" w:rsidRPr="00F6273C">
        <w:t xml:space="preserve"> terms of</w:t>
      </w:r>
      <w:r w:rsidR="004465F4" w:rsidRPr="00F6273C">
        <w:t xml:space="preserve"> both health and economic outcomes. </w:t>
      </w:r>
      <w:r w:rsidRPr="00F6273C">
        <w:rPr>
          <w:color w:val="FF0000"/>
        </w:rPr>
        <w:fldChar w:fldCharType="begin"/>
      </w:r>
      <w:r w:rsidRPr="00F6273C">
        <w:rPr>
          <w:color w:val="FF0000"/>
        </w:rPr>
        <w:instrText xml:space="preserve"> :End:MECD_TP2 </w:instrText>
      </w:r>
      <w:r w:rsidRPr="00F6273C">
        <w:rPr>
          <w:color w:val="FF0000"/>
        </w:rPr>
        <w:fldChar w:fldCharType="end"/>
      </w:r>
      <w:r w:rsidRPr="00F6273C">
        <w:rPr>
          <w:color w:val="0000FF"/>
        </w:rPr>
        <w:fldChar w:fldCharType="begin"/>
      </w:r>
      <w:r w:rsidRPr="00F6273C">
        <w:rPr>
          <w:color w:val="0000FF"/>
        </w:rPr>
        <w:instrText xml:space="preserve"> :Start:MECD_TP1 </w:instrText>
      </w:r>
      <w:r w:rsidRPr="00F6273C">
        <w:rPr>
          <w:color w:val="0000FF"/>
        </w:rPr>
        <w:fldChar w:fldCharType="end"/>
      </w:r>
      <w:r w:rsidR="004465F4" w:rsidRPr="00F6273C">
        <w:t>The Government</w:t>
      </w:r>
      <w:r w:rsidR="006B2A22" w:rsidRPr="00F6273C">
        <w:t>’</w:t>
      </w:r>
      <w:r w:rsidR="004465F4" w:rsidRPr="00F6273C">
        <w:t>s response to contain the spread of the virus has so far prevented the more severe health crises that have devastated many other countries, and provided the foundation to begin easing restrictions</w:t>
      </w:r>
      <w:r w:rsidR="00024D19" w:rsidRPr="00F6273C">
        <w:t xml:space="preserve"> in most states</w:t>
      </w:r>
      <w:r w:rsidR="004465F4" w:rsidRPr="00F6273C">
        <w:t>.</w:t>
      </w:r>
      <w:r w:rsidR="00AC3C8C" w:rsidRPr="00F6273C">
        <w:t xml:space="preserve"> However, the recent outbreak of COVID</w:t>
      </w:r>
      <w:r w:rsidR="006B2A22" w:rsidRPr="00F6273C">
        <w:noBreakHyphen/>
      </w:r>
      <w:r w:rsidR="00AC3C8C" w:rsidRPr="00F6273C">
        <w:t>19 in Victoria and the subsequent reintroduction of restrictions in the state, including border closures, is a sobering reminder of the need to remain vigilant.</w:t>
      </w:r>
    </w:p>
    <w:p w14:paraId="10F1E6BC" w14:textId="6B37A3D2" w:rsidR="004465F4" w:rsidRPr="00F6273C" w:rsidRDefault="00AC3C8C" w:rsidP="00762ADD">
      <w:r w:rsidRPr="00F6273C">
        <w:t>T</w:t>
      </w:r>
      <w:r w:rsidR="0088667A" w:rsidRPr="00F6273C">
        <w:t xml:space="preserve">he </w:t>
      </w:r>
      <w:r w:rsidR="00AA7229" w:rsidRPr="00F6273C">
        <w:t>COVID</w:t>
      </w:r>
      <w:r w:rsidR="006B2A22" w:rsidRPr="00F6273C">
        <w:noBreakHyphen/>
      </w:r>
      <w:r w:rsidR="00AA7229" w:rsidRPr="00F6273C">
        <w:t>19</w:t>
      </w:r>
      <w:r w:rsidR="0088667A" w:rsidRPr="00F6273C">
        <w:t xml:space="preserve"> pandemic</w:t>
      </w:r>
      <w:r w:rsidR="00517E31" w:rsidRPr="00F6273C">
        <w:t xml:space="preserve"> is having profound impacts on Australia</w:t>
      </w:r>
      <w:r w:rsidR="006B2A22" w:rsidRPr="00F6273C">
        <w:t>’</w:t>
      </w:r>
      <w:r w:rsidR="00517E31" w:rsidRPr="00F6273C">
        <w:t>s economy. T</w:t>
      </w:r>
      <w:r w:rsidR="004465F4" w:rsidRPr="00F6273C">
        <w:t xml:space="preserve">he impacts of the pandemic and accompanying containment measures have been evident across all </w:t>
      </w:r>
      <w:r w:rsidR="00CF2DA2" w:rsidRPr="00F6273C">
        <w:t xml:space="preserve">parts </w:t>
      </w:r>
      <w:r w:rsidR="004465F4" w:rsidRPr="00F6273C">
        <w:t xml:space="preserve">of the economy, with record falls in key indicators of business investment, household consumption, the labour market and trade activity over the </w:t>
      </w:r>
      <w:r w:rsidR="00CC2978" w:rsidRPr="00F6273C">
        <w:t>months since March</w:t>
      </w:r>
      <w:r w:rsidR="004465F4" w:rsidRPr="00F6273C">
        <w:t>. Early indicators suggest the unwinding of containment measures in the latter part of the</w:t>
      </w:r>
      <w:r w:rsidR="00CC2978" w:rsidRPr="00F6273C">
        <w:t xml:space="preserve"> June</w:t>
      </w:r>
      <w:r w:rsidR="004465F4" w:rsidRPr="00F6273C">
        <w:t xml:space="preserve"> quarter has </w:t>
      </w:r>
      <w:r w:rsidR="007575B7" w:rsidRPr="00F6273C">
        <w:t xml:space="preserve">led to </w:t>
      </w:r>
      <w:r w:rsidR="004465F4" w:rsidRPr="00F6273C">
        <w:t xml:space="preserve">a noticeable recovery in </w:t>
      </w:r>
      <w:r w:rsidR="00517E31" w:rsidRPr="00F6273C">
        <w:t xml:space="preserve">economic </w:t>
      </w:r>
      <w:r w:rsidR="004465F4" w:rsidRPr="00F6273C">
        <w:t xml:space="preserve">activity, with GDP expected to start recovering from the September quarter. However, activity </w:t>
      </w:r>
      <w:proofErr w:type="gramStart"/>
      <w:r w:rsidR="004465F4" w:rsidRPr="00F6273C">
        <w:t>is expected</w:t>
      </w:r>
      <w:proofErr w:type="gramEnd"/>
      <w:r w:rsidR="004465F4" w:rsidRPr="00F6273C">
        <w:t xml:space="preserve"> to remain below its pre</w:t>
      </w:r>
      <w:r w:rsidR="006B2A22" w:rsidRPr="00F6273C">
        <w:noBreakHyphen/>
      </w:r>
      <w:r w:rsidR="008643DE" w:rsidRPr="00F6273C">
        <w:t>COVID</w:t>
      </w:r>
      <w:r w:rsidR="006B2A22" w:rsidRPr="00F6273C">
        <w:noBreakHyphen/>
      </w:r>
      <w:r w:rsidR="008643DE" w:rsidRPr="00F6273C">
        <w:t>19</w:t>
      </w:r>
      <w:r w:rsidR="004465F4" w:rsidRPr="00F6273C">
        <w:t xml:space="preserve"> levels for some time</w:t>
      </w:r>
      <w:r w:rsidR="00F63C0D" w:rsidRPr="00F6273C">
        <w:t xml:space="preserve"> as </w:t>
      </w:r>
      <w:r w:rsidR="0088667A" w:rsidRPr="00F6273C">
        <w:t xml:space="preserve">the </w:t>
      </w:r>
      <w:r w:rsidR="00F63C0D" w:rsidRPr="00F6273C">
        <w:t>effects of the crisis drag on labour market outcomes and business investment decisions</w:t>
      </w:r>
      <w:r w:rsidR="000F37CC" w:rsidRPr="00F6273C">
        <w:rPr>
          <w:color w:val="FF0000"/>
        </w:rPr>
        <w:fldChar w:fldCharType="begin"/>
      </w:r>
      <w:r w:rsidR="000F37CC" w:rsidRPr="00F6273C">
        <w:rPr>
          <w:color w:val="FF0000"/>
        </w:rPr>
        <w:instrText xml:space="preserve"> :End:MECD_TP1 </w:instrText>
      </w:r>
      <w:r w:rsidR="000F37CC" w:rsidRPr="00F6273C">
        <w:rPr>
          <w:color w:val="FF0000"/>
        </w:rPr>
        <w:fldChar w:fldCharType="end"/>
      </w:r>
      <w:r w:rsidR="004465F4" w:rsidRPr="00F6273C">
        <w:t xml:space="preserve">. </w:t>
      </w:r>
    </w:p>
    <w:p w14:paraId="2BDF8B33" w14:textId="6439CF6A" w:rsidR="004E411B" w:rsidRPr="00F6273C" w:rsidRDefault="005642B3" w:rsidP="00762ADD">
      <w:r w:rsidRPr="00F6273C">
        <w:rPr>
          <w:color w:val="0000FF"/>
        </w:rPr>
        <w:fldChar w:fldCharType="begin"/>
      </w:r>
      <w:r w:rsidRPr="00F6273C">
        <w:rPr>
          <w:color w:val="0000FF"/>
        </w:rPr>
        <w:instrText xml:space="preserve"> :Start:MECD_TP3 </w:instrText>
      </w:r>
      <w:r w:rsidRPr="00F6273C">
        <w:rPr>
          <w:color w:val="0000FF"/>
        </w:rPr>
        <w:fldChar w:fldCharType="end"/>
      </w:r>
      <w:r w:rsidR="004E411B" w:rsidRPr="00F6273C">
        <w:t xml:space="preserve">The most significant </w:t>
      </w:r>
      <w:r w:rsidR="00AC3C8C" w:rsidRPr="00F6273C">
        <w:t xml:space="preserve">economic </w:t>
      </w:r>
      <w:r w:rsidR="004E411B" w:rsidRPr="00F6273C">
        <w:t>impact of the crisis has been on jobs, particularly for women and young people</w:t>
      </w:r>
      <w:r w:rsidR="00AC3C8C" w:rsidRPr="00F6273C">
        <w:t>, though there was some improvement in June</w:t>
      </w:r>
      <w:r w:rsidR="004E411B" w:rsidRPr="00F6273C">
        <w:t xml:space="preserve">. This is consistent with the employment composition of </w:t>
      </w:r>
      <w:r w:rsidR="005E609C" w:rsidRPr="00F6273C">
        <w:t xml:space="preserve">the </w:t>
      </w:r>
      <w:r w:rsidR="004E411B" w:rsidRPr="00F6273C">
        <w:t>industries that have been most affected by the restrictions, such as a</w:t>
      </w:r>
      <w:r w:rsidR="00EB3BCD" w:rsidRPr="00F6273C">
        <w:t xml:space="preserve">ccommodation and </w:t>
      </w:r>
      <w:proofErr w:type="gramStart"/>
      <w:r w:rsidR="00EB3BCD" w:rsidRPr="00F6273C">
        <w:t>food services</w:t>
      </w:r>
      <w:proofErr w:type="gramEnd"/>
      <w:r w:rsidR="00EB3BCD" w:rsidRPr="00F6273C">
        <w:t xml:space="preserve">. </w:t>
      </w:r>
      <w:r w:rsidR="001A1102" w:rsidRPr="00F6273C">
        <w:t>T</w:t>
      </w:r>
      <w:r w:rsidR="004E411B" w:rsidRPr="00F6273C">
        <w:t xml:space="preserve">he unemployment rate </w:t>
      </w:r>
      <w:proofErr w:type="gramStart"/>
      <w:r w:rsidR="0021788C" w:rsidRPr="00F6273C">
        <w:t xml:space="preserve">is </w:t>
      </w:r>
      <w:r w:rsidR="004E411B" w:rsidRPr="00F6273C">
        <w:t>forecast</w:t>
      </w:r>
      <w:proofErr w:type="gramEnd"/>
      <w:r w:rsidR="004E411B" w:rsidRPr="00F6273C">
        <w:t xml:space="preserve"> to peak at around </w:t>
      </w:r>
      <w:r w:rsidR="0021788C" w:rsidRPr="00F6273C">
        <w:t xml:space="preserve">9¼ </w:t>
      </w:r>
      <w:r w:rsidR="004E411B" w:rsidRPr="00F6273C">
        <w:t xml:space="preserve">per cent in the December quarter </w:t>
      </w:r>
      <w:r w:rsidR="00CC2978" w:rsidRPr="00F6273C">
        <w:t>2020. Beyond 2020</w:t>
      </w:r>
      <w:r w:rsidR="00115E95" w:rsidRPr="00F6273C">
        <w:t>,</w:t>
      </w:r>
      <w:r w:rsidR="004E411B" w:rsidRPr="00F6273C">
        <w:t xml:space="preserve"> labour market conditions </w:t>
      </w:r>
      <w:r w:rsidR="0021788C" w:rsidRPr="00F6273C">
        <w:t xml:space="preserve">are forecast to </w:t>
      </w:r>
      <w:r w:rsidR="004E411B" w:rsidRPr="00F6273C">
        <w:t xml:space="preserve">strengthen as demand picks up </w:t>
      </w:r>
      <w:proofErr w:type="gramStart"/>
      <w:r w:rsidR="004E411B" w:rsidRPr="00F6273C">
        <w:t>but</w:t>
      </w:r>
      <w:r w:rsidR="00EB0B2D" w:rsidRPr="00F6273C">
        <w:t>,</w:t>
      </w:r>
      <w:proofErr w:type="gramEnd"/>
      <w:r w:rsidR="00EB0B2D" w:rsidRPr="00F6273C">
        <w:t xml:space="preserve"> as with prior </w:t>
      </w:r>
      <w:r w:rsidR="00CC2978" w:rsidRPr="00F6273C">
        <w:t>recessions</w:t>
      </w:r>
      <w:r w:rsidR="00EB0B2D" w:rsidRPr="00F6273C">
        <w:t>,</w:t>
      </w:r>
      <w:r w:rsidR="004E411B" w:rsidRPr="00F6273C">
        <w:t xml:space="preserve"> the unemployment rate will take some time to decline.</w:t>
      </w:r>
      <w:r w:rsidRPr="00F6273C">
        <w:rPr>
          <w:color w:val="FF0000"/>
        </w:rPr>
        <w:fldChar w:fldCharType="begin"/>
      </w:r>
      <w:r w:rsidRPr="00F6273C">
        <w:rPr>
          <w:color w:val="FF0000"/>
        </w:rPr>
        <w:instrText xml:space="preserve"> :End:MECD_TP3 </w:instrText>
      </w:r>
      <w:r w:rsidRPr="00F6273C">
        <w:rPr>
          <w:color w:val="FF0000"/>
        </w:rPr>
        <w:fldChar w:fldCharType="end"/>
      </w:r>
    </w:p>
    <w:p w14:paraId="6B2DF0B1" w14:textId="67974C28" w:rsidR="001A1E06" w:rsidRPr="00F6273C" w:rsidRDefault="000F37CC" w:rsidP="00762ADD">
      <w:r w:rsidRPr="00F6273C">
        <w:rPr>
          <w:color w:val="0000FF"/>
        </w:rPr>
        <w:fldChar w:fldCharType="begin"/>
      </w:r>
      <w:r w:rsidRPr="00F6273C">
        <w:rPr>
          <w:color w:val="0000FF"/>
        </w:rPr>
        <w:instrText xml:space="preserve"> :Start:MECD_TP2 </w:instrText>
      </w:r>
      <w:r w:rsidRPr="00F6273C">
        <w:rPr>
          <w:color w:val="0000FF"/>
        </w:rPr>
        <w:fldChar w:fldCharType="end"/>
      </w:r>
      <w:r w:rsidR="00CA73CF" w:rsidRPr="00F6273C">
        <w:t>T</w:t>
      </w:r>
      <w:r w:rsidR="00892906" w:rsidRPr="00F6273C">
        <w:t xml:space="preserve">he </w:t>
      </w:r>
      <w:r w:rsidR="005E609C" w:rsidRPr="00F6273C">
        <w:t xml:space="preserve">outlook for both the </w:t>
      </w:r>
      <w:r w:rsidR="00892906" w:rsidRPr="00F6273C">
        <w:t xml:space="preserve">global and domestic </w:t>
      </w:r>
      <w:r w:rsidR="005E609C" w:rsidRPr="00F6273C">
        <w:t xml:space="preserve">economies </w:t>
      </w:r>
      <w:r w:rsidR="00CA73CF" w:rsidRPr="00F6273C">
        <w:t>remains highly uncertain</w:t>
      </w:r>
      <w:r w:rsidR="00892906" w:rsidRPr="00F6273C">
        <w:t>.</w:t>
      </w:r>
      <w:r w:rsidRPr="00F6273C">
        <w:rPr>
          <w:color w:val="FF0000"/>
        </w:rPr>
        <w:fldChar w:fldCharType="begin"/>
      </w:r>
      <w:r w:rsidRPr="00F6273C">
        <w:rPr>
          <w:color w:val="FF0000"/>
        </w:rPr>
        <w:instrText xml:space="preserve"> :End:MECD_TP2 </w:instrText>
      </w:r>
      <w:r w:rsidRPr="00F6273C">
        <w:rPr>
          <w:color w:val="FF0000"/>
        </w:rPr>
        <w:fldChar w:fldCharType="end"/>
      </w:r>
      <w:r w:rsidR="00892906" w:rsidRPr="00F6273C">
        <w:t xml:space="preserve"> </w:t>
      </w:r>
      <w:r w:rsidRPr="00F6273C">
        <w:rPr>
          <w:color w:val="0000FF"/>
        </w:rPr>
        <w:fldChar w:fldCharType="begin"/>
      </w:r>
      <w:r w:rsidRPr="00F6273C">
        <w:rPr>
          <w:color w:val="0000FF"/>
        </w:rPr>
        <w:instrText xml:space="preserve"> :Start:MECD_TP1 </w:instrText>
      </w:r>
      <w:r w:rsidRPr="00F6273C">
        <w:rPr>
          <w:color w:val="0000FF"/>
        </w:rPr>
        <w:fldChar w:fldCharType="end"/>
      </w:r>
      <w:r w:rsidR="00892906" w:rsidRPr="00F6273C">
        <w:t>The evolution of the public health crisis will shape the recovery trajectory.</w:t>
      </w:r>
      <w:r w:rsidRPr="00F6273C">
        <w:rPr>
          <w:color w:val="FF0000"/>
        </w:rPr>
        <w:fldChar w:fldCharType="begin"/>
      </w:r>
      <w:r w:rsidRPr="00F6273C">
        <w:rPr>
          <w:color w:val="FF0000"/>
        </w:rPr>
        <w:instrText xml:space="preserve"> :End:MECD_TP1 </w:instrText>
      </w:r>
      <w:r w:rsidRPr="00F6273C">
        <w:rPr>
          <w:color w:val="FF0000"/>
        </w:rPr>
        <w:fldChar w:fldCharType="end"/>
      </w:r>
      <w:r w:rsidR="00892906" w:rsidRPr="00F6273C">
        <w:t xml:space="preserve"> </w:t>
      </w:r>
      <w:r w:rsidRPr="00F6273C">
        <w:rPr>
          <w:color w:val="0000FF"/>
        </w:rPr>
        <w:fldChar w:fldCharType="begin"/>
      </w:r>
      <w:r w:rsidRPr="00F6273C">
        <w:rPr>
          <w:color w:val="0000FF"/>
        </w:rPr>
        <w:instrText xml:space="preserve"> :Start:MECD_TP2 </w:instrText>
      </w:r>
      <w:r w:rsidRPr="00F6273C">
        <w:rPr>
          <w:color w:val="0000FF"/>
        </w:rPr>
        <w:fldChar w:fldCharType="end"/>
      </w:r>
      <w:r w:rsidR="0021788C" w:rsidRPr="00F6273C">
        <w:t xml:space="preserve">Controlling the spread of the virus remains a significant challenge with </w:t>
      </w:r>
      <w:r w:rsidR="0088667A" w:rsidRPr="00F6273C">
        <w:t>COVID</w:t>
      </w:r>
      <w:r w:rsidR="006B2A22" w:rsidRPr="00F6273C">
        <w:noBreakHyphen/>
      </w:r>
      <w:r w:rsidR="0088667A" w:rsidRPr="00F6273C">
        <w:t>19</w:t>
      </w:r>
      <w:r w:rsidR="0021788C" w:rsidRPr="00F6273C">
        <w:t xml:space="preserve"> infections continuing to rise globally.</w:t>
      </w:r>
      <w:r w:rsidRPr="00F6273C">
        <w:rPr>
          <w:color w:val="FF0000"/>
        </w:rPr>
        <w:fldChar w:fldCharType="begin"/>
      </w:r>
      <w:r w:rsidRPr="00F6273C">
        <w:rPr>
          <w:color w:val="FF0000"/>
        </w:rPr>
        <w:instrText xml:space="preserve"> :End:MECD_TP2 </w:instrText>
      </w:r>
      <w:r w:rsidRPr="00F6273C">
        <w:rPr>
          <w:color w:val="FF0000"/>
        </w:rPr>
        <w:fldChar w:fldCharType="end"/>
      </w:r>
      <w:r w:rsidR="005642B3" w:rsidRPr="00F6273C">
        <w:rPr>
          <w:color w:val="0000FF"/>
        </w:rPr>
        <w:t xml:space="preserve"> </w:t>
      </w:r>
      <w:r w:rsidR="005642B3" w:rsidRPr="00F6273C">
        <w:rPr>
          <w:color w:val="0000FF"/>
        </w:rPr>
        <w:fldChar w:fldCharType="begin"/>
      </w:r>
      <w:r w:rsidR="005642B3" w:rsidRPr="00F6273C">
        <w:rPr>
          <w:color w:val="0000FF"/>
        </w:rPr>
        <w:instrText xml:space="preserve"> :Start:MECD_TP1 </w:instrText>
      </w:r>
      <w:r w:rsidR="005642B3" w:rsidRPr="00F6273C">
        <w:rPr>
          <w:color w:val="0000FF"/>
        </w:rPr>
        <w:fldChar w:fldCharType="end"/>
      </w:r>
      <w:r w:rsidR="0021788C" w:rsidRPr="00F6273C">
        <w:t xml:space="preserve"> Even where infection rates appear to </w:t>
      </w:r>
      <w:proofErr w:type="gramStart"/>
      <w:r w:rsidR="0021788C" w:rsidRPr="00F6273C">
        <w:t>have been controlled</w:t>
      </w:r>
      <w:proofErr w:type="gramEnd"/>
      <w:r w:rsidR="0021788C" w:rsidRPr="00F6273C">
        <w:t>, further outbreaks, such as those experienced in Victoria, could set back recovery at any time. F</w:t>
      </w:r>
      <w:r w:rsidR="00892906" w:rsidRPr="00F6273C">
        <w:t>urther outbreaks and cautionary behaviour of businesses and households threaten the outlook both in Australia and globally.</w:t>
      </w:r>
      <w:r w:rsidR="005642B3" w:rsidRPr="00F6273C">
        <w:rPr>
          <w:color w:val="FF0000"/>
        </w:rPr>
        <w:t xml:space="preserve"> </w:t>
      </w:r>
      <w:r w:rsidR="005642B3" w:rsidRPr="00F6273C">
        <w:rPr>
          <w:color w:val="FF0000"/>
        </w:rPr>
        <w:fldChar w:fldCharType="begin"/>
      </w:r>
      <w:r w:rsidR="005642B3" w:rsidRPr="00F6273C">
        <w:rPr>
          <w:color w:val="FF0000"/>
        </w:rPr>
        <w:instrText xml:space="preserve"> :End:MECD_TP1 </w:instrText>
      </w:r>
      <w:r w:rsidR="005642B3" w:rsidRPr="00F6273C">
        <w:rPr>
          <w:color w:val="FF0000"/>
        </w:rPr>
        <w:fldChar w:fldCharType="end"/>
      </w:r>
      <w:r w:rsidR="00892906" w:rsidRPr="00F6273C">
        <w:t xml:space="preserve"> </w:t>
      </w:r>
    </w:p>
    <w:p w14:paraId="5CD14316" w14:textId="02688C30" w:rsidR="00892906" w:rsidRPr="00F6273C" w:rsidRDefault="000F37CC" w:rsidP="00762ADD">
      <w:r w:rsidRPr="00F6273C">
        <w:rPr>
          <w:color w:val="0000FF"/>
        </w:rPr>
        <w:fldChar w:fldCharType="begin"/>
      </w:r>
      <w:r w:rsidRPr="00F6273C">
        <w:rPr>
          <w:color w:val="0000FF"/>
        </w:rPr>
        <w:instrText xml:space="preserve"> :Start:MECD_TP2 </w:instrText>
      </w:r>
      <w:r w:rsidRPr="00F6273C">
        <w:rPr>
          <w:color w:val="0000FF"/>
        </w:rPr>
        <w:fldChar w:fldCharType="end"/>
      </w:r>
      <w:r w:rsidR="00892906" w:rsidRPr="00F6273C">
        <w:t>There are also risks that the substantial increase in global debt may lead to credit tightening and financial instability, slowing the pace of recovery.</w:t>
      </w:r>
      <w:r w:rsidR="005642B3" w:rsidRPr="00F6273C">
        <w:rPr>
          <w:color w:val="0000FF"/>
        </w:rPr>
        <w:t xml:space="preserve"> </w:t>
      </w:r>
      <w:r w:rsidRPr="00F6273C">
        <w:rPr>
          <w:color w:val="FF0000"/>
        </w:rPr>
        <w:fldChar w:fldCharType="begin"/>
      </w:r>
      <w:r w:rsidRPr="00F6273C">
        <w:rPr>
          <w:color w:val="FF0000"/>
        </w:rPr>
        <w:instrText xml:space="preserve"> :End:MECD_TP2 </w:instrText>
      </w:r>
      <w:r w:rsidRPr="00F6273C">
        <w:rPr>
          <w:color w:val="FF0000"/>
        </w:rPr>
        <w:fldChar w:fldCharType="end"/>
      </w:r>
      <w:r w:rsidR="005642B3" w:rsidRPr="00F6273C">
        <w:rPr>
          <w:color w:val="0000FF"/>
        </w:rPr>
        <w:fldChar w:fldCharType="begin"/>
      </w:r>
      <w:r w:rsidR="005642B3" w:rsidRPr="00F6273C">
        <w:rPr>
          <w:color w:val="0000FF"/>
        </w:rPr>
        <w:instrText xml:space="preserve"> :Start:MECD_TP1 </w:instrText>
      </w:r>
      <w:r w:rsidR="005642B3" w:rsidRPr="00F6273C">
        <w:rPr>
          <w:color w:val="0000FF"/>
        </w:rPr>
        <w:fldChar w:fldCharType="end"/>
      </w:r>
      <w:r w:rsidR="00892906" w:rsidRPr="00F6273C">
        <w:t xml:space="preserve"> </w:t>
      </w:r>
      <w:r w:rsidR="0021788C" w:rsidRPr="00F6273C">
        <w:t xml:space="preserve">The extent of any </w:t>
      </w:r>
      <w:r w:rsidR="0021788C" w:rsidRPr="00F6273C">
        <w:lastRenderedPageBreak/>
        <w:t>longer</w:t>
      </w:r>
      <w:r w:rsidR="006B2A22" w:rsidRPr="00F6273C">
        <w:noBreakHyphen/>
      </w:r>
      <w:r w:rsidR="0021788C" w:rsidRPr="00F6273C">
        <w:t xml:space="preserve">lasting effects from this crisis are also highly uncertain. </w:t>
      </w:r>
      <w:r w:rsidR="00892906" w:rsidRPr="00F6273C">
        <w:t>Longer</w:t>
      </w:r>
      <w:r w:rsidR="006B2A22" w:rsidRPr="00F6273C">
        <w:noBreakHyphen/>
      </w:r>
      <w:r w:rsidR="00892906" w:rsidRPr="00F6273C">
        <w:t xml:space="preserve">lasting effects from economic scarring may drag on future activity, including </w:t>
      </w:r>
      <w:proofErr w:type="gramStart"/>
      <w:r w:rsidR="00892906" w:rsidRPr="00F6273C">
        <w:t>as a result</w:t>
      </w:r>
      <w:proofErr w:type="gramEnd"/>
      <w:r w:rsidR="00892906" w:rsidRPr="00F6273C">
        <w:t xml:space="preserve"> of persistently high unemployment. </w:t>
      </w:r>
    </w:p>
    <w:p w14:paraId="5E42D39C" w14:textId="2BF15BCE" w:rsidR="00542F52" w:rsidRPr="00F6273C" w:rsidRDefault="00542F52" w:rsidP="00542F52">
      <w:pPr>
        <w:pStyle w:val="TableHeading"/>
        <w:rPr>
          <w:rFonts w:asciiTheme="minorHAnsi" w:eastAsiaTheme="minorHAnsi" w:hAnsiTheme="minorHAnsi" w:cstheme="minorBidi"/>
          <w:sz w:val="22"/>
          <w:szCs w:val="22"/>
          <w:lang w:eastAsia="en-US"/>
        </w:rPr>
      </w:pPr>
      <w:bookmarkStart w:id="0" w:name="tempbookmark"/>
      <w:r w:rsidRPr="00F6273C">
        <w:t xml:space="preserve">Table 1.2: Major economic </w:t>
      </w:r>
      <w:proofErr w:type="gramStart"/>
      <w:r w:rsidRPr="00F6273C">
        <w:t>parameters</w:t>
      </w:r>
      <w:r w:rsidRPr="00F6273C">
        <w:rPr>
          <w:vertAlign w:val="superscript"/>
        </w:rPr>
        <w:t>(</w:t>
      </w:r>
      <w:proofErr w:type="gramEnd"/>
      <w:r w:rsidRPr="00F6273C">
        <w:rPr>
          <w:vertAlign w:val="superscript"/>
        </w:rPr>
        <w:t>a)</w:t>
      </w:r>
      <w:r w:rsidRPr="00F6273C">
        <w:tab/>
      </w:r>
      <w:r w:rsidRPr="00F6273C">
        <w:fldChar w:fldCharType="begin" w:fldLock="1"/>
      </w:r>
      <w:r w:rsidRPr="00F6273C">
        <w:instrText xml:space="preserve"> LINK Excel.Sheet.12 "\\\\budget.gov\\budget_shares\\Budget$\\2020 Economic and Fiscal Update\\001 Overview\\07 Overview drafting - MEG MECD\\MECD-Params.xlsx" "Major Economic Parameters!R2C1:R9C4" \a \f 4 \h </w:instrText>
      </w:r>
      <w:r w:rsidRPr="00F6273C">
        <w:fldChar w:fldCharType="separate"/>
      </w:r>
    </w:p>
    <w:tbl>
      <w:tblPr>
        <w:tblW w:w="5000" w:type="pct"/>
        <w:tblLook w:val="04A0" w:firstRow="1" w:lastRow="0" w:firstColumn="1" w:lastColumn="0" w:noHBand="0" w:noVBand="1"/>
      </w:tblPr>
      <w:tblGrid>
        <w:gridCol w:w="3201"/>
        <w:gridCol w:w="1503"/>
        <w:gridCol w:w="1503"/>
        <w:gridCol w:w="1503"/>
      </w:tblGrid>
      <w:tr w:rsidR="00542F52" w:rsidRPr="00F6273C" w14:paraId="5E32F79B" w14:textId="77777777" w:rsidTr="00542F52">
        <w:trPr>
          <w:trHeight w:hRule="exact" w:val="220"/>
        </w:trPr>
        <w:tc>
          <w:tcPr>
            <w:tcW w:w="2075" w:type="pct"/>
            <w:tcBorders>
              <w:top w:val="single" w:sz="4" w:space="0" w:color="000000"/>
              <w:left w:val="nil"/>
              <w:bottom w:val="nil"/>
              <w:right w:val="nil"/>
            </w:tcBorders>
            <w:shd w:val="clear" w:color="000000" w:fill="FFFFFF"/>
            <w:noWrap/>
            <w:vAlign w:val="bottom"/>
            <w:hideMark/>
          </w:tcPr>
          <w:p w14:paraId="434D3FA7" w14:textId="5B8A288F" w:rsidR="00542F52" w:rsidRPr="00F6273C" w:rsidRDefault="00542F52" w:rsidP="00542F52">
            <w:pPr>
              <w:spacing w:after="0" w:line="240" w:lineRule="auto"/>
              <w:jc w:val="left"/>
              <w:rPr>
                <w:rFonts w:ascii="Arial" w:hAnsi="Arial" w:cs="Arial"/>
                <w:sz w:val="16"/>
                <w:szCs w:val="16"/>
              </w:rPr>
            </w:pPr>
            <w:r w:rsidRPr="00F6273C">
              <w:rPr>
                <w:rFonts w:ascii="Arial" w:hAnsi="Arial" w:cs="Arial"/>
                <w:sz w:val="16"/>
                <w:szCs w:val="16"/>
              </w:rPr>
              <w:t> </w:t>
            </w:r>
          </w:p>
        </w:tc>
        <w:tc>
          <w:tcPr>
            <w:tcW w:w="975" w:type="pct"/>
            <w:tcBorders>
              <w:top w:val="single" w:sz="4" w:space="0" w:color="000000"/>
              <w:left w:val="nil"/>
              <w:bottom w:val="nil"/>
              <w:right w:val="nil"/>
            </w:tcBorders>
            <w:shd w:val="clear" w:color="000000" w:fill="FFFFFF"/>
            <w:noWrap/>
            <w:vAlign w:val="bottom"/>
            <w:hideMark/>
          </w:tcPr>
          <w:p w14:paraId="058FD173"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Outcome</w:t>
            </w:r>
          </w:p>
        </w:tc>
        <w:tc>
          <w:tcPr>
            <w:tcW w:w="1950" w:type="pct"/>
            <w:gridSpan w:val="2"/>
            <w:tcBorders>
              <w:top w:val="single" w:sz="4" w:space="0" w:color="auto"/>
              <w:left w:val="nil"/>
              <w:bottom w:val="single" w:sz="4" w:space="0" w:color="auto"/>
              <w:right w:val="nil"/>
            </w:tcBorders>
            <w:shd w:val="clear" w:color="000000" w:fill="E6E6E6"/>
            <w:noWrap/>
            <w:vAlign w:val="bottom"/>
            <w:hideMark/>
          </w:tcPr>
          <w:p w14:paraId="7962CBD7" w14:textId="77777777" w:rsidR="00542F52" w:rsidRPr="00F6273C" w:rsidRDefault="00542F52" w:rsidP="00542F52">
            <w:pPr>
              <w:spacing w:after="0" w:line="240" w:lineRule="auto"/>
              <w:jc w:val="center"/>
              <w:rPr>
                <w:rFonts w:ascii="Arial" w:hAnsi="Arial" w:cs="Arial"/>
                <w:sz w:val="16"/>
                <w:szCs w:val="16"/>
              </w:rPr>
            </w:pPr>
            <w:r w:rsidRPr="00F6273C">
              <w:rPr>
                <w:rFonts w:ascii="Arial" w:hAnsi="Arial" w:cs="Arial"/>
                <w:sz w:val="16"/>
                <w:szCs w:val="16"/>
              </w:rPr>
              <w:t>Forecasts</w:t>
            </w:r>
          </w:p>
        </w:tc>
      </w:tr>
      <w:tr w:rsidR="00542F52" w:rsidRPr="00F6273C" w14:paraId="1F5AB5AD" w14:textId="77777777" w:rsidTr="00542F52">
        <w:trPr>
          <w:trHeight w:hRule="exact" w:val="220"/>
        </w:trPr>
        <w:tc>
          <w:tcPr>
            <w:tcW w:w="2075" w:type="pct"/>
            <w:tcBorders>
              <w:top w:val="nil"/>
              <w:left w:val="nil"/>
              <w:bottom w:val="nil"/>
              <w:right w:val="nil"/>
            </w:tcBorders>
            <w:shd w:val="clear" w:color="auto" w:fill="auto"/>
            <w:noWrap/>
            <w:vAlign w:val="center"/>
            <w:hideMark/>
          </w:tcPr>
          <w:p w14:paraId="6451E2ED" w14:textId="77777777" w:rsidR="00542F52" w:rsidRPr="00F6273C" w:rsidRDefault="00542F52" w:rsidP="00542F52">
            <w:pPr>
              <w:spacing w:after="0" w:line="240" w:lineRule="auto"/>
              <w:jc w:val="center"/>
              <w:rPr>
                <w:rFonts w:ascii="Arial" w:hAnsi="Arial" w:cs="Arial"/>
                <w:sz w:val="16"/>
                <w:szCs w:val="16"/>
              </w:rPr>
            </w:pPr>
          </w:p>
        </w:tc>
        <w:tc>
          <w:tcPr>
            <w:tcW w:w="975" w:type="pct"/>
            <w:tcBorders>
              <w:top w:val="single" w:sz="4" w:space="0" w:color="auto"/>
              <w:left w:val="nil"/>
              <w:bottom w:val="single" w:sz="4" w:space="0" w:color="auto"/>
              <w:right w:val="nil"/>
            </w:tcBorders>
            <w:shd w:val="clear" w:color="auto" w:fill="auto"/>
            <w:noWrap/>
            <w:vAlign w:val="bottom"/>
            <w:hideMark/>
          </w:tcPr>
          <w:p w14:paraId="347B9456" w14:textId="6ED2EA3D"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2018</w:t>
            </w:r>
            <w:r w:rsidR="006B2A22" w:rsidRPr="00F6273C">
              <w:rPr>
                <w:rFonts w:ascii="Arial" w:hAnsi="Arial" w:cs="Arial"/>
                <w:sz w:val="16"/>
                <w:szCs w:val="16"/>
              </w:rPr>
              <w:noBreakHyphen/>
            </w:r>
            <w:r w:rsidRPr="00F6273C">
              <w:rPr>
                <w:rFonts w:ascii="Arial" w:hAnsi="Arial" w:cs="Arial"/>
                <w:sz w:val="16"/>
                <w:szCs w:val="16"/>
              </w:rPr>
              <w:t>19</w:t>
            </w:r>
          </w:p>
        </w:tc>
        <w:tc>
          <w:tcPr>
            <w:tcW w:w="975" w:type="pct"/>
            <w:tcBorders>
              <w:top w:val="nil"/>
              <w:left w:val="nil"/>
              <w:bottom w:val="single" w:sz="4" w:space="0" w:color="auto"/>
              <w:right w:val="nil"/>
            </w:tcBorders>
            <w:shd w:val="clear" w:color="000000" w:fill="E6E6E6"/>
            <w:noWrap/>
            <w:vAlign w:val="bottom"/>
            <w:hideMark/>
          </w:tcPr>
          <w:p w14:paraId="03F672D9" w14:textId="07BD7EDE"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2019</w:t>
            </w:r>
            <w:r w:rsidR="006B2A22" w:rsidRPr="00F6273C">
              <w:rPr>
                <w:rFonts w:ascii="Arial" w:hAnsi="Arial" w:cs="Arial"/>
                <w:sz w:val="16"/>
                <w:szCs w:val="16"/>
              </w:rPr>
              <w:noBreakHyphen/>
            </w:r>
            <w:r w:rsidRPr="00F6273C">
              <w:rPr>
                <w:rFonts w:ascii="Arial" w:hAnsi="Arial" w:cs="Arial"/>
                <w:sz w:val="16"/>
                <w:szCs w:val="16"/>
              </w:rPr>
              <w:t>20</w:t>
            </w:r>
          </w:p>
        </w:tc>
        <w:tc>
          <w:tcPr>
            <w:tcW w:w="975" w:type="pct"/>
            <w:tcBorders>
              <w:top w:val="nil"/>
              <w:left w:val="nil"/>
              <w:bottom w:val="single" w:sz="4" w:space="0" w:color="auto"/>
              <w:right w:val="nil"/>
            </w:tcBorders>
            <w:shd w:val="clear" w:color="000000" w:fill="E6E6E6"/>
            <w:noWrap/>
            <w:vAlign w:val="bottom"/>
            <w:hideMark/>
          </w:tcPr>
          <w:p w14:paraId="20A0ACE0" w14:textId="4C2E6318"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2020</w:t>
            </w:r>
            <w:r w:rsidR="006B2A22" w:rsidRPr="00F6273C">
              <w:rPr>
                <w:rFonts w:ascii="Arial" w:hAnsi="Arial" w:cs="Arial"/>
                <w:sz w:val="16"/>
                <w:szCs w:val="16"/>
              </w:rPr>
              <w:noBreakHyphen/>
            </w:r>
            <w:r w:rsidRPr="00F6273C">
              <w:rPr>
                <w:rFonts w:ascii="Arial" w:hAnsi="Arial" w:cs="Arial"/>
                <w:sz w:val="16"/>
                <w:szCs w:val="16"/>
              </w:rPr>
              <w:t>21</w:t>
            </w:r>
          </w:p>
        </w:tc>
      </w:tr>
      <w:tr w:rsidR="00542F52" w:rsidRPr="00F6273C" w14:paraId="071C6BA7" w14:textId="77777777" w:rsidTr="00542F52">
        <w:trPr>
          <w:trHeight w:hRule="exact" w:val="220"/>
        </w:trPr>
        <w:tc>
          <w:tcPr>
            <w:tcW w:w="2075" w:type="pct"/>
            <w:tcBorders>
              <w:top w:val="nil"/>
              <w:left w:val="nil"/>
              <w:bottom w:val="nil"/>
              <w:right w:val="nil"/>
            </w:tcBorders>
            <w:shd w:val="clear" w:color="auto" w:fill="auto"/>
            <w:noWrap/>
            <w:vAlign w:val="center"/>
            <w:hideMark/>
          </w:tcPr>
          <w:p w14:paraId="6C81A27B" w14:textId="77777777" w:rsidR="00542F52" w:rsidRPr="00F6273C" w:rsidRDefault="00542F52" w:rsidP="00542F52">
            <w:pPr>
              <w:spacing w:after="0" w:line="240" w:lineRule="auto"/>
              <w:jc w:val="left"/>
              <w:rPr>
                <w:rFonts w:ascii="Arial" w:hAnsi="Arial" w:cs="Arial"/>
                <w:sz w:val="16"/>
                <w:szCs w:val="16"/>
              </w:rPr>
            </w:pPr>
            <w:r w:rsidRPr="00F6273C">
              <w:rPr>
                <w:rFonts w:ascii="Arial" w:hAnsi="Arial" w:cs="Arial"/>
                <w:sz w:val="16"/>
                <w:szCs w:val="16"/>
              </w:rPr>
              <w:t>Real GDP</w:t>
            </w:r>
          </w:p>
        </w:tc>
        <w:tc>
          <w:tcPr>
            <w:tcW w:w="975" w:type="pct"/>
            <w:tcBorders>
              <w:top w:val="nil"/>
              <w:left w:val="nil"/>
              <w:bottom w:val="nil"/>
              <w:right w:val="nil"/>
            </w:tcBorders>
            <w:shd w:val="clear" w:color="auto" w:fill="auto"/>
            <w:noWrap/>
            <w:vAlign w:val="center"/>
            <w:hideMark/>
          </w:tcPr>
          <w:p w14:paraId="44434BBC"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2.0</w:t>
            </w:r>
          </w:p>
        </w:tc>
        <w:tc>
          <w:tcPr>
            <w:tcW w:w="975" w:type="pct"/>
            <w:tcBorders>
              <w:top w:val="single" w:sz="4" w:space="0" w:color="auto"/>
              <w:left w:val="nil"/>
              <w:bottom w:val="nil"/>
              <w:right w:val="nil"/>
            </w:tcBorders>
            <w:shd w:val="clear" w:color="000000" w:fill="E6E6E6"/>
            <w:noWrap/>
            <w:vAlign w:val="center"/>
            <w:hideMark/>
          </w:tcPr>
          <w:p w14:paraId="64BD394C" w14:textId="4EEBF4B7" w:rsidR="00542F52" w:rsidRPr="00F6273C" w:rsidRDefault="006B2A22" w:rsidP="00542F52">
            <w:pPr>
              <w:spacing w:after="0" w:line="240" w:lineRule="auto"/>
              <w:jc w:val="right"/>
              <w:rPr>
                <w:rFonts w:ascii="Arial" w:hAnsi="Arial" w:cs="Arial"/>
                <w:sz w:val="16"/>
                <w:szCs w:val="16"/>
              </w:rPr>
            </w:pPr>
            <w:r w:rsidRPr="00F6273C">
              <w:rPr>
                <w:rFonts w:ascii="Arial" w:hAnsi="Arial" w:cs="Arial"/>
                <w:sz w:val="16"/>
                <w:szCs w:val="16"/>
              </w:rPr>
              <w:noBreakHyphen/>
            </w:r>
            <w:r w:rsidR="00542F52" w:rsidRPr="00F6273C">
              <w:rPr>
                <w:rFonts w:ascii="Arial" w:hAnsi="Arial" w:cs="Arial"/>
                <w:sz w:val="16"/>
                <w:szCs w:val="16"/>
              </w:rPr>
              <w:t xml:space="preserve"> 1/4</w:t>
            </w:r>
          </w:p>
        </w:tc>
        <w:tc>
          <w:tcPr>
            <w:tcW w:w="975" w:type="pct"/>
            <w:tcBorders>
              <w:top w:val="nil"/>
              <w:left w:val="nil"/>
              <w:bottom w:val="nil"/>
              <w:right w:val="nil"/>
            </w:tcBorders>
            <w:shd w:val="clear" w:color="000000" w:fill="E6E6E6"/>
            <w:noWrap/>
            <w:vAlign w:val="center"/>
            <w:hideMark/>
          </w:tcPr>
          <w:p w14:paraId="4A4BF5D2" w14:textId="283A8C56" w:rsidR="00542F52" w:rsidRPr="00F6273C" w:rsidRDefault="006B2A22" w:rsidP="00542F52">
            <w:pPr>
              <w:spacing w:after="0" w:line="240" w:lineRule="auto"/>
              <w:jc w:val="right"/>
              <w:rPr>
                <w:rFonts w:ascii="Arial" w:hAnsi="Arial" w:cs="Arial"/>
                <w:sz w:val="16"/>
                <w:szCs w:val="16"/>
              </w:rPr>
            </w:pPr>
            <w:r w:rsidRPr="00F6273C">
              <w:rPr>
                <w:rFonts w:ascii="Arial" w:hAnsi="Arial" w:cs="Arial"/>
                <w:sz w:val="16"/>
                <w:szCs w:val="16"/>
              </w:rPr>
              <w:noBreakHyphen/>
            </w:r>
            <w:r w:rsidR="00542F52" w:rsidRPr="00F6273C">
              <w:rPr>
                <w:rFonts w:ascii="Arial" w:hAnsi="Arial" w:cs="Arial"/>
                <w:sz w:val="16"/>
                <w:szCs w:val="16"/>
              </w:rPr>
              <w:t>2 1/2</w:t>
            </w:r>
          </w:p>
        </w:tc>
      </w:tr>
      <w:tr w:rsidR="00542F52" w:rsidRPr="00F6273C" w14:paraId="030E492C" w14:textId="77777777" w:rsidTr="00542F52">
        <w:trPr>
          <w:trHeight w:hRule="exact" w:val="220"/>
        </w:trPr>
        <w:tc>
          <w:tcPr>
            <w:tcW w:w="2075" w:type="pct"/>
            <w:tcBorders>
              <w:top w:val="nil"/>
              <w:left w:val="nil"/>
              <w:bottom w:val="nil"/>
              <w:right w:val="nil"/>
            </w:tcBorders>
            <w:shd w:val="clear" w:color="auto" w:fill="auto"/>
            <w:noWrap/>
            <w:vAlign w:val="center"/>
            <w:hideMark/>
          </w:tcPr>
          <w:p w14:paraId="42A26D3F" w14:textId="77777777" w:rsidR="00542F52" w:rsidRPr="00F6273C" w:rsidRDefault="00542F52" w:rsidP="00542F52">
            <w:pPr>
              <w:spacing w:after="0" w:line="240" w:lineRule="auto"/>
              <w:jc w:val="left"/>
              <w:rPr>
                <w:rFonts w:ascii="Arial" w:hAnsi="Arial" w:cs="Arial"/>
                <w:sz w:val="16"/>
                <w:szCs w:val="16"/>
              </w:rPr>
            </w:pPr>
            <w:r w:rsidRPr="00F6273C">
              <w:rPr>
                <w:rFonts w:ascii="Arial" w:hAnsi="Arial" w:cs="Arial"/>
                <w:sz w:val="16"/>
                <w:szCs w:val="16"/>
              </w:rPr>
              <w:t>Employment</w:t>
            </w:r>
            <w:r w:rsidRPr="00F6273C">
              <w:rPr>
                <w:rFonts w:ascii="Arial" w:hAnsi="Arial" w:cs="Arial"/>
                <w:sz w:val="16"/>
                <w:szCs w:val="16"/>
                <w:vertAlign w:val="superscript"/>
              </w:rPr>
              <w:t>(b)</w:t>
            </w:r>
          </w:p>
        </w:tc>
        <w:tc>
          <w:tcPr>
            <w:tcW w:w="975" w:type="pct"/>
            <w:tcBorders>
              <w:top w:val="nil"/>
              <w:left w:val="nil"/>
              <w:bottom w:val="nil"/>
              <w:right w:val="nil"/>
            </w:tcBorders>
            <w:shd w:val="clear" w:color="auto" w:fill="auto"/>
            <w:noWrap/>
            <w:vAlign w:val="center"/>
            <w:hideMark/>
          </w:tcPr>
          <w:p w14:paraId="6C45E8F8"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2.5</w:t>
            </w:r>
          </w:p>
        </w:tc>
        <w:tc>
          <w:tcPr>
            <w:tcW w:w="975" w:type="pct"/>
            <w:tcBorders>
              <w:top w:val="nil"/>
              <w:left w:val="nil"/>
              <w:bottom w:val="nil"/>
              <w:right w:val="nil"/>
            </w:tcBorders>
            <w:shd w:val="clear" w:color="000000" w:fill="E6E6E6"/>
            <w:noWrap/>
            <w:vAlign w:val="center"/>
            <w:hideMark/>
          </w:tcPr>
          <w:p w14:paraId="51075F30" w14:textId="0502D7E3" w:rsidR="00542F52" w:rsidRPr="00F6273C" w:rsidRDefault="006B2A22" w:rsidP="00542F52">
            <w:pPr>
              <w:spacing w:after="0" w:line="240" w:lineRule="auto"/>
              <w:jc w:val="right"/>
              <w:rPr>
                <w:rFonts w:ascii="Arial" w:hAnsi="Arial" w:cs="Arial"/>
                <w:sz w:val="16"/>
                <w:szCs w:val="16"/>
              </w:rPr>
            </w:pPr>
            <w:r w:rsidRPr="00F6273C">
              <w:rPr>
                <w:rFonts w:ascii="Arial" w:hAnsi="Arial" w:cs="Arial"/>
                <w:sz w:val="16"/>
                <w:szCs w:val="16"/>
              </w:rPr>
              <w:noBreakHyphen/>
            </w:r>
            <w:r w:rsidR="00542F52" w:rsidRPr="00F6273C">
              <w:rPr>
                <w:rFonts w:ascii="Arial" w:hAnsi="Arial" w:cs="Arial"/>
                <w:sz w:val="16"/>
                <w:szCs w:val="16"/>
              </w:rPr>
              <w:t>4.4</w:t>
            </w:r>
          </w:p>
        </w:tc>
        <w:tc>
          <w:tcPr>
            <w:tcW w:w="975" w:type="pct"/>
            <w:tcBorders>
              <w:top w:val="nil"/>
              <w:left w:val="nil"/>
              <w:bottom w:val="nil"/>
              <w:right w:val="nil"/>
            </w:tcBorders>
            <w:shd w:val="clear" w:color="000000" w:fill="E6E6E6"/>
            <w:noWrap/>
            <w:vAlign w:val="center"/>
            <w:hideMark/>
          </w:tcPr>
          <w:p w14:paraId="22DBA043"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 xml:space="preserve">1    </w:t>
            </w:r>
          </w:p>
        </w:tc>
      </w:tr>
      <w:tr w:rsidR="00542F52" w:rsidRPr="00F6273C" w14:paraId="0E3D01AF" w14:textId="77777777" w:rsidTr="00542F52">
        <w:trPr>
          <w:trHeight w:hRule="exact" w:val="220"/>
        </w:trPr>
        <w:tc>
          <w:tcPr>
            <w:tcW w:w="2075" w:type="pct"/>
            <w:tcBorders>
              <w:top w:val="nil"/>
              <w:left w:val="nil"/>
              <w:bottom w:val="nil"/>
              <w:right w:val="nil"/>
            </w:tcBorders>
            <w:shd w:val="clear" w:color="auto" w:fill="auto"/>
            <w:noWrap/>
            <w:vAlign w:val="center"/>
            <w:hideMark/>
          </w:tcPr>
          <w:p w14:paraId="383DF361" w14:textId="77777777" w:rsidR="00542F52" w:rsidRPr="00F6273C" w:rsidRDefault="00542F52" w:rsidP="00542F52">
            <w:pPr>
              <w:spacing w:after="0" w:line="240" w:lineRule="auto"/>
              <w:jc w:val="left"/>
              <w:rPr>
                <w:rFonts w:ascii="Arial" w:hAnsi="Arial" w:cs="Arial"/>
                <w:sz w:val="16"/>
                <w:szCs w:val="16"/>
              </w:rPr>
            </w:pPr>
            <w:r w:rsidRPr="00F6273C">
              <w:rPr>
                <w:rFonts w:ascii="Arial" w:hAnsi="Arial" w:cs="Arial"/>
                <w:sz w:val="16"/>
                <w:szCs w:val="16"/>
              </w:rPr>
              <w:t>Unemployment rate</w:t>
            </w:r>
            <w:r w:rsidRPr="00F6273C">
              <w:rPr>
                <w:rFonts w:ascii="Arial" w:hAnsi="Arial" w:cs="Arial"/>
                <w:sz w:val="16"/>
                <w:szCs w:val="16"/>
                <w:vertAlign w:val="superscript"/>
              </w:rPr>
              <w:t>(b)</w:t>
            </w:r>
          </w:p>
        </w:tc>
        <w:tc>
          <w:tcPr>
            <w:tcW w:w="975" w:type="pct"/>
            <w:tcBorders>
              <w:top w:val="nil"/>
              <w:left w:val="nil"/>
              <w:bottom w:val="nil"/>
              <w:right w:val="nil"/>
            </w:tcBorders>
            <w:shd w:val="clear" w:color="auto" w:fill="auto"/>
            <w:noWrap/>
            <w:vAlign w:val="center"/>
            <w:hideMark/>
          </w:tcPr>
          <w:p w14:paraId="3BAEABA7"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5.2</w:t>
            </w:r>
          </w:p>
        </w:tc>
        <w:tc>
          <w:tcPr>
            <w:tcW w:w="975" w:type="pct"/>
            <w:tcBorders>
              <w:top w:val="nil"/>
              <w:left w:val="nil"/>
              <w:bottom w:val="nil"/>
              <w:right w:val="nil"/>
            </w:tcBorders>
            <w:shd w:val="clear" w:color="000000" w:fill="E6E6E6"/>
            <w:noWrap/>
            <w:vAlign w:val="center"/>
            <w:hideMark/>
          </w:tcPr>
          <w:p w14:paraId="36FBF039"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7.0</w:t>
            </w:r>
          </w:p>
        </w:tc>
        <w:tc>
          <w:tcPr>
            <w:tcW w:w="975" w:type="pct"/>
            <w:tcBorders>
              <w:top w:val="nil"/>
              <w:left w:val="nil"/>
              <w:bottom w:val="nil"/>
              <w:right w:val="nil"/>
            </w:tcBorders>
            <w:shd w:val="clear" w:color="000000" w:fill="E6E6E6"/>
            <w:noWrap/>
            <w:vAlign w:val="center"/>
            <w:hideMark/>
          </w:tcPr>
          <w:p w14:paraId="7A3B8A47"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8 3/4</w:t>
            </w:r>
          </w:p>
        </w:tc>
      </w:tr>
      <w:tr w:rsidR="00542F52" w:rsidRPr="00F6273C" w14:paraId="7B045889" w14:textId="77777777" w:rsidTr="00542F52">
        <w:trPr>
          <w:trHeight w:hRule="exact" w:val="220"/>
        </w:trPr>
        <w:tc>
          <w:tcPr>
            <w:tcW w:w="2075" w:type="pct"/>
            <w:tcBorders>
              <w:top w:val="nil"/>
              <w:left w:val="nil"/>
              <w:bottom w:val="nil"/>
              <w:right w:val="nil"/>
            </w:tcBorders>
            <w:shd w:val="clear" w:color="auto" w:fill="auto"/>
            <w:noWrap/>
            <w:vAlign w:val="center"/>
            <w:hideMark/>
          </w:tcPr>
          <w:p w14:paraId="580CDFD9" w14:textId="77777777" w:rsidR="00542F52" w:rsidRPr="00F6273C" w:rsidRDefault="00542F52" w:rsidP="00542F52">
            <w:pPr>
              <w:spacing w:after="0" w:line="240" w:lineRule="auto"/>
              <w:jc w:val="left"/>
              <w:rPr>
                <w:rFonts w:ascii="Arial" w:hAnsi="Arial" w:cs="Arial"/>
                <w:sz w:val="16"/>
                <w:szCs w:val="16"/>
              </w:rPr>
            </w:pPr>
            <w:r w:rsidRPr="00F6273C">
              <w:rPr>
                <w:rFonts w:ascii="Arial" w:hAnsi="Arial" w:cs="Arial"/>
                <w:sz w:val="16"/>
                <w:szCs w:val="16"/>
              </w:rPr>
              <w:t>Consumer price index</w:t>
            </w:r>
          </w:p>
        </w:tc>
        <w:tc>
          <w:tcPr>
            <w:tcW w:w="975" w:type="pct"/>
            <w:tcBorders>
              <w:top w:val="nil"/>
              <w:left w:val="nil"/>
              <w:bottom w:val="nil"/>
              <w:right w:val="nil"/>
            </w:tcBorders>
            <w:shd w:val="clear" w:color="auto" w:fill="auto"/>
            <w:noWrap/>
            <w:vAlign w:val="center"/>
            <w:hideMark/>
          </w:tcPr>
          <w:p w14:paraId="00F4766E"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1.6</w:t>
            </w:r>
          </w:p>
        </w:tc>
        <w:tc>
          <w:tcPr>
            <w:tcW w:w="975" w:type="pct"/>
            <w:tcBorders>
              <w:top w:val="nil"/>
              <w:left w:val="nil"/>
              <w:bottom w:val="nil"/>
              <w:right w:val="nil"/>
            </w:tcBorders>
            <w:shd w:val="clear" w:color="000000" w:fill="E6E6E6"/>
            <w:noWrap/>
            <w:vAlign w:val="center"/>
            <w:hideMark/>
          </w:tcPr>
          <w:p w14:paraId="3D701155" w14:textId="5C600CAD" w:rsidR="00542F52" w:rsidRPr="00F6273C" w:rsidRDefault="006B2A22" w:rsidP="00542F52">
            <w:pPr>
              <w:spacing w:after="0" w:line="240" w:lineRule="auto"/>
              <w:jc w:val="right"/>
              <w:rPr>
                <w:rFonts w:ascii="Arial" w:hAnsi="Arial" w:cs="Arial"/>
                <w:sz w:val="16"/>
                <w:szCs w:val="16"/>
              </w:rPr>
            </w:pPr>
            <w:r w:rsidRPr="00F6273C">
              <w:rPr>
                <w:rFonts w:ascii="Arial" w:hAnsi="Arial" w:cs="Arial"/>
                <w:sz w:val="16"/>
                <w:szCs w:val="16"/>
              </w:rPr>
              <w:noBreakHyphen/>
            </w:r>
            <w:r w:rsidR="00542F52" w:rsidRPr="00F6273C">
              <w:rPr>
                <w:rFonts w:ascii="Arial" w:hAnsi="Arial" w:cs="Arial"/>
                <w:sz w:val="16"/>
                <w:szCs w:val="16"/>
              </w:rPr>
              <w:t xml:space="preserve"> 1/4</w:t>
            </w:r>
          </w:p>
        </w:tc>
        <w:tc>
          <w:tcPr>
            <w:tcW w:w="975" w:type="pct"/>
            <w:tcBorders>
              <w:top w:val="nil"/>
              <w:left w:val="nil"/>
              <w:bottom w:val="nil"/>
              <w:right w:val="nil"/>
            </w:tcBorders>
            <w:shd w:val="clear" w:color="000000" w:fill="E6E6E6"/>
            <w:noWrap/>
            <w:vAlign w:val="center"/>
            <w:hideMark/>
          </w:tcPr>
          <w:p w14:paraId="0F55CCA4"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1 1/4</w:t>
            </w:r>
          </w:p>
        </w:tc>
      </w:tr>
      <w:tr w:rsidR="00542F52" w:rsidRPr="00F6273C" w14:paraId="690B941B" w14:textId="77777777" w:rsidTr="00542F52">
        <w:trPr>
          <w:trHeight w:hRule="exact" w:val="220"/>
        </w:trPr>
        <w:tc>
          <w:tcPr>
            <w:tcW w:w="2075" w:type="pct"/>
            <w:tcBorders>
              <w:top w:val="nil"/>
              <w:left w:val="nil"/>
              <w:bottom w:val="nil"/>
              <w:right w:val="nil"/>
            </w:tcBorders>
            <w:shd w:val="clear" w:color="auto" w:fill="auto"/>
            <w:noWrap/>
            <w:vAlign w:val="center"/>
            <w:hideMark/>
          </w:tcPr>
          <w:p w14:paraId="1465158C" w14:textId="77777777" w:rsidR="00542F52" w:rsidRPr="00F6273C" w:rsidRDefault="00542F52" w:rsidP="00542F52">
            <w:pPr>
              <w:spacing w:after="0" w:line="240" w:lineRule="auto"/>
              <w:jc w:val="left"/>
              <w:rPr>
                <w:rFonts w:ascii="Arial" w:hAnsi="Arial" w:cs="Arial"/>
                <w:sz w:val="16"/>
                <w:szCs w:val="16"/>
              </w:rPr>
            </w:pPr>
            <w:r w:rsidRPr="00F6273C">
              <w:rPr>
                <w:rFonts w:ascii="Arial" w:hAnsi="Arial" w:cs="Arial"/>
                <w:sz w:val="16"/>
                <w:szCs w:val="16"/>
              </w:rPr>
              <w:t>Wage price index</w:t>
            </w:r>
          </w:p>
        </w:tc>
        <w:tc>
          <w:tcPr>
            <w:tcW w:w="975" w:type="pct"/>
            <w:tcBorders>
              <w:top w:val="nil"/>
              <w:left w:val="nil"/>
              <w:bottom w:val="nil"/>
              <w:right w:val="nil"/>
            </w:tcBorders>
            <w:shd w:val="clear" w:color="auto" w:fill="auto"/>
            <w:noWrap/>
            <w:vAlign w:val="center"/>
            <w:hideMark/>
          </w:tcPr>
          <w:p w14:paraId="04F85F99"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2.3</w:t>
            </w:r>
          </w:p>
        </w:tc>
        <w:tc>
          <w:tcPr>
            <w:tcW w:w="975" w:type="pct"/>
            <w:tcBorders>
              <w:top w:val="nil"/>
              <w:left w:val="nil"/>
              <w:bottom w:val="nil"/>
              <w:right w:val="nil"/>
            </w:tcBorders>
            <w:shd w:val="clear" w:color="000000" w:fill="E6E6E6"/>
            <w:noWrap/>
            <w:vAlign w:val="center"/>
            <w:hideMark/>
          </w:tcPr>
          <w:p w14:paraId="47782BDA"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1 3/4</w:t>
            </w:r>
          </w:p>
        </w:tc>
        <w:tc>
          <w:tcPr>
            <w:tcW w:w="975" w:type="pct"/>
            <w:tcBorders>
              <w:top w:val="nil"/>
              <w:left w:val="nil"/>
              <w:bottom w:val="nil"/>
              <w:right w:val="nil"/>
            </w:tcBorders>
            <w:shd w:val="clear" w:color="000000" w:fill="E6E6E6"/>
            <w:noWrap/>
            <w:vAlign w:val="center"/>
            <w:hideMark/>
          </w:tcPr>
          <w:p w14:paraId="683717AB"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1 1/4</w:t>
            </w:r>
          </w:p>
        </w:tc>
      </w:tr>
      <w:tr w:rsidR="00542F52" w:rsidRPr="00F6273C" w14:paraId="7498180B" w14:textId="77777777" w:rsidTr="00542F52">
        <w:trPr>
          <w:trHeight w:hRule="exact" w:val="220"/>
        </w:trPr>
        <w:tc>
          <w:tcPr>
            <w:tcW w:w="2075" w:type="pct"/>
            <w:tcBorders>
              <w:top w:val="nil"/>
              <w:left w:val="nil"/>
              <w:bottom w:val="single" w:sz="4" w:space="0" w:color="auto"/>
              <w:right w:val="nil"/>
            </w:tcBorders>
            <w:shd w:val="clear" w:color="auto" w:fill="auto"/>
            <w:noWrap/>
            <w:vAlign w:val="center"/>
            <w:hideMark/>
          </w:tcPr>
          <w:p w14:paraId="5B0F3CFB" w14:textId="77777777" w:rsidR="00542F52" w:rsidRPr="00F6273C" w:rsidRDefault="00542F52" w:rsidP="00542F52">
            <w:pPr>
              <w:spacing w:after="0" w:line="240" w:lineRule="auto"/>
              <w:jc w:val="left"/>
              <w:rPr>
                <w:rFonts w:ascii="Arial" w:hAnsi="Arial" w:cs="Arial"/>
                <w:sz w:val="16"/>
                <w:szCs w:val="16"/>
              </w:rPr>
            </w:pPr>
            <w:r w:rsidRPr="00F6273C">
              <w:rPr>
                <w:rFonts w:ascii="Arial" w:hAnsi="Arial" w:cs="Arial"/>
                <w:sz w:val="16"/>
                <w:szCs w:val="16"/>
              </w:rPr>
              <w:t>Nominal GDP</w:t>
            </w:r>
          </w:p>
        </w:tc>
        <w:tc>
          <w:tcPr>
            <w:tcW w:w="975" w:type="pct"/>
            <w:tcBorders>
              <w:top w:val="nil"/>
              <w:left w:val="nil"/>
              <w:bottom w:val="single" w:sz="4" w:space="0" w:color="auto"/>
              <w:right w:val="nil"/>
            </w:tcBorders>
            <w:shd w:val="clear" w:color="auto" w:fill="auto"/>
            <w:noWrap/>
            <w:vAlign w:val="center"/>
            <w:hideMark/>
          </w:tcPr>
          <w:p w14:paraId="72A34651"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5.3</w:t>
            </w:r>
          </w:p>
        </w:tc>
        <w:tc>
          <w:tcPr>
            <w:tcW w:w="975" w:type="pct"/>
            <w:tcBorders>
              <w:top w:val="nil"/>
              <w:left w:val="nil"/>
              <w:bottom w:val="single" w:sz="4" w:space="0" w:color="auto"/>
              <w:right w:val="nil"/>
            </w:tcBorders>
            <w:shd w:val="clear" w:color="000000" w:fill="E6E6E6"/>
            <w:noWrap/>
            <w:vAlign w:val="center"/>
            <w:hideMark/>
          </w:tcPr>
          <w:p w14:paraId="7CCD8928" w14:textId="77777777" w:rsidR="00542F52" w:rsidRPr="00F6273C" w:rsidRDefault="00542F52" w:rsidP="00542F52">
            <w:pPr>
              <w:spacing w:after="0" w:line="240" w:lineRule="auto"/>
              <w:jc w:val="right"/>
              <w:rPr>
                <w:rFonts w:ascii="Arial" w:hAnsi="Arial" w:cs="Arial"/>
                <w:sz w:val="16"/>
                <w:szCs w:val="16"/>
              </w:rPr>
            </w:pPr>
            <w:r w:rsidRPr="00F6273C">
              <w:rPr>
                <w:rFonts w:ascii="Arial" w:hAnsi="Arial" w:cs="Arial"/>
                <w:sz w:val="16"/>
                <w:szCs w:val="16"/>
              </w:rPr>
              <w:t xml:space="preserve">2    </w:t>
            </w:r>
          </w:p>
        </w:tc>
        <w:tc>
          <w:tcPr>
            <w:tcW w:w="975" w:type="pct"/>
            <w:tcBorders>
              <w:top w:val="nil"/>
              <w:left w:val="nil"/>
              <w:bottom w:val="single" w:sz="4" w:space="0" w:color="auto"/>
              <w:right w:val="nil"/>
            </w:tcBorders>
            <w:shd w:val="clear" w:color="000000" w:fill="E6E6E6"/>
            <w:noWrap/>
            <w:vAlign w:val="center"/>
            <w:hideMark/>
          </w:tcPr>
          <w:p w14:paraId="7413CDEC" w14:textId="212B05FA" w:rsidR="00542F52" w:rsidRPr="00F6273C" w:rsidRDefault="006B2A22" w:rsidP="00542F52">
            <w:pPr>
              <w:spacing w:after="0" w:line="240" w:lineRule="auto"/>
              <w:jc w:val="right"/>
              <w:rPr>
                <w:rFonts w:ascii="Arial" w:hAnsi="Arial" w:cs="Arial"/>
                <w:sz w:val="16"/>
                <w:szCs w:val="16"/>
              </w:rPr>
            </w:pPr>
            <w:r w:rsidRPr="00F6273C">
              <w:rPr>
                <w:rFonts w:ascii="Arial" w:hAnsi="Arial" w:cs="Arial"/>
                <w:sz w:val="16"/>
                <w:szCs w:val="16"/>
              </w:rPr>
              <w:noBreakHyphen/>
            </w:r>
            <w:r w:rsidR="00542F52" w:rsidRPr="00F6273C">
              <w:rPr>
                <w:rFonts w:ascii="Arial" w:hAnsi="Arial" w:cs="Arial"/>
                <w:sz w:val="16"/>
                <w:szCs w:val="16"/>
              </w:rPr>
              <w:t>4 3/4</w:t>
            </w:r>
          </w:p>
        </w:tc>
      </w:tr>
    </w:tbl>
    <w:p w14:paraId="10B83702" w14:textId="5076AFFE" w:rsidR="00E5575B" w:rsidRPr="00F6273C" w:rsidRDefault="00542F52" w:rsidP="00DC68FD">
      <w:pPr>
        <w:pStyle w:val="ChartandTableFootnoteAlpha"/>
        <w:numPr>
          <w:ilvl w:val="0"/>
          <w:numId w:val="0"/>
        </w:numPr>
        <w:ind w:left="284" w:hanging="284"/>
      </w:pPr>
      <w:r w:rsidRPr="00F6273C">
        <w:fldChar w:fldCharType="end"/>
      </w:r>
      <w:r w:rsidR="00E5575B" w:rsidRPr="00F6273C">
        <w:t>(a) Percentage change on preceding year unless otherwise stated. The consumer price index, employment, and the wage price index are through</w:t>
      </w:r>
      <w:r w:rsidR="006B2A22" w:rsidRPr="00F6273C">
        <w:noBreakHyphen/>
      </w:r>
      <w:r w:rsidR="00E5575B" w:rsidRPr="00F6273C">
        <w:t>the</w:t>
      </w:r>
      <w:r w:rsidR="006B2A22" w:rsidRPr="00F6273C">
        <w:noBreakHyphen/>
      </w:r>
      <w:r w:rsidR="00E5575B" w:rsidRPr="00F6273C">
        <w:t>year growth to the June quarter. The unemployment rate is the rate for the June quarter.</w:t>
      </w:r>
    </w:p>
    <w:p w14:paraId="40C9FE5F" w14:textId="6B749343" w:rsidR="00E5575B" w:rsidRPr="00F6273C" w:rsidRDefault="00E5575B" w:rsidP="00E5575B">
      <w:pPr>
        <w:pStyle w:val="ChartandTableFootnoteAlpha"/>
        <w:numPr>
          <w:ilvl w:val="0"/>
          <w:numId w:val="0"/>
        </w:numPr>
        <w:ind w:left="284" w:hanging="284"/>
        <w:rPr>
          <w:b/>
        </w:rPr>
      </w:pPr>
      <w:r w:rsidRPr="00F6273C">
        <w:t>(b) 2019</w:t>
      </w:r>
      <w:r w:rsidR="006B2A22" w:rsidRPr="00F6273C">
        <w:noBreakHyphen/>
      </w:r>
      <w:r w:rsidRPr="00F6273C">
        <w:t>20 is an outcome.</w:t>
      </w:r>
    </w:p>
    <w:p w14:paraId="599386B2" w14:textId="2BB2E7BB" w:rsidR="00E5575B" w:rsidRPr="00F6273C" w:rsidRDefault="00E5575B" w:rsidP="00E5575B">
      <w:pPr>
        <w:pStyle w:val="ChartandTableFootnoteAlpha"/>
        <w:numPr>
          <w:ilvl w:val="0"/>
          <w:numId w:val="0"/>
        </w:numPr>
        <w:ind w:left="284" w:hanging="284"/>
        <w:rPr>
          <w:b/>
        </w:rPr>
      </w:pPr>
      <w:r w:rsidRPr="00F6273C">
        <w:t xml:space="preserve">Source: ABS cat. </w:t>
      </w:r>
      <w:proofErr w:type="gramStart"/>
      <w:r w:rsidRPr="00F6273C">
        <w:t>no</w:t>
      </w:r>
      <w:proofErr w:type="gramEnd"/>
      <w:r w:rsidRPr="00F6273C">
        <w:t>. 5206.0, 6202.0, 6345.0, 6401.0 and Treasury.</w:t>
      </w:r>
      <w:r w:rsidR="00486D34" w:rsidRPr="00F6273C">
        <w:rPr>
          <w:color w:val="FF0000"/>
        </w:rPr>
        <w:t xml:space="preserve"> </w:t>
      </w:r>
      <w:r w:rsidR="00486D34" w:rsidRPr="00F6273C">
        <w:rPr>
          <w:color w:val="FF0000"/>
        </w:rPr>
        <w:fldChar w:fldCharType="begin"/>
      </w:r>
      <w:r w:rsidR="00486D34" w:rsidRPr="00F6273C">
        <w:rPr>
          <w:color w:val="FF0000"/>
        </w:rPr>
        <w:instrText xml:space="preserve"> :End:MECD_TP1 </w:instrText>
      </w:r>
      <w:r w:rsidR="00486D34" w:rsidRPr="00F6273C">
        <w:rPr>
          <w:color w:val="FF0000"/>
        </w:rPr>
        <w:fldChar w:fldCharType="end"/>
      </w:r>
    </w:p>
    <w:p w14:paraId="60988E66" w14:textId="1CA73EA0" w:rsidR="00852205" w:rsidRPr="00F6273C" w:rsidRDefault="003C14B1" w:rsidP="00E5575B">
      <w:pPr>
        <w:pStyle w:val="Heading2"/>
      </w:pPr>
      <w:r w:rsidRPr="00F6273C">
        <w:rPr>
          <w:color w:val="0000FF"/>
        </w:rPr>
        <w:fldChar w:fldCharType="begin"/>
      </w:r>
      <w:r w:rsidRPr="00F6273C">
        <w:rPr>
          <w:color w:val="0000FF"/>
        </w:rPr>
        <w:instrText xml:space="preserve"> :Start:BPD_JR2 </w:instrText>
      </w:r>
      <w:r w:rsidRPr="00F6273C">
        <w:rPr>
          <w:color w:val="0000FF"/>
        </w:rPr>
        <w:fldChar w:fldCharType="end"/>
      </w:r>
      <w:r w:rsidR="00565BE0" w:rsidRPr="00F6273C">
        <w:t xml:space="preserve">Fiscal </w:t>
      </w:r>
      <w:r w:rsidR="005E609C" w:rsidRPr="00F6273C">
        <w:t>o</w:t>
      </w:r>
      <w:r w:rsidR="00565BE0" w:rsidRPr="00F6273C">
        <w:t>utlo</w:t>
      </w:r>
      <w:bookmarkEnd w:id="0"/>
      <w:r w:rsidR="00565BE0" w:rsidRPr="00F6273C">
        <w:t xml:space="preserve">ok </w:t>
      </w:r>
    </w:p>
    <w:p w14:paraId="5DCF49FD" w14:textId="705FE613" w:rsidR="00D66160" w:rsidRPr="00F6273C" w:rsidRDefault="00D66160" w:rsidP="003E3C38">
      <w:r w:rsidRPr="00F6273C">
        <w:t xml:space="preserve">The </w:t>
      </w:r>
      <w:r w:rsidR="00DB04F6" w:rsidRPr="00F6273C">
        <w:t>impact</w:t>
      </w:r>
      <w:r w:rsidRPr="00F6273C">
        <w:t xml:space="preserve"> of the </w:t>
      </w:r>
      <w:r w:rsidR="008643DE" w:rsidRPr="00F6273C">
        <w:t>COVID</w:t>
      </w:r>
      <w:r w:rsidR="006B2A22" w:rsidRPr="00F6273C">
        <w:noBreakHyphen/>
      </w:r>
      <w:r w:rsidR="008643DE" w:rsidRPr="00F6273C">
        <w:t>19</w:t>
      </w:r>
      <w:r w:rsidR="00DB04F6" w:rsidRPr="00F6273C">
        <w:t xml:space="preserve"> pandemic </w:t>
      </w:r>
      <w:r w:rsidR="0035144F" w:rsidRPr="00F6273C">
        <w:t>and</w:t>
      </w:r>
      <w:r w:rsidR="00DB04F6" w:rsidRPr="00F6273C">
        <w:t xml:space="preserve"> the scale of the Government</w:t>
      </w:r>
      <w:r w:rsidR="006B2A22" w:rsidRPr="00F6273C">
        <w:t>’</w:t>
      </w:r>
      <w:r w:rsidR="00DB04F6" w:rsidRPr="00F6273C">
        <w:t>s</w:t>
      </w:r>
      <w:r w:rsidR="0035144F" w:rsidRPr="00F6273C">
        <w:t xml:space="preserve"> economic response has </w:t>
      </w:r>
      <w:r w:rsidR="00A075DF" w:rsidRPr="00F6273C">
        <w:t xml:space="preserve">seen </w:t>
      </w:r>
      <w:r w:rsidR="004707BE" w:rsidRPr="00F6273C">
        <w:t xml:space="preserve">a dramatic change </w:t>
      </w:r>
      <w:r w:rsidR="00A075DF" w:rsidRPr="00F6273C">
        <w:t>in</w:t>
      </w:r>
      <w:r w:rsidR="004707BE" w:rsidRPr="00F6273C">
        <w:t xml:space="preserve"> the f</w:t>
      </w:r>
      <w:r w:rsidR="0035144F" w:rsidRPr="00F6273C">
        <w:t xml:space="preserve">iscal </w:t>
      </w:r>
      <w:r w:rsidR="004707BE" w:rsidRPr="00F6273C">
        <w:t>o</w:t>
      </w:r>
      <w:r w:rsidR="0035144F" w:rsidRPr="00F6273C">
        <w:t>utlook.</w:t>
      </w:r>
    </w:p>
    <w:p w14:paraId="3557174C" w14:textId="156637D6" w:rsidR="003E3C38" w:rsidRPr="00F6273C" w:rsidRDefault="00DA5029" w:rsidP="00762ADD">
      <w:r w:rsidRPr="00F6273C">
        <w:t>T</w:t>
      </w:r>
      <w:r w:rsidR="009A33D6" w:rsidRPr="00F6273C">
        <w:t xml:space="preserve">he </w:t>
      </w:r>
      <w:r w:rsidR="003E3C38" w:rsidRPr="00F6273C">
        <w:t>underlying cash balance in 2019</w:t>
      </w:r>
      <w:r w:rsidR="006B2A22" w:rsidRPr="00F6273C">
        <w:noBreakHyphen/>
      </w:r>
      <w:r w:rsidR="003E3C38" w:rsidRPr="00F6273C">
        <w:t xml:space="preserve">20 </w:t>
      </w:r>
      <w:proofErr w:type="gramStart"/>
      <w:r w:rsidR="003E3C38" w:rsidRPr="00F6273C">
        <w:t xml:space="preserve">is </w:t>
      </w:r>
      <w:r w:rsidR="0016380F" w:rsidRPr="00F6273C">
        <w:t xml:space="preserve">now </w:t>
      </w:r>
      <w:r w:rsidR="003E3C38" w:rsidRPr="00F6273C">
        <w:t>expected</w:t>
      </w:r>
      <w:proofErr w:type="gramEnd"/>
      <w:r w:rsidR="003E3C38" w:rsidRPr="00F6273C">
        <w:t xml:space="preserve"> to be </w:t>
      </w:r>
      <w:r w:rsidR="0051211C" w:rsidRPr="00F6273C">
        <w:t xml:space="preserve">in </w:t>
      </w:r>
      <w:r w:rsidR="003E3C38" w:rsidRPr="00F6273C">
        <w:t xml:space="preserve">deficit </w:t>
      </w:r>
      <w:r w:rsidR="0051211C" w:rsidRPr="00F6273C">
        <w:t>by</w:t>
      </w:r>
      <w:r w:rsidR="003E3C38" w:rsidRPr="00F6273C">
        <w:t xml:space="preserve"> $</w:t>
      </w:r>
      <w:r w:rsidRPr="00F6273C">
        <w:t>85.8</w:t>
      </w:r>
      <w:r w:rsidR="00EB3BCD" w:rsidRPr="00F6273C">
        <w:t> </w:t>
      </w:r>
      <w:r w:rsidR="003E3C38" w:rsidRPr="00F6273C">
        <w:t>billion (</w:t>
      </w:r>
      <w:r w:rsidRPr="00F6273C">
        <w:t>4.3</w:t>
      </w:r>
      <w:r w:rsidR="003E3C38" w:rsidRPr="00F6273C">
        <w:t> per cent of GDP). The estimates for 2020</w:t>
      </w:r>
      <w:r w:rsidR="006B2A22" w:rsidRPr="00F6273C">
        <w:noBreakHyphen/>
      </w:r>
      <w:r w:rsidR="003E3C38" w:rsidRPr="00F6273C">
        <w:t xml:space="preserve">21 </w:t>
      </w:r>
      <w:proofErr w:type="gramStart"/>
      <w:r w:rsidR="003E3C38" w:rsidRPr="00F6273C">
        <w:t>have also been revised</w:t>
      </w:r>
      <w:proofErr w:type="gramEnd"/>
      <w:r w:rsidR="003E3C38" w:rsidRPr="00F6273C">
        <w:t xml:space="preserve"> down significantly, with an expected deficit of $</w:t>
      </w:r>
      <w:r w:rsidRPr="00F6273C">
        <w:t>184.5</w:t>
      </w:r>
      <w:r w:rsidR="003E3C38" w:rsidRPr="00F6273C">
        <w:t xml:space="preserve"> billion (</w:t>
      </w:r>
      <w:r w:rsidRPr="00F6273C">
        <w:t>9.7</w:t>
      </w:r>
      <w:r w:rsidR="003E3C38" w:rsidRPr="00F6273C">
        <w:t xml:space="preserve"> per cent of GDP). </w:t>
      </w:r>
      <w:r w:rsidR="00F608A3" w:rsidRPr="00F6273C">
        <w:t xml:space="preserve">This represents a deterioration </w:t>
      </w:r>
      <w:r w:rsidR="00A17AF5" w:rsidRPr="00F6273C">
        <w:t>of</w:t>
      </w:r>
      <w:r w:rsidR="00F608A3" w:rsidRPr="00F6273C">
        <w:t xml:space="preserve"> $</w:t>
      </w:r>
      <w:r w:rsidR="00821D1E" w:rsidRPr="00F6273C">
        <w:t>281.4</w:t>
      </w:r>
      <w:r w:rsidR="00F608A3" w:rsidRPr="00F6273C">
        <w:t xml:space="preserve"> billion over these two years since the </w:t>
      </w:r>
      <w:r w:rsidR="00120831" w:rsidRPr="00F6273C">
        <w:t>2019</w:t>
      </w:r>
      <w:r w:rsidR="006B2A22" w:rsidRPr="00F6273C">
        <w:noBreakHyphen/>
      </w:r>
      <w:r w:rsidR="00120831" w:rsidRPr="00F6273C">
        <w:t>20 MYEFO</w:t>
      </w:r>
      <w:r w:rsidR="00F608A3" w:rsidRPr="00F6273C">
        <w:t>.</w:t>
      </w:r>
      <w:r w:rsidR="00373445" w:rsidRPr="00F6273C">
        <w:t xml:space="preserve"> </w:t>
      </w:r>
      <w:r w:rsidR="00373445" w:rsidRPr="00F6273C">
        <w:rPr>
          <w:color w:val="FF0000"/>
        </w:rPr>
        <w:fldChar w:fldCharType="begin"/>
      </w:r>
      <w:r w:rsidR="00373445" w:rsidRPr="00F6273C">
        <w:rPr>
          <w:color w:val="FF0000"/>
        </w:rPr>
        <w:instrText xml:space="preserve"> :End:BPD_JR2 </w:instrText>
      </w:r>
      <w:r w:rsidR="00373445" w:rsidRPr="00F6273C">
        <w:rPr>
          <w:color w:val="FF0000"/>
        </w:rPr>
        <w:fldChar w:fldCharType="end"/>
      </w:r>
    </w:p>
    <w:p w14:paraId="4330F738" w14:textId="5E8BB95E" w:rsidR="00F4427C" w:rsidRPr="00F6273C" w:rsidRDefault="00625E47" w:rsidP="003E3C38">
      <w:pPr>
        <w:rPr>
          <w:rFonts w:cs="Arial"/>
          <w:szCs w:val="24"/>
        </w:rPr>
      </w:pPr>
      <w:r w:rsidRPr="00F6273C">
        <w:rPr>
          <w:rFonts w:cs="Arial"/>
          <w:color w:val="0000FF"/>
          <w:szCs w:val="24"/>
        </w:rPr>
        <w:fldChar w:fldCharType="begin"/>
      </w:r>
      <w:r w:rsidRPr="00F6273C">
        <w:rPr>
          <w:rFonts w:cs="Arial"/>
          <w:color w:val="0000FF"/>
          <w:szCs w:val="24"/>
        </w:rPr>
        <w:instrText xml:space="preserve"> :Start:BPD_JR3 </w:instrText>
      </w:r>
      <w:r w:rsidRPr="00F6273C">
        <w:rPr>
          <w:rFonts w:cs="Arial"/>
          <w:color w:val="0000FF"/>
          <w:szCs w:val="24"/>
        </w:rPr>
        <w:fldChar w:fldCharType="end"/>
      </w:r>
      <w:r w:rsidR="00F4427C" w:rsidRPr="00F6273C">
        <w:rPr>
          <w:rFonts w:cs="Arial"/>
          <w:szCs w:val="24"/>
        </w:rPr>
        <w:t xml:space="preserve">Gross debt was $684.3 billion (34.4 per cent of GDP) at 30 June 2020 and </w:t>
      </w:r>
      <w:proofErr w:type="gramStart"/>
      <w:r w:rsidR="00F4427C" w:rsidRPr="00F6273C">
        <w:rPr>
          <w:rFonts w:cs="Arial"/>
          <w:szCs w:val="24"/>
        </w:rPr>
        <w:t>is expected</w:t>
      </w:r>
      <w:proofErr w:type="gramEnd"/>
      <w:r w:rsidR="00F4427C" w:rsidRPr="00F6273C">
        <w:rPr>
          <w:rFonts w:cs="Arial"/>
          <w:szCs w:val="24"/>
        </w:rPr>
        <w:t xml:space="preserve"> to be $851.9 billion (45.0 per cent of GDP)</w:t>
      </w:r>
      <w:r w:rsidR="00F4427C" w:rsidRPr="00F6273C" w:rsidDel="00995593">
        <w:rPr>
          <w:rFonts w:cs="Arial"/>
          <w:szCs w:val="24"/>
        </w:rPr>
        <w:t xml:space="preserve"> </w:t>
      </w:r>
      <w:r w:rsidR="00F4427C" w:rsidRPr="00F6273C">
        <w:rPr>
          <w:rFonts w:cs="Arial"/>
          <w:szCs w:val="24"/>
        </w:rPr>
        <w:t xml:space="preserve">at 30 June 2021. Net debt </w:t>
      </w:r>
      <w:proofErr w:type="gramStart"/>
      <w:r w:rsidR="00F4427C" w:rsidRPr="00F6273C">
        <w:rPr>
          <w:rFonts w:cs="Arial"/>
          <w:szCs w:val="24"/>
        </w:rPr>
        <w:t>is expected</w:t>
      </w:r>
      <w:proofErr w:type="gramEnd"/>
      <w:r w:rsidR="00F4427C" w:rsidRPr="00F6273C">
        <w:rPr>
          <w:rFonts w:cs="Arial"/>
          <w:szCs w:val="24"/>
        </w:rPr>
        <w:t xml:space="preserve"> to be $488.2 billion (24.6 per cent of GDP) at 30 June 2020 and increase to $677.1 billion (35.7 per cent of GDP)</w:t>
      </w:r>
      <w:r w:rsidR="00F4427C" w:rsidRPr="00F6273C" w:rsidDel="00A26454">
        <w:rPr>
          <w:rFonts w:cs="Arial"/>
          <w:szCs w:val="24"/>
        </w:rPr>
        <w:t xml:space="preserve"> </w:t>
      </w:r>
      <w:r w:rsidR="00F4427C" w:rsidRPr="00F6273C">
        <w:rPr>
          <w:rFonts w:cs="Arial"/>
          <w:szCs w:val="24"/>
        </w:rPr>
        <w:t>at 30 June 2021.</w:t>
      </w:r>
      <w:r w:rsidRPr="00F6273C">
        <w:rPr>
          <w:rFonts w:cs="Arial"/>
          <w:color w:val="FF0000"/>
          <w:szCs w:val="24"/>
        </w:rPr>
        <w:fldChar w:fldCharType="begin"/>
      </w:r>
      <w:r w:rsidRPr="00F6273C">
        <w:rPr>
          <w:rFonts w:cs="Arial"/>
          <w:color w:val="FF0000"/>
          <w:szCs w:val="24"/>
        </w:rPr>
        <w:instrText xml:space="preserve"> :End:BPD_JR3 </w:instrText>
      </w:r>
      <w:r w:rsidRPr="00F6273C">
        <w:rPr>
          <w:rFonts w:cs="Arial"/>
          <w:color w:val="FF0000"/>
          <w:szCs w:val="24"/>
        </w:rPr>
        <w:fldChar w:fldCharType="end"/>
      </w:r>
    </w:p>
    <w:p w14:paraId="5FB88395" w14:textId="689311A0" w:rsidR="003E3C38" w:rsidRPr="00F6273C" w:rsidRDefault="00373445" w:rsidP="003E3C38">
      <w:r w:rsidRPr="00F6273C">
        <w:rPr>
          <w:color w:val="0000FF"/>
        </w:rPr>
        <w:fldChar w:fldCharType="begin"/>
      </w:r>
      <w:r w:rsidRPr="00F6273C">
        <w:rPr>
          <w:color w:val="0000FF"/>
        </w:rPr>
        <w:instrText xml:space="preserve"> :Start:BPD_JR2 </w:instrText>
      </w:r>
      <w:r w:rsidRPr="00F6273C">
        <w:rPr>
          <w:color w:val="0000FF"/>
        </w:rPr>
        <w:fldChar w:fldCharType="end"/>
      </w:r>
      <w:r w:rsidR="003E3C38" w:rsidRPr="00F6273C">
        <w:t xml:space="preserve">The deterioration in the budget position </w:t>
      </w:r>
      <w:proofErr w:type="gramStart"/>
      <w:r w:rsidR="00B81B66" w:rsidRPr="00F6273C">
        <w:t xml:space="preserve">has been </w:t>
      </w:r>
      <w:r w:rsidR="003E3C38" w:rsidRPr="00F6273C">
        <w:t>driven</w:t>
      </w:r>
      <w:proofErr w:type="gramEnd"/>
      <w:r w:rsidR="003E3C38" w:rsidRPr="00F6273C">
        <w:t xml:space="preserve"> by the Government</w:t>
      </w:r>
      <w:r w:rsidR="006B2A22" w:rsidRPr="00F6273C">
        <w:t>’</w:t>
      </w:r>
      <w:r w:rsidR="003E3C38" w:rsidRPr="00F6273C">
        <w:t>s economic response</w:t>
      </w:r>
      <w:r w:rsidR="0016380F" w:rsidRPr="00F6273C">
        <w:t xml:space="preserve"> to the </w:t>
      </w:r>
      <w:r w:rsidR="00821D1E" w:rsidRPr="00F6273C">
        <w:t>COVID</w:t>
      </w:r>
      <w:r w:rsidR="006B2A22" w:rsidRPr="00F6273C">
        <w:noBreakHyphen/>
      </w:r>
      <w:r w:rsidR="00821D1E" w:rsidRPr="00F6273C">
        <w:t xml:space="preserve">19 </w:t>
      </w:r>
      <w:r w:rsidR="0016380F" w:rsidRPr="00F6273C">
        <w:t>pandemic</w:t>
      </w:r>
      <w:r w:rsidR="003E3C38" w:rsidRPr="00F6273C">
        <w:t>, as well as</w:t>
      </w:r>
      <w:r w:rsidR="009F0206" w:rsidRPr="00F6273C">
        <w:t xml:space="preserve"> the impa</w:t>
      </w:r>
      <w:r w:rsidR="00550C77" w:rsidRPr="00F6273C">
        <w:t>ct of the automatic stabilisers, including</w:t>
      </w:r>
      <w:r w:rsidR="009F0206" w:rsidRPr="00F6273C">
        <w:t xml:space="preserve"> lower</w:t>
      </w:r>
      <w:r w:rsidR="003E3C38" w:rsidRPr="00F6273C">
        <w:t xml:space="preserve"> tax receipts</w:t>
      </w:r>
      <w:r w:rsidR="00833991" w:rsidRPr="00F6273C">
        <w:t xml:space="preserve"> and higher </w:t>
      </w:r>
      <w:r w:rsidR="00821D1E" w:rsidRPr="00F6273C">
        <w:t>unemployment benefit</w:t>
      </w:r>
      <w:r w:rsidR="00DA5029" w:rsidRPr="00F6273C">
        <w:t xml:space="preserve"> </w:t>
      </w:r>
      <w:r w:rsidR="00833991" w:rsidRPr="00F6273C">
        <w:t>payments</w:t>
      </w:r>
      <w:r w:rsidR="003E3C38" w:rsidRPr="00F6273C">
        <w:t>.</w:t>
      </w:r>
      <w:r w:rsidR="00625E47" w:rsidRPr="00F6273C">
        <w:rPr>
          <w:color w:val="FF0000"/>
        </w:rPr>
        <w:fldChar w:fldCharType="begin"/>
      </w:r>
      <w:r w:rsidR="00625E47" w:rsidRPr="00F6273C">
        <w:rPr>
          <w:color w:val="FF0000"/>
        </w:rPr>
        <w:instrText xml:space="preserve"> :End:BPD_JR2 </w:instrText>
      </w:r>
      <w:r w:rsidR="00625E47" w:rsidRPr="00F6273C">
        <w:rPr>
          <w:color w:val="FF0000"/>
        </w:rPr>
        <w:fldChar w:fldCharType="end"/>
      </w:r>
    </w:p>
    <w:p w14:paraId="449CC5A4" w14:textId="53AB9475" w:rsidR="003E3C38" w:rsidRPr="00F6273C" w:rsidRDefault="00625E47" w:rsidP="003E3C38">
      <w:r w:rsidRPr="00F6273C">
        <w:rPr>
          <w:color w:val="0000FF"/>
        </w:rPr>
        <w:fldChar w:fldCharType="begin"/>
      </w:r>
      <w:r w:rsidRPr="00F6273C">
        <w:rPr>
          <w:color w:val="0000FF"/>
        </w:rPr>
        <w:instrText xml:space="preserve"> :Start:TAD_KDM1 </w:instrText>
      </w:r>
      <w:r w:rsidRPr="00F6273C">
        <w:rPr>
          <w:color w:val="0000FF"/>
        </w:rPr>
        <w:fldChar w:fldCharType="end"/>
      </w:r>
      <w:r w:rsidR="0090259D" w:rsidRPr="00F6273C">
        <w:t>Since the 2019</w:t>
      </w:r>
      <w:r w:rsidR="006B2A22" w:rsidRPr="00F6273C">
        <w:noBreakHyphen/>
      </w:r>
      <w:r w:rsidR="0090259D" w:rsidRPr="00F6273C">
        <w:t xml:space="preserve">20 MYEFO, tax receipts </w:t>
      </w:r>
      <w:proofErr w:type="gramStart"/>
      <w:r w:rsidR="0090259D" w:rsidRPr="00F6273C">
        <w:t>have been revised</w:t>
      </w:r>
      <w:proofErr w:type="gramEnd"/>
      <w:r w:rsidR="0090259D" w:rsidRPr="00F6273C">
        <w:t xml:space="preserve"> down by $31.7 billion in 2019</w:t>
      </w:r>
      <w:r w:rsidR="006B2A22" w:rsidRPr="00F6273C">
        <w:noBreakHyphen/>
      </w:r>
      <w:r w:rsidR="0090259D" w:rsidRPr="00F6273C">
        <w:t>20 and $63.9 billion in 2020</w:t>
      </w:r>
      <w:r w:rsidR="006B2A22" w:rsidRPr="00F6273C">
        <w:noBreakHyphen/>
      </w:r>
      <w:r w:rsidR="0090259D" w:rsidRPr="00F6273C">
        <w:t>21. Parameter and other variations have reduced tax receipts by $31.7 billion in 2019</w:t>
      </w:r>
      <w:r w:rsidR="006B2A22" w:rsidRPr="00F6273C">
        <w:noBreakHyphen/>
      </w:r>
      <w:r w:rsidR="0090259D" w:rsidRPr="00F6273C">
        <w:t>20 and $58.9 billion in 2020</w:t>
      </w:r>
      <w:r w:rsidR="006B2A22" w:rsidRPr="00F6273C">
        <w:noBreakHyphen/>
      </w:r>
      <w:r w:rsidR="0090259D" w:rsidRPr="00F6273C">
        <w:t xml:space="preserve">21. The downward revisions are </w:t>
      </w:r>
      <w:r w:rsidR="00F91F19" w:rsidRPr="00F6273C">
        <w:t>across all major heads of revenue, consistent with</w:t>
      </w:r>
      <w:r w:rsidR="0090259D" w:rsidRPr="00F6273C">
        <w:t xml:space="preserve"> falling average </w:t>
      </w:r>
      <w:r w:rsidR="00CF2DA2" w:rsidRPr="00F6273C">
        <w:t>earnings</w:t>
      </w:r>
      <w:r w:rsidR="0090259D" w:rsidRPr="00F6273C">
        <w:t>, along with lower forecasts for employment and consumption in 2020</w:t>
      </w:r>
      <w:r w:rsidR="006B2A22" w:rsidRPr="00F6273C">
        <w:noBreakHyphen/>
      </w:r>
      <w:r w:rsidR="0090259D" w:rsidRPr="00F6273C">
        <w:t xml:space="preserve">21. The outlook for tax receipts remains uncertain. This reflects both uncertainty around </w:t>
      </w:r>
      <w:proofErr w:type="gramStart"/>
      <w:r w:rsidR="0090259D" w:rsidRPr="00F6273C">
        <w:t>the economic outlook and how this interacts with structural and administrative features of the tax system, such as the ability of taxpayers to carry forward losses to offset future income</w:t>
      </w:r>
      <w:proofErr w:type="gramEnd"/>
      <w:r w:rsidR="0090259D" w:rsidRPr="00F6273C">
        <w:t xml:space="preserve">. </w:t>
      </w:r>
      <w:r w:rsidR="00305F1E" w:rsidRPr="00F6273C">
        <w:rPr>
          <w:color w:val="FF0000"/>
        </w:rPr>
        <w:fldChar w:fldCharType="begin"/>
      </w:r>
      <w:r w:rsidR="00305F1E" w:rsidRPr="00F6273C">
        <w:rPr>
          <w:color w:val="FF0000"/>
        </w:rPr>
        <w:instrText xml:space="preserve"> :End:TAD_KDM1 </w:instrText>
      </w:r>
      <w:r w:rsidR="00305F1E" w:rsidRPr="00F6273C">
        <w:rPr>
          <w:color w:val="FF0000"/>
        </w:rPr>
        <w:fldChar w:fldCharType="end"/>
      </w:r>
    </w:p>
    <w:p w14:paraId="34310021" w14:textId="4F3CDAA2" w:rsidR="00CF2DA2" w:rsidRPr="00F6273C" w:rsidRDefault="00493DA6" w:rsidP="00DA5029">
      <w:r w:rsidRPr="00F6273C">
        <w:rPr>
          <w:color w:val="0000FF"/>
        </w:rPr>
        <w:lastRenderedPageBreak/>
        <w:fldChar w:fldCharType="begin"/>
      </w:r>
      <w:r w:rsidRPr="00F6273C">
        <w:rPr>
          <w:color w:val="0000FF"/>
        </w:rPr>
        <w:instrText xml:space="preserve"> :Start:BPD_JR2 </w:instrText>
      </w:r>
      <w:r w:rsidRPr="00F6273C">
        <w:rPr>
          <w:color w:val="0000FF"/>
        </w:rPr>
        <w:fldChar w:fldCharType="end"/>
      </w:r>
      <w:r w:rsidRPr="00F6273C">
        <w:rPr>
          <w:rFonts w:cs="Arial"/>
          <w:szCs w:val="24"/>
        </w:rPr>
        <w:t>Since the 2019</w:t>
      </w:r>
      <w:r w:rsidR="006B2A22" w:rsidRPr="00F6273C">
        <w:rPr>
          <w:rFonts w:cs="Arial"/>
          <w:szCs w:val="24"/>
        </w:rPr>
        <w:noBreakHyphen/>
      </w:r>
      <w:r w:rsidRPr="00F6273C">
        <w:rPr>
          <w:rFonts w:cs="Arial"/>
          <w:szCs w:val="24"/>
        </w:rPr>
        <w:t>20 MYEFO, total payments have increased by $58.0 billion in 2019</w:t>
      </w:r>
      <w:r w:rsidR="006B2A22" w:rsidRPr="00F6273C">
        <w:rPr>
          <w:rFonts w:cs="Arial"/>
          <w:szCs w:val="24"/>
        </w:rPr>
        <w:noBreakHyphen/>
      </w:r>
      <w:r w:rsidRPr="00F6273C">
        <w:rPr>
          <w:rFonts w:cs="Arial"/>
          <w:szCs w:val="24"/>
        </w:rPr>
        <w:t>20 and increased by $187.5 billion over the two years to 2020</w:t>
      </w:r>
      <w:r w:rsidR="006B2A22" w:rsidRPr="00F6273C">
        <w:rPr>
          <w:rFonts w:cs="Arial"/>
          <w:szCs w:val="24"/>
        </w:rPr>
        <w:noBreakHyphen/>
      </w:r>
      <w:r w:rsidRPr="00F6273C">
        <w:rPr>
          <w:rFonts w:cs="Arial"/>
          <w:szCs w:val="24"/>
        </w:rPr>
        <w:t>21. The net impact of policy decisions since the 2019</w:t>
      </w:r>
      <w:r w:rsidR="006B2A22" w:rsidRPr="00F6273C">
        <w:rPr>
          <w:rFonts w:cs="Arial"/>
          <w:szCs w:val="24"/>
        </w:rPr>
        <w:noBreakHyphen/>
      </w:r>
      <w:r w:rsidRPr="00F6273C">
        <w:rPr>
          <w:rFonts w:cs="Arial"/>
          <w:szCs w:val="24"/>
        </w:rPr>
        <w:t>20 MYEFO has increased payments by $58.0 billion in 2019</w:t>
      </w:r>
      <w:r w:rsidR="006B2A22" w:rsidRPr="00F6273C">
        <w:rPr>
          <w:rFonts w:cs="Arial"/>
          <w:szCs w:val="24"/>
        </w:rPr>
        <w:noBreakHyphen/>
      </w:r>
      <w:r w:rsidRPr="00F6273C">
        <w:rPr>
          <w:rFonts w:cs="Arial"/>
          <w:szCs w:val="24"/>
        </w:rPr>
        <w:t>20 and $113.7 billion in 2020</w:t>
      </w:r>
      <w:r w:rsidR="006B2A22" w:rsidRPr="00F6273C">
        <w:rPr>
          <w:rFonts w:cs="Arial"/>
          <w:szCs w:val="24"/>
        </w:rPr>
        <w:noBreakHyphen/>
      </w:r>
      <w:r w:rsidRPr="00F6273C">
        <w:rPr>
          <w:rFonts w:cs="Arial"/>
          <w:szCs w:val="24"/>
        </w:rPr>
        <w:t>21. Payment</w:t>
      </w:r>
      <w:r w:rsidR="006B2A22" w:rsidRPr="00F6273C">
        <w:rPr>
          <w:rFonts w:cs="Arial"/>
          <w:szCs w:val="24"/>
        </w:rPr>
        <w:noBreakHyphen/>
      </w:r>
      <w:r w:rsidRPr="00F6273C">
        <w:rPr>
          <w:rFonts w:cs="Arial"/>
          <w:szCs w:val="24"/>
        </w:rPr>
        <w:t>related decisions largely reflect the Government</w:t>
      </w:r>
      <w:r w:rsidR="006B2A22" w:rsidRPr="00F6273C">
        <w:rPr>
          <w:rFonts w:cs="Arial"/>
          <w:szCs w:val="24"/>
        </w:rPr>
        <w:t>’</w:t>
      </w:r>
      <w:r w:rsidRPr="00F6273C">
        <w:rPr>
          <w:rFonts w:cs="Arial"/>
          <w:szCs w:val="24"/>
        </w:rPr>
        <w:t>s response to the COVID</w:t>
      </w:r>
      <w:r w:rsidR="006B2A22" w:rsidRPr="00F6273C">
        <w:rPr>
          <w:rFonts w:cs="Arial"/>
          <w:szCs w:val="24"/>
        </w:rPr>
        <w:noBreakHyphen/>
      </w:r>
      <w:r w:rsidRPr="00F6273C">
        <w:rPr>
          <w:rFonts w:cs="Arial"/>
          <w:szCs w:val="24"/>
        </w:rPr>
        <w:t>19 pandemic and to the bushfires of 2019</w:t>
      </w:r>
      <w:r w:rsidR="006B2A22" w:rsidRPr="00F6273C">
        <w:rPr>
          <w:rFonts w:cs="Arial"/>
          <w:szCs w:val="24"/>
        </w:rPr>
        <w:noBreakHyphen/>
      </w:r>
      <w:r w:rsidRPr="00F6273C">
        <w:rPr>
          <w:rFonts w:cs="Arial"/>
          <w:szCs w:val="24"/>
        </w:rPr>
        <w:t>20. Parameter and other variations since the 2019</w:t>
      </w:r>
      <w:r w:rsidR="006B2A22" w:rsidRPr="00F6273C">
        <w:rPr>
          <w:rFonts w:cs="Arial"/>
          <w:szCs w:val="24"/>
        </w:rPr>
        <w:noBreakHyphen/>
      </w:r>
      <w:r w:rsidRPr="00F6273C">
        <w:rPr>
          <w:rFonts w:cs="Arial"/>
          <w:szCs w:val="24"/>
        </w:rPr>
        <w:t>20 MYEFO have increased total payments by $15.7 billion over the two years to 2020</w:t>
      </w:r>
      <w:r w:rsidR="006B2A22" w:rsidRPr="00F6273C">
        <w:rPr>
          <w:rFonts w:cs="Arial"/>
          <w:szCs w:val="24"/>
        </w:rPr>
        <w:noBreakHyphen/>
      </w:r>
      <w:r w:rsidRPr="00F6273C">
        <w:rPr>
          <w:rFonts w:cs="Arial"/>
          <w:szCs w:val="24"/>
        </w:rPr>
        <w:t>21, primarily driven by the higher unemployment benefit payments resulting from the unprecedented economic impact of the COVID</w:t>
      </w:r>
      <w:r w:rsidR="006B2A22" w:rsidRPr="00F6273C">
        <w:rPr>
          <w:rFonts w:cs="Arial"/>
          <w:szCs w:val="24"/>
        </w:rPr>
        <w:noBreakHyphen/>
      </w:r>
      <w:r w:rsidRPr="00F6273C">
        <w:rPr>
          <w:rFonts w:cs="Arial"/>
          <w:szCs w:val="24"/>
        </w:rPr>
        <w:t>19 pandemic.</w:t>
      </w:r>
      <w:r w:rsidR="00E871DE" w:rsidRPr="00F6273C">
        <w:t xml:space="preserve"> </w:t>
      </w:r>
      <w:r w:rsidR="00E871DE" w:rsidRPr="00F6273C">
        <w:rPr>
          <w:color w:val="FF0000"/>
        </w:rPr>
        <w:fldChar w:fldCharType="begin"/>
      </w:r>
      <w:r w:rsidR="00E871DE" w:rsidRPr="00F6273C">
        <w:rPr>
          <w:color w:val="FF0000"/>
        </w:rPr>
        <w:instrText xml:space="preserve"> :End:BPD_JR2 </w:instrText>
      </w:r>
      <w:r w:rsidR="00E871DE" w:rsidRPr="00F6273C">
        <w:rPr>
          <w:color w:val="FF0000"/>
        </w:rPr>
        <w:fldChar w:fldCharType="end"/>
      </w:r>
    </w:p>
    <w:p w14:paraId="3E8A03C7" w14:textId="1ED5D072" w:rsidR="00DA5029" w:rsidRPr="00F6273C" w:rsidRDefault="00CF2DA2" w:rsidP="00CF2DA2">
      <w:pPr>
        <w:spacing w:after="160" w:line="259" w:lineRule="auto"/>
        <w:jc w:val="left"/>
      </w:pPr>
      <w:r w:rsidRPr="00F6273C">
        <w:br w:type="page"/>
      </w:r>
    </w:p>
    <w:p w14:paraId="5815C11B" w14:textId="33E69785" w:rsidR="00565BE0" w:rsidRPr="00F6273C" w:rsidRDefault="00D34E77" w:rsidP="00762ADD">
      <w:pPr>
        <w:pStyle w:val="Heading2"/>
      </w:pPr>
      <w:r w:rsidRPr="00F6273C">
        <w:rPr>
          <w:color w:val="0000FF"/>
        </w:rPr>
        <w:lastRenderedPageBreak/>
        <w:fldChar w:fldCharType="begin"/>
      </w:r>
      <w:r w:rsidRPr="00F6273C">
        <w:rPr>
          <w:color w:val="0000FF"/>
        </w:rPr>
        <w:instrText xml:space="preserve"> :Start:BPD_JR1 </w:instrText>
      </w:r>
      <w:r w:rsidRPr="00F6273C">
        <w:rPr>
          <w:color w:val="0000FF"/>
        </w:rPr>
        <w:fldChar w:fldCharType="end"/>
      </w:r>
      <w:r w:rsidR="008E4975" w:rsidRPr="00F6273C">
        <w:t xml:space="preserve">Key </w:t>
      </w:r>
      <w:r w:rsidR="009F0840" w:rsidRPr="00F6273C">
        <w:t>p</w:t>
      </w:r>
      <w:r w:rsidR="008E4975" w:rsidRPr="00F6273C">
        <w:t xml:space="preserve">olicy </w:t>
      </w:r>
      <w:r w:rsidR="003536C5" w:rsidRPr="00F6273C">
        <w:t>m</w:t>
      </w:r>
      <w:r w:rsidR="008E4975" w:rsidRPr="00F6273C">
        <w:t>easures</w:t>
      </w:r>
      <w:r w:rsidR="001414CF" w:rsidRPr="00F6273C">
        <w:t xml:space="preserve"> </w:t>
      </w:r>
    </w:p>
    <w:p w14:paraId="1F577AC5" w14:textId="798A2EC1" w:rsidR="00565BE0" w:rsidRPr="00F6273C" w:rsidRDefault="00AE2E13" w:rsidP="00C93A2D">
      <w:pPr>
        <w:rPr>
          <w:rFonts w:ascii="Arial" w:hAnsi="Arial" w:cs="Arial"/>
          <w:b/>
          <w:szCs w:val="24"/>
        </w:rPr>
      </w:pPr>
      <w:r w:rsidRPr="00F6273C">
        <w:t>This</w:t>
      </w:r>
      <w:r w:rsidR="00565BE0" w:rsidRPr="00F6273C">
        <w:rPr>
          <w:i/>
        </w:rPr>
        <w:t xml:space="preserve"> </w:t>
      </w:r>
      <w:r w:rsidR="00565BE0" w:rsidRPr="00F6273C">
        <w:t xml:space="preserve">Economic and Fiscal </w:t>
      </w:r>
      <w:r w:rsidR="00DB04F6" w:rsidRPr="00F6273C">
        <w:t xml:space="preserve">Update </w:t>
      </w:r>
      <w:r w:rsidR="00565BE0" w:rsidRPr="00F6273C">
        <w:t>includes the details of the critical</w:t>
      </w:r>
      <w:r w:rsidR="0090678D" w:rsidRPr="00F6273C">
        <w:t xml:space="preserve"> and unprecedented</w:t>
      </w:r>
      <w:r w:rsidR="00DA76C0" w:rsidRPr="00F6273C">
        <w:t xml:space="preserve"> </w:t>
      </w:r>
      <w:r w:rsidR="0060654D" w:rsidRPr="00F6273C">
        <w:t xml:space="preserve">support </w:t>
      </w:r>
      <w:r w:rsidR="00565BE0" w:rsidRPr="00F6273C">
        <w:t xml:space="preserve">the Government </w:t>
      </w:r>
      <w:r w:rsidR="00DA315B" w:rsidRPr="00F6273C">
        <w:t>is providing</w:t>
      </w:r>
      <w:r w:rsidR="004B68D2" w:rsidRPr="00F6273C">
        <w:t xml:space="preserve"> to</w:t>
      </w:r>
      <w:r w:rsidR="00C93A2D" w:rsidRPr="00F6273C">
        <w:t xml:space="preserve"> </w:t>
      </w:r>
      <w:r w:rsidR="008F56C3" w:rsidRPr="00F6273C">
        <w:t xml:space="preserve">protect </w:t>
      </w:r>
      <w:r w:rsidR="00565BE0" w:rsidRPr="00F6273C">
        <w:t xml:space="preserve">Australians </w:t>
      </w:r>
      <w:r w:rsidR="008F56C3" w:rsidRPr="00F6273C">
        <w:t xml:space="preserve">from </w:t>
      </w:r>
      <w:r w:rsidR="00565BE0" w:rsidRPr="00F6273C">
        <w:t xml:space="preserve">the </w:t>
      </w:r>
      <w:r w:rsidRPr="00F6273C">
        <w:t xml:space="preserve">health </w:t>
      </w:r>
      <w:r w:rsidR="008F56C3" w:rsidRPr="00F6273C">
        <w:t xml:space="preserve">consequences </w:t>
      </w:r>
      <w:r w:rsidRPr="00F6273C">
        <w:t>of</w:t>
      </w:r>
      <w:r w:rsidR="00565BE0" w:rsidRPr="00F6273C">
        <w:t xml:space="preserve"> the </w:t>
      </w:r>
      <w:r w:rsidR="00821D1E" w:rsidRPr="00F6273C">
        <w:t>COVID</w:t>
      </w:r>
      <w:r w:rsidR="006B2A22" w:rsidRPr="00F6273C">
        <w:noBreakHyphen/>
      </w:r>
      <w:r w:rsidR="00821D1E" w:rsidRPr="00F6273C">
        <w:t xml:space="preserve">19 </w:t>
      </w:r>
      <w:r w:rsidR="00EC0F85" w:rsidRPr="00F6273C">
        <w:t>pandemic</w:t>
      </w:r>
      <w:r w:rsidR="00C81500" w:rsidRPr="00F6273C">
        <w:t xml:space="preserve"> and</w:t>
      </w:r>
      <w:r w:rsidR="002D7A5D" w:rsidRPr="00F6273C">
        <w:t xml:space="preserve"> </w:t>
      </w:r>
      <w:r w:rsidR="00203025" w:rsidRPr="00F6273C">
        <w:t xml:space="preserve">to </w:t>
      </w:r>
      <w:r w:rsidR="00802A09" w:rsidRPr="00F6273C">
        <w:t>support</w:t>
      </w:r>
      <w:r w:rsidR="008F56C3" w:rsidRPr="00F6273C">
        <w:t xml:space="preserve"> </w:t>
      </w:r>
      <w:r w:rsidR="0060654D" w:rsidRPr="00F6273C">
        <w:t>households, businesses</w:t>
      </w:r>
      <w:r w:rsidR="00C81500" w:rsidRPr="00F6273C">
        <w:t xml:space="preserve"> and </w:t>
      </w:r>
      <w:r w:rsidR="00111DD3" w:rsidRPr="00F6273C">
        <w:t xml:space="preserve">industries affected by </w:t>
      </w:r>
      <w:r w:rsidR="004707BE" w:rsidRPr="00F6273C">
        <w:t>the p</w:t>
      </w:r>
      <w:r w:rsidR="00EC0F85" w:rsidRPr="00F6273C">
        <w:t>andemic</w:t>
      </w:r>
      <w:r w:rsidR="00C81500" w:rsidRPr="00F6273C">
        <w:t>.</w:t>
      </w:r>
      <w:r w:rsidR="00C81500" w:rsidRPr="00F6273C" w:rsidDel="00C81500">
        <w:t xml:space="preserve"> </w:t>
      </w:r>
      <w:r w:rsidR="007D5C90" w:rsidRPr="00F6273C">
        <w:t xml:space="preserve">It also </w:t>
      </w:r>
      <w:r w:rsidR="00C81500" w:rsidRPr="00F6273C">
        <w:t>details</w:t>
      </w:r>
      <w:r w:rsidR="007D5C90" w:rsidRPr="00F6273C">
        <w:t xml:space="preserve"> the assistance provided to </w:t>
      </w:r>
      <w:r w:rsidR="00565BE0" w:rsidRPr="00F6273C">
        <w:t>Australians</w:t>
      </w:r>
      <w:r w:rsidR="004101A1" w:rsidRPr="00F6273C">
        <w:t xml:space="preserve"> </w:t>
      </w:r>
      <w:r w:rsidR="00565BE0" w:rsidRPr="00F6273C">
        <w:t>affecte</w:t>
      </w:r>
      <w:r w:rsidR="00111DD3" w:rsidRPr="00F6273C">
        <w:t xml:space="preserve">d by the </w:t>
      </w:r>
      <w:r w:rsidR="00F96476" w:rsidRPr="00F6273C">
        <w:t>bushfires of 2019</w:t>
      </w:r>
      <w:r w:rsidR="006B2A22" w:rsidRPr="00F6273C">
        <w:noBreakHyphen/>
      </w:r>
      <w:r w:rsidR="00F96476" w:rsidRPr="00F6273C">
        <w:t>20</w:t>
      </w:r>
      <w:r w:rsidR="004101A1" w:rsidRPr="00F6273C">
        <w:t>.</w:t>
      </w:r>
      <w:r w:rsidR="00D34E77" w:rsidRPr="00F6273C">
        <w:rPr>
          <w:color w:val="FF0000"/>
        </w:rPr>
        <w:fldChar w:fldCharType="begin"/>
      </w:r>
      <w:r w:rsidR="00D34E77" w:rsidRPr="00F6273C">
        <w:rPr>
          <w:color w:val="FF0000"/>
        </w:rPr>
        <w:instrText xml:space="preserve"> :End:BPD_JR1 </w:instrText>
      </w:r>
      <w:r w:rsidR="00D34E77" w:rsidRPr="00F6273C">
        <w:rPr>
          <w:color w:val="FF0000"/>
        </w:rPr>
        <w:fldChar w:fldCharType="end"/>
      </w:r>
    </w:p>
    <w:p w14:paraId="790E4374" w14:textId="76C9E3FE" w:rsidR="00B33C79" w:rsidRPr="00F6273C" w:rsidRDefault="00712E03" w:rsidP="00762ADD">
      <w:pPr>
        <w:pStyle w:val="Heading3"/>
      </w:pPr>
      <w:r w:rsidRPr="00F6273C">
        <w:rPr>
          <w:color w:val="0000FF"/>
        </w:rPr>
        <w:fldChar w:fldCharType="begin"/>
      </w:r>
      <w:r w:rsidRPr="00F6273C">
        <w:rPr>
          <w:color w:val="0000FF"/>
        </w:rPr>
        <w:instrText xml:space="preserve"> :Start:SPD_VW1 </w:instrText>
      </w:r>
      <w:r w:rsidRPr="00F6273C">
        <w:rPr>
          <w:color w:val="0000FF"/>
        </w:rPr>
        <w:fldChar w:fldCharType="end"/>
      </w:r>
      <w:r w:rsidR="00F1148A" w:rsidRPr="00F6273C">
        <w:t xml:space="preserve">Protecting the health of Australians during the </w:t>
      </w:r>
      <w:r w:rsidR="00821D1E" w:rsidRPr="00F6273C">
        <w:t>COVID</w:t>
      </w:r>
      <w:r w:rsidR="006B2A22" w:rsidRPr="00F6273C">
        <w:noBreakHyphen/>
      </w:r>
      <w:r w:rsidR="00821D1E" w:rsidRPr="00F6273C">
        <w:t xml:space="preserve">19 </w:t>
      </w:r>
      <w:r w:rsidR="00F1148A" w:rsidRPr="00F6273C">
        <w:t>pandemic</w:t>
      </w:r>
      <w:r w:rsidRPr="00F6273C">
        <w:rPr>
          <w:color w:val="FF0000"/>
        </w:rPr>
        <w:fldChar w:fldCharType="begin"/>
      </w:r>
      <w:r w:rsidRPr="00F6273C">
        <w:rPr>
          <w:color w:val="FF0000"/>
        </w:rPr>
        <w:instrText xml:space="preserve"> :End:SPD_VW1 </w:instrText>
      </w:r>
      <w:r w:rsidRPr="00F6273C">
        <w:rPr>
          <w:color w:val="FF0000"/>
        </w:rPr>
        <w:fldChar w:fldCharType="end"/>
      </w:r>
    </w:p>
    <w:p w14:paraId="5240490D" w14:textId="0A57A7DF" w:rsidR="00803410" w:rsidRPr="00F6273C" w:rsidRDefault="00F84EB9" w:rsidP="00762ADD">
      <w:r w:rsidRPr="00F6273C">
        <w:rPr>
          <w:color w:val="0000FF"/>
        </w:rPr>
        <w:fldChar w:fldCharType="begin"/>
      </w:r>
      <w:r w:rsidRPr="00F6273C">
        <w:rPr>
          <w:color w:val="0000FF"/>
        </w:rPr>
        <w:instrText xml:space="preserve"> :Start:BPD_JR1 </w:instrText>
      </w:r>
      <w:r w:rsidRPr="00F6273C">
        <w:rPr>
          <w:color w:val="0000FF"/>
        </w:rPr>
        <w:fldChar w:fldCharType="end"/>
      </w:r>
      <w:r w:rsidR="00803410" w:rsidRPr="00F6273C">
        <w:t>The Government has committed $</w:t>
      </w:r>
      <w:r w:rsidR="00A52990" w:rsidRPr="00F6273C">
        <w:t>9.</w:t>
      </w:r>
      <w:r w:rsidR="00C0621B">
        <w:t>4</w:t>
      </w:r>
      <w:r w:rsidR="003C6894" w:rsidRPr="00F6273C">
        <w:t xml:space="preserve"> </w:t>
      </w:r>
      <w:r w:rsidR="00803410" w:rsidRPr="00F6273C">
        <w:t>billion</w:t>
      </w:r>
      <w:r w:rsidR="00A52990" w:rsidRPr="00F6273C">
        <w:t xml:space="preserve"> for the health response to protect Australians,</w:t>
      </w:r>
      <w:r w:rsidRPr="00F6273C">
        <w:rPr>
          <w:color w:val="0000FF"/>
        </w:rPr>
        <w:t xml:space="preserve"> </w:t>
      </w:r>
      <w:r w:rsidRPr="00F6273C">
        <w:rPr>
          <w:color w:val="FF0000"/>
        </w:rPr>
        <w:fldChar w:fldCharType="begin"/>
      </w:r>
      <w:r w:rsidRPr="00F6273C">
        <w:rPr>
          <w:color w:val="FF0000"/>
        </w:rPr>
        <w:instrText xml:space="preserve"> :End:BPD_JR1 </w:instrText>
      </w:r>
      <w:r w:rsidRPr="00F6273C">
        <w:rPr>
          <w:color w:val="FF0000"/>
        </w:rPr>
        <w:fldChar w:fldCharType="end"/>
      </w:r>
      <w:r w:rsidRPr="00F6273C">
        <w:rPr>
          <w:color w:val="0000FF"/>
        </w:rPr>
        <w:fldChar w:fldCharType="begin"/>
      </w:r>
      <w:r w:rsidRPr="00F6273C">
        <w:rPr>
          <w:color w:val="0000FF"/>
        </w:rPr>
        <w:instrText xml:space="preserve"> :Start:SPD_VW1 </w:instrText>
      </w:r>
      <w:r w:rsidRPr="00F6273C">
        <w:rPr>
          <w:color w:val="0000FF"/>
        </w:rPr>
        <w:fldChar w:fldCharType="end"/>
      </w:r>
      <w:r w:rsidR="00A52990" w:rsidRPr="00F6273C">
        <w:t>including vulnerable groups such as the elderly and those with chronic conditions, from COVID</w:t>
      </w:r>
      <w:r w:rsidR="006B2A22" w:rsidRPr="00F6273C">
        <w:noBreakHyphen/>
      </w:r>
      <w:r w:rsidR="00A52990" w:rsidRPr="00F6273C">
        <w:t>19.</w:t>
      </w:r>
      <w:r w:rsidR="00CC2978" w:rsidRPr="00F6273C">
        <w:t xml:space="preserve"> </w:t>
      </w:r>
      <w:r w:rsidR="00A52990" w:rsidRPr="00F6273C">
        <w:t>This includes funding for large</w:t>
      </w:r>
      <w:r w:rsidR="006B2A22" w:rsidRPr="00F6273C">
        <w:noBreakHyphen/>
      </w:r>
      <w:r w:rsidR="00A52990" w:rsidRPr="00F6273C">
        <w:t>scale purchases of Personal Protective Equipment (PPE)</w:t>
      </w:r>
      <w:proofErr w:type="gramStart"/>
      <w:r w:rsidR="00A52990" w:rsidRPr="00F6273C">
        <w:t>,</w:t>
      </w:r>
      <w:proofErr w:type="gramEnd"/>
      <w:r w:rsidR="00A52990" w:rsidRPr="00F6273C">
        <w:t xml:space="preserve"> boosting Australia</w:t>
      </w:r>
      <w:r w:rsidR="006B2A22" w:rsidRPr="00F6273C">
        <w:t>’</w:t>
      </w:r>
      <w:r w:rsidR="00A52990" w:rsidRPr="00F6273C">
        <w:t>s testing capacity and ensuring access to essential health services through expanded telehealth.</w:t>
      </w:r>
      <w:r w:rsidR="00803410" w:rsidRPr="00F6273C">
        <w:t xml:space="preserve"> </w:t>
      </w:r>
    </w:p>
    <w:p w14:paraId="073F68A5" w14:textId="41A4A044" w:rsidR="00803410" w:rsidRPr="00F6273C" w:rsidRDefault="009462AB" w:rsidP="00803410">
      <w:r w:rsidRPr="00F6273C">
        <w:t xml:space="preserve">The Government has helped protect the health of Australians </w:t>
      </w:r>
      <w:r w:rsidR="003C6894" w:rsidRPr="00F6273C">
        <w:t>by providing $3.</w:t>
      </w:r>
      <w:r w:rsidR="004A37CD">
        <w:t>4</w:t>
      </w:r>
      <w:r w:rsidR="001D6516" w:rsidRPr="00F6273C">
        <w:t> </w:t>
      </w:r>
      <w:r w:rsidR="003C6894" w:rsidRPr="00F6273C">
        <w:t xml:space="preserve">billion for the urgent </w:t>
      </w:r>
      <w:r w:rsidR="00803410" w:rsidRPr="00F6273C">
        <w:t>purchase</w:t>
      </w:r>
      <w:r w:rsidRPr="00F6273C">
        <w:t xml:space="preserve"> of</w:t>
      </w:r>
      <w:r w:rsidR="00803410" w:rsidRPr="00F6273C">
        <w:t xml:space="preserve"> PPE and other essential equipment for the National Medical Stockpile as well as funding </w:t>
      </w:r>
      <w:r w:rsidR="00440536" w:rsidRPr="00F6273C">
        <w:t>for the National Incident Room, domestic manufacturing of medical equipment and</w:t>
      </w:r>
      <w:r w:rsidR="00803410" w:rsidRPr="00F6273C">
        <w:t xml:space="preserve"> public</w:t>
      </w:r>
      <w:r w:rsidRPr="00F6273C">
        <w:t xml:space="preserve"> awareness</w:t>
      </w:r>
      <w:r w:rsidR="00803410" w:rsidRPr="00F6273C">
        <w:t xml:space="preserve"> </w:t>
      </w:r>
      <w:r w:rsidR="001C4797" w:rsidRPr="00F6273C">
        <w:t>communication campaigns</w:t>
      </w:r>
      <w:r w:rsidR="008D5440" w:rsidRPr="00F6273C">
        <w:t>.</w:t>
      </w:r>
      <w:r w:rsidR="00440536" w:rsidRPr="00F6273C">
        <w:t xml:space="preserve"> The Government is also investing in finding a vaccine and treatments for COVID</w:t>
      </w:r>
      <w:r w:rsidR="006B2A22" w:rsidRPr="00F6273C">
        <w:noBreakHyphen/>
      </w:r>
      <w:r w:rsidR="00440536" w:rsidRPr="00F6273C">
        <w:t>19, as well as better preparing for future pandemics</w:t>
      </w:r>
      <w:r w:rsidRPr="00F6273C">
        <w:t>.</w:t>
      </w:r>
    </w:p>
    <w:p w14:paraId="1CEA4D43" w14:textId="6A28A782" w:rsidR="00803410" w:rsidRPr="00F6273C" w:rsidRDefault="00803410" w:rsidP="00803410">
      <w:r w:rsidRPr="00F6273C">
        <w:t>The Government has boosted Australia</w:t>
      </w:r>
      <w:r w:rsidR="006B2A22" w:rsidRPr="00F6273C">
        <w:t>’</w:t>
      </w:r>
      <w:r w:rsidRPr="00F6273C">
        <w:t xml:space="preserve">s testing capacity to meet the challenge of the </w:t>
      </w:r>
      <w:r w:rsidR="008643DE" w:rsidRPr="00F6273C">
        <w:t>COVID</w:t>
      </w:r>
      <w:r w:rsidR="006B2A22" w:rsidRPr="00F6273C">
        <w:noBreakHyphen/>
      </w:r>
      <w:r w:rsidR="008643DE" w:rsidRPr="00F6273C">
        <w:t>19</w:t>
      </w:r>
      <w:r w:rsidR="009462AB" w:rsidRPr="00F6273C">
        <w:t xml:space="preserve"> </w:t>
      </w:r>
      <w:r w:rsidRPr="00F6273C">
        <w:t>pandemic, including by establishing dedicated Medicare</w:t>
      </w:r>
      <w:r w:rsidR="006B2A22" w:rsidRPr="00F6273C">
        <w:noBreakHyphen/>
      </w:r>
      <w:r w:rsidRPr="00F6273C">
        <w:t>fun</w:t>
      </w:r>
      <w:r w:rsidR="009807FD" w:rsidRPr="00F6273C">
        <w:t>ded pathology tests</w:t>
      </w:r>
      <w:r w:rsidR="00E722D3" w:rsidRPr="00F6273C">
        <w:t xml:space="preserve"> and </w:t>
      </w:r>
      <w:r w:rsidR="00C9447B" w:rsidRPr="00F6273C">
        <w:t>dedicated</w:t>
      </w:r>
      <w:r w:rsidR="00E722D3" w:rsidRPr="00F6273C">
        <w:t xml:space="preserve"> respiratory clinics, with coverage of 97 per cent of the population</w:t>
      </w:r>
      <w:r w:rsidRPr="00F6273C">
        <w:t>.</w:t>
      </w:r>
      <w:r w:rsidR="009807FD" w:rsidRPr="00F6273C">
        <w:t xml:space="preserve"> </w:t>
      </w:r>
      <w:r w:rsidRPr="00F6273C">
        <w:t xml:space="preserve">The Government </w:t>
      </w:r>
      <w:r w:rsidR="009462AB" w:rsidRPr="00F6273C">
        <w:t>is also</w:t>
      </w:r>
      <w:r w:rsidRPr="00F6273C">
        <w:t xml:space="preserve"> providing $</w:t>
      </w:r>
      <w:r w:rsidR="003C6894" w:rsidRPr="00F6273C">
        <w:t xml:space="preserve">3.7 </w:t>
      </w:r>
      <w:r w:rsidRPr="00F6273C">
        <w:t>billion</w:t>
      </w:r>
      <w:r w:rsidR="00E722D3" w:rsidRPr="00F6273C">
        <w:t xml:space="preserve"> to build our hospital system capacity for the COVID</w:t>
      </w:r>
      <w:r w:rsidR="006B2A22" w:rsidRPr="00F6273C">
        <w:noBreakHyphen/>
      </w:r>
      <w:r w:rsidR="00E722D3" w:rsidRPr="00F6273C">
        <w:t xml:space="preserve">19 response including the </w:t>
      </w:r>
      <w:r w:rsidRPr="00F6273C">
        <w:t>National Partnership</w:t>
      </w:r>
      <w:r w:rsidR="009462AB" w:rsidRPr="00F6273C">
        <w:t xml:space="preserve"> Agreement</w:t>
      </w:r>
      <w:r w:rsidRPr="00F6273C">
        <w:t xml:space="preserve"> on COVID</w:t>
      </w:r>
      <w:r w:rsidR="006B2A22" w:rsidRPr="00F6273C">
        <w:noBreakHyphen/>
      </w:r>
      <w:r w:rsidRPr="00F6273C">
        <w:t>19</w:t>
      </w:r>
      <w:r w:rsidR="00306F5E" w:rsidRPr="00F6273C">
        <w:t xml:space="preserve"> to </w:t>
      </w:r>
      <w:r w:rsidRPr="00F6273C">
        <w:t xml:space="preserve">fund half of </w:t>
      </w:r>
      <w:r w:rsidR="00C9447B" w:rsidRPr="00F6273C">
        <w:t>the</w:t>
      </w:r>
      <w:r w:rsidRPr="00F6273C">
        <w:t xml:space="preserve"> costs incurred by the states and territories in diagnosing and treating patients with</w:t>
      </w:r>
      <w:r w:rsidR="009462AB" w:rsidRPr="00F6273C">
        <w:t xml:space="preserve"> COVID</w:t>
      </w:r>
      <w:r w:rsidR="006B2A22" w:rsidRPr="00F6273C">
        <w:noBreakHyphen/>
      </w:r>
      <w:r w:rsidR="009462AB" w:rsidRPr="00F6273C">
        <w:t>19</w:t>
      </w:r>
      <w:r w:rsidR="00E722D3" w:rsidRPr="00F6273C">
        <w:t xml:space="preserve"> and</w:t>
      </w:r>
      <w:r w:rsidR="00365D3F" w:rsidRPr="00F6273C">
        <w:t xml:space="preserve"> the partnership to harness private hospital capacity.</w:t>
      </w:r>
      <w:r w:rsidR="000C1305" w:rsidRPr="00F6273C">
        <w:t xml:space="preserve"> </w:t>
      </w:r>
      <w:r w:rsidR="000C1305" w:rsidRPr="00F6273C">
        <w:rPr>
          <w:color w:val="FF0000"/>
        </w:rPr>
        <w:fldChar w:fldCharType="begin"/>
      </w:r>
      <w:r w:rsidR="000C1305" w:rsidRPr="00F6273C">
        <w:rPr>
          <w:color w:val="FF0000"/>
        </w:rPr>
        <w:instrText xml:space="preserve"> :End:SPD_VW1 </w:instrText>
      </w:r>
      <w:r w:rsidR="000C1305" w:rsidRPr="00F6273C">
        <w:rPr>
          <w:color w:val="FF0000"/>
        </w:rPr>
        <w:fldChar w:fldCharType="end"/>
      </w:r>
      <w:r w:rsidRPr="00F6273C">
        <w:t xml:space="preserve"> </w:t>
      </w:r>
    </w:p>
    <w:p w14:paraId="56506989" w14:textId="39C790A8" w:rsidR="000C1305" w:rsidRPr="00F6273C" w:rsidRDefault="000C1305" w:rsidP="000C1305">
      <w:r w:rsidRPr="00F6273C">
        <w:rPr>
          <w:color w:val="0000FF"/>
        </w:rPr>
        <w:fldChar w:fldCharType="begin"/>
      </w:r>
      <w:r w:rsidRPr="00F6273C">
        <w:rPr>
          <w:color w:val="0000FF"/>
        </w:rPr>
        <w:instrText xml:space="preserve"> :Start:CCT_MD1 </w:instrText>
      </w:r>
      <w:r w:rsidRPr="00F6273C">
        <w:rPr>
          <w:color w:val="0000FF"/>
        </w:rPr>
        <w:fldChar w:fldCharType="end"/>
      </w:r>
      <w:r w:rsidRPr="00F6273C">
        <w:t>In addition, over 6.7 million people have downloaded the Government</w:t>
      </w:r>
      <w:r w:rsidR="006B2A22" w:rsidRPr="00F6273C">
        <w:t>’</w:t>
      </w:r>
      <w:r w:rsidRPr="00F6273C">
        <w:t xml:space="preserve">s </w:t>
      </w:r>
      <w:proofErr w:type="spellStart"/>
      <w:r w:rsidRPr="00F6273C">
        <w:t>COVID</w:t>
      </w:r>
      <w:r w:rsidR="009D0443" w:rsidRPr="00F6273C">
        <w:t>Safe</w:t>
      </w:r>
      <w:proofErr w:type="spellEnd"/>
      <w:r w:rsidR="009D0443" w:rsidRPr="00F6273C">
        <w:t> App</w:t>
      </w:r>
      <w:r w:rsidR="009F0840" w:rsidRPr="00F6273C">
        <w:t>,</w:t>
      </w:r>
      <w:r w:rsidR="009D0443" w:rsidRPr="00F6273C">
        <w:t xml:space="preserve"> which helps support</w:t>
      </w:r>
      <w:r w:rsidRPr="00F6273C">
        <w:t xml:space="preserve"> health workers in their contact tracing.</w:t>
      </w:r>
      <w:r w:rsidRPr="00F6273C">
        <w:rPr>
          <w:color w:val="FF0000"/>
        </w:rPr>
        <w:fldChar w:fldCharType="begin"/>
      </w:r>
      <w:r w:rsidRPr="00F6273C">
        <w:rPr>
          <w:color w:val="FF0000"/>
        </w:rPr>
        <w:instrText xml:space="preserve"> :End:CCT_MD1 </w:instrText>
      </w:r>
      <w:r w:rsidRPr="00F6273C">
        <w:rPr>
          <w:color w:val="FF0000"/>
        </w:rPr>
        <w:fldChar w:fldCharType="end"/>
      </w:r>
    </w:p>
    <w:p w14:paraId="63A2D1DD" w14:textId="29C2D1F2" w:rsidR="00803410" w:rsidRPr="00F6273C" w:rsidRDefault="000C1305" w:rsidP="00803410">
      <w:r w:rsidRPr="00F6273C">
        <w:rPr>
          <w:color w:val="0000FF"/>
        </w:rPr>
        <w:fldChar w:fldCharType="begin"/>
      </w:r>
      <w:r w:rsidRPr="00F6273C">
        <w:rPr>
          <w:color w:val="0000FF"/>
        </w:rPr>
        <w:instrText xml:space="preserve"> :Start:SPD_VW1 </w:instrText>
      </w:r>
      <w:r w:rsidRPr="00F6273C">
        <w:rPr>
          <w:color w:val="0000FF"/>
        </w:rPr>
        <w:fldChar w:fldCharType="end"/>
      </w:r>
      <w:r w:rsidR="00803410" w:rsidRPr="00F6273C">
        <w:t xml:space="preserve">To ensure access to essential health services, </w:t>
      </w:r>
      <w:r w:rsidR="00C9447B" w:rsidRPr="00F6273C">
        <w:t>the Government has enabled whole</w:t>
      </w:r>
      <w:r w:rsidR="006B2A22" w:rsidRPr="00F6273C">
        <w:noBreakHyphen/>
      </w:r>
      <w:r w:rsidR="00C9447B" w:rsidRPr="00F6273C">
        <w:t>of</w:t>
      </w:r>
      <w:r w:rsidR="006B2A22" w:rsidRPr="00F6273C">
        <w:noBreakHyphen/>
      </w:r>
      <w:r w:rsidR="00C9447B" w:rsidRPr="00F6273C">
        <w:t>population Medicare subsidised telehealth for medical, nursing and mental health services and provided</w:t>
      </w:r>
      <w:r w:rsidR="00803410" w:rsidRPr="00F6273C">
        <w:t xml:space="preserve"> </w:t>
      </w:r>
      <w:r w:rsidR="00C9447B" w:rsidRPr="00F6273C">
        <w:t xml:space="preserve">$619.1 million to support bulk billing and </w:t>
      </w:r>
      <w:r w:rsidR="00803410" w:rsidRPr="00F6273C">
        <w:t>$</w:t>
      </w:r>
      <w:r w:rsidR="003C6894" w:rsidRPr="00F6273C">
        <w:t>54.8</w:t>
      </w:r>
      <w:r w:rsidR="00803410" w:rsidRPr="00F6273C">
        <w:t xml:space="preserve"> million </w:t>
      </w:r>
      <w:r w:rsidR="009462AB" w:rsidRPr="00F6273C">
        <w:t>for additional support to enable GPs to continue to provide essential face</w:t>
      </w:r>
      <w:r w:rsidR="006B2A22" w:rsidRPr="00F6273C">
        <w:noBreakHyphen/>
      </w:r>
      <w:r w:rsidR="009462AB" w:rsidRPr="00F6273C">
        <w:t>to</w:t>
      </w:r>
      <w:r w:rsidR="006B2A22" w:rsidRPr="00F6273C">
        <w:noBreakHyphen/>
      </w:r>
      <w:r w:rsidR="009462AB" w:rsidRPr="00F6273C">
        <w:t>face medical services</w:t>
      </w:r>
      <w:r w:rsidR="00C9447B" w:rsidRPr="00F6273C">
        <w:t>.</w:t>
      </w:r>
      <w:r w:rsidR="00C71474" w:rsidRPr="00F6273C">
        <w:rPr>
          <w:color w:val="FF0000"/>
        </w:rPr>
        <w:fldChar w:fldCharType="begin"/>
      </w:r>
      <w:r w:rsidR="00C71474" w:rsidRPr="00F6273C">
        <w:rPr>
          <w:color w:val="FF0000"/>
        </w:rPr>
        <w:instrText xml:space="preserve"> :End:SPD_VW1 </w:instrText>
      </w:r>
      <w:r w:rsidR="00C71474" w:rsidRPr="00F6273C">
        <w:rPr>
          <w:color w:val="FF0000"/>
        </w:rPr>
        <w:fldChar w:fldCharType="end"/>
      </w:r>
    </w:p>
    <w:p w14:paraId="3C8EF8CC" w14:textId="0887853D" w:rsidR="00365D3F" w:rsidRPr="00F6273C" w:rsidRDefault="00716348" w:rsidP="00803410">
      <w:r w:rsidRPr="00F6273C">
        <w:rPr>
          <w:color w:val="0000FF"/>
        </w:rPr>
        <w:fldChar w:fldCharType="begin"/>
      </w:r>
      <w:r w:rsidRPr="00F6273C">
        <w:rPr>
          <w:color w:val="0000FF"/>
        </w:rPr>
        <w:instrText xml:space="preserve"> :Start:SPD_VW4 </w:instrText>
      </w:r>
      <w:r w:rsidRPr="00F6273C">
        <w:rPr>
          <w:color w:val="0000FF"/>
        </w:rPr>
        <w:fldChar w:fldCharType="end"/>
      </w:r>
      <w:r w:rsidR="00365D3F" w:rsidRPr="00F6273C">
        <w:t>In support of infection control and surge capacity requirements, the Government has invested $20 million to provide up</w:t>
      </w:r>
      <w:r w:rsidR="006B2A22" w:rsidRPr="00F6273C">
        <w:noBreakHyphen/>
      </w:r>
      <w:r w:rsidR="00365D3F" w:rsidRPr="00F6273C">
        <w:t>to</w:t>
      </w:r>
      <w:r w:rsidR="006B2A22" w:rsidRPr="00F6273C">
        <w:noBreakHyphen/>
      </w:r>
      <w:r w:rsidR="00365D3F" w:rsidRPr="00F6273C">
        <w:t>date infection control training to the health workforce, and $10 million to support the return of medical professionals to the workforce.</w:t>
      </w:r>
      <w:r w:rsidRPr="00F6273C">
        <w:rPr>
          <w:color w:val="FF0000"/>
        </w:rPr>
        <w:fldChar w:fldCharType="begin"/>
      </w:r>
      <w:r w:rsidRPr="00F6273C">
        <w:rPr>
          <w:color w:val="FF0000"/>
        </w:rPr>
        <w:instrText xml:space="preserve"> :End:SPD_VW4 </w:instrText>
      </w:r>
      <w:r w:rsidRPr="00F6273C">
        <w:rPr>
          <w:color w:val="FF0000"/>
        </w:rPr>
        <w:fldChar w:fldCharType="end"/>
      </w:r>
    </w:p>
    <w:p w14:paraId="7859F2E8" w14:textId="287D3F13" w:rsidR="00803410" w:rsidRPr="00F6273C" w:rsidRDefault="00716348" w:rsidP="00803410">
      <w:r w:rsidRPr="00F6273C">
        <w:rPr>
          <w:color w:val="0000FF"/>
        </w:rPr>
        <w:lastRenderedPageBreak/>
        <w:fldChar w:fldCharType="begin"/>
      </w:r>
      <w:r w:rsidRPr="00F6273C">
        <w:rPr>
          <w:color w:val="0000FF"/>
        </w:rPr>
        <w:instrText xml:space="preserve"> :Start:SPD_VW1 </w:instrText>
      </w:r>
      <w:r w:rsidRPr="00F6273C">
        <w:rPr>
          <w:color w:val="0000FF"/>
        </w:rPr>
        <w:fldChar w:fldCharType="end"/>
      </w:r>
      <w:r w:rsidR="00803410" w:rsidRPr="00F6273C">
        <w:t>The Government</w:t>
      </w:r>
      <w:r w:rsidR="003F7A26" w:rsidRPr="00F6273C">
        <w:t xml:space="preserve"> is </w:t>
      </w:r>
      <w:r w:rsidR="00C9447B" w:rsidRPr="00F6273C">
        <w:t xml:space="preserve">working with Community Pharmacy and the medicines supply chain to ensure ongoing access to essential medicines and is </w:t>
      </w:r>
      <w:r w:rsidR="003F7A26" w:rsidRPr="00F6273C">
        <w:t>providing $</w:t>
      </w:r>
      <w:r w:rsidR="003C6894" w:rsidRPr="00F6273C">
        <w:t>25</w:t>
      </w:r>
      <w:r w:rsidR="003F7A26" w:rsidRPr="00F6273C">
        <w:t xml:space="preserve"> million</w:t>
      </w:r>
      <w:r w:rsidR="00803410" w:rsidRPr="00F6273C">
        <w:t xml:space="preserve"> to ensure that Australians </w:t>
      </w:r>
      <w:r w:rsidR="006758EA" w:rsidRPr="00F6273C">
        <w:t>in home isolation and vulnerable groups can</w:t>
      </w:r>
      <w:r w:rsidR="00803410" w:rsidRPr="00F6273C">
        <w:t xml:space="preserve"> continue to access the medicines they rely on</w:t>
      </w:r>
      <w:r w:rsidR="003F7A26" w:rsidRPr="00F6273C">
        <w:t xml:space="preserve"> through the </w:t>
      </w:r>
      <w:r w:rsidR="009807FD" w:rsidRPr="00F6273C">
        <w:t>COVID</w:t>
      </w:r>
      <w:r w:rsidR="006B2A22" w:rsidRPr="00F6273C">
        <w:noBreakHyphen/>
      </w:r>
      <w:r w:rsidR="009807FD" w:rsidRPr="00F6273C">
        <w:t>19</w:t>
      </w:r>
      <w:r w:rsidR="003F7A26" w:rsidRPr="00F6273C">
        <w:t xml:space="preserve"> Home Medicines Service</w:t>
      </w:r>
      <w:r w:rsidR="00803410" w:rsidRPr="00F6273C">
        <w:t xml:space="preserve">. </w:t>
      </w:r>
    </w:p>
    <w:p w14:paraId="2DC8B681" w14:textId="01D2C8DF" w:rsidR="00803410" w:rsidRPr="00F6273C" w:rsidRDefault="00803410" w:rsidP="00803410">
      <w:pPr>
        <w:rPr>
          <w:rFonts w:ascii="Roboto" w:hAnsi="Roboto" w:cs="Segoe UI"/>
        </w:rPr>
      </w:pPr>
      <w:r w:rsidRPr="00F6273C">
        <w:t xml:space="preserve">The Government has </w:t>
      </w:r>
      <w:r w:rsidR="0035325A" w:rsidRPr="00F6273C">
        <w:t>provided $</w:t>
      </w:r>
      <w:r w:rsidR="003C6894" w:rsidRPr="00F6273C">
        <w:t>122.1</w:t>
      </w:r>
      <w:r w:rsidR="0035325A" w:rsidRPr="00F6273C">
        <w:t xml:space="preserve"> million to support </w:t>
      </w:r>
      <w:r w:rsidRPr="00F6273C">
        <w:t xml:space="preserve">the mental health and wellbeing of Australians during the </w:t>
      </w:r>
      <w:r w:rsidR="008643DE" w:rsidRPr="00F6273C">
        <w:t>COVID</w:t>
      </w:r>
      <w:r w:rsidR="006B2A22" w:rsidRPr="00F6273C">
        <w:noBreakHyphen/>
      </w:r>
      <w:r w:rsidR="008643DE" w:rsidRPr="00F6273C">
        <w:t>19</w:t>
      </w:r>
      <w:r w:rsidRPr="00F6273C">
        <w:t xml:space="preserve"> pandemic</w:t>
      </w:r>
      <w:r w:rsidR="00161477" w:rsidRPr="00F6273C">
        <w:t>.</w:t>
      </w:r>
    </w:p>
    <w:p w14:paraId="5AA0DF85" w14:textId="4010789D" w:rsidR="0035325A" w:rsidRPr="00F6273C" w:rsidRDefault="000F2FA1" w:rsidP="008B5D90">
      <w:r w:rsidRPr="00F6273C">
        <w:t>In addition to the National Partnership Agreement on COVID</w:t>
      </w:r>
      <w:r w:rsidR="006B2A22" w:rsidRPr="00F6273C">
        <w:noBreakHyphen/>
      </w:r>
      <w:r w:rsidRPr="00F6273C">
        <w:t>19, the</w:t>
      </w:r>
      <w:r w:rsidR="008B5D90" w:rsidRPr="00F6273C">
        <w:t xml:space="preserve"> Government </w:t>
      </w:r>
      <w:r w:rsidR="005D5902" w:rsidRPr="00F6273C">
        <w:t>is investing</w:t>
      </w:r>
      <w:r w:rsidR="008B5D90" w:rsidRPr="00F6273C">
        <w:t xml:space="preserve"> $</w:t>
      </w:r>
      <w:r w:rsidR="003C6894" w:rsidRPr="00F6273C">
        <w:t xml:space="preserve">131.4 </w:t>
      </w:r>
      <w:r w:rsidR="008B5D90" w:rsidRPr="00F6273C">
        <w:t>billion in Commonwealth funding for Australia</w:t>
      </w:r>
      <w:r w:rsidR="006B2A22" w:rsidRPr="00F6273C">
        <w:t>’</w:t>
      </w:r>
      <w:r w:rsidR="008B5D90" w:rsidRPr="00F6273C">
        <w:t>s public hospitals, an increase of 30 per cent over the previous five years</w:t>
      </w:r>
      <w:r w:rsidR="0035325A" w:rsidRPr="00F6273C">
        <w:t>, through the 2020</w:t>
      </w:r>
      <w:r w:rsidR="006B2A22" w:rsidRPr="00F6273C">
        <w:noBreakHyphen/>
      </w:r>
      <w:r w:rsidR="0035325A" w:rsidRPr="00F6273C">
        <w:t>25 National Health Reform Agreement</w:t>
      </w:r>
      <w:r w:rsidR="008B5D90" w:rsidRPr="00F6273C">
        <w:t>.</w:t>
      </w:r>
      <w:r w:rsidR="0035325A" w:rsidRPr="00F6273C">
        <w:t xml:space="preserve"> The Government </w:t>
      </w:r>
      <w:r w:rsidR="0067567C" w:rsidRPr="00F6273C">
        <w:t>is also providing</w:t>
      </w:r>
      <w:r w:rsidR="0035325A" w:rsidRPr="00F6273C">
        <w:t xml:space="preserve"> $</w:t>
      </w:r>
      <w:r w:rsidR="0067567C" w:rsidRPr="00F6273C">
        <w:t>18.3</w:t>
      </w:r>
      <w:r w:rsidR="00EB3BCD" w:rsidRPr="00F6273C">
        <w:t> </w:t>
      </w:r>
      <w:r w:rsidR="0035325A" w:rsidRPr="00F6273C">
        <w:t>billion</w:t>
      </w:r>
      <w:r w:rsidR="0067567C" w:rsidRPr="00F6273C">
        <w:t xml:space="preserve"> in new and existing funding</w:t>
      </w:r>
      <w:r w:rsidRPr="00F6273C">
        <w:t xml:space="preserve"> over the next five years</w:t>
      </w:r>
      <w:r w:rsidR="0035325A" w:rsidRPr="00F6273C">
        <w:t xml:space="preserve"> </w:t>
      </w:r>
      <w:r w:rsidR="00F2721C" w:rsidRPr="00F6273C">
        <w:t xml:space="preserve">to </w:t>
      </w:r>
      <w:r w:rsidR="00C57D5A" w:rsidRPr="00F6273C">
        <w:t xml:space="preserve">ensure quality pharmaceutical services </w:t>
      </w:r>
      <w:r w:rsidR="00F2721C" w:rsidRPr="00F6273C">
        <w:t>through the Seventh Community Pharmacy Agreement.</w:t>
      </w:r>
      <w:r w:rsidR="00712E03" w:rsidRPr="00F6273C">
        <w:rPr>
          <w:color w:val="FF0000"/>
        </w:rPr>
        <w:fldChar w:fldCharType="begin"/>
      </w:r>
      <w:r w:rsidR="00712E03" w:rsidRPr="00F6273C">
        <w:rPr>
          <w:color w:val="FF0000"/>
        </w:rPr>
        <w:instrText xml:space="preserve"> :End:SPD_VW1 </w:instrText>
      </w:r>
      <w:r w:rsidR="00712E03" w:rsidRPr="00F6273C">
        <w:rPr>
          <w:color w:val="FF0000"/>
        </w:rPr>
        <w:fldChar w:fldCharType="end"/>
      </w:r>
      <w:r w:rsidR="00F2721C" w:rsidRPr="00F6273C">
        <w:t xml:space="preserve"> </w:t>
      </w:r>
    </w:p>
    <w:p w14:paraId="053A6E76" w14:textId="06DCC59E" w:rsidR="008C2EF5" w:rsidRPr="00F6273C" w:rsidRDefault="000E637F" w:rsidP="008B5D90">
      <w:r w:rsidRPr="00F6273C">
        <w:rPr>
          <w:color w:val="0000FF"/>
        </w:rPr>
        <w:fldChar w:fldCharType="begin"/>
      </w:r>
      <w:r w:rsidRPr="00F6273C">
        <w:rPr>
          <w:color w:val="0000FF"/>
        </w:rPr>
        <w:instrText xml:space="preserve"> :Start:NSCSRD_DW1 </w:instrText>
      </w:r>
      <w:r w:rsidRPr="00F6273C">
        <w:rPr>
          <w:color w:val="0000FF"/>
        </w:rPr>
        <w:fldChar w:fldCharType="end"/>
      </w:r>
      <w:r w:rsidR="008C2EF5" w:rsidRPr="00F6273C">
        <w:t xml:space="preserve">During the </w:t>
      </w:r>
      <w:r w:rsidR="008643DE" w:rsidRPr="00F6273C">
        <w:t>COVID</w:t>
      </w:r>
      <w:r w:rsidR="006B2A22" w:rsidRPr="00F6273C">
        <w:noBreakHyphen/>
      </w:r>
      <w:r w:rsidR="008643DE" w:rsidRPr="00F6273C">
        <w:t>19</w:t>
      </w:r>
      <w:r w:rsidR="008C2EF5" w:rsidRPr="00F6273C">
        <w:t xml:space="preserve"> </w:t>
      </w:r>
      <w:r w:rsidR="00821D1E" w:rsidRPr="00F6273C">
        <w:t>pandemic</w:t>
      </w:r>
      <w:r w:rsidR="008C2EF5" w:rsidRPr="00F6273C">
        <w:t>,</w:t>
      </w:r>
      <w:r w:rsidR="00C65E05" w:rsidRPr="00F6273C">
        <w:t xml:space="preserve"> the Government facilitated</w:t>
      </w:r>
      <w:r w:rsidR="008C2EF5" w:rsidRPr="00F6273C">
        <w:t xml:space="preserve"> the safe return of hundreds of thousands of Australians via commercial, private and Government chartered flights.</w:t>
      </w:r>
      <w:r w:rsidR="0099190D" w:rsidRPr="00F6273C">
        <w:t xml:space="preserve"> </w:t>
      </w:r>
      <w:r w:rsidR="008C2EF5" w:rsidRPr="00F6273C">
        <w:t xml:space="preserve">With </w:t>
      </w:r>
      <w:r w:rsidR="000F2FA1" w:rsidRPr="00F6273C">
        <w:t xml:space="preserve">some </w:t>
      </w:r>
      <w:proofErr w:type="gramStart"/>
      <w:r w:rsidR="008C2EF5" w:rsidRPr="00F6273C">
        <w:t>Australians</w:t>
      </w:r>
      <w:proofErr w:type="gramEnd"/>
      <w:r w:rsidR="008C2EF5" w:rsidRPr="00F6273C">
        <w:t xml:space="preserve"> still wishing to return</w:t>
      </w:r>
      <w:r w:rsidR="00C65E05" w:rsidRPr="00F6273C">
        <w:t xml:space="preserve"> home</w:t>
      </w:r>
      <w:r w:rsidR="008C2EF5" w:rsidRPr="00F6273C">
        <w:t>,</w:t>
      </w:r>
      <w:r w:rsidR="000F2FA1" w:rsidRPr="00F6273C">
        <w:t xml:space="preserve"> the Government is</w:t>
      </w:r>
      <w:r w:rsidR="008C2EF5" w:rsidRPr="00F6273C">
        <w:t xml:space="preserve"> coordinati</w:t>
      </w:r>
      <w:r w:rsidR="000F2FA1" w:rsidRPr="00F6273C">
        <w:t>ng</w:t>
      </w:r>
      <w:r w:rsidR="008C2EF5" w:rsidRPr="00F6273C">
        <w:t xml:space="preserve"> with the states and territories to ensure the safety of all Australian citizens</w:t>
      </w:r>
      <w:r w:rsidR="000F2FA1" w:rsidRPr="00F6273C">
        <w:t>.</w:t>
      </w:r>
      <w:r w:rsidR="009D4012" w:rsidRPr="00F6273C" w:rsidDel="009D4012">
        <w:t xml:space="preserve"> </w:t>
      </w:r>
      <w:r w:rsidR="008C2EF5" w:rsidRPr="00F6273C">
        <w:rPr>
          <w:color w:val="FF0000"/>
        </w:rPr>
        <w:fldChar w:fldCharType="begin"/>
      </w:r>
      <w:r w:rsidR="008C2EF5" w:rsidRPr="00F6273C">
        <w:rPr>
          <w:color w:val="FF0000"/>
        </w:rPr>
        <w:instrText xml:space="preserve"> :End:NSCSRD_DW1 </w:instrText>
      </w:r>
      <w:r w:rsidR="008C2EF5" w:rsidRPr="00F6273C">
        <w:rPr>
          <w:color w:val="FF0000"/>
        </w:rPr>
        <w:fldChar w:fldCharType="end"/>
      </w:r>
    </w:p>
    <w:p w14:paraId="312FB3DF" w14:textId="0307C268" w:rsidR="000F2FA1" w:rsidRPr="00F6273C" w:rsidRDefault="00FA4690" w:rsidP="008B5D90">
      <w:r w:rsidRPr="00F6273C">
        <w:rPr>
          <w:color w:val="0000FF"/>
        </w:rPr>
        <w:fldChar w:fldCharType="begin"/>
      </w:r>
      <w:r w:rsidRPr="00F6273C">
        <w:rPr>
          <w:color w:val="0000FF"/>
        </w:rPr>
        <w:instrText xml:space="preserve"> :Start:SPD_VW4 </w:instrText>
      </w:r>
      <w:r w:rsidRPr="00F6273C">
        <w:rPr>
          <w:color w:val="0000FF"/>
        </w:rPr>
        <w:fldChar w:fldCharType="end"/>
      </w:r>
      <w:r w:rsidR="000F2FA1" w:rsidRPr="00F6273C">
        <w:t>To fast</w:t>
      </w:r>
      <w:r w:rsidR="006B2A22" w:rsidRPr="00F6273C">
        <w:noBreakHyphen/>
      </w:r>
      <w:r w:rsidR="000F2FA1" w:rsidRPr="00F6273C">
        <w:t>track the re</w:t>
      </w:r>
      <w:r w:rsidR="006B2A22" w:rsidRPr="00F6273C">
        <w:noBreakHyphen/>
      </w:r>
      <w:r w:rsidR="000F2FA1" w:rsidRPr="00F6273C">
        <w:t>opening of business, the Government has established a new $80 million National Infection Control Fund with states and territories for 80,000</w:t>
      </w:r>
      <w:r w:rsidR="00D72C33" w:rsidRPr="00F6273C">
        <w:t> </w:t>
      </w:r>
      <w:r w:rsidR="000F2FA1" w:rsidRPr="00F6273C">
        <w:t>fee</w:t>
      </w:r>
      <w:r w:rsidR="006B2A22" w:rsidRPr="00F6273C">
        <w:noBreakHyphen/>
      </w:r>
      <w:r w:rsidR="000F2FA1" w:rsidRPr="00F6273C">
        <w:t>free, or very low cost, nationally accredited infection control short course training places to frontline workers across industries including retail, tourism, hospitality, cleaning, security, transport and logistics.</w:t>
      </w:r>
      <w:r w:rsidRPr="00F6273C">
        <w:rPr>
          <w:color w:val="FF0000"/>
        </w:rPr>
        <w:fldChar w:fldCharType="begin"/>
      </w:r>
      <w:r w:rsidRPr="00F6273C">
        <w:rPr>
          <w:color w:val="FF0000"/>
        </w:rPr>
        <w:instrText xml:space="preserve"> :End:SPD_VW4 </w:instrText>
      </w:r>
      <w:r w:rsidRPr="00F6273C">
        <w:rPr>
          <w:color w:val="FF0000"/>
        </w:rPr>
        <w:fldChar w:fldCharType="end"/>
      </w:r>
    </w:p>
    <w:p w14:paraId="0F372750" w14:textId="17757FA0" w:rsidR="00F1148A" w:rsidRPr="00F6273C" w:rsidRDefault="0076320D" w:rsidP="00762ADD">
      <w:pPr>
        <w:pStyle w:val="Heading3"/>
      </w:pPr>
      <w:r w:rsidRPr="00F6273C">
        <w:rPr>
          <w:color w:val="0000FF"/>
        </w:rPr>
        <w:fldChar w:fldCharType="begin"/>
      </w:r>
      <w:r w:rsidRPr="00F6273C">
        <w:rPr>
          <w:color w:val="0000FF"/>
        </w:rPr>
        <w:instrText xml:space="preserve"> :Start:BPD_JR1 </w:instrText>
      </w:r>
      <w:r w:rsidRPr="00F6273C">
        <w:rPr>
          <w:color w:val="0000FF"/>
        </w:rPr>
        <w:fldChar w:fldCharType="end"/>
      </w:r>
      <w:r w:rsidR="00704BFA" w:rsidRPr="00F6273C">
        <w:t xml:space="preserve">Supporting Australians through the economic impact of </w:t>
      </w:r>
      <w:r w:rsidR="00072B77" w:rsidRPr="00F6273C">
        <w:t>COVID</w:t>
      </w:r>
      <w:r w:rsidR="006B2A22" w:rsidRPr="00F6273C">
        <w:noBreakHyphen/>
      </w:r>
      <w:r w:rsidR="00072B77" w:rsidRPr="00F6273C">
        <w:t>19</w:t>
      </w:r>
      <w:r w:rsidR="009A544A" w:rsidRPr="00F6273C">
        <w:t>, the re</w:t>
      </w:r>
      <w:r w:rsidR="006B2A22" w:rsidRPr="00F6273C">
        <w:noBreakHyphen/>
      </w:r>
      <w:r w:rsidR="009A544A" w:rsidRPr="00F6273C">
        <w:t>opening and recovery</w:t>
      </w:r>
      <w:r w:rsidRPr="00F6273C">
        <w:rPr>
          <w:color w:val="FF0000"/>
        </w:rPr>
        <w:fldChar w:fldCharType="begin"/>
      </w:r>
      <w:r w:rsidRPr="00F6273C">
        <w:rPr>
          <w:color w:val="FF0000"/>
        </w:rPr>
        <w:instrText xml:space="preserve"> :End:BPD_JR1 </w:instrText>
      </w:r>
      <w:r w:rsidRPr="00F6273C">
        <w:rPr>
          <w:color w:val="FF0000"/>
        </w:rPr>
        <w:fldChar w:fldCharType="end"/>
      </w:r>
    </w:p>
    <w:p w14:paraId="59990C95" w14:textId="5CB82933" w:rsidR="0090678D" w:rsidRPr="00F6273C" w:rsidRDefault="00F76775" w:rsidP="00AC107F">
      <w:r w:rsidRPr="00F6273C">
        <w:rPr>
          <w:color w:val="0000FF"/>
        </w:rPr>
        <w:fldChar w:fldCharType="begin"/>
      </w:r>
      <w:r w:rsidRPr="00F6273C">
        <w:rPr>
          <w:color w:val="0000FF"/>
        </w:rPr>
        <w:instrText xml:space="preserve"> :Start:CCT_MD1 </w:instrText>
      </w:r>
      <w:r w:rsidRPr="00F6273C">
        <w:rPr>
          <w:color w:val="0000FF"/>
        </w:rPr>
        <w:fldChar w:fldCharType="end"/>
      </w:r>
      <w:r w:rsidR="0090678D" w:rsidRPr="00F6273C">
        <w:t>The Government</w:t>
      </w:r>
      <w:r w:rsidR="006B2A22" w:rsidRPr="00F6273C">
        <w:t>’</w:t>
      </w:r>
      <w:r w:rsidR="0090678D" w:rsidRPr="00F6273C">
        <w:t>s economic response to COVID</w:t>
      </w:r>
      <w:r w:rsidR="006B2A22" w:rsidRPr="00F6273C">
        <w:noBreakHyphen/>
      </w:r>
      <w:r w:rsidR="0090678D" w:rsidRPr="00F6273C">
        <w:t xml:space="preserve">19 continues to provide temporary and timely support to affected workers, businesses and the broader community, and has kept Australians in </w:t>
      </w:r>
      <w:proofErr w:type="gramStart"/>
      <w:r w:rsidR="0090678D" w:rsidRPr="00F6273C">
        <w:t>jobs,</w:t>
      </w:r>
      <w:proofErr w:type="gramEnd"/>
      <w:r w:rsidR="0090678D" w:rsidRPr="00F6273C">
        <w:t xml:space="preserve"> and businesses in business. </w:t>
      </w:r>
    </w:p>
    <w:p w14:paraId="7CAA89DF" w14:textId="19DFFE34" w:rsidR="0090678D" w:rsidRPr="00F6273C" w:rsidRDefault="0090678D" w:rsidP="00AC107F">
      <w:r w:rsidRPr="00F6273C">
        <w:t xml:space="preserve">The Government is </w:t>
      </w:r>
      <w:r w:rsidR="002B5256" w:rsidRPr="00F6273C">
        <w:t>supporting the</w:t>
      </w:r>
      <w:r w:rsidRPr="00F6273C">
        <w:t xml:space="preserve"> re</w:t>
      </w:r>
      <w:r w:rsidR="006B2A22" w:rsidRPr="00F6273C">
        <w:noBreakHyphen/>
      </w:r>
      <w:r w:rsidRPr="00F6273C">
        <w:t xml:space="preserve">opening </w:t>
      </w:r>
      <w:r w:rsidR="002B5256" w:rsidRPr="00F6273C">
        <w:t xml:space="preserve">of </w:t>
      </w:r>
      <w:r w:rsidRPr="00F6273C">
        <w:t xml:space="preserve">the economy and getting people back into jobs, while </w:t>
      </w:r>
      <w:r w:rsidR="002B5256" w:rsidRPr="00F6273C">
        <w:t xml:space="preserve">assisting </w:t>
      </w:r>
      <w:r w:rsidRPr="00F6273C">
        <w:t>those still affected by health restrictions and protecting against further spread of the virus. It is vital to get businesses back open, enable Australians to go back to work and ensure consumers and businesses have the confidence to return to normal activities as far as possible.</w:t>
      </w:r>
    </w:p>
    <w:p w14:paraId="40609A28" w14:textId="750C16D4" w:rsidR="007673F7" w:rsidRPr="00F6273C" w:rsidRDefault="0090678D" w:rsidP="00AC107F">
      <w:r w:rsidRPr="00F6273C">
        <w:t>To support the economic recovery, the Government is extending and further targeting temporary economic measures to support sectors, regions and communities that will continue to face challenges.</w:t>
      </w:r>
      <w:r w:rsidR="00F76775" w:rsidRPr="00F6273C">
        <w:rPr>
          <w:color w:val="FF0000"/>
        </w:rPr>
        <w:fldChar w:fldCharType="begin"/>
      </w:r>
      <w:r w:rsidR="00F76775" w:rsidRPr="00F6273C">
        <w:rPr>
          <w:color w:val="FF0000"/>
        </w:rPr>
        <w:instrText xml:space="preserve"> :End:CCT_MD1 </w:instrText>
      </w:r>
      <w:r w:rsidR="00F76775" w:rsidRPr="00F6273C">
        <w:rPr>
          <w:color w:val="FF0000"/>
        </w:rPr>
        <w:fldChar w:fldCharType="end"/>
      </w:r>
    </w:p>
    <w:p w14:paraId="7F7F2003" w14:textId="01292313" w:rsidR="0090678D" w:rsidRPr="000E22D5" w:rsidRDefault="007673F7" w:rsidP="000E22D5">
      <w:r w:rsidRPr="00F6273C">
        <w:br w:type="page"/>
      </w:r>
    </w:p>
    <w:p w14:paraId="62885553" w14:textId="08B0192F" w:rsidR="00565BE0" w:rsidRPr="00F6273C" w:rsidRDefault="00E35D4C" w:rsidP="00F835E5">
      <w:pPr>
        <w:pStyle w:val="Heading4"/>
      </w:pPr>
      <w:r w:rsidRPr="00F6273C">
        <w:rPr>
          <w:color w:val="0000FF"/>
        </w:rPr>
        <w:lastRenderedPageBreak/>
        <w:fldChar w:fldCharType="begin"/>
      </w:r>
      <w:r w:rsidRPr="00F6273C">
        <w:rPr>
          <w:color w:val="0000FF"/>
        </w:rPr>
        <w:instrText xml:space="preserve"> :Start:JKD_PB1 </w:instrText>
      </w:r>
      <w:r w:rsidRPr="00F6273C">
        <w:rPr>
          <w:color w:val="0000FF"/>
        </w:rPr>
        <w:fldChar w:fldCharType="end"/>
      </w:r>
      <w:proofErr w:type="spellStart"/>
      <w:r w:rsidR="00565BE0" w:rsidRPr="00F6273C">
        <w:t>JobKeeper</w:t>
      </w:r>
      <w:proofErr w:type="spellEnd"/>
      <w:r w:rsidR="00565BE0" w:rsidRPr="00F6273C">
        <w:t xml:space="preserve"> Payment</w:t>
      </w:r>
    </w:p>
    <w:p w14:paraId="233E4AB0" w14:textId="62F065AE" w:rsidR="00D630C1" w:rsidRPr="00F6273C" w:rsidRDefault="00802A09" w:rsidP="00F835E5">
      <w:r w:rsidRPr="00F6273C">
        <w:t>T</w:t>
      </w:r>
      <w:r w:rsidR="00D630C1" w:rsidRPr="00F6273C">
        <w:t xml:space="preserve">he </w:t>
      </w:r>
      <w:proofErr w:type="spellStart"/>
      <w:r w:rsidR="00D630C1" w:rsidRPr="00F6273C">
        <w:t>JobKeeper</w:t>
      </w:r>
      <w:proofErr w:type="spellEnd"/>
      <w:r w:rsidR="00D630C1" w:rsidRPr="00F6273C">
        <w:t xml:space="preserve"> Payment </w:t>
      </w:r>
      <w:r w:rsidR="00D91810" w:rsidRPr="00F6273C">
        <w:t>is</w:t>
      </w:r>
      <w:r w:rsidR="00D630C1" w:rsidRPr="00F6273C">
        <w:t xml:space="preserve"> help</w:t>
      </w:r>
      <w:r w:rsidR="002228B9" w:rsidRPr="00F6273C">
        <w:t>ing</w:t>
      </w:r>
      <w:r w:rsidR="00D630C1" w:rsidRPr="00F6273C">
        <w:t xml:space="preserve"> keep </w:t>
      </w:r>
      <w:r w:rsidR="00704BFA" w:rsidRPr="00F6273C">
        <w:t>businesses in business</w:t>
      </w:r>
      <w:r w:rsidR="00177925" w:rsidRPr="00F6273C">
        <w:t xml:space="preserve"> and Australians in jobs</w:t>
      </w:r>
      <w:r w:rsidR="00D630C1" w:rsidRPr="00F6273C">
        <w:t xml:space="preserve">. </w:t>
      </w:r>
      <w:r w:rsidR="002228B9" w:rsidRPr="00F6273C">
        <w:t>It supports businesses</w:t>
      </w:r>
      <w:r w:rsidR="006B0351" w:rsidRPr="00F6273C">
        <w:t xml:space="preserve"> significantly impacted by </w:t>
      </w:r>
      <w:r w:rsidR="00177925" w:rsidRPr="00F6273C">
        <w:t>COVID</w:t>
      </w:r>
      <w:r w:rsidR="006B2A22" w:rsidRPr="00F6273C">
        <w:noBreakHyphen/>
      </w:r>
      <w:r w:rsidR="00177925" w:rsidRPr="00F6273C">
        <w:t xml:space="preserve">19 </w:t>
      </w:r>
      <w:r w:rsidR="002228B9" w:rsidRPr="00F6273C">
        <w:t>to cover the costs of their employees</w:t>
      </w:r>
      <w:r w:rsidR="006B2A22" w:rsidRPr="00F6273C">
        <w:t>’</w:t>
      </w:r>
      <w:r w:rsidR="002228B9" w:rsidRPr="00F6273C">
        <w:t xml:space="preserve"> wages, so more Australians can retain their jobs and continue to earn</w:t>
      </w:r>
      <w:r w:rsidR="00177925" w:rsidRPr="00F6273C">
        <w:t xml:space="preserve"> an</w:t>
      </w:r>
      <w:r w:rsidR="002228B9" w:rsidRPr="00F6273C">
        <w:t xml:space="preserve"> income. </w:t>
      </w:r>
      <w:r w:rsidR="00177925" w:rsidRPr="00F6273C">
        <w:t>It</w:t>
      </w:r>
      <w:r w:rsidR="008408A5" w:rsidRPr="00F6273C">
        <w:t xml:space="preserve"> also supports these businesses to recommence their operations</w:t>
      </w:r>
      <w:r w:rsidR="00F21D2E">
        <w:t>,</w:t>
      </w:r>
      <w:r w:rsidR="008408A5" w:rsidRPr="00F6273C">
        <w:t xml:space="preserve"> or scale up operations quickly with</w:t>
      </w:r>
      <w:r w:rsidR="00B12967" w:rsidRPr="00F6273C">
        <w:t xml:space="preserve"> their existing employees</w:t>
      </w:r>
      <w:r w:rsidR="00F21D2E">
        <w:t>,</w:t>
      </w:r>
      <w:r w:rsidR="00B12967" w:rsidRPr="00F6273C">
        <w:t xml:space="preserve"> rather than</w:t>
      </w:r>
      <w:r w:rsidR="008408A5" w:rsidRPr="00F6273C">
        <w:t xml:space="preserve"> needing to rehire </w:t>
      </w:r>
      <w:r w:rsidR="00B12967" w:rsidRPr="00F6273C">
        <w:t xml:space="preserve">staff </w:t>
      </w:r>
      <w:r w:rsidR="008408A5" w:rsidRPr="00F6273C">
        <w:t xml:space="preserve">once restrictions </w:t>
      </w:r>
      <w:proofErr w:type="gramStart"/>
      <w:r w:rsidR="008408A5" w:rsidRPr="00F6273C">
        <w:t>are eased</w:t>
      </w:r>
      <w:proofErr w:type="gramEnd"/>
      <w:r w:rsidR="008408A5" w:rsidRPr="00F6273C">
        <w:t>.</w:t>
      </w:r>
    </w:p>
    <w:p w14:paraId="5B0977E1" w14:textId="6890052D" w:rsidR="00045674" w:rsidRPr="00F6273C" w:rsidRDefault="00045674" w:rsidP="00F835E5">
      <w:r w:rsidRPr="00F6273C">
        <w:t xml:space="preserve">The </w:t>
      </w:r>
      <w:proofErr w:type="spellStart"/>
      <w:r w:rsidRPr="00F6273C">
        <w:t>JobKeeper</w:t>
      </w:r>
      <w:proofErr w:type="spellEnd"/>
      <w:r w:rsidRPr="00F6273C">
        <w:t xml:space="preserve"> Payment has </w:t>
      </w:r>
      <w:r w:rsidR="00B12967" w:rsidRPr="00F6273C">
        <w:t>covered a large proportion of the economy</w:t>
      </w:r>
      <w:r w:rsidR="002F5A20" w:rsidRPr="00F6273C">
        <w:t>,</w:t>
      </w:r>
      <w:r w:rsidRPr="00F6273C">
        <w:t xml:space="preserve"> </w:t>
      </w:r>
      <w:r w:rsidR="00B12967" w:rsidRPr="00F6273C">
        <w:t>with</w:t>
      </w:r>
      <w:r w:rsidRPr="00F6273C">
        <w:t xml:space="preserve"> over 960,000 organisations and over 3.</w:t>
      </w:r>
      <w:r w:rsidR="00B12967" w:rsidRPr="00F6273C">
        <w:t>5</w:t>
      </w:r>
      <w:r w:rsidRPr="00F6273C">
        <w:t xml:space="preserve"> million individuals covered. As at 1</w:t>
      </w:r>
      <w:r w:rsidR="00B12967" w:rsidRPr="00F6273C">
        <w:t>6</w:t>
      </w:r>
      <w:r w:rsidRPr="00F6273C">
        <w:t xml:space="preserve"> July, payments have totalled $</w:t>
      </w:r>
      <w:r w:rsidR="00CC2978" w:rsidRPr="00F6273C">
        <w:t>30.6</w:t>
      </w:r>
      <w:r w:rsidRPr="00F6273C">
        <w:t xml:space="preserve"> billion over the six </w:t>
      </w:r>
      <w:proofErr w:type="spellStart"/>
      <w:r w:rsidRPr="00F6273C">
        <w:t>JobKeeper</w:t>
      </w:r>
      <w:proofErr w:type="spellEnd"/>
      <w:r w:rsidRPr="00F6273C">
        <w:t xml:space="preserve"> Payment fortnights to 21 June.</w:t>
      </w:r>
      <w:r w:rsidRPr="00F6273C">
        <w:rPr>
          <w:color w:val="FF0000"/>
        </w:rPr>
        <w:fldChar w:fldCharType="begin"/>
      </w:r>
      <w:r w:rsidRPr="00F6273C">
        <w:rPr>
          <w:color w:val="FF0000"/>
        </w:rPr>
        <w:instrText xml:space="preserve"> :End:JKD_PB1 </w:instrText>
      </w:r>
      <w:r w:rsidRPr="00F6273C">
        <w:rPr>
          <w:color w:val="FF0000"/>
        </w:rPr>
        <w:fldChar w:fldCharType="end"/>
      </w:r>
    </w:p>
    <w:p w14:paraId="083BCBD2" w14:textId="70254FA5" w:rsidR="00F06F46" w:rsidRPr="00F6273C" w:rsidRDefault="008616BD" w:rsidP="00F06F46">
      <w:pPr>
        <w:pStyle w:val="Bullet"/>
        <w:numPr>
          <w:ilvl w:val="0"/>
          <w:numId w:val="0"/>
        </w:numPr>
      </w:pPr>
      <w:r w:rsidRPr="00F6273C">
        <w:rPr>
          <w:color w:val="0000FF"/>
        </w:rPr>
        <w:fldChar w:fldCharType="begin"/>
      </w:r>
      <w:r w:rsidRPr="00F6273C">
        <w:rPr>
          <w:color w:val="0000FF"/>
        </w:rPr>
        <w:instrText xml:space="preserve"> :Start:JKD_PB2 </w:instrText>
      </w:r>
      <w:r w:rsidRPr="00F6273C">
        <w:rPr>
          <w:color w:val="0000FF"/>
        </w:rPr>
        <w:fldChar w:fldCharType="end"/>
      </w:r>
      <w:r w:rsidR="00B12967" w:rsidRPr="00F6273C">
        <w:t xml:space="preserve">At the end of June, </w:t>
      </w:r>
      <w:r w:rsidR="00F06F46" w:rsidRPr="00F6273C">
        <w:t xml:space="preserve">Treasury </w:t>
      </w:r>
      <w:r w:rsidR="00B12967" w:rsidRPr="00F6273C">
        <w:t>concluded</w:t>
      </w:r>
      <w:r w:rsidR="00F06F46" w:rsidRPr="00F6273C">
        <w:t xml:space="preserve"> a review into the operation and effectiveness of the </w:t>
      </w:r>
      <w:proofErr w:type="spellStart"/>
      <w:r w:rsidR="00F06F46" w:rsidRPr="00F6273C">
        <w:t>JobKeeper</w:t>
      </w:r>
      <w:proofErr w:type="spellEnd"/>
      <w:r w:rsidR="00F06F46" w:rsidRPr="00F6273C">
        <w:t> Payment</w:t>
      </w:r>
      <w:r w:rsidR="00C023BD" w:rsidRPr="00F6273C">
        <w:t xml:space="preserve"> (Box </w:t>
      </w:r>
      <w:r w:rsidR="00B12967" w:rsidRPr="00F6273C">
        <w:t>1.1</w:t>
      </w:r>
      <w:r w:rsidR="00C023BD" w:rsidRPr="00F6273C">
        <w:t>)</w:t>
      </w:r>
      <w:r w:rsidR="00F06F46" w:rsidRPr="00F6273C">
        <w:t xml:space="preserve">. The review found that the </w:t>
      </w:r>
      <w:proofErr w:type="spellStart"/>
      <w:r w:rsidR="00F06F46" w:rsidRPr="00F6273C">
        <w:t>JobKeeper</w:t>
      </w:r>
      <w:proofErr w:type="spellEnd"/>
      <w:r w:rsidR="00F06F46" w:rsidRPr="00F6273C">
        <w:t xml:space="preserve"> Payment is meeting its objectives</w:t>
      </w:r>
      <w:r w:rsidR="006B2A22" w:rsidRPr="00F6273C">
        <w:t xml:space="preserve"> — </w:t>
      </w:r>
      <w:r w:rsidR="00F06F46" w:rsidRPr="00F6273C">
        <w:t xml:space="preserve">it has been instrumental in supporting job retention, maintaining employment links and business cash flow, as well as providing income support to eligible employees. </w:t>
      </w:r>
      <w:r w:rsidRPr="00F6273C">
        <w:rPr>
          <w:color w:val="FF0000"/>
        </w:rPr>
        <w:fldChar w:fldCharType="begin"/>
      </w:r>
      <w:r w:rsidRPr="00F6273C">
        <w:rPr>
          <w:color w:val="FF0000"/>
        </w:rPr>
        <w:instrText xml:space="preserve"> :End:JKD_PB2 </w:instrText>
      </w:r>
      <w:r w:rsidRPr="00F6273C">
        <w:rPr>
          <w:color w:val="FF0000"/>
        </w:rPr>
        <w:fldChar w:fldCharType="end"/>
      </w:r>
    </w:p>
    <w:p w14:paraId="5CE5AD0B" w14:textId="5B2AD9C3" w:rsidR="00C64757" w:rsidRPr="00F6273C" w:rsidRDefault="008616BD" w:rsidP="00F06F46">
      <w:r w:rsidRPr="00F6273C">
        <w:rPr>
          <w:color w:val="0000FF"/>
        </w:rPr>
        <w:fldChar w:fldCharType="begin"/>
      </w:r>
      <w:r w:rsidRPr="00F6273C">
        <w:rPr>
          <w:color w:val="0000FF"/>
        </w:rPr>
        <w:instrText xml:space="preserve"> :Start:JKD_PB1 </w:instrText>
      </w:r>
      <w:r w:rsidRPr="00F6273C">
        <w:rPr>
          <w:color w:val="0000FF"/>
        </w:rPr>
        <w:fldChar w:fldCharType="end"/>
      </w:r>
      <w:r w:rsidR="00B12967" w:rsidRPr="00F6273C">
        <w:t>On 21 July 2020, the Government announced the</w:t>
      </w:r>
      <w:r w:rsidR="00F06F46" w:rsidRPr="00F6273C">
        <w:t xml:space="preserve"> </w:t>
      </w:r>
      <w:proofErr w:type="spellStart"/>
      <w:r w:rsidR="00F06F46" w:rsidRPr="00F6273C">
        <w:t>JobKeeper</w:t>
      </w:r>
      <w:proofErr w:type="spellEnd"/>
      <w:r w:rsidR="00F06F46" w:rsidRPr="00F6273C">
        <w:t xml:space="preserve"> Payment </w:t>
      </w:r>
      <w:proofErr w:type="gramStart"/>
      <w:r w:rsidR="00F06F46" w:rsidRPr="00F6273C">
        <w:t>will</w:t>
      </w:r>
      <w:proofErr w:type="gramEnd"/>
      <w:r w:rsidR="00F06F46" w:rsidRPr="00F6273C">
        <w:t xml:space="preserve"> be extended to provide continued support until 28 March 2021, </w:t>
      </w:r>
      <w:r w:rsidR="00944CCA" w:rsidRPr="00F6273C">
        <w:t>with</w:t>
      </w:r>
      <w:r w:rsidR="00D4495C" w:rsidRPr="00F6273C">
        <w:t xml:space="preserve"> the Payment </w:t>
      </w:r>
      <w:r w:rsidR="00944CCA" w:rsidRPr="00F6273C">
        <w:t>targeted</w:t>
      </w:r>
      <w:r w:rsidR="00D4495C" w:rsidRPr="00F6273C">
        <w:t xml:space="preserve"> to </w:t>
      </w:r>
      <w:r w:rsidR="00F06F46" w:rsidRPr="00F6273C">
        <w:t xml:space="preserve">those businesses </w:t>
      </w:r>
      <w:r w:rsidR="00D4495C" w:rsidRPr="00F6273C">
        <w:t xml:space="preserve">that continue to be </w:t>
      </w:r>
      <w:r w:rsidR="00F06F46" w:rsidRPr="00F6273C">
        <w:t>most significantly affe</w:t>
      </w:r>
      <w:r w:rsidR="00D91810" w:rsidRPr="00F6273C">
        <w:t xml:space="preserve">cted by the economic downturn. </w:t>
      </w:r>
      <w:r w:rsidR="00D4495C" w:rsidRPr="00F6273C">
        <w:t xml:space="preserve">The level of the </w:t>
      </w:r>
      <w:proofErr w:type="spellStart"/>
      <w:r w:rsidR="00D4495C" w:rsidRPr="00F6273C">
        <w:t>JobKeeper</w:t>
      </w:r>
      <w:proofErr w:type="spellEnd"/>
      <w:r w:rsidR="00D4495C" w:rsidRPr="00F6273C">
        <w:t xml:space="preserve"> Payment </w:t>
      </w:r>
      <w:proofErr w:type="gramStart"/>
      <w:r w:rsidR="00D4495C" w:rsidRPr="00F6273C">
        <w:t xml:space="preserve">will be </w:t>
      </w:r>
      <w:r w:rsidR="00944CCA" w:rsidRPr="00F6273C">
        <w:t>tapered</w:t>
      </w:r>
      <w:proofErr w:type="gramEnd"/>
      <w:r w:rsidR="00E41CFE" w:rsidRPr="00F6273C">
        <w:t xml:space="preserve"> </w:t>
      </w:r>
      <w:r w:rsidR="00D4495C" w:rsidRPr="00F6273C">
        <w:t>in the December</w:t>
      </w:r>
      <w:r w:rsidR="00944CCA" w:rsidRPr="00F6273C">
        <w:t xml:space="preserve"> 2020 </w:t>
      </w:r>
      <w:r w:rsidR="00D4495C" w:rsidRPr="00F6273C">
        <w:t>and March</w:t>
      </w:r>
      <w:r w:rsidR="00D72C33" w:rsidRPr="00F6273C">
        <w:t> </w:t>
      </w:r>
      <w:r w:rsidR="00944CCA" w:rsidRPr="00F6273C">
        <w:t>2021</w:t>
      </w:r>
      <w:r w:rsidR="00D4495C" w:rsidRPr="00F6273C">
        <w:t xml:space="preserve"> </w:t>
      </w:r>
      <w:r w:rsidR="00600062" w:rsidRPr="00F6273C">
        <w:t>q</w:t>
      </w:r>
      <w:r w:rsidR="00D4495C" w:rsidRPr="00F6273C">
        <w:t xml:space="preserve">uarters to </w:t>
      </w:r>
      <w:r w:rsidR="00944CCA" w:rsidRPr="00F6273C">
        <w:t xml:space="preserve">enable </w:t>
      </w:r>
      <w:r w:rsidR="00D4495C" w:rsidRPr="00F6273C">
        <w:t xml:space="preserve">businesses to </w:t>
      </w:r>
      <w:r w:rsidR="00944CCA" w:rsidRPr="00F6273C">
        <w:t xml:space="preserve">transition towards </w:t>
      </w:r>
      <w:r w:rsidR="00D4495C" w:rsidRPr="00F6273C">
        <w:t>their long</w:t>
      </w:r>
      <w:r w:rsidR="006B2A22" w:rsidRPr="00F6273C">
        <w:noBreakHyphen/>
      </w:r>
      <w:r w:rsidR="00D4495C" w:rsidRPr="00F6273C">
        <w:t xml:space="preserve">term </w:t>
      </w:r>
      <w:r w:rsidR="00DA315B" w:rsidRPr="00F6273C">
        <w:t>recovery</w:t>
      </w:r>
      <w:r w:rsidR="00D4495C" w:rsidRPr="00F6273C">
        <w:t xml:space="preserve">. </w:t>
      </w:r>
    </w:p>
    <w:p w14:paraId="76BE536C" w14:textId="5193911F" w:rsidR="00F06F46" w:rsidRPr="00F6273C" w:rsidRDefault="00F06F46" w:rsidP="00F06F46">
      <w:r w:rsidRPr="00F6273C">
        <w:t>A two</w:t>
      </w:r>
      <w:r w:rsidR="006B2A22" w:rsidRPr="00F6273C">
        <w:noBreakHyphen/>
      </w:r>
      <w:r w:rsidRPr="00F6273C">
        <w:t xml:space="preserve">tiered payment </w:t>
      </w:r>
      <w:proofErr w:type="gramStart"/>
      <w:r w:rsidRPr="00F6273C">
        <w:t>will also be introduced</w:t>
      </w:r>
      <w:proofErr w:type="gramEnd"/>
      <w:r w:rsidRPr="00F6273C">
        <w:t xml:space="preserve"> from 28 September, to better match the Payment with the incomes of employees</w:t>
      </w:r>
      <w:r w:rsidR="006B0351" w:rsidRPr="00F6273C">
        <w:t xml:space="preserve"> before the onset of </w:t>
      </w:r>
      <w:r w:rsidR="00944CCA" w:rsidRPr="00F6273C">
        <w:t>COVID</w:t>
      </w:r>
      <w:r w:rsidR="006B2A22" w:rsidRPr="00F6273C">
        <w:noBreakHyphen/>
      </w:r>
      <w:r w:rsidR="00944CCA" w:rsidRPr="00F6273C">
        <w:t>19</w:t>
      </w:r>
      <w:r w:rsidR="00F21D2E">
        <w:t>.</w:t>
      </w:r>
    </w:p>
    <w:p w14:paraId="19EA1CD9" w14:textId="65D46430" w:rsidR="00565BE0" w:rsidRPr="00F6273C" w:rsidRDefault="00944CCA" w:rsidP="000E22D5">
      <w:r w:rsidRPr="00F6273C">
        <w:t xml:space="preserve">It </w:t>
      </w:r>
      <w:proofErr w:type="gramStart"/>
      <w:r w:rsidRPr="00F6273C">
        <w:t>is estimated</w:t>
      </w:r>
      <w:proofErr w:type="gramEnd"/>
      <w:r w:rsidRPr="00F6273C">
        <w:t xml:space="preserve"> that the total cost of the </w:t>
      </w:r>
      <w:proofErr w:type="spellStart"/>
      <w:r w:rsidRPr="00F6273C">
        <w:t>JobKeeper</w:t>
      </w:r>
      <w:proofErr w:type="spellEnd"/>
      <w:r w:rsidRPr="00F6273C">
        <w:t xml:space="preserve"> Payment will </w:t>
      </w:r>
      <w:r w:rsidR="00B12967" w:rsidRPr="00F6273C">
        <w:t xml:space="preserve">now </w:t>
      </w:r>
      <w:r w:rsidRPr="00F6273C">
        <w:t>be $</w:t>
      </w:r>
      <w:r w:rsidR="00B12967" w:rsidRPr="00F6273C">
        <w:t>85.7</w:t>
      </w:r>
      <w:r w:rsidRPr="00F6273C">
        <w:t xml:space="preserve"> billion </w:t>
      </w:r>
      <w:r w:rsidR="00B12967" w:rsidRPr="00F6273C">
        <w:t>over 2019</w:t>
      </w:r>
      <w:r w:rsidR="006B2A22" w:rsidRPr="00F6273C">
        <w:noBreakHyphen/>
      </w:r>
      <w:r w:rsidR="00D63A67" w:rsidRPr="00F6273C">
        <w:t>20 and 2020</w:t>
      </w:r>
      <w:r w:rsidR="006B2A22" w:rsidRPr="00F6273C">
        <w:noBreakHyphen/>
      </w:r>
      <w:r w:rsidR="00D63A67" w:rsidRPr="00F6273C">
        <w:t>21</w:t>
      </w:r>
      <w:r w:rsidR="006B2A22" w:rsidRPr="00F6273C">
        <w:t xml:space="preserve">. </w:t>
      </w:r>
      <w:r w:rsidR="00F76775" w:rsidRPr="00F6273C">
        <w:rPr>
          <w:color w:val="FF0000"/>
        </w:rPr>
        <w:fldChar w:fldCharType="begin"/>
      </w:r>
      <w:r w:rsidR="00F76775" w:rsidRPr="00F6273C">
        <w:rPr>
          <w:color w:val="FF0000"/>
        </w:rPr>
        <w:instrText xml:space="preserve"> :End:JKD_PB1 </w:instrText>
      </w:r>
      <w:r w:rsidR="00F76775" w:rsidRPr="00F6273C">
        <w:rPr>
          <w:color w:val="FF0000"/>
        </w:rPr>
        <w:fldChar w:fldCharType="end"/>
      </w:r>
    </w:p>
    <w:tbl>
      <w:tblPr>
        <w:tblW w:w="5000" w:type="pct"/>
        <w:shd w:val="clear" w:color="auto" w:fill="EBEBEB"/>
        <w:tblLayout w:type="fixed"/>
        <w:tblLook w:val="0000" w:firstRow="0" w:lastRow="0" w:firstColumn="0" w:lastColumn="0" w:noHBand="0" w:noVBand="0"/>
      </w:tblPr>
      <w:tblGrid>
        <w:gridCol w:w="7710"/>
      </w:tblGrid>
      <w:tr w:rsidR="00BE1626" w:rsidRPr="00F6273C" w14:paraId="207C607D" w14:textId="77777777" w:rsidTr="00AC107F">
        <w:trPr>
          <w:cantSplit/>
          <w:trHeight w:val="9081"/>
        </w:trPr>
        <w:tc>
          <w:tcPr>
            <w:tcW w:w="7710" w:type="dxa"/>
            <w:shd w:val="clear" w:color="auto" w:fill="EBEBEB"/>
          </w:tcPr>
          <w:p w14:paraId="239013C3" w14:textId="38B6E895" w:rsidR="00F06F46" w:rsidRPr="00F6273C" w:rsidRDefault="00562703" w:rsidP="00AC107F">
            <w:pPr>
              <w:pStyle w:val="BoxHeading"/>
            </w:pPr>
            <w:r w:rsidRPr="00F6273C">
              <w:rPr>
                <w:color w:val="0000FF"/>
              </w:rPr>
              <w:lastRenderedPageBreak/>
              <w:fldChar w:fldCharType="begin"/>
            </w:r>
            <w:r w:rsidRPr="00F6273C">
              <w:rPr>
                <w:color w:val="0000FF"/>
              </w:rPr>
              <w:instrText xml:space="preserve"> :Start:JKD_PB2 </w:instrText>
            </w:r>
            <w:r w:rsidRPr="00F6273C">
              <w:rPr>
                <w:color w:val="0000FF"/>
              </w:rPr>
              <w:fldChar w:fldCharType="end"/>
            </w:r>
            <w:r w:rsidR="008643DE" w:rsidRPr="00F6273C">
              <w:t>B</w:t>
            </w:r>
            <w:r w:rsidR="00405634" w:rsidRPr="00F6273C">
              <w:t>ox</w:t>
            </w:r>
            <w:r w:rsidR="008643DE" w:rsidRPr="00F6273C">
              <w:t xml:space="preserve"> </w:t>
            </w:r>
            <w:r w:rsidRPr="00F6273C">
              <w:t>1</w:t>
            </w:r>
            <w:r w:rsidR="00AC107F" w:rsidRPr="00F6273C">
              <w:t>.1</w:t>
            </w:r>
            <w:r w:rsidR="008643DE" w:rsidRPr="00F6273C">
              <w:t xml:space="preserve">: </w:t>
            </w:r>
            <w:r w:rsidR="00F06F46" w:rsidRPr="00F6273C">
              <w:t xml:space="preserve">Key findings of the </w:t>
            </w:r>
            <w:proofErr w:type="spellStart"/>
            <w:r w:rsidR="00F06F46" w:rsidRPr="00F6273C">
              <w:t>JobKeeper</w:t>
            </w:r>
            <w:proofErr w:type="spellEnd"/>
            <w:r w:rsidR="000E22D5">
              <w:t xml:space="preserve"> Payment</w:t>
            </w:r>
            <w:r w:rsidR="00F06F46" w:rsidRPr="00F6273C">
              <w:t xml:space="preserve"> </w:t>
            </w:r>
            <w:r w:rsidR="00731D6C" w:rsidRPr="00F6273C">
              <w:t>r</w:t>
            </w:r>
            <w:r w:rsidR="00F06F46" w:rsidRPr="00F6273C">
              <w:t>eview</w:t>
            </w:r>
            <w:r w:rsidRPr="00F6273C">
              <w:rPr>
                <w:color w:val="FF0000"/>
              </w:rPr>
              <w:fldChar w:fldCharType="begin"/>
            </w:r>
            <w:r w:rsidRPr="00F6273C">
              <w:rPr>
                <w:color w:val="FF0000"/>
              </w:rPr>
              <w:instrText xml:space="preserve"> :End:JKD_PB2 </w:instrText>
            </w:r>
            <w:r w:rsidRPr="00F6273C">
              <w:rPr>
                <w:color w:val="FF0000"/>
              </w:rPr>
              <w:fldChar w:fldCharType="end"/>
            </w:r>
          </w:p>
          <w:p w14:paraId="6952E79E" w14:textId="23961F9E" w:rsidR="00F06F46" w:rsidRPr="00F6273C" w:rsidRDefault="00562703" w:rsidP="00AC107F">
            <w:pPr>
              <w:pStyle w:val="BoxText"/>
            </w:pPr>
            <w:r w:rsidRPr="00F6273C">
              <w:rPr>
                <w:color w:val="0000FF"/>
              </w:rPr>
              <w:fldChar w:fldCharType="begin"/>
            </w:r>
            <w:r w:rsidRPr="00F6273C">
              <w:rPr>
                <w:color w:val="0000FF"/>
              </w:rPr>
              <w:instrText xml:space="preserve"> :Start:JKD_PB2 </w:instrText>
            </w:r>
            <w:r w:rsidRPr="00F6273C">
              <w:rPr>
                <w:color w:val="0000FF"/>
              </w:rPr>
              <w:fldChar w:fldCharType="end"/>
            </w:r>
            <w:r w:rsidR="00F06F46" w:rsidRPr="00F6273C">
              <w:t xml:space="preserve">The </w:t>
            </w:r>
            <w:proofErr w:type="spellStart"/>
            <w:r w:rsidR="00F06F46" w:rsidRPr="00F6273C">
              <w:t>JobKeeper</w:t>
            </w:r>
            <w:proofErr w:type="spellEnd"/>
            <w:r w:rsidR="00F06F46" w:rsidRPr="00F6273C">
              <w:t xml:space="preserve"> Payment </w:t>
            </w:r>
            <w:proofErr w:type="gramStart"/>
            <w:r w:rsidR="00F06F46" w:rsidRPr="00F6273C">
              <w:t>was introduced</w:t>
            </w:r>
            <w:proofErr w:type="gramEnd"/>
            <w:r w:rsidR="00F06F46" w:rsidRPr="00F6273C">
              <w:t xml:space="preserve"> on 30 March 2020 </w:t>
            </w:r>
            <w:r w:rsidR="00823887" w:rsidRPr="00F6273C">
              <w:t xml:space="preserve">to address the labour market impacts of the health restrictions being imposed to contain </w:t>
            </w:r>
            <w:r w:rsidR="001B5949" w:rsidRPr="00F6273C">
              <w:t>COVID</w:t>
            </w:r>
            <w:r w:rsidR="006B2A22" w:rsidRPr="00F6273C">
              <w:noBreakHyphen/>
            </w:r>
            <w:r w:rsidR="001B5949" w:rsidRPr="00F6273C">
              <w:t>19</w:t>
            </w:r>
            <w:r w:rsidR="00F06F46" w:rsidRPr="00F6273C">
              <w:t xml:space="preserve">. It </w:t>
            </w:r>
            <w:proofErr w:type="gramStart"/>
            <w:r w:rsidR="00F06F46" w:rsidRPr="00F6273C">
              <w:t>was reviewed</w:t>
            </w:r>
            <w:proofErr w:type="gramEnd"/>
            <w:r w:rsidR="00F06F46" w:rsidRPr="00F6273C">
              <w:t xml:space="preserve"> after three months of operation. The </w:t>
            </w:r>
            <w:r w:rsidR="00731D6C" w:rsidRPr="00F6273C">
              <w:t>r</w:t>
            </w:r>
            <w:r w:rsidR="00F06F46" w:rsidRPr="00F6273C">
              <w:t xml:space="preserve">eview found that the </w:t>
            </w:r>
            <w:proofErr w:type="spellStart"/>
            <w:r w:rsidR="00F06F46" w:rsidRPr="00F6273C">
              <w:t>JobKeeper</w:t>
            </w:r>
            <w:proofErr w:type="spellEnd"/>
            <w:r w:rsidR="00F06F46" w:rsidRPr="00F6273C">
              <w:t xml:space="preserve"> Payment is meeting its objectives. </w:t>
            </w:r>
          </w:p>
          <w:p w14:paraId="2C8C990D" w14:textId="26FB9114" w:rsidR="00F06F46" w:rsidRPr="00F6273C" w:rsidRDefault="00F06F46" w:rsidP="00AC107F">
            <w:pPr>
              <w:pStyle w:val="BoxBullet"/>
            </w:pPr>
            <w:r w:rsidRPr="00F6273C">
              <w:t xml:space="preserve">The Payment has provided support to organisations and individuals across all sectors and all parts of the country. </w:t>
            </w:r>
            <w:proofErr w:type="gramStart"/>
            <w:r w:rsidRPr="00F6273C">
              <w:t xml:space="preserve">It has been well targeted, going to businesses that experienced an average decline in turnover in April 2020 of 37 per cent against the same month </w:t>
            </w:r>
            <w:r w:rsidR="00DA315B" w:rsidRPr="00F6273C">
              <w:t>of the</w:t>
            </w:r>
            <w:r w:rsidRPr="00F6273C">
              <w:t xml:space="preserve"> previous</w:t>
            </w:r>
            <w:r w:rsidR="00DA315B" w:rsidRPr="00F6273C">
              <w:t xml:space="preserve"> year</w:t>
            </w:r>
            <w:r w:rsidR="00F50D19" w:rsidRPr="00F6273C">
              <w:t xml:space="preserve"> (compared with a 4 per cent decline for other businesses)</w:t>
            </w:r>
            <w:r w:rsidR="00D63A67" w:rsidRPr="00F6273C">
              <w:t>,</w:t>
            </w:r>
            <w:r w:rsidRPr="00F6273C">
              <w:t xml:space="preserve"> and it went to businesses at which the job separation rate had doubled following the introduction of operating restrictions</w:t>
            </w:r>
            <w:r w:rsidR="00D63A67" w:rsidRPr="00F6273C">
              <w:t xml:space="preserve"> (compared with no change in other businesses)</w:t>
            </w:r>
            <w:r w:rsidR="00823887" w:rsidRPr="00F6273C">
              <w:t>.</w:t>
            </w:r>
            <w:proofErr w:type="gramEnd"/>
          </w:p>
          <w:p w14:paraId="28D85CD8" w14:textId="448ED83C" w:rsidR="00F06F46" w:rsidRPr="00F6273C" w:rsidRDefault="00F06F46" w:rsidP="00AC107F">
            <w:pPr>
              <w:pStyle w:val="BoxBullet"/>
            </w:pPr>
            <w:r w:rsidRPr="00F6273C">
              <w:t xml:space="preserve">In combination with other fiscal support, bank forbearance and temporary law changes, </w:t>
            </w:r>
            <w:r w:rsidR="00D63A67" w:rsidRPr="00F6273C">
              <w:t xml:space="preserve">the </w:t>
            </w:r>
            <w:proofErr w:type="spellStart"/>
            <w:r w:rsidRPr="00F6273C">
              <w:t>JobKeeper</w:t>
            </w:r>
            <w:proofErr w:type="spellEnd"/>
            <w:r w:rsidR="00D63A67" w:rsidRPr="00F6273C">
              <w:t xml:space="preserve"> Payment</w:t>
            </w:r>
            <w:r w:rsidRPr="00F6273C">
              <w:t xml:space="preserve"> has supported businesses to stay open and survive. There </w:t>
            </w:r>
            <w:r w:rsidR="0067567C" w:rsidRPr="00F6273C">
              <w:t xml:space="preserve">has been </w:t>
            </w:r>
            <w:r w:rsidRPr="00F6273C">
              <w:t xml:space="preserve">no evidence of widespread business closures during the </w:t>
            </w:r>
            <w:r w:rsidR="001B5949" w:rsidRPr="00F6273C">
              <w:t>COVID</w:t>
            </w:r>
            <w:r w:rsidR="006B2A22" w:rsidRPr="00F6273C">
              <w:noBreakHyphen/>
            </w:r>
            <w:r w:rsidR="001B5949" w:rsidRPr="00F6273C">
              <w:t>19 pandemic</w:t>
            </w:r>
            <w:r w:rsidRPr="00F6273C">
              <w:t>.</w:t>
            </w:r>
          </w:p>
          <w:p w14:paraId="0F6E8B23" w14:textId="70DED411" w:rsidR="00F06F46" w:rsidRPr="00F6273C" w:rsidRDefault="00F06F46" w:rsidP="00AC107F">
            <w:pPr>
              <w:pStyle w:val="BoxBullet"/>
            </w:pPr>
            <w:r w:rsidRPr="00F6273C">
              <w:t xml:space="preserve">By providing employers with a subsidy to keep on workers and reduce business costs, </w:t>
            </w:r>
            <w:r w:rsidR="00D63A67" w:rsidRPr="00F6273C">
              <w:t xml:space="preserve">the Payment </w:t>
            </w:r>
            <w:r w:rsidRPr="00F6273C">
              <w:t>has kept jobs in place</w:t>
            </w:r>
            <w:r w:rsidR="002D0776" w:rsidRPr="00F6273C">
              <w:t xml:space="preserve"> </w:t>
            </w:r>
            <w:r w:rsidRPr="00F6273C">
              <w:t>and maintained the links between employees and their employers.</w:t>
            </w:r>
            <w:r w:rsidR="00280C72" w:rsidRPr="00F6273C">
              <w:t xml:space="preserve"> During the June quarter, around three</w:t>
            </w:r>
            <w:r w:rsidR="006B2A22" w:rsidRPr="00F6273C">
              <w:noBreakHyphen/>
            </w:r>
            <w:r w:rsidR="00280C72" w:rsidRPr="00F6273C">
              <w:t xml:space="preserve">quarters of the payments under the program </w:t>
            </w:r>
            <w:r w:rsidR="00600062" w:rsidRPr="00F6273C">
              <w:t>constituted</w:t>
            </w:r>
            <w:r w:rsidR="00280C72" w:rsidRPr="00F6273C">
              <w:t xml:space="preserve"> a wage subsidy to business</w:t>
            </w:r>
            <w:r w:rsidR="0051470B" w:rsidRPr="00F6273C">
              <w:t>es</w:t>
            </w:r>
            <w:r w:rsidR="00280C72" w:rsidRPr="00F6273C">
              <w:t xml:space="preserve"> and around one</w:t>
            </w:r>
            <w:r w:rsidR="006B2A22" w:rsidRPr="00F6273C">
              <w:noBreakHyphen/>
            </w:r>
            <w:r w:rsidR="00280C72" w:rsidRPr="00F6273C">
              <w:t>quarter provided direct income support to individuals.</w:t>
            </w:r>
            <w:r w:rsidRPr="00F6273C">
              <w:t xml:space="preserve"> Since its introduction, the rate of decline in employment has slowed, then stabilised, and </w:t>
            </w:r>
            <w:r w:rsidR="00280C72" w:rsidRPr="00F6273C">
              <w:t>by June</w:t>
            </w:r>
            <w:r w:rsidRPr="00F6273C">
              <w:t xml:space="preserve"> was showing tentative signs of recovery. </w:t>
            </w:r>
          </w:p>
          <w:p w14:paraId="1EDC67D4" w14:textId="17971D82" w:rsidR="00F06F46" w:rsidRPr="00F6273C" w:rsidRDefault="00623DB5" w:rsidP="00AC107F">
            <w:pPr>
              <w:pStyle w:val="BoxText"/>
            </w:pPr>
            <w:r w:rsidRPr="00F6273C">
              <w:t>T</w:t>
            </w:r>
            <w:r w:rsidR="0067567C" w:rsidRPr="00F6273C">
              <w:t xml:space="preserve">he </w:t>
            </w:r>
            <w:r w:rsidR="00F06F46" w:rsidRPr="00F6273C">
              <w:t xml:space="preserve">review </w:t>
            </w:r>
            <w:r w:rsidR="0067567C" w:rsidRPr="00F6273C">
              <w:t xml:space="preserve">also </w:t>
            </w:r>
            <w:r w:rsidR="00F06F46" w:rsidRPr="00F6273C">
              <w:t>found that</w:t>
            </w:r>
            <w:r w:rsidR="0067567C" w:rsidRPr="00F6273C">
              <w:t xml:space="preserve"> the</w:t>
            </w:r>
            <w:r w:rsidR="00F06F46" w:rsidRPr="00F6273C">
              <w:t xml:space="preserve"> </w:t>
            </w:r>
            <w:proofErr w:type="spellStart"/>
            <w:r w:rsidR="00F06F46" w:rsidRPr="00F6273C">
              <w:t>JobKeeper</w:t>
            </w:r>
            <w:proofErr w:type="spellEnd"/>
            <w:r w:rsidR="0067567C" w:rsidRPr="00F6273C">
              <w:t xml:space="preserve"> Payment</w:t>
            </w:r>
            <w:r w:rsidR="00F06F46" w:rsidRPr="00F6273C">
              <w:t xml:space="preserve"> has a number of features that</w:t>
            </w:r>
            <w:r w:rsidR="00280C72" w:rsidRPr="00F6273C">
              <w:t xml:space="preserve"> may</w:t>
            </w:r>
            <w:r w:rsidR="00F06F46" w:rsidRPr="00F6273C">
              <w:t xml:space="preserve"> create </w:t>
            </w:r>
            <w:r w:rsidR="00216F49" w:rsidRPr="00F6273C">
              <w:t>some dis</w:t>
            </w:r>
            <w:r w:rsidR="00F06F46" w:rsidRPr="00F6273C">
              <w:t>incentives</w:t>
            </w:r>
            <w:r w:rsidR="006B2A22" w:rsidRPr="00F6273C">
              <w:t xml:space="preserve"> — </w:t>
            </w:r>
            <w:r w:rsidR="00F06F46" w:rsidRPr="00F6273C">
              <w:t xml:space="preserve">for example, </w:t>
            </w:r>
            <w:r w:rsidR="00D64108" w:rsidRPr="00F6273C">
              <w:t>dampening</w:t>
            </w:r>
            <w:r w:rsidR="00F06F46" w:rsidRPr="00F6273C">
              <w:t xml:space="preserve"> incentives</w:t>
            </w:r>
            <w:r w:rsidR="00D64108" w:rsidRPr="00F6273C">
              <w:t xml:space="preserve"> for some employees to work and for some businesses to consider their long</w:t>
            </w:r>
            <w:r w:rsidR="006B2A22" w:rsidRPr="00F6273C">
              <w:noBreakHyphen/>
            </w:r>
            <w:r w:rsidR="00D64108" w:rsidRPr="00F6273C">
              <w:t>term viability</w:t>
            </w:r>
            <w:r w:rsidR="00F06F46" w:rsidRPr="00F6273C">
              <w:t>.</w:t>
            </w:r>
            <w:r w:rsidR="00D64108" w:rsidRPr="00F6273C">
              <w:t xml:space="preserve"> </w:t>
            </w:r>
            <w:r w:rsidRPr="00F6273C">
              <w:t xml:space="preserve">While these </w:t>
            </w:r>
            <w:r w:rsidR="00216F49" w:rsidRPr="00F6273C">
              <w:t>are</w:t>
            </w:r>
            <w:r w:rsidR="00D64108" w:rsidRPr="00F6273C">
              <w:t xml:space="preserve"> unlikely to be significant in the short term</w:t>
            </w:r>
            <w:r w:rsidR="00216F49" w:rsidRPr="00F6273C">
              <w:t xml:space="preserve">, </w:t>
            </w:r>
            <w:r w:rsidRPr="00F6273C">
              <w:t xml:space="preserve">the </w:t>
            </w:r>
            <w:r w:rsidR="00731D6C" w:rsidRPr="00F6273C">
              <w:t>r</w:t>
            </w:r>
            <w:r w:rsidRPr="00F6273C">
              <w:t xml:space="preserve">eview considered that </w:t>
            </w:r>
            <w:r w:rsidR="00216F49" w:rsidRPr="00F6273C">
              <w:t>they</w:t>
            </w:r>
            <w:r w:rsidRPr="00F6273C">
              <w:t xml:space="preserve"> are likely to</w:t>
            </w:r>
            <w:r w:rsidR="00216F49" w:rsidRPr="00F6273C">
              <w:t xml:space="preserve"> </w:t>
            </w:r>
            <w:proofErr w:type="gramStart"/>
            <w:r w:rsidR="00216F49" w:rsidRPr="00F6273C">
              <w:t xml:space="preserve">become </w:t>
            </w:r>
            <w:r w:rsidR="00D64108" w:rsidRPr="00F6273C">
              <w:t>more pronounced</w:t>
            </w:r>
            <w:proofErr w:type="gramEnd"/>
            <w:r w:rsidR="00D64108" w:rsidRPr="00F6273C">
              <w:t xml:space="preserve"> the longer the program runs.</w:t>
            </w:r>
          </w:p>
          <w:p w14:paraId="62B3A2E0" w14:textId="1E51F199" w:rsidR="00621CC0" w:rsidRPr="00F6273C" w:rsidRDefault="00216F49" w:rsidP="00AC107F">
            <w:pPr>
              <w:pStyle w:val="BoxText"/>
            </w:pPr>
            <w:r w:rsidRPr="00F6273C">
              <w:t>T</w:t>
            </w:r>
            <w:r w:rsidR="00F06F46" w:rsidRPr="00F6273C">
              <w:t xml:space="preserve">he review found that there is a strong case for continued </w:t>
            </w:r>
            <w:r w:rsidRPr="00F6273C">
              <w:t xml:space="preserve">temporary </w:t>
            </w:r>
            <w:r w:rsidR="00F06F46" w:rsidRPr="00F6273C">
              <w:t xml:space="preserve">support to </w:t>
            </w:r>
            <w:proofErr w:type="gramStart"/>
            <w:r w:rsidR="00F06F46" w:rsidRPr="00F6273C">
              <w:t>be provided</w:t>
            </w:r>
            <w:proofErr w:type="gramEnd"/>
            <w:r w:rsidR="00F06F46" w:rsidRPr="00F6273C">
              <w:t xml:space="preserve"> </w:t>
            </w:r>
            <w:r w:rsidR="00280C72" w:rsidRPr="00F6273C">
              <w:t>through</w:t>
            </w:r>
            <w:r w:rsidRPr="00F6273C">
              <w:t xml:space="preserve"> the</w:t>
            </w:r>
            <w:r w:rsidR="00280C72" w:rsidRPr="00F6273C">
              <w:t xml:space="preserve"> </w:t>
            </w:r>
            <w:proofErr w:type="spellStart"/>
            <w:r w:rsidR="00F06F46" w:rsidRPr="00F6273C">
              <w:t>JobKeeper</w:t>
            </w:r>
            <w:proofErr w:type="spellEnd"/>
            <w:r w:rsidR="00F06F46" w:rsidRPr="00F6273C">
              <w:t xml:space="preserve"> Payment, </w:t>
            </w:r>
            <w:r w:rsidR="002D0776" w:rsidRPr="00F6273C">
              <w:t>to give</w:t>
            </w:r>
            <w:r w:rsidR="00F06F46" w:rsidRPr="00F6273C">
              <w:t xml:space="preserve"> businesses most affected by ongoing health restrictions and the </w:t>
            </w:r>
            <w:r w:rsidR="005828C1" w:rsidRPr="00F6273C">
              <w:t>economic impact of the COVID</w:t>
            </w:r>
            <w:r w:rsidR="006B2A22" w:rsidRPr="00F6273C">
              <w:noBreakHyphen/>
            </w:r>
            <w:r w:rsidR="005828C1" w:rsidRPr="00F6273C">
              <w:t xml:space="preserve">19 pandemic </w:t>
            </w:r>
            <w:r w:rsidR="00F06F46" w:rsidRPr="00F6273C">
              <w:t xml:space="preserve">some additional </w:t>
            </w:r>
            <w:r w:rsidR="00623DB5" w:rsidRPr="00F6273C">
              <w:t>time</w:t>
            </w:r>
            <w:r w:rsidR="00F06F46" w:rsidRPr="00F6273C">
              <w:t xml:space="preserve"> to recover</w:t>
            </w:r>
            <w:r w:rsidR="005274CF" w:rsidRPr="00F6273C">
              <w:t>.</w:t>
            </w:r>
          </w:p>
        </w:tc>
      </w:tr>
    </w:tbl>
    <w:p w14:paraId="1C281CDB" w14:textId="0BB4B685" w:rsidR="00AC107F" w:rsidRPr="00F6273C" w:rsidRDefault="00DC415B" w:rsidP="000E22D5">
      <w:r w:rsidRPr="00F6273C">
        <w:fldChar w:fldCharType="begin"/>
      </w:r>
      <w:r w:rsidRPr="00F6273C">
        <w:instrText xml:space="preserve"> :End:JKD_PB2 </w:instrText>
      </w:r>
      <w:r w:rsidRPr="00F6273C">
        <w:fldChar w:fldCharType="end"/>
      </w:r>
    </w:p>
    <w:p w14:paraId="5AC6FDB0" w14:textId="77777777" w:rsidR="00AC107F" w:rsidRPr="00F6273C" w:rsidRDefault="00AC107F">
      <w:pPr>
        <w:spacing w:after="160" w:line="259" w:lineRule="auto"/>
        <w:jc w:val="left"/>
      </w:pPr>
      <w:r w:rsidRPr="00F6273C">
        <w:br w:type="page"/>
      </w:r>
    </w:p>
    <w:p w14:paraId="626D0854" w14:textId="58FC3C1E" w:rsidR="00565BE0" w:rsidRPr="00F6273C" w:rsidRDefault="00413C0E" w:rsidP="00F835E5">
      <w:pPr>
        <w:pStyle w:val="Heading4"/>
      </w:pPr>
      <w:r w:rsidRPr="00F6273C">
        <w:rPr>
          <w:color w:val="0000FF"/>
        </w:rPr>
        <w:lastRenderedPageBreak/>
        <w:fldChar w:fldCharType="begin"/>
      </w:r>
      <w:r w:rsidRPr="00F6273C">
        <w:rPr>
          <w:color w:val="0000FF"/>
        </w:rPr>
        <w:instrText xml:space="preserve"> :Start:BPD_JR1 </w:instrText>
      </w:r>
      <w:r w:rsidRPr="00F6273C">
        <w:rPr>
          <w:color w:val="0000FF"/>
        </w:rPr>
        <w:fldChar w:fldCharType="end"/>
      </w:r>
      <w:r w:rsidR="00565BE0" w:rsidRPr="00F6273C">
        <w:t xml:space="preserve">Support for </w:t>
      </w:r>
      <w:r w:rsidR="005828C1" w:rsidRPr="00F6273C">
        <w:t>i</w:t>
      </w:r>
      <w:r w:rsidR="00565BE0" w:rsidRPr="00F6273C">
        <w:t xml:space="preserve">ndividuals and </w:t>
      </w:r>
      <w:r w:rsidR="005828C1" w:rsidRPr="00F6273C">
        <w:t>h</w:t>
      </w:r>
      <w:r w:rsidR="00565BE0" w:rsidRPr="00F6273C">
        <w:t xml:space="preserve">ouseholds </w:t>
      </w:r>
      <w:r w:rsidRPr="00F6273C">
        <w:rPr>
          <w:color w:val="FF0000"/>
        </w:rPr>
        <w:fldChar w:fldCharType="begin"/>
      </w:r>
      <w:r w:rsidRPr="00F6273C">
        <w:rPr>
          <w:color w:val="FF0000"/>
        </w:rPr>
        <w:instrText xml:space="preserve"> :End:BPD_JR1 </w:instrText>
      </w:r>
      <w:r w:rsidRPr="00F6273C">
        <w:rPr>
          <w:color w:val="FF0000"/>
        </w:rPr>
        <w:fldChar w:fldCharType="end"/>
      </w:r>
    </w:p>
    <w:p w14:paraId="6346E30B" w14:textId="12FC446B" w:rsidR="000577CD" w:rsidRPr="00F6273C" w:rsidRDefault="00562703" w:rsidP="000577CD">
      <w:r w:rsidRPr="00F6273C">
        <w:rPr>
          <w:color w:val="0000FF"/>
        </w:rPr>
        <w:fldChar w:fldCharType="begin"/>
      </w:r>
      <w:r w:rsidRPr="00F6273C">
        <w:rPr>
          <w:color w:val="0000FF"/>
        </w:rPr>
        <w:instrText xml:space="preserve"> :Start:SPD_VW3 </w:instrText>
      </w:r>
      <w:r w:rsidRPr="00F6273C">
        <w:rPr>
          <w:color w:val="0000FF"/>
        </w:rPr>
        <w:fldChar w:fldCharType="end"/>
      </w:r>
      <w:r w:rsidR="000577CD" w:rsidRPr="00F6273C">
        <w:t xml:space="preserve">To support Australians through the economic impact of the </w:t>
      </w:r>
      <w:r w:rsidR="001B5949" w:rsidRPr="00F6273C">
        <w:t>COVID</w:t>
      </w:r>
      <w:r w:rsidR="006B2A22" w:rsidRPr="00F6273C">
        <w:noBreakHyphen/>
      </w:r>
      <w:r w:rsidR="001B5949" w:rsidRPr="00F6273C">
        <w:t>19</w:t>
      </w:r>
      <w:r w:rsidR="00825AD4" w:rsidRPr="00F6273C">
        <w:t xml:space="preserve"> </w:t>
      </w:r>
      <w:r w:rsidR="000577CD" w:rsidRPr="00F6273C">
        <w:t>pandemic, the Government</w:t>
      </w:r>
      <w:r w:rsidR="0093604A" w:rsidRPr="00F6273C">
        <w:t xml:space="preserve"> is providing $16.8 billion over five years from 2019</w:t>
      </w:r>
      <w:r w:rsidR="006B2A22" w:rsidRPr="00F6273C">
        <w:noBreakHyphen/>
      </w:r>
      <w:r w:rsidR="0093604A" w:rsidRPr="00F6273C">
        <w:t xml:space="preserve">20 to </w:t>
      </w:r>
      <w:r w:rsidR="00277CBC" w:rsidRPr="00F6273C">
        <w:t>establish a new, time</w:t>
      </w:r>
      <w:r w:rsidR="006B2A22" w:rsidRPr="00F6273C">
        <w:noBreakHyphen/>
      </w:r>
      <w:r w:rsidR="00277CBC" w:rsidRPr="00F6273C">
        <w:t xml:space="preserve">limited </w:t>
      </w:r>
      <w:r w:rsidR="00DA315B" w:rsidRPr="00F6273C">
        <w:t>C</w:t>
      </w:r>
      <w:r w:rsidR="00277CBC" w:rsidRPr="00F6273C">
        <w:t xml:space="preserve">oronavirus </w:t>
      </w:r>
      <w:r w:rsidR="00186727" w:rsidRPr="00F6273C">
        <w:t>Supplement</w:t>
      </w:r>
      <w:r w:rsidR="00277CBC" w:rsidRPr="00F6273C">
        <w:t xml:space="preserve"> and</w:t>
      </w:r>
      <w:r w:rsidR="000577CD" w:rsidRPr="00F6273C">
        <w:t xml:space="preserve"> temporarily expand eligibility for income support payments.</w:t>
      </w:r>
      <w:r w:rsidR="00277CBC" w:rsidRPr="00F6273C">
        <w:t xml:space="preserve"> The </w:t>
      </w:r>
      <w:r w:rsidR="00DA315B" w:rsidRPr="00F6273C">
        <w:t>C</w:t>
      </w:r>
      <w:r w:rsidR="00277CBC" w:rsidRPr="00F6273C">
        <w:t xml:space="preserve">oronavirus </w:t>
      </w:r>
      <w:r w:rsidR="00186727" w:rsidRPr="00F6273C">
        <w:t>S</w:t>
      </w:r>
      <w:r w:rsidR="00277CBC" w:rsidRPr="00F6273C">
        <w:t xml:space="preserve">upplement </w:t>
      </w:r>
      <w:r w:rsidR="0093604A" w:rsidRPr="00F6273C">
        <w:t>is</w:t>
      </w:r>
      <w:r w:rsidR="00277CBC" w:rsidRPr="00F6273C">
        <w:t xml:space="preserve"> $550 per fortnight </w:t>
      </w:r>
      <w:r w:rsidR="00195F43" w:rsidRPr="00F6273C">
        <w:t>from 27 April 2020</w:t>
      </w:r>
      <w:r w:rsidR="0093604A" w:rsidRPr="00F6273C">
        <w:t xml:space="preserve"> </w:t>
      </w:r>
      <w:r w:rsidR="00277CBC" w:rsidRPr="00F6273C">
        <w:t>until 24</w:t>
      </w:r>
      <w:r w:rsidR="003A4E4A" w:rsidRPr="00F6273C">
        <w:t> </w:t>
      </w:r>
      <w:r w:rsidR="00277CBC" w:rsidRPr="00F6273C">
        <w:t>September</w:t>
      </w:r>
      <w:r w:rsidR="002D0776" w:rsidRPr="00F6273C">
        <w:t> </w:t>
      </w:r>
      <w:r w:rsidR="00277CBC" w:rsidRPr="00F6273C">
        <w:t>2020. From 25</w:t>
      </w:r>
      <w:r w:rsidR="002D0776" w:rsidRPr="00F6273C">
        <w:t> </w:t>
      </w:r>
      <w:r w:rsidR="00277CBC" w:rsidRPr="00F6273C">
        <w:t>September</w:t>
      </w:r>
      <w:r w:rsidR="002D0776" w:rsidRPr="00F6273C">
        <w:t> </w:t>
      </w:r>
      <w:r w:rsidR="00277CBC" w:rsidRPr="00F6273C">
        <w:t>2020 to 31</w:t>
      </w:r>
      <w:r w:rsidR="002D0776" w:rsidRPr="00F6273C">
        <w:t> </w:t>
      </w:r>
      <w:r w:rsidR="00277CBC" w:rsidRPr="00F6273C">
        <w:t>December</w:t>
      </w:r>
      <w:r w:rsidR="002D0776" w:rsidRPr="00F6273C">
        <w:t> </w:t>
      </w:r>
      <w:r w:rsidR="00277CBC" w:rsidRPr="00F6273C">
        <w:t xml:space="preserve">2020, the </w:t>
      </w:r>
      <w:r w:rsidR="00186727" w:rsidRPr="00F6273C">
        <w:t>S</w:t>
      </w:r>
      <w:r w:rsidR="00277CBC" w:rsidRPr="00F6273C">
        <w:t>upplement will be $250 per fortnight to reflect the gradually improving economic and labour market conditions.</w:t>
      </w:r>
      <w:r w:rsidR="0093604A" w:rsidRPr="00F6273C">
        <w:t xml:space="preserve"> In addition, the personal income test for </w:t>
      </w:r>
      <w:proofErr w:type="spellStart"/>
      <w:r w:rsidR="0093604A" w:rsidRPr="00F6273C">
        <w:t>JobSeeker</w:t>
      </w:r>
      <w:proofErr w:type="spellEnd"/>
      <w:r w:rsidR="0093604A" w:rsidRPr="00F6273C">
        <w:t xml:space="preserve"> Payment and Youth Allowance (Other) will increase to a $300 per fortnight income free area and a </w:t>
      </w:r>
      <w:proofErr w:type="gramStart"/>
      <w:r w:rsidR="0093604A" w:rsidRPr="00F6273C">
        <w:t>60 cent</w:t>
      </w:r>
      <w:proofErr w:type="gramEnd"/>
      <w:r w:rsidR="0093604A" w:rsidRPr="00F6273C">
        <w:t xml:space="preserve"> taper for income above the free area.</w:t>
      </w:r>
    </w:p>
    <w:p w14:paraId="0A4D20F9" w14:textId="0B3B1995" w:rsidR="000577CD" w:rsidRPr="00F6273C" w:rsidRDefault="000577CD" w:rsidP="00BB0913">
      <w:r w:rsidRPr="00F6273C">
        <w:t xml:space="preserve">For the </w:t>
      </w:r>
      <w:r w:rsidR="004907A6" w:rsidRPr="00F6273C">
        <w:t xml:space="preserve">duration </w:t>
      </w:r>
      <w:r w:rsidRPr="00F6273C">
        <w:t xml:space="preserve">of the </w:t>
      </w:r>
      <w:r w:rsidR="00DA315B" w:rsidRPr="00F6273C">
        <w:t>C</w:t>
      </w:r>
      <w:r w:rsidRPr="00F6273C">
        <w:t xml:space="preserve">oronavirus </w:t>
      </w:r>
      <w:r w:rsidR="007D0B82" w:rsidRPr="00F6273C">
        <w:t>Supplement</w:t>
      </w:r>
      <w:r w:rsidRPr="00F6273C">
        <w:t>, there is expanded access to</w:t>
      </w:r>
      <w:r w:rsidR="00B9006B" w:rsidRPr="00F6273C">
        <w:t xml:space="preserve"> </w:t>
      </w:r>
      <w:proofErr w:type="spellStart"/>
      <w:r w:rsidR="0093604A" w:rsidRPr="00F6273C">
        <w:t>JobSeeker</w:t>
      </w:r>
      <w:proofErr w:type="spellEnd"/>
      <w:r w:rsidR="0093604A" w:rsidRPr="00F6273C">
        <w:t xml:space="preserve"> Payment and Youth Allowance (Other)</w:t>
      </w:r>
      <w:r w:rsidRPr="00F6273C">
        <w:t>. Expanded eligibility criteria are providing access to payments for permanent employees who are stood down or have lost their employment</w:t>
      </w:r>
      <w:r w:rsidR="00115E95" w:rsidRPr="00F6273C">
        <w:t>,</w:t>
      </w:r>
      <w:r w:rsidRPr="00F6273C">
        <w:t xml:space="preserve"> sole traders</w:t>
      </w:r>
      <w:r w:rsidR="00115E95" w:rsidRPr="00F6273C">
        <w:t>,</w:t>
      </w:r>
      <w:r w:rsidRPr="00F6273C">
        <w:t xml:space="preserve"> the self</w:t>
      </w:r>
      <w:r w:rsidR="006B2A22" w:rsidRPr="00F6273C">
        <w:noBreakHyphen/>
      </w:r>
      <w:r w:rsidRPr="00F6273C">
        <w:t>employed</w:t>
      </w:r>
      <w:r w:rsidR="00115E95" w:rsidRPr="00F6273C">
        <w:t>,</w:t>
      </w:r>
      <w:r w:rsidRPr="00F6273C">
        <w:t xml:space="preserve"> casual workers</w:t>
      </w:r>
      <w:r w:rsidR="00115E95" w:rsidRPr="00F6273C">
        <w:t>,</w:t>
      </w:r>
      <w:r w:rsidRPr="00F6273C">
        <w:t xml:space="preserve"> and contract workers who meet the income tests </w:t>
      </w:r>
      <w:proofErr w:type="gramStart"/>
      <w:r w:rsidRPr="00F6273C">
        <w:t>as a result</w:t>
      </w:r>
      <w:proofErr w:type="gramEnd"/>
      <w:r w:rsidRPr="00F6273C">
        <w:t xml:space="preserve"> of the </w:t>
      </w:r>
      <w:r w:rsidR="006A6DBD" w:rsidRPr="00F6273C">
        <w:t>p</w:t>
      </w:r>
      <w:r w:rsidR="00EC0F85" w:rsidRPr="00F6273C">
        <w:t>andemic</w:t>
      </w:r>
      <w:r w:rsidRPr="00F6273C">
        <w:t xml:space="preserve">. This could also include a person required to care for someone who </w:t>
      </w:r>
      <w:proofErr w:type="gramStart"/>
      <w:r w:rsidRPr="00F6273C">
        <w:t>is affected</w:t>
      </w:r>
      <w:proofErr w:type="gramEnd"/>
      <w:r w:rsidRPr="00F6273C">
        <w:t xml:space="preserve"> by </w:t>
      </w:r>
      <w:r w:rsidR="00F96476" w:rsidRPr="00F6273C">
        <w:t>COVID</w:t>
      </w:r>
      <w:r w:rsidR="006B2A22" w:rsidRPr="00F6273C">
        <w:noBreakHyphen/>
      </w:r>
      <w:r w:rsidR="00F96476" w:rsidRPr="00F6273C">
        <w:t>19</w:t>
      </w:r>
      <w:r w:rsidRPr="00F6273C">
        <w:t>.</w:t>
      </w:r>
    </w:p>
    <w:p w14:paraId="400C8DCC" w14:textId="0E964A8B" w:rsidR="000005D9" w:rsidRPr="00F6273C" w:rsidRDefault="000005D9" w:rsidP="000005D9">
      <w:r w:rsidRPr="00F6273C">
        <w:t xml:space="preserve">From 25 March 2020 to 24 September 2020, the Ordinary Waiting Period (OWP), Newly Arrived Residents Waiting Period (NARWP), Seasonal Workers Preclusion Period (SWPP), Liquid Assets Waiting Period (LAWP) and the Assets tests </w:t>
      </w:r>
      <w:proofErr w:type="gramStart"/>
      <w:r w:rsidRPr="00F6273C">
        <w:t>were waived</w:t>
      </w:r>
      <w:proofErr w:type="gramEnd"/>
      <w:r w:rsidRPr="00F6273C">
        <w:t xml:space="preserve"> for new income support recipients. From 25 September 2020 to 31 December 2020, the OWP, NARWP and SWPP will continue to </w:t>
      </w:r>
      <w:proofErr w:type="gramStart"/>
      <w:r w:rsidRPr="00F6273C">
        <w:t>be waived</w:t>
      </w:r>
      <w:proofErr w:type="gramEnd"/>
      <w:r w:rsidRPr="00F6273C">
        <w:t xml:space="preserve"> and the Assets test and the LAWP will be reintroduced to ensure that payments are appropriately targeted and means tested.</w:t>
      </w:r>
    </w:p>
    <w:p w14:paraId="4ACE007D" w14:textId="4327FEF7" w:rsidR="00123F48" w:rsidRPr="00F6273C" w:rsidRDefault="000577CD" w:rsidP="000577CD">
      <w:r w:rsidRPr="00F6273C">
        <w:t xml:space="preserve">In addition, </w:t>
      </w:r>
      <w:r w:rsidR="004907A6" w:rsidRPr="00F6273C">
        <w:t xml:space="preserve">the Government has provided $9.4 billion for </w:t>
      </w:r>
      <w:r w:rsidRPr="00F6273C">
        <w:t xml:space="preserve">two separate $750 Economic Support Payments to social security, veteran and other income support recipients and eligible concession </w:t>
      </w:r>
      <w:proofErr w:type="gramStart"/>
      <w:r w:rsidRPr="00F6273C">
        <w:t>card holders</w:t>
      </w:r>
      <w:proofErr w:type="gramEnd"/>
      <w:r w:rsidRPr="00F6273C">
        <w:t xml:space="preserve">. The first payment, made from </w:t>
      </w:r>
      <w:r w:rsidR="00123F48" w:rsidRPr="00F6273C">
        <w:t>31</w:t>
      </w:r>
      <w:r w:rsidR="002D0776" w:rsidRPr="00F6273C">
        <w:t> </w:t>
      </w:r>
      <w:r w:rsidRPr="00F6273C">
        <w:t>March</w:t>
      </w:r>
      <w:r w:rsidR="002D0776" w:rsidRPr="00F6273C">
        <w:t> </w:t>
      </w:r>
      <w:r w:rsidRPr="00F6273C">
        <w:t>2020, provided $</w:t>
      </w:r>
      <w:r w:rsidR="00940925" w:rsidRPr="00F6273C">
        <w:t>5.6</w:t>
      </w:r>
      <w:r w:rsidRPr="00F6273C">
        <w:t xml:space="preserve"> billion to over 7 million Australians to help them manage the economic impact of </w:t>
      </w:r>
      <w:r w:rsidR="00F96476" w:rsidRPr="00F6273C">
        <w:t>COVID</w:t>
      </w:r>
      <w:r w:rsidR="006B2A22" w:rsidRPr="00F6273C">
        <w:noBreakHyphen/>
      </w:r>
      <w:r w:rsidR="00F96476" w:rsidRPr="00F6273C">
        <w:t>19</w:t>
      </w:r>
      <w:r w:rsidRPr="00F6273C">
        <w:t xml:space="preserve">. The second payment commenced on </w:t>
      </w:r>
      <w:r w:rsidR="00123F48" w:rsidRPr="00F6273C">
        <w:t>13</w:t>
      </w:r>
      <w:r w:rsidR="002D0776" w:rsidRPr="00F6273C">
        <w:t> </w:t>
      </w:r>
      <w:r w:rsidRPr="00F6273C">
        <w:t>July</w:t>
      </w:r>
      <w:r w:rsidR="000005D9" w:rsidRPr="00F6273C">
        <w:t> 2020</w:t>
      </w:r>
      <w:r w:rsidRPr="00F6273C">
        <w:t xml:space="preserve"> and </w:t>
      </w:r>
      <w:r w:rsidR="00940925" w:rsidRPr="00F6273C">
        <w:t xml:space="preserve">will </w:t>
      </w:r>
      <w:r w:rsidR="00356A1F" w:rsidRPr="00F6273C">
        <w:t>benefit</w:t>
      </w:r>
      <w:r w:rsidRPr="00F6273C">
        <w:t xml:space="preserve"> around 5</w:t>
      </w:r>
      <w:r w:rsidR="002D0776" w:rsidRPr="00F6273C">
        <w:t> </w:t>
      </w:r>
      <w:r w:rsidRPr="00F6273C">
        <w:t>million recipients.</w:t>
      </w:r>
      <w:r w:rsidR="00562703" w:rsidRPr="00F6273C">
        <w:rPr>
          <w:color w:val="FF0000"/>
        </w:rPr>
        <w:fldChar w:fldCharType="begin"/>
      </w:r>
      <w:r w:rsidR="00562703" w:rsidRPr="00F6273C">
        <w:rPr>
          <w:color w:val="FF0000"/>
        </w:rPr>
        <w:instrText xml:space="preserve"> :End:SPD_VW3 </w:instrText>
      </w:r>
      <w:r w:rsidR="00562703" w:rsidRPr="00F6273C">
        <w:rPr>
          <w:color w:val="FF0000"/>
        </w:rPr>
        <w:fldChar w:fldCharType="end"/>
      </w:r>
      <w:r w:rsidR="00940925" w:rsidRPr="00F6273C" w:rsidDel="00940925">
        <w:t xml:space="preserve"> </w:t>
      </w:r>
    </w:p>
    <w:p w14:paraId="3C72CECD" w14:textId="533581AE" w:rsidR="00003866" w:rsidRPr="00F6273C" w:rsidRDefault="00E35D4C" w:rsidP="00F835E5">
      <w:r w:rsidRPr="00F6273C">
        <w:rPr>
          <w:color w:val="0000FF"/>
        </w:rPr>
        <w:fldChar w:fldCharType="begin"/>
      </w:r>
      <w:r w:rsidRPr="00F6273C">
        <w:rPr>
          <w:color w:val="0000FF"/>
        </w:rPr>
        <w:instrText xml:space="preserve"> :Start:RIPD_RJ1 </w:instrText>
      </w:r>
      <w:r w:rsidRPr="00F6273C">
        <w:rPr>
          <w:color w:val="0000FF"/>
        </w:rPr>
        <w:fldChar w:fldCharType="end"/>
      </w:r>
      <w:r w:rsidR="00AB0F27" w:rsidRPr="00F6273C">
        <w:t xml:space="preserve">For individuals affected by the adverse economic effects of </w:t>
      </w:r>
      <w:r w:rsidR="00F96476" w:rsidRPr="00F6273C">
        <w:t>COVID</w:t>
      </w:r>
      <w:r w:rsidR="006B2A22" w:rsidRPr="00F6273C">
        <w:noBreakHyphen/>
      </w:r>
      <w:r w:rsidR="00F96476" w:rsidRPr="00F6273C">
        <w:t>19</w:t>
      </w:r>
      <w:r w:rsidR="00AB0F27" w:rsidRPr="00F6273C">
        <w:t>, the Government has temporarily allowed eligible individuals to access their superannuation early and tax</w:t>
      </w:r>
      <w:r w:rsidR="006B2A22" w:rsidRPr="00F6273C">
        <w:noBreakHyphen/>
      </w:r>
      <w:r w:rsidR="00AB0F27" w:rsidRPr="00F6273C">
        <w:t>free.</w:t>
      </w:r>
      <w:r w:rsidR="00E6252C" w:rsidRPr="00F6273C">
        <w:t xml:space="preserve"> The Government is extending the application period for the measure from 24 September 2020 to 31 December 2020 to increase the scope for individuals who </w:t>
      </w:r>
      <w:proofErr w:type="gramStart"/>
      <w:r w:rsidR="00E6252C" w:rsidRPr="00F6273C">
        <w:t>may st</w:t>
      </w:r>
      <w:r w:rsidR="005A6CB8" w:rsidRPr="00F6273C">
        <w:t>ill be financially impacted</w:t>
      </w:r>
      <w:proofErr w:type="gramEnd"/>
      <w:r w:rsidR="005A6CB8" w:rsidRPr="00F6273C">
        <w:t xml:space="preserve"> by </w:t>
      </w:r>
      <w:r w:rsidR="00F96476" w:rsidRPr="00F6273C">
        <w:t>COVID</w:t>
      </w:r>
      <w:r w:rsidR="006B2A22" w:rsidRPr="00F6273C">
        <w:noBreakHyphen/>
      </w:r>
      <w:r w:rsidR="00F96476" w:rsidRPr="00F6273C">
        <w:t>19</w:t>
      </w:r>
      <w:r w:rsidR="00E6252C" w:rsidRPr="00F6273C">
        <w:t xml:space="preserve"> to access early release in the coming months.</w:t>
      </w:r>
      <w:r w:rsidR="00AB0F27" w:rsidRPr="00F6273C">
        <w:t xml:space="preserve"> Eligible Australian and New Zealand citizens and permanent residents were able to access up to $10,000 of their superannuation before 1 July 2020. They can access a further $10,000 until </w:t>
      </w:r>
      <w:r w:rsidR="00972F7D" w:rsidRPr="00F6273C">
        <w:t xml:space="preserve">31 December </w:t>
      </w:r>
      <w:r w:rsidR="00AB0F27" w:rsidRPr="00F6273C">
        <w:t>2020. Eligible temporary visa holders were also able to apply for a single release of $10,000 before 1 July 2020.</w:t>
      </w:r>
      <w:r w:rsidR="00D344AA" w:rsidRPr="00F6273C">
        <w:t xml:space="preserve"> </w:t>
      </w:r>
      <w:r w:rsidR="00003866" w:rsidRPr="00F6273C">
        <w:rPr>
          <w:color w:val="FF0000"/>
        </w:rPr>
        <w:fldChar w:fldCharType="begin"/>
      </w:r>
      <w:r w:rsidR="00003866" w:rsidRPr="00F6273C">
        <w:rPr>
          <w:color w:val="FF0000"/>
        </w:rPr>
        <w:instrText xml:space="preserve"> :End:RIPD_RJ1 </w:instrText>
      </w:r>
      <w:r w:rsidR="00003866" w:rsidRPr="00F6273C">
        <w:rPr>
          <w:color w:val="FF0000"/>
        </w:rPr>
        <w:fldChar w:fldCharType="end"/>
      </w:r>
    </w:p>
    <w:p w14:paraId="5F36B01C" w14:textId="2E89459C" w:rsidR="008A5B3F" w:rsidRPr="00F6273C" w:rsidRDefault="00D344AA" w:rsidP="00A466BC">
      <w:pPr>
        <w:keepNext/>
      </w:pPr>
      <w:r w:rsidRPr="00F6273C">
        <w:rPr>
          <w:color w:val="0000FF"/>
        </w:rPr>
        <w:lastRenderedPageBreak/>
        <w:fldChar w:fldCharType="begin"/>
      </w:r>
      <w:r w:rsidRPr="00F6273C">
        <w:rPr>
          <w:color w:val="0000FF"/>
        </w:rPr>
        <w:instrText xml:space="preserve"> :Start:RIPD_RJ2 </w:instrText>
      </w:r>
      <w:r w:rsidRPr="00F6273C">
        <w:rPr>
          <w:color w:val="0000FF"/>
        </w:rPr>
        <w:fldChar w:fldCharType="end"/>
      </w:r>
      <w:r w:rsidR="00534248" w:rsidRPr="00F6273C">
        <w:t xml:space="preserve">The Government </w:t>
      </w:r>
      <w:r w:rsidR="008A5B3F" w:rsidRPr="00F6273C">
        <w:t>has</w:t>
      </w:r>
      <w:r w:rsidR="00972F7D" w:rsidRPr="00F6273C">
        <w:t xml:space="preserve"> also</w:t>
      </w:r>
      <w:r w:rsidR="008A5B3F" w:rsidRPr="00F6273C">
        <w:t xml:space="preserve"> provided assistance </w:t>
      </w:r>
      <w:r w:rsidR="00534248" w:rsidRPr="00F6273C">
        <w:t>by</w:t>
      </w:r>
      <w:r w:rsidR="008A5B3F" w:rsidRPr="00F6273C">
        <w:t>:</w:t>
      </w:r>
      <w:r w:rsidR="00534248" w:rsidRPr="00F6273C">
        <w:t xml:space="preserve"> </w:t>
      </w:r>
    </w:p>
    <w:p w14:paraId="475F14EE" w14:textId="0CB27978" w:rsidR="008A5B3F" w:rsidRPr="00F6273C" w:rsidRDefault="00534248" w:rsidP="00A466BC">
      <w:pPr>
        <w:pStyle w:val="Bullet"/>
        <w:keepNext/>
      </w:pPr>
      <w:r w:rsidRPr="00F6273C">
        <w:t>temporarily halving superannuation minimum drawdown requirements for the 2019</w:t>
      </w:r>
      <w:r w:rsidR="006B2A22" w:rsidRPr="00F6273C">
        <w:noBreakHyphen/>
      </w:r>
      <w:r w:rsidRPr="00F6273C">
        <w:t>20 and 2020</w:t>
      </w:r>
      <w:r w:rsidR="006B2A22" w:rsidRPr="00F6273C">
        <w:noBreakHyphen/>
      </w:r>
      <w:r w:rsidRPr="00F6273C">
        <w:t>21 income years</w:t>
      </w:r>
      <w:r w:rsidR="008A5B3F" w:rsidRPr="00F6273C">
        <w:t xml:space="preserve">, </w:t>
      </w:r>
      <w:r w:rsidR="00983983" w:rsidRPr="00F6273C">
        <w:t>reducing the need to sell investment assets to meet these requirements</w:t>
      </w:r>
    </w:p>
    <w:p w14:paraId="40A4267A" w14:textId="66EEA53F" w:rsidR="00C50D2D" w:rsidRPr="00F6273C" w:rsidRDefault="008A5B3F" w:rsidP="00F835E5">
      <w:pPr>
        <w:pStyle w:val="Bullet"/>
      </w:pPr>
      <w:proofErr w:type="gramStart"/>
      <w:r w:rsidRPr="00F6273C">
        <w:t>reducing</w:t>
      </w:r>
      <w:proofErr w:type="gramEnd"/>
      <w:r w:rsidRPr="00F6273C">
        <w:t xml:space="preserve"> the upper and lower social security deeming rates to 2.25</w:t>
      </w:r>
      <w:r w:rsidR="00AC107F" w:rsidRPr="00F6273C">
        <w:t> </w:t>
      </w:r>
      <w:r w:rsidRPr="00F6273C">
        <w:t>per</w:t>
      </w:r>
      <w:r w:rsidR="000005D9" w:rsidRPr="00F6273C">
        <w:t> </w:t>
      </w:r>
      <w:r w:rsidRPr="00F6273C">
        <w:t>cent and 0.25</w:t>
      </w:r>
      <w:r w:rsidR="00AC107F" w:rsidRPr="00F6273C">
        <w:t> </w:t>
      </w:r>
      <w:r w:rsidRPr="00F6273C">
        <w:t>per cent respectively from 1 May 2020</w:t>
      </w:r>
      <w:r w:rsidR="00983983" w:rsidRPr="00F6273C">
        <w:t>, taking into account the low interest rate environment and its impact on income from savings</w:t>
      </w:r>
      <w:r w:rsidRPr="00F6273C">
        <w:t>.</w:t>
      </w:r>
      <w:r w:rsidR="00C744D4" w:rsidRPr="00F6273C">
        <w:t xml:space="preserve"> </w:t>
      </w:r>
      <w:r w:rsidR="00C744D4" w:rsidRPr="00F6273C">
        <w:rPr>
          <w:color w:val="FF0000"/>
        </w:rPr>
        <w:fldChar w:fldCharType="begin"/>
      </w:r>
      <w:r w:rsidR="00C744D4" w:rsidRPr="00F6273C">
        <w:rPr>
          <w:color w:val="FF0000"/>
        </w:rPr>
        <w:instrText xml:space="preserve"> :End:RIPD_RJ2 </w:instrText>
      </w:r>
      <w:r w:rsidR="00C744D4" w:rsidRPr="00F6273C">
        <w:rPr>
          <w:color w:val="FF0000"/>
        </w:rPr>
        <w:fldChar w:fldCharType="end"/>
      </w:r>
      <w:r w:rsidR="00704BFA" w:rsidRPr="00F6273C">
        <w:t xml:space="preserve"> </w:t>
      </w:r>
    </w:p>
    <w:p w14:paraId="5CAF3845" w14:textId="2E6C7A7D" w:rsidR="00565BE0" w:rsidRPr="00F6273C" w:rsidRDefault="00520F1E" w:rsidP="00F835E5">
      <w:pPr>
        <w:pStyle w:val="Heading4"/>
      </w:pPr>
      <w:r w:rsidRPr="00F6273C">
        <w:rPr>
          <w:color w:val="0000FF"/>
        </w:rPr>
        <w:fldChar w:fldCharType="begin"/>
      </w:r>
      <w:r w:rsidRPr="00F6273C">
        <w:rPr>
          <w:color w:val="0000FF"/>
        </w:rPr>
        <w:instrText xml:space="preserve"> :Start:BPD_JR1 </w:instrText>
      </w:r>
      <w:r w:rsidRPr="00F6273C">
        <w:rPr>
          <w:color w:val="0000FF"/>
        </w:rPr>
        <w:fldChar w:fldCharType="end"/>
      </w:r>
      <w:r w:rsidR="00565BE0" w:rsidRPr="00F6273C">
        <w:t xml:space="preserve">Support for </w:t>
      </w:r>
      <w:r w:rsidR="00940925" w:rsidRPr="00F6273C">
        <w:t>b</w:t>
      </w:r>
      <w:r w:rsidR="00565BE0" w:rsidRPr="00F6273C">
        <w:t xml:space="preserve">usinesses and </w:t>
      </w:r>
      <w:r w:rsidR="00940925" w:rsidRPr="00F6273C">
        <w:t>e</w:t>
      </w:r>
      <w:r w:rsidR="00565BE0" w:rsidRPr="00F6273C">
        <w:t>mployers</w:t>
      </w:r>
      <w:r w:rsidRPr="00F6273C">
        <w:rPr>
          <w:color w:val="FF0000"/>
        </w:rPr>
        <w:fldChar w:fldCharType="begin"/>
      </w:r>
      <w:r w:rsidRPr="00F6273C">
        <w:rPr>
          <w:color w:val="FF0000"/>
        </w:rPr>
        <w:instrText xml:space="preserve"> :End:BPD_JR1 </w:instrText>
      </w:r>
      <w:r w:rsidRPr="00F6273C">
        <w:rPr>
          <w:color w:val="FF0000"/>
        </w:rPr>
        <w:fldChar w:fldCharType="end"/>
      </w:r>
      <w:r w:rsidR="00565BE0" w:rsidRPr="00F6273C">
        <w:t xml:space="preserve"> </w:t>
      </w:r>
    </w:p>
    <w:p w14:paraId="4D0BC4F0" w14:textId="7BE0062B" w:rsidR="00AD329A" w:rsidRPr="00F6273C" w:rsidRDefault="00712E03" w:rsidP="00F835E5">
      <w:r w:rsidRPr="00F6273C">
        <w:rPr>
          <w:color w:val="0000FF"/>
        </w:rPr>
        <w:fldChar w:fldCharType="begin"/>
      </w:r>
      <w:r w:rsidRPr="00F6273C">
        <w:rPr>
          <w:color w:val="0000FF"/>
        </w:rPr>
        <w:instrText xml:space="preserve"> :Start:IITD_HT1 </w:instrText>
      </w:r>
      <w:r w:rsidRPr="00F6273C">
        <w:rPr>
          <w:color w:val="0000FF"/>
        </w:rPr>
        <w:fldChar w:fldCharType="end"/>
      </w:r>
      <w:r w:rsidR="00852205" w:rsidRPr="00F6273C">
        <w:t>The Government is supporting small and medium</w:t>
      </w:r>
      <w:r w:rsidR="006B2A22" w:rsidRPr="00F6273C">
        <w:noBreakHyphen/>
      </w:r>
      <w:r w:rsidR="0022570D" w:rsidRPr="00F6273C">
        <w:t>sized</w:t>
      </w:r>
      <w:r w:rsidR="00195F43" w:rsidRPr="00F6273C">
        <w:t xml:space="preserve"> businesses and not</w:t>
      </w:r>
      <w:r w:rsidR="006B2A22" w:rsidRPr="00F6273C">
        <w:noBreakHyphen/>
      </w:r>
      <w:r w:rsidR="00195F43" w:rsidRPr="00F6273C">
        <w:t>for</w:t>
      </w:r>
      <w:r w:rsidR="006B2A22" w:rsidRPr="00F6273C">
        <w:noBreakHyphen/>
      </w:r>
      <w:r w:rsidR="00852205" w:rsidRPr="00F6273C">
        <w:t>profit</w:t>
      </w:r>
      <w:r w:rsidR="00195F43" w:rsidRPr="00F6273C">
        <w:t xml:space="preserve"> </w:t>
      </w:r>
      <w:r w:rsidR="000A40FF" w:rsidRPr="00F6273C">
        <w:t>employers</w:t>
      </w:r>
      <w:r w:rsidR="00852205" w:rsidRPr="00F6273C">
        <w:t xml:space="preserve"> by providing</w:t>
      </w:r>
      <w:r w:rsidR="000A40FF" w:rsidRPr="00F6273C">
        <w:t xml:space="preserve"> temporary</w:t>
      </w:r>
      <w:r w:rsidR="00852205" w:rsidRPr="00F6273C">
        <w:t xml:space="preserve"> cash flow </w:t>
      </w:r>
      <w:r w:rsidR="000A40FF" w:rsidRPr="00F6273C">
        <w:t>support</w:t>
      </w:r>
      <w:r w:rsidR="00852205" w:rsidRPr="00F6273C">
        <w:t xml:space="preserve"> to keep people in jobs and stay in business. Eligible entities automatically receive payments of between $20,000 and $100,000 for the March to September 2020 reporting periods upon lodgement of relevant activity statements.</w:t>
      </w:r>
      <w:r w:rsidR="003C0CF0" w:rsidRPr="00F6273C">
        <w:t xml:space="preserve"> </w:t>
      </w:r>
      <w:r w:rsidR="00D836A5" w:rsidRPr="00F6273C">
        <w:t>As at 16 July 2020</w:t>
      </w:r>
      <w:r w:rsidR="003C0CF0" w:rsidRPr="00F6273C">
        <w:t xml:space="preserve">, over 750,000 entities have received </w:t>
      </w:r>
      <w:r w:rsidR="00D91A2C" w:rsidRPr="00F6273C">
        <w:t xml:space="preserve">over </w:t>
      </w:r>
      <w:r w:rsidR="003C0CF0" w:rsidRPr="00F6273C">
        <w:t>$</w:t>
      </w:r>
      <w:r w:rsidR="00D91A2C" w:rsidRPr="00F6273C">
        <w:t>16</w:t>
      </w:r>
      <w:r w:rsidR="006E4526" w:rsidRPr="00F6273C">
        <w:t> </w:t>
      </w:r>
      <w:r w:rsidR="003C0CF0" w:rsidRPr="00F6273C">
        <w:t>billion in cash flow support.</w:t>
      </w:r>
      <w:r w:rsidR="00D214B5" w:rsidRPr="00F6273C">
        <w:t xml:space="preserve"> </w:t>
      </w:r>
      <w:r w:rsidR="008F51C5" w:rsidRPr="00F6273C">
        <w:t>These payments wi</w:t>
      </w:r>
      <w:r w:rsidR="00195F43" w:rsidRPr="00F6273C">
        <w:t>ll help businesses</w:t>
      </w:r>
      <w:r w:rsidR="006B2A22" w:rsidRPr="00F6273C">
        <w:t>’</w:t>
      </w:r>
      <w:r w:rsidR="00195F43" w:rsidRPr="00F6273C">
        <w:t xml:space="preserve"> and not</w:t>
      </w:r>
      <w:r w:rsidR="006B2A22" w:rsidRPr="00F6273C">
        <w:noBreakHyphen/>
      </w:r>
      <w:r w:rsidR="00195F43" w:rsidRPr="00F6273C">
        <w:t>for</w:t>
      </w:r>
      <w:r w:rsidR="006B2A22" w:rsidRPr="00F6273C">
        <w:noBreakHyphen/>
      </w:r>
      <w:r w:rsidR="008F51C5" w:rsidRPr="00F6273C">
        <w:t>profits</w:t>
      </w:r>
      <w:r w:rsidR="006B2A22" w:rsidRPr="00F6273C">
        <w:t>’</w:t>
      </w:r>
      <w:r w:rsidR="008F51C5" w:rsidRPr="00F6273C">
        <w:t xml:space="preserve"> cash flow so they can keep operating, pay their rent, electricity and other bills, and retain staff.</w:t>
      </w:r>
      <w:r w:rsidRPr="00F6273C">
        <w:rPr>
          <w:color w:val="FF0000"/>
        </w:rPr>
        <w:fldChar w:fldCharType="begin"/>
      </w:r>
      <w:r w:rsidRPr="00F6273C">
        <w:rPr>
          <w:color w:val="FF0000"/>
        </w:rPr>
        <w:instrText xml:space="preserve"> :End:IITD_HT1 </w:instrText>
      </w:r>
      <w:r w:rsidRPr="00F6273C">
        <w:rPr>
          <w:color w:val="FF0000"/>
        </w:rPr>
        <w:fldChar w:fldCharType="end"/>
      </w:r>
      <w:r w:rsidR="00AD329A" w:rsidRPr="00F6273C">
        <w:t xml:space="preserve"> </w:t>
      </w:r>
    </w:p>
    <w:p w14:paraId="238A3D2F" w14:textId="30047226" w:rsidR="00815D0F" w:rsidRPr="00F6273C" w:rsidRDefault="00782886" w:rsidP="00F835E5">
      <w:r w:rsidRPr="00F6273C">
        <w:rPr>
          <w:color w:val="0000FF"/>
        </w:rPr>
        <w:fldChar w:fldCharType="begin"/>
      </w:r>
      <w:r w:rsidRPr="00F6273C">
        <w:rPr>
          <w:color w:val="0000FF"/>
        </w:rPr>
        <w:instrText xml:space="preserve"> :Start:MCD_CB1 </w:instrText>
      </w:r>
      <w:r w:rsidRPr="00F6273C">
        <w:rPr>
          <w:color w:val="0000FF"/>
        </w:rPr>
        <w:fldChar w:fldCharType="end"/>
      </w:r>
      <w:r w:rsidR="00815D0F" w:rsidRPr="00F6273C">
        <w:t>The Government has put in place temporary relief for financially</w:t>
      </w:r>
      <w:r w:rsidR="006B2A22" w:rsidRPr="00F6273C">
        <w:noBreakHyphen/>
      </w:r>
      <w:r w:rsidR="00815D0F" w:rsidRPr="00F6273C">
        <w:t xml:space="preserve">distressed businesses that </w:t>
      </w:r>
      <w:proofErr w:type="gramStart"/>
      <w:r w:rsidR="00815D0F" w:rsidRPr="00F6273C">
        <w:t>have been impacted</w:t>
      </w:r>
      <w:proofErr w:type="gramEnd"/>
      <w:r w:rsidR="00815D0F" w:rsidRPr="00F6273C">
        <w:t xml:space="preserve"> by the </w:t>
      </w:r>
      <w:r w:rsidR="00821D1E" w:rsidRPr="00F6273C">
        <w:t>COVID</w:t>
      </w:r>
      <w:r w:rsidR="006B2A22" w:rsidRPr="00F6273C">
        <w:noBreakHyphen/>
      </w:r>
      <w:r w:rsidR="00821D1E" w:rsidRPr="00F6273C">
        <w:t xml:space="preserve">19 </w:t>
      </w:r>
      <w:r w:rsidR="00EC0F85" w:rsidRPr="00F6273C">
        <w:t>pandemic</w:t>
      </w:r>
      <w:r w:rsidR="00D43F7D" w:rsidRPr="00F6273C">
        <w:t xml:space="preserve"> relating to insolvency</w:t>
      </w:r>
      <w:r w:rsidR="003E53FA" w:rsidRPr="00F6273C">
        <w:t xml:space="preserve"> and other targeted relief</w:t>
      </w:r>
      <w:r w:rsidR="00670C7A" w:rsidRPr="00F6273C">
        <w:t xml:space="preserve"> to facilitate the continuation of business</w:t>
      </w:r>
      <w:r w:rsidR="003E53FA" w:rsidRPr="00F6273C">
        <w:t>.</w:t>
      </w:r>
      <w:r w:rsidR="00655369" w:rsidRPr="00F6273C">
        <w:rPr>
          <w:color w:val="FF0000"/>
        </w:rPr>
        <w:fldChar w:fldCharType="begin"/>
      </w:r>
      <w:r w:rsidR="00655369" w:rsidRPr="00F6273C">
        <w:rPr>
          <w:color w:val="FF0000"/>
        </w:rPr>
        <w:instrText xml:space="preserve"> :End:MCD_CB1 </w:instrText>
      </w:r>
      <w:r w:rsidR="00655369" w:rsidRPr="00F6273C">
        <w:rPr>
          <w:color w:val="FF0000"/>
        </w:rPr>
        <w:fldChar w:fldCharType="end"/>
      </w:r>
      <w:r w:rsidR="00AA0C91" w:rsidRPr="00F6273C">
        <w:t xml:space="preserve"> </w:t>
      </w:r>
      <w:r w:rsidR="00507E0A" w:rsidRPr="00F6273C">
        <w:rPr>
          <w:color w:val="0000FF"/>
        </w:rPr>
        <w:fldChar w:fldCharType="begin"/>
      </w:r>
      <w:r w:rsidR="00507E0A" w:rsidRPr="00F6273C">
        <w:rPr>
          <w:color w:val="0000FF"/>
        </w:rPr>
        <w:instrText xml:space="preserve"> :Start:MCD_CB3 </w:instrText>
      </w:r>
      <w:r w:rsidR="00507E0A" w:rsidRPr="00F6273C">
        <w:rPr>
          <w:color w:val="0000FF"/>
        </w:rPr>
        <w:fldChar w:fldCharType="end"/>
      </w:r>
      <w:r w:rsidR="00E41CFE" w:rsidRPr="00F6273C">
        <w:t>This includes deregulat</w:t>
      </w:r>
      <w:r w:rsidR="002F4BC3" w:rsidRPr="00F6273C">
        <w:t>ion</w:t>
      </w:r>
      <w:r w:rsidR="00E41CFE" w:rsidRPr="00F6273C">
        <w:t xml:space="preserve"> measures to allow companies to hold meetings virtually and execute documents electronically, to modify continuous disclosure provisions to enable companies to more confidently provide guidance to the market, and to provide relief to directors from personal liability for insolvent trading.</w:t>
      </w:r>
      <w:r w:rsidR="00BC721C" w:rsidRPr="00F6273C">
        <w:t xml:space="preserve"> </w:t>
      </w:r>
      <w:r w:rsidR="00507E0A" w:rsidRPr="00F6273C">
        <w:rPr>
          <w:color w:val="FF0000"/>
        </w:rPr>
        <w:fldChar w:fldCharType="begin"/>
      </w:r>
      <w:r w:rsidR="00507E0A" w:rsidRPr="00F6273C">
        <w:rPr>
          <w:color w:val="FF0000"/>
        </w:rPr>
        <w:instrText xml:space="preserve"> :End:MCD_CB3 </w:instrText>
      </w:r>
      <w:r w:rsidR="00507E0A" w:rsidRPr="00F6273C">
        <w:rPr>
          <w:color w:val="FF0000"/>
        </w:rPr>
        <w:fldChar w:fldCharType="end"/>
      </w:r>
    </w:p>
    <w:p w14:paraId="51AB95BA" w14:textId="6BAE3D28" w:rsidR="002D1CDB" w:rsidRPr="00F6273C" w:rsidRDefault="00003CB3" w:rsidP="00F835E5">
      <w:r w:rsidRPr="00F6273C">
        <w:rPr>
          <w:color w:val="0000FF"/>
        </w:rPr>
        <w:fldChar w:fldCharType="begin"/>
      </w:r>
      <w:r w:rsidRPr="00F6273C">
        <w:rPr>
          <w:color w:val="0000FF"/>
        </w:rPr>
        <w:instrText xml:space="preserve"> :Start:IITD_HT2 </w:instrText>
      </w:r>
      <w:r w:rsidRPr="00F6273C">
        <w:rPr>
          <w:color w:val="0000FF"/>
        </w:rPr>
        <w:fldChar w:fldCharType="end"/>
      </w:r>
      <w:r w:rsidR="00D36518" w:rsidRPr="00F6273C">
        <w:t>In addition to the cash flow support, t</w:t>
      </w:r>
      <w:r w:rsidR="002D1CDB" w:rsidRPr="00F6273C">
        <w:t>he Government is backing businesses to invest by increasing the instant asset write</w:t>
      </w:r>
      <w:r w:rsidR="006B2A22" w:rsidRPr="00F6273C">
        <w:noBreakHyphen/>
      </w:r>
      <w:r w:rsidR="002D1CDB" w:rsidRPr="00F6273C">
        <w:t>off threshold to $150,000 (up from $30,000) and expanding access to include businesses with aggregated annual turnover of less than $500 million (up from $50 million). Around 3.5 million businesses are eligible to access the $150,000 instant asset write</w:t>
      </w:r>
      <w:r w:rsidR="006B2A22" w:rsidRPr="00F6273C">
        <w:noBreakHyphen/>
      </w:r>
      <w:r w:rsidR="002D1CDB" w:rsidRPr="00F6273C">
        <w:t>off, which applies from 12 March 2020 until 31</w:t>
      </w:r>
      <w:r w:rsidR="003B09D8" w:rsidRPr="00F6273C">
        <w:t> </w:t>
      </w:r>
      <w:r w:rsidR="002D1CDB" w:rsidRPr="00F6273C">
        <w:t>December</w:t>
      </w:r>
      <w:r w:rsidR="003B09D8" w:rsidRPr="00F6273C">
        <w:t> </w:t>
      </w:r>
      <w:r w:rsidR="002D1CDB" w:rsidRPr="00F6273C">
        <w:t>2020. The threshold applies on a per asset basis, so eligible businesses can instantly write</w:t>
      </w:r>
      <w:r w:rsidR="006B2A22" w:rsidRPr="00F6273C">
        <w:noBreakHyphen/>
      </w:r>
      <w:r w:rsidR="002D1CDB" w:rsidRPr="00F6273C">
        <w:t>off multiple assets.</w:t>
      </w:r>
      <w:r w:rsidR="005D4378" w:rsidRPr="00F6273C">
        <w:rPr>
          <w:color w:val="FF0000"/>
        </w:rPr>
        <w:fldChar w:fldCharType="begin"/>
      </w:r>
      <w:r w:rsidR="005D4378" w:rsidRPr="00F6273C">
        <w:rPr>
          <w:color w:val="FF0000"/>
        </w:rPr>
        <w:instrText xml:space="preserve"> :End:IITD_HT2 </w:instrText>
      </w:r>
      <w:r w:rsidR="005D4378" w:rsidRPr="00F6273C">
        <w:rPr>
          <w:color w:val="FF0000"/>
        </w:rPr>
        <w:fldChar w:fldCharType="end"/>
      </w:r>
    </w:p>
    <w:p w14:paraId="32F86D83" w14:textId="16003F3C" w:rsidR="006E4526" w:rsidRPr="00F6273C" w:rsidRDefault="00F76775" w:rsidP="00F835E5">
      <w:r w:rsidRPr="00F6273C">
        <w:rPr>
          <w:color w:val="0000FF"/>
        </w:rPr>
        <w:fldChar w:fldCharType="begin"/>
      </w:r>
      <w:r w:rsidRPr="00F6273C">
        <w:rPr>
          <w:color w:val="0000FF"/>
        </w:rPr>
        <w:instrText xml:space="preserve"> :Start:CITD_PM1 </w:instrText>
      </w:r>
      <w:r w:rsidRPr="00F6273C">
        <w:rPr>
          <w:color w:val="0000FF"/>
        </w:rPr>
        <w:fldChar w:fldCharType="end"/>
      </w:r>
      <w:r w:rsidR="003E53FA" w:rsidRPr="00F6273C">
        <w:t xml:space="preserve">The Government is also supporting business through the time limited </w:t>
      </w:r>
      <w:r w:rsidR="00DA315B" w:rsidRPr="00F6273C">
        <w:t>B</w:t>
      </w:r>
      <w:r w:rsidR="003E53FA" w:rsidRPr="00F6273C">
        <w:t xml:space="preserve">acking </w:t>
      </w:r>
      <w:r w:rsidR="00DA315B" w:rsidRPr="00F6273C">
        <w:t>B</w:t>
      </w:r>
      <w:r w:rsidR="003E53FA" w:rsidRPr="00F6273C">
        <w:t xml:space="preserve">usiness </w:t>
      </w:r>
      <w:r w:rsidR="00DA315B" w:rsidRPr="00F6273C">
        <w:t>I</w:t>
      </w:r>
      <w:r w:rsidR="003E53FA" w:rsidRPr="00F6273C">
        <w:t>nvestment (BBI) incentive that allows businesses with aggregated turnover of less than $500 million to deduct 50</w:t>
      </w:r>
      <w:r w:rsidR="002E0631" w:rsidRPr="00F6273C">
        <w:t xml:space="preserve"> per cent</w:t>
      </w:r>
      <w:r w:rsidR="003E53FA" w:rsidRPr="00F6273C">
        <w:t xml:space="preserve"> of the cost of </w:t>
      </w:r>
      <w:r w:rsidR="003F4915" w:rsidRPr="00F6273C">
        <w:t>new eligible assets</w:t>
      </w:r>
      <w:r w:rsidR="003E53FA" w:rsidRPr="00F6273C">
        <w:t>, plus normal depreciation on the balance, in the year of acquisition, up to 30 June 2021. There is no limit on the cost of assets under the BBI.</w:t>
      </w:r>
      <w:r w:rsidRPr="00F6273C">
        <w:rPr>
          <w:color w:val="FF0000"/>
        </w:rPr>
        <w:fldChar w:fldCharType="begin"/>
      </w:r>
      <w:r w:rsidRPr="00F6273C">
        <w:rPr>
          <w:color w:val="FF0000"/>
        </w:rPr>
        <w:instrText xml:space="preserve"> :End:CITD_PM1 </w:instrText>
      </w:r>
      <w:r w:rsidRPr="00F6273C">
        <w:rPr>
          <w:color w:val="FF0000"/>
        </w:rPr>
        <w:fldChar w:fldCharType="end"/>
      </w:r>
    </w:p>
    <w:p w14:paraId="26DAA8FF" w14:textId="638FE33F" w:rsidR="00FC6171" w:rsidRPr="000E22D5" w:rsidRDefault="006E4526" w:rsidP="000E22D5">
      <w:r w:rsidRPr="00F6273C">
        <w:br w:type="page"/>
      </w:r>
    </w:p>
    <w:p w14:paraId="02909814" w14:textId="5EB60156" w:rsidR="00FC6171" w:rsidRPr="00F6273C" w:rsidRDefault="00507E0A" w:rsidP="00600957">
      <w:pPr>
        <w:pStyle w:val="Heading4"/>
      </w:pPr>
      <w:r w:rsidRPr="00F6273C">
        <w:rPr>
          <w:color w:val="0000FF"/>
        </w:rPr>
        <w:lastRenderedPageBreak/>
        <w:fldChar w:fldCharType="begin"/>
      </w:r>
      <w:r w:rsidRPr="00F6273C">
        <w:rPr>
          <w:color w:val="0000FF"/>
        </w:rPr>
        <w:instrText xml:space="preserve"> :Start:SPD_VW4 </w:instrText>
      </w:r>
      <w:r w:rsidRPr="00F6273C">
        <w:rPr>
          <w:color w:val="0000FF"/>
        </w:rPr>
        <w:fldChar w:fldCharType="end"/>
      </w:r>
      <w:r w:rsidR="00FC6171" w:rsidRPr="00F6273C">
        <w:t>Supporting Australians build their skills and return to work</w:t>
      </w:r>
      <w:r w:rsidRPr="00F6273C">
        <w:rPr>
          <w:color w:val="FF0000"/>
        </w:rPr>
        <w:fldChar w:fldCharType="begin"/>
      </w:r>
      <w:r w:rsidRPr="00F6273C">
        <w:rPr>
          <w:color w:val="FF0000"/>
        </w:rPr>
        <w:instrText xml:space="preserve"> :End:SPD_VW4 </w:instrText>
      </w:r>
      <w:r w:rsidRPr="00F6273C">
        <w:rPr>
          <w:color w:val="FF0000"/>
        </w:rPr>
        <w:fldChar w:fldCharType="end"/>
      </w:r>
    </w:p>
    <w:p w14:paraId="0026D671" w14:textId="5B6E0A99" w:rsidR="00FC6171" w:rsidRPr="00F6273C" w:rsidRDefault="007A4E3B" w:rsidP="00FC6171">
      <w:r w:rsidRPr="00F6273C">
        <w:rPr>
          <w:color w:val="0000FF"/>
        </w:rPr>
        <w:fldChar w:fldCharType="begin"/>
      </w:r>
      <w:r w:rsidRPr="00F6273C">
        <w:rPr>
          <w:color w:val="0000FF"/>
        </w:rPr>
        <w:instrText xml:space="preserve"> :Start:SPD_VW4 </w:instrText>
      </w:r>
      <w:r w:rsidRPr="00F6273C">
        <w:rPr>
          <w:color w:val="0000FF"/>
        </w:rPr>
        <w:fldChar w:fldCharType="end"/>
      </w:r>
      <w:r w:rsidR="00FC6171" w:rsidRPr="00F6273C">
        <w:t>The Government is funding additional training to ensure Australians have access to the critical skills needed as the economy recovers</w:t>
      </w:r>
      <w:r w:rsidR="00584EEA" w:rsidRPr="00F6273C">
        <w:t xml:space="preserve"> and many Australians return to work</w:t>
      </w:r>
      <w:r w:rsidR="00FC6171" w:rsidRPr="00F6273C">
        <w:t xml:space="preserve">. </w:t>
      </w:r>
    </w:p>
    <w:p w14:paraId="791BDFE6" w14:textId="1A2707F1" w:rsidR="00842556" w:rsidRPr="00F6273C" w:rsidRDefault="00FC6171" w:rsidP="00FC6171">
      <w:r w:rsidRPr="00F6273C">
        <w:t>The Government</w:t>
      </w:r>
      <w:r w:rsidR="006B2A22" w:rsidRPr="00F6273C">
        <w:t>’</w:t>
      </w:r>
      <w:r w:rsidRPr="00F6273C">
        <w:t xml:space="preserve">s </w:t>
      </w:r>
      <w:r w:rsidR="00160F79" w:rsidRPr="00F6273C">
        <w:t xml:space="preserve">$2 </w:t>
      </w:r>
      <w:r w:rsidR="00842556" w:rsidRPr="00F6273C">
        <w:t>b</w:t>
      </w:r>
      <w:r w:rsidR="00160F79" w:rsidRPr="00F6273C">
        <w:t xml:space="preserve">illion </w:t>
      </w:r>
      <w:proofErr w:type="spellStart"/>
      <w:r w:rsidR="00160F79" w:rsidRPr="00F6273C">
        <w:t>JobTrainer</w:t>
      </w:r>
      <w:proofErr w:type="spellEnd"/>
      <w:r w:rsidR="00160F79" w:rsidRPr="00F6273C">
        <w:t xml:space="preserve"> Skills </w:t>
      </w:r>
      <w:r w:rsidRPr="00F6273C">
        <w:t>Package</w:t>
      </w:r>
      <w:r w:rsidRPr="00F6273C">
        <w:rPr>
          <w:i/>
        </w:rPr>
        <w:t xml:space="preserve"> </w:t>
      </w:r>
      <w:r w:rsidRPr="00F6273C">
        <w:t>establishes a $</w:t>
      </w:r>
      <w:r w:rsidR="00853FDC" w:rsidRPr="00F6273C">
        <w:t>1</w:t>
      </w:r>
      <w:r w:rsidR="0022570D" w:rsidRPr="00F6273C">
        <w:t> </w:t>
      </w:r>
      <w:r w:rsidR="00853FDC" w:rsidRPr="00F6273C">
        <w:t xml:space="preserve">billion </w:t>
      </w:r>
      <w:proofErr w:type="spellStart"/>
      <w:r w:rsidR="00853FDC" w:rsidRPr="00F6273C">
        <w:t>JobTrainer</w:t>
      </w:r>
      <w:proofErr w:type="spellEnd"/>
      <w:r w:rsidR="00853FDC" w:rsidRPr="00F6273C">
        <w:t xml:space="preserve"> Fund</w:t>
      </w:r>
      <w:r w:rsidR="00160F79" w:rsidRPr="00F6273C">
        <w:t xml:space="preserve"> and extends the Supporting Apprentices and Trainees wage subsidy. The Government will contribute $500 million to the </w:t>
      </w:r>
      <w:proofErr w:type="spellStart"/>
      <w:r w:rsidR="00160F79" w:rsidRPr="00F6273C">
        <w:t>JobTrainer</w:t>
      </w:r>
      <w:proofErr w:type="spellEnd"/>
      <w:r w:rsidR="00160F79" w:rsidRPr="00F6273C">
        <w:t xml:space="preserve"> Fund, which will be jointly established </w:t>
      </w:r>
      <w:r w:rsidRPr="00F6273C">
        <w:t xml:space="preserve">with states and territories to provide a substantial boost to </w:t>
      </w:r>
      <w:proofErr w:type="gramStart"/>
      <w:r w:rsidRPr="00F6273C">
        <w:t>Australia</w:t>
      </w:r>
      <w:r w:rsidR="006B2A22" w:rsidRPr="00F6273C">
        <w:t>’</w:t>
      </w:r>
      <w:r w:rsidRPr="00F6273C">
        <w:t>s</w:t>
      </w:r>
      <w:proofErr w:type="gramEnd"/>
      <w:r w:rsidRPr="00F6273C">
        <w:t xml:space="preserve"> training system, ensuring that job seekers are able to reskill and upskill and get back to work as quickly as possible</w:t>
      </w:r>
      <w:r w:rsidR="00842556" w:rsidRPr="00F6273C">
        <w:t>.</w:t>
      </w:r>
      <w:r w:rsidR="00160F79" w:rsidRPr="00F6273C" w:rsidDel="00D36518">
        <w:t xml:space="preserve"> </w:t>
      </w:r>
    </w:p>
    <w:p w14:paraId="6ACE6022" w14:textId="2BE5F888" w:rsidR="00842556" w:rsidRPr="00F6273C" w:rsidRDefault="00842556" w:rsidP="00FC6171">
      <w:r w:rsidRPr="00F6273C" w:rsidDel="00D36518">
        <w:t xml:space="preserve">The Government is </w:t>
      </w:r>
      <w:r w:rsidRPr="00F6273C">
        <w:t>also helping businesses keep apprentices and trainees employed</w:t>
      </w:r>
      <w:r w:rsidRPr="00F6273C" w:rsidDel="00D36518">
        <w:t>. The Government</w:t>
      </w:r>
      <w:r w:rsidR="006B2A22" w:rsidRPr="00F6273C">
        <w:t>’</w:t>
      </w:r>
      <w:r w:rsidRPr="00F6273C" w:rsidDel="00D36518">
        <w:t>s initial $1.3 billion Supporting Apprentices and Trainees wage subsidy provides employers with 50 per cent of the apprentice or trainee</w:t>
      </w:r>
      <w:r w:rsidR="006B2A22" w:rsidRPr="00F6273C">
        <w:t>’</w:t>
      </w:r>
      <w:r w:rsidRPr="00F6273C" w:rsidDel="00D36518">
        <w:t>s wages for 9</w:t>
      </w:r>
      <w:r w:rsidR="006E4526" w:rsidRPr="00F6273C">
        <w:t> </w:t>
      </w:r>
      <w:r w:rsidRPr="00F6273C" w:rsidDel="00D36518">
        <w:t>months, up to $7,000 per quarter to support the continuity of training.</w:t>
      </w:r>
    </w:p>
    <w:p w14:paraId="6CFD4FBE" w14:textId="2AB81EE6" w:rsidR="00FC6171" w:rsidRPr="00F6273C" w:rsidRDefault="00160F79" w:rsidP="00FC6171">
      <w:r w:rsidRPr="00F6273C">
        <w:t>T</w:t>
      </w:r>
      <w:r w:rsidRPr="00F6273C" w:rsidDel="00D36518">
        <w:t>he Government has provid</w:t>
      </w:r>
      <w:r w:rsidR="003E26F8" w:rsidRPr="00F6273C">
        <w:t xml:space="preserve">ed an additional investment of </w:t>
      </w:r>
      <w:r w:rsidRPr="00F6273C" w:rsidDel="00D36518">
        <w:t>$</w:t>
      </w:r>
      <w:r w:rsidRPr="00F6273C">
        <w:t>1.5</w:t>
      </w:r>
      <w:r w:rsidR="00AC107F" w:rsidRPr="00F6273C">
        <w:t> </w:t>
      </w:r>
      <w:r w:rsidR="003E26F8" w:rsidRPr="00F6273C">
        <w:t>billion</w:t>
      </w:r>
      <w:r w:rsidRPr="00F6273C" w:rsidDel="00D36518">
        <w:t xml:space="preserve"> </w:t>
      </w:r>
      <w:r w:rsidR="003E26F8" w:rsidRPr="00F6273C">
        <w:t>to extend the measure for</w:t>
      </w:r>
      <w:r w:rsidRPr="00F6273C" w:rsidDel="00D36518">
        <w:t xml:space="preserve"> a further 6 months to 31 March 2021</w:t>
      </w:r>
      <w:r w:rsidRPr="00F6273C">
        <w:t xml:space="preserve"> and </w:t>
      </w:r>
      <w:r w:rsidR="003E26F8" w:rsidRPr="00F6273C">
        <w:t>expand it to include</w:t>
      </w:r>
      <w:r w:rsidRPr="00F6273C">
        <w:t xml:space="preserve"> </w:t>
      </w:r>
      <w:r w:rsidR="00BF76F5" w:rsidRPr="00F6273C">
        <w:t>medium</w:t>
      </w:r>
      <w:r w:rsidR="006B2A22" w:rsidRPr="00F6273C">
        <w:noBreakHyphen/>
      </w:r>
      <w:r w:rsidR="00BF76F5" w:rsidRPr="00F6273C">
        <w:t xml:space="preserve">sized </w:t>
      </w:r>
      <w:r w:rsidRPr="00F6273C">
        <w:t>businesses from 1</w:t>
      </w:r>
      <w:r w:rsidR="0022570D" w:rsidRPr="00F6273C">
        <w:t> </w:t>
      </w:r>
      <w:r w:rsidRPr="00F6273C">
        <w:t>July 2020</w:t>
      </w:r>
      <w:r w:rsidR="00BF76F5" w:rsidRPr="00F6273C">
        <w:t>, supporting businesses to maintain Australia</w:t>
      </w:r>
      <w:r w:rsidR="006B2A22" w:rsidRPr="00F6273C">
        <w:t>’</w:t>
      </w:r>
      <w:r w:rsidR="00BF76F5" w:rsidRPr="00F6273C">
        <w:t>s pipeline of skilled apprentices and trainees through the recovery.</w:t>
      </w:r>
    </w:p>
    <w:p w14:paraId="4CE920AE" w14:textId="69BCA433" w:rsidR="00FC6171" w:rsidRPr="00F6273C" w:rsidRDefault="00853FDC" w:rsidP="00FC6171">
      <w:r w:rsidRPr="00F6273C">
        <w:t>As part of its Supporting Job Seekers Package, t</w:t>
      </w:r>
      <w:r w:rsidR="00FC6171" w:rsidRPr="00F6273C">
        <w:t xml:space="preserve">he Government is </w:t>
      </w:r>
      <w:r w:rsidR="00D74404" w:rsidRPr="00F6273C">
        <w:t>investing $159.5</w:t>
      </w:r>
      <w:r w:rsidR="00AC107F" w:rsidRPr="00F6273C">
        <w:t> </w:t>
      </w:r>
      <w:r w:rsidR="00D74404" w:rsidRPr="00F6273C">
        <w:t>million to assist job seekers to improve their employability and search for work, including $115.</w:t>
      </w:r>
      <w:r w:rsidR="003E26F8" w:rsidRPr="00F6273C">
        <w:t xml:space="preserve">1 </w:t>
      </w:r>
      <w:r w:rsidR="00D74404" w:rsidRPr="00F6273C">
        <w:t xml:space="preserve">million to ensure job seekers </w:t>
      </w:r>
      <w:proofErr w:type="gramStart"/>
      <w:r w:rsidR="00D74404" w:rsidRPr="00F6273C">
        <w:t>can be connected</w:t>
      </w:r>
      <w:proofErr w:type="gramEnd"/>
      <w:r w:rsidR="00D74404" w:rsidRPr="00F6273C">
        <w:t xml:space="preserve"> to employment services at the earliest opportunity. This includes providing job seekers with earlier access to Employment Fund credits, providing the Coronavirus </w:t>
      </w:r>
      <w:r w:rsidR="007D0B82" w:rsidRPr="00F6273C">
        <w:t>Supplement</w:t>
      </w:r>
      <w:r w:rsidR="00D74404" w:rsidRPr="00F6273C">
        <w:t xml:space="preserve"> to eligible New Enterprise Incentive Scheme participants and enhancing IT systems to streamline registration and referral processes in order to simplify income support claims. </w:t>
      </w:r>
      <w:proofErr w:type="spellStart"/>
      <w:r w:rsidR="00D74404" w:rsidRPr="00F6273C">
        <w:t>Jobactive</w:t>
      </w:r>
      <w:proofErr w:type="spellEnd"/>
      <w:r w:rsidR="00D74404" w:rsidRPr="00F6273C">
        <w:t xml:space="preserve"> funding arrangements </w:t>
      </w:r>
      <w:proofErr w:type="gramStart"/>
      <w:r w:rsidR="00D74404" w:rsidRPr="00F6273C">
        <w:t>will also be amended</w:t>
      </w:r>
      <w:proofErr w:type="gramEnd"/>
      <w:r w:rsidR="00D74404" w:rsidRPr="00F6273C">
        <w:t xml:space="preserve"> to provide stable resourcing and maintain provider viability.</w:t>
      </w:r>
      <w:r w:rsidR="00AC107F" w:rsidRPr="00F6273C">
        <w:t xml:space="preserve"> This package will provide $2.7 </w:t>
      </w:r>
      <w:r w:rsidR="00D74404" w:rsidRPr="00F6273C">
        <w:t xml:space="preserve">million to extend Regional Employment Trials by a further 12 months, as well as $41.7 million to ensure mature aged workers can access funded training more easily and quickly to help them find work under changes to the Career Transition Assistance program. </w:t>
      </w:r>
      <w:r w:rsidR="007A4E3B" w:rsidRPr="00F6273C">
        <w:rPr>
          <w:color w:val="FF0000"/>
        </w:rPr>
        <w:fldChar w:fldCharType="begin"/>
      </w:r>
      <w:r w:rsidR="007A4E3B" w:rsidRPr="00F6273C">
        <w:rPr>
          <w:color w:val="FF0000"/>
        </w:rPr>
        <w:instrText xml:space="preserve"> :End:SPD_VW4 </w:instrText>
      </w:r>
      <w:r w:rsidR="007A4E3B" w:rsidRPr="00F6273C">
        <w:rPr>
          <w:color w:val="FF0000"/>
        </w:rPr>
        <w:fldChar w:fldCharType="end"/>
      </w:r>
    </w:p>
    <w:p w14:paraId="5F198D43" w14:textId="5AB24391" w:rsidR="001D31E1" w:rsidRPr="00F6273C" w:rsidRDefault="00FC6171" w:rsidP="00F835E5">
      <w:r w:rsidRPr="00F6273C">
        <w:rPr>
          <w:color w:val="0000FF"/>
        </w:rPr>
        <w:fldChar w:fldCharType="begin"/>
      </w:r>
      <w:r w:rsidRPr="00F6273C">
        <w:rPr>
          <w:color w:val="0000FF"/>
        </w:rPr>
        <w:instrText xml:space="preserve"> :Start:SPD_VW5 </w:instrText>
      </w:r>
      <w:r w:rsidRPr="00F6273C">
        <w:rPr>
          <w:color w:val="0000FF"/>
        </w:rPr>
        <w:fldChar w:fldCharType="end"/>
      </w:r>
      <w:r w:rsidRPr="00F6273C">
        <w:t>The Job</w:t>
      </w:r>
      <w:r w:rsidR="006B2A22" w:rsidRPr="00F6273C">
        <w:noBreakHyphen/>
      </w:r>
      <w:r w:rsidRPr="00F6273C">
        <w:t xml:space="preserve">ready Graduates Package focuses the public investment in higher education on national priorities and ensures the system delivers for students, industry and the community. The reforms will </w:t>
      </w:r>
      <w:r w:rsidR="001D31E1" w:rsidRPr="00F6273C">
        <w:t xml:space="preserve">create more places at Australian universities for domestic students, with an additional 39,000 </w:t>
      </w:r>
      <w:r w:rsidR="004A37CD">
        <w:t>by</w:t>
      </w:r>
      <w:r w:rsidR="001D31E1" w:rsidRPr="00F6273C">
        <w:t xml:space="preserve"> 2023 g</w:t>
      </w:r>
      <w:r w:rsidR="00195F43" w:rsidRPr="00F6273C">
        <w:t xml:space="preserve">rowing to 100,000 in ten years — </w:t>
      </w:r>
      <w:r w:rsidR="001D31E1" w:rsidRPr="00F6273C">
        <w:t>meaning that more Australian students will be able to get a university degree.</w:t>
      </w:r>
    </w:p>
    <w:p w14:paraId="65A5075B" w14:textId="6506CDCB" w:rsidR="00FC6171" w:rsidRPr="00F6273C" w:rsidRDefault="001D31E1" w:rsidP="00F835E5">
      <w:r w:rsidRPr="00F6273C">
        <w:t xml:space="preserve">The </w:t>
      </w:r>
      <w:proofErr w:type="gramStart"/>
      <w:r w:rsidRPr="00F6273C">
        <w:t xml:space="preserve">reforms </w:t>
      </w:r>
      <w:r w:rsidR="00FC6171" w:rsidRPr="00F6273C">
        <w:t>better</w:t>
      </w:r>
      <w:proofErr w:type="gramEnd"/>
      <w:r w:rsidR="00FC6171" w:rsidRPr="00F6273C">
        <w:t xml:space="preserve"> align government funding to emerging labour market priority areas. Students studying courses in key growth areas will see significant reductions in their student contributions, including by around one</w:t>
      </w:r>
      <w:r w:rsidR="006B2A22" w:rsidRPr="00F6273C">
        <w:noBreakHyphen/>
      </w:r>
      <w:r w:rsidR="00FC6171" w:rsidRPr="00F6273C">
        <w:t>fifth for science, engineering, health, and architecture, almost one</w:t>
      </w:r>
      <w:r w:rsidR="006B2A22" w:rsidRPr="00F6273C">
        <w:noBreakHyphen/>
      </w:r>
      <w:r w:rsidR="00FC6171" w:rsidRPr="00F6273C">
        <w:t>half for education and nursing, and over one</w:t>
      </w:r>
      <w:r w:rsidR="006B2A22" w:rsidRPr="00F6273C">
        <w:noBreakHyphen/>
      </w:r>
      <w:r w:rsidR="00FC6171" w:rsidRPr="00F6273C">
        <w:t>half for mathematics.</w:t>
      </w:r>
      <w:r w:rsidR="001C4797" w:rsidRPr="00F6273C">
        <w:rPr>
          <w:color w:val="FF0000"/>
        </w:rPr>
        <w:fldChar w:fldCharType="begin"/>
      </w:r>
      <w:r w:rsidR="001C4797" w:rsidRPr="00F6273C">
        <w:rPr>
          <w:color w:val="FF0000"/>
        </w:rPr>
        <w:instrText xml:space="preserve"> :End:SPD_VW5 </w:instrText>
      </w:r>
      <w:r w:rsidR="001C4797" w:rsidRPr="00F6273C">
        <w:rPr>
          <w:color w:val="FF0000"/>
        </w:rPr>
        <w:fldChar w:fldCharType="end"/>
      </w:r>
      <w:r w:rsidR="001C4797" w:rsidRPr="00F6273C">
        <w:t xml:space="preserve"> </w:t>
      </w:r>
    </w:p>
    <w:p w14:paraId="30C22540" w14:textId="12292CFE" w:rsidR="00937EB4" w:rsidRPr="00F6273C" w:rsidRDefault="0085713B" w:rsidP="00F835E5">
      <w:pPr>
        <w:pStyle w:val="Heading4"/>
      </w:pPr>
      <w:r w:rsidRPr="00F6273C">
        <w:rPr>
          <w:color w:val="0000FF"/>
        </w:rPr>
        <w:lastRenderedPageBreak/>
        <w:fldChar w:fldCharType="begin"/>
      </w:r>
      <w:r w:rsidRPr="00F6273C">
        <w:rPr>
          <w:color w:val="0000FF"/>
        </w:rPr>
        <w:instrText xml:space="preserve"> :Start:FSD_JK2 </w:instrText>
      </w:r>
      <w:r w:rsidRPr="00F6273C">
        <w:rPr>
          <w:color w:val="0000FF"/>
        </w:rPr>
        <w:fldChar w:fldCharType="end"/>
      </w:r>
      <w:r w:rsidR="00937EB4" w:rsidRPr="00F6273C">
        <w:t xml:space="preserve">Supporting the </w:t>
      </w:r>
      <w:r w:rsidR="006367BF" w:rsidRPr="00F6273C">
        <w:t>f</w:t>
      </w:r>
      <w:r w:rsidR="00937EB4" w:rsidRPr="00F6273C">
        <w:t xml:space="preserve">low of </w:t>
      </w:r>
      <w:r w:rsidR="006367BF" w:rsidRPr="00F6273C">
        <w:t>c</w:t>
      </w:r>
      <w:r w:rsidR="00937EB4" w:rsidRPr="00F6273C">
        <w:t>redit</w:t>
      </w:r>
      <w:r w:rsidRPr="00F6273C">
        <w:rPr>
          <w:color w:val="FF0000"/>
        </w:rPr>
        <w:fldChar w:fldCharType="begin"/>
      </w:r>
      <w:r w:rsidRPr="00F6273C">
        <w:rPr>
          <w:color w:val="FF0000"/>
        </w:rPr>
        <w:instrText xml:space="preserve"> :End:FSD_JK2 </w:instrText>
      </w:r>
      <w:r w:rsidRPr="00F6273C">
        <w:rPr>
          <w:color w:val="FF0000"/>
        </w:rPr>
        <w:fldChar w:fldCharType="end"/>
      </w:r>
      <w:r w:rsidR="00937EB4" w:rsidRPr="00F6273C">
        <w:t xml:space="preserve"> </w:t>
      </w:r>
    </w:p>
    <w:p w14:paraId="6FA013D6" w14:textId="32F6F913" w:rsidR="00937EB4" w:rsidRPr="00F6273C" w:rsidRDefault="00DC415B" w:rsidP="00DC3955">
      <w:r w:rsidRPr="00F6273C">
        <w:rPr>
          <w:color w:val="0000FF"/>
        </w:rPr>
        <w:fldChar w:fldCharType="begin"/>
      </w:r>
      <w:r w:rsidRPr="00F6273C">
        <w:rPr>
          <w:color w:val="0000FF"/>
        </w:rPr>
        <w:instrText xml:space="preserve"> :Start:FSD_JK2 </w:instrText>
      </w:r>
      <w:r w:rsidRPr="00F6273C">
        <w:rPr>
          <w:color w:val="0000FF"/>
        </w:rPr>
        <w:fldChar w:fldCharType="end"/>
      </w:r>
      <w:r w:rsidR="009C592D" w:rsidRPr="00F6273C">
        <w:t xml:space="preserve">The Government, Reserve Bank of Australia, Australian Prudential Regulation Authority and Australian Securities and Investments Commission have taken coordinated action to support the flow of credit in the Australian economy, in particular for </w:t>
      </w:r>
      <w:r w:rsidR="002F4BC3" w:rsidRPr="00F6273C">
        <w:t>small and medium</w:t>
      </w:r>
      <w:r w:rsidR="006B2A22" w:rsidRPr="00F6273C">
        <w:noBreakHyphen/>
      </w:r>
      <w:r w:rsidR="002F4BC3" w:rsidRPr="00F6273C">
        <w:t>sized enterprises (</w:t>
      </w:r>
      <w:r w:rsidR="009C592D" w:rsidRPr="00F6273C">
        <w:t>SMEs</w:t>
      </w:r>
      <w:r w:rsidR="002F4BC3" w:rsidRPr="00F6273C">
        <w:t>)</w:t>
      </w:r>
      <w:r w:rsidR="009C592D" w:rsidRPr="00F6273C">
        <w:t xml:space="preserve">. </w:t>
      </w:r>
    </w:p>
    <w:p w14:paraId="0F561809" w14:textId="49167B74" w:rsidR="00DC3955" w:rsidRPr="00F6273C" w:rsidRDefault="00DC3955" w:rsidP="00DC3955">
      <w:r w:rsidRPr="00F6273C">
        <w:t>The Government has provided an exemption from responsible lending obligations for a period of six months in relation to the credit that banks and other lenders extend to their existing small business customers.</w:t>
      </w:r>
      <w:r w:rsidR="0012041F" w:rsidRPr="00F6273C">
        <w:rPr>
          <w:color w:val="FF0000"/>
        </w:rPr>
        <w:fldChar w:fldCharType="begin"/>
      </w:r>
      <w:r w:rsidR="0012041F" w:rsidRPr="00F6273C">
        <w:rPr>
          <w:color w:val="FF0000"/>
        </w:rPr>
        <w:instrText xml:space="preserve"> :End:FSD_JK2 </w:instrText>
      </w:r>
      <w:r w:rsidR="0012041F" w:rsidRPr="00F6273C">
        <w:rPr>
          <w:color w:val="FF0000"/>
        </w:rPr>
        <w:fldChar w:fldCharType="end"/>
      </w:r>
    </w:p>
    <w:p w14:paraId="5D4594C2" w14:textId="77830AA2" w:rsidR="00750FEA" w:rsidRPr="00F6273C" w:rsidRDefault="00FE7EAC" w:rsidP="00F835E5">
      <w:r w:rsidRPr="00F6273C">
        <w:rPr>
          <w:color w:val="0000FF"/>
        </w:rPr>
        <w:fldChar w:fldCharType="begin"/>
      </w:r>
      <w:r w:rsidRPr="00F6273C">
        <w:rPr>
          <w:color w:val="0000FF"/>
        </w:rPr>
        <w:instrText xml:space="preserve"> :Start:FSD_JK1 </w:instrText>
      </w:r>
      <w:r w:rsidRPr="00F6273C">
        <w:rPr>
          <w:color w:val="0000FF"/>
        </w:rPr>
        <w:fldChar w:fldCharType="end"/>
      </w:r>
      <w:r w:rsidR="00CE01EA" w:rsidRPr="00F6273C">
        <w:t>The Government</w:t>
      </w:r>
      <w:r w:rsidR="006B2A22" w:rsidRPr="00F6273C">
        <w:t>’</w:t>
      </w:r>
      <w:r w:rsidR="00CE01EA" w:rsidRPr="00F6273C">
        <w:t>s Coronavirus SME Guarantee Scheme is supporting up to $40 billion of lending to help small and medium</w:t>
      </w:r>
      <w:r w:rsidR="006B2A22" w:rsidRPr="00F6273C">
        <w:noBreakHyphen/>
      </w:r>
      <w:r w:rsidR="00CE01EA" w:rsidRPr="00F6273C">
        <w:t xml:space="preserve">sized businesses get through </w:t>
      </w:r>
      <w:r w:rsidR="00F96476" w:rsidRPr="00F6273C">
        <w:t>COVID</w:t>
      </w:r>
      <w:r w:rsidR="006B2A22" w:rsidRPr="00F6273C">
        <w:noBreakHyphen/>
      </w:r>
      <w:r w:rsidR="00F96476" w:rsidRPr="00F6273C">
        <w:t>19.</w:t>
      </w:r>
      <w:r w:rsidR="001C0352" w:rsidRPr="00F6273C">
        <w:t xml:space="preserve"> More than 15,600 small and medium</w:t>
      </w:r>
      <w:r w:rsidR="006B2A22" w:rsidRPr="00F6273C">
        <w:noBreakHyphen/>
      </w:r>
      <w:r w:rsidR="0022570D" w:rsidRPr="00F6273C">
        <w:t>sized</w:t>
      </w:r>
      <w:r w:rsidR="001C0352" w:rsidRPr="00F6273C">
        <w:t xml:space="preserve"> businesses have accepted $1.5 billion in loans.</w:t>
      </w:r>
      <w:r w:rsidR="00F96476" w:rsidRPr="00F6273C">
        <w:t xml:space="preserve"> </w:t>
      </w:r>
      <w:r w:rsidR="00CE01EA" w:rsidRPr="00F6273C">
        <w:t>To enable continued support for businesses in recovery, and for those facing the ongoing impact of the pandemic, the Government will extend the Scheme to be available to loans written until 30 June 2021. In addition, targeted amendments to the Scheme</w:t>
      </w:r>
      <w:r w:rsidR="006B2A22" w:rsidRPr="00F6273C">
        <w:t>’</w:t>
      </w:r>
      <w:r w:rsidR="00CE01EA" w:rsidRPr="00F6273C">
        <w:t>s parameters will ensure that the loans available suit the evolving needs of SMEs.</w:t>
      </w:r>
      <w:r w:rsidRPr="00F6273C">
        <w:rPr>
          <w:color w:val="FF0000"/>
        </w:rPr>
        <w:fldChar w:fldCharType="begin"/>
      </w:r>
      <w:r w:rsidRPr="00F6273C">
        <w:rPr>
          <w:color w:val="FF0000"/>
        </w:rPr>
        <w:instrText xml:space="preserve"> :End:FSD_JK1 </w:instrText>
      </w:r>
      <w:r w:rsidRPr="00F6273C">
        <w:rPr>
          <w:color w:val="FF0000"/>
        </w:rPr>
        <w:fldChar w:fldCharType="end"/>
      </w:r>
    </w:p>
    <w:p w14:paraId="1DE1F842" w14:textId="5248D327" w:rsidR="00FE7EAC" w:rsidRPr="00F6273C" w:rsidRDefault="00C43EAF" w:rsidP="00F835E5">
      <w:r w:rsidRPr="00F6273C">
        <w:rPr>
          <w:color w:val="0000FF"/>
        </w:rPr>
        <w:fldChar w:fldCharType="begin"/>
      </w:r>
      <w:r w:rsidRPr="00F6273C">
        <w:rPr>
          <w:color w:val="0000FF"/>
        </w:rPr>
        <w:instrText xml:space="preserve"> :Start:FSD_JK3 </w:instrText>
      </w:r>
      <w:r w:rsidRPr="00F6273C">
        <w:rPr>
          <w:color w:val="0000FF"/>
        </w:rPr>
        <w:fldChar w:fldCharType="end"/>
      </w:r>
      <w:r w:rsidR="00576D3F" w:rsidRPr="00F6273C">
        <w:t xml:space="preserve">The </w:t>
      </w:r>
      <w:r w:rsidR="002D0776" w:rsidRPr="00F6273C">
        <w:t>Reserve Bank of Australia</w:t>
      </w:r>
      <w:r w:rsidR="002D0776" w:rsidRPr="00F6273C" w:rsidDel="002D0776">
        <w:t xml:space="preserve"> </w:t>
      </w:r>
      <w:r w:rsidR="00576D3F" w:rsidRPr="00F6273C">
        <w:t xml:space="preserve">has implemented measures that have significantly reduced </w:t>
      </w:r>
      <w:proofErr w:type="gramStart"/>
      <w:r w:rsidR="00576D3F" w:rsidRPr="00F6273C">
        <w:t>bank funding</w:t>
      </w:r>
      <w:proofErr w:type="gramEnd"/>
      <w:r w:rsidR="00576D3F" w:rsidRPr="00F6273C">
        <w:t xml:space="preserve"> costs, including the Term Funding Facility which will provide at least $90</w:t>
      </w:r>
      <w:r w:rsidR="002D0776" w:rsidRPr="00F6273C">
        <w:t> </w:t>
      </w:r>
      <w:r w:rsidR="00576D3F" w:rsidRPr="00F6273C">
        <w:t>billion in funding</w:t>
      </w:r>
      <w:r w:rsidR="00833991" w:rsidRPr="00F6273C">
        <w:t xml:space="preserve"> at a fixed interest rate of 0.25 per cent</w:t>
      </w:r>
      <w:r w:rsidR="00576D3F" w:rsidRPr="00F6273C">
        <w:t xml:space="preserve">. The </w:t>
      </w:r>
      <w:r w:rsidR="002D0776" w:rsidRPr="00F6273C">
        <w:t xml:space="preserve">Term Funding Facility </w:t>
      </w:r>
      <w:r w:rsidR="00576D3F" w:rsidRPr="00F6273C">
        <w:t>also provides incentives for banks to increase lending to businesses, with incentives greatest for lending to SMEs</w:t>
      </w:r>
      <w:r w:rsidR="00FE7EAC" w:rsidRPr="00F6273C">
        <w:t>.</w:t>
      </w:r>
    </w:p>
    <w:p w14:paraId="2939BFC5" w14:textId="0A854E8B" w:rsidR="00075844" w:rsidRPr="00F6273C" w:rsidRDefault="00CE01EA" w:rsidP="00F835E5">
      <w:r w:rsidRPr="00F6273C">
        <w:t>The Government</w:t>
      </w:r>
      <w:r w:rsidR="006B2A22" w:rsidRPr="00F6273C">
        <w:t>’</w:t>
      </w:r>
      <w:r w:rsidRPr="00F6273C">
        <w:t>s Structured Finance Support Fund is providing up to $15</w:t>
      </w:r>
      <w:r w:rsidR="002D0776" w:rsidRPr="00F6273C">
        <w:t> </w:t>
      </w:r>
      <w:r w:rsidRPr="00F6273C">
        <w:t>billion to the Australian Office of Financial Management to support continued access to structured finance markets used by smaller lenders providing both consumer and business credit.</w:t>
      </w:r>
      <w:r w:rsidR="00C43EAF" w:rsidRPr="00F6273C">
        <w:rPr>
          <w:color w:val="FF0000"/>
        </w:rPr>
        <w:fldChar w:fldCharType="begin"/>
      </w:r>
      <w:r w:rsidR="00C43EAF" w:rsidRPr="00F6273C">
        <w:rPr>
          <w:color w:val="FF0000"/>
        </w:rPr>
        <w:instrText xml:space="preserve"> :End:FSD_JK3 </w:instrText>
      </w:r>
      <w:r w:rsidR="00C43EAF" w:rsidRPr="00F6273C">
        <w:rPr>
          <w:color w:val="FF0000"/>
        </w:rPr>
        <w:fldChar w:fldCharType="end"/>
      </w:r>
    </w:p>
    <w:p w14:paraId="277EA423" w14:textId="1B1C17F4" w:rsidR="00075844" w:rsidRPr="00F6273C" w:rsidRDefault="001962ED" w:rsidP="00F835E5">
      <w:pPr>
        <w:pStyle w:val="Heading4"/>
      </w:pPr>
      <w:r w:rsidRPr="00F6273C">
        <w:rPr>
          <w:color w:val="0000FF"/>
        </w:rPr>
        <w:fldChar w:fldCharType="begin"/>
      </w:r>
      <w:r w:rsidRPr="00F6273C">
        <w:rPr>
          <w:color w:val="0000FF"/>
        </w:rPr>
        <w:instrText xml:space="preserve"> :Start:EIID_MB1 </w:instrText>
      </w:r>
      <w:r w:rsidRPr="00F6273C">
        <w:rPr>
          <w:color w:val="0000FF"/>
        </w:rPr>
        <w:fldChar w:fldCharType="end"/>
      </w:r>
      <w:r w:rsidR="00565BE0" w:rsidRPr="00F6273C">
        <w:t xml:space="preserve">Supporting </w:t>
      </w:r>
      <w:r w:rsidR="00F96476" w:rsidRPr="00F6273C">
        <w:t>COVID</w:t>
      </w:r>
      <w:r w:rsidR="006B2A22" w:rsidRPr="00F6273C">
        <w:noBreakHyphen/>
      </w:r>
      <w:r w:rsidR="00F96476" w:rsidRPr="00F6273C">
        <w:t>19</w:t>
      </w:r>
      <w:r w:rsidR="006B2A22" w:rsidRPr="00F6273C">
        <w:noBreakHyphen/>
      </w:r>
      <w:r w:rsidR="00565BE0" w:rsidRPr="00F6273C">
        <w:t>affected regions and communities</w:t>
      </w:r>
      <w:r w:rsidRPr="00F6273C">
        <w:rPr>
          <w:color w:val="FF0000"/>
        </w:rPr>
        <w:fldChar w:fldCharType="begin"/>
      </w:r>
      <w:r w:rsidRPr="00F6273C">
        <w:rPr>
          <w:color w:val="FF0000"/>
        </w:rPr>
        <w:instrText xml:space="preserve"> :End:EIID_MB1 </w:instrText>
      </w:r>
      <w:r w:rsidRPr="00F6273C">
        <w:rPr>
          <w:color w:val="FF0000"/>
        </w:rPr>
        <w:fldChar w:fldCharType="end"/>
      </w:r>
    </w:p>
    <w:p w14:paraId="1D707B74" w14:textId="7B65B013" w:rsidR="000B527C" w:rsidRPr="00F6273C" w:rsidRDefault="001962ED" w:rsidP="00633804">
      <w:r w:rsidRPr="00F6273C">
        <w:rPr>
          <w:color w:val="0000FF"/>
        </w:rPr>
        <w:fldChar w:fldCharType="begin"/>
      </w:r>
      <w:r w:rsidRPr="00F6273C">
        <w:rPr>
          <w:color w:val="0000FF"/>
        </w:rPr>
        <w:instrText xml:space="preserve"> :Start:EIID_MB1 </w:instrText>
      </w:r>
      <w:r w:rsidRPr="00F6273C">
        <w:rPr>
          <w:color w:val="0000FF"/>
        </w:rPr>
        <w:fldChar w:fldCharType="end"/>
      </w:r>
      <w:r w:rsidR="000B527C" w:rsidRPr="00F6273C">
        <w:t xml:space="preserve">The Government </w:t>
      </w:r>
      <w:r w:rsidR="007A38BA" w:rsidRPr="00F6273C">
        <w:t>has established a</w:t>
      </w:r>
      <w:r w:rsidR="000B527C" w:rsidRPr="00F6273C">
        <w:t xml:space="preserve"> $1 billion </w:t>
      </w:r>
      <w:r w:rsidR="007A38BA" w:rsidRPr="00F6273C">
        <w:t>COVID</w:t>
      </w:r>
      <w:r w:rsidR="006B2A22" w:rsidRPr="00F6273C">
        <w:noBreakHyphen/>
      </w:r>
      <w:r w:rsidR="007A38BA" w:rsidRPr="00F6273C">
        <w:t xml:space="preserve">19 Relief and Recovery Fund to provide </w:t>
      </w:r>
      <w:r w:rsidR="000B527C" w:rsidRPr="00F6273C">
        <w:t xml:space="preserve">direct support to the regions and communities most affected by the economic impacts of the </w:t>
      </w:r>
      <w:r w:rsidR="00EC0F85" w:rsidRPr="00F6273C">
        <w:t>pandemic</w:t>
      </w:r>
      <w:r w:rsidR="00573E98" w:rsidRPr="00F6273C">
        <w:t>,</w:t>
      </w:r>
      <w:r w:rsidR="004F3E34" w:rsidRPr="00F6273C">
        <w:t xml:space="preserve"> </w:t>
      </w:r>
      <w:r w:rsidR="000B527C" w:rsidRPr="00F6273C">
        <w:t>support</w:t>
      </w:r>
      <w:r w:rsidR="00573E98" w:rsidRPr="00F6273C">
        <w:t>ing</w:t>
      </w:r>
      <w:r w:rsidR="004F3E34" w:rsidRPr="00F6273C">
        <w:t xml:space="preserve"> a range of </w:t>
      </w:r>
      <w:r w:rsidR="000B527C" w:rsidRPr="00F6273C">
        <w:t xml:space="preserve">industries </w:t>
      </w:r>
      <w:r w:rsidR="002C64F1" w:rsidRPr="00F6273C">
        <w:t xml:space="preserve">including </w:t>
      </w:r>
      <w:r w:rsidR="000B527C" w:rsidRPr="00F6273C">
        <w:t xml:space="preserve">the aviation, agriculture, fisheries, tourism, and arts sectors. </w:t>
      </w:r>
      <w:r w:rsidR="006B1C30" w:rsidRPr="00F6273C">
        <w:t>Examples of support include</w:t>
      </w:r>
      <w:r w:rsidR="006D6B40" w:rsidRPr="00F6273C">
        <w:t>:</w:t>
      </w:r>
    </w:p>
    <w:p w14:paraId="6FD4234A" w14:textId="3F985794" w:rsidR="00262D86" w:rsidRPr="00F6273C" w:rsidRDefault="00262D86" w:rsidP="004B68D2">
      <w:pPr>
        <w:pStyle w:val="Bullet"/>
      </w:pPr>
      <w:r w:rsidRPr="00F6273C">
        <w:t xml:space="preserve">$110 million to </w:t>
      </w:r>
      <w:r w:rsidR="00C64329" w:rsidRPr="00F6273C">
        <w:t xml:space="preserve">reduce the cost of air freight, assisting Australian exporters to maintain markets and ensuring </w:t>
      </w:r>
      <w:r w:rsidRPr="00F6273C">
        <w:t>critical i</w:t>
      </w:r>
      <w:r w:rsidR="00195F43" w:rsidRPr="00F6273C">
        <w:t>mports continue to be available</w:t>
      </w:r>
    </w:p>
    <w:p w14:paraId="684FE9F3" w14:textId="318CFD5F" w:rsidR="006D6B40" w:rsidRPr="00F6273C" w:rsidRDefault="00633804" w:rsidP="004B68D2">
      <w:pPr>
        <w:pStyle w:val="Bullet"/>
      </w:pPr>
      <w:r w:rsidRPr="00F6273C">
        <w:t>$94.6 million for vital funding to exhibiting zoos and aquariums</w:t>
      </w:r>
      <w:r w:rsidR="00262D86" w:rsidRPr="00F6273C">
        <w:t>, including those in regional Australia</w:t>
      </w:r>
    </w:p>
    <w:p w14:paraId="1549C8CF" w14:textId="77777777" w:rsidR="00D72C33" w:rsidRPr="00F6273C" w:rsidRDefault="009F2DF6" w:rsidP="00633F6D">
      <w:pPr>
        <w:pStyle w:val="Bullet"/>
      </w:pPr>
      <w:r w:rsidRPr="00F6273C">
        <w:rPr>
          <w:rFonts w:eastAsia="Calibri"/>
        </w:rPr>
        <w:t>$36.3 million in 2020</w:t>
      </w:r>
      <w:r w:rsidR="006B2A22" w:rsidRPr="00F6273C">
        <w:rPr>
          <w:rFonts w:eastAsia="Calibri"/>
        </w:rPr>
        <w:noBreakHyphen/>
      </w:r>
      <w:r w:rsidRPr="00F6273C">
        <w:rPr>
          <w:rFonts w:eastAsia="Calibri"/>
        </w:rPr>
        <w:t>21 to provide support to agricultural show societies to meet the costs incurred through shows cancelled at short notice.</w:t>
      </w:r>
      <w:r w:rsidR="00633F6D" w:rsidRPr="00F6273C">
        <w:t xml:space="preserve"> </w:t>
      </w:r>
    </w:p>
    <w:p w14:paraId="19C88525" w14:textId="2FF5B0F2" w:rsidR="007673F7" w:rsidRPr="00F6273C" w:rsidRDefault="00D72C33" w:rsidP="000E22D5">
      <w:pPr>
        <w:rPr>
          <w:color w:val="FF0000"/>
        </w:rPr>
      </w:pPr>
      <w:r w:rsidRPr="00F6273C">
        <w:rPr>
          <w:color w:val="FF0000"/>
        </w:rPr>
        <w:br w:type="page"/>
      </w:r>
      <w:r w:rsidR="00633F6D" w:rsidRPr="00F6273C">
        <w:fldChar w:fldCharType="begin"/>
      </w:r>
      <w:r w:rsidR="00633F6D" w:rsidRPr="00F6273C">
        <w:instrText xml:space="preserve"> :End:EIID_MB1 </w:instrText>
      </w:r>
      <w:r w:rsidR="00633F6D" w:rsidRPr="00F6273C">
        <w:fldChar w:fldCharType="end"/>
      </w:r>
    </w:p>
    <w:p w14:paraId="44BC584D" w14:textId="2E4A4236" w:rsidR="00573E98" w:rsidRPr="00F6273C" w:rsidRDefault="007A4E3B" w:rsidP="00600957">
      <w:pPr>
        <w:rPr>
          <w:rFonts w:ascii="Arial Bold" w:hAnsi="Arial Bold"/>
          <w:b/>
        </w:rPr>
      </w:pPr>
      <w:r w:rsidRPr="00F6273C">
        <w:rPr>
          <w:rFonts w:ascii="Arial Bold" w:hAnsi="Arial Bold"/>
          <w:b/>
          <w:color w:val="0000FF"/>
        </w:rPr>
        <w:lastRenderedPageBreak/>
        <w:fldChar w:fldCharType="begin"/>
      </w:r>
      <w:r w:rsidRPr="00F6273C">
        <w:rPr>
          <w:rFonts w:ascii="Arial Bold" w:hAnsi="Arial Bold"/>
          <w:b/>
          <w:color w:val="0000FF"/>
        </w:rPr>
        <w:instrText xml:space="preserve"> :Start:EIID_MB2 </w:instrText>
      </w:r>
      <w:r w:rsidRPr="00F6273C">
        <w:rPr>
          <w:rFonts w:ascii="Arial Bold" w:hAnsi="Arial Bold"/>
          <w:b/>
          <w:color w:val="0000FF"/>
        </w:rPr>
        <w:fldChar w:fldCharType="end"/>
      </w:r>
      <w:r w:rsidR="00573E98" w:rsidRPr="00F6273C">
        <w:rPr>
          <w:rFonts w:ascii="Arial Bold" w:hAnsi="Arial Bold"/>
          <w:b/>
        </w:rPr>
        <w:t>Supporting local jobs and investing in infrastructure</w:t>
      </w:r>
      <w:r w:rsidR="008D36E0" w:rsidRPr="00F6273C">
        <w:rPr>
          <w:color w:val="FF0000"/>
          <w:lang w:eastAsia="en-US"/>
        </w:rPr>
        <w:fldChar w:fldCharType="begin"/>
      </w:r>
      <w:r w:rsidR="008D36E0" w:rsidRPr="00F6273C">
        <w:rPr>
          <w:color w:val="FF0000"/>
          <w:lang w:eastAsia="en-US"/>
        </w:rPr>
        <w:instrText xml:space="preserve"> :End:EIID_MB2 </w:instrText>
      </w:r>
      <w:r w:rsidR="008D36E0" w:rsidRPr="00F6273C">
        <w:rPr>
          <w:color w:val="FF0000"/>
          <w:lang w:eastAsia="en-US"/>
        </w:rPr>
        <w:fldChar w:fldCharType="end"/>
      </w:r>
    </w:p>
    <w:p w14:paraId="08AA13D4" w14:textId="1FF1672A" w:rsidR="00D36518" w:rsidRPr="00F6273C" w:rsidRDefault="008C08B5" w:rsidP="00600957">
      <w:pPr>
        <w:rPr>
          <w:lang w:eastAsia="en-US"/>
        </w:rPr>
      </w:pPr>
      <w:r w:rsidRPr="00F6273C">
        <w:rPr>
          <w:color w:val="0000FF"/>
          <w:lang w:eastAsia="en-US"/>
        </w:rPr>
        <w:fldChar w:fldCharType="begin"/>
      </w:r>
      <w:r w:rsidRPr="00F6273C">
        <w:rPr>
          <w:color w:val="0000FF"/>
          <w:lang w:eastAsia="en-US"/>
        </w:rPr>
        <w:instrText xml:space="preserve"> :Start:EIID_MB2 </w:instrText>
      </w:r>
      <w:r w:rsidRPr="00F6273C">
        <w:rPr>
          <w:color w:val="0000FF"/>
          <w:lang w:eastAsia="en-US"/>
        </w:rPr>
        <w:fldChar w:fldCharType="end"/>
      </w:r>
      <w:r w:rsidR="00262D86" w:rsidRPr="00F6273C">
        <w:rPr>
          <w:lang w:eastAsia="en-US"/>
        </w:rPr>
        <w:t>T</w:t>
      </w:r>
      <w:r w:rsidR="00633804" w:rsidRPr="00F6273C">
        <w:rPr>
          <w:lang w:eastAsia="en-US"/>
        </w:rPr>
        <w:t>he Government</w:t>
      </w:r>
      <w:r w:rsidR="008466D3" w:rsidRPr="00F6273C">
        <w:rPr>
          <w:lang w:eastAsia="en-US"/>
        </w:rPr>
        <w:t xml:space="preserve"> </w:t>
      </w:r>
      <w:r w:rsidR="009F2DF6" w:rsidRPr="00F6273C">
        <w:rPr>
          <w:lang w:eastAsia="en-US"/>
        </w:rPr>
        <w:t>continues to deliver</w:t>
      </w:r>
      <w:r w:rsidR="008466D3" w:rsidRPr="00F6273C">
        <w:rPr>
          <w:lang w:eastAsia="en-US"/>
        </w:rPr>
        <w:t xml:space="preserve"> </w:t>
      </w:r>
      <w:r w:rsidR="003C3DA2" w:rsidRPr="00F6273C">
        <w:rPr>
          <w:lang w:eastAsia="en-US"/>
        </w:rPr>
        <w:t xml:space="preserve">its </w:t>
      </w:r>
      <w:r w:rsidR="00633804" w:rsidRPr="00F6273C">
        <w:rPr>
          <w:lang w:eastAsia="en-US"/>
        </w:rPr>
        <w:t>$100 billion pipeline of investment in transport infrastructure</w:t>
      </w:r>
      <w:r w:rsidR="00453041" w:rsidRPr="00F6273C">
        <w:rPr>
          <w:lang w:eastAsia="en-US"/>
        </w:rPr>
        <w:t>. The Government will provide $2.0 billion over three years from 2020</w:t>
      </w:r>
      <w:r w:rsidR="006B2A22" w:rsidRPr="00F6273C">
        <w:rPr>
          <w:lang w:eastAsia="en-US"/>
        </w:rPr>
        <w:noBreakHyphen/>
      </w:r>
      <w:r w:rsidR="00453041" w:rsidRPr="00F6273C">
        <w:rPr>
          <w:lang w:eastAsia="en-US"/>
        </w:rPr>
        <w:t>21 for priority regional and urban transport infrastructure across Australia to support local jobs and economic recovery post COVID</w:t>
      </w:r>
      <w:r w:rsidR="006B2A22" w:rsidRPr="00F6273C">
        <w:rPr>
          <w:lang w:eastAsia="en-US"/>
        </w:rPr>
        <w:noBreakHyphen/>
      </w:r>
      <w:r w:rsidR="00453041" w:rsidRPr="00F6273C">
        <w:rPr>
          <w:lang w:eastAsia="en-US"/>
        </w:rPr>
        <w:t>19. This includes</w:t>
      </w:r>
      <w:r w:rsidR="00633804" w:rsidRPr="00F6273C">
        <w:rPr>
          <w:lang w:eastAsia="en-US"/>
        </w:rPr>
        <w:t xml:space="preserve"> $1 billion for shovel</w:t>
      </w:r>
      <w:r w:rsidR="006B2A22" w:rsidRPr="00F6273C">
        <w:rPr>
          <w:lang w:eastAsia="en-US"/>
        </w:rPr>
        <w:noBreakHyphen/>
      </w:r>
      <w:r w:rsidR="00633804" w:rsidRPr="00F6273C">
        <w:rPr>
          <w:lang w:eastAsia="en-US"/>
        </w:rPr>
        <w:t xml:space="preserve">ready projects and $500 million for targeted road safety works. </w:t>
      </w:r>
      <w:r w:rsidR="00453041" w:rsidRPr="00F6273C">
        <w:rPr>
          <w:lang w:eastAsia="en-US"/>
        </w:rPr>
        <w:t>It also includes</w:t>
      </w:r>
      <w:r w:rsidR="008466D3" w:rsidRPr="00F6273C">
        <w:rPr>
          <w:lang w:eastAsia="en-US"/>
        </w:rPr>
        <w:t xml:space="preserve"> $500 million to local government</w:t>
      </w:r>
      <w:r w:rsidR="009F2DF6" w:rsidRPr="00F6273C">
        <w:rPr>
          <w:lang w:eastAsia="en-US"/>
        </w:rPr>
        <w:t>s</w:t>
      </w:r>
      <w:r w:rsidR="008466D3" w:rsidRPr="00F6273C">
        <w:rPr>
          <w:lang w:eastAsia="en-US"/>
        </w:rPr>
        <w:t xml:space="preserve"> for a new Local Roads and Community Infrastructure </w:t>
      </w:r>
      <w:proofErr w:type="gramStart"/>
      <w:r w:rsidR="008466D3" w:rsidRPr="00F6273C">
        <w:rPr>
          <w:lang w:eastAsia="en-US"/>
        </w:rPr>
        <w:t>Program</w:t>
      </w:r>
      <w:r w:rsidR="009F2DF6" w:rsidRPr="00F6273C">
        <w:rPr>
          <w:lang w:eastAsia="en-US"/>
        </w:rPr>
        <w:t xml:space="preserve"> which</w:t>
      </w:r>
      <w:proofErr w:type="gramEnd"/>
      <w:r w:rsidR="009F2DF6" w:rsidRPr="00F6273C">
        <w:rPr>
          <w:lang w:eastAsia="en-US"/>
        </w:rPr>
        <w:t xml:space="preserve"> will help local councils undertake priority projects focused on infrastructure upgrades and maintenance</w:t>
      </w:r>
      <w:r w:rsidR="008466D3" w:rsidRPr="00F6273C">
        <w:rPr>
          <w:lang w:eastAsia="en-US"/>
        </w:rPr>
        <w:t>.</w:t>
      </w:r>
      <w:r w:rsidR="003B03A1" w:rsidRPr="00F6273C">
        <w:rPr>
          <w:color w:val="FF0000"/>
          <w:lang w:eastAsia="en-US"/>
        </w:rPr>
        <w:fldChar w:fldCharType="begin"/>
      </w:r>
      <w:r w:rsidR="003B03A1" w:rsidRPr="00F6273C">
        <w:rPr>
          <w:color w:val="FF0000"/>
          <w:lang w:eastAsia="en-US"/>
        </w:rPr>
        <w:instrText xml:space="preserve"> :End:EIID_MB2 </w:instrText>
      </w:r>
      <w:r w:rsidR="003B03A1" w:rsidRPr="00F6273C">
        <w:rPr>
          <w:color w:val="FF0000"/>
          <w:lang w:eastAsia="en-US"/>
        </w:rPr>
        <w:fldChar w:fldCharType="end"/>
      </w:r>
      <w:r w:rsidR="008466D3" w:rsidRPr="00F6273C">
        <w:rPr>
          <w:lang w:eastAsia="en-US"/>
        </w:rPr>
        <w:t> </w:t>
      </w:r>
    </w:p>
    <w:p w14:paraId="3735D829" w14:textId="69948040" w:rsidR="00573E98" w:rsidRPr="00F6273C" w:rsidRDefault="00F044C2" w:rsidP="00600957">
      <w:pPr>
        <w:rPr>
          <w:lang w:eastAsia="en-US"/>
        </w:rPr>
      </w:pPr>
      <w:r w:rsidRPr="00F6273C">
        <w:rPr>
          <w:color w:val="0000FF"/>
          <w:lang w:eastAsia="en-US"/>
        </w:rPr>
        <w:fldChar w:fldCharType="begin"/>
      </w:r>
      <w:r w:rsidRPr="00F6273C">
        <w:rPr>
          <w:color w:val="0000FF"/>
          <w:lang w:eastAsia="en-US"/>
        </w:rPr>
        <w:instrText xml:space="preserve"> :Start:EIID_MB2 </w:instrText>
      </w:r>
      <w:r w:rsidRPr="00F6273C">
        <w:rPr>
          <w:color w:val="0000FF"/>
          <w:lang w:eastAsia="en-US"/>
        </w:rPr>
        <w:fldChar w:fldCharType="end"/>
      </w:r>
      <w:r w:rsidR="00573E98" w:rsidRPr="00F6273C">
        <w:rPr>
          <w:lang w:eastAsia="en-US"/>
        </w:rPr>
        <w:t>The Government will also provide an additional $1.9 billion towards other infrastructure priorities, including $1.8 billion for the Sydney Metro</w:t>
      </w:r>
      <w:r w:rsidR="006B2A22" w:rsidRPr="00F6273C">
        <w:rPr>
          <w:lang w:eastAsia="en-US"/>
        </w:rPr>
        <w:noBreakHyphen/>
      </w:r>
      <w:r w:rsidR="00573E98" w:rsidRPr="00F6273C">
        <w:rPr>
          <w:lang w:eastAsia="en-US"/>
        </w:rPr>
        <w:t>Western Sydney Airport rail project.</w:t>
      </w:r>
      <w:r w:rsidRPr="00F6273C">
        <w:rPr>
          <w:lang w:eastAsia="en-US"/>
        </w:rPr>
        <w:t xml:space="preserve"> </w:t>
      </w:r>
      <w:r w:rsidRPr="00F6273C">
        <w:rPr>
          <w:color w:val="FF0000"/>
          <w:lang w:eastAsia="en-US"/>
        </w:rPr>
        <w:fldChar w:fldCharType="begin"/>
      </w:r>
      <w:r w:rsidRPr="00F6273C">
        <w:rPr>
          <w:color w:val="FF0000"/>
          <w:lang w:eastAsia="en-US"/>
        </w:rPr>
        <w:instrText xml:space="preserve"> :End:EIID_MB2 </w:instrText>
      </w:r>
      <w:r w:rsidRPr="00F6273C">
        <w:rPr>
          <w:color w:val="FF0000"/>
          <w:lang w:eastAsia="en-US"/>
        </w:rPr>
        <w:fldChar w:fldCharType="end"/>
      </w:r>
    </w:p>
    <w:p w14:paraId="1C975301" w14:textId="534BC087" w:rsidR="00075844" w:rsidRPr="00F6273C" w:rsidRDefault="00520F1E" w:rsidP="00F835E5">
      <w:pPr>
        <w:pStyle w:val="Heading3"/>
      </w:pPr>
      <w:r w:rsidRPr="00F6273C">
        <w:rPr>
          <w:color w:val="0000FF"/>
        </w:rPr>
        <w:fldChar w:fldCharType="begin"/>
      </w:r>
      <w:r w:rsidRPr="00F6273C">
        <w:rPr>
          <w:color w:val="0000FF"/>
        </w:rPr>
        <w:instrText xml:space="preserve"> :Start:BPD_JR1 </w:instrText>
      </w:r>
      <w:r w:rsidRPr="00F6273C">
        <w:rPr>
          <w:color w:val="0000FF"/>
        </w:rPr>
        <w:fldChar w:fldCharType="end"/>
      </w:r>
      <w:r w:rsidR="00075844" w:rsidRPr="00F6273C">
        <w:t>S</w:t>
      </w:r>
      <w:r w:rsidR="00E4479F" w:rsidRPr="00F6273C">
        <w:t>upporting</w:t>
      </w:r>
      <w:r w:rsidR="00075844" w:rsidRPr="00F6273C">
        <w:t xml:space="preserve"> industries</w:t>
      </w:r>
      <w:r w:rsidR="00E4479F" w:rsidRPr="00F6273C">
        <w:t xml:space="preserve"> most heavily</w:t>
      </w:r>
      <w:r w:rsidR="00075844" w:rsidRPr="00F6273C">
        <w:t xml:space="preserve"> </w:t>
      </w:r>
      <w:r w:rsidR="00E4479F" w:rsidRPr="00F6273C">
        <w:t>affected by</w:t>
      </w:r>
      <w:r w:rsidR="00716DBC" w:rsidRPr="00F6273C">
        <w:t xml:space="preserve"> the</w:t>
      </w:r>
      <w:r w:rsidR="00E4479F" w:rsidRPr="00F6273C">
        <w:t xml:space="preserve"> </w:t>
      </w:r>
      <w:r w:rsidR="00F96476" w:rsidRPr="00F6273C">
        <w:t>COVID</w:t>
      </w:r>
      <w:r w:rsidR="006B2A22" w:rsidRPr="00F6273C">
        <w:noBreakHyphen/>
      </w:r>
      <w:r w:rsidR="00F96476" w:rsidRPr="00F6273C">
        <w:t>19</w:t>
      </w:r>
      <w:r w:rsidR="00716DBC" w:rsidRPr="00F6273C">
        <w:t xml:space="preserve"> pandemic</w:t>
      </w:r>
      <w:r w:rsidRPr="00F6273C">
        <w:rPr>
          <w:color w:val="FF0000"/>
        </w:rPr>
        <w:fldChar w:fldCharType="begin"/>
      </w:r>
      <w:r w:rsidRPr="00F6273C">
        <w:rPr>
          <w:color w:val="FF0000"/>
        </w:rPr>
        <w:instrText xml:space="preserve"> :End:BPD_JR1 </w:instrText>
      </w:r>
      <w:r w:rsidRPr="00F6273C">
        <w:rPr>
          <w:color w:val="FF0000"/>
        </w:rPr>
        <w:fldChar w:fldCharType="end"/>
      </w:r>
      <w:r w:rsidR="00565BE0" w:rsidRPr="00F6273C">
        <w:t xml:space="preserve"> </w:t>
      </w:r>
    </w:p>
    <w:p w14:paraId="74582181" w14:textId="022F77B5" w:rsidR="00075844" w:rsidRPr="00F6273C" w:rsidRDefault="008C08B5" w:rsidP="00F835E5">
      <w:pPr>
        <w:pStyle w:val="Heading4"/>
      </w:pPr>
      <w:r w:rsidRPr="00F6273C">
        <w:rPr>
          <w:color w:val="0000FF"/>
        </w:rPr>
        <w:fldChar w:fldCharType="begin"/>
      </w:r>
      <w:r w:rsidRPr="00F6273C">
        <w:rPr>
          <w:color w:val="0000FF"/>
        </w:rPr>
        <w:instrText xml:space="preserve"> :Start:SPD_VW5 </w:instrText>
      </w:r>
      <w:r w:rsidRPr="00F6273C">
        <w:rPr>
          <w:color w:val="0000FF"/>
        </w:rPr>
        <w:fldChar w:fldCharType="end"/>
      </w:r>
      <w:r w:rsidR="003D7DB8" w:rsidRPr="00F6273C">
        <w:t>C</w:t>
      </w:r>
      <w:r w:rsidR="00075844" w:rsidRPr="00F6273C">
        <w:t>hildcare</w:t>
      </w:r>
      <w:r w:rsidR="003D7DB8" w:rsidRPr="00F6273C">
        <w:t xml:space="preserve"> </w:t>
      </w:r>
      <w:r w:rsidR="00CA47EE" w:rsidRPr="00F6273C">
        <w:t>and higher education</w:t>
      </w:r>
    </w:p>
    <w:p w14:paraId="49080938" w14:textId="4DC822BD" w:rsidR="003D7DB8" w:rsidRPr="00F6273C" w:rsidRDefault="003D7DB8" w:rsidP="003D7DB8">
      <w:r w:rsidRPr="00F6273C">
        <w:t>The Government</w:t>
      </w:r>
      <w:r w:rsidR="00DA315B" w:rsidRPr="00F6273C">
        <w:t xml:space="preserve"> </w:t>
      </w:r>
      <w:r w:rsidR="00BD2B82" w:rsidRPr="00F6273C">
        <w:t>has provided</w:t>
      </w:r>
      <w:r w:rsidR="006B1C30" w:rsidRPr="00F6273C">
        <w:t xml:space="preserve"> $</w:t>
      </w:r>
      <w:r w:rsidR="00BF5E4E" w:rsidRPr="00F6273C">
        <w:t xml:space="preserve">1.9 </w:t>
      </w:r>
      <w:r w:rsidR="006B1C30" w:rsidRPr="00F6273C">
        <w:t>billion</w:t>
      </w:r>
      <w:r w:rsidR="00BF5E4E" w:rsidRPr="00F6273C">
        <w:t xml:space="preserve"> to</w:t>
      </w:r>
      <w:r w:rsidRPr="00F6273C">
        <w:t xml:space="preserve"> support the viability of the early childhood education and care sector </w:t>
      </w:r>
      <w:r w:rsidR="00390A4B" w:rsidRPr="00F6273C">
        <w:t xml:space="preserve">and to provide families free childcare </w:t>
      </w:r>
      <w:r w:rsidRPr="00F6273C">
        <w:t xml:space="preserve">during the </w:t>
      </w:r>
      <w:r w:rsidR="001939C1" w:rsidRPr="00F6273C">
        <w:t xml:space="preserve">earlier </w:t>
      </w:r>
      <w:r w:rsidR="00390A4B" w:rsidRPr="00F6273C">
        <w:t xml:space="preserve">stages of the </w:t>
      </w:r>
      <w:r w:rsidRPr="00F6273C">
        <w:t xml:space="preserve">pandemic. The </w:t>
      </w:r>
      <w:r w:rsidR="006C5BF3" w:rsidRPr="00F6273C">
        <w:t xml:space="preserve">Early Childhood Education and Care </w:t>
      </w:r>
      <w:r w:rsidRPr="00F6273C">
        <w:t>Relief Package meant that 99</w:t>
      </w:r>
      <w:r w:rsidR="009D0443" w:rsidRPr="00F6273C">
        <w:t> </w:t>
      </w:r>
      <w:r w:rsidR="004A37CD">
        <w:t>per cent of 13,400 child</w:t>
      </w:r>
      <w:r w:rsidRPr="00F6273C">
        <w:t xml:space="preserve">care services remained </w:t>
      </w:r>
      <w:r w:rsidR="00FC7853" w:rsidRPr="00F6273C">
        <w:t>operational.</w:t>
      </w:r>
      <w:r w:rsidRPr="00F6273C">
        <w:t xml:space="preserve"> </w:t>
      </w:r>
      <w:r w:rsidR="009A544A" w:rsidRPr="00F6273C">
        <w:t xml:space="preserve">In addition, the </w:t>
      </w:r>
      <w:proofErr w:type="gramStart"/>
      <w:r w:rsidRPr="00F6273C">
        <w:t>Government</w:t>
      </w:r>
      <w:r w:rsidR="009A544A" w:rsidRPr="00F6273C">
        <w:t>,</w:t>
      </w:r>
      <w:proofErr w:type="gramEnd"/>
      <w:r w:rsidRPr="00F6273C">
        <w:t xml:space="preserve"> provided weekly Business Continuity Payments</w:t>
      </w:r>
      <w:r w:rsidR="009A544A" w:rsidRPr="00F6273C">
        <w:t xml:space="preserve"> to childcare providers</w:t>
      </w:r>
      <w:r w:rsidRPr="00F6273C">
        <w:t xml:space="preserve"> </w:t>
      </w:r>
      <w:r w:rsidR="00FC7853" w:rsidRPr="00F6273C">
        <w:t>(</w:t>
      </w:r>
      <w:r w:rsidRPr="00F6273C">
        <w:t>equivalent to 50 per cent of the sector</w:t>
      </w:r>
      <w:r w:rsidR="006B2A22" w:rsidRPr="00F6273C">
        <w:t>’</w:t>
      </w:r>
      <w:r w:rsidR="006C5BF3" w:rsidRPr="00F6273C">
        <w:t>s</w:t>
      </w:r>
      <w:r w:rsidRPr="00F6273C">
        <w:t xml:space="preserve"> fee revenue</w:t>
      </w:r>
      <w:r w:rsidR="00FC7853" w:rsidRPr="00F6273C">
        <w:t xml:space="preserve"> based on a pre</w:t>
      </w:r>
      <w:r w:rsidR="006B2A22" w:rsidRPr="00F6273C">
        <w:noBreakHyphen/>
      </w:r>
      <w:r w:rsidR="00FC7853" w:rsidRPr="00F6273C">
        <w:t>pandemic reference period),</w:t>
      </w:r>
      <w:r w:rsidRPr="00F6273C">
        <w:t xml:space="preserve"> exceptional circumstance supplementary payments</w:t>
      </w:r>
      <w:r w:rsidR="00F21D2E">
        <w:t xml:space="preserve"> </w:t>
      </w:r>
      <w:r w:rsidR="00416715">
        <w:t xml:space="preserve">and access to the </w:t>
      </w:r>
      <w:proofErr w:type="spellStart"/>
      <w:r w:rsidR="00416715">
        <w:t>JobKeeper</w:t>
      </w:r>
      <w:proofErr w:type="spellEnd"/>
      <w:r w:rsidR="00416715">
        <w:t xml:space="preserve"> P</w:t>
      </w:r>
      <w:r w:rsidR="00FC7853" w:rsidRPr="00F6273C">
        <w:t>ayment</w:t>
      </w:r>
      <w:r w:rsidRPr="00F6273C">
        <w:t>.</w:t>
      </w:r>
    </w:p>
    <w:p w14:paraId="38A25DE7" w14:textId="1C90D90E" w:rsidR="003D7DB8" w:rsidRPr="00F6273C" w:rsidRDefault="003D7DB8" w:rsidP="00F835E5">
      <w:r w:rsidRPr="00F6273C">
        <w:t xml:space="preserve">On 13 July 2020, the Government </w:t>
      </w:r>
      <w:r w:rsidR="00716DBC" w:rsidRPr="00F6273C">
        <w:t>re</w:t>
      </w:r>
      <w:r w:rsidR="006B2A22" w:rsidRPr="00F6273C">
        <w:noBreakHyphen/>
      </w:r>
      <w:r w:rsidR="00716DBC" w:rsidRPr="00F6273C">
        <w:t>established the</w:t>
      </w:r>
      <w:r w:rsidRPr="00F6273C">
        <w:t xml:space="preserve"> Child Care Subsidy arrangements </w:t>
      </w:r>
      <w:r w:rsidR="005628A4" w:rsidRPr="00F6273C">
        <w:t>to</w:t>
      </w:r>
      <w:r w:rsidR="00F85B62" w:rsidRPr="00F6273C">
        <w:t xml:space="preserve"> ensure</w:t>
      </w:r>
      <w:r w:rsidR="004A37CD">
        <w:t xml:space="preserve"> sufficient child</w:t>
      </w:r>
      <w:r w:rsidRPr="00F6273C">
        <w:t>care</w:t>
      </w:r>
      <w:r w:rsidR="005628A4" w:rsidRPr="00F6273C">
        <w:t xml:space="preserve"> places are available to </w:t>
      </w:r>
      <w:r w:rsidR="00716DBC" w:rsidRPr="00F6273C">
        <w:t xml:space="preserve">all </w:t>
      </w:r>
      <w:r w:rsidR="005628A4" w:rsidRPr="00F6273C">
        <w:t>families</w:t>
      </w:r>
      <w:r w:rsidRPr="00F6273C">
        <w:t xml:space="preserve"> and parents who wish to work.</w:t>
      </w:r>
      <w:r w:rsidR="00F85B62" w:rsidRPr="00F6273C">
        <w:t xml:space="preserve"> Families will continue to </w:t>
      </w:r>
      <w:proofErr w:type="gramStart"/>
      <w:r w:rsidR="00F85B62" w:rsidRPr="00F6273C">
        <w:t>be supported</w:t>
      </w:r>
      <w:proofErr w:type="gramEnd"/>
      <w:r w:rsidR="00F85B62" w:rsidRPr="00F6273C">
        <w:t xml:space="preserve"> through this transition by easing </w:t>
      </w:r>
      <w:r w:rsidR="00AA7229" w:rsidRPr="00F6273C">
        <w:t>the Child Care Subsidy</w:t>
      </w:r>
      <w:r w:rsidR="00F85B62" w:rsidRPr="00F6273C">
        <w:t xml:space="preserve"> activity test requirements and ensuring childcare fees remain at their pre</w:t>
      </w:r>
      <w:r w:rsidR="006B2A22" w:rsidRPr="00F6273C">
        <w:noBreakHyphen/>
      </w:r>
      <w:r w:rsidR="00F96476" w:rsidRPr="00F6273C">
        <w:t>COVID</w:t>
      </w:r>
      <w:r w:rsidR="006B2A22" w:rsidRPr="00F6273C">
        <w:noBreakHyphen/>
      </w:r>
      <w:r w:rsidR="00F96476" w:rsidRPr="00F6273C">
        <w:t>19</w:t>
      </w:r>
      <w:r w:rsidR="00C65E05" w:rsidRPr="00F6273C">
        <w:t xml:space="preserve"> </w:t>
      </w:r>
      <w:r w:rsidR="00F85B62" w:rsidRPr="00F6273C">
        <w:t>levels.</w:t>
      </w:r>
      <w:r w:rsidRPr="00F6273C">
        <w:t xml:space="preserve"> </w:t>
      </w:r>
    </w:p>
    <w:p w14:paraId="37555094" w14:textId="4CC42DAB" w:rsidR="00117AB4" w:rsidRPr="00F6273C" w:rsidRDefault="003C419A" w:rsidP="002B695F">
      <w:pPr>
        <w:rPr>
          <w:szCs w:val="24"/>
        </w:rPr>
      </w:pPr>
      <w:r w:rsidRPr="00F6273C">
        <w:t>In higher education, the</w:t>
      </w:r>
      <w:r w:rsidR="002B695F" w:rsidRPr="00F6273C">
        <w:t xml:space="preserve"> Government has guaranteed $18 billion in funding for universities for 2020, and has provided greater flexibility in</w:t>
      </w:r>
      <w:r w:rsidR="00356A1F" w:rsidRPr="00F6273C">
        <w:t xml:space="preserve"> the</w:t>
      </w:r>
      <w:r w:rsidR="002B695F" w:rsidRPr="00F6273C">
        <w:t xml:space="preserve"> use of this funding. </w:t>
      </w:r>
      <w:r w:rsidR="002B695F" w:rsidRPr="00F6273C">
        <w:rPr>
          <w:szCs w:val="24"/>
        </w:rPr>
        <w:t xml:space="preserve">In addition, the cost to study short, online courses </w:t>
      </w:r>
      <w:r w:rsidR="00716DBC" w:rsidRPr="00F6273C">
        <w:rPr>
          <w:szCs w:val="24"/>
        </w:rPr>
        <w:t>through</w:t>
      </w:r>
      <w:r w:rsidR="002B695F" w:rsidRPr="00F6273C">
        <w:rPr>
          <w:szCs w:val="24"/>
        </w:rPr>
        <w:t xml:space="preserve"> universities and private providers </w:t>
      </w:r>
      <w:proofErr w:type="gramStart"/>
      <w:r w:rsidR="002B695F" w:rsidRPr="00F6273C">
        <w:rPr>
          <w:szCs w:val="24"/>
        </w:rPr>
        <w:t>has been reduced</w:t>
      </w:r>
      <w:proofErr w:type="gramEnd"/>
      <w:r w:rsidR="002B695F" w:rsidRPr="00F6273C">
        <w:rPr>
          <w:szCs w:val="24"/>
        </w:rPr>
        <w:t xml:space="preserve"> to </w:t>
      </w:r>
      <w:r w:rsidR="00716DBC" w:rsidRPr="00F6273C">
        <w:rPr>
          <w:szCs w:val="24"/>
        </w:rPr>
        <w:t xml:space="preserve">support </w:t>
      </w:r>
      <w:r w:rsidR="002B695F" w:rsidRPr="00F6273C">
        <w:rPr>
          <w:szCs w:val="24"/>
        </w:rPr>
        <w:t xml:space="preserve">Australians </w:t>
      </w:r>
      <w:r w:rsidR="00716DBC" w:rsidRPr="00F6273C">
        <w:rPr>
          <w:szCs w:val="24"/>
        </w:rPr>
        <w:t xml:space="preserve">to </w:t>
      </w:r>
      <w:r w:rsidR="008D36E0" w:rsidRPr="00F6273C">
        <w:rPr>
          <w:szCs w:val="24"/>
        </w:rPr>
        <w:t>upskill or reskill.</w:t>
      </w:r>
      <w:r w:rsidR="008C08B5" w:rsidRPr="00F6273C">
        <w:rPr>
          <w:color w:val="FF0000"/>
          <w:szCs w:val="24"/>
        </w:rPr>
        <w:fldChar w:fldCharType="begin"/>
      </w:r>
      <w:r w:rsidR="008C08B5" w:rsidRPr="00F6273C">
        <w:rPr>
          <w:color w:val="FF0000"/>
          <w:szCs w:val="24"/>
        </w:rPr>
        <w:instrText xml:space="preserve"> :End:SPD_VW5 </w:instrText>
      </w:r>
      <w:r w:rsidR="008C08B5" w:rsidRPr="00F6273C">
        <w:rPr>
          <w:color w:val="FF0000"/>
          <w:szCs w:val="24"/>
        </w:rPr>
        <w:fldChar w:fldCharType="end"/>
      </w:r>
    </w:p>
    <w:p w14:paraId="740A5163" w14:textId="5F898487" w:rsidR="00075844" w:rsidRPr="00F6273C" w:rsidRDefault="008D36E0" w:rsidP="00F835E5">
      <w:pPr>
        <w:pStyle w:val="Heading4"/>
      </w:pPr>
      <w:r w:rsidRPr="00F6273C">
        <w:rPr>
          <w:color w:val="0000FF"/>
        </w:rPr>
        <w:fldChar w:fldCharType="begin"/>
      </w:r>
      <w:r w:rsidRPr="00F6273C">
        <w:rPr>
          <w:color w:val="0000FF"/>
        </w:rPr>
        <w:instrText xml:space="preserve"> :Start:EIID_MB4 </w:instrText>
      </w:r>
      <w:r w:rsidRPr="00F6273C">
        <w:rPr>
          <w:color w:val="0000FF"/>
        </w:rPr>
        <w:fldChar w:fldCharType="end"/>
      </w:r>
      <w:r w:rsidR="003D7DB8" w:rsidRPr="00F6273C">
        <w:t>A</w:t>
      </w:r>
      <w:r w:rsidR="00E4479F" w:rsidRPr="00F6273C">
        <w:t xml:space="preserve">viation </w:t>
      </w:r>
    </w:p>
    <w:p w14:paraId="5A082226" w14:textId="3FDD61EC" w:rsidR="00FA065E" w:rsidRPr="00F6273C" w:rsidRDefault="00FA065E" w:rsidP="00FA065E">
      <w:r w:rsidRPr="00F6273C">
        <w:t>The COVID</w:t>
      </w:r>
      <w:r w:rsidR="006B2A22" w:rsidRPr="00F6273C">
        <w:noBreakHyphen/>
      </w:r>
      <w:r w:rsidRPr="00F6273C">
        <w:t xml:space="preserve">19 pandemic brought steep reductions in passenger air </w:t>
      </w:r>
      <w:proofErr w:type="gramStart"/>
      <w:r w:rsidRPr="00F6273C">
        <w:t>travel which</w:t>
      </w:r>
      <w:proofErr w:type="gramEnd"/>
      <w:r w:rsidRPr="00F6273C">
        <w:t xml:space="preserve"> heavily impacted Australia</w:t>
      </w:r>
      <w:r w:rsidR="006B2A22" w:rsidRPr="00F6273C">
        <w:t>’</w:t>
      </w:r>
      <w:r w:rsidRPr="00F6273C">
        <w:t xml:space="preserve">s aviation sector. </w:t>
      </w:r>
      <w:r w:rsidR="00727E9F" w:rsidRPr="00F6273C">
        <w:t>To support the aviation sector, the Government will provide $1.9 billion over four years from 2019</w:t>
      </w:r>
      <w:r w:rsidR="006B2A22" w:rsidRPr="00F6273C">
        <w:noBreakHyphen/>
      </w:r>
      <w:r w:rsidR="00727E9F" w:rsidRPr="00F6273C">
        <w:t>20 as part of the Government</w:t>
      </w:r>
      <w:r w:rsidR="006B2A22" w:rsidRPr="00F6273C">
        <w:t>’</w:t>
      </w:r>
      <w:r w:rsidR="00727E9F" w:rsidRPr="00F6273C">
        <w:t>s response to the COVID</w:t>
      </w:r>
      <w:r w:rsidR="006B2A22" w:rsidRPr="00F6273C">
        <w:noBreakHyphen/>
      </w:r>
      <w:r w:rsidR="00727E9F" w:rsidRPr="00F6273C">
        <w:t xml:space="preserve">19 pandemic. This includes the Australian Airline Financial Relief Package, which provides support for the sector through rebates and fee waivers for aviation fuel excise, </w:t>
      </w:r>
      <w:proofErr w:type="spellStart"/>
      <w:r w:rsidR="00B9516C" w:rsidRPr="00F6273C">
        <w:t>a</w:t>
      </w:r>
      <w:r w:rsidR="00727E9F" w:rsidRPr="00F6273C">
        <w:t>irservices</w:t>
      </w:r>
      <w:proofErr w:type="spellEnd"/>
      <w:r w:rsidR="00727E9F" w:rsidRPr="00F6273C">
        <w:t xml:space="preserve"> charges on commercial aircraft operators and domestic and regional aviation security charges. In addition, the Government is </w:t>
      </w:r>
      <w:r w:rsidR="00727E9F" w:rsidRPr="00F6273C">
        <w:lastRenderedPageBreak/>
        <w:t>providing support to maintain connectivity between capital cities and with regions through the Domestic Aviation Network Support program.</w:t>
      </w:r>
    </w:p>
    <w:p w14:paraId="510BE0AC" w14:textId="3D822D0F" w:rsidR="00727E9F" w:rsidRPr="00F6273C" w:rsidRDefault="00453041" w:rsidP="00FA065E">
      <w:pPr>
        <w:rPr>
          <w:rFonts w:ascii="Calibri" w:hAnsi="Calibri"/>
        </w:rPr>
      </w:pPr>
      <w:r w:rsidRPr="00F6273C">
        <w:t>The Government support is in addition to $428 million for the aviation sector that the Government will provide under the COVID</w:t>
      </w:r>
      <w:r w:rsidR="006B2A22" w:rsidRPr="00F6273C">
        <w:noBreakHyphen/>
      </w:r>
      <w:r w:rsidRPr="00F6273C">
        <w:t xml:space="preserve">19 Relief and Recovery Fund, which includes the Regional Airline Network Support program that ensures regional </w:t>
      </w:r>
      <w:proofErr w:type="gramStart"/>
      <w:r w:rsidRPr="00F6273C">
        <w:t>communities</w:t>
      </w:r>
      <w:proofErr w:type="gramEnd"/>
      <w:r w:rsidRPr="00F6273C">
        <w:t xml:space="preserve"> continue to receive essential air services</w:t>
      </w:r>
      <w:r w:rsidR="00727E9F" w:rsidRPr="00F6273C">
        <w:t>.</w:t>
      </w:r>
      <w:r w:rsidR="008D36E0" w:rsidRPr="00F6273C">
        <w:rPr>
          <w:color w:val="FF0000"/>
        </w:rPr>
        <w:fldChar w:fldCharType="begin"/>
      </w:r>
      <w:r w:rsidR="008D36E0" w:rsidRPr="00F6273C">
        <w:rPr>
          <w:color w:val="FF0000"/>
        </w:rPr>
        <w:instrText xml:space="preserve"> :End:EIID_MB4 </w:instrText>
      </w:r>
      <w:r w:rsidR="008D36E0" w:rsidRPr="00F6273C">
        <w:rPr>
          <w:color w:val="FF0000"/>
        </w:rPr>
        <w:fldChar w:fldCharType="end"/>
      </w:r>
    </w:p>
    <w:p w14:paraId="2A7CC1FA" w14:textId="4408686B" w:rsidR="002B695F" w:rsidRPr="00F6273C" w:rsidRDefault="00F3513F" w:rsidP="00F835E5">
      <w:pPr>
        <w:pStyle w:val="Heading4"/>
      </w:pPr>
      <w:r w:rsidRPr="00F6273C">
        <w:rPr>
          <w:color w:val="0000FF"/>
        </w:rPr>
        <w:fldChar w:fldCharType="begin"/>
      </w:r>
      <w:r w:rsidRPr="00F6273C">
        <w:rPr>
          <w:color w:val="0000FF"/>
        </w:rPr>
        <w:instrText xml:space="preserve"> :Start:SPD_VW1 </w:instrText>
      </w:r>
      <w:r w:rsidRPr="00F6273C">
        <w:rPr>
          <w:color w:val="0000FF"/>
        </w:rPr>
        <w:fldChar w:fldCharType="end"/>
      </w:r>
      <w:r w:rsidR="002B695F" w:rsidRPr="00F6273C">
        <w:t>Aged care</w:t>
      </w:r>
    </w:p>
    <w:p w14:paraId="65D2C291" w14:textId="2342FA64" w:rsidR="009E347A" w:rsidRPr="00F6273C" w:rsidRDefault="003C3DA2" w:rsidP="007673F7">
      <w:r w:rsidRPr="00F6273C">
        <w:t>The Government is ensuring the aged care sector is able to continue to provide care to some of our most vulnerable Australians. Since the beginning of the COVID</w:t>
      </w:r>
      <w:r w:rsidR="006B2A22" w:rsidRPr="00F6273C">
        <w:noBreakHyphen/>
      </w:r>
      <w:r w:rsidRPr="00F6273C">
        <w:t xml:space="preserve">19 pandemic, the Government has provided $1.2 billion of direct assistance to support Australians in aged care including the provision of additional home care packages and additional funding to protect senior Australians in residential facilities. </w:t>
      </w:r>
      <w:r w:rsidR="00A800DA" w:rsidRPr="00F6273C">
        <w:rPr>
          <w:color w:val="FF0000"/>
        </w:rPr>
        <w:fldChar w:fldCharType="begin"/>
      </w:r>
      <w:r w:rsidR="00A800DA" w:rsidRPr="00F6273C">
        <w:rPr>
          <w:color w:val="FF0000"/>
        </w:rPr>
        <w:instrText xml:space="preserve"> :End:SPD_VW1 </w:instrText>
      </w:r>
      <w:r w:rsidR="00A800DA" w:rsidRPr="00F6273C">
        <w:rPr>
          <w:color w:val="FF0000"/>
        </w:rPr>
        <w:fldChar w:fldCharType="end"/>
      </w:r>
    </w:p>
    <w:p w14:paraId="5961FFC2" w14:textId="30EC41CE" w:rsidR="00075844" w:rsidRPr="00F6273C" w:rsidRDefault="00F3513F" w:rsidP="00F835E5">
      <w:pPr>
        <w:pStyle w:val="Heading4"/>
      </w:pPr>
      <w:r w:rsidRPr="00F6273C">
        <w:rPr>
          <w:color w:val="0000FF"/>
        </w:rPr>
        <w:fldChar w:fldCharType="begin"/>
      </w:r>
      <w:r w:rsidRPr="00F6273C">
        <w:rPr>
          <w:color w:val="0000FF"/>
        </w:rPr>
        <w:instrText xml:space="preserve"> :Start:EIID_MB3 </w:instrText>
      </w:r>
      <w:r w:rsidRPr="00F6273C">
        <w:rPr>
          <w:color w:val="0000FF"/>
        </w:rPr>
        <w:fldChar w:fldCharType="end"/>
      </w:r>
      <w:r w:rsidR="003D7DB8" w:rsidRPr="00F6273C">
        <w:t>A</w:t>
      </w:r>
      <w:r w:rsidR="00075844" w:rsidRPr="00F6273C">
        <w:t>rts</w:t>
      </w:r>
      <w:r w:rsidR="00F84EB9" w:rsidRPr="00F6273C">
        <w:t xml:space="preserve"> and</w:t>
      </w:r>
      <w:r w:rsidR="00B9516C" w:rsidRPr="00F6273C">
        <w:t xml:space="preserve"> entertainment</w:t>
      </w:r>
    </w:p>
    <w:p w14:paraId="7F4EBC4C" w14:textId="38C9C898" w:rsidR="00F84EB9" w:rsidRPr="00F6273C" w:rsidRDefault="00F84EB9" w:rsidP="00F84EB9">
      <w:r w:rsidRPr="00F6273C">
        <w:t>The Government has committed $250 million to support production and employment in the arts and entertainment sectors. The Government commitment is a targeted package to help restart the creative economy and get the entertainment, arts and screen sectors back to work, as they rebuild from the impac</w:t>
      </w:r>
      <w:r w:rsidR="009E347A" w:rsidRPr="00F6273C">
        <w:t>ts of COVID</w:t>
      </w:r>
      <w:r w:rsidR="006B2A22" w:rsidRPr="00F6273C">
        <w:noBreakHyphen/>
      </w:r>
      <w:r w:rsidR="009E347A" w:rsidRPr="00F6273C">
        <w:t>19, which includes:</w:t>
      </w:r>
    </w:p>
    <w:p w14:paraId="0A9AAF71" w14:textId="4C764EC6" w:rsidR="00F84EB9" w:rsidRPr="00F6273C" w:rsidRDefault="00F84EB9" w:rsidP="007673F7">
      <w:pPr>
        <w:pStyle w:val="Bullet"/>
      </w:pPr>
      <w:r w:rsidRPr="00F6273C">
        <w:t>$75 million in new competitive grants providing capital to help production and event businesses to put on new festivals, concerts, tours and events as physical distancing restrictions ease, including through innovative operating and digital delivery models</w:t>
      </w:r>
    </w:p>
    <w:p w14:paraId="6B493107" w14:textId="0B18110C" w:rsidR="00F84EB9" w:rsidRPr="00F6273C" w:rsidRDefault="00F84EB9" w:rsidP="007673F7">
      <w:pPr>
        <w:pStyle w:val="Bullet"/>
      </w:pPr>
      <w:r w:rsidRPr="00F6273C">
        <w:t>up to $90 million in concessional loans to assist creative economy businesses to fund new productions and events that stimulate job</w:t>
      </w:r>
      <w:r w:rsidR="00030178" w:rsidRPr="00F6273C">
        <w:t xml:space="preserve"> creation and economic activity</w:t>
      </w:r>
    </w:p>
    <w:p w14:paraId="71EAD579" w14:textId="3BBC224B" w:rsidR="00F84EB9" w:rsidRPr="00F6273C" w:rsidRDefault="00F84EB9" w:rsidP="007673F7">
      <w:pPr>
        <w:pStyle w:val="Bullet"/>
      </w:pPr>
      <w:r w:rsidRPr="00F6273C">
        <w:t>$50 million for a Temporary Interruption Fund, to be administered by Screen Australia, which will remove production barriers for the film and television industry</w:t>
      </w:r>
    </w:p>
    <w:p w14:paraId="590C6D94" w14:textId="14F5572A" w:rsidR="00F84EB9" w:rsidRPr="00F6273C" w:rsidRDefault="00F84EB9" w:rsidP="007673F7">
      <w:pPr>
        <w:pStyle w:val="Bullet"/>
      </w:pPr>
      <w:r w:rsidRPr="00F6273C">
        <w:t>$35 million to assist Australia Council</w:t>
      </w:r>
      <w:r w:rsidR="006B2A22" w:rsidRPr="00F6273C">
        <w:noBreakHyphen/>
      </w:r>
      <w:r w:rsidRPr="00F6273C">
        <w:t xml:space="preserve">funded arts businesses whose viability </w:t>
      </w:r>
      <w:proofErr w:type="gramStart"/>
      <w:r w:rsidRPr="00F6273C">
        <w:t>is threatened</w:t>
      </w:r>
      <w:proofErr w:type="gramEnd"/>
      <w:r w:rsidRPr="00F6273C">
        <w:t xml:space="preserve"> by the COVID</w:t>
      </w:r>
      <w:r w:rsidR="006B2A22" w:rsidRPr="00F6273C">
        <w:noBreakHyphen/>
      </w:r>
      <w:r w:rsidRPr="00F6273C">
        <w:t>19 pandemic.</w:t>
      </w:r>
    </w:p>
    <w:p w14:paraId="16DF8C6E" w14:textId="41D91062" w:rsidR="00F84EB9" w:rsidRPr="00F6273C" w:rsidRDefault="00F84EB9" w:rsidP="00F84EB9">
      <w:r w:rsidRPr="00F6273C">
        <w:t>The Government will also provide $400 million over seven years from 2020</w:t>
      </w:r>
      <w:r w:rsidR="006B2A22" w:rsidRPr="00F6273C">
        <w:noBreakHyphen/>
      </w:r>
      <w:r w:rsidRPr="00F6273C">
        <w:t>21 to attract overseas film and television production to Australia through the Location Incentive.</w:t>
      </w:r>
    </w:p>
    <w:p w14:paraId="7CB20F86" w14:textId="22FA8233" w:rsidR="00633804" w:rsidRPr="00F6273C" w:rsidRDefault="00F84EB9" w:rsidP="00633804">
      <w:r w:rsidRPr="00F6273C">
        <w:t xml:space="preserve">The Government has also provided targeted support to the arts sector through the Relief and Recovery Fund with a further $27 million for regional and </w:t>
      </w:r>
      <w:r w:rsidR="001442D5" w:rsidRPr="00F6273C">
        <w:t>I</w:t>
      </w:r>
      <w:r w:rsidRPr="00F6273C">
        <w:t>ndigenous arts and crisis relief for people in the music industry including performers and touring crew.</w:t>
      </w:r>
      <w:r w:rsidR="00F3513F" w:rsidRPr="00F6273C">
        <w:rPr>
          <w:color w:val="FF0000"/>
        </w:rPr>
        <w:fldChar w:fldCharType="begin"/>
      </w:r>
      <w:r w:rsidR="00F3513F" w:rsidRPr="00F6273C">
        <w:rPr>
          <w:color w:val="FF0000"/>
        </w:rPr>
        <w:instrText xml:space="preserve"> :End:EIID_MB3 </w:instrText>
      </w:r>
      <w:r w:rsidR="00F3513F" w:rsidRPr="00F6273C">
        <w:rPr>
          <w:color w:val="FF0000"/>
        </w:rPr>
        <w:fldChar w:fldCharType="end"/>
      </w:r>
    </w:p>
    <w:p w14:paraId="508980E6" w14:textId="5EB9862E" w:rsidR="00C50D2D" w:rsidRPr="00F6273C" w:rsidRDefault="00C50D2D" w:rsidP="00C50D2D">
      <w:pPr>
        <w:pStyle w:val="Heading4"/>
      </w:pPr>
      <w:r w:rsidRPr="00F6273C">
        <w:rPr>
          <w:color w:val="0000FF"/>
        </w:rPr>
        <w:fldChar w:fldCharType="begin"/>
      </w:r>
      <w:r w:rsidRPr="00F6273C">
        <w:rPr>
          <w:color w:val="0000FF"/>
        </w:rPr>
        <w:instrText xml:space="preserve"> :Start:SPD_VW6 </w:instrText>
      </w:r>
      <w:r w:rsidRPr="00F6273C">
        <w:rPr>
          <w:color w:val="0000FF"/>
        </w:rPr>
        <w:fldChar w:fldCharType="end"/>
      </w:r>
      <w:r w:rsidR="00DA7FBB" w:rsidRPr="00F6273C">
        <w:t>Housing</w:t>
      </w:r>
      <w:r w:rsidR="00155056" w:rsidRPr="00F6273C">
        <w:t xml:space="preserve"> </w:t>
      </w:r>
    </w:p>
    <w:p w14:paraId="604D5277" w14:textId="6DC66053" w:rsidR="00C50D2D" w:rsidRPr="00F6273C" w:rsidRDefault="00C50D2D" w:rsidP="00E26BE7">
      <w:r w:rsidRPr="00F6273C">
        <w:t xml:space="preserve">The Government will </w:t>
      </w:r>
      <w:r w:rsidR="00155056" w:rsidRPr="00F6273C">
        <w:t xml:space="preserve">invest </w:t>
      </w:r>
      <w:r w:rsidRPr="00F6273C">
        <w:t xml:space="preserve">$680 million </w:t>
      </w:r>
      <w:r w:rsidR="003D6D00" w:rsidRPr="00F6273C">
        <w:t>in 2020</w:t>
      </w:r>
      <w:r w:rsidR="006B2A22" w:rsidRPr="00F6273C">
        <w:noBreakHyphen/>
      </w:r>
      <w:r w:rsidR="003D6D00" w:rsidRPr="00F6273C">
        <w:t>21</w:t>
      </w:r>
      <w:r w:rsidRPr="00F6273C">
        <w:t xml:space="preserve"> </w:t>
      </w:r>
      <w:r w:rsidR="005079B3" w:rsidRPr="00F6273C">
        <w:t>through</w:t>
      </w:r>
      <w:r w:rsidRPr="00F6273C">
        <w:t xml:space="preserve"> the </w:t>
      </w:r>
      <w:proofErr w:type="spellStart"/>
      <w:r w:rsidRPr="00F6273C">
        <w:t>HomeBuilder</w:t>
      </w:r>
      <w:proofErr w:type="spellEnd"/>
      <w:r w:rsidRPr="00F6273C">
        <w:t xml:space="preserve"> program to support </w:t>
      </w:r>
      <w:proofErr w:type="gramStart"/>
      <w:r w:rsidRPr="00F6273C">
        <w:t>jobs and the residential construction market by encouraging the commencement of new home builds</w:t>
      </w:r>
      <w:proofErr w:type="gramEnd"/>
      <w:r w:rsidRPr="00F6273C">
        <w:t xml:space="preserve"> and substantial </w:t>
      </w:r>
      <w:r w:rsidR="003C3DA2" w:rsidRPr="00F6273C">
        <w:t xml:space="preserve">rebuilds </w:t>
      </w:r>
      <w:r w:rsidRPr="00F6273C">
        <w:t xml:space="preserve">this calendar year. </w:t>
      </w:r>
      <w:proofErr w:type="spellStart"/>
      <w:r w:rsidRPr="00F6273C">
        <w:lastRenderedPageBreak/>
        <w:t>HomeBuilder</w:t>
      </w:r>
      <w:proofErr w:type="spellEnd"/>
      <w:r w:rsidRPr="00F6273C">
        <w:t xml:space="preserve"> </w:t>
      </w:r>
      <w:r w:rsidR="00DA7FBB" w:rsidRPr="00F6273C">
        <w:t>will help to support around 140,000 direct jobs and around another 1</w:t>
      </w:r>
      <w:r w:rsidR="001442D5" w:rsidRPr="00F6273C">
        <w:t> million</w:t>
      </w:r>
      <w:r w:rsidR="00DA7FBB" w:rsidRPr="00F6273C">
        <w:t xml:space="preserve"> related jobs in the residential construction sector. It </w:t>
      </w:r>
      <w:proofErr w:type="gramStart"/>
      <w:r w:rsidR="00DA7FBB" w:rsidRPr="00F6273C">
        <w:t xml:space="preserve">is </w:t>
      </w:r>
      <w:r w:rsidRPr="00F6273C">
        <w:t>being implemented</w:t>
      </w:r>
      <w:proofErr w:type="gramEnd"/>
      <w:r w:rsidRPr="00F6273C">
        <w:t xml:space="preserve"> via a National Partnership Agreement, and all </w:t>
      </w:r>
      <w:r w:rsidR="00DA7FBB" w:rsidRPr="00F6273C">
        <w:t>s</w:t>
      </w:r>
      <w:r w:rsidRPr="00F6273C">
        <w:t xml:space="preserve">tates and </w:t>
      </w:r>
      <w:r w:rsidR="00DA7FBB" w:rsidRPr="00F6273C">
        <w:t>t</w:t>
      </w:r>
      <w:r w:rsidRPr="00F6273C">
        <w:t>erritories have signed up to deliver the program.</w:t>
      </w:r>
      <w:r w:rsidRPr="00F6273C">
        <w:rPr>
          <w:color w:val="FF0000"/>
        </w:rPr>
        <w:fldChar w:fldCharType="begin"/>
      </w:r>
      <w:r w:rsidRPr="00F6273C">
        <w:rPr>
          <w:color w:val="FF0000"/>
        </w:rPr>
        <w:instrText xml:space="preserve"> :End:SPD_VW6 </w:instrText>
      </w:r>
      <w:r w:rsidRPr="00F6273C">
        <w:rPr>
          <w:color w:val="FF0000"/>
        </w:rPr>
        <w:fldChar w:fldCharType="end"/>
      </w:r>
    </w:p>
    <w:p w14:paraId="79479FD3" w14:textId="7E6E9240" w:rsidR="00565BE0" w:rsidRPr="00F6273C" w:rsidRDefault="009829F2" w:rsidP="00F835E5">
      <w:pPr>
        <w:pStyle w:val="Heading3"/>
        <w:rPr>
          <w:rFonts w:ascii="Book Antiqua" w:hAnsi="Book Antiqua"/>
          <w:b w:val="0"/>
          <w:sz w:val="20"/>
        </w:rPr>
      </w:pPr>
      <w:r w:rsidRPr="00F6273C">
        <w:rPr>
          <w:color w:val="0000FF"/>
        </w:rPr>
        <w:fldChar w:fldCharType="begin"/>
      </w:r>
      <w:r w:rsidRPr="00F6273C">
        <w:rPr>
          <w:color w:val="0000FF"/>
        </w:rPr>
        <w:instrText xml:space="preserve"> :Start:SPD_VW3 </w:instrText>
      </w:r>
      <w:r w:rsidRPr="00F6273C">
        <w:rPr>
          <w:color w:val="0000FF"/>
        </w:rPr>
        <w:fldChar w:fldCharType="end"/>
      </w:r>
      <w:r w:rsidR="00111DD3" w:rsidRPr="00F6273C">
        <w:t xml:space="preserve">Recovery from the </w:t>
      </w:r>
      <w:r w:rsidR="00516204" w:rsidRPr="00F6273C">
        <w:t>2019</w:t>
      </w:r>
      <w:r w:rsidR="006B2A22" w:rsidRPr="00F6273C">
        <w:noBreakHyphen/>
      </w:r>
      <w:r w:rsidR="00516204" w:rsidRPr="00F6273C">
        <w:t xml:space="preserve">20 </w:t>
      </w:r>
      <w:r w:rsidR="00155056" w:rsidRPr="00F6273C">
        <w:t>b</w:t>
      </w:r>
      <w:r w:rsidR="00177925" w:rsidRPr="00F6273C">
        <w:t>ushfires</w:t>
      </w:r>
      <w:r w:rsidR="00565BE0" w:rsidRPr="00F6273C">
        <w:rPr>
          <w:rFonts w:ascii="Times New Roman" w:hAnsi="Times New Roman"/>
        </w:rPr>
        <w:t xml:space="preserve"> </w:t>
      </w:r>
    </w:p>
    <w:p w14:paraId="1191EFCA" w14:textId="172269E1" w:rsidR="00CD72DE" w:rsidRPr="00F6273C" w:rsidRDefault="00155056" w:rsidP="00CD72DE">
      <w:r w:rsidRPr="00F6273C">
        <w:t xml:space="preserve">More than 12 million hectares </w:t>
      </w:r>
      <w:proofErr w:type="gramStart"/>
      <w:r w:rsidRPr="00F6273C">
        <w:t>were burnt</w:t>
      </w:r>
      <w:proofErr w:type="gramEnd"/>
      <w:r w:rsidRPr="00F6273C">
        <w:t xml:space="preserve"> and over 3,000 houses lost in the </w:t>
      </w:r>
      <w:r w:rsidR="00516204" w:rsidRPr="00F6273C">
        <w:t xml:space="preserve">devastating </w:t>
      </w:r>
      <w:r w:rsidRPr="00F6273C">
        <w:t>bushfires that swept across Australia</w:t>
      </w:r>
      <w:r w:rsidR="006B2A22" w:rsidRPr="00F6273C">
        <w:t>’</w:t>
      </w:r>
      <w:r w:rsidRPr="00F6273C">
        <w:t xml:space="preserve">s south, east and west </w:t>
      </w:r>
      <w:r w:rsidR="00516204" w:rsidRPr="00F6273C">
        <w:t>in 2019</w:t>
      </w:r>
      <w:r w:rsidR="006B2A22" w:rsidRPr="00F6273C">
        <w:noBreakHyphen/>
      </w:r>
      <w:r w:rsidR="00516204" w:rsidRPr="00F6273C">
        <w:t>20</w:t>
      </w:r>
      <w:r w:rsidRPr="00F6273C">
        <w:t xml:space="preserve">. </w:t>
      </w:r>
      <w:r w:rsidR="00CD72DE" w:rsidRPr="00F6273C">
        <w:t xml:space="preserve">The Government is supporting families, farmers, business owners and communities to recover from the </w:t>
      </w:r>
      <w:r w:rsidRPr="00F6273C">
        <w:t>b</w:t>
      </w:r>
      <w:r w:rsidR="007D69F6" w:rsidRPr="00F6273C">
        <w:t xml:space="preserve">ushfires </w:t>
      </w:r>
      <w:r w:rsidR="00CD72DE" w:rsidRPr="00F6273C">
        <w:t>through the $2 billion National Bushfire Recovery Fund</w:t>
      </w:r>
      <w:r w:rsidR="00516204" w:rsidRPr="00F6273C">
        <w:t>.</w:t>
      </w:r>
    </w:p>
    <w:p w14:paraId="04FCDC4B" w14:textId="3866CB49" w:rsidR="00240708" w:rsidRPr="00F6273C" w:rsidRDefault="00A04935" w:rsidP="00CD72DE">
      <w:r w:rsidRPr="00F6273C">
        <w:t>The range of</w:t>
      </w:r>
      <w:r w:rsidR="00240708" w:rsidRPr="00F6273C">
        <w:t xml:space="preserve"> </w:t>
      </w:r>
      <w:r w:rsidR="00D54B17" w:rsidRPr="00F6273C">
        <w:t>support includes</w:t>
      </w:r>
      <w:r w:rsidR="00240708" w:rsidRPr="00F6273C">
        <w:t>:</w:t>
      </w:r>
    </w:p>
    <w:p w14:paraId="3D005FC6" w14:textId="77777777" w:rsidR="00516204" w:rsidRPr="00F6273C" w:rsidRDefault="00516204" w:rsidP="00516204">
      <w:pPr>
        <w:pStyle w:val="Bullet"/>
      </w:pPr>
      <w:r w:rsidRPr="00F6273C">
        <w:t>Support to individuals and families, including:</w:t>
      </w:r>
    </w:p>
    <w:p w14:paraId="5266FB81" w14:textId="392598F0" w:rsidR="00516204" w:rsidRPr="00F6273C" w:rsidRDefault="00516204" w:rsidP="00516204">
      <w:pPr>
        <w:pStyle w:val="Dash"/>
      </w:pPr>
      <w:r w:rsidRPr="00F6273C">
        <w:t>$400 payments to over 86,000 children to support their return to schoo</w:t>
      </w:r>
      <w:r w:rsidR="00030178" w:rsidRPr="00F6273C">
        <w:t>l</w:t>
      </w:r>
    </w:p>
    <w:p w14:paraId="53CB7621" w14:textId="70507050" w:rsidR="00516204" w:rsidRPr="00F6273C" w:rsidRDefault="001442D5" w:rsidP="00516204">
      <w:pPr>
        <w:pStyle w:val="Dash"/>
      </w:pPr>
      <w:proofErr w:type="gramStart"/>
      <w:r w:rsidRPr="00F6273C">
        <w:t>t</w:t>
      </w:r>
      <w:r w:rsidR="00516204" w:rsidRPr="00F6273C">
        <w:t>ax</w:t>
      </w:r>
      <w:r w:rsidR="006B2A22" w:rsidRPr="00F6273C">
        <w:noBreakHyphen/>
      </w:r>
      <w:r w:rsidR="00516204" w:rsidRPr="00F6273C">
        <w:t>free</w:t>
      </w:r>
      <w:proofErr w:type="gramEnd"/>
      <w:r w:rsidR="00516204" w:rsidRPr="00F6273C">
        <w:t xml:space="preserve"> payments of up to $6,000 to volunteer firefighters to provide for lost income.</w:t>
      </w:r>
    </w:p>
    <w:p w14:paraId="3F7FA9E7" w14:textId="77777777" w:rsidR="00516204" w:rsidRPr="00F6273C" w:rsidRDefault="00516204" w:rsidP="00516204">
      <w:pPr>
        <w:pStyle w:val="Bullet"/>
      </w:pPr>
      <w:r w:rsidRPr="00F6273C">
        <w:t>Assistance to small businesses and primary producers, including:</w:t>
      </w:r>
    </w:p>
    <w:p w14:paraId="1FA5DB8F" w14:textId="36C98757" w:rsidR="00516204" w:rsidRPr="00F6273C" w:rsidRDefault="001442D5" w:rsidP="00516204">
      <w:pPr>
        <w:pStyle w:val="Dash"/>
      </w:pPr>
      <w:r w:rsidRPr="00F6273C">
        <w:t>g</w:t>
      </w:r>
      <w:r w:rsidR="00516204" w:rsidRPr="00F6273C">
        <w:t>rants of up to $75,000 for primary producers and up to $50,000 for small businesses and not</w:t>
      </w:r>
      <w:r w:rsidR="006B2A22" w:rsidRPr="00F6273C">
        <w:noBreakHyphen/>
      </w:r>
      <w:r w:rsidR="00516204" w:rsidRPr="00F6273C">
        <w:t>for</w:t>
      </w:r>
      <w:r w:rsidR="006B2A22" w:rsidRPr="00F6273C">
        <w:noBreakHyphen/>
      </w:r>
      <w:r w:rsidR="00516204" w:rsidRPr="00F6273C">
        <w:t>pro</w:t>
      </w:r>
      <w:r w:rsidR="00030178" w:rsidRPr="00F6273C">
        <w:t>fit organisations</w:t>
      </w:r>
    </w:p>
    <w:p w14:paraId="38E4D238" w14:textId="4A4327A2" w:rsidR="00516204" w:rsidRPr="00F6273C" w:rsidRDefault="00516204" w:rsidP="00516204">
      <w:pPr>
        <w:pStyle w:val="Dash"/>
      </w:pPr>
      <w:r w:rsidRPr="00F6273C">
        <w:t>$76.0 million for a tourism recovery package.</w:t>
      </w:r>
    </w:p>
    <w:p w14:paraId="3D617CF2" w14:textId="77777777" w:rsidR="00516204" w:rsidRPr="00F6273C" w:rsidRDefault="00516204" w:rsidP="00516204">
      <w:pPr>
        <w:pStyle w:val="Bullet"/>
      </w:pPr>
      <w:r w:rsidRPr="00F6273C">
        <w:t>Support for local communities, including:</w:t>
      </w:r>
    </w:p>
    <w:p w14:paraId="60031825" w14:textId="0D543F2E" w:rsidR="00516204" w:rsidRPr="00F6273C" w:rsidRDefault="00516204" w:rsidP="00516204">
      <w:pPr>
        <w:pStyle w:val="Dash"/>
      </w:pPr>
      <w:r w:rsidRPr="00F6273C">
        <w:t>$448.5 million as part of the Regional Bushfire Recovery and Development Program to support d</w:t>
      </w:r>
      <w:r w:rsidR="00030178" w:rsidRPr="00F6273C">
        <w:t>elivery of local recovery plans</w:t>
      </w:r>
    </w:p>
    <w:p w14:paraId="71C2212D" w14:textId="74088C91" w:rsidR="00516204" w:rsidRPr="00F6273C" w:rsidRDefault="00516204" w:rsidP="00516204">
      <w:pPr>
        <w:pStyle w:val="Dash"/>
      </w:pPr>
      <w:r w:rsidRPr="00F6273C">
        <w:t xml:space="preserve">$62.0 million in </w:t>
      </w:r>
      <w:r w:rsidR="003C3DA2" w:rsidRPr="00F6273C">
        <w:t xml:space="preserve">immediate </w:t>
      </w:r>
      <w:r w:rsidRPr="00F6273C">
        <w:t>financial assistance for the most affected local government areas.</w:t>
      </w:r>
    </w:p>
    <w:p w14:paraId="3F7F9E1B" w14:textId="77777777" w:rsidR="00516204" w:rsidRPr="00F6273C" w:rsidRDefault="00516204" w:rsidP="00516204">
      <w:pPr>
        <w:pStyle w:val="Bullet"/>
      </w:pPr>
      <w:r w:rsidRPr="00F6273C">
        <w:t>Funding to assist the environment to recover, including:</w:t>
      </w:r>
    </w:p>
    <w:p w14:paraId="47F2336D" w14:textId="0705941C" w:rsidR="00A63EA3" w:rsidRPr="00F6273C" w:rsidRDefault="00516204" w:rsidP="00BE1626">
      <w:pPr>
        <w:pStyle w:val="Dash"/>
      </w:pPr>
      <w:r w:rsidRPr="00F6273C">
        <w:t>$149.7 million for bushfire recovery for species and landscapes, including habitat regeneration and waterway and catchment restoration</w:t>
      </w:r>
    </w:p>
    <w:p w14:paraId="152C624B" w14:textId="7C0FAC57" w:rsidR="00A04935" w:rsidRPr="00F6273C" w:rsidRDefault="00516204" w:rsidP="00BE1626">
      <w:pPr>
        <w:pStyle w:val="Dash"/>
      </w:pPr>
      <w:r w:rsidRPr="00F6273C">
        <w:t>$53.4 million to support wildlife recovery and habitat restoration.</w:t>
      </w:r>
    </w:p>
    <w:p w14:paraId="2E0C8FF1" w14:textId="77777777" w:rsidR="009D0B13" w:rsidRDefault="00CD72DE" w:rsidP="00565BE0">
      <w:pPr>
        <w:sectPr w:rsidR="009D0B13" w:rsidSect="00FC7371">
          <w:headerReference w:type="even" r:id="rId8"/>
          <w:headerReference w:type="default" r:id="rId9"/>
          <w:footerReference w:type="even" r:id="rId10"/>
          <w:footerReference w:type="default" r:id="rId11"/>
          <w:headerReference w:type="first" r:id="rId12"/>
          <w:footerReference w:type="first" r:id="rId13"/>
          <w:pgSz w:w="11906" w:h="16838" w:code="9"/>
          <w:pgMar w:top="2466" w:right="2098" w:bottom="2466" w:left="2098" w:header="1899" w:footer="1899" w:gutter="0"/>
          <w:cols w:space="708"/>
          <w:titlePg/>
          <w:docGrid w:linePitch="360"/>
        </w:sectPr>
      </w:pPr>
      <w:r w:rsidRPr="00F6273C">
        <w:t xml:space="preserve">The Fund </w:t>
      </w:r>
      <w:proofErr w:type="gramStart"/>
      <w:r w:rsidRPr="00F6273C">
        <w:t>was introduced</w:t>
      </w:r>
      <w:proofErr w:type="gramEnd"/>
      <w:r w:rsidRPr="00F6273C">
        <w:t xml:space="preserve"> to complement financing for existing natural disaster arrangements and increased social security payments. </w:t>
      </w:r>
      <w:r w:rsidR="00516204" w:rsidRPr="00F6273C">
        <w:t xml:space="preserve">In addition to payments from the Fund, more than </w:t>
      </w:r>
      <w:r w:rsidRPr="00F6273C">
        <w:t>$2</w:t>
      </w:r>
      <w:r w:rsidR="005B2A2A" w:rsidRPr="00F6273C">
        <w:t>49</w:t>
      </w:r>
      <w:r w:rsidRPr="00F6273C">
        <w:t xml:space="preserve"> million in disaster recovery payments </w:t>
      </w:r>
      <w:proofErr w:type="gramStart"/>
      <w:r w:rsidRPr="00F6273C">
        <w:t>have been made</w:t>
      </w:r>
      <w:proofErr w:type="gramEnd"/>
      <w:r w:rsidRPr="00F6273C">
        <w:t xml:space="preserve"> to over </w:t>
      </w:r>
      <w:r w:rsidR="005B2A2A" w:rsidRPr="00F6273C">
        <w:t>200</w:t>
      </w:r>
      <w:r w:rsidRPr="00F6273C">
        <w:t>,000 eligible recipients through Services</w:t>
      </w:r>
      <w:r w:rsidR="00FE4347" w:rsidRPr="00F6273C">
        <w:t> </w:t>
      </w:r>
      <w:r w:rsidRPr="00F6273C">
        <w:t>Australia.</w:t>
      </w:r>
    </w:p>
    <w:p w14:paraId="750C3D7D" w14:textId="7A97D67E" w:rsidR="00565BE0" w:rsidRPr="00F6273C" w:rsidRDefault="009829F2" w:rsidP="00565BE0">
      <w:r w:rsidRPr="00F6273C">
        <w:rPr>
          <w:color w:val="FF0000"/>
        </w:rPr>
        <w:lastRenderedPageBreak/>
        <w:fldChar w:fldCharType="begin"/>
      </w:r>
      <w:r w:rsidRPr="00F6273C">
        <w:rPr>
          <w:color w:val="FF0000"/>
        </w:rPr>
        <w:instrText xml:space="preserve"> :End:SPD_VW3 </w:instrText>
      </w:r>
      <w:r w:rsidRPr="00F6273C">
        <w:rPr>
          <w:color w:val="FF0000"/>
        </w:rPr>
        <w:fldChar w:fldCharType="end"/>
      </w:r>
    </w:p>
    <w:sectPr w:rsidR="00565BE0" w:rsidRPr="00F6273C" w:rsidSect="00FC7371">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EB9F6" w14:textId="77777777" w:rsidR="006B2A22" w:rsidRDefault="006B2A22" w:rsidP="00E40261">
      <w:pPr>
        <w:spacing w:after="0"/>
      </w:pPr>
      <w:r>
        <w:separator/>
      </w:r>
    </w:p>
  </w:endnote>
  <w:endnote w:type="continuationSeparator" w:id="0">
    <w:p w14:paraId="5B12028C" w14:textId="77777777" w:rsidR="006B2A22" w:rsidRDefault="006B2A22" w:rsidP="00E402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BEA6" w14:textId="40D58C1E" w:rsidR="006B2A22" w:rsidRDefault="006B2A22">
    <w:pPr>
      <w:pStyle w:val="Footer"/>
    </w:pPr>
    <w:r>
      <w:fldChar w:fldCharType="begin"/>
    </w:r>
    <w:r>
      <w:instrText xml:space="preserve"> PAGE  \* MERGEFORMAT </w:instrText>
    </w:r>
    <w:r>
      <w:fldChar w:fldCharType="separate"/>
    </w:r>
    <w:r w:rsidR="00F34805">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2564" w14:textId="6229B9D8" w:rsidR="006B2A22" w:rsidRDefault="006B2A22">
    <w:pPr>
      <w:pStyle w:val="Footer"/>
    </w:pPr>
    <w:r>
      <w:fldChar w:fldCharType="begin"/>
    </w:r>
    <w:r>
      <w:instrText xml:space="preserve"> PAGE  \* MERGEFORMAT </w:instrText>
    </w:r>
    <w:r>
      <w:fldChar w:fldCharType="separate"/>
    </w:r>
    <w:r w:rsidR="00F3480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A4952" w14:textId="40D1F08D" w:rsidR="006B2A22" w:rsidRDefault="006B2A22" w:rsidP="00F63398">
    <w:pPr>
      <w:pStyle w:val="Footer"/>
    </w:pPr>
    <w:r>
      <w:fldChar w:fldCharType="begin"/>
    </w:r>
    <w:r>
      <w:instrText xml:space="preserve"> PAGE  \* MERGEFORMAT </w:instrText>
    </w:r>
    <w:r>
      <w:fldChar w:fldCharType="separate"/>
    </w:r>
    <w:r w:rsidR="00F34805">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6BD90" w14:textId="77777777" w:rsidR="006B2A22" w:rsidRDefault="006B2A22" w:rsidP="00E40261">
      <w:pPr>
        <w:spacing w:after="0"/>
      </w:pPr>
      <w:r>
        <w:separator/>
      </w:r>
    </w:p>
  </w:footnote>
  <w:footnote w:type="continuationSeparator" w:id="0">
    <w:p w14:paraId="303B3798" w14:textId="77777777" w:rsidR="006B2A22" w:rsidRDefault="006B2A22" w:rsidP="00E402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7AF5" w14:textId="37749A28" w:rsidR="006B2A22" w:rsidRDefault="00F34805" w:rsidP="00D82B0F">
    <w:pPr>
      <w:pStyle w:val="HeaderEven"/>
    </w:pPr>
    <w:r>
      <w:fldChar w:fldCharType="begin"/>
    </w:r>
    <w:r>
      <w:instrText xml:space="preserve"> STYLEREF  "Heading 1"  \* MERGEFORMAT </w:instrText>
    </w:r>
    <w:r>
      <w:fldChar w:fldCharType="separate"/>
    </w:r>
    <w:r>
      <w:rPr>
        <w:noProof/>
      </w:rPr>
      <w:t>Part 1: Overview</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3CB1" w14:textId="734A6685" w:rsidR="006B2A22" w:rsidRPr="00E40261" w:rsidRDefault="00F34805" w:rsidP="00FC7371">
    <w:pPr>
      <w:pStyle w:val="HeaderOdd"/>
    </w:pPr>
    <w:fldSimple w:instr=" STYLEREF  &quot;Heading 1&quot;  \* MERGEFORMAT ">
      <w:r>
        <w:rPr>
          <w:noProof/>
        </w:rPr>
        <w:t>Part 1: Overview</w:t>
      </w:r>
    </w:fldSimple>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CFB3" w14:textId="278A3837" w:rsidR="00EE28EE" w:rsidRDefault="00EE2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19A57E49"/>
    <w:multiLevelType w:val="hybridMultilevel"/>
    <w:tmpl w:val="332CA100"/>
    <w:lvl w:ilvl="0" w:tplc="5A6688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4"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5"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4"/>
  </w:num>
  <w:num w:numId="2">
    <w:abstractNumId w:val="1"/>
  </w:num>
  <w:num w:numId="3">
    <w:abstractNumId w:val="0"/>
  </w:num>
  <w:num w:numId="4">
    <w:abstractNumId w:val="3"/>
  </w:num>
  <w:num w:numId="5">
    <w:abstractNumId w:val="5"/>
  </w:num>
  <w:num w:numId="6">
    <w:abstractNumId w:val="0"/>
  </w:num>
  <w:num w:numId="7">
    <w:abstractNumId w:val="0"/>
  </w:num>
  <w:num w:numId="8">
    <w:abstractNumId w:val="0"/>
  </w:num>
  <w:num w:numId="9">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3"/>
    <w:lvlOverride w:ilvl="0">
      <w:startOverride w:val="1"/>
    </w:lvlOverride>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F63398"/>
    <w:rsid w:val="000005D9"/>
    <w:rsid w:val="00001B6F"/>
    <w:rsid w:val="00003866"/>
    <w:rsid w:val="00003CB3"/>
    <w:rsid w:val="00013EA8"/>
    <w:rsid w:val="000161A0"/>
    <w:rsid w:val="00020618"/>
    <w:rsid w:val="00024D19"/>
    <w:rsid w:val="00030178"/>
    <w:rsid w:val="000315B7"/>
    <w:rsid w:val="00035C60"/>
    <w:rsid w:val="00035D8D"/>
    <w:rsid w:val="000372D0"/>
    <w:rsid w:val="00041E34"/>
    <w:rsid w:val="00045674"/>
    <w:rsid w:val="00050D51"/>
    <w:rsid w:val="00053874"/>
    <w:rsid w:val="00053FA6"/>
    <w:rsid w:val="00056814"/>
    <w:rsid w:val="000577CD"/>
    <w:rsid w:val="00070CA0"/>
    <w:rsid w:val="00072B77"/>
    <w:rsid w:val="00075844"/>
    <w:rsid w:val="00084CAD"/>
    <w:rsid w:val="00090D67"/>
    <w:rsid w:val="000A40FF"/>
    <w:rsid w:val="000A55F5"/>
    <w:rsid w:val="000B434D"/>
    <w:rsid w:val="000B527C"/>
    <w:rsid w:val="000C076C"/>
    <w:rsid w:val="000C1305"/>
    <w:rsid w:val="000C1755"/>
    <w:rsid w:val="000C6742"/>
    <w:rsid w:val="000D09A7"/>
    <w:rsid w:val="000D4412"/>
    <w:rsid w:val="000E013E"/>
    <w:rsid w:val="000E105B"/>
    <w:rsid w:val="000E22D5"/>
    <w:rsid w:val="000E27EC"/>
    <w:rsid w:val="000E637F"/>
    <w:rsid w:val="000F2FA1"/>
    <w:rsid w:val="000F37CC"/>
    <w:rsid w:val="000F4BE4"/>
    <w:rsid w:val="001068C2"/>
    <w:rsid w:val="00111DD3"/>
    <w:rsid w:val="00113E86"/>
    <w:rsid w:val="00115E95"/>
    <w:rsid w:val="00117AB4"/>
    <w:rsid w:val="0012041F"/>
    <w:rsid w:val="00120831"/>
    <w:rsid w:val="001219F0"/>
    <w:rsid w:val="00123F48"/>
    <w:rsid w:val="001310B8"/>
    <w:rsid w:val="00133EDD"/>
    <w:rsid w:val="0013548A"/>
    <w:rsid w:val="00135973"/>
    <w:rsid w:val="00140764"/>
    <w:rsid w:val="001414CF"/>
    <w:rsid w:val="00142C1C"/>
    <w:rsid w:val="001442D5"/>
    <w:rsid w:val="0014477C"/>
    <w:rsid w:val="00145F3C"/>
    <w:rsid w:val="00155056"/>
    <w:rsid w:val="00160F79"/>
    <w:rsid w:val="00161477"/>
    <w:rsid w:val="0016380F"/>
    <w:rsid w:val="001642D5"/>
    <w:rsid w:val="0016580F"/>
    <w:rsid w:val="00165B02"/>
    <w:rsid w:val="00172CFE"/>
    <w:rsid w:val="00177328"/>
    <w:rsid w:val="00177925"/>
    <w:rsid w:val="00186727"/>
    <w:rsid w:val="0019115B"/>
    <w:rsid w:val="001939C1"/>
    <w:rsid w:val="00195F43"/>
    <w:rsid w:val="001962ED"/>
    <w:rsid w:val="00196AF2"/>
    <w:rsid w:val="001970E6"/>
    <w:rsid w:val="001A1102"/>
    <w:rsid w:val="001A1E06"/>
    <w:rsid w:val="001A3E21"/>
    <w:rsid w:val="001A4C75"/>
    <w:rsid w:val="001A5503"/>
    <w:rsid w:val="001B25D9"/>
    <w:rsid w:val="001B4B1F"/>
    <w:rsid w:val="001B5949"/>
    <w:rsid w:val="001B5C10"/>
    <w:rsid w:val="001C0352"/>
    <w:rsid w:val="001C29BA"/>
    <w:rsid w:val="001C39A2"/>
    <w:rsid w:val="001C4797"/>
    <w:rsid w:val="001C4C6C"/>
    <w:rsid w:val="001D31E1"/>
    <w:rsid w:val="001D6516"/>
    <w:rsid w:val="001E3BB5"/>
    <w:rsid w:val="001E3E71"/>
    <w:rsid w:val="001E4395"/>
    <w:rsid w:val="0020112F"/>
    <w:rsid w:val="00203025"/>
    <w:rsid w:val="00216F49"/>
    <w:rsid w:val="0021788C"/>
    <w:rsid w:val="002228B9"/>
    <w:rsid w:val="002245AC"/>
    <w:rsid w:val="00224D5C"/>
    <w:rsid w:val="0022570D"/>
    <w:rsid w:val="002328B4"/>
    <w:rsid w:val="00232B9D"/>
    <w:rsid w:val="00237F04"/>
    <w:rsid w:val="00240708"/>
    <w:rsid w:val="00262D86"/>
    <w:rsid w:val="00262E34"/>
    <w:rsid w:val="00265834"/>
    <w:rsid w:val="00267200"/>
    <w:rsid w:val="00277CBC"/>
    <w:rsid w:val="00280C72"/>
    <w:rsid w:val="00281716"/>
    <w:rsid w:val="00281ED7"/>
    <w:rsid w:val="00295853"/>
    <w:rsid w:val="002A6FB9"/>
    <w:rsid w:val="002B5256"/>
    <w:rsid w:val="002B586A"/>
    <w:rsid w:val="002B6106"/>
    <w:rsid w:val="002B695F"/>
    <w:rsid w:val="002C2162"/>
    <w:rsid w:val="002C64F1"/>
    <w:rsid w:val="002D0776"/>
    <w:rsid w:val="002D1CDB"/>
    <w:rsid w:val="002D7A5D"/>
    <w:rsid w:val="002E0631"/>
    <w:rsid w:val="002E638A"/>
    <w:rsid w:val="002F4846"/>
    <w:rsid w:val="002F4BC3"/>
    <w:rsid w:val="002F5A20"/>
    <w:rsid w:val="00300A71"/>
    <w:rsid w:val="00305F1E"/>
    <w:rsid w:val="00306EE4"/>
    <w:rsid w:val="00306F5E"/>
    <w:rsid w:val="0030722E"/>
    <w:rsid w:val="00307CBA"/>
    <w:rsid w:val="003155B0"/>
    <w:rsid w:val="00316B01"/>
    <w:rsid w:val="00317F0F"/>
    <w:rsid w:val="00322D65"/>
    <w:rsid w:val="0032610A"/>
    <w:rsid w:val="00327B31"/>
    <w:rsid w:val="00340B35"/>
    <w:rsid w:val="003421CD"/>
    <w:rsid w:val="003451F5"/>
    <w:rsid w:val="003506C0"/>
    <w:rsid w:val="0035144F"/>
    <w:rsid w:val="0035325A"/>
    <w:rsid w:val="003536C5"/>
    <w:rsid w:val="00356A1F"/>
    <w:rsid w:val="00365D3F"/>
    <w:rsid w:val="003723A2"/>
    <w:rsid w:val="00373445"/>
    <w:rsid w:val="00373894"/>
    <w:rsid w:val="00375492"/>
    <w:rsid w:val="00382E3D"/>
    <w:rsid w:val="00386AEB"/>
    <w:rsid w:val="00386FCB"/>
    <w:rsid w:val="00387B9F"/>
    <w:rsid w:val="00387C9F"/>
    <w:rsid w:val="00390A4B"/>
    <w:rsid w:val="003922A9"/>
    <w:rsid w:val="00396AC5"/>
    <w:rsid w:val="003A3AC2"/>
    <w:rsid w:val="003A423E"/>
    <w:rsid w:val="003A4E4A"/>
    <w:rsid w:val="003A5CAD"/>
    <w:rsid w:val="003B03A1"/>
    <w:rsid w:val="003B09D8"/>
    <w:rsid w:val="003C0CF0"/>
    <w:rsid w:val="003C14B1"/>
    <w:rsid w:val="003C3DA2"/>
    <w:rsid w:val="003C3E22"/>
    <w:rsid w:val="003C419A"/>
    <w:rsid w:val="003C4BA3"/>
    <w:rsid w:val="003C6894"/>
    <w:rsid w:val="003D1476"/>
    <w:rsid w:val="003D3BD3"/>
    <w:rsid w:val="003D5098"/>
    <w:rsid w:val="003D6D00"/>
    <w:rsid w:val="003D7DB8"/>
    <w:rsid w:val="003E26F8"/>
    <w:rsid w:val="003E3C38"/>
    <w:rsid w:val="003E53FA"/>
    <w:rsid w:val="003E7E5A"/>
    <w:rsid w:val="003F2CFB"/>
    <w:rsid w:val="003F4915"/>
    <w:rsid w:val="003F5354"/>
    <w:rsid w:val="003F7A26"/>
    <w:rsid w:val="00405634"/>
    <w:rsid w:val="004101A1"/>
    <w:rsid w:val="00413C0E"/>
    <w:rsid w:val="00416715"/>
    <w:rsid w:val="004330E0"/>
    <w:rsid w:val="00434984"/>
    <w:rsid w:val="00440536"/>
    <w:rsid w:val="00441809"/>
    <w:rsid w:val="00443B3B"/>
    <w:rsid w:val="004457B6"/>
    <w:rsid w:val="004465F4"/>
    <w:rsid w:val="00453041"/>
    <w:rsid w:val="0045567D"/>
    <w:rsid w:val="004707BE"/>
    <w:rsid w:val="00475E4B"/>
    <w:rsid w:val="0048563A"/>
    <w:rsid w:val="00486D34"/>
    <w:rsid w:val="00487A33"/>
    <w:rsid w:val="00487ABC"/>
    <w:rsid w:val="004907A6"/>
    <w:rsid w:val="00493DA6"/>
    <w:rsid w:val="004A1246"/>
    <w:rsid w:val="004A35A7"/>
    <w:rsid w:val="004A37CD"/>
    <w:rsid w:val="004B4958"/>
    <w:rsid w:val="004B640C"/>
    <w:rsid w:val="004B68D2"/>
    <w:rsid w:val="004C40D2"/>
    <w:rsid w:val="004C5C56"/>
    <w:rsid w:val="004D46E2"/>
    <w:rsid w:val="004E3B86"/>
    <w:rsid w:val="004E411B"/>
    <w:rsid w:val="004F2ABA"/>
    <w:rsid w:val="004F3E34"/>
    <w:rsid w:val="004F3F25"/>
    <w:rsid w:val="004F3FD9"/>
    <w:rsid w:val="004F501E"/>
    <w:rsid w:val="004F60DD"/>
    <w:rsid w:val="004F65D8"/>
    <w:rsid w:val="00500A3C"/>
    <w:rsid w:val="00501355"/>
    <w:rsid w:val="0050493A"/>
    <w:rsid w:val="005079B3"/>
    <w:rsid w:val="00507E0A"/>
    <w:rsid w:val="0051211C"/>
    <w:rsid w:val="0051379B"/>
    <w:rsid w:val="0051470B"/>
    <w:rsid w:val="00514988"/>
    <w:rsid w:val="00515CCC"/>
    <w:rsid w:val="005160C6"/>
    <w:rsid w:val="00516204"/>
    <w:rsid w:val="00517E31"/>
    <w:rsid w:val="00520F1E"/>
    <w:rsid w:val="005240BD"/>
    <w:rsid w:val="00524CF4"/>
    <w:rsid w:val="00524E25"/>
    <w:rsid w:val="005274CF"/>
    <w:rsid w:val="00534248"/>
    <w:rsid w:val="005429ED"/>
    <w:rsid w:val="00542F52"/>
    <w:rsid w:val="00550C77"/>
    <w:rsid w:val="00552EDF"/>
    <w:rsid w:val="005536E7"/>
    <w:rsid w:val="005552B7"/>
    <w:rsid w:val="00562703"/>
    <w:rsid w:val="005628A4"/>
    <w:rsid w:val="005642B3"/>
    <w:rsid w:val="00565BE0"/>
    <w:rsid w:val="005661EE"/>
    <w:rsid w:val="00573E98"/>
    <w:rsid w:val="00576D3F"/>
    <w:rsid w:val="005828C1"/>
    <w:rsid w:val="00584EEA"/>
    <w:rsid w:val="00595C71"/>
    <w:rsid w:val="005A43A4"/>
    <w:rsid w:val="005A6B66"/>
    <w:rsid w:val="005A6CB8"/>
    <w:rsid w:val="005B1CAC"/>
    <w:rsid w:val="005B2A2A"/>
    <w:rsid w:val="005B3010"/>
    <w:rsid w:val="005B488A"/>
    <w:rsid w:val="005B4D02"/>
    <w:rsid w:val="005D04A7"/>
    <w:rsid w:val="005D1F70"/>
    <w:rsid w:val="005D23CB"/>
    <w:rsid w:val="005D30DB"/>
    <w:rsid w:val="005D4378"/>
    <w:rsid w:val="005D53C1"/>
    <w:rsid w:val="005D5902"/>
    <w:rsid w:val="005E31C4"/>
    <w:rsid w:val="005E609C"/>
    <w:rsid w:val="005F041F"/>
    <w:rsid w:val="00600062"/>
    <w:rsid w:val="00600957"/>
    <w:rsid w:val="0060305C"/>
    <w:rsid w:val="0060654D"/>
    <w:rsid w:val="006207F2"/>
    <w:rsid w:val="00621CC0"/>
    <w:rsid w:val="00622CDB"/>
    <w:rsid w:val="00623DB5"/>
    <w:rsid w:val="00625E47"/>
    <w:rsid w:val="006325B8"/>
    <w:rsid w:val="00633804"/>
    <w:rsid w:val="00633F6D"/>
    <w:rsid w:val="0063540B"/>
    <w:rsid w:val="006367BF"/>
    <w:rsid w:val="006545E4"/>
    <w:rsid w:val="006551A1"/>
    <w:rsid w:val="00655369"/>
    <w:rsid w:val="006559B3"/>
    <w:rsid w:val="00657EC7"/>
    <w:rsid w:val="00664F1B"/>
    <w:rsid w:val="00670C7A"/>
    <w:rsid w:val="0067567C"/>
    <w:rsid w:val="006758EA"/>
    <w:rsid w:val="00677EBB"/>
    <w:rsid w:val="00682A56"/>
    <w:rsid w:val="00682D05"/>
    <w:rsid w:val="006836EF"/>
    <w:rsid w:val="00683D3F"/>
    <w:rsid w:val="00687CAE"/>
    <w:rsid w:val="00691D04"/>
    <w:rsid w:val="006A6DBD"/>
    <w:rsid w:val="006B0351"/>
    <w:rsid w:val="006B1C30"/>
    <w:rsid w:val="006B2A22"/>
    <w:rsid w:val="006B7705"/>
    <w:rsid w:val="006C1B06"/>
    <w:rsid w:val="006C4CBF"/>
    <w:rsid w:val="006C4CE4"/>
    <w:rsid w:val="006C5BF3"/>
    <w:rsid w:val="006D0E52"/>
    <w:rsid w:val="006D2497"/>
    <w:rsid w:val="006D65BA"/>
    <w:rsid w:val="006D6B40"/>
    <w:rsid w:val="006E4526"/>
    <w:rsid w:val="006E7008"/>
    <w:rsid w:val="00704143"/>
    <w:rsid w:val="00704BFA"/>
    <w:rsid w:val="00710002"/>
    <w:rsid w:val="00712E03"/>
    <w:rsid w:val="00715517"/>
    <w:rsid w:val="00716348"/>
    <w:rsid w:val="00716DBC"/>
    <w:rsid w:val="0072449F"/>
    <w:rsid w:val="00726CC9"/>
    <w:rsid w:val="00727E9F"/>
    <w:rsid w:val="0073026D"/>
    <w:rsid w:val="00731D6C"/>
    <w:rsid w:val="00732A5B"/>
    <w:rsid w:val="007353AD"/>
    <w:rsid w:val="00741D65"/>
    <w:rsid w:val="007477B3"/>
    <w:rsid w:val="00750FEA"/>
    <w:rsid w:val="00751EC4"/>
    <w:rsid w:val="00752252"/>
    <w:rsid w:val="0075486A"/>
    <w:rsid w:val="007575B7"/>
    <w:rsid w:val="00761899"/>
    <w:rsid w:val="00762ADD"/>
    <w:rsid w:val="0076320D"/>
    <w:rsid w:val="007673F7"/>
    <w:rsid w:val="0077061C"/>
    <w:rsid w:val="00770F15"/>
    <w:rsid w:val="00771108"/>
    <w:rsid w:val="0078039A"/>
    <w:rsid w:val="00782886"/>
    <w:rsid w:val="007857F7"/>
    <w:rsid w:val="00791275"/>
    <w:rsid w:val="00796164"/>
    <w:rsid w:val="0079724A"/>
    <w:rsid w:val="007A023A"/>
    <w:rsid w:val="007A3792"/>
    <w:rsid w:val="007A38BA"/>
    <w:rsid w:val="007A4E3B"/>
    <w:rsid w:val="007A7F83"/>
    <w:rsid w:val="007B0D15"/>
    <w:rsid w:val="007B46AB"/>
    <w:rsid w:val="007B5A82"/>
    <w:rsid w:val="007D0B82"/>
    <w:rsid w:val="007D269F"/>
    <w:rsid w:val="007D5C90"/>
    <w:rsid w:val="007D69F6"/>
    <w:rsid w:val="007D7C19"/>
    <w:rsid w:val="007D7E50"/>
    <w:rsid w:val="007E3BB9"/>
    <w:rsid w:val="007E52A1"/>
    <w:rsid w:val="007E6DED"/>
    <w:rsid w:val="007E7280"/>
    <w:rsid w:val="007F4C5D"/>
    <w:rsid w:val="007F6783"/>
    <w:rsid w:val="00800446"/>
    <w:rsid w:val="0080140B"/>
    <w:rsid w:val="00802A09"/>
    <w:rsid w:val="00803410"/>
    <w:rsid w:val="00815D0F"/>
    <w:rsid w:val="00816468"/>
    <w:rsid w:val="00821D1E"/>
    <w:rsid w:val="00823887"/>
    <w:rsid w:val="00824E07"/>
    <w:rsid w:val="00825AD4"/>
    <w:rsid w:val="00833991"/>
    <w:rsid w:val="008345CA"/>
    <w:rsid w:val="008408A5"/>
    <w:rsid w:val="00842556"/>
    <w:rsid w:val="008466D3"/>
    <w:rsid w:val="008505E1"/>
    <w:rsid w:val="0085167F"/>
    <w:rsid w:val="00852205"/>
    <w:rsid w:val="00852AEE"/>
    <w:rsid w:val="00853FDC"/>
    <w:rsid w:val="00855896"/>
    <w:rsid w:val="0085713B"/>
    <w:rsid w:val="008616BD"/>
    <w:rsid w:val="008643DE"/>
    <w:rsid w:val="00871E37"/>
    <w:rsid w:val="0087735F"/>
    <w:rsid w:val="008821AB"/>
    <w:rsid w:val="00882E7A"/>
    <w:rsid w:val="00885620"/>
    <w:rsid w:val="0088667A"/>
    <w:rsid w:val="00890410"/>
    <w:rsid w:val="00892906"/>
    <w:rsid w:val="0089777C"/>
    <w:rsid w:val="008A04AD"/>
    <w:rsid w:val="008A471B"/>
    <w:rsid w:val="008A5B3F"/>
    <w:rsid w:val="008A5F9E"/>
    <w:rsid w:val="008A69E1"/>
    <w:rsid w:val="008A6F37"/>
    <w:rsid w:val="008B33EF"/>
    <w:rsid w:val="008B3508"/>
    <w:rsid w:val="008B4E92"/>
    <w:rsid w:val="008B5B50"/>
    <w:rsid w:val="008B5D90"/>
    <w:rsid w:val="008C02E2"/>
    <w:rsid w:val="008C08B5"/>
    <w:rsid w:val="008C2EF5"/>
    <w:rsid w:val="008D1FE8"/>
    <w:rsid w:val="008D36E0"/>
    <w:rsid w:val="008D5440"/>
    <w:rsid w:val="008D6447"/>
    <w:rsid w:val="008D65C3"/>
    <w:rsid w:val="008D71E5"/>
    <w:rsid w:val="008E4975"/>
    <w:rsid w:val="008E6DB7"/>
    <w:rsid w:val="008E7225"/>
    <w:rsid w:val="008E7E53"/>
    <w:rsid w:val="008F51C5"/>
    <w:rsid w:val="008F56C3"/>
    <w:rsid w:val="00901FB1"/>
    <w:rsid w:val="0090259D"/>
    <w:rsid w:val="0090678D"/>
    <w:rsid w:val="0092192E"/>
    <w:rsid w:val="0093363A"/>
    <w:rsid w:val="00934CAD"/>
    <w:rsid w:val="0093604A"/>
    <w:rsid w:val="00937EB4"/>
    <w:rsid w:val="00940925"/>
    <w:rsid w:val="00943C8B"/>
    <w:rsid w:val="00944CCA"/>
    <w:rsid w:val="009462AB"/>
    <w:rsid w:val="009556E9"/>
    <w:rsid w:val="00961038"/>
    <w:rsid w:val="00963936"/>
    <w:rsid w:val="009716DE"/>
    <w:rsid w:val="0097232E"/>
    <w:rsid w:val="00972F7D"/>
    <w:rsid w:val="00977787"/>
    <w:rsid w:val="009804F5"/>
    <w:rsid w:val="009807FD"/>
    <w:rsid w:val="009829F2"/>
    <w:rsid w:val="00983983"/>
    <w:rsid w:val="00986CF4"/>
    <w:rsid w:val="00990040"/>
    <w:rsid w:val="0099190D"/>
    <w:rsid w:val="009A0E44"/>
    <w:rsid w:val="009A33D6"/>
    <w:rsid w:val="009A47FA"/>
    <w:rsid w:val="009A544A"/>
    <w:rsid w:val="009B12BD"/>
    <w:rsid w:val="009C4905"/>
    <w:rsid w:val="009C592D"/>
    <w:rsid w:val="009D0443"/>
    <w:rsid w:val="009D0B13"/>
    <w:rsid w:val="009D2CA6"/>
    <w:rsid w:val="009D4012"/>
    <w:rsid w:val="009D572D"/>
    <w:rsid w:val="009D71CF"/>
    <w:rsid w:val="009D7662"/>
    <w:rsid w:val="009E19E2"/>
    <w:rsid w:val="009E347A"/>
    <w:rsid w:val="009E766A"/>
    <w:rsid w:val="009F0206"/>
    <w:rsid w:val="009F0840"/>
    <w:rsid w:val="009F2DF6"/>
    <w:rsid w:val="00A02F3F"/>
    <w:rsid w:val="00A04935"/>
    <w:rsid w:val="00A075DF"/>
    <w:rsid w:val="00A150F9"/>
    <w:rsid w:val="00A16618"/>
    <w:rsid w:val="00A169D3"/>
    <w:rsid w:val="00A17AF5"/>
    <w:rsid w:val="00A229E5"/>
    <w:rsid w:val="00A23C9F"/>
    <w:rsid w:val="00A36880"/>
    <w:rsid w:val="00A40E86"/>
    <w:rsid w:val="00A44E8A"/>
    <w:rsid w:val="00A466BC"/>
    <w:rsid w:val="00A52990"/>
    <w:rsid w:val="00A63EA3"/>
    <w:rsid w:val="00A642BB"/>
    <w:rsid w:val="00A7180E"/>
    <w:rsid w:val="00A800DA"/>
    <w:rsid w:val="00A866A3"/>
    <w:rsid w:val="00A87D3B"/>
    <w:rsid w:val="00A93ACD"/>
    <w:rsid w:val="00A95229"/>
    <w:rsid w:val="00AA0579"/>
    <w:rsid w:val="00AA0C91"/>
    <w:rsid w:val="00AA5A91"/>
    <w:rsid w:val="00AA7229"/>
    <w:rsid w:val="00AB0F27"/>
    <w:rsid w:val="00AC107F"/>
    <w:rsid w:val="00AC3C8C"/>
    <w:rsid w:val="00AC78BF"/>
    <w:rsid w:val="00AD329A"/>
    <w:rsid w:val="00AD5D00"/>
    <w:rsid w:val="00AE2E13"/>
    <w:rsid w:val="00AE7A59"/>
    <w:rsid w:val="00AF44A0"/>
    <w:rsid w:val="00B0320A"/>
    <w:rsid w:val="00B12967"/>
    <w:rsid w:val="00B15FEA"/>
    <w:rsid w:val="00B16AC7"/>
    <w:rsid w:val="00B21C37"/>
    <w:rsid w:val="00B32E66"/>
    <w:rsid w:val="00B33514"/>
    <w:rsid w:val="00B33C79"/>
    <w:rsid w:val="00B40B8E"/>
    <w:rsid w:val="00B44755"/>
    <w:rsid w:val="00B52FED"/>
    <w:rsid w:val="00B807F8"/>
    <w:rsid w:val="00B81B66"/>
    <w:rsid w:val="00B85464"/>
    <w:rsid w:val="00B9006B"/>
    <w:rsid w:val="00B91AED"/>
    <w:rsid w:val="00B9516C"/>
    <w:rsid w:val="00B97258"/>
    <w:rsid w:val="00BB0913"/>
    <w:rsid w:val="00BB207D"/>
    <w:rsid w:val="00BC3377"/>
    <w:rsid w:val="00BC5BDF"/>
    <w:rsid w:val="00BC721C"/>
    <w:rsid w:val="00BD1906"/>
    <w:rsid w:val="00BD2B82"/>
    <w:rsid w:val="00BD30A3"/>
    <w:rsid w:val="00BD43D8"/>
    <w:rsid w:val="00BE1626"/>
    <w:rsid w:val="00BE252C"/>
    <w:rsid w:val="00BE5426"/>
    <w:rsid w:val="00BF2CB3"/>
    <w:rsid w:val="00BF5E4E"/>
    <w:rsid w:val="00BF76F5"/>
    <w:rsid w:val="00C023BD"/>
    <w:rsid w:val="00C05104"/>
    <w:rsid w:val="00C0621B"/>
    <w:rsid w:val="00C30DF3"/>
    <w:rsid w:val="00C3483B"/>
    <w:rsid w:val="00C4293F"/>
    <w:rsid w:val="00C43EAF"/>
    <w:rsid w:val="00C50D2D"/>
    <w:rsid w:val="00C57D5A"/>
    <w:rsid w:val="00C61706"/>
    <w:rsid w:val="00C64329"/>
    <w:rsid w:val="00C64757"/>
    <w:rsid w:val="00C64CC1"/>
    <w:rsid w:val="00C65E05"/>
    <w:rsid w:val="00C71474"/>
    <w:rsid w:val="00C743F2"/>
    <w:rsid w:val="00C744D4"/>
    <w:rsid w:val="00C77137"/>
    <w:rsid w:val="00C80AB1"/>
    <w:rsid w:val="00C81500"/>
    <w:rsid w:val="00C91A8D"/>
    <w:rsid w:val="00C928FA"/>
    <w:rsid w:val="00C933AD"/>
    <w:rsid w:val="00C93A2D"/>
    <w:rsid w:val="00C9447B"/>
    <w:rsid w:val="00C95470"/>
    <w:rsid w:val="00CA0DCF"/>
    <w:rsid w:val="00CA47EE"/>
    <w:rsid w:val="00CA73CF"/>
    <w:rsid w:val="00CB2620"/>
    <w:rsid w:val="00CB2ED5"/>
    <w:rsid w:val="00CB428E"/>
    <w:rsid w:val="00CB60AD"/>
    <w:rsid w:val="00CC20E1"/>
    <w:rsid w:val="00CC2978"/>
    <w:rsid w:val="00CD2BED"/>
    <w:rsid w:val="00CD72DE"/>
    <w:rsid w:val="00CE01EA"/>
    <w:rsid w:val="00CE3FF7"/>
    <w:rsid w:val="00CF0A20"/>
    <w:rsid w:val="00CF2DA2"/>
    <w:rsid w:val="00D021E9"/>
    <w:rsid w:val="00D117BE"/>
    <w:rsid w:val="00D1685E"/>
    <w:rsid w:val="00D2029B"/>
    <w:rsid w:val="00D2105F"/>
    <w:rsid w:val="00D21405"/>
    <w:rsid w:val="00D214B5"/>
    <w:rsid w:val="00D27D52"/>
    <w:rsid w:val="00D344AA"/>
    <w:rsid w:val="00D34E77"/>
    <w:rsid w:val="00D3551F"/>
    <w:rsid w:val="00D35B6B"/>
    <w:rsid w:val="00D36142"/>
    <w:rsid w:val="00D36378"/>
    <w:rsid w:val="00D36518"/>
    <w:rsid w:val="00D366A5"/>
    <w:rsid w:val="00D37C44"/>
    <w:rsid w:val="00D43F7D"/>
    <w:rsid w:val="00D4495C"/>
    <w:rsid w:val="00D54B17"/>
    <w:rsid w:val="00D630C1"/>
    <w:rsid w:val="00D63100"/>
    <w:rsid w:val="00D63A67"/>
    <w:rsid w:val="00D64108"/>
    <w:rsid w:val="00D66160"/>
    <w:rsid w:val="00D66CEB"/>
    <w:rsid w:val="00D70A7F"/>
    <w:rsid w:val="00D721E2"/>
    <w:rsid w:val="00D72C33"/>
    <w:rsid w:val="00D74404"/>
    <w:rsid w:val="00D765DC"/>
    <w:rsid w:val="00D81377"/>
    <w:rsid w:val="00D8292E"/>
    <w:rsid w:val="00D82B0F"/>
    <w:rsid w:val="00D836A5"/>
    <w:rsid w:val="00D91810"/>
    <w:rsid w:val="00D91A2C"/>
    <w:rsid w:val="00DA08ED"/>
    <w:rsid w:val="00DA315B"/>
    <w:rsid w:val="00DA4238"/>
    <w:rsid w:val="00DA42A3"/>
    <w:rsid w:val="00DA5029"/>
    <w:rsid w:val="00DA58C6"/>
    <w:rsid w:val="00DA76C0"/>
    <w:rsid w:val="00DA7AAE"/>
    <w:rsid w:val="00DA7FBB"/>
    <w:rsid w:val="00DB04F6"/>
    <w:rsid w:val="00DB3F4F"/>
    <w:rsid w:val="00DC19DD"/>
    <w:rsid w:val="00DC2902"/>
    <w:rsid w:val="00DC3955"/>
    <w:rsid w:val="00DC3F48"/>
    <w:rsid w:val="00DC415B"/>
    <w:rsid w:val="00DC46E5"/>
    <w:rsid w:val="00DC68FD"/>
    <w:rsid w:val="00DD0EB1"/>
    <w:rsid w:val="00DE3877"/>
    <w:rsid w:val="00DE4301"/>
    <w:rsid w:val="00DE5043"/>
    <w:rsid w:val="00DF1694"/>
    <w:rsid w:val="00E1538D"/>
    <w:rsid w:val="00E2069D"/>
    <w:rsid w:val="00E26BE7"/>
    <w:rsid w:val="00E35D4C"/>
    <w:rsid w:val="00E40261"/>
    <w:rsid w:val="00E41CFE"/>
    <w:rsid w:val="00E4479F"/>
    <w:rsid w:val="00E4491E"/>
    <w:rsid w:val="00E5575B"/>
    <w:rsid w:val="00E60B25"/>
    <w:rsid w:val="00E6252C"/>
    <w:rsid w:val="00E66821"/>
    <w:rsid w:val="00E722D3"/>
    <w:rsid w:val="00E73C7A"/>
    <w:rsid w:val="00E76343"/>
    <w:rsid w:val="00E76A52"/>
    <w:rsid w:val="00E80210"/>
    <w:rsid w:val="00E86500"/>
    <w:rsid w:val="00E871DE"/>
    <w:rsid w:val="00EB0B2D"/>
    <w:rsid w:val="00EB3BCD"/>
    <w:rsid w:val="00EB45C5"/>
    <w:rsid w:val="00EC0F85"/>
    <w:rsid w:val="00EC10F1"/>
    <w:rsid w:val="00EE1BFE"/>
    <w:rsid w:val="00EE22C5"/>
    <w:rsid w:val="00EE28EE"/>
    <w:rsid w:val="00EF1B42"/>
    <w:rsid w:val="00EF4C8A"/>
    <w:rsid w:val="00EF52F8"/>
    <w:rsid w:val="00EF6FD2"/>
    <w:rsid w:val="00F040D4"/>
    <w:rsid w:val="00F044C2"/>
    <w:rsid w:val="00F06F46"/>
    <w:rsid w:val="00F1148A"/>
    <w:rsid w:val="00F21D2E"/>
    <w:rsid w:val="00F2721C"/>
    <w:rsid w:val="00F34805"/>
    <w:rsid w:val="00F3513F"/>
    <w:rsid w:val="00F362DE"/>
    <w:rsid w:val="00F4427C"/>
    <w:rsid w:val="00F50D19"/>
    <w:rsid w:val="00F57BE1"/>
    <w:rsid w:val="00F608A3"/>
    <w:rsid w:val="00F6273C"/>
    <w:rsid w:val="00F63398"/>
    <w:rsid w:val="00F63C0D"/>
    <w:rsid w:val="00F717B1"/>
    <w:rsid w:val="00F76775"/>
    <w:rsid w:val="00F835E5"/>
    <w:rsid w:val="00F8469F"/>
    <w:rsid w:val="00F84EB9"/>
    <w:rsid w:val="00F84F40"/>
    <w:rsid w:val="00F85B62"/>
    <w:rsid w:val="00F864C6"/>
    <w:rsid w:val="00F91742"/>
    <w:rsid w:val="00F91F19"/>
    <w:rsid w:val="00F925E5"/>
    <w:rsid w:val="00F96476"/>
    <w:rsid w:val="00FA065E"/>
    <w:rsid w:val="00FA4202"/>
    <w:rsid w:val="00FA4690"/>
    <w:rsid w:val="00FA7602"/>
    <w:rsid w:val="00FB1233"/>
    <w:rsid w:val="00FB3CEE"/>
    <w:rsid w:val="00FB5588"/>
    <w:rsid w:val="00FC1119"/>
    <w:rsid w:val="00FC5787"/>
    <w:rsid w:val="00FC6171"/>
    <w:rsid w:val="00FC7371"/>
    <w:rsid w:val="00FC7853"/>
    <w:rsid w:val="00FD0880"/>
    <w:rsid w:val="00FD26DF"/>
    <w:rsid w:val="00FE0754"/>
    <w:rsid w:val="00FE4347"/>
    <w:rsid w:val="00FE48A3"/>
    <w:rsid w:val="00FE7EAC"/>
    <w:rsid w:val="00FF13DF"/>
    <w:rsid w:val="00FF49E7"/>
    <w:rsid w:val="00FF4E3F"/>
    <w:rsid w:val="00FF5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520E0BB"/>
  <w15:chartTrackingRefBased/>
  <w15:docId w15:val="{3EE15215-6FCF-4070-BBE3-85CE441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7F"/>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762ADD"/>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762ADD"/>
    <w:pPr>
      <w:spacing w:before="240" w:after="240"/>
      <w:outlineLvl w:val="1"/>
    </w:pPr>
    <w:rPr>
      <w:rFonts w:ascii="Arial Bold" w:hAnsi="Arial Bold"/>
      <w:b/>
      <w:sz w:val="26"/>
    </w:rPr>
  </w:style>
  <w:style w:type="paragraph" w:styleId="Heading3">
    <w:name w:val="heading 3"/>
    <w:basedOn w:val="HeadingBase"/>
    <w:next w:val="Normal"/>
    <w:link w:val="Heading3Char"/>
    <w:qFormat/>
    <w:rsid w:val="00762ADD"/>
    <w:pPr>
      <w:spacing w:before="120" w:after="120"/>
      <w:outlineLvl w:val="2"/>
    </w:pPr>
    <w:rPr>
      <w:rFonts w:ascii="Arial Bold" w:hAnsi="Arial Bold"/>
      <w:b/>
      <w:sz w:val="22"/>
    </w:rPr>
  </w:style>
  <w:style w:type="paragraph" w:styleId="Heading4">
    <w:name w:val="heading 4"/>
    <w:basedOn w:val="HeadingBase"/>
    <w:next w:val="Normal"/>
    <w:link w:val="Heading4Char"/>
    <w:qFormat/>
    <w:rsid w:val="00762ADD"/>
    <w:pPr>
      <w:spacing w:after="120"/>
      <w:outlineLvl w:val="3"/>
    </w:pPr>
    <w:rPr>
      <w:rFonts w:ascii="Arial Bold" w:hAnsi="Arial Bold"/>
      <w:b/>
      <w:sz w:val="20"/>
    </w:rPr>
  </w:style>
  <w:style w:type="paragraph" w:styleId="Heading5">
    <w:name w:val="heading 5"/>
    <w:basedOn w:val="HeadingBase"/>
    <w:next w:val="Normal"/>
    <w:link w:val="Heading5Char"/>
    <w:qFormat/>
    <w:rsid w:val="00762ADD"/>
    <w:pPr>
      <w:spacing w:after="120"/>
      <w:outlineLvl w:val="4"/>
    </w:pPr>
    <w:rPr>
      <w:b/>
      <w:bCs/>
      <w:iCs/>
      <w:sz w:val="20"/>
      <w:szCs w:val="26"/>
    </w:rPr>
  </w:style>
  <w:style w:type="paragraph" w:styleId="Heading6">
    <w:name w:val="heading 6"/>
    <w:basedOn w:val="HeadingBase"/>
    <w:next w:val="Normal"/>
    <w:link w:val="Heading6Char"/>
    <w:rsid w:val="00762ADD"/>
    <w:pPr>
      <w:spacing w:after="120"/>
      <w:outlineLvl w:val="5"/>
    </w:pPr>
    <w:rPr>
      <w:bCs/>
      <w:sz w:val="20"/>
      <w:szCs w:val="22"/>
    </w:rPr>
  </w:style>
  <w:style w:type="paragraph" w:styleId="Heading7">
    <w:name w:val="heading 7"/>
    <w:basedOn w:val="HeadingBase"/>
    <w:next w:val="Normal"/>
    <w:link w:val="Heading7Char"/>
    <w:rsid w:val="00762ADD"/>
    <w:pPr>
      <w:spacing w:before="120"/>
      <w:outlineLvl w:val="6"/>
    </w:pPr>
    <w:rPr>
      <w:sz w:val="20"/>
      <w:szCs w:val="24"/>
    </w:rPr>
  </w:style>
  <w:style w:type="paragraph" w:styleId="Heading8">
    <w:name w:val="heading 8"/>
    <w:basedOn w:val="HeadingBase"/>
    <w:next w:val="Normal"/>
    <w:link w:val="Heading8Char"/>
    <w:rsid w:val="00762ADD"/>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762ADD"/>
    <w:pPr>
      <w:tabs>
        <w:tab w:val="center" w:pos="4153"/>
        <w:tab w:val="right" w:pos="8306"/>
      </w:tabs>
    </w:pPr>
  </w:style>
  <w:style w:type="character" w:customStyle="1" w:styleId="HeaderChar">
    <w:name w:val="Header Char"/>
    <w:basedOn w:val="DefaultParagraphFont"/>
    <w:link w:val="Header"/>
    <w:rsid w:val="00762ADD"/>
    <w:rPr>
      <w:rFonts w:ascii="Book Antiqua" w:eastAsia="Times New Roman" w:hAnsi="Book Antiqua" w:cs="Times New Roman"/>
      <w:i/>
      <w:sz w:val="20"/>
      <w:szCs w:val="20"/>
      <w:lang w:eastAsia="en-AU"/>
    </w:rPr>
  </w:style>
  <w:style w:type="paragraph" w:styleId="Footer">
    <w:name w:val="footer"/>
    <w:basedOn w:val="FooterBase"/>
    <w:link w:val="FooterChar"/>
    <w:rsid w:val="00762ADD"/>
    <w:pPr>
      <w:tabs>
        <w:tab w:val="center" w:pos="4153"/>
        <w:tab w:val="right" w:pos="8306"/>
      </w:tabs>
    </w:pPr>
  </w:style>
  <w:style w:type="character" w:customStyle="1" w:styleId="FooterChar">
    <w:name w:val="Footer Char"/>
    <w:basedOn w:val="DefaultParagraphFont"/>
    <w:link w:val="Footer"/>
    <w:rsid w:val="00762AD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762ADD"/>
    <w:pPr>
      <w:spacing w:before="240" w:after="60"/>
      <w:jc w:val="center"/>
    </w:pPr>
    <w:rPr>
      <w:rFonts w:ascii="Calibri" w:eastAsia="Times New Roman" w:hAnsi="Calibri" w:cs="Calibri"/>
      <w:b/>
      <w:caps/>
      <w:sz w:val="24"/>
      <w:szCs w:val="20"/>
      <w:lang w:eastAsia="en-AU"/>
    </w:rPr>
  </w:style>
  <w:style w:type="character" w:customStyle="1" w:styleId="SecurityClassificationHeaderChar">
    <w:name w:val="Security Classification Header Char"/>
    <w:basedOn w:val="HeaderChar"/>
    <w:link w:val="SecurityClassificationHeader"/>
    <w:rsid w:val="00762ADD"/>
    <w:rPr>
      <w:rFonts w:ascii="Calibri" w:eastAsia="Times New Roman" w:hAnsi="Calibri" w:cs="Calibri"/>
      <w:b/>
      <w:i w:val="0"/>
      <w:caps/>
      <w:sz w:val="24"/>
      <w:szCs w:val="20"/>
      <w:lang w:eastAsia="en-AU"/>
    </w:rPr>
  </w:style>
  <w:style w:type="paragraph" w:customStyle="1" w:styleId="SecurityClassificationFooter">
    <w:name w:val="Security Classification Footer"/>
    <w:link w:val="SecurityClassificationFooterChar"/>
    <w:rsid w:val="00762ADD"/>
    <w:pPr>
      <w:spacing w:before="60" w:after="240"/>
      <w:jc w:val="center"/>
    </w:pPr>
    <w:rPr>
      <w:rFonts w:ascii="Calibri" w:eastAsia="Times New Roman" w:hAnsi="Calibri" w:cs="Calibri"/>
      <w:b/>
      <w:caps/>
      <w:sz w:val="24"/>
      <w:szCs w:val="20"/>
      <w:lang w:eastAsia="en-AU"/>
    </w:rPr>
  </w:style>
  <w:style w:type="character" w:customStyle="1" w:styleId="SecurityClassificationFooterChar">
    <w:name w:val="Security Classification Footer Char"/>
    <w:basedOn w:val="HeaderChar"/>
    <w:link w:val="SecurityClassificationFooter"/>
    <w:rsid w:val="00762ADD"/>
    <w:rPr>
      <w:rFonts w:ascii="Calibri" w:eastAsia="Times New Roman" w:hAnsi="Calibri" w:cs="Calibri"/>
      <w:b/>
      <w:i w:val="0"/>
      <w:caps/>
      <w:sz w:val="24"/>
      <w:szCs w:val="20"/>
      <w:lang w:eastAsia="en-AU"/>
    </w:rPr>
  </w:style>
  <w:style w:type="paragraph" w:customStyle="1" w:styleId="DLMSecurityHeader">
    <w:name w:val="DLM Security Header"/>
    <w:link w:val="DLMSecurityHeaderChar"/>
    <w:rsid w:val="00762ADD"/>
    <w:pPr>
      <w:spacing w:before="60" w:after="240"/>
      <w:jc w:val="center"/>
    </w:pPr>
    <w:rPr>
      <w:rFonts w:ascii="Calibri" w:eastAsia="Times New Roman" w:hAnsi="Calibri" w:cs="Calibri"/>
      <w:b/>
      <w:caps/>
      <w:sz w:val="24"/>
      <w:szCs w:val="20"/>
      <w:lang w:eastAsia="en-AU"/>
    </w:rPr>
  </w:style>
  <w:style w:type="character" w:customStyle="1" w:styleId="DLMSecurityHeaderChar">
    <w:name w:val="DLM Security Header Char"/>
    <w:basedOn w:val="HeaderChar"/>
    <w:link w:val="DLMSecurityHeader"/>
    <w:rsid w:val="00762ADD"/>
    <w:rPr>
      <w:rFonts w:ascii="Calibri" w:eastAsia="Times New Roman" w:hAnsi="Calibri" w:cs="Calibri"/>
      <w:b/>
      <w:i w:val="0"/>
      <w:caps/>
      <w:sz w:val="24"/>
      <w:szCs w:val="20"/>
      <w:lang w:eastAsia="en-AU"/>
    </w:rPr>
  </w:style>
  <w:style w:type="paragraph" w:customStyle="1" w:styleId="DLMSecurityFooter">
    <w:name w:val="DLM Security Footer"/>
    <w:link w:val="DLMSecurityFooterChar"/>
    <w:rsid w:val="00762ADD"/>
    <w:pPr>
      <w:spacing w:before="240" w:after="60"/>
      <w:jc w:val="center"/>
    </w:pPr>
    <w:rPr>
      <w:rFonts w:ascii="Calibri" w:eastAsia="Times New Roman" w:hAnsi="Calibri" w:cs="Calibri"/>
      <w:b/>
      <w:caps/>
      <w:sz w:val="24"/>
      <w:szCs w:val="20"/>
      <w:lang w:eastAsia="en-AU"/>
    </w:rPr>
  </w:style>
  <w:style w:type="character" w:customStyle="1" w:styleId="DLMSecurityFooterChar">
    <w:name w:val="DLM Security Footer Char"/>
    <w:basedOn w:val="HeaderChar"/>
    <w:link w:val="DLMSecurityFooter"/>
    <w:rsid w:val="00762ADD"/>
    <w:rPr>
      <w:rFonts w:ascii="Calibri" w:eastAsia="Times New Roman" w:hAnsi="Calibri" w:cs="Calibri"/>
      <w:b/>
      <w:i w:val="0"/>
      <w:caps/>
      <w:sz w:val="24"/>
      <w:szCs w:val="20"/>
      <w:lang w:eastAsia="en-AU"/>
    </w:rPr>
  </w:style>
  <w:style w:type="paragraph" w:customStyle="1" w:styleId="Classification">
    <w:name w:val="Classification"/>
    <w:basedOn w:val="HeadingBase"/>
    <w:rsid w:val="00762ADD"/>
    <w:pPr>
      <w:jc w:val="center"/>
    </w:pPr>
    <w:rPr>
      <w:b/>
      <w:smallCaps/>
    </w:rPr>
  </w:style>
  <w:style w:type="paragraph" w:customStyle="1" w:styleId="FileProperties">
    <w:name w:val="File Properties"/>
    <w:basedOn w:val="Normal"/>
    <w:rsid w:val="00762ADD"/>
    <w:rPr>
      <w:i/>
    </w:rPr>
  </w:style>
  <w:style w:type="paragraph" w:customStyle="1" w:styleId="AlphaParagraph">
    <w:name w:val="Alpha Paragraph"/>
    <w:basedOn w:val="Normal"/>
    <w:rsid w:val="00762ADD"/>
    <w:pPr>
      <w:numPr>
        <w:numId w:val="1"/>
      </w:numPr>
      <w:tabs>
        <w:tab w:val="clear" w:pos="567"/>
        <w:tab w:val="num" w:pos="360"/>
      </w:tabs>
      <w:ind w:left="0" w:firstLine="0"/>
    </w:pPr>
  </w:style>
  <w:style w:type="paragraph" w:customStyle="1" w:styleId="HeadingBase">
    <w:name w:val="Heading Base"/>
    <w:rsid w:val="00762AD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762ADD"/>
    <w:pPr>
      <w:spacing w:after="240"/>
      <w:jc w:val="center"/>
      <w:outlineLvl w:val="3"/>
    </w:pPr>
    <w:rPr>
      <w:rFonts w:ascii="Arial Bold" w:hAnsi="Arial Bold"/>
      <w:b/>
      <w:sz w:val="30"/>
    </w:rPr>
  </w:style>
  <w:style w:type="paragraph" w:styleId="BalloonText">
    <w:name w:val="Balloon Text"/>
    <w:basedOn w:val="Normal"/>
    <w:link w:val="BalloonTextChar"/>
    <w:rsid w:val="00762ADD"/>
    <w:rPr>
      <w:rFonts w:ascii="Tahoma" w:hAnsi="Tahoma" w:cs="Tahoma"/>
      <w:sz w:val="16"/>
      <w:szCs w:val="16"/>
    </w:rPr>
  </w:style>
  <w:style w:type="character" w:customStyle="1" w:styleId="BalloonTextChar">
    <w:name w:val="Balloon Text Char"/>
    <w:basedOn w:val="DefaultParagraphFont"/>
    <w:link w:val="BalloonText"/>
    <w:rsid w:val="00762ADD"/>
    <w:rPr>
      <w:rFonts w:ascii="Tahoma" w:eastAsia="Times New Roman" w:hAnsi="Tahoma" w:cs="Tahoma"/>
      <w:sz w:val="16"/>
      <w:szCs w:val="16"/>
      <w:lang w:eastAsia="en-AU"/>
    </w:rPr>
  </w:style>
  <w:style w:type="paragraph" w:customStyle="1" w:styleId="BlockedQuotation">
    <w:name w:val="Blocked Quotation"/>
    <w:basedOn w:val="Normal"/>
    <w:rsid w:val="00762ADD"/>
    <w:pPr>
      <w:ind w:left="567"/>
    </w:pPr>
  </w:style>
  <w:style w:type="paragraph" w:customStyle="1" w:styleId="BoxText">
    <w:name w:val="Box Text"/>
    <w:basedOn w:val="Normal"/>
    <w:qFormat/>
    <w:rsid w:val="00762ADD"/>
    <w:pPr>
      <w:spacing w:before="120" w:after="120" w:line="240" w:lineRule="auto"/>
    </w:pPr>
  </w:style>
  <w:style w:type="paragraph" w:customStyle="1" w:styleId="BoxBullet">
    <w:name w:val="Box Bullet"/>
    <w:basedOn w:val="BoxText"/>
    <w:rsid w:val="00762ADD"/>
    <w:pPr>
      <w:numPr>
        <w:numId w:val="2"/>
      </w:numPr>
    </w:pPr>
  </w:style>
  <w:style w:type="paragraph" w:customStyle="1" w:styleId="BoxHeading">
    <w:name w:val="Box Heading"/>
    <w:basedOn w:val="HeadingBase"/>
    <w:next w:val="BoxText"/>
    <w:rsid w:val="00762ADD"/>
    <w:pPr>
      <w:spacing w:before="120" w:after="120"/>
    </w:pPr>
    <w:rPr>
      <w:b/>
      <w:sz w:val="20"/>
    </w:rPr>
  </w:style>
  <w:style w:type="character" w:customStyle="1" w:styleId="Heading6Char">
    <w:name w:val="Heading 6 Char"/>
    <w:basedOn w:val="DefaultParagraphFont"/>
    <w:link w:val="Heading6"/>
    <w:rsid w:val="00762ADD"/>
    <w:rPr>
      <w:rFonts w:ascii="Arial" w:eastAsia="Times New Roman" w:hAnsi="Arial" w:cs="Times New Roman"/>
      <w:bCs/>
      <w:sz w:val="20"/>
      <w:lang w:eastAsia="en-AU"/>
    </w:rPr>
  </w:style>
  <w:style w:type="paragraph" w:customStyle="1" w:styleId="BoxSubHeading">
    <w:name w:val="Box Sub Heading"/>
    <w:basedOn w:val="Heading6"/>
    <w:rsid w:val="00762ADD"/>
    <w:pPr>
      <w:spacing w:before="120" w:after="40"/>
    </w:pPr>
  </w:style>
  <w:style w:type="paragraph" w:customStyle="1" w:styleId="Bullet">
    <w:name w:val="Bullet"/>
    <w:aliases w:val="b,b1,b + line,level 1,Body,Bullet + line"/>
    <w:basedOn w:val="Normal"/>
    <w:link w:val="BulletChar"/>
    <w:qFormat/>
    <w:rsid w:val="00762ADD"/>
    <w:pPr>
      <w:numPr>
        <w:numId w:val="3"/>
      </w:numPr>
    </w:pPr>
  </w:style>
  <w:style w:type="paragraph" w:styleId="Caption">
    <w:name w:val="caption"/>
    <w:basedOn w:val="Normal"/>
    <w:next w:val="Normal"/>
    <w:rsid w:val="00762ADD"/>
    <w:rPr>
      <w:b/>
      <w:bCs/>
    </w:rPr>
  </w:style>
  <w:style w:type="paragraph" w:customStyle="1" w:styleId="ChartandTableFootnote">
    <w:name w:val="Chart and Table Footnote"/>
    <w:basedOn w:val="HeadingBase"/>
    <w:next w:val="Normal"/>
    <w:rsid w:val="00762ADD"/>
    <w:pPr>
      <w:keepNext w:val="0"/>
      <w:tabs>
        <w:tab w:val="left" w:pos="284"/>
      </w:tabs>
      <w:jc w:val="both"/>
    </w:pPr>
    <w:rPr>
      <w:color w:val="000000"/>
      <w:sz w:val="16"/>
    </w:rPr>
  </w:style>
  <w:style w:type="paragraph" w:customStyle="1" w:styleId="ChartandTableFootnoteAlpha">
    <w:name w:val="Chart and Table Footnote Alpha"/>
    <w:basedOn w:val="HeadingBase"/>
    <w:next w:val="Normal"/>
    <w:rsid w:val="00762ADD"/>
    <w:pPr>
      <w:keepNext w:val="0"/>
      <w:numPr>
        <w:numId w:val="4"/>
      </w:numPr>
      <w:jc w:val="both"/>
    </w:pPr>
    <w:rPr>
      <w:color w:val="000000"/>
      <w:sz w:val="16"/>
    </w:rPr>
  </w:style>
  <w:style w:type="paragraph" w:customStyle="1" w:styleId="ChartandTableFootnoteSmall">
    <w:name w:val="Chart and Table Footnote Small"/>
    <w:basedOn w:val="HeadingBase"/>
    <w:next w:val="Normal"/>
    <w:rsid w:val="00762ADD"/>
    <w:pPr>
      <w:keepNext w:val="0"/>
      <w:tabs>
        <w:tab w:val="left" w:pos="284"/>
      </w:tabs>
      <w:jc w:val="both"/>
    </w:pPr>
    <w:rPr>
      <w:color w:val="000000"/>
      <w:sz w:val="15"/>
    </w:rPr>
  </w:style>
  <w:style w:type="paragraph" w:customStyle="1" w:styleId="ChartGraphic">
    <w:name w:val="Chart Graphic"/>
    <w:basedOn w:val="HeadingBase"/>
    <w:rsid w:val="00762ADD"/>
    <w:pPr>
      <w:jc w:val="center"/>
    </w:pPr>
    <w:rPr>
      <w:sz w:val="20"/>
    </w:rPr>
  </w:style>
  <w:style w:type="paragraph" w:customStyle="1" w:styleId="ChartHeading">
    <w:name w:val="Chart Heading"/>
    <w:basedOn w:val="HeadingBase"/>
    <w:next w:val="ChartGraphic"/>
    <w:qFormat/>
    <w:rsid w:val="00762ADD"/>
    <w:pPr>
      <w:spacing w:before="120" w:after="20"/>
      <w:jc w:val="center"/>
    </w:pPr>
    <w:rPr>
      <w:b/>
      <w:sz w:val="20"/>
    </w:rPr>
  </w:style>
  <w:style w:type="paragraph" w:customStyle="1" w:styleId="ChartMainHeading">
    <w:name w:val="Chart Main Heading"/>
    <w:basedOn w:val="Normal"/>
    <w:next w:val="ChartGraphic"/>
    <w:rsid w:val="00762ADD"/>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762ADD"/>
    <w:pPr>
      <w:spacing w:before="60"/>
      <w:jc w:val="center"/>
    </w:pPr>
    <w:rPr>
      <w:sz w:val="20"/>
    </w:rPr>
  </w:style>
  <w:style w:type="character" w:styleId="CommentReference">
    <w:name w:val="annotation reference"/>
    <w:basedOn w:val="DefaultParagraphFont"/>
    <w:semiHidden/>
    <w:rsid w:val="00762ADD"/>
    <w:rPr>
      <w:sz w:val="16"/>
      <w:szCs w:val="16"/>
    </w:rPr>
  </w:style>
  <w:style w:type="paragraph" w:styleId="CommentText">
    <w:name w:val="annotation text"/>
    <w:basedOn w:val="Normal"/>
    <w:link w:val="CommentTextChar"/>
    <w:semiHidden/>
    <w:rsid w:val="00762ADD"/>
  </w:style>
  <w:style w:type="character" w:customStyle="1" w:styleId="CommentTextChar">
    <w:name w:val="Comment Text Char"/>
    <w:basedOn w:val="DefaultParagraphFont"/>
    <w:link w:val="CommentText"/>
    <w:semiHidden/>
    <w:rsid w:val="00762AD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762ADD"/>
    <w:rPr>
      <w:b/>
      <w:bCs/>
    </w:rPr>
  </w:style>
  <w:style w:type="character" w:customStyle="1" w:styleId="CommentSubjectChar">
    <w:name w:val="Comment Subject Char"/>
    <w:basedOn w:val="CommentTextChar"/>
    <w:link w:val="CommentSubject"/>
    <w:semiHidden/>
    <w:rsid w:val="00762ADD"/>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762ADD"/>
    <w:pPr>
      <w:spacing w:after="720"/>
      <w:jc w:val="center"/>
    </w:pPr>
    <w:rPr>
      <w:rFonts w:ascii="Arial Bold" w:hAnsi="Arial Bold"/>
      <w:b/>
      <w:sz w:val="36"/>
    </w:rPr>
  </w:style>
  <w:style w:type="paragraph" w:customStyle="1" w:styleId="ContentsnoToC">
    <w:name w:val="Contents no ToC"/>
    <w:basedOn w:val="ContentsHeading"/>
    <w:rsid w:val="00762ADD"/>
  </w:style>
  <w:style w:type="paragraph" w:customStyle="1" w:styleId="Dash">
    <w:name w:val="Dash"/>
    <w:basedOn w:val="Normal"/>
    <w:link w:val="DashChar"/>
    <w:qFormat/>
    <w:rsid w:val="00762ADD"/>
    <w:pPr>
      <w:numPr>
        <w:ilvl w:val="1"/>
        <w:numId w:val="3"/>
      </w:numPr>
      <w:tabs>
        <w:tab w:val="left" w:pos="567"/>
      </w:tabs>
    </w:pPr>
  </w:style>
  <w:style w:type="paragraph" w:styleId="DocumentMap">
    <w:name w:val="Document Map"/>
    <w:basedOn w:val="Normal"/>
    <w:link w:val="DocumentMapChar"/>
    <w:semiHidden/>
    <w:rsid w:val="00762ADD"/>
    <w:pPr>
      <w:shd w:val="clear" w:color="auto" w:fill="000080"/>
    </w:pPr>
    <w:rPr>
      <w:rFonts w:ascii="Tahoma" w:hAnsi="Tahoma" w:cs="Tahoma"/>
    </w:rPr>
  </w:style>
  <w:style w:type="character" w:customStyle="1" w:styleId="DocumentMapChar">
    <w:name w:val="Document Map Char"/>
    <w:basedOn w:val="DefaultParagraphFont"/>
    <w:link w:val="DocumentMap"/>
    <w:semiHidden/>
    <w:rsid w:val="00762ADD"/>
    <w:rPr>
      <w:rFonts w:ascii="Tahoma" w:eastAsia="Times New Roman" w:hAnsi="Tahoma" w:cs="Tahoma"/>
      <w:sz w:val="20"/>
      <w:szCs w:val="20"/>
      <w:shd w:val="clear" w:color="auto" w:fill="000080"/>
      <w:lang w:eastAsia="en-AU"/>
    </w:rPr>
  </w:style>
  <w:style w:type="paragraph" w:customStyle="1" w:styleId="DoubleDot">
    <w:name w:val="Double Dot"/>
    <w:basedOn w:val="Normal"/>
    <w:rsid w:val="00762ADD"/>
    <w:pPr>
      <w:numPr>
        <w:ilvl w:val="2"/>
        <w:numId w:val="3"/>
      </w:numPr>
      <w:tabs>
        <w:tab w:val="clear" w:pos="850"/>
        <w:tab w:val="num" w:pos="360"/>
        <w:tab w:val="left" w:pos="851"/>
      </w:tabs>
    </w:pPr>
  </w:style>
  <w:style w:type="character" w:styleId="EndnoteReference">
    <w:name w:val="endnote reference"/>
    <w:basedOn w:val="DefaultParagraphFont"/>
    <w:unhideWhenUsed/>
    <w:rsid w:val="00762ADD"/>
    <w:rPr>
      <w:vertAlign w:val="superscript"/>
    </w:rPr>
  </w:style>
  <w:style w:type="paragraph" w:styleId="EndnoteText">
    <w:name w:val="endnote text"/>
    <w:basedOn w:val="Normal"/>
    <w:link w:val="EndnoteTextChar"/>
    <w:unhideWhenUsed/>
    <w:rsid w:val="00762ADD"/>
  </w:style>
  <w:style w:type="character" w:customStyle="1" w:styleId="EndnoteTextChar">
    <w:name w:val="Endnote Text Char"/>
    <w:basedOn w:val="DefaultParagraphFont"/>
    <w:link w:val="EndnoteText"/>
    <w:rsid w:val="00762ADD"/>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762ADD"/>
    <w:pPr>
      <w:spacing w:before="120" w:after="20"/>
    </w:pPr>
    <w:rPr>
      <w:b/>
      <w:sz w:val="20"/>
    </w:rPr>
  </w:style>
  <w:style w:type="paragraph" w:customStyle="1" w:styleId="FooterBase">
    <w:name w:val="Footer Base"/>
    <w:rsid w:val="00762ADD"/>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762ADD"/>
    <w:pPr>
      <w:jc w:val="left"/>
    </w:pPr>
    <w:rPr>
      <w:sz w:val="18"/>
    </w:rPr>
  </w:style>
  <w:style w:type="paragraph" w:customStyle="1" w:styleId="FooterOdd">
    <w:name w:val="Footer Odd"/>
    <w:basedOn w:val="Footer"/>
    <w:rsid w:val="00762ADD"/>
    <w:pPr>
      <w:jc w:val="right"/>
    </w:pPr>
    <w:rPr>
      <w:sz w:val="18"/>
    </w:rPr>
  </w:style>
  <w:style w:type="character" w:styleId="FootnoteReference">
    <w:name w:val="footnote reference"/>
    <w:basedOn w:val="DefaultParagraphFont"/>
    <w:rsid w:val="00762ADD"/>
    <w:rPr>
      <w:vertAlign w:val="superscript"/>
    </w:rPr>
  </w:style>
  <w:style w:type="paragraph" w:styleId="FootnoteText">
    <w:name w:val="footnote text"/>
    <w:basedOn w:val="Normal"/>
    <w:link w:val="FootnoteTextChar"/>
    <w:rsid w:val="00762ADD"/>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762ADD"/>
    <w:rPr>
      <w:rFonts w:ascii="Book Antiqua" w:eastAsia="Times New Roman" w:hAnsi="Book Antiqua" w:cs="Times New Roman"/>
      <w:sz w:val="18"/>
      <w:szCs w:val="20"/>
      <w:lang w:eastAsia="en-AU"/>
    </w:rPr>
  </w:style>
  <w:style w:type="character" w:customStyle="1" w:styleId="FramedHeader">
    <w:name w:val="Framed Header"/>
    <w:basedOn w:val="DefaultParagraphFont"/>
    <w:rsid w:val="00762ADD"/>
    <w:rPr>
      <w:rFonts w:ascii="Book Antiqua" w:hAnsi="Book Antiqua"/>
      <w:i/>
      <w:dstrike w:val="0"/>
      <w:color w:val="auto"/>
      <w:sz w:val="20"/>
      <w:vertAlign w:val="baseline"/>
    </w:rPr>
  </w:style>
  <w:style w:type="paragraph" w:customStyle="1" w:styleId="HeaderBase">
    <w:name w:val="Header Base"/>
    <w:rsid w:val="00762ADD"/>
    <w:pPr>
      <w:spacing w:after="0" w:line="240" w:lineRule="auto"/>
    </w:pPr>
    <w:rPr>
      <w:rFonts w:ascii="Book Antiqua" w:eastAsia="Times New Roman" w:hAnsi="Book Antiqua" w:cs="Times New Roman"/>
      <w:i/>
      <w:sz w:val="20"/>
      <w:szCs w:val="20"/>
      <w:lang w:eastAsia="en-AU"/>
    </w:rPr>
  </w:style>
  <w:style w:type="paragraph" w:customStyle="1" w:styleId="HeaderEven">
    <w:name w:val="Header Even"/>
    <w:basedOn w:val="HeaderBase"/>
    <w:rsid w:val="00762ADD"/>
  </w:style>
  <w:style w:type="paragraph" w:customStyle="1" w:styleId="HeaderOdd">
    <w:name w:val="Header Odd"/>
    <w:basedOn w:val="HeaderBase"/>
    <w:rsid w:val="00762ADD"/>
    <w:pPr>
      <w:jc w:val="right"/>
    </w:pPr>
  </w:style>
  <w:style w:type="character" w:customStyle="1" w:styleId="Heading1Char">
    <w:name w:val="Heading 1 Char"/>
    <w:basedOn w:val="DefaultParagraphFont"/>
    <w:link w:val="Heading1"/>
    <w:rsid w:val="00762ADD"/>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762ADD"/>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762ADD"/>
    <w:rPr>
      <w:rFonts w:ascii="Arial Bold" w:eastAsia="Times New Roman" w:hAnsi="Arial Bold" w:cs="Times New Roman"/>
      <w:b/>
      <w:szCs w:val="20"/>
      <w:lang w:eastAsia="en-AU"/>
    </w:rPr>
  </w:style>
  <w:style w:type="paragraph" w:customStyle="1" w:styleId="Heading3noTOC">
    <w:name w:val="Heading 3 no TOC"/>
    <w:basedOn w:val="Heading3"/>
    <w:rsid w:val="00762ADD"/>
    <w:pPr>
      <w:outlineLvl w:val="9"/>
    </w:pPr>
  </w:style>
  <w:style w:type="character" w:customStyle="1" w:styleId="Heading4Char">
    <w:name w:val="Heading 4 Char"/>
    <w:basedOn w:val="DefaultParagraphFont"/>
    <w:link w:val="Heading4"/>
    <w:rsid w:val="00762AD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762ADD"/>
    <w:rPr>
      <w:rFonts w:ascii="Arial" w:eastAsia="Times New Roman" w:hAnsi="Arial" w:cs="Times New Roman"/>
      <w:b/>
      <w:bCs/>
      <w:iCs/>
      <w:sz w:val="20"/>
      <w:szCs w:val="26"/>
      <w:lang w:eastAsia="en-AU"/>
    </w:rPr>
  </w:style>
  <w:style w:type="character" w:customStyle="1" w:styleId="Heading7Char">
    <w:name w:val="Heading 7 Char"/>
    <w:basedOn w:val="DefaultParagraphFont"/>
    <w:link w:val="Heading7"/>
    <w:rsid w:val="00762AD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762AD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762ADD"/>
    <w:rPr>
      <w:rFonts w:ascii="Times New Roman" w:hAnsi="Times New Roman"/>
      <w:vanish/>
      <w:sz w:val="16"/>
    </w:rPr>
  </w:style>
  <w:style w:type="character" w:styleId="Hyperlink">
    <w:name w:val="Hyperlink"/>
    <w:basedOn w:val="DefaultParagraphFont"/>
    <w:uiPriority w:val="99"/>
    <w:unhideWhenUsed/>
    <w:rsid w:val="00762ADD"/>
    <w:rPr>
      <w:color w:val="0000FF"/>
      <w:u w:val="single"/>
    </w:rPr>
  </w:style>
  <w:style w:type="paragraph" w:styleId="Index1">
    <w:name w:val="index 1"/>
    <w:basedOn w:val="Normal"/>
    <w:next w:val="Normal"/>
    <w:rsid w:val="00762ADD"/>
    <w:pPr>
      <w:ind w:left="200" w:hanging="200"/>
    </w:pPr>
  </w:style>
  <w:style w:type="paragraph" w:styleId="Index2">
    <w:name w:val="index 2"/>
    <w:basedOn w:val="Normal"/>
    <w:next w:val="Normal"/>
    <w:rsid w:val="00762ADD"/>
    <w:pPr>
      <w:ind w:left="400" w:hanging="200"/>
    </w:pPr>
  </w:style>
  <w:style w:type="paragraph" w:styleId="Index3">
    <w:name w:val="index 3"/>
    <w:basedOn w:val="Normal"/>
    <w:next w:val="Normal"/>
    <w:rsid w:val="00762ADD"/>
    <w:pPr>
      <w:ind w:left="600" w:hanging="200"/>
    </w:pPr>
  </w:style>
  <w:style w:type="paragraph" w:styleId="Index4">
    <w:name w:val="index 4"/>
    <w:basedOn w:val="Normal"/>
    <w:next w:val="Normal"/>
    <w:autoRedefine/>
    <w:semiHidden/>
    <w:rsid w:val="00762ADD"/>
    <w:pPr>
      <w:ind w:left="800" w:hanging="200"/>
    </w:pPr>
  </w:style>
  <w:style w:type="paragraph" w:styleId="Index5">
    <w:name w:val="index 5"/>
    <w:basedOn w:val="Normal"/>
    <w:next w:val="Normal"/>
    <w:autoRedefine/>
    <w:semiHidden/>
    <w:rsid w:val="00762ADD"/>
    <w:pPr>
      <w:ind w:left="1000" w:hanging="200"/>
    </w:pPr>
  </w:style>
  <w:style w:type="paragraph" w:styleId="Index6">
    <w:name w:val="index 6"/>
    <w:basedOn w:val="Normal"/>
    <w:next w:val="Normal"/>
    <w:autoRedefine/>
    <w:semiHidden/>
    <w:rsid w:val="00762ADD"/>
    <w:pPr>
      <w:ind w:left="1200" w:hanging="200"/>
    </w:pPr>
  </w:style>
  <w:style w:type="paragraph" w:styleId="Index7">
    <w:name w:val="index 7"/>
    <w:basedOn w:val="Normal"/>
    <w:next w:val="Normal"/>
    <w:autoRedefine/>
    <w:semiHidden/>
    <w:rsid w:val="00762ADD"/>
    <w:pPr>
      <w:ind w:left="1400" w:hanging="200"/>
    </w:pPr>
  </w:style>
  <w:style w:type="paragraph" w:styleId="Index8">
    <w:name w:val="index 8"/>
    <w:basedOn w:val="Normal"/>
    <w:next w:val="Normal"/>
    <w:autoRedefine/>
    <w:semiHidden/>
    <w:rsid w:val="00762ADD"/>
    <w:pPr>
      <w:ind w:left="1600" w:hanging="200"/>
    </w:pPr>
  </w:style>
  <w:style w:type="paragraph" w:styleId="Index9">
    <w:name w:val="index 9"/>
    <w:basedOn w:val="Normal"/>
    <w:next w:val="Normal"/>
    <w:autoRedefine/>
    <w:semiHidden/>
    <w:rsid w:val="00762ADD"/>
    <w:pPr>
      <w:ind w:left="1800" w:hanging="200"/>
    </w:pPr>
  </w:style>
  <w:style w:type="paragraph" w:styleId="IndexHeading">
    <w:name w:val="index heading"/>
    <w:basedOn w:val="Normal"/>
    <w:next w:val="Index1"/>
    <w:rsid w:val="00762ADD"/>
    <w:rPr>
      <w:rFonts w:ascii="Arial Bold" w:hAnsi="Arial Bold" w:cs="Arial"/>
      <w:b/>
      <w:bCs/>
      <w:color w:val="002B54"/>
    </w:rPr>
  </w:style>
  <w:style w:type="paragraph" w:styleId="MacroText">
    <w:name w:val="macro"/>
    <w:link w:val="MacroTextChar"/>
    <w:unhideWhenUsed/>
    <w:rsid w:val="00762AD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762ADD"/>
    <w:rPr>
      <w:rFonts w:ascii="Courier New" w:eastAsia="Times New Roman" w:hAnsi="Courier New" w:cs="Courier New"/>
      <w:sz w:val="20"/>
      <w:szCs w:val="20"/>
      <w:lang w:eastAsia="en-AU"/>
    </w:rPr>
  </w:style>
  <w:style w:type="paragraph" w:styleId="NormalIndent">
    <w:name w:val="Normal Indent"/>
    <w:basedOn w:val="Normal"/>
    <w:rsid w:val="00762ADD"/>
    <w:pPr>
      <w:ind w:left="567"/>
    </w:pPr>
  </w:style>
  <w:style w:type="paragraph" w:customStyle="1" w:styleId="NoteTableHeading">
    <w:name w:val="Note Table Heading"/>
    <w:basedOn w:val="HeadingBase"/>
    <w:next w:val="Normal"/>
    <w:rsid w:val="00762ADD"/>
    <w:pPr>
      <w:spacing w:before="240"/>
    </w:pPr>
    <w:rPr>
      <w:b/>
      <w:sz w:val="20"/>
    </w:rPr>
  </w:style>
  <w:style w:type="paragraph" w:customStyle="1" w:styleId="OverviewParagraph">
    <w:name w:val="Overview Paragraph"/>
    <w:basedOn w:val="Normal"/>
    <w:rsid w:val="00762ADD"/>
    <w:pPr>
      <w:spacing w:before="120" w:after="120" w:line="240" w:lineRule="auto"/>
    </w:pPr>
  </w:style>
  <w:style w:type="character" w:styleId="PageNumber">
    <w:name w:val="page number"/>
    <w:basedOn w:val="DefaultParagraphFont"/>
    <w:rsid w:val="00762ADD"/>
    <w:rPr>
      <w:rFonts w:ascii="Arial" w:hAnsi="Arial" w:cs="Arial"/>
    </w:rPr>
  </w:style>
  <w:style w:type="paragraph" w:customStyle="1" w:styleId="SingleParagraph">
    <w:name w:val="Single Paragraph"/>
    <w:basedOn w:val="Normal"/>
    <w:rsid w:val="00762ADD"/>
    <w:pPr>
      <w:spacing w:after="0"/>
    </w:pPr>
  </w:style>
  <w:style w:type="paragraph" w:customStyle="1" w:styleId="Source">
    <w:name w:val="Source"/>
    <w:basedOn w:val="Normal"/>
    <w:rsid w:val="00762ADD"/>
    <w:pPr>
      <w:tabs>
        <w:tab w:val="left" w:pos="284"/>
      </w:tabs>
      <w:spacing w:line="240" w:lineRule="auto"/>
    </w:pPr>
    <w:rPr>
      <w:rFonts w:ascii="Arial" w:hAnsi="Arial"/>
      <w:sz w:val="16"/>
    </w:rPr>
  </w:style>
  <w:style w:type="paragraph" w:customStyle="1" w:styleId="SourceBox">
    <w:name w:val="Source Box"/>
    <w:basedOn w:val="Source"/>
    <w:rsid w:val="00762ADD"/>
    <w:pPr>
      <w:spacing w:after="120"/>
    </w:pPr>
  </w:style>
  <w:style w:type="paragraph" w:customStyle="1" w:styleId="TableColumnHeadingBase">
    <w:name w:val="Table Column Heading Base"/>
    <w:basedOn w:val="Normal"/>
    <w:rsid w:val="00762ADD"/>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762ADD"/>
    <w:pPr>
      <w:jc w:val="center"/>
    </w:pPr>
  </w:style>
  <w:style w:type="paragraph" w:customStyle="1" w:styleId="TableColumnHeadingLeft">
    <w:name w:val="Table Column Heading Left"/>
    <w:basedOn w:val="TableColumnHeadingBase"/>
    <w:next w:val="Normal"/>
    <w:rsid w:val="00762ADD"/>
  </w:style>
  <w:style w:type="paragraph" w:customStyle="1" w:styleId="TableColumnHeadingRight">
    <w:name w:val="Table Column Heading Right"/>
    <w:basedOn w:val="TableColumnHeadingBase"/>
    <w:next w:val="Normal"/>
    <w:rsid w:val="00762ADD"/>
    <w:pPr>
      <w:jc w:val="right"/>
    </w:pPr>
  </w:style>
  <w:style w:type="paragraph" w:customStyle="1" w:styleId="TableColumnHeadingS118pt">
    <w:name w:val="Table Column Heading S11 8 pt"/>
    <w:basedOn w:val="TableColumnHeadingBase"/>
    <w:rsid w:val="00762ADD"/>
    <w:pPr>
      <w:spacing w:after="0"/>
    </w:pPr>
    <w:rPr>
      <w:rFonts w:ascii="Arial" w:hAnsi="Arial"/>
    </w:rPr>
  </w:style>
  <w:style w:type="paragraph" w:customStyle="1" w:styleId="TableColumnHeadingS119pt">
    <w:name w:val="Table Column Heading S11 9 pt"/>
    <w:basedOn w:val="TableColumnHeadingBase"/>
    <w:rsid w:val="00762ADD"/>
    <w:pPr>
      <w:spacing w:before="60" w:after="60"/>
    </w:pPr>
    <w:rPr>
      <w:rFonts w:ascii="Arial" w:hAnsi="Arial"/>
      <w:sz w:val="18"/>
    </w:rPr>
  </w:style>
  <w:style w:type="paragraph" w:customStyle="1" w:styleId="TableGraphic">
    <w:name w:val="Table Graphic"/>
    <w:basedOn w:val="Normal"/>
    <w:next w:val="Normal"/>
    <w:rsid w:val="00762ADD"/>
    <w:pPr>
      <w:spacing w:after="0" w:line="240" w:lineRule="auto"/>
      <w:ind w:right="-113"/>
    </w:pPr>
  </w:style>
  <w:style w:type="table" w:styleId="TableGrid">
    <w:name w:val="Table Grid"/>
    <w:basedOn w:val="TableNormal"/>
    <w:rsid w:val="00762ADD"/>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762ADD"/>
    <w:pPr>
      <w:spacing w:before="120" w:after="20"/>
    </w:pPr>
    <w:rPr>
      <w:b/>
      <w:sz w:val="20"/>
    </w:rPr>
  </w:style>
  <w:style w:type="paragraph" w:customStyle="1" w:styleId="TableHeadingcontinued">
    <w:name w:val="Table Heading continued"/>
    <w:basedOn w:val="HeadingBase"/>
    <w:next w:val="TableGraphic"/>
    <w:rsid w:val="00762ADD"/>
    <w:pPr>
      <w:spacing w:before="120" w:after="20"/>
    </w:pPr>
    <w:rPr>
      <w:rFonts w:ascii="Arial Bold" w:hAnsi="Arial Bold"/>
      <w:b/>
      <w:sz w:val="20"/>
    </w:rPr>
  </w:style>
  <w:style w:type="paragraph" w:styleId="TableofAuthorities">
    <w:name w:val="table of authorities"/>
    <w:basedOn w:val="Normal"/>
    <w:next w:val="Normal"/>
    <w:rsid w:val="00762ADD"/>
    <w:pPr>
      <w:ind w:left="200" w:hanging="200"/>
    </w:pPr>
  </w:style>
  <w:style w:type="paragraph" w:styleId="TableofFigures">
    <w:name w:val="table of figures"/>
    <w:basedOn w:val="Normal"/>
    <w:next w:val="Normal"/>
    <w:rsid w:val="00762ADD"/>
  </w:style>
  <w:style w:type="paragraph" w:customStyle="1" w:styleId="TableTextBase">
    <w:name w:val="Table Text Base"/>
    <w:basedOn w:val="Normal"/>
    <w:rsid w:val="00762ADD"/>
    <w:pPr>
      <w:spacing w:before="20" w:after="20" w:line="240" w:lineRule="auto"/>
      <w:jc w:val="left"/>
    </w:pPr>
    <w:rPr>
      <w:rFonts w:ascii="Arial" w:hAnsi="Arial"/>
      <w:sz w:val="16"/>
    </w:rPr>
  </w:style>
  <w:style w:type="paragraph" w:customStyle="1" w:styleId="TableTextCentred">
    <w:name w:val="Table Text Centred"/>
    <w:basedOn w:val="TableTextBase"/>
    <w:rsid w:val="00762ADD"/>
    <w:pPr>
      <w:jc w:val="center"/>
    </w:pPr>
  </w:style>
  <w:style w:type="paragraph" w:customStyle="1" w:styleId="TableTextIndented">
    <w:name w:val="Table Text Indented"/>
    <w:basedOn w:val="TableTextBase"/>
    <w:rsid w:val="00762ADD"/>
    <w:pPr>
      <w:ind w:left="284"/>
    </w:pPr>
  </w:style>
  <w:style w:type="paragraph" w:customStyle="1" w:styleId="TableTextLeft">
    <w:name w:val="Table Text Left"/>
    <w:basedOn w:val="TableTextBase"/>
    <w:rsid w:val="00762ADD"/>
  </w:style>
  <w:style w:type="paragraph" w:customStyle="1" w:styleId="TableTextRight">
    <w:name w:val="Table Text Right"/>
    <w:basedOn w:val="TableTextBase"/>
    <w:rsid w:val="00762ADD"/>
    <w:pPr>
      <w:jc w:val="right"/>
    </w:pPr>
  </w:style>
  <w:style w:type="paragraph" w:styleId="TOAHeading">
    <w:name w:val="toa heading"/>
    <w:basedOn w:val="Normal"/>
    <w:next w:val="Normal"/>
    <w:rsid w:val="00762ADD"/>
    <w:pPr>
      <w:spacing w:before="120"/>
    </w:pPr>
    <w:rPr>
      <w:rFonts w:ascii="Arial" w:hAnsi="Arial" w:cs="Arial"/>
      <w:b/>
      <w:bCs/>
      <w:sz w:val="24"/>
      <w:szCs w:val="24"/>
    </w:rPr>
  </w:style>
  <w:style w:type="paragraph" w:styleId="TOC1">
    <w:name w:val="toc 1"/>
    <w:basedOn w:val="HeaderBase"/>
    <w:next w:val="Normal"/>
    <w:uiPriority w:val="2"/>
    <w:rsid w:val="00762ADD"/>
    <w:pPr>
      <w:tabs>
        <w:tab w:val="left" w:pos="1486"/>
        <w:tab w:val="right" w:leader="dot" w:pos="7700"/>
      </w:tabs>
      <w:spacing w:before="240"/>
      <w:ind w:right="851"/>
    </w:pPr>
    <w:rPr>
      <w:rFonts w:ascii="Arial Bold" w:hAnsi="Arial Bold"/>
      <w:b/>
      <w:i w:val="0"/>
      <w:sz w:val="22"/>
    </w:rPr>
  </w:style>
  <w:style w:type="paragraph" w:styleId="TOC2">
    <w:name w:val="toc 2"/>
    <w:basedOn w:val="HeadingBase"/>
    <w:next w:val="Normal"/>
    <w:uiPriority w:val="2"/>
    <w:rsid w:val="00762ADD"/>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762ADD"/>
    <w:pPr>
      <w:tabs>
        <w:tab w:val="right" w:leader="dot" w:pos="7700"/>
      </w:tabs>
      <w:spacing w:before="40"/>
      <w:ind w:right="851"/>
    </w:pPr>
    <w:rPr>
      <w:sz w:val="20"/>
    </w:rPr>
  </w:style>
  <w:style w:type="paragraph" w:styleId="TOC4">
    <w:name w:val="toc 4"/>
    <w:basedOn w:val="HeadingBase"/>
    <w:next w:val="Normal"/>
    <w:uiPriority w:val="2"/>
    <w:unhideWhenUsed/>
    <w:rsid w:val="00762ADD"/>
    <w:pPr>
      <w:tabs>
        <w:tab w:val="right" w:leader="dot" w:pos="7700"/>
      </w:tabs>
      <w:spacing w:before="40"/>
      <w:ind w:right="851"/>
    </w:pPr>
    <w:rPr>
      <w:sz w:val="20"/>
    </w:rPr>
  </w:style>
  <w:style w:type="paragraph" w:styleId="TOC5">
    <w:name w:val="toc 5"/>
    <w:basedOn w:val="Normal"/>
    <w:next w:val="Normal"/>
    <w:autoRedefine/>
    <w:uiPriority w:val="2"/>
    <w:semiHidden/>
    <w:rsid w:val="00762AD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762ADD"/>
    <w:pPr>
      <w:tabs>
        <w:tab w:val="left" w:pos="851"/>
      </w:tabs>
      <w:ind w:left="851" w:hanging="851"/>
    </w:pPr>
    <w:rPr>
      <w:color w:val="000000"/>
    </w:rPr>
  </w:style>
  <w:style w:type="paragraph" w:styleId="TOC7">
    <w:name w:val="toc 7"/>
    <w:basedOn w:val="Normal"/>
    <w:next w:val="Normal"/>
    <w:autoRedefine/>
    <w:uiPriority w:val="2"/>
    <w:semiHidden/>
    <w:rsid w:val="00762ADD"/>
    <w:pPr>
      <w:ind w:left="1200"/>
    </w:pPr>
  </w:style>
  <w:style w:type="paragraph" w:styleId="TOC8">
    <w:name w:val="toc 8"/>
    <w:basedOn w:val="Normal"/>
    <w:next w:val="Normal"/>
    <w:autoRedefine/>
    <w:uiPriority w:val="2"/>
    <w:semiHidden/>
    <w:rsid w:val="00762ADD"/>
    <w:pPr>
      <w:ind w:left="1400"/>
    </w:pPr>
  </w:style>
  <w:style w:type="paragraph" w:styleId="TOC9">
    <w:name w:val="toc 9"/>
    <w:basedOn w:val="Normal"/>
    <w:next w:val="Normal"/>
    <w:autoRedefine/>
    <w:uiPriority w:val="2"/>
    <w:semiHidden/>
    <w:rsid w:val="00762ADD"/>
    <w:pPr>
      <w:ind w:left="1600"/>
    </w:pPr>
  </w:style>
  <w:style w:type="paragraph" w:customStyle="1" w:styleId="TPHeading1">
    <w:name w:val="TP Heading 1"/>
    <w:basedOn w:val="HeadingBase"/>
    <w:semiHidden/>
    <w:rsid w:val="00762ADD"/>
    <w:pPr>
      <w:spacing w:before="60" w:after="60"/>
      <w:ind w:left="1134"/>
    </w:pPr>
    <w:rPr>
      <w:rFonts w:ascii="Arial Bold" w:hAnsi="Arial Bold"/>
      <w:b/>
      <w:caps/>
      <w:spacing w:val="-10"/>
      <w:sz w:val="28"/>
    </w:rPr>
  </w:style>
  <w:style w:type="paragraph" w:customStyle="1" w:styleId="TPHeading2">
    <w:name w:val="TP Heading 2"/>
    <w:basedOn w:val="HeadingBase"/>
    <w:semiHidden/>
    <w:rsid w:val="00762ADD"/>
    <w:pPr>
      <w:ind w:left="1134"/>
    </w:pPr>
    <w:rPr>
      <w:caps/>
      <w:spacing w:val="-10"/>
      <w:sz w:val="28"/>
    </w:rPr>
  </w:style>
  <w:style w:type="paragraph" w:customStyle="1" w:styleId="TPHeading3">
    <w:name w:val="TP Heading 3"/>
    <w:basedOn w:val="HeadingBase"/>
    <w:semiHidden/>
    <w:rsid w:val="00762ADD"/>
    <w:pPr>
      <w:ind w:left="1134"/>
    </w:pPr>
    <w:rPr>
      <w:caps/>
      <w:spacing w:val="-10"/>
    </w:rPr>
  </w:style>
  <w:style w:type="paragraph" w:customStyle="1" w:styleId="TPHeading3bold">
    <w:name w:val="TP Heading 3 bold"/>
    <w:basedOn w:val="TPHeading3"/>
    <w:semiHidden/>
    <w:rsid w:val="00762ADD"/>
    <w:rPr>
      <w:rFonts w:cs="Arial"/>
      <w:b/>
      <w:sz w:val="22"/>
      <w:szCs w:val="22"/>
    </w:rPr>
  </w:style>
  <w:style w:type="paragraph" w:customStyle="1" w:styleId="TPHEADING3boldspace">
    <w:name w:val="TP HEADING 3 bold space"/>
    <w:basedOn w:val="TPHeading3bold"/>
    <w:semiHidden/>
    <w:rsid w:val="00762ADD"/>
    <w:pPr>
      <w:spacing w:after="120"/>
    </w:pPr>
  </w:style>
  <w:style w:type="paragraph" w:customStyle="1" w:styleId="TPHEADING3space">
    <w:name w:val="TP HEADING 3 space"/>
    <w:basedOn w:val="TPHeading3"/>
    <w:semiHidden/>
    <w:rsid w:val="00762ADD"/>
    <w:pPr>
      <w:spacing w:before="120" w:after="120"/>
    </w:pPr>
    <w:rPr>
      <w:rFonts w:cs="Arial"/>
      <w:sz w:val="22"/>
      <w:szCs w:val="22"/>
    </w:rPr>
  </w:style>
  <w:style w:type="paragraph" w:customStyle="1" w:styleId="TPHeading4">
    <w:name w:val="TP Heading 4"/>
    <w:basedOn w:val="TPHeading3"/>
    <w:semiHidden/>
    <w:rsid w:val="00762ADD"/>
    <w:rPr>
      <w:sz w:val="20"/>
    </w:rPr>
  </w:style>
  <w:style w:type="paragraph" w:customStyle="1" w:styleId="TPHEADING4space">
    <w:name w:val="TP HEADING 4 space"/>
    <w:basedOn w:val="TPHEADING3space"/>
    <w:semiHidden/>
    <w:rsid w:val="00762ADD"/>
  </w:style>
  <w:style w:type="character" w:customStyle="1" w:styleId="BulletChar">
    <w:name w:val="Bullet Char"/>
    <w:aliases w:val="Body Char,CV text Char,Dot pt Char,F5 List Paragraph Char,L Char,List Paragraph1 Char,List Paragraph11 Char,Number Char,Recommendation Char,b + line Char,b + line Char Char,b Char,b Char Char,b1 Char,level 1 Char,Bullet + line Char"/>
    <w:basedOn w:val="DefaultParagraphFont"/>
    <w:link w:val="Bullet"/>
    <w:rsid w:val="00565BE0"/>
    <w:rPr>
      <w:rFonts w:ascii="Book Antiqua" w:eastAsia="Times New Roman" w:hAnsi="Book Antiqua" w:cs="Times New Roman"/>
      <w:sz w:val="20"/>
      <w:szCs w:val="20"/>
      <w:lang w:eastAsia="en-AU"/>
    </w:rPr>
  </w:style>
  <w:style w:type="paragraph" w:styleId="Revision">
    <w:name w:val="Revision"/>
    <w:hidden/>
    <w:uiPriority w:val="99"/>
    <w:semiHidden/>
    <w:rsid w:val="00803410"/>
    <w:pPr>
      <w:spacing w:after="0" w:line="240" w:lineRule="auto"/>
    </w:pPr>
    <w:rPr>
      <w:rFonts w:ascii="Times New Roman" w:eastAsia="Times New Roman" w:hAnsi="Times New Roman" w:cs="Times New Roman"/>
      <w:sz w:val="24"/>
      <w:szCs w:val="20"/>
      <w:lang w:eastAsia="en-AU"/>
    </w:rPr>
  </w:style>
  <w:style w:type="character" w:customStyle="1" w:styleId="DashChar">
    <w:name w:val="Dash Char"/>
    <w:link w:val="Dash"/>
    <w:locked/>
    <w:rsid w:val="00621CC0"/>
    <w:rPr>
      <w:rFonts w:ascii="Book Antiqua" w:eastAsia="Times New Roman" w:hAnsi="Book Antiqua" w:cs="Times New Roman"/>
      <w:sz w:val="20"/>
      <w:szCs w:val="20"/>
      <w:lang w:eastAsia="en-AU"/>
    </w:rPr>
  </w:style>
  <w:style w:type="paragraph" w:customStyle="1" w:styleId="Default">
    <w:name w:val="Default"/>
    <w:basedOn w:val="Normal"/>
    <w:rsid w:val="0090678D"/>
    <w:pPr>
      <w:autoSpaceDE w:val="0"/>
      <w:autoSpaceDN w:val="0"/>
      <w:spacing w:after="0" w:line="240" w:lineRule="auto"/>
      <w:jc w:val="left"/>
    </w:pPr>
    <w:rPr>
      <w:rFonts w:eastAsiaTheme="minorHAnsi"/>
      <w:color w:val="000000"/>
      <w:sz w:val="24"/>
      <w:szCs w:val="24"/>
    </w:rPr>
  </w:style>
  <w:style w:type="paragraph" w:styleId="NormalWeb">
    <w:name w:val="Normal (Web)"/>
    <w:basedOn w:val="Normal"/>
    <w:uiPriority w:val="99"/>
    <w:semiHidden/>
    <w:unhideWhenUsed/>
    <w:rsid w:val="006B2A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754">
      <w:bodyDiv w:val="1"/>
      <w:marLeft w:val="0"/>
      <w:marRight w:val="0"/>
      <w:marTop w:val="0"/>
      <w:marBottom w:val="0"/>
      <w:divBdr>
        <w:top w:val="none" w:sz="0" w:space="0" w:color="auto"/>
        <w:left w:val="none" w:sz="0" w:space="0" w:color="auto"/>
        <w:bottom w:val="none" w:sz="0" w:space="0" w:color="auto"/>
        <w:right w:val="none" w:sz="0" w:space="0" w:color="auto"/>
      </w:divBdr>
    </w:div>
    <w:div w:id="25101277">
      <w:bodyDiv w:val="1"/>
      <w:marLeft w:val="0"/>
      <w:marRight w:val="0"/>
      <w:marTop w:val="0"/>
      <w:marBottom w:val="0"/>
      <w:divBdr>
        <w:top w:val="none" w:sz="0" w:space="0" w:color="auto"/>
        <w:left w:val="none" w:sz="0" w:space="0" w:color="auto"/>
        <w:bottom w:val="none" w:sz="0" w:space="0" w:color="auto"/>
        <w:right w:val="none" w:sz="0" w:space="0" w:color="auto"/>
      </w:divBdr>
    </w:div>
    <w:div w:id="37241507">
      <w:bodyDiv w:val="1"/>
      <w:marLeft w:val="0"/>
      <w:marRight w:val="0"/>
      <w:marTop w:val="0"/>
      <w:marBottom w:val="0"/>
      <w:divBdr>
        <w:top w:val="none" w:sz="0" w:space="0" w:color="auto"/>
        <w:left w:val="none" w:sz="0" w:space="0" w:color="auto"/>
        <w:bottom w:val="none" w:sz="0" w:space="0" w:color="auto"/>
        <w:right w:val="none" w:sz="0" w:space="0" w:color="auto"/>
      </w:divBdr>
    </w:div>
    <w:div w:id="38752624">
      <w:bodyDiv w:val="1"/>
      <w:marLeft w:val="0"/>
      <w:marRight w:val="0"/>
      <w:marTop w:val="0"/>
      <w:marBottom w:val="0"/>
      <w:divBdr>
        <w:top w:val="none" w:sz="0" w:space="0" w:color="auto"/>
        <w:left w:val="none" w:sz="0" w:space="0" w:color="auto"/>
        <w:bottom w:val="none" w:sz="0" w:space="0" w:color="auto"/>
        <w:right w:val="none" w:sz="0" w:space="0" w:color="auto"/>
      </w:divBdr>
    </w:div>
    <w:div w:id="342901803">
      <w:bodyDiv w:val="1"/>
      <w:marLeft w:val="0"/>
      <w:marRight w:val="0"/>
      <w:marTop w:val="0"/>
      <w:marBottom w:val="0"/>
      <w:divBdr>
        <w:top w:val="none" w:sz="0" w:space="0" w:color="auto"/>
        <w:left w:val="none" w:sz="0" w:space="0" w:color="auto"/>
        <w:bottom w:val="none" w:sz="0" w:space="0" w:color="auto"/>
        <w:right w:val="none" w:sz="0" w:space="0" w:color="auto"/>
      </w:divBdr>
    </w:div>
    <w:div w:id="427846944">
      <w:bodyDiv w:val="1"/>
      <w:marLeft w:val="0"/>
      <w:marRight w:val="0"/>
      <w:marTop w:val="0"/>
      <w:marBottom w:val="0"/>
      <w:divBdr>
        <w:top w:val="none" w:sz="0" w:space="0" w:color="auto"/>
        <w:left w:val="none" w:sz="0" w:space="0" w:color="auto"/>
        <w:bottom w:val="none" w:sz="0" w:space="0" w:color="auto"/>
        <w:right w:val="none" w:sz="0" w:space="0" w:color="auto"/>
      </w:divBdr>
    </w:div>
    <w:div w:id="484397018">
      <w:bodyDiv w:val="1"/>
      <w:marLeft w:val="0"/>
      <w:marRight w:val="0"/>
      <w:marTop w:val="0"/>
      <w:marBottom w:val="0"/>
      <w:divBdr>
        <w:top w:val="none" w:sz="0" w:space="0" w:color="auto"/>
        <w:left w:val="none" w:sz="0" w:space="0" w:color="auto"/>
        <w:bottom w:val="none" w:sz="0" w:space="0" w:color="auto"/>
        <w:right w:val="none" w:sz="0" w:space="0" w:color="auto"/>
      </w:divBdr>
    </w:div>
    <w:div w:id="543296495">
      <w:bodyDiv w:val="1"/>
      <w:marLeft w:val="0"/>
      <w:marRight w:val="0"/>
      <w:marTop w:val="0"/>
      <w:marBottom w:val="0"/>
      <w:divBdr>
        <w:top w:val="none" w:sz="0" w:space="0" w:color="auto"/>
        <w:left w:val="none" w:sz="0" w:space="0" w:color="auto"/>
        <w:bottom w:val="none" w:sz="0" w:space="0" w:color="auto"/>
        <w:right w:val="none" w:sz="0" w:space="0" w:color="auto"/>
      </w:divBdr>
    </w:div>
    <w:div w:id="559446048">
      <w:bodyDiv w:val="1"/>
      <w:marLeft w:val="0"/>
      <w:marRight w:val="0"/>
      <w:marTop w:val="0"/>
      <w:marBottom w:val="0"/>
      <w:divBdr>
        <w:top w:val="none" w:sz="0" w:space="0" w:color="auto"/>
        <w:left w:val="none" w:sz="0" w:space="0" w:color="auto"/>
        <w:bottom w:val="none" w:sz="0" w:space="0" w:color="auto"/>
        <w:right w:val="none" w:sz="0" w:space="0" w:color="auto"/>
      </w:divBdr>
    </w:div>
    <w:div w:id="565841127">
      <w:bodyDiv w:val="1"/>
      <w:marLeft w:val="0"/>
      <w:marRight w:val="0"/>
      <w:marTop w:val="0"/>
      <w:marBottom w:val="0"/>
      <w:divBdr>
        <w:top w:val="none" w:sz="0" w:space="0" w:color="auto"/>
        <w:left w:val="none" w:sz="0" w:space="0" w:color="auto"/>
        <w:bottom w:val="none" w:sz="0" w:space="0" w:color="auto"/>
        <w:right w:val="none" w:sz="0" w:space="0" w:color="auto"/>
      </w:divBdr>
    </w:div>
    <w:div w:id="725035540">
      <w:bodyDiv w:val="1"/>
      <w:marLeft w:val="0"/>
      <w:marRight w:val="0"/>
      <w:marTop w:val="0"/>
      <w:marBottom w:val="0"/>
      <w:divBdr>
        <w:top w:val="none" w:sz="0" w:space="0" w:color="auto"/>
        <w:left w:val="none" w:sz="0" w:space="0" w:color="auto"/>
        <w:bottom w:val="none" w:sz="0" w:space="0" w:color="auto"/>
        <w:right w:val="none" w:sz="0" w:space="0" w:color="auto"/>
      </w:divBdr>
    </w:div>
    <w:div w:id="867524768">
      <w:bodyDiv w:val="1"/>
      <w:marLeft w:val="0"/>
      <w:marRight w:val="0"/>
      <w:marTop w:val="0"/>
      <w:marBottom w:val="0"/>
      <w:divBdr>
        <w:top w:val="none" w:sz="0" w:space="0" w:color="auto"/>
        <w:left w:val="none" w:sz="0" w:space="0" w:color="auto"/>
        <w:bottom w:val="none" w:sz="0" w:space="0" w:color="auto"/>
        <w:right w:val="none" w:sz="0" w:space="0" w:color="auto"/>
      </w:divBdr>
    </w:div>
    <w:div w:id="945843617">
      <w:bodyDiv w:val="1"/>
      <w:marLeft w:val="0"/>
      <w:marRight w:val="0"/>
      <w:marTop w:val="0"/>
      <w:marBottom w:val="0"/>
      <w:divBdr>
        <w:top w:val="none" w:sz="0" w:space="0" w:color="auto"/>
        <w:left w:val="none" w:sz="0" w:space="0" w:color="auto"/>
        <w:bottom w:val="none" w:sz="0" w:space="0" w:color="auto"/>
        <w:right w:val="none" w:sz="0" w:space="0" w:color="auto"/>
      </w:divBdr>
    </w:div>
    <w:div w:id="951284513">
      <w:bodyDiv w:val="1"/>
      <w:marLeft w:val="0"/>
      <w:marRight w:val="0"/>
      <w:marTop w:val="0"/>
      <w:marBottom w:val="0"/>
      <w:divBdr>
        <w:top w:val="none" w:sz="0" w:space="0" w:color="auto"/>
        <w:left w:val="none" w:sz="0" w:space="0" w:color="auto"/>
        <w:bottom w:val="none" w:sz="0" w:space="0" w:color="auto"/>
        <w:right w:val="none" w:sz="0" w:space="0" w:color="auto"/>
      </w:divBdr>
    </w:div>
    <w:div w:id="966014163">
      <w:bodyDiv w:val="1"/>
      <w:marLeft w:val="0"/>
      <w:marRight w:val="0"/>
      <w:marTop w:val="0"/>
      <w:marBottom w:val="0"/>
      <w:divBdr>
        <w:top w:val="none" w:sz="0" w:space="0" w:color="auto"/>
        <w:left w:val="none" w:sz="0" w:space="0" w:color="auto"/>
        <w:bottom w:val="none" w:sz="0" w:space="0" w:color="auto"/>
        <w:right w:val="none" w:sz="0" w:space="0" w:color="auto"/>
      </w:divBdr>
    </w:div>
    <w:div w:id="1061059458">
      <w:bodyDiv w:val="1"/>
      <w:marLeft w:val="0"/>
      <w:marRight w:val="0"/>
      <w:marTop w:val="0"/>
      <w:marBottom w:val="0"/>
      <w:divBdr>
        <w:top w:val="none" w:sz="0" w:space="0" w:color="auto"/>
        <w:left w:val="none" w:sz="0" w:space="0" w:color="auto"/>
        <w:bottom w:val="none" w:sz="0" w:space="0" w:color="auto"/>
        <w:right w:val="none" w:sz="0" w:space="0" w:color="auto"/>
      </w:divBdr>
    </w:div>
    <w:div w:id="1078553472">
      <w:bodyDiv w:val="1"/>
      <w:marLeft w:val="0"/>
      <w:marRight w:val="0"/>
      <w:marTop w:val="0"/>
      <w:marBottom w:val="0"/>
      <w:divBdr>
        <w:top w:val="none" w:sz="0" w:space="0" w:color="auto"/>
        <w:left w:val="none" w:sz="0" w:space="0" w:color="auto"/>
        <w:bottom w:val="none" w:sz="0" w:space="0" w:color="auto"/>
        <w:right w:val="none" w:sz="0" w:space="0" w:color="auto"/>
      </w:divBdr>
    </w:div>
    <w:div w:id="1127621087">
      <w:bodyDiv w:val="1"/>
      <w:marLeft w:val="0"/>
      <w:marRight w:val="0"/>
      <w:marTop w:val="0"/>
      <w:marBottom w:val="0"/>
      <w:divBdr>
        <w:top w:val="none" w:sz="0" w:space="0" w:color="auto"/>
        <w:left w:val="none" w:sz="0" w:space="0" w:color="auto"/>
        <w:bottom w:val="none" w:sz="0" w:space="0" w:color="auto"/>
        <w:right w:val="none" w:sz="0" w:space="0" w:color="auto"/>
      </w:divBdr>
    </w:div>
    <w:div w:id="1310019380">
      <w:bodyDiv w:val="1"/>
      <w:marLeft w:val="0"/>
      <w:marRight w:val="0"/>
      <w:marTop w:val="0"/>
      <w:marBottom w:val="0"/>
      <w:divBdr>
        <w:top w:val="none" w:sz="0" w:space="0" w:color="auto"/>
        <w:left w:val="none" w:sz="0" w:space="0" w:color="auto"/>
        <w:bottom w:val="none" w:sz="0" w:space="0" w:color="auto"/>
        <w:right w:val="none" w:sz="0" w:space="0" w:color="auto"/>
      </w:divBdr>
    </w:div>
    <w:div w:id="1314604679">
      <w:bodyDiv w:val="1"/>
      <w:marLeft w:val="0"/>
      <w:marRight w:val="0"/>
      <w:marTop w:val="0"/>
      <w:marBottom w:val="0"/>
      <w:divBdr>
        <w:top w:val="none" w:sz="0" w:space="0" w:color="auto"/>
        <w:left w:val="none" w:sz="0" w:space="0" w:color="auto"/>
        <w:bottom w:val="none" w:sz="0" w:space="0" w:color="auto"/>
        <w:right w:val="none" w:sz="0" w:space="0" w:color="auto"/>
      </w:divBdr>
    </w:div>
    <w:div w:id="1389763616">
      <w:bodyDiv w:val="1"/>
      <w:marLeft w:val="0"/>
      <w:marRight w:val="0"/>
      <w:marTop w:val="0"/>
      <w:marBottom w:val="0"/>
      <w:divBdr>
        <w:top w:val="none" w:sz="0" w:space="0" w:color="auto"/>
        <w:left w:val="none" w:sz="0" w:space="0" w:color="auto"/>
        <w:bottom w:val="none" w:sz="0" w:space="0" w:color="auto"/>
        <w:right w:val="none" w:sz="0" w:space="0" w:color="auto"/>
      </w:divBdr>
    </w:div>
    <w:div w:id="1520388613">
      <w:bodyDiv w:val="1"/>
      <w:marLeft w:val="0"/>
      <w:marRight w:val="0"/>
      <w:marTop w:val="0"/>
      <w:marBottom w:val="0"/>
      <w:divBdr>
        <w:top w:val="none" w:sz="0" w:space="0" w:color="auto"/>
        <w:left w:val="none" w:sz="0" w:space="0" w:color="auto"/>
        <w:bottom w:val="none" w:sz="0" w:space="0" w:color="auto"/>
        <w:right w:val="none" w:sz="0" w:space="0" w:color="auto"/>
      </w:divBdr>
    </w:div>
    <w:div w:id="1569612126">
      <w:bodyDiv w:val="1"/>
      <w:marLeft w:val="0"/>
      <w:marRight w:val="0"/>
      <w:marTop w:val="0"/>
      <w:marBottom w:val="0"/>
      <w:divBdr>
        <w:top w:val="none" w:sz="0" w:space="0" w:color="auto"/>
        <w:left w:val="none" w:sz="0" w:space="0" w:color="auto"/>
        <w:bottom w:val="none" w:sz="0" w:space="0" w:color="auto"/>
        <w:right w:val="none" w:sz="0" w:space="0" w:color="auto"/>
      </w:divBdr>
    </w:div>
    <w:div w:id="1584411056">
      <w:bodyDiv w:val="1"/>
      <w:marLeft w:val="0"/>
      <w:marRight w:val="0"/>
      <w:marTop w:val="0"/>
      <w:marBottom w:val="0"/>
      <w:divBdr>
        <w:top w:val="none" w:sz="0" w:space="0" w:color="auto"/>
        <w:left w:val="none" w:sz="0" w:space="0" w:color="auto"/>
        <w:bottom w:val="none" w:sz="0" w:space="0" w:color="auto"/>
        <w:right w:val="none" w:sz="0" w:space="0" w:color="auto"/>
      </w:divBdr>
    </w:div>
    <w:div w:id="1606111134">
      <w:bodyDiv w:val="1"/>
      <w:marLeft w:val="0"/>
      <w:marRight w:val="0"/>
      <w:marTop w:val="0"/>
      <w:marBottom w:val="0"/>
      <w:divBdr>
        <w:top w:val="none" w:sz="0" w:space="0" w:color="auto"/>
        <w:left w:val="none" w:sz="0" w:space="0" w:color="auto"/>
        <w:bottom w:val="none" w:sz="0" w:space="0" w:color="auto"/>
        <w:right w:val="none" w:sz="0" w:space="0" w:color="auto"/>
      </w:divBdr>
    </w:div>
    <w:div w:id="1615669506">
      <w:bodyDiv w:val="1"/>
      <w:marLeft w:val="0"/>
      <w:marRight w:val="0"/>
      <w:marTop w:val="0"/>
      <w:marBottom w:val="0"/>
      <w:divBdr>
        <w:top w:val="none" w:sz="0" w:space="0" w:color="auto"/>
        <w:left w:val="none" w:sz="0" w:space="0" w:color="auto"/>
        <w:bottom w:val="none" w:sz="0" w:space="0" w:color="auto"/>
        <w:right w:val="none" w:sz="0" w:space="0" w:color="auto"/>
      </w:divBdr>
    </w:div>
    <w:div w:id="1619141391">
      <w:bodyDiv w:val="1"/>
      <w:marLeft w:val="0"/>
      <w:marRight w:val="0"/>
      <w:marTop w:val="0"/>
      <w:marBottom w:val="0"/>
      <w:divBdr>
        <w:top w:val="none" w:sz="0" w:space="0" w:color="auto"/>
        <w:left w:val="none" w:sz="0" w:space="0" w:color="auto"/>
        <w:bottom w:val="none" w:sz="0" w:space="0" w:color="auto"/>
        <w:right w:val="none" w:sz="0" w:space="0" w:color="auto"/>
      </w:divBdr>
    </w:div>
    <w:div w:id="1684816341">
      <w:bodyDiv w:val="1"/>
      <w:marLeft w:val="0"/>
      <w:marRight w:val="0"/>
      <w:marTop w:val="0"/>
      <w:marBottom w:val="0"/>
      <w:divBdr>
        <w:top w:val="none" w:sz="0" w:space="0" w:color="auto"/>
        <w:left w:val="none" w:sz="0" w:space="0" w:color="auto"/>
        <w:bottom w:val="none" w:sz="0" w:space="0" w:color="auto"/>
        <w:right w:val="none" w:sz="0" w:space="0" w:color="auto"/>
      </w:divBdr>
    </w:div>
    <w:div w:id="1716000654">
      <w:bodyDiv w:val="1"/>
      <w:marLeft w:val="0"/>
      <w:marRight w:val="0"/>
      <w:marTop w:val="0"/>
      <w:marBottom w:val="0"/>
      <w:divBdr>
        <w:top w:val="none" w:sz="0" w:space="0" w:color="auto"/>
        <w:left w:val="none" w:sz="0" w:space="0" w:color="auto"/>
        <w:bottom w:val="none" w:sz="0" w:space="0" w:color="auto"/>
        <w:right w:val="none" w:sz="0" w:space="0" w:color="auto"/>
      </w:divBdr>
    </w:div>
    <w:div w:id="1769502579">
      <w:bodyDiv w:val="1"/>
      <w:marLeft w:val="0"/>
      <w:marRight w:val="0"/>
      <w:marTop w:val="0"/>
      <w:marBottom w:val="0"/>
      <w:divBdr>
        <w:top w:val="none" w:sz="0" w:space="0" w:color="auto"/>
        <w:left w:val="none" w:sz="0" w:space="0" w:color="auto"/>
        <w:bottom w:val="none" w:sz="0" w:space="0" w:color="auto"/>
        <w:right w:val="none" w:sz="0" w:space="0" w:color="auto"/>
      </w:divBdr>
    </w:div>
    <w:div w:id="1806577158">
      <w:bodyDiv w:val="1"/>
      <w:marLeft w:val="0"/>
      <w:marRight w:val="0"/>
      <w:marTop w:val="0"/>
      <w:marBottom w:val="0"/>
      <w:divBdr>
        <w:top w:val="none" w:sz="0" w:space="0" w:color="auto"/>
        <w:left w:val="none" w:sz="0" w:space="0" w:color="auto"/>
        <w:bottom w:val="none" w:sz="0" w:space="0" w:color="auto"/>
        <w:right w:val="none" w:sz="0" w:space="0" w:color="auto"/>
      </w:divBdr>
    </w:div>
    <w:div w:id="1834639503">
      <w:bodyDiv w:val="1"/>
      <w:marLeft w:val="0"/>
      <w:marRight w:val="0"/>
      <w:marTop w:val="0"/>
      <w:marBottom w:val="0"/>
      <w:divBdr>
        <w:top w:val="none" w:sz="0" w:space="0" w:color="auto"/>
        <w:left w:val="none" w:sz="0" w:space="0" w:color="auto"/>
        <w:bottom w:val="none" w:sz="0" w:space="0" w:color="auto"/>
        <w:right w:val="none" w:sz="0" w:space="0" w:color="auto"/>
      </w:divBdr>
    </w:div>
    <w:div w:id="1864442713">
      <w:bodyDiv w:val="1"/>
      <w:marLeft w:val="0"/>
      <w:marRight w:val="0"/>
      <w:marTop w:val="0"/>
      <w:marBottom w:val="0"/>
      <w:divBdr>
        <w:top w:val="none" w:sz="0" w:space="0" w:color="auto"/>
        <w:left w:val="none" w:sz="0" w:space="0" w:color="auto"/>
        <w:bottom w:val="none" w:sz="0" w:space="0" w:color="auto"/>
        <w:right w:val="none" w:sz="0" w:space="0" w:color="auto"/>
      </w:divBdr>
    </w:div>
    <w:div w:id="1902473807">
      <w:bodyDiv w:val="1"/>
      <w:marLeft w:val="0"/>
      <w:marRight w:val="0"/>
      <w:marTop w:val="0"/>
      <w:marBottom w:val="0"/>
      <w:divBdr>
        <w:top w:val="none" w:sz="0" w:space="0" w:color="auto"/>
        <w:left w:val="none" w:sz="0" w:space="0" w:color="auto"/>
        <w:bottom w:val="none" w:sz="0" w:space="0" w:color="auto"/>
        <w:right w:val="none" w:sz="0" w:space="0" w:color="auto"/>
      </w:divBdr>
    </w:div>
    <w:div w:id="1925604288">
      <w:bodyDiv w:val="1"/>
      <w:marLeft w:val="0"/>
      <w:marRight w:val="0"/>
      <w:marTop w:val="0"/>
      <w:marBottom w:val="0"/>
      <w:divBdr>
        <w:top w:val="none" w:sz="0" w:space="0" w:color="auto"/>
        <w:left w:val="none" w:sz="0" w:space="0" w:color="auto"/>
        <w:bottom w:val="none" w:sz="0" w:space="0" w:color="auto"/>
        <w:right w:val="none" w:sz="0" w:space="0" w:color="auto"/>
      </w:divBdr>
    </w:div>
    <w:div w:id="20278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udge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C0D4-BF1B-4F80-A588-B590F46C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Template.dotm</Template>
  <TotalTime>331</TotalTime>
  <Pages>16</Pages>
  <Words>5559</Words>
  <Characters>31191</Characters>
  <Application>Microsoft Office Word</Application>
  <DocSecurity>0</DocSecurity>
  <Lines>547</Lines>
  <Paragraphs>170</Paragraphs>
  <ScaleCrop>false</ScaleCrop>
  <HeadingPairs>
    <vt:vector size="2" baseType="variant">
      <vt:variant>
        <vt:lpstr>Title</vt:lpstr>
      </vt:variant>
      <vt:variant>
        <vt:i4>1</vt:i4>
      </vt:variant>
    </vt:vector>
  </HeadingPairs>
  <TitlesOfParts>
    <vt:vector size="1" baseType="lpstr">
      <vt:lpstr>Economic and Fiscal Update July 2020</vt:lpstr>
    </vt:vector>
  </TitlesOfParts>
  <Company>Australian Government - The Treasury</Company>
  <LinksUpToDate>false</LinksUpToDate>
  <CharactersWithSpaces>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Fiscal Update July 2020</dc:title>
  <dc:subject>Budget</dc:subject>
  <dc:creator>Australian Government</dc:creator>
  <cp:keywords/>
  <dc:description/>
  <cp:lastModifiedBy>Palmer, Selene</cp:lastModifiedBy>
  <cp:revision>37</cp:revision>
  <cp:lastPrinted>2020-07-22T05:23:00Z</cp:lastPrinted>
  <dcterms:created xsi:type="dcterms:W3CDTF">2020-07-18T03:33:00Z</dcterms:created>
  <dcterms:modified xsi:type="dcterms:W3CDTF">2020-07-22T05:23:00Z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  Cabinet</vt:lpwstr>
  </property>
  <property fmtid="{D5CDD505-2E9C-101B-9397-08002B2CF9AE}" pid="4" name="PM_ProtectiveMarkingValue_Footer">
    <vt:lpwstr/>
  </property>
  <property fmtid="{D5CDD505-2E9C-101B-9397-08002B2CF9AE}" pid="5" name="PM_Caveats_Count">
    <vt:lpwstr>0</vt:lpwstr>
  </property>
  <property fmtid="{D5CDD505-2E9C-101B-9397-08002B2CF9AE}" pid="6" name="PM_Originator_Hash_SHA1">
    <vt:lpwstr>65B4B6F1F11C183D2B9D7143C75A26499BBDDD68</vt:lpwstr>
  </property>
  <property fmtid="{D5CDD505-2E9C-101B-9397-08002B2CF9AE}" pid="7" name="PM_SecurityClassification">
    <vt:lpwstr/>
  </property>
  <property fmtid="{D5CDD505-2E9C-101B-9397-08002B2CF9AE}" pid="8" name="PM_DisplayValueSecClassificationWithQualifier">
    <vt:lpwstr/>
  </property>
  <property fmtid="{D5CDD505-2E9C-101B-9397-08002B2CF9AE}" pid="9" name="PM_Qualifier">
    <vt:lpwstr/>
  </property>
  <property fmtid="{D5CDD505-2E9C-101B-9397-08002B2CF9AE}" pid="10" name="PM_Hash_SHA1">
    <vt:lpwstr>C29FE4928B824B568E563D5041AC60F07E15D336</vt:lpwstr>
  </property>
  <property fmtid="{D5CDD505-2E9C-101B-9397-08002B2CF9AE}" pid="11" name="PM_ProtectiveMarkingImage_Header">
    <vt:lpwstr>C:\Program Files (x86)\Common Files\janusNET Shared\janusSEAL\Images\DocumentSlashBlue.png</vt:lpwstr>
  </property>
  <property fmtid="{D5CDD505-2E9C-101B-9397-08002B2CF9AE}" pid="12" name="PM_InsertionValue">
    <vt:lpwstr/>
  </property>
  <property fmtid="{D5CDD505-2E9C-101B-9397-08002B2CF9AE}" pid="13" name="PM_ProtectiveMarkingValue_Header">
    <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2018.1</vt:lpwstr>
  </property>
  <property fmtid="{D5CDD505-2E9C-101B-9397-08002B2CF9AE}" pid="17" name="PM_Originating_FileId">
    <vt:lpwstr>4CF40A14F07F455AB56B2B58D44442B4</vt:lpwstr>
  </property>
  <property fmtid="{D5CDD505-2E9C-101B-9397-08002B2CF9AE}" pid="18" name="PM_Note">
    <vt:lpwstr/>
  </property>
  <property fmtid="{D5CDD505-2E9C-101B-9397-08002B2CF9AE}" pid="19" name="PM_Markers">
    <vt:lpwstr/>
  </property>
  <property fmtid="{D5CDD505-2E9C-101B-9397-08002B2CF9AE}" pid="20" name="PM_OriginationTimeStamp">
    <vt:lpwstr>2020-07-22T03:32:38Z</vt:lpwstr>
  </property>
  <property fmtid="{D5CDD505-2E9C-101B-9397-08002B2CF9AE}" pid="21" name="PM_Hash_Version">
    <vt:lpwstr>2018.0</vt:lpwstr>
  </property>
  <property fmtid="{D5CDD505-2E9C-101B-9397-08002B2CF9AE}" pid="22" name="PM_Hash_Salt_Prev">
    <vt:lpwstr>E9D1CF6AA8A3B2E702CC2539510AEF99</vt:lpwstr>
  </property>
  <property fmtid="{D5CDD505-2E9C-101B-9397-08002B2CF9AE}" pid="23" name="PM_Hash_Salt">
    <vt:lpwstr>3FBE62605BC71C5DF7EC29BCFF1B1A1F</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metadataUpdateName">
    <vt:lpwstr>July Economic and Fiscal Statement </vt:lpwstr>
  </property>
  <property fmtid="{D5CDD505-2E9C-101B-9397-08002B2CF9AE}" pid="27" name="metadataStatementName">
    <vt:lpwstr>Part 1 - Overview</vt:lpwstr>
  </property>
  <property fmtid="{D5CDD505-2E9C-101B-9397-08002B2CF9AE}" pid="28" name="metadataCoordinator">
    <vt:lpwstr>Lauren Rooney (x1406), Michael O'Brien (x3645)</vt:lpwstr>
  </property>
  <property fmtid="{D5CDD505-2E9C-101B-9397-08002B2CF9AE}" pid="29" name="GlobalLastAccountabilityID">
    <vt:lpwstr>CITD_PM1</vt:lpwstr>
  </property>
</Properties>
</file>