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C780F" w14:textId="4BD265F1" w:rsidR="00D131AE" w:rsidRPr="00FD48A9" w:rsidRDefault="00833804" w:rsidP="00D131AE">
      <w:pPr>
        <w:pStyle w:val="Heading1"/>
      </w:pPr>
      <w:r w:rsidRPr="00FD48A9">
        <w:rPr>
          <w:sz w:val="16"/>
        </w:rPr>
        <w:fldChar w:fldCharType="begin"/>
      </w:r>
      <w:r w:rsidRPr="00FD48A9">
        <w:rPr>
          <w:sz w:val="16"/>
        </w:rPr>
        <w:instrText xml:space="preserve"> :Start Index: </w:instrText>
      </w:r>
      <w:r w:rsidRPr="00FD48A9">
        <w:rPr>
          <w:sz w:val="16"/>
        </w:rPr>
        <w:fldChar w:fldCharType="end"/>
      </w:r>
      <w:r w:rsidR="00694409" w:rsidRPr="00FD48A9">
        <w:rPr>
          <w:sz w:val="16"/>
        </w:rPr>
        <w:fldChar w:fldCharType="begin"/>
      </w:r>
      <w:r w:rsidR="00694409" w:rsidRPr="00FD48A9">
        <w:rPr>
          <w:sz w:val="16"/>
        </w:rPr>
        <w:instrText xml:space="preserve"> :Accountability:|BPD_JR2|Treasury|BPD|Jonathan Rollings|Karen Dunn|Cassie Leeds-Heath, Brendan O'Connell|x3906, x3652 </w:instrText>
      </w:r>
      <w:r w:rsidR="00694409" w:rsidRPr="00FD48A9">
        <w:rPr>
          <w:sz w:val="16"/>
        </w:rPr>
        <w:fldChar w:fldCharType="end"/>
      </w:r>
      <w:r w:rsidR="00694409" w:rsidRPr="00FD48A9">
        <w:rPr>
          <w:sz w:val="16"/>
        </w:rPr>
        <w:fldChar w:fldCharType="begin"/>
      </w:r>
      <w:r w:rsidR="00694409" w:rsidRPr="00FD48A9">
        <w:rPr>
          <w:sz w:val="16"/>
        </w:rPr>
        <w:instrText xml:space="preserve"> :Accountability:|BPD_JR1|Treasury|BPD|Jonathan Rollings|Shibani Iyer|Cassie Leeds-Heath, Brendan O'Connell|x3901, x3652 </w:instrText>
      </w:r>
      <w:r w:rsidR="00694409" w:rsidRPr="00FD48A9">
        <w:rPr>
          <w:sz w:val="16"/>
        </w:rPr>
        <w:fldChar w:fldCharType="end"/>
      </w:r>
      <w:r w:rsidR="00694409" w:rsidRPr="00FD48A9">
        <w:rPr>
          <w:sz w:val="16"/>
        </w:rPr>
        <w:fldChar w:fldCharType="begin"/>
      </w:r>
      <w:r w:rsidR="00694409" w:rsidRPr="00FD48A9">
        <w:rPr>
          <w:sz w:val="16"/>
        </w:rPr>
        <w:instrText xml:space="preserve"> :Accountability:|TAD_KDM1|Treasury|TAD|Katrina Di Marco|Matthew Smith|Marty Stevenson, Isla Pawson, Oliver Young, Arianna Cowling|x4334, x4511, x4296, x3411 </w:instrText>
      </w:r>
      <w:r w:rsidR="00694409" w:rsidRPr="00FD48A9">
        <w:rPr>
          <w:sz w:val="16"/>
        </w:rPr>
        <w:fldChar w:fldCharType="end"/>
      </w:r>
      <w:r w:rsidR="00786318" w:rsidRPr="00FD48A9">
        <w:rPr>
          <w:sz w:val="16"/>
        </w:rPr>
        <w:fldChar w:fldCharType="begin"/>
      </w:r>
      <w:r w:rsidR="00786318" w:rsidRPr="00FD48A9">
        <w:rPr>
          <w:sz w:val="16"/>
        </w:rPr>
        <w:instrText xml:space="preserve"> :Accountability:|MMPD_IB1|Treasury|MMPD|Ian Beckett|Patrick D'Arcy|Jazmine Smith|x3751 </w:instrText>
      </w:r>
      <w:r w:rsidR="00786318" w:rsidRPr="00FD48A9">
        <w:rPr>
          <w:sz w:val="16"/>
        </w:rPr>
        <w:fldChar w:fldCharType="end"/>
      </w:r>
      <w:r w:rsidR="00786318" w:rsidRPr="00FD48A9">
        <w:rPr>
          <w:sz w:val="16"/>
        </w:rPr>
        <w:fldChar w:fldCharType="begin"/>
      </w:r>
      <w:r w:rsidR="00786318" w:rsidRPr="00FD48A9">
        <w:rPr>
          <w:sz w:val="16"/>
        </w:rPr>
        <w:instrText xml:space="preserve"> :Accountability:|IPED_JH1|Treasury|IPED|Jim Hagan|Amy Leaver|Amrita Rajasingham, Jonathan Gouy|x3768, x4416 </w:instrText>
      </w:r>
      <w:r w:rsidR="00786318" w:rsidRPr="00FD48A9">
        <w:rPr>
          <w:sz w:val="16"/>
        </w:rPr>
        <w:fldChar w:fldCharType="end"/>
      </w:r>
      <w:r w:rsidR="00786318" w:rsidRPr="00FD48A9">
        <w:rPr>
          <w:sz w:val="16"/>
        </w:rPr>
        <w:fldChar w:fldCharType="begin"/>
      </w:r>
      <w:r w:rsidR="00786318" w:rsidRPr="00FD48A9">
        <w:rPr>
          <w:sz w:val="16"/>
        </w:rPr>
        <w:instrText xml:space="preserve"> :Accountability:|MMPD_IB2|Treasury|MMPD|Ian Beckett|Nathan Deutscher|Jazmine Smith|x3751 </w:instrText>
      </w:r>
      <w:r w:rsidR="00786318" w:rsidRPr="00FD48A9">
        <w:rPr>
          <w:sz w:val="16"/>
        </w:rPr>
        <w:fldChar w:fldCharType="end"/>
      </w:r>
      <w:r w:rsidR="00FF727C" w:rsidRPr="00FD48A9">
        <w:rPr>
          <w:sz w:val="16"/>
        </w:rPr>
        <w:fldChar w:fldCharType="begin"/>
      </w:r>
      <w:r w:rsidR="00FF727C" w:rsidRPr="00FD48A9">
        <w:rPr>
          <w:sz w:val="16"/>
        </w:rPr>
        <w:instrText xml:space="preserve"> :Accountability:|CPOP_VA1|Treasury|CPOP|Victoria Anderson|Tanuja Doss|Kate Wright|x3100 </w:instrText>
      </w:r>
      <w:r w:rsidR="00FF727C" w:rsidRPr="00FD48A9">
        <w:rPr>
          <w:sz w:val="16"/>
        </w:rPr>
        <w:fldChar w:fldCharType="end"/>
      </w:r>
      <w:r w:rsidR="008B1F3A" w:rsidRPr="00FD48A9">
        <w:rPr>
          <w:sz w:val="16"/>
        </w:rPr>
        <w:fldChar w:fldCharType="begin"/>
      </w:r>
      <w:r w:rsidR="008B1F3A" w:rsidRPr="00FD48A9">
        <w:rPr>
          <w:sz w:val="16"/>
        </w:rPr>
        <w:instrText xml:space="preserve"> :Accountability:|JKD_PB1|Treasury|JKD|Philippa Brown|Adam Hawkins|Dan Parson, Max Robertson|x2709, x4580 </w:instrText>
      </w:r>
      <w:r w:rsidR="008B1F3A" w:rsidRPr="00FD48A9">
        <w:rPr>
          <w:sz w:val="16"/>
        </w:rPr>
        <w:fldChar w:fldCharType="end"/>
      </w:r>
      <w:r w:rsidR="000E2012" w:rsidRPr="00FD48A9">
        <w:rPr>
          <w:sz w:val="16"/>
        </w:rPr>
        <w:fldChar w:fldCharType="begin"/>
      </w:r>
      <w:r w:rsidR="000E2012" w:rsidRPr="00FD48A9">
        <w:rPr>
          <w:sz w:val="16"/>
        </w:rPr>
        <w:instrText xml:space="preserve"> :Accountability:|MECD_TP5|Treasury|MECD|Trevor Power|Damian Mullaly|Alice Shen|x4267 </w:instrText>
      </w:r>
      <w:r w:rsidR="000E2012" w:rsidRPr="00FD48A9">
        <w:rPr>
          <w:sz w:val="16"/>
        </w:rPr>
        <w:fldChar w:fldCharType="end"/>
      </w:r>
      <w:r w:rsidR="00BB77D0" w:rsidRPr="00FD48A9">
        <w:rPr>
          <w:sz w:val="16"/>
        </w:rPr>
        <w:fldChar w:fldCharType="begin"/>
      </w:r>
      <w:r w:rsidR="00BB77D0" w:rsidRPr="00FD48A9">
        <w:rPr>
          <w:sz w:val="16"/>
        </w:rPr>
        <w:instrText xml:space="preserve"> :Accountability:|MECD_TP4|Treasury|MECD|Trevor Power|Nicholas Stoney|Alice Shen|x4267 </w:instrText>
      </w:r>
      <w:r w:rsidR="00BB77D0" w:rsidRPr="00FD48A9">
        <w:rPr>
          <w:sz w:val="16"/>
        </w:rPr>
        <w:fldChar w:fldCharType="end"/>
      </w:r>
      <w:r w:rsidR="00BB77D0" w:rsidRPr="00FD48A9">
        <w:rPr>
          <w:sz w:val="16"/>
        </w:rPr>
        <w:fldChar w:fldCharType="begin"/>
      </w:r>
      <w:r w:rsidR="00BB77D0" w:rsidRPr="00FD48A9">
        <w:rPr>
          <w:sz w:val="16"/>
        </w:rPr>
        <w:instrText xml:space="preserve"> :Accountability:|MECD_TP3|Treasury|MECD|Trevor Power|Caroline Gibbons|Alice Shen|x4267 </w:instrText>
      </w:r>
      <w:r w:rsidR="00BB77D0" w:rsidRPr="00FD48A9">
        <w:rPr>
          <w:sz w:val="16"/>
        </w:rPr>
        <w:fldChar w:fldCharType="end"/>
      </w:r>
      <w:r w:rsidR="00D61DD5" w:rsidRPr="00FD48A9">
        <w:rPr>
          <w:sz w:val="16"/>
        </w:rPr>
        <w:fldChar w:fldCharType="begin"/>
      </w:r>
      <w:r w:rsidR="00D61DD5" w:rsidRPr="00FD48A9">
        <w:rPr>
          <w:sz w:val="16"/>
        </w:rPr>
        <w:instrText xml:space="preserve"> :Accountability:|MECD_TP2|Treasury|MECD|Trevor Power|Grant Ferres|Alice Shen|x4267 </w:instrText>
      </w:r>
      <w:r w:rsidR="00D61DD5" w:rsidRPr="00FD48A9">
        <w:rPr>
          <w:sz w:val="16"/>
        </w:rPr>
        <w:fldChar w:fldCharType="end"/>
      </w:r>
      <w:r w:rsidRPr="00FD48A9">
        <w:rPr>
          <w:sz w:val="16"/>
        </w:rPr>
        <w:fldChar w:fldCharType="begin"/>
      </w:r>
      <w:r w:rsidRPr="00FD48A9">
        <w:rPr>
          <w:sz w:val="16"/>
        </w:rPr>
        <w:instrText xml:space="preserve"> :Accountability:|MECD_TP1|Treasury|MECD|Trevor Power|Michael Gardner|Alice Shen|x4267 </w:instrText>
      </w:r>
      <w:r w:rsidRPr="00FD48A9">
        <w:rPr>
          <w:sz w:val="16"/>
        </w:rPr>
        <w:fldChar w:fldCharType="end"/>
      </w:r>
      <w:r w:rsidRPr="00FD48A9">
        <w:rPr>
          <w:sz w:val="16"/>
        </w:rPr>
        <w:fldChar w:fldCharType="begin"/>
      </w:r>
      <w:r w:rsidRPr="00FD48A9">
        <w:rPr>
          <w:sz w:val="16"/>
        </w:rPr>
        <w:instrText xml:space="preserve"> :End Index: </w:instrText>
      </w:r>
      <w:r w:rsidRPr="00FD48A9">
        <w:rPr>
          <w:sz w:val="16"/>
        </w:rPr>
        <w:fldChar w:fldCharType="end"/>
      </w:r>
      <w:r w:rsidR="00EB0FF8" w:rsidRPr="00FD48A9">
        <w:rPr>
          <w:sz w:val="16"/>
        </w:rPr>
        <w:fldChar w:fldCharType="begin"/>
      </w:r>
      <w:r w:rsidR="00EB0FF8" w:rsidRPr="00FD48A9">
        <w:rPr>
          <w:sz w:val="16"/>
        </w:rPr>
        <w:instrText xml:space="preserve"> :Start:MECD_TP2 </w:instrText>
      </w:r>
      <w:r w:rsidR="00EB0FF8" w:rsidRPr="00FD48A9">
        <w:rPr>
          <w:sz w:val="16"/>
        </w:rPr>
        <w:fldChar w:fldCharType="end"/>
      </w:r>
      <w:r w:rsidR="00D131AE" w:rsidRPr="00FD48A9">
        <w:t>Part 2: Economic outlook</w:t>
      </w:r>
      <w:r w:rsidR="00795032" w:rsidRPr="00FD48A9">
        <w:t xml:space="preserve"> </w:t>
      </w:r>
    </w:p>
    <w:p w14:paraId="1016A5E7" w14:textId="413BC881" w:rsidR="00D131AE" w:rsidRPr="00FD48A9" w:rsidRDefault="00D7654E" w:rsidP="00D131AE">
      <w:pPr>
        <w:pStyle w:val="Heading2"/>
      </w:pPr>
      <w:r w:rsidRPr="00FD48A9">
        <w:t>Overview</w:t>
      </w:r>
    </w:p>
    <w:p w14:paraId="4FE74936" w14:textId="32026909" w:rsidR="00D131AE" w:rsidRPr="00FD48A9" w:rsidRDefault="00EB0FF8" w:rsidP="00D131AE">
      <w:r w:rsidRPr="00FD48A9">
        <w:fldChar w:fldCharType="begin"/>
      </w:r>
      <w:r w:rsidRPr="00FD48A9">
        <w:instrText xml:space="preserve"> :End:MECD_TP2 </w:instrText>
      </w:r>
      <w:r w:rsidRPr="00FD48A9">
        <w:fldChar w:fldCharType="end"/>
      </w:r>
      <w:r w:rsidRPr="00FD48A9">
        <w:fldChar w:fldCharType="begin"/>
      </w:r>
      <w:r w:rsidRPr="00FD48A9">
        <w:instrText xml:space="preserve"> :Start:MECD_TP1 </w:instrText>
      </w:r>
      <w:r w:rsidRPr="00FD48A9">
        <w:fldChar w:fldCharType="end"/>
      </w:r>
      <w:r w:rsidR="00D131AE" w:rsidRPr="00FD48A9">
        <w:t xml:space="preserve">The </w:t>
      </w:r>
      <w:r w:rsidR="00501F7E" w:rsidRPr="00FD48A9">
        <w:t>COVID</w:t>
      </w:r>
      <w:r w:rsidR="00C77479">
        <w:noBreakHyphen/>
      </w:r>
      <w:r w:rsidR="00501F7E" w:rsidRPr="00FD48A9">
        <w:t>19</w:t>
      </w:r>
      <w:r w:rsidR="00D131AE" w:rsidRPr="00FD48A9">
        <w:t xml:space="preserve"> pandemic is causing the largest contraction in global economic activity since the Great Depression. Countries all around the world have closed their borders and put in place other containment measures to limit the spread of the virus and manage health systems to save lives. </w:t>
      </w:r>
    </w:p>
    <w:p w14:paraId="76F08297" w14:textId="3E0E2BAB" w:rsidR="00D131AE" w:rsidRPr="00FD48A9" w:rsidRDefault="00D131AE" w:rsidP="00D131AE">
      <w:r w:rsidRPr="00FD48A9">
        <w:t xml:space="preserve">The global economy </w:t>
      </w:r>
      <w:proofErr w:type="gramStart"/>
      <w:r w:rsidRPr="00FD48A9">
        <w:t>is forecast</w:t>
      </w:r>
      <w:proofErr w:type="gramEnd"/>
      <w:r w:rsidRPr="00FD48A9">
        <w:t xml:space="preserve"> to contract by </w:t>
      </w:r>
      <w:r w:rsidR="00F41122" w:rsidRPr="00FD48A9">
        <w:t>4</w:t>
      </w:r>
      <w:r w:rsidR="009F36FE" w:rsidRPr="00FD48A9">
        <w:t xml:space="preserve">¾ </w:t>
      </w:r>
      <w:r w:rsidRPr="00FD48A9">
        <w:t>per cent in 2020, with falls widespread across countries. The falls in economic activity have already seen the loss of millions of jobs. According to the International Labour Organisation</w:t>
      </w:r>
      <w:r w:rsidR="00A1630C" w:rsidRPr="00FD48A9">
        <w:t xml:space="preserve"> (ILO)</w:t>
      </w:r>
      <w:r w:rsidRPr="00FD48A9">
        <w:t xml:space="preserve">, the global decline in hours worked in the March quarter was equivalent to </w:t>
      </w:r>
      <w:r w:rsidR="00FC5E6D" w:rsidRPr="00FD48A9">
        <w:t>185</w:t>
      </w:r>
      <w:r w:rsidRPr="00FD48A9">
        <w:t xml:space="preserve"> million full</w:t>
      </w:r>
      <w:r w:rsidR="00C77479">
        <w:noBreakHyphen/>
      </w:r>
      <w:r w:rsidRPr="00FD48A9">
        <w:t xml:space="preserve">time jobs </w:t>
      </w:r>
      <w:r w:rsidR="00FC5E6D" w:rsidRPr="00FD48A9">
        <w:t>relative to the December quarter</w:t>
      </w:r>
      <w:r w:rsidR="00B8013E">
        <w:t xml:space="preserve"> 2019</w:t>
      </w:r>
      <w:r w:rsidR="00FC5E6D" w:rsidRPr="00FD48A9">
        <w:t xml:space="preserve">, </w:t>
      </w:r>
      <w:r w:rsidRPr="00FD48A9">
        <w:t xml:space="preserve">and a </w:t>
      </w:r>
      <w:r w:rsidR="00FC5E6D" w:rsidRPr="00FD48A9">
        <w:t xml:space="preserve">further </w:t>
      </w:r>
      <w:r w:rsidRPr="00FD48A9">
        <w:t xml:space="preserve">fall equivalent to </w:t>
      </w:r>
      <w:r w:rsidR="00FC5E6D" w:rsidRPr="00FD48A9">
        <w:t>480</w:t>
      </w:r>
      <w:r w:rsidRPr="00FD48A9">
        <w:t xml:space="preserve"> million full</w:t>
      </w:r>
      <w:r w:rsidR="00C77479">
        <w:noBreakHyphen/>
      </w:r>
      <w:r w:rsidRPr="00FD48A9">
        <w:t xml:space="preserve">time jobs </w:t>
      </w:r>
      <w:proofErr w:type="gramStart"/>
      <w:r w:rsidRPr="00FD48A9">
        <w:t xml:space="preserve">is </w:t>
      </w:r>
      <w:r w:rsidR="00B967A6" w:rsidRPr="00FD48A9">
        <w:t>expected</w:t>
      </w:r>
      <w:proofErr w:type="gramEnd"/>
      <w:r w:rsidR="00B967A6" w:rsidRPr="00FD48A9">
        <w:t xml:space="preserve"> </w:t>
      </w:r>
      <w:r w:rsidR="004A612A" w:rsidRPr="00FD48A9">
        <w:t xml:space="preserve">to have occurred </w:t>
      </w:r>
      <w:r w:rsidRPr="00FD48A9">
        <w:t>in the June quarter.</w:t>
      </w:r>
    </w:p>
    <w:p w14:paraId="03CEE33B" w14:textId="220754CA" w:rsidR="00D131AE" w:rsidRPr="00FD48A9" w:rsidRDefault="00D131AE" w:rsidP="00D131AE">
      <w:r w:rsidRPr="00FD48A9">
        <w:t>Significant monetary, fiscal</w:t>
      </w:r>
      <w:r w:rsidR="0087251C" w:rsidRPr="00FD48A9">
        <w:t>, regulatory</w:t>
      </w:r>
      <w:r w:rsidRPr="00FD48A9">
        <w:t xml:space="preserve"> and financial stability measures </w:t>
      </w:r>
      <w:proofErr w:type="gramStart"/>
      <w:r w:rsidRPr="00FD48A9">
        <w:t>have been put</w:t>
      </w:r>
      <w:proofErr w:type="gramEnd"/>
      <w:r w:rsidRPr="00FD48A9">
        <w:t xml:space="preserve"> in place in all major advanced economies in order to dampen the economic downturn. The scale of the macroeconomic support measures </w:t>
      </w:r>
      <w:r w:rsidR="00A1630C" w:rsidRPr="00FD48A9">
        <w:t xml:space="preserve">is </w:t>
      </w:r>
      <w:r w:rsidRPr="00FD48A9">
        <w:t xml:space="preserve">unprecedented and, in many economies, </w:t>
      </w:r>
      <w:r w:rsidR="00B967A6" w:rsidRPr="00FD48A9">
        <w:t>the measures</w:t>
      </w:r>
      <w:r w:rsidRPr="00FD48A9">
        <w:t xml:space="preserve"> far outweigh the size of the response </w:t>
      </w:r>
      <w:r w:rsidR="00451C9F" w:rsidRPr="00FD48A9">
        <w:t>to</w:t>
      </w:r>
      <w:r w:rsidRPr="00FD48A9">
        <w:t xml:space="preserve"> the Global Financial Crisis (GFC). </w:t>
      </w:r>
    </w:p>
    <w:p w14:paraId="32EFF207" w14:textId="60AA1ABA" w:rsidR="00D131AE" w:rsidRPr="00FD48A9" w:rsidRDefault="00EB0FF8" w:rsidP="00D131AE">
      <w:r w:rsidRPr="00FD48A9">
        <w:fldChar w:fldCharType="begin"/>
      </w:r>
      <w:r w:rsidRPr="00FD48A9">
        <w:instrText xml:space="preserve"> :End:MECD_TP1 </w:instrText>
      </w:r>
      <w:r w:rsidRPr="00FD48A9">
        <w:fldChar w:fldCharType="end"/>
      </w:r>
      <w:r w:rsidRPr="00FD48A9">
        <w:fldChar w:fldCharType="begin"/>
      </w:r>
      <w:r w:rsidRPr="00FD48A9">
        <w:instrText xml:space="preserve"> :Start:MECD_TP1 </w:instrText>
      </w:r>
      <w:r w:rsidRPr="00FD48A9">
        <w:fldChar w:fldCharType="end"/>
      </w:r>
      <w:r w:rsidR="00D131AE" w:rsidRPr="00FD48A9">
        <w:t xml:space="preserve">The global economy </w:t>
      </w:r>
      <w:proofErr w:type="gramStart"/>
      <w:r w:rsidR="00D131AE" w:rsidRPr="00FD48A9">
        <w:t>is forecast</w:t>
      </w:r>
      <w:proofErr w:type="gramEnd"/>
      <w:r w:rsidR="00D131AE" w:rsidRPr="00FD48A9">
        <w:t xml:space="preserve"> to expand by </w:t>
      </w:r>
      <w:r w:rsidR="00D17BDF" w:rsidRPr="00FD48A9">
        <w:t>5</w:t>
      </w:r>
      <w:r w:rsidR="00D131AE" w:rsidRPr="00FD48A9">
        <w:t xml:space="preserve"> per cent in 2021 due to the easing of containment measures and a gradual recovery in consumer and business confidence. However, </w:t>
      </w:r>
      <w:r w:rsidR="00AB2655" w:rsidRPr="00FD48A9">
        <w:t xml:space="preserve">high </w:t>
      </w:r>
      <w:proofErr w:type="gramStart"/>
      <w:r w:rsidR="00AB2655" w:rsidRPr="00FD48A9">
        <w:t>unemployment</w:t>
      </w:r>
      <w:r w:rsidR="00D131AE" w:rsidRPr="00FD48A9">
        <w:t>,</w:t>
      </w:r>
      <w:proofErr w:type="gramEnd"/>
      <w:r w:rsidR="00D131AE" w:rsidRPr="00FD48A9">
        <w:t xml:space="preserve"> continued </w:t>
      </w:r>
      <w:r w:rsidR="00A1630C" w:rsidRPr="00FD48A9">
        <w:t xml:space="preserve">physical </w:t>
      </w:r>
      <w:r w:rsidR="00D131AE" w:rsidRPr="00FD48A9">
        <w:t>dis</w:t>
      </w:r>
      <w:r w:rsidR="00EF2B0D" w:rsidRPr="00FD48A9">
        <w:t>tancing restrictions, business restructuring</w:t>
      </w:r>
      <w:r w:rsidR="00D131AE" w:rsidRPr="00FD48A9">
        <w:t xml:space="preserve">, high levels of sovereign debt and </w:t>
      </w:r>
      <w:r w:rsidR="00AB2655" w:rsidRPr="00FD48A9">
        <w:t xml:space="preserve">ongoing </w:t>
      </w:r>
      <w:r w:rsidR="00D131AE" w:rsidRPr="00FD48A9">
        <w:t xml:space="preserve">uncertainty will </w:t>
      </w:r>
      <w:r w:rsidR="00AB2655" w:rsidRPr="00FD48A9">
        <w:t xml:space="preserve">all </w:t>
      </w:r>
      <w:r w:rsidR="00D131AE" w:rsidRPr="00FD48A9">
        <w:t>weigh on the recovery.</w:t>
      </w:r>
      <w:r w:rsidR="00964D68" w:rsidRPr="00FD48A9">
        <w:t xml:space="preserve"> </w:t>
      </w:r>
      <w:r w:rsidR="00DC0B28" w:rsidRPr="00FD48A9">
        <w:t xml:space="preserve">These factors </w:t>
      </w:r>
      <w:proofErr w:type="gramStart"/>
      <w:r w:rsidR="00DC0B28" w:rsidRPr="00FD48A9">
        <w:t>are expected</w:t>
      </w:r>
      <w:proofErr w:type="gramEnd"/>
      <w:r w:rsidR="00DC0B28" w:rsidRPr="00FD48A9">
        <w:t xml:space="preserve"> to leave most major economies below their </w:t>
      </w:r>
      <w:r w:rsidR="00A74E21" w:rsidRPr="00FD48A9">
        <w:t>pre</w:t>
      </w:r>
      <w:r w:rsidR="00C77479">
        <w:noBreakHyphen/>
      </w:r>
      <w:r w:rsidR="00A74E21" w:rsidRPr="00FD48A9">
        <w:t>COVID</w:t>
      </w:r>
      <w:r w:rsidR="00C77479">
        <w:noBreakHyphen/>
      </w:r>
      <w:r w:rsidR="00BC37B4" w:rsidRPr="00FD48A9">
        <w:t>19</w:t>
      </w:r>
      <w:r w:rsidR="00A74E21" w:rsidRPr="00FD48A9">
        <w:t xml:space="preserve"> </w:t>
      </w:r>
      <w:r w:rsidR="008701AE" w:rsidRPr="00FD48A9">
        <w:t>level</w:t>
      </w:r>
      <w:r w:rsidR="00DC0B28" w:rsidRPr="00FD48A9">
        <w:t>s</w:t>
      </w:r>
      <w:r w:rsidR="00326F73" w:rsidRPr="00FD48A9">
        <w:t xml:space="preserve"> of activity</w:t>
      </w:r>
      <w:r w:rsidR="00A74E21" w:rsidRPr="00FD48A9">
        <w:t xml:space="preserve"> </w:t>
      </w:r>
      <w:r w:rsidR="00690ABA" w:rsidRPr="00FD48A9">
        <w:t xml:space="preserve">until </w:t>
      </w:r>
      <w:r w:rsidR="00451C9F" w:rsidRPr="00FD48A9">
        <w:t xml:space="preserve">at least </w:t>
      </w:r>
      <w:r w:rsidR="00690ABA" w:rsidRPr="00FD48A9">
        <w:t>the end of 2021</w:t>
      </w:r>
      <w:r w:rsidR="00A74E21" w:rsidRPr="00FD48A9">
        <w:t>.</w:t>
      </w:r>
    </w:p>
    <w:p w14:paraId="47C4F69D" w14:textId="7A3C4433" w:rsidR="006C74B9" w:rsidRPr="00FD48A9" w:rsidRDefault="00EB0FF8" w:rsidP="00D131AE">
      <w:r w:rsidRPr="00FD48A9">
        <w:fldChar w:fldCharType="begin"/>
      </w:r>
      <w:r w:rsidRPr="00FD48A9">
        <w:instrText xml:space="preserve"> :End:MECD_TP1 </w:instrText>
      </w:r>
      <w:r w:rsidRPr="00FD48A9">
        <w:fldChar w:fldCharType="end"/>
      </w:r>
      <w:r w:rsidRPr="00FD48A9">
        <w:fldChar w:fldCharType="begin"/>
      </w:r>
      <w:r w:rsidRPr="00FD48A9">
        <w:instrText xml:space="preserve"> :Start:MECD_TP2 </w:instrText>
      </w:r>
      <w:r w:rsidRPr="00FD48A9">
        <w:fldChar w:fldCharType="end"/>
      </w:r>
      <w:r w:rsidR="004A612A" w:rsidRPr="00FD48A9">
        <w:t>The</w:t>
      </w:r>
      <w:r w:rsidR="00690ABA" w:rsidRPr="00FD48A9">
        <w:t xml:space="preserve"> Australian economy </w:t>
      </w:r>
      <w:proofErr w:type="gramStart"/>
      <w:r w:rsidR="00690ABA" w:rsidRPr="00FD48A9">
        <w:t>is expected</w:t>
      </w:r>
      <w:proofErr w:type="gramEnd"/>
      <w:r w:rsidR="00690ABA" w:rsidRPr="00FD48A9">
        <w:t xml:space="preserve"> to </w:t>
      </w:r>
      <w:r w:rsidR="004A612A" w:rsidRPr="00FD48A9">
        <w:t>experience a significant contraction in 2020</w:t>
      </w:r>
      <w:r w:rsidR="00690ABA" w:rsidRPr="00FD48A9">
        <w:t xml:space="preserve">. </w:t>
      </w:r>
      <w:r w:rsidR="001B79BA" w:rsidRPr="00FD48A9">
        <w:t xml:space="preserve">However, </w:t>
      </w:r>
      <w:r w:rsidR="00B967A6" w:rsidRPr="00FD48A9">
        <w:t>Australia</w:t>
      </w:r>
      <w:r w:rsidR="00C77479">
        <w:t>’</w:t>
      </w:r>
      <w:r w:rsidR="00B967A6" w:rsidRPr="00FD48A9">
        <w:t>s</w:t>
      </w:r>
      <w:r w:rsidR="00D131AE" w:rsidRPr="00FD48A9">
        <w:t xml:space="preserve"> response to contain the spread of the virus has so far prevented the more severe health crises that have </w:t>
      </w:r>
      <w:r w:rsidR="00D131AE" w:rsidRPr="00FD48A9">
        <w:lastRenderedPageBreak/>
        <w:t>devastated many other countries</w:t>
      </w:r>
      <w:r w:rsidR="008A41AF" w:rsidRPr="00FD48A9">
        <w:t>. This has allowed an earlier easing of domestic restrictions</w:t>
      </w:r>
      <w:r w:rsidR="006C74B9" w:rsidRPr="00FD48A9">
        <w:t xml:space="preserve"> </w:t>
      </w:r>
      <w:r w:rsidR="0034776A" w:rsidRPr="00FD48A9">
        <w:t xml:space="preserve">than previously expected </w:t>
      </w:r>
      <w:r w:rsidR="008A41AF" w:rsidRPr="00FD48A9">
        <w:t>in many parts of the country</w:t>
      </w:r>
      <w:r w:rsidR="0034776A" w:rsidRPr="00FD48A9">
        <w:t xml:space="preserve">. </w:t>
      </w:r>
    </w:p>
    <w:p w14:paraId="3A24B4BC" w14:textId="2A86272F" w:rsidR="00D131AE" w:rsidRPr="00FD48A9" w:rsidRDefault="00EB0FF8" w:rsidP="00D131AE">
      <w:r w:rsidRPr="00FD48A9">
        <w:fldChar w:fldCharType="begin"/>
      </w:r>
      <w:r w:rsidRPr="00FD48A9">
        <w:instrText xml:space="preserve"> :End:MECD_TP2 </w:instrText>
      </w:r>
      <w:r w:rsidRPr="00FD48A9">
        <w:fldChar w:fldCharType="end"/>
      </w:r>
      <w:r w:rsidRPr="00FD48A9">
        <w:fldChar w:fldCharType="begin"/>
      </w:r>
      <w:r w:rsidRPr="00FD48A9">
        <w:instrText xml:space="preserve"> :Start:MECD_TP1 </w:instrText>
      </w:r>
      <w:r w:rsidRPr="00FD48A9">
        <w:fldChar w:fldCharType="end"/>
      </w:r>
      <w:r w:rsidR="00E405D2" w:rsidRPr="00FD48A9">
        <w:t xml:space="preserve">Even with the current outbreak and </w:t>
      </w:r>
      <w:r w:rsidR="00F80672" w:rsidRPr="00FD48A9">
        <w:t>reintroduction</w:t>
      </w:r>
      <w:r w:rsidR="00E405D2" w:rsidRPr="00FD48A9">
        <w:t xml:space="preserve"> of more </w:t>
      </w:r>
      <w:r w:rsidR="005A6525" w:rsidRPr="00FD48A9">
        <w:t xml:space="preserve">significant </w:t>
      </w:r>
      <w:r w:rsidR="00E405D2" w:rsidRPr="00FD48A9">
        <w:t xml:space="preserve">containment measures in Victoria, </w:t>
      </w:r>
      <w:r w:rsidR="00D131AE" w:rsidRPr="00FD48A9">
        <w:t xml:space="preserve">the Australian economy </w:t>
      </w:r>
      <w:proofErr w:type="gramStart"/>
      <w:r w:rsidR="00E405D2" w:rsidRPr="00FD48A9">
        <w:t>is expected</w:t>
      </w:r>
      <w:proofErr w:type="gramEnd"/>
      <w:r w:rsidR="00E405D2" w:rsidRPr="00FD48A9">
        <w:t xml:space="preserve"> to </w:t>
      </w:r>
      <w:r w:rsidR="00D131AE" w:rsidRPr="00FD48A9">
        <w:t>perform better than</w:t>
      </w:r>
      <w:r w:rsidR="00F14952" w:rsidRPr="00FD48A9">
        <w:t xml:space="preserve"> </w:t>
      </w:r>
      <w:r w:rsidR="0033653D">
        <w:t>all</w:t>
      </w:r>
      <w:r w:rsidR="0033653D" w:rsidRPr="00FD48A9">
        <w:t xml:space="preserve"> </w:t>
      </w:r>
      <w:r w:rsidR="00D131AE" w:rsidRPr="00FD48A9">
        <w:t xml:space="preserve">major advanced economies in 2020. </w:t>
      </w:r>
    </w:p>
    <w:p w14:paraId="2D3660FF" w14:textId="684BA837" w:rsidR="00D131AE" w:rsidRPr="00FD48A9" w:rsidRDefault="00EB0FF8" w:rsidP="00D131AE">
      <w:r w:rsidRPr="00FD48A9">
        <w:fldChar w:fldCharType="begin"/>
      </w:r>
      <w:r w:rsidRPr="00FD48A9">
        <w:instrText xml:space="preserve"> :End:MECD_TP1 </w:instrText>
      </w:r>
      <w:r w:rsidRPr="00FD48A9">
        <w:fldChar w:fldCharType="end"/>
      </w:r>
      <w:r w:rsidR="006D7A0A" w:rsidRPr="00FD48A9">
        <w:fldChar w:fldCharType="begin"/>
      </w:r>
      <w:r w:rsidR="006D7A0A" w:rsidRPr="00FD48A9">
        <w:instrText xml:space="preserve"> :Start:MECD_TP2 </w:instrText>
      </w:r>
      <w:r w:rsidR="006D7A0A" w:rsidRPr="00FD48A9">
        <w:fldChar w:fldCharType="end"/>
      </w:r>
      <w:r w:rsidR="004A612A" w:rsidRPr="00FD48A9">
        <w:t>T</w:t>
      </w:r>
      <w:r w:rsidR="00D131AE" w:rsidRPr="00FD48A9">
        <w:t xml:space="preserve">he pandemic has pushed the Australian economy into recession, with real GDP </w:t>
      </w:r>
      <w:r w:rsidR="00A1630C" w:rsidRPr="00FD48A9">
        <w:t xml:space="preserve">expected </w:t>
      </w:r>
      <w:r w:rsidR="00D131AE" w:rsidRPr="00FD48A9">
        <w:t xml:space="preserve">to have fallen by </w:t>
      </w:r>
      <w:r w:rsidR="00606EE2" w:rsidRPr="00FD48A9">
        <w:t>7</w:t>
      </w:r>
      <w:r w:rsidR="00D131AE" w:rsidRPr="00FD48A9">
        <w:t xml:space="preserve"> per cent in the June quarter, which would be </w:t>
      </w:r>
      <w:r w:rsidR="00451C9F" w:rsidRPr="00FD48A9">
        <w:t>the</w:t>
      </w:r>
      <w:r w:rsidR="00D131AE" w:rsidRPr="00FD48A9">
        <w:t xml:space="preserve"> largest quarterly fall on record. This follows a fall of 0.3 per cent in the March quarter, which </w:t>
      </w:r>
      <w:proofErr w:type="gramStart"/>
      <w:r w:rsidR="00D131AE" w:rsidRPr="00FD48A9">
        <w:t>was affected</w:t>
      </w:r>
      <w:proofErr w:type="gramEnd"/>
      <w:r w:rsidR="00D131AE" w:rsidRPr="00FD48A9">
        <w:t xml:space="preserve"> by bushfires</w:t>
      </w:r>
      <w:r w:rsidR="00B967A6" w:rsidRPr="00FD48A9">
        <w:t>,</w:t>
      </w:r>
      <w:r w:rsidR="00D131AE" w:rsidRPr="00FD48A9">
        <w:t xml:space="preserve"> international travel restrictions </w:t>
      </w:r>
      <w:r w:rsidR="00B967A6" w:rsidRPr="00FD48A9">
        <w:t>and</w:t>
      </w:r>
      <w:r w:rsidR="00D131AE" w:rsidRPr="00FD48A9">
        <w:t xml:space="preserve"> the introduction of </w:t>
      </w:r>
      <w:r w:rsidR="00A1630C" w:rsidRPr="00FD48A9">
        <w:t xml:space="preserve">physical </w:t>
      </w:r>
      <w:r w:rsidR="00D131AE" w:rsidRPr="00FD48A9">
        <w:t xml:space="preserve">distancing restrictions late in the quarter. The June quarter decline reflects the scaling up of </w:t>
      </w:r>
      <w:r w:rsidR="00842C83" w:rsidRPr="00FD48A9">
        <w:t>travel</w:t>
      </w:r>
      <w:r w:rsidR="00D131AE" w:rsidRPr="00FD48A9">
        <w:t xml:space="preserve"> restrictions and containment measures alongside </w:t>
      </w:r>
      <w:r w:rsidR="00E12257" w:rsidRPr="00FD48A9">
        <w:t xml:space="preserve">the impact of </w:t>
      </w:r>
      <w:r w:rsidR="00D131AE" w:rsidRPr="00FD48A9">
        <w:t>record falls in consumer and business confidence.</w:t>
      </w:r>
      <w:r w:rsidR="006D7A0A" w:rsidRPr="00FD48A9">
        <w:fldChar w:fldCharType="begin"/>
      </w:r>
      <w:r w:rsidR="006D7A0A" w:rsidRPr="00FD48A9">
        <w:instrText xml:space="preserve"> :End:MECD_TP2 </w:instrText>
      </w:r>
      <w:r w:rsidR="006D7A0A" w:rsidRPr="00FD48A9">
        <w:fldChar w:fldCharType="end"/>
      </w:r>
      <w:r w:rsidR="00D131AE" w:rsidRPr="00FD48A9">
        <w:t xml:space="preserve"> </w:t>
      </w:r>
      <w:r w:rsidR="006D7A0A" w:rsidRPr="00FD48A9">
        <w:fldChar w:fldCharType="begin"/>
      </w:r>
      <w:r w:rsidR="006D7A0A" w:rsidRPr="00FD48A9">
        <w:instrText xml:space="preserve"> :Start:MECD_TP3 </w:instrText>
      </w:r>
      <w:r w:rsidR="006D7A0A" w:rsidRPr="00FD48A9">
        <w:fldChar w:fldCharType="end"/>
      </w:r>
      <w:r w:rsidR="00D131AE" w:rsidRPr="00FD48A9">
        <w:t xml:space="preserve">Retail turnover in industries such as hospitality and apparel, which </w:t>
      </w:r>
      <w:proofErr w:type="gramStart"/>
      <w:r w:rsidR="004C0A25" w:rsidRPr="00FD48A9">
        <w:t xml:space="preserve">have been </w:t>
      </w:r>
      <w:r w:rsidR="00D131AE" w:rsidRPr="00FD48A9">
        <w:t>negatively impacted</w:t>
      </w:r>
      <w:proofErr w:type="gramEnd"/>
      <w:r w:rsidR="00D131AE" w:rsidRPr="00FD48A9">
        <w:t xml:space="preserve"> by </w:t>
      </w:r>
      <w:r w:rsidR="00FA1BB5" w:rsidRPr="00FD48A9">
        <w:t>COVID</w:t>
      </w:r>
      <w:r w:rsidR="00C77479">
        <w:noBreakHyphen/>
      </w:r>
      <w:r w:rsidR="00FA1BB5" w:rsidRPr="00FD48A9">
        <w:t>19</w:t>
      </w:r>
      <w:r w:rsidR="00D131AE" w:rsidRPr="00FD48A9">
        <w:t xml:space="preserve"> restrictions</w:t>
      </w:r>
      <w:r w:rsidR="005A6525" w:rsidRPr="00FD48A9">
        <w:t>,</w:t>
      </w:r>
      <w:r w:rsidR="00D131AE" w:rsidRPr="00FD48A9">
        <w:t xml:space="preserve"> </w:t>
      </w:r>
      <w:r w:rsidR="00A1630C" w:rsidRPr="00FD48A9">
        <w:t xml:space="preserve">and housing turnover </w:t>
      </w:r>
      <w:r w:rsidR="00D131AE" w:rsidRPr="00FD48A9">
        <w:t xml:space="preserve">fell sharply during the quarter. </w:t>
      </w:r>
      <w:r w:rsidR="006D7A0A" w:rsidRPr="00FD48A9">
        <w:fldChar w:fldCharType="begin"/>
      </w:r>
      <w:r w:rsidR="006D7A0A" w:rsidRPr="00FD48A9">
        <w:instrText xml:space="preserve"> :End:MECD_TP3 </w:instrText>
      </w:r>
      <w:r w:rsidR="006D7A0A" w:rsidRPr="00FD48A9">
        <w:fldChar w:fldCharType="end"/>
      </w:r>
    </w:p>
    <w:p w14:paraId="1A33E22B" w14:textId="2D12A5E8" w:rsidR="00D131AE" w:rsidRPr="00FD48A9" w:rsidRDefault="006D7A0A" w:rsidP="00D131AE">
      <w:r w:rsidRPr="00FD48A9">
        <w:fldChar w:fldCharType="begin"/>
      </w:r>
      <w:r w:rsidRPr="00FD48A9">
        <w:instrText xml:space="preserve"> :Start:MECD_TP3 </w:instrText>
      </w:r>
      <w:r w:rsidRPr="00FD48A9">
        <w:fldChar w:fldCharType="end"/>
      </w:r>
      <w:r w:rsidR="00D131AE" w:rsidRPr="00FD48A9">
        <w:t xml:space="preserve">The most significant </w:t>
      </w:r>
      <w:r w:rsidR="00B967A6" w:rsidRPr="00FD48A9">
        <w:t>economic</w:t>
      </w:r>
      <w:r w:rsidR="00D131AE" w:rsidRPr="00FD48A9">
        <w:t xml:space="preserve"> impact of the crisis has been on jobs, particularly for women, young people and low</w:t>
      </w:r>
      <w:r w:rsidR="00C77479">
        <w:noBreakHyphen/>
      </w:r>
      <w:r w:rsidR="00D131AE" w:rsidRPr="00FD48A9">
        <w:t xml:space="preserve">skilled workers. The largest falls in employment have been in those industries most affected by the restrictions, such as accommodation and food services. </w:t>
      </w:r>
    </w:p>
    <w:p w14:paraId="537842B1" w14:textId="48A3902A" w:rsidR="00D131AE" w:rsidRPr="00FD48A9" w:rsidRDefault="006D7A0A" w:rsidP="00D131AE">
      <w:r w:rsidRPr="00FD48A9">
        <w:fldChar w:fldCharType="begin"/>
      </w:r>
      <w:r w:rsidRPr="00FD48A9">
        <w:instrText xml:space="preserve"> :End:MECD_TP3 </w:instrText>
      </w:r>
      <w:r w:rsidRPr="00FD48A9">
        <w:fldChar w:fldCharType="end"/>
      </w:r>
      <w:r w:rsidR="00C470C1" w:rsidRPr="00FD48A9">
        <w:fldChar w:fldCharType="begin"/>
      </w:r>
      <w:r w:rsidR="00C470C1" w:rsidRPr="00FD48A9">
        <w:instrText xml:space="preserve"> :Start:</w:instrText>
      </w:r>
      <w:r w:rsidR="00786318" w:rsidRPr="00FD48A9">
        <w:instrText>MMPD_IB2</w:instrText>
      </w:r>
      <w:r w:rsidR="00C470C1" w:rsidRPr="00FD48A9">
        <w:instrText xml:space="preserve"> </w:instrText>
      </w:r>
      <w:r w:rsidR="00C470C1" w:rsidRPr="00FD48A9">
        <w:fldChar w:fldCharType="end"/>
      </w:r>
      <w:r w:rsidR="00D131AE" w:rsidRPr="00FD48A9">
        <w:t xml:space="preserve">There are early indications that the easing of health restrictions in the latter part of the June quarter resulted in a noticeable recovery in </w:t>
      </w:r>
      <w:r w:rsidR="00E330A0" w:rsidRPr="00FD48A9">
        <w:t xml:space="preserve">economic </w:t>
      </w:r>
      <w:r w:rsidR="00D131AE" w:rsidRPr="00FD48A9">
        <w:t xml:space="preserve">activity. </w:t>
      </w:r>
      <w:r w:rsidR="00E330A0" w:rsidRPr="00FD48A9">
        <w:t>A range of h</w:t>
      </w:r>
      <w:r w:rsidR="00D131AE" w:rsidRPr="00FD48A9">
        <w:t>igh</w:t>
      </w:r>
      <w:r w:rsidR="00C77479">
        <w:noBreakHyphen/>
      </w:r>
      <w:r w:rsidR="00D131AE" w:rsidRPr="00FD48A9">
        <w:t>frequency data suggest that</w:t>
      </w:r>
      <w:r w:rsidR="002579A2" w:rsidRPr="00FD48A9">
        <w:t xml:space="preserve"> household </w:t>
      </w:r>
      <w:r w:rsidR="00D131AE" w:rsidRPr="00FD48A9">
        <w:t xml:space="preserve">consumption has started to recover, with spending having regained </w:t>
      </w:r>
      <w:r w:rsidR="00802D8D" w:rsidRPr="00FD48A9">
        <w:t xml:space="preserve">some </w:t>
      </w:r>
      <w:r w:rsidR="00D131AE" w:rsidRPr="00FD48A9">
        <w:t xml:space="preserve">of the losses that occurred during the peak of the restrictions. </w:t>
      </w:r>
      <w:r w:rsidR="00C21531" w:rsidRPr="00FD48A9">
        <w:t>Measures of employment have also risen from their troughs</w:t>
      </w:r>
      <w:r w:rsidR="005A6525" w:rsidRPr="00FD48A9">
        <w:t>,</w:t>
      </w:r>
      <w:r w:rsidR="00A1630C" w:rsidRPr="00FD48A9">
        <w:t xml:space="preserve"> while hours worked in June recovered around </w:t>
      </w:r>
      <w:r w:rsidR="006C21F2" w:rsidRPr="00FD48A9">
        <w:t>one</w:t>
      </w:r>
      <w:r w:rsidR="00C77479">
        <w:noBreakHyphen/>
      </w:r>
      <w:r w:rsidR="00A1630C" w:rsidRPr="00FD48A9">
        <w:t>third of the hours lost between March and May</w:t>
      </w:r>
      <w:r w:rsidR="00C21531" w:rsidRPr="00FD48A9">
        <w:t xml:space="preserve">. </w:t>
      </w:r>
      <w:r w:rsidR="00D131AE" w:rsidRPr="00FD48A9">
        <w:t xml:space="preserve">However, </w:t>
      </w:r>
      <w:r w:rsidR="00E330A0" w:rsidRPr="00FD48A9">
        <w:t xml:space="preserve">the </w:t>
      </w:r>
      <w:r w:rsidR="00D131AE" w:rsidRPr="00FD48A9">
        <w:t xml:space="preserve">recovery </w:t>
      </w:r>
      <w:r w:rsidR="00E330A0" w:rsidRPr="00FD48A9">
        <w:t xml:space="preserve">in consumption </w:t>
      </w:r>
      <w:r w:rsidR="00A1630C" w:rsidRPr="00FD48A9">
        <w:t xml:space="preserve">slowed </w:t>
      </w:r>
      <w:r w:rsidR="00CF0E74" w:rsidRPr="00FD48A9">
        <w:t xml:space="preserve">in </w:t>
      </w:r>
      <w:r w:rsidR="00E330A0" w:rsidRPr="00FD48A9">
        <w:t xml:space="preserve">late June and </w:t>
      </w:r>
      <w:r w:rsidR="00CF0E74" w:rsidRPr="00FD48A9">
        <w:t>July</w:t>
      </w:r>
      <w:r w:rsidR="00D131AE" w:rsidRPr="00FD48A9">
        <w:t xml:space="preserve"> as </w:t>
      </w:r>
      <w:proofErr w:type="gramStart"/>
      <w:r w:rsidR="00E330A0" w:rsidRPr="00FD48A9">
        <w:t xml:space="preserve">economic and </w:t>
      </w:r>
      <w:r w:rsidR="00D131AE" w:rsidRPr="00FD48A9">
        <w:t xml:space="preserve">health concerns </w:t>
      </w:r>
      <w:r w:rsidR="00842C83" w:rsidRPr="00FD48A9">
        <w:t xml:space="preserve">increased and </w:t>
      </w:r>
      <w:r w:rsidR="00D131AE" w:rsidRPr="00FD48A9">
        <w:t>health restrictions were reimposed</w:t>
      </w:r>
      <w:r w:rsidR="00842C83" w:rsidRPr="00FD48A9">
        <w:t xml:space="preserve"> in localised areas</w:t>
      </w:r>
      <w:r w:rsidR="00C470C1" w:rsidRPr="00FD48A9">
        <w:fldChar w:fldCharType="begin"/>
      </w:r>
      <w:r w:rsidR="00C470C1" w:rsidRPr="00FD48A9">
        <w:instrText xml:space="preserve"> :End:</w:instrText>
      </w:r>
      <w:r w:rsidR="00786318" w:rsidRPr="00FD48A9">
        <w:instrText>MMPD_IB2</w:instrText>
      </w:r>
      <w:r w:rsidR="00C470C1" w:rsidRPr="00FD48A9">
        <w:instrText xml:space="preserve"> </w:instrText>
      </w:r>
      <w:r w:rsidR="00C470C1" w:rsidRPr="00FD48A9">
        <w:fldChar w:fldCharType="end"/>
      </w:r>
      <w:proofErr w:type="gramEnd"/>
      <w:r w:rsidR="00D131AE" w:rsidRPr="00FD48A9">
        <w:t>.</w:t>
      </w:r>
    </w:p>
    <w:p w14:paraId="47A36D8C" w14:textId="01D7966A" w:rsidR="00D131AE" w:rsidRPr="00FD48A9" w:rsidRDefault="00C97145" w:rsidP="00D131AE">
      <w:r w:rsidRPr="00FD48A9">
        <w:fldChar w:fldCharType="begin"/>
      </w:r>
      <w:r w:rsidRPr="00FD48A9">
        <w:instrText xml:space="preserve"> :Start:MECD_TP2 </w:instrText>
      </w:r>
      <w:r w:rsidRPr="00FD48A9">
        <w:fldChar w:fldCharType="end"/>
      </w:r>
      <w:r w:rsidR="00D131AE" w:rsidRPr="00FD48A9">
        <w:t xml:space="preserve">Real GDP </w:t>
      </w:r>
      <w:proofErr w:type="gramStart"/>
      <w:r w:rsidR="00D131AE" w:rsidRPr="00FD48A9">
        <w:t>is forecast</w:t>
      </w:r>
      <w:proofErr w:type="gramEnd"/>
      <w:r w:rsidR="00D131AE" w:rsidRPr="00FD48A9">
        <w:t xml:space="preserve"> to increase by </w:t>
      </w:r>
      <w:r w:rsidR="00382C27" w:rsidRPr="00FD48A9">
        <w:t xml:space="preserve">1½ </w:t>
      </w:r>
      <w:r w:rsidR="00D131AE" w:rsidRPr="00FD48A9">
        <w:t xml:space="preserve">per cent in the September quarter, reflecting </w:t>
      </w:r>
      <w:r w:rsidR="00802D8D" w:rsidRPr="00FD48A9">
        <w:t>a</w:t>
      </w:r>
      <w:r w:rsidR="00D504CE" w:rsidRPr="00FD48A9">
        <w:t>n initial</w:t>
      </w:r>
      <w:r w:rsidR="00802D8D" w:rsidRPr="00FD48A9" w:rsidDel="00D504CE">
        <w:t xml:space="preserve"> </w:t>
      </w:r>
      <w:r w:rsidR="00D131AE" w:rsidRPr="00FD48A9">
        <w:t>recovery in household consumption</w:t>
      </w:r>
      <w:r w:rsidR="00102E7B" w:rsidRPr="00FD48A9">
        <w:t>,</w:t>
      </w:r>
      <w:r w:rsidR="00D131AE" w:rsidRPr="00FD48A9">
        <w:t xml:space="preserve"> </w:t>
      </w:r>
      <w:r w:rsidR="00A8715D" w:rsidRPr="00FD48A9">
        <w:t>partly offset by restrictions in Victoria</w:t>
      </w:r>
      <w:r w:rsidR="00C80117" w:rsidRPr="00FD48A9">
        <w:t>,</w:t>
      </w:r>
      <w:r w:rsidR="00A8715D" w:rsidRPr="00FD48A9">
        <w:t xml:space="preserve"> and </w:t>
      </w:r>
      <w:r w:rsidR="00D131AE" w:rsidRPr="00FD48A9">
        <w:t xml:space="preserve">continued declines in business investment, residential construction and export volumes related to the international border restrictions. </w:t>
      </w:r>
      <w:r w:rsidR="00FF7ECD" w:rsidRPr="00FD48A9">
        <w:t>A</w:t>
      </w:r>
      <w:r w:rsidR="00D131AE" w:rsidRPr="00FD48A9">
        <w:t xml:space="preserve">ctivity </w:t>
      </w:r>
      <w:proofErr w:type="gramStart"/>
      <w:r w:rsidR="00D131AE" w:rsidRPr="00FD48A9">
        <w:t>is expected</w:t>
      </w:r>
      <w:proofErr w:type="gramEnd"/>
      <w:r w:rsidR="00D131AE" w:rsidRPr="00FD48A9">
        <w:t xml:space="preserve"> to continue to recover over the forecast period, as</w:t>
      </w:r>
      <w:r w:rsidR="002579A2" w:rsidRPr="00FD48A9">
        <w:t>suming</w:t>
      </w:r>
      <w:r w:rsidR="00D131AE" w:rsidRPr="00FD48A9">
        <w:t xml:space="preserve"> uncertainty about the virus and the economic </w:t>
      </w:r>
      <w:r w:rsidR="00BA6DE7">
        <w:t>outlook reduces</w:t>
      </w:r>
      <w:r w:rsidR="00802D8D" w:rsidRPr="00FD48A9">
        <w:t>, restrictions ease</w:t>
      </w:r>
      <w:r w:rsidR="00D131AE" w:rsidRPr="00FD48A9">
        <w:t xml:space="preserve"> and incomes recover. In year</w:t>
      </w:r>
      <w:r w:rsidR="00C77479">
        <w:noBreakHyphen/>
      </w:r>
      <w:r w:rsidR="00D131AE" w:rsidRPr="00FD48A9">
        <w:t xml:space="preserve">average terms, real GDP </w:t>
      </w:r>
      <w:proofErr w:type="gramStart"/>
      <w:r w:rsidR="00D131AE" w:rsidRPr="00FD48A9">
        <w:t>is forecast</w:t>
      </w:r>
      <w:proofErr w:type="gramEnd"/>
      <w:r w:rsidR="00D131AE" w:rsidRPr="00FD48A9">
        <w:t xml:space="preserve"> to fall by </w:t>
      </w:r>
      <w:r w:rsidR="006D6863" w:rsidRPr="00FD48A9">
        <w:t xml:space="preserve">3¾ </w:t>
      </w:r>
      <w:r w:rsidR="00D131AE" w:rsidRPr="00FD48A9">
        <w:t xml:space="preserve">per cent in 2020 </w:t>
      </w:r>
      <w:r w:rsidR="002579A2" w:rsidRPr="00FD48A9">
        <w:t>before rising</w:t>
      </w:r>
      <w:r w:rsidR="00D131AE" w:rsidRPr="00FD48A9">
        <w:t xml:space="preserve"> by </w:t>
      </w:r>
      <w:r w:rsidR="006D6863" w:rsidRPr="00FD48A9">
        <w:t xml:space="preserve">2½ </w:t>
      </w:r>
      <w:r w:rsidR="00D131AE" w:rsidRPr="00FD48A9">
        <w:t>per cent in 2021</w:t>
      </w:r>
      <w:r w:rsidR="00291220" w:rsidRPr="00FD48A9">
        <w:t xml:space="preserve"> (Chart</w:t>
      </w:r>
      <w:r w:rsidR="00F40D41" w:rsidRPr="00FD48A9">
        <w:t> </w:t>
      </w:r>
      <w:r w:rsidR="00291220" w:rsidRPr="00FD48A9">
        <w:t>2.1)</w:t>
      </w:r>
      <w:r w:rsidR="00D131AE" w:rsidRPr="00FD48A9">
        <w:t xml:space="preserve">. </w:t>
      </w:r>
    </w:p>
    <w:p w14:paraId="616B42C8" w14:textId="2B7B0FBA" w:rsidR="006937A8" w:rsidRPr="00FD48A9" w:rsidRDefault="00C97145" w:rsidP="00D131AE">
      <w:r w:rsidRPr="00FD48A9">
        <w:fldChar w:fldCharType="begin"/>
      </w:r>
      <w:r w:rsidRPr="00FD48A9">
        <w:instrText xml:space="preserve"> :End:MECD_TP2 </w:instrText>
      </w:r>
      <w:r w:rsidRPr="00FD48A9">
        <w:fldChar w:fldCharType="end"/>
      </w:r>
      <w:r w:rsidR="009C04EA">
        <w:fldChar w:fldCharType="begin"/>
      </w:r>
      <w:r w:rsidR="009C04EA">
        <w:instrText xml:space="preserve"> :Start:MECD_TP3 </w:instrText>
      </w:r>
      <w:r w:rsidR="009C04EA">
        <w:fldChar w:fldCharType="end"/>
      </w:r>
      <w:r w:rsidR="00D131AE" w:rsidRPr="00FD48A9">
        <w:t>The jobs market will take time to recover. Following significant job losses</w:t>
      </w:r>
      <w:r w:rsidR="000A6A93" w:rsidRPr="00FD48A9">
        <w:t>,</w:t>
      </w:r>
      <w:r w:rsidR="00D131AE" w:rsidRPr="00FD48A9">
        <w:t xml:space="preserve"> the unemployment rate </w:t>
      </w:r>
      <w:proofErr w:type="gramStart"/>
      <w:r w:rsidR="00D131AE" w:rsidRPr="00FD48A9">
        <w:t>is forecast</w:t>
      </w:r>
      <w:proofErr w:type="gramEnd"/>
      <w:r w:rsidR="00D131AE" w:rsidRPr="00FD48A9">
        <w:t xml:space="preserve"> to peak at around </w:t>
      </w:r>
      <w:r w:rsidR="006D285C" w:rsidRPr="00FD48A9">
        <w:t>9¼</w:t>
      </w:r>
      <w:r w:rsidR="004E3ABE" w:rsidRPr="00FD48A9">
        <w:t xml:space="preserve"> </w:t>
      </w:r>
      <w:r w:rsidR="00D131AE" w:rsidRPr="00FD48A9">
        <w:t>per cent in the December quarter 2020</w:t>
      </w:r>
      <w:r w:rsidR="00F40D41" w:rsidRPr="00FD48A9">
        <w:t xml:space="preserve"> (Chart 2.2)</w:t>
      </w:r>
      <w:r w:rsidR="00D131AE" w:rsidRPr="00FD48A9">
        <w:t xml:space="preserve">. The rise in the measured unemployment rate over 2020 reflects a forecast rise in labour force participation, as </w:t>
      </w:r>
      <w:r w:rsidR="00D131AE" w:rsidRPr="00FD48A9">
        <w:lastRenderedPageBreak/>
        <w:t xml:space="preserve">people who left the labour </w:t>
      </w:r>
      <w:r w:rsidR="000B35E4" w:rsidRPr="00FD48A9">
        <w:t xml:space="preserve">market </w:t>
      </w:r>
      <w:proofErr w:type="gramStart"/>
      <w:r w:rsidR="00D131AE" w:rsidRPr="00FD48A9">
        <w:t>are drawn back</w:t>
      </w:r>
      <w:r w:rsidR="005A6525" w:rsidRPr="00FD48A9">
        <w:t xml:space="preserve"> in</w:t>
      </w:r>
      <w:proofErr w:type="gramEnd"/>
      <w:r w:rsidR="00D131AE" w:rsidRPr="00FD48A9">
        <w:t xml:space="preserve"> </w:t>
      </w:r>
      <w:r w:rsidR="005A6525" w:rsidRPr="00FD48A9">
        <w:t>as they</w:t>
      </w:r>
      <w:r w:rsidR="000B35E4" w:rsidRPr="00FD48A9">
        <w:t xml:space="preserve"> </w:t>
      </w:r>
      <w:r w:rsidR="00D131AE" w:rsidRPr="00FD48A9">
        <w:t xml:space="preserve">look for work. </w:t>
      </w:r>
      <w:r w:rsidR="004A612A" w:rsidRPr="00FD48A9">
        <w:t>The e</w:t>
      </w:r>
      <w:r w:rsidR="00D131AE" w:rsidRPr="00FD48A9">
        <w:t>ffective unemployment</w:t>
      </w:r>
      <w:r w:rsidR="004A612A" w:rsidRPr="00FD48A9">
        <w:t xml:space="preserve"> rate</w:t>
      </w:r>
      <w:r w:rsidR="00D131AE" w:rsidRPr="00FD48A9">
        <w:t xml:space="preserve"> should continue to</w:t>
      </w:r>
      <w:r w:rsidR="004E3ABE" w:rsidRPr="00FD48A9">
        <w:t xml:space="preserve"> fall (Box </w:t>
      </w:r>
      <w:r w:rsidR="00291220" w:rsidRPr="00FD48A9">
        <w:t>2.</w:t>
      </w:r>
      <w:r w:rsidR="004E3ABE" w:rsidRPr="00FD48A9">
        <w:t>3)</w:t>
      </w:r>
      <w:r w:rsidR="00D131AE" w:rsidRPr="00FD48A9">
        <w:t xml:space="preserve"> and employment </w:t>
      </w:r>
      <w:proofErr w:type="gramStart"/>
      <w:r w:rsidR="00D131AE" w:rsidRPr="00FD48A9">
        <w:t>is expected</w:t>
      </w:r>
      <w:proofErr w:type="gramEnd"/>
      <w:r w:rsidR="00D131AE" w:rsidRPr="00FD48A9">
        <w:t xml:space="preserve"> to </w:t>
      </w:r>
      <w:r w:rsidR="00541E33" w:rsidRPr="00FD48A9">
        <w:t>pick</w:t>
      </w:r>
      <w:r w:rsidR="004A612A" w:rsidRPr="00FD48A9">
        <w:t xml:space="preserve"> </w:t>
      </w:r>
      <w:r w:rsidR="00541E33" w:rsidRPr="00FD48A9">
        <w:t>up over the forecast period</w:t>
      </w:r>
      <w:r w:rsidR="00D131AE" w:rsidRPr="00FD48A9">
        <w:t xml:space="preserve">. </w:t>
      </w:r>
    </w:p>
    <w:tbl>
      <w:tblPr>
        <w:tblW w:w="5000" w:type="pct"/>
        <w:tblLook w:val="0000" w:firstRow="0" w:lastRow="0" w:firstColumn="0" w:lastColumn="0" w:noHBand="0" w:noVBand="0"/>
      </w:tblPr>
      <w:tblGrid>
        <w:gridCol w:w="3865"/>
        <w:gridCol w:w="3845"/>
      </w:tblGrid>
      <w:tr w:rsidR="000E4EAE" w:rsidRPr="00FD48A9" w14:paraId="3C0032C7" w14:textId="77777777" w:rsidTr="000E4EAE">
        <w:trPr>
          <w:cantSplit/>
          <w:trHeight w:val="323"/>
        </w:trPr>
        <w:tc>
          <w:tcPr>
            <w:tcW w:w="2507" w:type="pct"/>
          </w:tcPr>
          <w:p w14:paraId="19077584" w14:textId="629A0232" w:rsidR="000E4EAE" w:rsidRPr="00FD48A9" w:rsidRDefault="000E4EAE" w:rsidP="008F57F2">
            <w:pPr>
              <w:pStyle w:val="ChartHeading"/>
            </w:pPr>
            <w:r w:rsidRPr="00FD48A9">
              <w:t xml:space="preserve">Chart 2.1: </w:t>
            </w:r>
            <w:r>
              <w:t xml:space="preserve">Real </w:t>
            </w:r>
            <w:r w:rsidR="008F57F2">
              <w:t>GDP</w:t>
            </w:r>
          </w:p>
        </w:tc>
        <w:tc>
          <w:tcPr>
            <w:tcW w:w="2493" w:type="pct"/>
          </w:tcPr>
          <w:p w14:paraId="4E340066" w14:textId="528A57BE" w:rsidR="000E4EAE" w:rsidRPr="00FD48A9" w:rsidRDefault="000E4EAE" w:rsidP="000E4EAE">
            <w:pPr>
              <w:pStyle w:val="ChartHeading"/>
            </w:pPr>
            <w:r w:rsidRPr="00FD48A9">
              <w:t>Chart 2.2: Unemployment rate</w:t>
            </w:r>
          </w:p>
        </w:tc>
      </w:tr>
      <w:tr w:rsidR="000E4EAE" w:rsidRPr="00FD48A9" w14:paraId="6A9B7EB7" w14:textId="77777777" w:rsidTr="000E4EAE">
        <w:trPr>
          <w:cantSplit/>
          <w:trHeight w:val="323"/>
        </w:trPr>
        <w:tc>
          <w:tcPr>
            <w:tcW w:w="2507" w:type="pct"/>
          </w:tcPr>
          <w:p w14:paraId="16DDD6A5" w14:textId="6B27FF3C" w:rsidR="000E4EAE" w:rsidRPr="000E4EAE" w:rsidRDefault="00351DE0" w:rsidP="000E4EAE">
            <w:pPr>
              <w:pStyle w:val="ChartGraphic"/>
            </w:pPr>
            <w:r>
              <w:rPr>
                <w:noProof/>
              </w:rPr>
              <w:drawing>
                <wp:inline distT="0" distB="0" distL="0" distR="0" wp14:anchorId="1BEBBF78" wp14:editId="74D930EC">
                  <wp:extent cx="2304415" cy="2304415"/>
                  <wp:effectExtent l="0" t="0" r="635" b="635"/>
                  <wp:docPr id="29" name="Picture 29" descr="This chart shows the level of real GDP from June 2015 and through the forecast period from June 2020 until the end of 2020-21. It shows GDP is expected to fall sharply in the June quarter 2020 and remain below the December quarter 2019 level over the forecast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415" cy="2304415"/>
                          </a:xfrm>
                          <a:prstGeom prst="rect">
                            <a:avLst/>
                          </a:prstGeom>
                          <a:noFill/>
                        </pic:spPr>
                      </pic:pic>
                    </a:graphicData>
                  </a:graphic>
                </wp:inline>
              </w:drawing>
            </w:r>
          </w:p>
        </w:tc>
        <w:tc>
          <w:tcPr>
            <w:tcW w:w="2493" w:type="pct"/>
          </w:tcPr>
          <w:p w14:paraId="5780286B" w14:textId="0EEB1C24" w:rsidR="000E4EAE" w:rsidRPr="000E4EAE" w:rsidRDefault="00351DE0" w:rsidP="000E4EAE">
            <w:pPr>
              <w:pStyle w:val="ChartGraphic"/>
            </w:pPr>
            <w:r>
              <w:rPr>
                <w:noProof/>
              </w:rPr>
              <w:drawing>
                <wp:inline distT="0" distB="0" distL="0" distR="0" wp14:anchorId="4A454D7F" wp14:editId="476ED5C2">
                  <wp:extent cx="2304415" cy="2304415"/>
                  <wp:effectExtent l="0" t="0" r="0" b="635"/>
                  <wp:docPr id="31" name="Picture 31" descr="This chart shows the quarterly unemployment rate from June 2015 to June 2020 and the forecast unemployment rate to June 2021. This chart shows that prior to June 2020, the quarterly unemployment rate generally remained between 5 and 6 per cent. The unemployment rate sharply increases from June 2020. In the forecast period the unemployment rate is peaking at around 9 1/4 per cent in the December quarter 2020 before falling to around 8 3/4 by the June quarte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415" cy="2304415"/>
                          </a:xfrm>
                          <a:prstGeom prst="rect">
                            <a:avLst/>
                          </a:prstGeom>
                          <a:noFill/>
                        </pic:spPr>
                      </pic:pic>
                    </a:graphicData>
                  </a:graphic>
                </wp:inline>
              </w:drawing>
            </w:r>
          </w:p>
        </w:tc>
      </w:tr>
      <w:tr w:rsidR="006937A8" w:rsidRPr="00FD48A9" w14:paraId="61D07480" w14:textId="77777777" w:rsidTr="000E4EAE">
        <w:trPr>
          <w:cantSplit/>
          <w:trHeight w:val="323"/>
        </w:trPr>
        <w:tc>
          <w:tcPr>
            <w:tcW w:w="2507" w:type="pct"/>
          </w:tcPr>
          <w:p w14:paraId="60013179" w14:textId="66D7F5D3" w:rsidR="006937A8" w:rsidRPr="00FD48A9" w:rsidRDefault="009C04EA" w:rsidP="00A9224C">
            <w:pPr>
              <w:pStyle w:val="ChartGraphic"/>
              <w:jc w:val="left"/>
            </w:pPr>
            <w:r>
              <w:rPr>
                <w:rFonts w:cs="Arial"/>
                <w:sz w:val="16"/>
              </w:rPr>
              <w:fldChar w:fldCharType="begin"/>
            </w:r>
            <w:r>
              <w:rPr>
                <w:rFonts w:cs="Arial"/>
                <w:sz w:val="16"/>
              </w:rPr>
              <w:instrText xml:space="preserve"> :End:MECD_TP3 </w:instrText>
            </w:r>
            <w:r>
              <w:rPr>
                <w:rFonts w:cs="Arial"/>
                <w:sz w:val="16"/>
              </w:rPr>
              <w:fldChar w:fldCharType="end"/>
            </w:r>
            <w:r w:rsidR="00C97145" w:rsidRPr="00FD48A9">
              <w:rPr>
                <w:rFonts w:cs="Arial"/>
                <w:sz w:val="16"/>
              </w:rPr>
              <w:fldChar w:fldCharType="begin"/>
            </w:r>
            <w:r w:rsidR="00C97145" w:rsidRPr="00FD48A9">
              <w:rPr>
                <w:rFonts w:cs="Arial"/>
                <w:sz w:val="16"/>
              </w:rPr>
              <w:instrText xml:space="preserve"> :Start:MECD_TP2 </w:instrText>
            </w:r>
            <w:r w:rsidR="00C97145" w:rsidRPr="00FD48A9">
              <w:rPr>
                <w:rFonts w:cs="Arial"/>
                <w:sz w:val="16"/>
              </w:rPr>
              <w:fldChar w:fldCharType="end"/>
            </w:r>
            <w:r w:rsidR="00FB04F7" w:rsidRPr="00FD48A9">
              <w:rPr>
                <w:rFonts w:cs="Arial"/>
                <w:sz w:val="16"/>
              </w:rPr>
              <w:t xml:space="preserve">Source: ABS cat. </w:t>
            </w:r>
            <w:proofErr w:type="gramStart"/>
            <w:r w:rsidR="00FB04F7" w:rsidRPr="00FD48A9">
              <w:rPr>
                <w:rFonts w:cs="Arial"/>
                <w:sz w:val="16"/>
              </w:rPr>
              <w:t>no</w:t>
            </w:r>
            <w:proofErr w:type="gramEnd"/>
            <w:r w:rsidR="00FB04F7" w:rsidRPr="00FD48A9">
              <w:rPr>
                <w:rFonts w:cs="Arial"/>
                <w:sz w:val="16"/>
              </w:rPr>
              <w:t>. 5206.0 and Treasury</w:t>
            </w:r>
            <w:r w:rsidR="00C97145" w:rsidRPr="00FD48A9">
              <w:rPr>
                <w:rFonts w:cs="Arial"/>
                <w:sz w:val="16"/>
              </w:rPr>
              <w:fldChar w:fldCharType="begin"/>
            </w:r>
            <w:r w:rsidR="00C97145" w:rsidRPr="00FD48A9">
              <w:rPr>
                <w:rFonts w:cs="Arial"/>
                <w:sz w:val="16"/>
              </w:rPr>
              <w:instrText xml:space="preserve"> :End:MECD_TP2 </w:instrText>
            </w:r>
            <w:r w:rsidR="00C97145" w:rsidRPr="00FD48A9">
              <w:rPr>
                <w:rFonts w:cs="Arial"/>
                <w:sz w:val="16"/>
              </w:rPr>
              <w:fldChar w:fldCharType="end"/>
            </w:r>
            <w:r w:rsidR="006C0B93" w:rsidRPr="00FD48A9">
              <w:rPr>
                <w:rFonts w:cs="Arial"/>
                <w:sz w:val="16"/>
              </w:rPr>
              <w:t>.</w:t>
            </w:r>
          </w:p>
        </w:tc>
        <w:tc>
          <w:tcPr>
            <w:tcW w:w="2493" w:type="pct"/>
          </w:tcPr>
          <w:p w14:paraId="28D3D649" w14:textId="77BF99F8" w:rsidR="006937A8" w:rsidRPr="00FD48A9" w:rsidRDefault="00C97145" w:rsidP="00A9224C">
            <w:pPr>
              <w:pStyle w:val="ChartGraphic"/>
              <w:jc w:val="left"/>
              <w:rPr>
                <w:rFonts w:cs="Arial"/>
                <w:sz w:val="16"/>
              </w:rPr>
            </w:pPr>
            <w:r w:rsidRPr="00FD48A9">
              <w:rPr>
                <w:rFonts w:cs="Arial"/>
                <w:sz w:val="16"/>
              </w:rPr>
              <w:fldChar w:fldCharType="begin"/>
            </w:r>
            <w:r w:rsidRPr="00FD48A9">
              <w:rPr>
                <w:rFonts w:cs="Arial"/>
                <w:sz w:val="16"/>
              </w:rPr>
              <w:instrText xml:space="preserve"> :Start:MECD_TP3 </w:instrText>
            </w:r>
            <w:r w:rsidRPr="00FD48A9">
              <w:rPr>
                <w:rFonts w:cs="Arial"/>
                <w:sz w:val="16"/>
              </w:rPr>
              <w:fldChar w:fldCharType="end"/>
            </w:r>
            <w:r w:rsidR="00FB04F7" w:rsidRPr="009E181F">
              <w:rPr>
                <w:sz w:val="16"/>
              </w:rPr>
              <w:t xml:space="preserve">Source: ABS cat. </w:t>
            </w:r>
            <w:proofErr w:type="gramStart"/>
            <w:r w:rsidR="00FB04F7" w:rsidRPr="009E181F">
              <w:rPr>
                <w:sz w:val="16"/>
              </w:rPr>
              <w:t>no</w:t>
            </w:r>
            <w:proofErr w:type="gramEnd"/>
            <w:r w:rsidR="00FB04F7" w:rsidRPr="009E181F">
              <w:rPr>
                <w:sz w:val="16"/>
              </w:rPr>
              <w:t>. 6202.0 and Treasury</w:t>
            </w:r>
            <w:r w:rsidR="006C0B93" w:rsidRPr="00FD48A9">
              <w:rPr>
                <w:rFonts w:cs="Arial"/>
                <w:sz w:val="16"/>
              </w:rPr>
              <w:t>.</w:t>
            </w:r>
            <w:r w:rsidRPr="00FD48A9">
              <w:rPr>
                <w:rFonts w:cs="Arial"/>
                <w:sz w:val="16"/>
              </w:rPr>
              <w:fldChar w:fldCharType="begin"/>
            </w:r>
            <w:r w:rsidRPr="00FD48A9">
              <w:rPr>
                <w:rFonts w:cs="Arial"/>
                <w:sz w:val="16"/>
              </w:rPr>
              <w:instrText xml:space="preserve"> :End:MECD_TP3 </w:instrText>
            </w:r>
            <w:r w:rsidRPr="00FD48A9">
              <w:rPr>
                <w:rFonts w:cs="Arial"/>
                <w:sz w:val="16"/>
              </w:rPr>
              <w:fldChar w:fldCharType="end"/>
            </w:r>
          </w:p>
        </w:tc>
      </w:tr>
    </w:tbl>
    <w:p w14:paraId="2E3FC494" w14:textId="518F47B4" w:rsidR="00351DE0" w:rsidRPr="00FD48A9" w:rsidRDefault="00351DE0" w:rsidP="00D7654E">
      <w:pPr>
        <w:pStyle w:val="SingleParagraph"/>
      </w:pPr>
    </w:p>
    <w:p w14:paraId="412F46A9" w14:textId="03AB663F" w:rsidR="00D131AE" w:rsidRPr="00FD48A9" w:rsidRDefault="00C97145" w:rsidP="00D131AE">
      <w:r w:rsidRPr="00FD48A9">
        <w:fldChar w:fldCharType="begin"/>
      </w:r>
      <w:r w:rsidRPr="00FD48A9">
        <w:instrText xml:space="preserve"> :Start:MECD_TP2 </w:instrText>
      </w:r>
      <w:r w:rsidRPr="00FD48A9">
        <w:fldChar w:fldCharType="end"/>
      </w:r>
      <w:r w:rsidR="00D131AE" w:rsidRPr="00FD48A9">
        <w:t xml:space="preserve">Without the significant and timely policy support announced by the Government, the Australian economy would have experienced a much more severe contraction and </w:t>
      </w:r>
      <w:r w:rsidR="00DB50ED" w:rsidRPr="00FD48A9">
        <w:t xml:space="preserve">would </w:t>
      </w:r>
      <w:r w:rsidR="00AA75C9" w:rsidRPr="00FD48A9">
        <w:t xml:space="preserve">face </w:t>
      </w:r>
      <w:r w:rsidR="00D131AE" w:rsidRPr="00FD48A9">
        <w:t>a more prolonged recovery.</w:t>
      </w:r>
      <w:r w:rsidRPr="00FD48A9">
        <w:fldChar w:fldCharType="begin"/>
      </w:r>
      <w:r w:rsidRPr="00FD48A9">
        <w:instrText xml:space="preserve"> :End:MECD_TP2 </w:instrText>
      </w:r>
      <w:r w:rsidRPr="00FD48A9">
        <w:fldChar w:fldCharType="end"/>
      </w:r>
      <w:r w:rsidR="00D131AE" w:rsidRPr="00FD48A9">
        <w:t xml:space="preserve"> </w:t>
      </w:r>
      <w:r w:rsidR="00CD5E5A">
        <w:fldChar w:fldCharType="begin"/>
      </w:r>
      <w:r w:rsidR="00CD5E5A">
        <w:instrText xml:space="preserve"> :Start:BPD_JR2 </w:instrText>
      </w:r>
      <w:r w:rsidR="00CD5E5A">
        <w:fldChar w:fldCharType="end"/>
      </w:r>
      <w:r w:rsidR="009F57EA">
        <w:t>The Government’s overall</w:t>
      </w:r>
      <w:r w:rsidR="00D131AE" w:rsidRPr="00FD48A9">
        <w:t xml:space="preserve"> economic </w:t>
      </w:r>
      <w:r w:rsidR="00B967A6" w:rsidRPr="00FD48A9">
        <w:t>support</w:t>
      </w:r>
      <w:r w:rsidR="002B2459" w:rsidRPr="00FD48A9">
        <w:t xml:space="preserve">, totalling </w:t>
      </w:r>
      <w:r w:rsidR="00D131AE" w:rsidRPr="00FD48A9">
        <w:t>$</w:t>
      </w:r>
      <w:r w:rsidR="00F40D41" w:rsidRPr="00FD48A9">
        <w:t>289</w:t>
      </w:r>
      <w:r w:rsidR="00D131AE" w:rsidRPr="00FD48A9">
        <w:t xml:space="preserve"> billion,</w:t>
      </w:r>
      <w:r w:rsidR="00CD5E5A">
        <w:fldChar w:fldCharType="begin"/>
      </w:r>
      <w:r w:rsidR="00CD5E5A">
        <w:instrText xml:space="preserve"> :End:BPD_JR2 </w:instrText>
      </w:r>
      <w:r w:rsidR="00CD5E5A">
        <w:fldChar w:fldCharType="end"/>
      </w:r>
      <w:r w:rsidR="00D131AE" w:rsidRPr="00FD48A9">
        <w:t xml:space="preserve"> </w:t>
      </w:r>
      <w:r w:rsidR="00CD5E5A">
        <w:fldChar w:fldCharType="begin"/>
      </w:r>
      <w:r w:rsidR="00CD5E5A">
        <w:instrText xml:space="preserve"> :Start:MECD_TP4 </w:instrText>
      </w:r>
      <w:r w:rsidR="00CD5E5A">
        <w:fldChar w:fldCharType="end"/>
      </w:r>
      <w:r w:rsidR="009F57EA">
        <w:t>is</w:t>
      </w:r>
      <w:r w:rsidR="00D131AE" w:rsidRPr="00FD48A9">
        <w:t xml:space="preserve"> support</w:t>
      </w:r>
      <w:r w:rsidR="00B0495C">
        <w:t>ing</w:t>
      </w:r>
      <w:r w:rsidR="00D131AE" w:rsidRPr="00FD48A9">
        <w:t xml:space="preserve"> economic activity through a range of</w:t>
      </w:r>
      <w:r w:rsidR="00D7654E" w:rsidRPr="00FD48A9">
        <w:t> </w:t>
      </w:r>
      <w:r w:rsidR="00D131AE" w:rsidRPr="00FD48A9">
        <w:t xml:space="preserve">channels. </w:t>
      </w:r>
      <w:r w:rsidR="00CD5E5A">
        <w:fldChar w:fldCharType="begin"/>
      </w:r>
      <w:r w:rsidR="00CD5E5A">
        <w:instrText xml:space="preserve"> :End:MECD_TP4 </w:instrText>
      </w:r>
      <w:r w:rsidR="00CD5E5A">
        <w:fldChar w:fldCharType="end"/>
      </w:r>
    </w:p>
    <w:p w14:paraId="4DB6891A" w14:textId="4F69DFA4" w:rsidR="00D131AE" w:rsidRPr="00FD48A9" w:rsidRDefault="0096283E" w:rsidP="00D131AE">
      <w:r w:rsidRPr="00FD48A9">
        <w:fldChar w:fldCharType="begin"/>
      </w:r>
      <w:r w:rsidRPr="00FD48A9">
        <w:instrText xml:space="preserve"> :Start:MECD_TP4 </w:instrText>
      </w:r>
      <w:r w:rsidRPr="00FD48A9">
        <w:fldChar w:fldCharType="end"/>
      </w:r>
      <w:r w:rsidR="00D131AE" w:rsidRPr="00FD48A9">
        <w:t xml:space="preserve">Measures such as cash payments to support household and business incomes directly </w:t>
      </w:r>
      <w:r w:rsidR="00BA6DE7">
        <w:t>support</w:t>
      </w:r>
      <w:r w:rsidR="00BA6DE7" w:rsidRPr="00FD48A9">
        <w:t xml:space="preserve"> </w:t>
      </w:r>
      <w:r w:rsidR="00D131AE" w:rsidRPr="00FD48A9">
        <w:t xml:space="preserve">demand in the economy. </w:t>
      </w:r>
      <w:r w:rsidRPr="00FD48A9">
        <w:fldChar w:fldCharType="begin"/>
      </w:r>
      <w:r w:rsidRPr="00FD48A9">
        <w:instrText xml:space="preserve"> :End:MECD_TP4 </w:instrText>
      </w:r>
      <w:r w:rsidRPr="00FD48A9">
        <w:fldChar w:fldCharType="end"/>
      </w:r>
      <w:r w:rsidR="008B1F3A" w:rsidRPr="00FD48A9">
        <w:fldChar w:fldCharType="begin"/>
      </w:r>
      <w:r w:rsidR="008B1F3A" w:rsidRPr="00FD48A9">
        <w:instrText xml:space="preserve"> :Start:JKD_PB1 </w:instrText>
      </w:r>
      <w:r w:rsidR="008B1F3A" w:rsidRPr="00FD48A9">
        <w:fldChar w:fldCharType="end"/>
      </w:r>
      <w:r w:rsidR="00D131AE" w:rsidRPr="00FD48A9">
        <w:t xml:space="preserve">Others, such as the </w:t>
      </w:r>
      <w:proofErr w:type="spellStart"/>
      <w:r w:rsidR="00D131AE" w:rsidRPr="00FD48A9">
        <w:t>JobKeeper</w:t>
      </w:r>
      <w:proofErr w:type="spellEnd"/>
      <w:r w:rsidR="00D131AE" w:rsidRPr="00FD48A9">
        <w:t xml:space="preserve"> Payment, support </w:t>
      </w:r>
      <w:r w:rsidR="00B967A6" w:rsidRPr="00FD48A9">
        <w:t xml:space="preserve">businesses </w:t>
      </w:r>
      <w:r w:rsidR="00D131AE" w:rsidRPr="00FD48A9">
        <w:t xml:space="preserve">and keep </w:t>
      </w:r>
      <w:r w:rsidR="00F946CC" w:rsidRPr="00FD48A9">
        <w:t>employers and employees connected</w:t>
      </w:r>
      <w:r w:rsidR="00D131AE" w:rsidRPr="00FD48A9">
        <w:t>, speeding up the pace of recovery.</w:t>
      </w:r>
      <w:r w:rsidR="008B1F3A" w:rsidRPr="00FD48A9">
        <w:fldChar w:fldCharType="begin"/>
      </w:r>
      <w:r w:rsidR="008B1F3A" w:rsidRPr="00FD48A9">
        <w:instrText xml:space="preserve"> :End:JKD_PB1 </w:instrText>
      </w:r>
      <w:r w:rsidR="008B1F3A" w:rsidRPr="00FD48A9">
        <w:fldChar w:fldCharType="end"/>
      </w:r>
      <w:r w:rsidR="00DA1F13" w:rsidRPr="00FD48A9">
        <w:t xml:space="preserve"> </w:t>
      </w:r>
      <w:r w:rsidR="00C97145" w:rsidRPr="00FD48A9">
        <w:fldChar w:fldCharType="begin"/>
      </w:r>
      <w:r w:rsidR="00C97145" w:rsidRPr="00FD48A9">
        <w:instrText xml:space="preserve"> :Start:MECD_TP4 </w:instrText>
      </w:r>
      <w:r w:rsidR="00C97145" w:rsidRPr="00FD48A9">
        <w:fldChar w:fldCharType="end"/>
      </w:r>
      <w:r w:rsidR="00DA1F13" w:rsidRPr="00FD48A9">
        <w:t>T</w:t>
      </w:r>
      <w:r w:rsidR="00D131AE" w:rsidRPr="00FD48A9">
        <w:t xml:space="preserve">he introduction of fiscal measures </w:t>
      </w:r>
      <w:r w:rsidR="00BA6DE7">
        <w:t xml:space="preserve">also </w:t>
      </w:r>
      <w:r w:rsidR="00DA1F13" w:rsidRPr="00FD48A9">
        <w:t>supported</w:t>
      </w:r>
      <w:r w:rsidR="00D131AE" w:rsidRPr="00FD48A9">
        <w:t xml:space="preserve"> consumer and business confidence. These confidence effects </w:t>
      </w:r>
      <w:proofErr w:type="gramStart"/>
      <w:r w:rsidR="00D131AE" w:rsidRPr="00FD48A9">
        <w:t>are expected</w:t>
      </w:r>
      <w:proofErr w:type="gramEnd"/>
      <w:r w:rsidR="00D131AE" w:rsidRPr="00FD48A9">
        <w:t xml:space="preserve"> to have an ongoing beneficial impact on the economy over the forecast period. </w:t>
      </w:r>
      <w:r w:rsidR="00C97145" w:rsidRPr="00FD48A9">
        <w:fldChar w:fldCharType="begin"/>
      </w:r>
      <w:r w:rsidR="00C97145" w:rsidRPr="00FD48A9">
        <w:instrText xml:space="preserve"> :End:MECD_TP4 </w:instrText>
      </w:r>
      <w:r w:rsidR="00C97145" w:rsidRPr="00FD48A9">
        <w:fldChar w:fldCharType="end"/>
      </w:r>
    </w:p>
    <w:p w14:paraId="6EB67DC3" w14:textId="68569AEE" w:rsidR="00D131AE" w:rsidRPr="00FD48A9" w:rsidRDefault="0096283E" w:rsidP="00D131AE">
      <w:r w:rsidRPr="00FD48A9">
        <w:fldChar w:fldCharType="begin"/>
      </w:r>
      <w:r w:rsidRPr="00FD48A9">
        <w:instrText xml:space="preserve"> :Start:MECD_TP2 </w:instrText>
      </w:r>
      <w:r w:rsidRPr="00FD48A9">
        <w:fldChar w:fldCharType="end"/>
      </w:r>
      <w:r w:rsidR="00451C9F" w:rsidRPr="00FD48A9">
        <w:t>Nevertheless, t</w:t>
      </w:r>
      <w:r w:rsidR="00D131AE" w:rsidRPr="00FD48A9">
        <w:t xml:space="preserve">here remains significant uncertainty around the global and domestic recovery. </w:t>
      </w:r>
      <w:r w:rsidRPr="00FD48A9">
        <w:fldChar w:fldCharType="begin"/>
      </w:r>
      <w:r w:rsidRPr="00FD48A9">
        <w:instrText xml:space="preserve"> :End:MECD_TP2 </w:instrText>
      </w:r>
      <w:r w:rsidRPr="00FD48A9">
        <w:fldChar w:fldCharType="end"/>
      </w:r>
      <w:r w:rsidRPr="00FD48A9">
        <w:fldChar w:fldCharType="begin"/>
      </w:r>
      <w:r w:rsidRPr="00FD48A9">
        <w:instrText xml:space="preserve"> :Start:MECD_TP1 </w:instrText>
      </w:r>
      <w:r w:rsidRPr="00FD48A9">
        <w:fldChar w:fldCharType="end"/>
      </w:r>
      <w:r w:rsidR="00D131AE" w:rsidRPr="00FD48A9">
        <w:t xml:space="preserve">Controlling the spread of the virus remains a significant challenge with </w:t>
      </w:r>
      <w:r w:rsidR="00FA1BB5" w:rsidRPr="00FD48A9">
        <w:t>COVID</w:t>
      </w:r>
      <w:r w:rsidR="00C77479">
        <w:noBreakHyphen/>
      </w:r>
      <w:r w:rsidR="00FA1BB5" w:rsidRPr="00FD48A9">
        <w:t>19</w:t>
      </w:r>
      <w:r w:rsidR="00D131AE" w:rsidRPr="00FD48A9">
        <w:t xml:space="preserve"> infections continuing to rise globally and, </w:t>
      </w:r>
      <w:r w:rsidRPr="00FD48A9">
        <w:fldChar w:fldCharType="begin"/>
      </w:r>
      <w:r w:rsidRPr="00FD48A9">
        <w:instrText xml:space="preserve"> :End:MECD_TP1 </w:instrText>
      </w:r>
      <w:r w:rsidRPr="00FD48A9">
        <w:fldChar w:fldCharType="end"/>
      </w:r>
      <w:r w:rsidR="009D49AA" w:rsidRPr="00FD48A9">
        <w:fldChar w:fldCharType="begin"/>
      </w:r>
      <w:r w:rsidR="009D49AA" w:rsidRPr="00FD48A9">
        <w:instrText xml:space="preserve"> :Start:MECD_TP2 </w:instrText>
      </w:r>
      <w:r w:rsidR="009D49AA" w:rsidRPr="00FD48A9">
        <w:fldChar w:fldCharType="end"/>
      </w:r>
      <w:r w:rsidR="00D131AE" w:rsidRPr="00FD48A9">
        <w:t xml:space="preserve">even where infection rates appear to </w:t>
      </w:r>
      <w:proofErr w:type="gramStart"/>
      <w:r w:rsidR="00D131AE" w:rsidRPr="00FD48A9">
        <w:t>have been controlled</w:t>
      </w:r>
      <w:proofErr w:type="gramEnd"/>
      <w:r w:rsidR="00D131AE" w:rsidRPr="00FD48A9">
        <w:t>, further outbreaks</w:t>
      </w:r>
      <w:r w:rsidR="00AA75C9" w:rsidRPr="00FD48A9">
        <w:t>,</w:t>
      </w:r>
      <w:r w:rsidR="00D131AE" w:rsidRPr="00FD48A9">
        <w:t xml:space="preserve"> </w:t>
      </w:r>
      <w:r w:rsidR="00AA75C9" w:rsidRPr="00FD48A9">
        <w:t xml:space="preserve">such as those experienced in Victoria, </w:t>
      </w:r>
      <w:r w:rsidR="00D131AE" w:rsidRPr="00FD48A9">
        <w:t>could set back recovery at any time.</w:t>
      </w:r>
      <w:r w:rsidR="009D49AA" w:rsidRPr="00FD48A9">
        <w:fldChar w:fldCharType="begin"/>
      </w:r>
      <w:r w:rsidR="009D49AA" w:rsidRPr="00FD48A9">
        <w:instrText xml:space="preserve"> :End:MECD_TP2 </w:instrText>
      </w:r>
      <w:r w:rsidR="009D49AA" w:rsidRPr="00FD48A9">
        <w:fldChar w:fldCharType="end"/>
      </w:r>
      <w:r w:rsidR="00D131AE" w:rsidRPr="00FD48A9">
        <w:t xml:space="preserve"> </w:t>
      </w:r>
      <w:r w:rsidR="009D49AA" w:rsidRPr="00FD48A9">
        <w:fldChar w:fldCharType="begin"/>
      </w:r>
      <w:r w:rsidR="009D49AA" w:rsidRPr="00FD48A9">
        <w:instrText xml:space="preserve"> :Start:MECD_TP1 </w:instrText>
      </w:r>
      <w:r w:rsidR="009D49AA" w:rsidRPr="00FD48A9">
        <w:fldChar w:fldCharType="end"/>
      </w:r>
      <w:r w:rsidR="00D131AE" w:rsidRPr="00FD48A9">
        <w:t xml:space="preserve">There are also risks to the global economic and financial architecture, including from substantial increases in public and private debt that could lead to credit tightening and financial </w:t>
      </w:r>
      <w:r w:rsidR="00D131AE" w:rsidRPr="00FD48A9">
        <w:lastRenderedPageBreak/>
        <w:t>instability. Even with successful containment domestically, weaker</w:t>
      </w:r>
      <w:r w:rsidR="00C77479">
        <w:noBreakHyphen/>
      </w:r>
      <w:r w:rsidR="00D131AE" w:rsidRPr="00FD48A9">
        <w:t>than</w:t>
      </w:r>
      <w:r w:rsidR="00C77479">
        <w:noBreakHyphen/>
      </w:r>
      <w:r w:rsidR="00D131AE" w:rsidRPr="00FD48A9">
        <w:t xml:space="preserve">expected global demand may weigh on </w:t>
      </w:r>
      <w:r w:rsidR="00EE1ACB" w:rsidRPr="00FD48A9">
        <w:t>Australia</w:t>
      </w:r>
      <w:r w:rsidR="00C77479">
        <w:t>’</w:t>
      </w:r>
      <w:r w:rsidR="00EE1ACB" w:rsidRPr="00FD48A9">
        <w:t xml:space="preserve">s </w:t>
      </w:r>
      <w:r w:rsidR="00D131AE" w:rsidRPr="00FD48A9">
        <w:t xml:space="preserve">recovery. </w:t>
      </w:r>
    </w:p>
    <w:p w14:paraId="6A03A171" w14:textId="3AD3A665" w:rsidR="00D131AE" w:rsidRPr="00FD48A9" w:rsidRDefault="009D49AA" w:rsidP="00D131AE">
      <w:r w:rsidRPr="00FD48A9">
        <w:fldChar w:fldCharType="begin"/>
      </w:r>
      <w:r w:rsidRPr="00FD48A9">
        <w:instrText xml:space="preserve"> :End:MECD_TP1 </w:instrText>
      </w:r>
      <w:r w:rsidRPr="00FD48A9">
        <w:fldChar w:fldCharType="end"/>
      </w:r>
      <w:r w:rsidRPr="00FD48A9">
        <w:fldChar w:fldCharType="begin"/>
      </w:r>
      <w:r w:rsidRPr="00FD48A9">
        <w:instrText xml:space="preserve"> :Start:MECD_TP2 </w:instrText>
      </w:r>
      <w:r w:rsidRPr="00FD48A9">
        <w:fldChar w:fldCharType="end"/>
      </w:r>
      <w:r w:rsidR="00D131AE" w:rsidRPr="00FD48A9">
        <w:t>The extent of any longer</w:t>
      </w:r>
      <w:r w:rsidR="00C77479">
        <w:noBreakHyphen/>
      </w:r>
      <w:r w:rsidR="00D131AE" w:rsidRPr="00FD48A9">
        <w:t xml:space="preserve">lasting effects from this crisis are also highly uncertain, particularly from the impact of persistently high unemployment or broader changes in the structure of the economy, such as a rise in online consumption and </w:t>
      </w:r>
      <w:r w:rsidR="00AA75C9" w:rsidRPr="00FD48A9">
        <w:t xml:space="preserve">ongoing </w:t>
      </w:r>
      <w:r w:rsidR="00D131AE" w:rsidRPr="00FD48A9">
        <w:t>effects on global supply chains and trade flows. These uncertainties may</w:t>
      </w:r>
      <w:r w:rsidR="00D131AE" w:rsidRPr="00FD48A9" w:rsidDel="0058328E">
        <w:t xml:space="preserve"> </w:t>
      </w:r>
      <w:r w:rsidR="0058328E" w:rsidRPr="00FD48A9">
        <w:t xml:space="preserve">affect </w:t>
      </w:r>
      <w:r w:rsidR="00D131AE" w:rsidRPr="00FD48A9">
        <w:t>investor confidence, especially if business solvency issues spread</w:t>
      </w:r>
      <w:r w:rsidR="00D1048F" w:rsidRPr="00FD48A9">
        <w:t>.</w:t>
      </w:r>
      <w:r w:rsidR="00D131AE" w:rsidRPr="00FD48A9">
        <w:t xml:space="preserve"> </w:t>
      </w:r>
    </w:p>
    <w:p w14:paraId="637DB149" w14:textId="77A9BDC2" w:rsidR="0034481E" w:rsidRPr="00FD48A9" w:rsidRDefault="00F720E8" w:rsidP="00D131AE">
      <w:r w:rsidRPr="00FD48A9">
        <w:t>In light of the significant</w:t>
      </w:r>
      <w:r w:rsidR="0034481E" w:rsidRPr="00FD48A9">
        <w:t xml:space="preserve"> uncertainty, this update presents economic estimates for 2019</w:t>
      </w:r>
      <w:r w:rsidR="00C77479">
        <w:noBreakHyphen/>
      </w:r>
      <w:r w:rsidR="0034481E" w:rsidRPr="00FD48A9">
        <w:t>20 and 2020</w:t>
      </w:r>
      <w:r w:rsidR="00C77479">
        <w:noBreakHyphen/>
      </w:r>
      <w:r w:rsidR="0034481E" w:rsidRPr="00FD48A9">
        <w:t>21 only. The Government will present</w:t>
      </w:r>
      <w:r w:rsidR="008A14FD" w:rsidRPr="00FD48A9">
        <w:t xml:space="preserve"> economic forecasts</w:t>
      </w:r>
      <w:r w:rsidR="0034481E" w:rsidRPr="00FD48A9">
        <w:t xml:space="preserve"> </w:t>
      </w:r>
      <w:r w:rsidR="00E25FFB" w:rsidRPr="00FD48A9">
        <w:t xml:space="preserve">and projections </w:t>
      </w:r>
      <w:r w:rsidR="008A14FD" w:rsidRPr="00FD48A9">
        <w:t xml:space="preserve">over the forward estimates period </w:t>
      </w:r>
      <w:r w:rsidR="0034481E" w:rsidRPr="00FD48A9">
        <w:t>in the 2020</w:t>
      </w:r>
      <w:r w:rsidR="00C77479">
        <w:noBreakHyphen/>
      </w:r>
      <w:r w:rsidR="0034481E" w:rsidRPr="00FD48A9">
        <w:t>21 Budget</w:t>
      </w:r>
      <w:r w:rsidR="00F47F71" w:rsidRPr="00FD48A9">
        <w:t>,</w:t>
      </w:r>
      <w:r w:rsidR="0034481E" w:rsidRPr="00FD48A9">
        <w:t xml:space="preserve"> to </w:t>
      </w:r>
      <w:proofErr w:type="gramStart"/>
      <w:r w:rsidR="0034481E" w:rsidRPr="00FD48A9">
        <w:t>be delivered</w:t>
      </w:r>
      <w:proofErr w:type="gramEnd"/>
      <w:r w:rsidR="0034481E" w:rsidRPr="00FD48A9">
        <w:t xml:space="preserve"> on 6 October 2020.</w:t>
      </w:r>
    </w:p>
    <w:p w14:paraId="285552C7" w14:textId="04F1979D" w:rsidR="00D131AE" w:rsidRPr="00FD48A9" w:rsidRDefault="009D49AA" w:rsidP="00D131AE">
      <w:pPr>
        <w:pStyle w:val="Heading2"/>
      </w:pPr>
      <w:r w:rsidRPr="00FD48A9">
        <w:fldChar w:fldCharType="begin"/>
      </w:r>
      <w:r w:rsidRPr="00FD48A9">
        <w:instrText xml:space="preserve"> :End:MECD_TP2 </w:instrText>
      </w:r>
      <w:r w:rsidRPr="00FD48A9">
        <w:fldChar w:fldCharType="end"/>
      </w:r>
      <w:r w:rsidR="0096283E" w:rsidRPr="00FD48A9">
        <w:fldChar w:fldCharType="begin"/>
      </w:r>
      <w:r w:rsidR="0096283E" w:rsidRPr="00FD48A9">
        <w:instrText xml:space="preserve"> :Start:MECD_TP1 </w:instrText>
      </w:r>
      <w:r w:rsidR="0096283E" w:rsidRPr="00FD48A9">
        <w:fldChar w:fldCharType="end"/>
      </w:r>
      <w:r w:rsidR="00EB6328" w:rsidRPr="00FD48A9">
        <w:t>International economic outlook</w:t>
      </w:r>
    </w:p>
    <w:p w14:paraId="6C557741" w14:textId="24DA0C30" w:rsidR="00D131AE" w:rsidRPr="00FD48A9" w:rsidRDefault="00D131AE" w:rsidP="009A4EBC">
      <w:r w:rsidRPr="00FD48A9">
        <w:t xml:space="preserve">The global </w:t>
      </w:r>
      <w:r w:rsidR="00FA1BB5" w:rsidRPr="00FD48A9">
        <w:t>COVID</w:t>
      </w:r>
      <w:r w:rsidR="00C77479">
        <w:noBreakHyphen/>
      </w:r>
      <w:r w:rsidR="00FA1BB5" w:rsidRPr="00FD48A9">
        <w:t>19</w:t>
      </w:r>
      <w:r w:rsidRPr="00FD48A9">
        <w:t xml:space="preserve"> pandemic is </w:t>
      </w:r>
      <w:proofErr w:type="gramStart"/>
      <w:r w:rsidRPr="00FD48A9">
        <w:t>a</w:t>
      </w:r>
      <w:proofErr w:type="gramEnd"/>
      <w:r w:rsidRPr="00FD48A9">
        <w:t xml:space="preserve"> once</w:t>
      </w:r>
      <w:r w:rsidR="00C77479">
        <w:noBreakHyphen/>
      </w:r>
      <w:r w:rsidRPr="00FD48A9">
        <w:t>in</w:t>
      </w:r>
      <w:r w:rsidR="00C77479">
        <w:noBreakHyphen/>
      </w:r>
      <w:r w:rsidRPr="00FD48A9">
        <w:t>a</w:t>
      </w:r>
      <w:r w:rsidR="00C77479">
        <w:noBreakHyphen/>
      </w:r>
      <w:r w:rsidR="00DB6031">
        <w:t>century</w:t>
      </w:r>
      <w:r w:rsidR="00A1630C" w:rsidRPr="00FD48A9">
        <w:t xml:space="preserve"> </w:t>
      </w:r>
      <w:r w:rsidRPr="00FD48A9">
        <w:t>shock. It is placing immense pressure on health systems and economies all around the world.</w:t>
      </w:r>
    </w:p>
    <w:p w14:paraId="25CCE616" w14:textId="3E7F4900" w:rsidR="00D131AE" w:rsidRPr="00FD48A9" w:rsidRDefault="00D131AE" w:rsidP="00D131AE">
      <w:r w:rsidRPr="00FD48A9">
        <w:t>The introduction of containment measures to limit the spread of the virus ha</w:t>
      </w:r>
      <w:r w:rsidR="00BD1D63" w:rsidRPr="00FD48A9">
        <w:t>s</w:t>
      </w:r>
      <w:r w:rsidRPr="00FD48A9">
        <w:t xml:space="preserve"> helped</w:t>
      </w:r>
      <w:r w:rsidR="009A2232" w:rsidRPr="00FD48A9">
        <w:t xml:space="preserve"> slow the growth </w:t>
      </w:r>
      <w:r w:rsidR="00DB50ED" w:rsidRPr="00FD48A9">
        <w:t xml:space="preserve">in </w:t>
      </w:r>
      <w:r w:rsidRPr="00FD48A9">
        <w:t>infection</w:t>
      </w:r>
      <w:r w:rsidR="00DB50ED" w:rsidRPr="00FD48A9">
        <w:t>s</w:t>
      </w:r>
      <w:r w:rsidRPr="00FD48A9">
        <w:t xml:space="preserve"> in many economies, but </w:t>
      </w:r>
      <w:r w:rsidR="00DB50ED" w:rsidRPr="00FD48A9">
        <w:t>has</w:t>
      </w:r>
      <w:r w:rsidRPr="00FD48A9">
        <w:t xml:space="preserve"> resulted in major economic contractions in the March and June quarters of 2020. The global economy </w:t>
      </w:r>
      <w:proofErr w:type="gramStart"/>
      <w:r w:rsidRPr="00FD48A9">
        <w:t>is forecast</w:t>
      </w:r>
      <w:proofErr w:type="gramEnd"/>
      <w:r w:rsidRPr="00FD48A9">
        <w:t xml:space="preserve"> to contract by </w:t>
      </w:r>
      <w:r w:rsidR="00413DFA" w:rsidRPr="00FD48A9">
        <w:t>4</w:t>
      </w:r>
      <w:r w:rsidR="00BD59C2" w:rsidRPr="00FD48A9">
        <w:t xml:space="preserve">¾ </w:t>
      </w:r>
      <w:r w:rsidRPr="00FD48A9">
        <w:t xml:space="preserve">per cent in 2020, a much deeper and more widespread contraction than experienced during the GFC. A fall in global economic activity of this magnitude </w:t>
      </w:r>
      <w:proofErr w:type="gramStart"/>
      <w:r w:rsidRPr="00FD48A9">
        <w:t>has not been seen</w:t>
      </w:r>
      <w:proofErr w:type="gramEnd"/>
      <w:r w:rsidRPr="00FD48A9">
        <w:t xml:space="preserve"> since the Great Depression</w:t>
      </w:r>
      <w:r w:rsidR="00CF0E74" w:rsidRPr="00FD48A9">
        <w:t xml:space="preserve"> in the 1930s</w:t>
      </w:r>
      <w:r w:rsidRPr="00FD48A9">
        <w:t>.</w:t>
      </w:r>
    </w:p>
    <w:p w14:paraId="40A39C01" w14:textId="4022BC97" w:rsidR="00D131AE" w:rsidRPr="00FD48A9" w:rsidRDefault="00D131AE" w:rsidP="00D131AE">
      <w:r w:rsidRPr="00FD48A9">
        <w:t xml:space="preserve">A recovery in activity </w:t>
      </w:r>
      <w:proofErr w:type="gramStart"/>
      <w:r w:rsidRPr="00FD48A9">
        <w:t>is expected</w:t>
      </w:r>
      <w:proofErr w:type="gramEnd"/>
      <w:r w:rsidRPr="00FD48A9">
        <w:t xml:space="preserve"> in 2021 as countries </w:t>
      </w:r>
      <w:r w:rsidR="00DB50ED" w:rsidRPr="00FD48A9">
        <w:t>ease</w:t>
      </w:r>
      <w:r w:rsidR="00DB70A9" w:rsidRPr="00FD48A9">
        <w:t xml:space="preserve"> </w:t>
      </w:r>
      <w:r w:rsidRPr="00FD48A9">
        <w:t xml:space="preserve">containment measures and the operation of businesses starts to normalise, with global growth forecast to be </w:t>
      </w:r>
      <w:r w:rsidR="00B413C4" w:rsidRPr="00FD48A9">
        <w:t>5</w:t>
      </w:r>
      <w:r w:rsidRPr="00FD48A9">
        <w:t> per</w:t>
      </w:r>
      <w:r w:rsidR="00CC144B">
        <w:t> </w:t>
      </w:r>
      <w:r w:rsidRPr="00FD48A9">
        <w:t xml:space="preserve">cent. However, the recovery </w:t>
      </w:r>
      <w:proofErr w:type="gramStart"/>
      <w:r w:rsidRPr="00FD48A9">
        <w:t>is expected to be protracted</w:t>
      </w:r>
      <w:proofErr w:type="gramEnd"/>
      <w:r w:rsidR="004C3A02" w:rsidRPr="00FD48A9">
        <w:t xml:space="preserve">. With the virus expected to continue to remain a threat for the </w:t>
      </w:r>
      <w:proofErr w:type="gramStart"/>
      <w:r w:rsidR="004C3A02" w:rsidRPr="00FD48A9">
        <w:t>foreseeable</w:t>
      </w:r>
      <w:proofErr w:type="gramEnd"/>
      <w:r w:rsidR="004C3A02" w:rsidRPr="00FD48A9">
        <w:t xml:space="preserve"> future</w:t>
      </w:r>
      <w:r w:rsidRPr="00FD48A9">
        <w:t xml:space="preserve">, mobility and </w:t>
      </w:r>
      <w:r w:rsidR="00A1630C" w:rsidRPr="00FD48A9">
        <w:t xml:space="preserve">physical </w:t>
      </w:r>
      <w:r w:rsidRPr="00FD48A9">
        <w:t xml:space="preserve">distancing restrictions </w:t>
      </w:r>
      <w:r w:rsidR="004C3A02" w:rsidRPr="00FD48A9">
        <w:t xml:space="preserve">are expected to remain </w:t>
      </w:r>
      <w:r w:rsidRPr="00FD48A9">
        <w:t>in place</w:t>
      </w:r>
      <w:r w:rsidR="004C3A02" w:rsidRPr="00FD48A9">
        <w:t xml:space="preserve"> and</w:t>
      </w:r>
      <w:r w:rsidRPr="00FD48A9">
        <w:t xml:space="preserve"> </w:t>
      </w:r>
      <w:r w:rsidR="004C3A02" w:rsidRPr="00FD48A9">
        <w:t>h</w:t>
      </w:r>
      <w:r w:rsidR="000140FF" w:rsidRPr="00FD48A9">
        <w:t>ouseholds and businesses are expected to remain cautious</w:t>
      </w:r>
      <w:r w:rsidRPr="00FD48A9">
        <w:t xml:space="preserve">. </w:t>
      </w:r>
      <w:r w:rsidR="004C3A02" w:rsidRPr="00FD48A9">
        <w:t xml:space="preserve">This will flow through to slow labour market recoveries. </w:t>
      </w:r>
    </w:p>
    <w:p w14:paraId="5FA4AD2D" w14:textId="1F5673FF" w:rsidR="00D131AE" w:rsidRPr="00FD48A9" w:rsidRDefault="00D131AE" w:rsidP="00D131AE">
      <w:r w:rsidRPr="00FD48A9">
        <w:t>The size and duration of the economic effect of th</w:t>
      </w:r>
      <w:r w:rsidR="00587A17" w:rsidRPr="00FD48A9">
        <w:t xml:space="preserve">e shock will depend on the frequency of </w:t>
      </w:r>
      <w:proofErr w:type="gramStart"/>
      <w:r w:rsidR="00587A17" w:rsidRPr="00FD48A9">
        <w:t>outbreaks, how widespread they are,</w:t>
      </w:r>
      <w:r w:rsidRPr="00FD48A9">
        <w:t xml:space="preserve"> and the extent of containment measures implemented to control </w:t>
      </w:r>
      <w:r w:rsidR="00B967A6" w:rsidRPr="00FD48A9">
        <w:t>them</w:t>
      </w:r>
      <w:proofErr w:type="gramEnd"/>
      <w:r w:rsidRPr="00FD48A9">
        <w:t xml:space="preserve">. Generally, countries that have had to put in place more stringent measures to contain </w:t>
      </w:r>
      <w:r w:rsidR="00FA1BB5" w:rsidRPr="00FD48A9">
        <w:t>COVID</w:t>
      </w:r>
      <w:r w:rsidR="00C77479">
        <w:noBreakHyphen/>
      </w:r>
      <w:r w:rsidR="00FA1BB5" w:rsidRPr="00FD48A9">
        <w:t xml:space="preserve">19 </w:t>
      </w:r>
      <w:r w:rsidRPr="00FD48A9">
        <w:t>have experienced sharper immediate declines in economic activity (Chart </w:t>
      </w:r>
      <w:r w:rsidR="007B699D" w:rsidRPr="00FD48A9">
        <w:t>2.</w:t>
      </w:r>
      <w:r w:rsidR="009F44E0" w:rsidRPr="00FD48A9">
        <w:t>3</w:t>
      </w:r>
      <w:r w:rsidRPr="00FD48A9">
        <w:t>). Australia ranked middle</w:t>
      </w:r>
      <w:r w:rsidR="00C77479">
        <w:noBreakHyphen/>
      </w:r>
      <w:r w:rsidRPr="00FD48A9">
        <w:t>to</w:t>
      </w:r>
      <w:r w:rsidR="00C77479">
        <w:noBreakHyphen/>
      </w:r>
      <w:r w:rsidRPr="00FD48A9">
        <w:t>low on the stringency index and performed remarkably well economically</w:t>
      </w:r>
      <w:r w:rsidR="00BD1D63" w:rsidRPr="00FD48A9">
        <w:t xml:space="preserve"> in the March quarter</w:t>
      </w:r>
      <w:r w:rsidRPr="00FD48A9">
        <w:t xml:space="preserve">, with only a slight fall in GDP. </w:t>
      </w:r>
    </w:p>
    <w:p w14:paraId="4B9476E1" w14:textId="49D38C03" w:rsidR="00D131AE" w:rsidRPr="00FD48A9" w:rsidRDefault="00D131AE" w:rsidP="00D131AE">
      <w:r w:rsidRPr="00FD48A9">
        <w:t xml:space="preserve">With the exception of China, most major economies </w:t>
      </w:r>
      <w:proofErr w:type="gramStart"/>
      <w:r w:rsidRPr="00FD48A9">
        <w:t>are forecast</w:t>
      </w:r>
      <w:proofErr w:type="gramEnd"/>
      <w:r w:rsidRPr="00FD48A9">
        <w:t xml:space="preserve"> to contract sharply in the June quarter, consistent with the scaling up of containment measures. Countries </w:t>
      </w:r>
      <w:r w:rsidR="00FB5D29" w:rsidRPr="00FD48A9">
        <w:t>with</w:t>
      </w:r>
      <w:r w:rsidRPr="00FD48A9">
        <w:t xml:space="preserve"> </w:t>
      </w:r>
      <w:r w:rsidRPr="00FD48A9">
        <w:lastRenderedPageBreak/>
        <w:t>more success</w:t>
      </w:r>
      <w:r w:rsidR="00A12B75" w:rsidRPr="00FD48A9">
        <w:t xml:space="preserve"> in</w:t>
      </w:r>
      <w:r w:rsidRPr="00FD48A9">
        <w:t xml:space="preserve"> controlling the spread of the virus </w:t>
      </w:r>
      <w:proofErr w:type="gramStart"/>
      <w:r w:rsidRPr="00FD48A9">
        <w:t>are expected</w:t>
      </w:r>
      <w:proofErr w:type="gramEnd"/>
      <w:r w:rsidRPr="00FD48A9">
        <w:t xml:space="preserve"> to achieve better economic outcomes over the forecast period, as they avoid the more severe economic impacts of longer</w:t>
      </w:r>
      <w:r w:rsidR="00C77479">
        <w:noBreakHyphen/>
      </w:r>
      <w:r w:rsidRPr="00FD48A9">
        <w:t xml:space="preserve">term job losses, business insolvencies and heightened economic uncertainty. </w:t>
      </w:r>
    </w:p>
    <w:p w14:paraId="64A94B40" w14:textId="7AD632AC" w:rsidR="00D131AE" w:rsidRDefault="0096283E" w:rsidP="00D131AE">
      <w:pPr>
        <w:pStyle w:val="ChartHeading"/>
      </w:pPr>
      <w:r w:rsidRPr="00FD48A9">
        <w:fldChar w:fldCharType="begin"/>
      </w:r>
      <w:r w:rsidRPr="00FD48A9">
        <w:instrText xml:space="preserve"> :End:MECD_TP1 </w:instrText>
      </w:r>
      <w:r w:rsidRPr="00FD48A9">
        <w:fldChar w:fldCharType="end"/>
      </w:r>
      <w:r w:rsidRPr="00FD48A9">
        <w:fldChar w:fldCharType="begin"/>
      </w:r>
      <w:r w:rsidRPr="00FD48A9">
        <w:instrText xml:space="preserve"> :Start:MECD_TP1 </w:instrText>
      </w:r>
      <w:r w:rsidRPr="00FD48A9">
        <w:fldChar w:fldCharType="end"/>
      </w:r>
      <w:r w:rsidR="00D131AE" w:rsidRPr="00FD48A9">
        <w:t>C</w:t>
      </w:r>
      <w:r w:rsidR="00AC0C4E" w:rsidRPr="00FD48A9">
        <w:t xml:space="preserve">hart </w:t>
      </w:r>
      <w:r w:rsidR="00B04E5F" w:rsidRPr="00FD48A9">
        <w:t>2.</w:t>
      </w:r>
      <w:r w:rsidR="00AC0C4E" w:rsidRPr="00FD48A9">
        <w:t>3</w:t>
      </w:r>
      <w:r w:rsidR="00D131AE" w:rsidRPr="00FD48A9">
        <w:t>: GDP growth and stringency of containment measures</w:t>
      </w:r>
      <w:r w:rsidR="006F670D" w:rsidRPr="00FD48A9">
        <w:t xml:space="preserve"> in the March</w:t>
      </w:r>
      <w:r w:rsidR="00EB6328" w:rsidRPr="00FD48A9">
        <w:t> </w:t>
      </w:r>
      <w:r w:rsidR="006F670D" w:rsidRPr="00FD48A9">
        <w:t>quarter</w:t>
      </w:r>
      <w:r w:rsidR="003A3996" w:rsidRPr="00FD48A9">
        <w:t xml:space="preserve"> 2020</w:t>
      </w:r>
    </w:p>
    <w:p w14:paraId="0662FAA8" w14:textId="6340560B" w:rsidR="00351DE0" w:rsidRPr="00351DE0" w:rsidRDefault="00351DE0" w:rsidP="00351DE0">
      <w:pPr>
        <w:pStyle w:val="ChartGraphic"/>
      </w:pPr>
      <w:r>
        <w:rPr>
          <w:noProof/>
        </w:rPr>
        <w:drawing>
          <wp:inline distT="0" distB="0" distL="0" distR="0" wp14:anchorId="1A09D71A" wp14:editId="6FFCA484">
            <wp:extent cx="4664075" cy="2517775"/>
            <wp:effectExtent l="0" t="0" r="3175" b="0"/>
            <wp:docPr id="32" name="Picture 32" descr="This chart compares the stringency of COVID-19 containment measures and March quarter GDP outcomes for key economies. It shows that countries with more stringent containment measures in the March quarter tended to have larger falls in GDP growth in the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4075" cy="2517775"/>
                    </a:xfrm>
                    <a:prstGeom prst="rect">
                      <a:avLst/>
                    </a:prstGeom>
                    <a:noFill/>
                  </pic:spPr>
                </pic:pic>
              </a:graphicData>
            </a:graphic>
          </wp:inline>
        </w:drawing>
      </w:r>
    </w:p>
    <w:p w14:paraId="3C9D29E1" w14:textId="3EA01545" w:rsidR="00C946C5" w:rsidRPr="00FD48A9" w:rsidRDefault="00264681" w:rsidP="00161DA6">
      <w:pPr>
        <w:pStyle w:val="ChartGraphic"/>
      </w:pPr>
      <w:r w:rsidRPr="00264681">
        <w:rPr>
          <w:rFonts w:ascii="Book Antiqua" w:hAnsi="Book Antiqua"/>
          <w:noProof/>
        </w:rPr>
        <mc:AlternateContent>
          <mc:Choice Requires="wps">
            <w:drawing>
              <wp:anchor distT="0" distB="0" distL="114300" distR="114300" simplePos="0" relativeHeight="251670528" behindDoc="0" locked="0" layoutInCell="1" allowOverlap="1" wp14:anchorId="67DC1721" wp14:editId="5E520548">
                <wp:simplePos x="0" y="0"/>
                <wp:positionH relativeFrom="column">
                  <wp:posOffset>3451192</wp:posOffset>
                </wp:positionH>
                <wp:positionV relativeFrom="paragraph">
                  <wp:posOffset>2114594</wp:posOffset>
                </wp:positionV>
                <wp:extent cx="550320" cy="264278"/>
                <wp:effectExtent l="0" t="0" r="0" b="0"/>
                <wp:wrapNone/>
                <wp:docPr id="27" name="TextBox 1"/>
                <wp:cNvGraphicFramePr/>
                <a:graphic xmlns:a="http://schemas.openxmlformats.org/drawingml/2006/main">
                  <a:graphicData uri="http://schemas.microsoft.com/office/word/2010/wordprocessingShape">
                    <wps:wsp>
                      <wps:cNvSpPr txBox="1"/>
                      <wps:spPr>
                        <a:xfrm>
                          <a:off x="0" y="0"/>
                          <a:ext cx="550320" cy="264278"/>
                        </a:xfrm>
                        <a:prstGeom prst="rect">
                          <a:avLst/>
                        </a:prstGeom>
                      </wps:spPr>
                      <wps:txbx>
                        <w:txbxContent>
                          <w:p w14:paraId="5383061C" w14:textId="77777777" w:rsidR="00617E2C" w:rsidRDefault="00617E2C" w:rsidP="00264681">
                            <w:pPr>
                              <w:pStyle w:val="NormalWeb"/>
                              <w:spacing w:after="0"/>
                            </w:pPr>
                            <w:r>
                              <w:rPr>
                                <w:rFonts w:ascii="Arial" w:eastAsia="+mn-ea" w:hAnsi="Arial" w:cs="Arial"/>
                                <w:sz w:val="16"/>
                                <w:szCs w:val="16"/>
                              </w:rPr>
                              <w:t>China</w:t>
                            </w:r>
                          </w:p>
                        </w:txbxContent>
                      </wps:txbx>
                      <wps:bodyPr vertOverflow="clip" wrap="square" rtlCol="0">
                        <a:noAutofit/>
                      </wps:bodyPr>
                    </wps:wsp>
                  </a:graphicData>
                </a:graphic>
                <wp14:sizeRelV relativeFrom="margin">
                  <wp14:pctHeight>0</wp14:pctHeight>
                </wp14:sizeRelV>
              </wp:anchor>
            </w:drawing>
          </mc:Choice>
          <mc:Fallback>
            <w:pict>
              <v:shapetype w14:anchorId="67DC1721" id="_x0000_t202" coordsize="21600,21600" o:spt="202" path="m,l,21600r21600,l21600,xe">
                <v:stroke joinstyle="miter"/>
                <v:path gradientshapeok="t" o:connecttype="rect"/>
              </v:shapetype>
              <v:shape id="TextBox 1" o:spid="_x0000_s1026" type="#_x0000_t202" style="position:absolute;left:0;text-align:left;margin-left:271.75pt;margin-top:166.5pt;width:43.35pt;height:20.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" filled="f" stroked="f">
                <v:textbox>
                  <w:txbxContent>
                    <w:p w14:paraId="5383061C" w14:textId="77777777" w:rsidR="00617E2C" w:rsidRDefault="00617E2C" w:rsidP="00264681">
                      <w:pPr>
                        <w:pStyle w:val="NormalWeb"/>
                        <w:spacing w:after="0"/>
                      </w:pPr>
                      <w:r>
                        <w:rPr>
                          <w:rFonts w:ascii="Arial" w:eastAsia="+mn-ea" w:hAnsi="Arial" w:cs="Arial"/>
                          <w:sz w:val="16"/>
                          <w:szCs w:val="16"/>
                        </w:rPr>
                        <w:t>China</w:t>
                      </w:r>
                    </w:p>
                  </w:txbxContent>
                </v:textbox>
              </v:shape>
            </w:pict>
          </mc:Fallback>
        </mc:AlternateContent>
      </w:r>
      <w:r w:rsidR="00DA7556" w:rsidRPr="00DA7556">
        <w:rPr>
          <w:rFonts w:ascii="Book Antiqua" w:hAnsi="Book Antiqua"/>
          <w:noProof/>
        </w:rPr>
        <mc:AlternateContent>
          <mc:Choice Requires="wps">
            <w:drawing>
              <wp:anchor distT="0" distB="0" distL="114300" distR="114300" simplePos="0" relativeHeight="251664384" behindDoc="0" locked="0" layoutInCell="1" allowOverlap="1" wp14:anchorId="41F552BC" wp14:editId="79C111B7">
                <wp:simplePos x="0" y="0"/>
                <wp:positionH relativeFrom="column">
                  <wp:posOffset>3393051</wp:posOffset>
                </wp:positionH>
                <wp:positionV relativeFrom="paragraph">
                  <wp:posOffset>373</wp:posOffset>
                </wp:positionV>
                <wp:extent cx="1078230" cy="295991"/>
                <wp:effectExtent l="0" t="0" r="0" b="0"/>
                <wp:wrapNone/>
                <wp:docPr id="3" name="TextBox 1"/>
                <wp:cNvGraphicFramePr/>
                <a:graphic xmlns:a="http://schemas.openxmlformats.org/drawingml/2006/main">
                  <a:graphicData uri="http://schemas.microsoft.com/office/word/2010/wordprocessingShape">
                    <wps:wsp>
                      <wps:cNvSpPr txBox="1"/>
                      <wps:spPr>
                        <a:xfrm>
                          <a:off x="0" y="0"/>
                          <a:ext cx="1078230" cy="295991"/>
                        </a:xfrm>
                        <a:prstGeom prst="rect">
                          <a:avLst/>
                        </a:prstGeom>
                      </wps:spPr>
                      <wps:txbx>
                        <w:txbxContent>
                          <w:p w14:paraId="0DBE78F4" w14:textId="77777777" w:rsidR="00617E2C" w:rsidRDefault="00617E2C" w:rsidP="00DA7556">
                            <w:pPr>
                              <w:pStyle w:val="NormalWeb"/>
                              <w:spacing w:after="0"/>
                            </w:pPr>
                            <w:r>
                              <w:rPr>
                                <w:rFonts w:ascii="Arial" w:eastAsia="+mn-ea" w:hAnsi="Arial" w:cs="Arial"/>
                                <w:sz w:val="16"/>
                                <w:szCs w:val="16"/>
                              </w:rPr>
                              <w:t>GDP growth, per cent</w:t>
                            </w:r>
                          </w:p>
                        </w:txbxContent>
                      </wps:txbx>
                      <wps:bodyPr wrap="none" rtlCol="0">
                        <a:noAutofit/>
                      </wps:bodyPr>
                    </wps:wsp>
                  </a:graphicData>
                </a:graphic>
                <wp14:sizeRelV relativeFrom="margin">
                  <wp14:pctHeight>0</wp14:pctHeight>
                </wp14:sizeRelV>
              </wp:anchor>
            </w:drawing>
          </mc:Choice>
          <mc:Fallback>
            <w:pict>
              <v:shape w14:anchorId="41F552BC" id="_x0000_s1027" type="#_x0000_t202" style="position:absolute;left:0;text-align:left;margin-left:267.15pt;margin-top:.05pt;width:84.9pt;height:23.3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" filled="f" stroked="f">
                <v:textbox>
                  <w:txbxContent>
                    <w:p w14:paraId="0DBE78F4" w14:textId="77777777" w:rsidR="00617E2C" w:rsidRDefault="00617E2C" w:rsidP="00DA7556">
                      <w:pPr>
                        <w:pStyle w:val="NormalWeb"/>
                        <w:spacing w:after="0"/>
                      </w:pPr>
                      <w:r>
                        <w:rPr>
                          <w:rFonts w:ascii="Arial" w:eastAsia="+mn-ea" w:hAnsi="Arial" w:cs="Arial"/>
                          <w:sz w:val="16"/>
                          <w:szCs w:val="16"/>
                        </w:rPr>
                        <w:t>GDP growth, per cent</w:t>
                      </w:r>
                    </w:p>
                  </w:txbxContent>
                </v:textbox>
              </v:shape>
            </w:pict>
          </mc:Fallback>
        </mc:AlternateContent>
      </w:r>
      <w:r w:rsidR="00DA7556" w:rsidRPr="00DA7556">
        <w:rPr>
          <w:rFonts w:ascii="Book Antiqua" w:hAnsi="Book Antiqua"/>
          <w:noProof/>
        </w:rPr>
        <mc:AlternateContent>
          <mc:Choice Requires="wps">
            <w:drawing>
              <wp:anchor distT="0" distB="0" distL="114300" distR="114300" simplePos="0" relativeHeight="251663360" behindDoc="0" locked="0" layoutInCell="1" allowOverlap="1" wp14:anchorId="4F75556F" wp14:editId="5786D2AF">
                <wp:simplePos x="0" y="0"/>
                <wp:positionH relativeFrom="column">
                  <wp:posOffset>306290</wp:posOffset>
                </wp:positionH>
                <wp:positionV relativeFrom="paragraph">
                  <wp:posOffset>10945</wp:posOffset>
                </wp:positionV>
                <wp:extent cx="1078230" cy="258992"/>
                <wp:effectExtent l="0" t="0" r="0" b="0"/>
                <wp:wrapNone/>
                <wp:docPr id="23" name="TextBox 1"/>
                <wp:cNvGraphicFramePr/>
                <a:graphic xmlns:a="http://schemas.openxmlformats.org/drawingml/2006/main">
                  <a:graphicData uri="http://schemas.microsoft.com/office/word/2010/wordprocessingShape">
                    <wps:wsp>
                      <wps:cNvSpPr txBox="1"/>
                      <wps:spPr>
                        <a:xfrm>
                          <a:off x="0" y="0"/>
                          <a:ext cx="1078230" cy="258992"/>
                        </a:xfrm>
                        <a:prstGeom prst="rect">
                          <a:avLst/>
                        </a:prstGeom>
                      </wps:spPr>
                      <wps:txbx>
                        <w:txbxContent>
                          <w:p w14:paraId="6F8307BA" w14:textId="77777777" w:rsidR="00617E2C" w:rsidRDefault="00617E2C" w:rsidP="00DA7556">
                            <w:pPr>
                              <w:pStyle w:val="NormalWeb"/>
                              <w:spacing w:after="0"/>
                            </w:pPr>
                            <w:r>
                              <w:rPr>
                                <w:rFonts w:ascii="Arial" w:eastAsia="+mn-ea" w:hAnsi="Arial" w:cs="Arial"/>
                                <w:sz w:val="16"/>
                                <w:szCs w:val="16"/>
                              </w:rPr>
                              <w:t>GDP growth, per cent</w:t>
                            </w:r>
                          </w:p>
                        </w:txbxContent>
                      </wps:txbx>
                      <wps:bodyPr vertOverflow="clip" wrap="none" rtlCol="0">
                        <a:noAutofit/>
                      </wps:bodyPr>
                    </wps:wsp>
                  </a:graphicData>
                </a:graphic>
                <wp14:sizeRelV relativeFrom="margin">
                  <wp14:pctHeight>0</wp14:pctHeight>
                </wp14:sizeRelV>
              </wp:anchor>
            </w:drawing>
          </mc:Choice>
          <mc:Fallback>
            <w:pict>
              <v:shape w14:anchorId="4F75556F" id="_x0000_s1028" type="#_x0000_t202" style="position:absolute;left:0;text-align:left;margin-left:24.1pt;margin-top:.85pt;width:84.9pt;height:20.4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" filled="f" stroked="f">
                <v:textbox>
                  <w:txbxContent>
                    <w:p w14:paraId="6F8307BA" w14:textId="77777777" w:rsidR="00617E2C" w:rsidRDefault="00617E2C" w:rsidP="00DA7556">
                      <w:pPr>
                        <w:pStyle w:val="NormalWeb"/>
                        <w:spacing w:after="0"/>
                      </w:pPr>
                      <w:r>
                        <w:rPr>
                          <w:rFonts w:ascii="Arial" w:eastAsia="+mn-ea" w:hAnsi="Arial" w:cs="Arial"/>
                          <w:sz w:val="16"/>
                          <w:szCs w:val="16"/>
                        </w:rPr>
                        <w:t>GDP growth, per cent</w:t>
                      </w:r>
                    </w:p>
                  </w:txbxContent>
                </v:textbox>
              </v:shape>
            </w:pict>
          </mc:Fallback>
        </mc:AlternateContent>
      </w:r>
      <w:r w:rsidR="00DA7556" w:rsidRPr="00DA7556">
        <w:rPr>
          <w:rFonts w:ascii="Book Antiqua" w:hAnsi="Book Antiqua"/>
          <w:noProof/>
        </w:rPr>
        <mc:AlternateContent>
          <mc:Choice Requires="wps">
            <w:drawing>
              <wp:anchor distT="0" distB="0" distL="114300" distR="114300" simplePos="0" relativeHeight="251668480" behindDoc="0" locked="0" layoutInCell="1" allowOverlap="1" wp14:anchorId="151B5D38" wp14:editId="0C36D71B">
                <wp:simplePos x="0" y="0"/>
                <wp:positionH relativeFrom="column">
                  <wp:posOffset>676551</wp:posOffset>
                </wp:positionH>
                <wp:positionV relativeFrom="paragraph">
                  <wp:posOffset>766405</wp:posOffset>
                </wp:positionV>
                <wp:extent cx="336550" cy="211231"/>
                <wp:effectExtent l="0" t="0" r="0" b="0"/>
                <wp:wrapNone/>
                <wp:docPr id="26" name="TextBox 2"/>
                <wp:cNvGraphicFramePr/>
                <a:graphic xmlns:a="http://schemas.openxmlformats.org/drawingml/2006/main">
                  <a:graphicData uri="http://schemas.microsoft.com/office/word/2010/wordprocessingShape">
                    <wps:wsp>
                      <wps:cNvSpPr txBox="1"/>
                      <wps:spPr>
                        <a:xfrm>
                          <a:off x="0" y="0"/>
                          <a:ext cx="336550" cy="211231"/>
                        </a:xfrm>
                        <a:prstGeom prst="rect">
                          <a:avLst/>
                        </a:prstGeom>
                      </wps:spPr>
                      <wps:txbx>
                        <w:txbxContent>
                          <w:p w14:paraId="3895F29D" w14:textId="77777777" w:rsidR="00617E2C" w:rsidRDefault="00617E2C" w:rsidP="00DA7556">
                            <w:pPr>
                              <w:pStyle w:val="NormalWeb"/>
                              <w:spacing w:after="0"/>
                            </w:pPr>
                            <w:r>
                              <w:rPr>
                                <w:rFonts w:ascii="Arial" w:eastAsia="+mn-ea" w:hAnsi="Arial" w:cs="Arial"/>
                                <w:sz w:val="16"/>
                                <w:szCs w:val="16"/>
                              </w:rPr>
                              <w:t>Canada</w:t>
                            </w:r>
                          </w:p>
                        </w:txbxContent>
                      </wps:txbx>
                      <wps:bodyPr vertOverflow="clip" wrap="none" rtlCol="0">
                        <a:noAutofit/>
                      </wps:bodyPr>
                    </wps:wsp>
                  </a:graphicData>
                </a:graphic>
                <wp14:sizeRelV relativeFrom="margin">
                  <wp14:pctHeight>0</wp14:pctHeight>
                </wp14:sizeRelV>
              </wp:anchor>
            </w:drawing>
          </mc:Choice>
          <mc:Fallback>
            <w:pict>
              <v:shape w14:anchorId="151B5D38" id="TextBox 2" o:spid="_x0000_s1029" type="#_x0000_t202" style="position:absolute;left:0;text-align:left;margin-left:53.25pt;margin-top:60.35pt;width:26.5pt;height:16.6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" filled="f" stroked="f">
                <v:textbox>
                  <w:txbxContent>
                    <w:p w14:paraId="3895F29D" w14:textId="77777777" w:rsidR="00617E2C" w:rsidRDefault="00617E2C" w:rsidP="00DA7556">
                      <w:pPr>
                        <w:pStyle w:val="NormalWeb"/>
                        <w:spacing w:after="0"/>
                      </w:pPr>
                      <w:r>
                        <w:rPr>
                          <w:rFonts w:ascii="Arial" w:eastAsia="+mn-ea" w:hAnsi="Arial" w:cs="Arial"/>
                          <w:sz w:val="16"/>
                          <w:szCs w:val="16"/>
                        </w:rPr>
                        <w:t>Canada</w:t>
                      </w:r>
                    </w:p>
                  </w:txbxContent>
                </v:textbox>
              </v:shape>
            </w:pict>
          </mc:Fallback>
        </mc:AlternateContent>
      </w:r>
      <w:r w:rsidR="00DA7556" w:rsidRPr="00DA7556">
        <w:rPr>
          <w:rFonts w:ascii="Book Antiqua" w:hAnsi="Book Antiqua"/>
          <w:noProof/>
        </w:rPr>
        <mc:AlternateContent>
          <mc:Choice Requires="wps">
            <w:drawing>
              <wp:anchor distT="0" distB="0" distL="114300" distR="114300" simplePos="0" relativeHeight="251665408" behindDoc="0" locked="0" layoutInCell="1" allowOverlap="1" wp14:anchorId="22D9D959" wp14:editId="7C518507">
                <wp:simplePos x="0" y="0"/>
                <wp:positionH relativeFrom="column">
                  <wp:posOffset>1240155</wp:posOffset>
                </wp:positionH>
                <wp:positionV relativeFrom="paragraph">
                  <wp:posOffset>928091</wp:posOffset>
                </wp:positionV>
                <wp:extent cx="597535" cy="224155"/>
                <wp:effectExtent l="0" t="0" r="0" b="0"/>
                <wp:wrapNone/>
                <wp:docPr id="24" name="TextBox 2"/>
                <wp:cNvGraphicFramePr/>
                <a:graphic xmlns:a="http://schemas.openxmlformats.org/drawingml/2006/main">
                  <a:graphicData uri="http://schemas.microsoft.com/office/word/2010/wordprocessingShape">
                    <wps:wsp>
                      <wps:cNvSpPr txBox="1"/>
                      <wps:spPr>
                        <a:xfrm>
                          <a:off x="0" y="0"/>
                          <a:ext cx="597535" cy="224155"/>
                        </a:xfrm>
                        <a:prstGeom prst="rect">
                          <a:avLst/>
                        </a:prstGeom>
                      </wps:spPr>
                      <wps:txbx>
                        <w:txbxContent>
                          <w:p w14:paraId="408EB5E7" w14:textId="77777777" w:rsidR="00617E2C" w:rsidRDefault="00617E2C" w:rsidP="00DA7556">
                            <w:pPr>
                              <w:pStyle w:val="NormalWeb"/>
                              <w:spacing w:after="0"/>
                            </w:pPr>
                            <w:r>
                              <w:rPr>
                                <w:rFonts w:ascii="Arial" w:eastAsia="+mn-ea" w:hAnsi="Arial" w:cs="Arial"/>
                                <w:sz w:val="16"/>
                                <w:szCs w:val="16"/>
                              </w:rPr>
                              <w:t>Germany</w:t>
                            </w:r>
                          </w:p>
                        </w:txbxContent>
                      </wps:txbx>
                      <wps:bodyPr vertOverflow="clip" wrap="none" rtlCol="0"/>
                    </wps:wsp>
                  </a:graphicData>
                </a:graphic>
              </wp:anchor>
            </w:drawing>
          </mc:Choice>
          <mc:Fallback>
            <w:pict>
              <v:shape w14:anchorId="22D9D959" id="_x0000_s1030" type="#_x0000_t202" style="position:absolute;left:0;text-align:left;margin-left:97.65pt;margin-top:73.1pt;width:47.05pt;height:17.6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" filled="f" stroked="f">
                <v:textbox>
                  <w:txbxContent>
                    <w:p w14:paraId="408EB5E7" w14:textId="77777777" w:rsidR="00617E2C" w:rsidRDefault="00617E2C" w:rsidP="00DA7556">
                      <w:pPr>
                        <w:pStyle w:val="NormalWeb"/>
                        <w:spacing w:after="0"/>
                      </w:pPr>
                      <w:r>
                        <w:rPr>
                          <w:rFonts w:ascii="Arial" w:eastAsia="+mn-ea" w:hAnsi="Arial" w:cs="Arial"/>
                          <w:sz w:val="16"/>
                          <w:szCs w:val="16"/>
                        </w:rPr>
                        <w:t>Germany</w:t>
                      </w:r>
                    </w:p>
                  </w:txbxContent>
                </v:textbox>
              </v:shape>
            </w:pict>
          </mc:Fallback>
        </mc:AlternateContent>
      </w:r>
      <w:r w:rsidR="00DA7556" w:rsidRPr="00DA7556">
        <w:rPr>
          <w:rFonts w:ascii="Book Antiqua" w:hAnsi="Book Antiqua"/>
          <w:noProof/>
        </w:rPr>
        <mc:AlternateContent>
          <mc:Choice Requires="wps">
            <w:drawing>
              <wp:anchor distT="0" distB="0" distL="114300" distR="114300" simplePos="0" relativeHeight="251666432" behindDoc="0" locked="0" layoutInCell="1" allowOverlap="1" wp14:anchorId="6E5F0D05" wp14:editId="67536014">
                <wp:simplePos x="0" y="0"/>
                <wp:positionH relativeFrom="column">
                  <wp:posOffset>982345</wp:posOffset>
                </wp:positionH>
                <wp:positionV relativeFrom="paragraph">
                  <wp:posOffset>349195</wp:posOffset>
                </wp:positionV>
                <wp:extent cx="375285" cy="211422"/>
                <wp:effectExtent l="0" t="0" r="0" b="0"/>
                <wp:wrapNone/>
                <wp:docPr id="25" name="TextBox 2"/>
                <wp:cNvGraphicFramePr/>
                <a:graphic xmlns:a="http://schemas.openxmlformats.org/drawingml/2006/main">
                  <a:graphicData uri="http://schemas.microsoft.com/office/word/2010/wordprocessingShape">
                    <wps:wsp>
                      <wps:cNvSpPr txBox="1"/>
                      <wps:spPr>
                        <a:xfrm>
                          <a:off x="0" y="0"/>
                          <a:ext cx="375285" cy="211422"/>
                        </a:xfrm>
                        <a:prstGeom prst="rect">
                          <a:avLst/>
                        </a:prstGeom>
                      </wps:spPr>
                      <wps:txbx>
                        <w:txbxContent>
                          <w:p w14:paraId="1CFEA4D1" w14:textId="77777777" w:rsidR="00617E2C" w:rsidRDefault="00617E2C" w:rsidP="00DA7556">
                            <w:pPr>
                              <w:pStyle w:val="NormalWeb"/>
                              <w:spacing w:after="0"/>
                            </w:pPr>
                            <w:r>
                              <w:rPr>
                                <w:rFonts w:ascii="Arial" w:eastAsia="+mn-ea" w:hAnsi="Arial" w:cs="Arial"/>
                                <w:sz w:val="16"/>
                                <w:szCs w:val="16"/>
                              </w:rPr>
                              <w:t>Australia</w:t>
                            </w:r>
                          </w:p>
                        </w:txbxContent>
                      </wps:txbx>
                      <wps:bodyPr vertOverflow="clip" wrap="none" rtlCol="0">
                        <a:noAutofit/>
                      </wps:bodyPr>
                    </wps:wsp>
                  </a:graphicData>
                </a:graphic>
                <wp14:sizeRelV relativeFrom="margin">
                  <wp14:pctHeight>0</wp14:pctHeight>
                </wp14:sizeRelV>
              </wp:anchor>
            </w:drawing>
          </mc:Choice>
          <mc:Fallback>
            <w:pict>
              <v:shape w14:anchorId="6E5F0D05" id="_x0000_s1031" type="#_x0000_t202" style="position:absolute;left:0;text-align:left;margin-left:77.35pt;margin-top:27.5pt;width:29.55pt;height:16.6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" filled="f" stroked="f">
                <v:textbox>
                  <w:txbxContent>
                    <w:p w14:paraId="1CFEA4D1" w14:textId="77777777" w:rsidR="00617E2C" w:rsidRDefault="00617E2C" w:rsidP="00DA7556">
                      <w:pPr>
                        <w:pStyle w:val="NormalWeb"/>
                        <w:spacing w:after="0"/>
                      </w:pPr>
                      <w:r>
                        <w:rPr>
                          <w:rFonts w:ascii="Arial" w:eastAsia="+mn-ea" w:hAnsi="Arial" w:cs="Arial"/>
                          <w:sz w:val="16"/>
                          <w:szCs w:val="16"/>
                        </w:rPr>
                        <w:t>Australia</w:t>
                      </w:r>
                    </w:p>
                  </w:txbxContent>
                </v:textbox>
              </v:shape>
            </w:pict>
          </mc:Fallback>
        </mc:AlternateContent>
      </w:r>
    </w:p>
    <w:p w14:paraId="0697B2D9" w14:textId="77777777" w:rsidR="00DA7556" w:rsidRDefault="00E37624" w:rsidP="003A655E">
      <w:pPr>
        <w:pStyle w:val="ChartandTableFootnote"/>
        <w:spacing w:before="120"/>
      </w:pPr>
      <w:r w:rsidRPr="00FD48A9">
        <w:t>Note: Stringency is the average score on the Oxford Stringency Ind</w:t>
      </w:r>
      <w:r w:rsidR="002964A4" w:rsidRPr="00FD48A9">
        <w:t>e</w:t>
      </w:r>
      <w:r w:rsidRPr="00FD48A9">
        <w:t>x recorded across the March quarter. The stringency index records the strictness of COVID</w:t>
      </w:r>
      <w:r w:rsidR="00C77479">
        <w:noBreakHyphen/>
      </w:r>
      <w:r w:rsidRPr="00FD48A9">
        <w:t>19 containment measures that restrict people</w:t>
      </w:r>
      <w:r w:rsidR="00C77479">
        <w:t>’</w:t>
      </w:r>
      <w:r w:rsidRPr="00FD48A9">
        <w:t>s behaviour.</w:t>
      </w:r>
    </w:p>
    <w:p w14:paraId="70596029" w14:textId="730F62AA" w:rsidR="002D4FB2" w:rsidRPr="00FD48A9" w:rsidRDefault="002D4FB2" w:rsidP="002964A4">
      <w:pPr>
        <w:pStyle w:val="Source"/>
        <w:spacing w:after="0"/>
      </w:pPr>
      <w:r w:rsidRPr="00FD48A9">
        <w:t xml:space="preserve">Source: </w:t>
      </w:r>
      <w:r w:rsidR="00E37624" w:rsidRPr="00FD48A9">
        <w:t xml:space="preserve">National statistical agencies, </w:t>
      </w:r>
      <w:proofErr w:type="spellStart"/>
      <w:r w:rsidR="00E37624" w:rsidRPr="00FD48A9">
        <w:t>Refinitiv</w:t>
      </w:r>
      <w:proofErr w:type="spellEnd"/>
      <w:r w:rsidR="00E37624" w:rsidRPr="00FD48A9">
        <w:t>, Oxford COVID</w:t>
      </w:r>
      <w:r w:rsidR="00C77479">
        <w:noBreakHyphen/>
      </w:r>
      <w:r w:rsidR="00E37624" w:rsidRPr="00FD48A9">
        <w:t xml:space="preserve">19 Response Tracker, </w:t>
      </w:r>
      <w:proofErr w:type="spellStart"/>
      <w:r w:rsidR="00E37624" w:rsidRPr="00FD48A9">
        <w:t>Blavatnik</w:t>
      </w:r>
      <w:proofErr w:type="spellEnd"/>
      <w:r w:rsidR="00E37624" w:rsidRPr="00FD48A9">
        <w:t xml:space="preserve"> School of Government</w:t>
      </w:r>
      <w:r w:rsidR="006C0B93" w:rsidRPr="00FD48A9">
        <w:t>.</w:t>
      </w:r>
    </w:p>
    <w:p w14:paraId="4DB8C0F3" w14:textId="78798E64" w:rsidR="00D131AE" w:rsidRPr="00FD48A9" w:rsidRDefault="0096283E" w:rsidP="00EB6328">
      <w:pPr>
        <w:pStyle w:val="SingleParagraph"/>
      </w:pPr>
      <w:r w:rsidRPr="00FD48A9">
        <w:fldChar w:fldCharType="begin"/>
      </w:r>
      <w:r w:rsidRPr="00FD48A9">
        <w:instrText xml:space="preserve"> :End:MECD_TP1 </w:instrText>
      </w:r>
      <w:r w:rsidRPr="00FD48A9">
        <w:fldChar w:fldCharType="end"/>
      </w:r>
    </w:p>
    <w:p w14:paraId="5FA7B6A1" w14:textId="641A6742" w:rsidR="00EB6328" w:rsidRPr="00FD48A9" w:rsidRDefault="006D7A0A" w:rsidP="00BB5639">
      <w:r w:rsidRPr="00FD48A9">
        <w:fldChar w:fldCharType="begin"/>
      </w:r>
      <w:r w:rsidRPr="00FD48A9">
        <w:instrText xml:space="preserve"> :Start:MECD_TP1 </w:instrText>
      </w:r>
      <w:r w:rsidRPr="00FD48A9">
        <w:fldChar w:fldCharType="end"/>
      </w:r>
      <w:r w:rsidR="00D131AE" w:rsidRPr="00FD48A9">
        <w:t xml:space="preserve">As health measures were being implemented across a number of economies, so too were measures to support economies. </w:t>
      </w:r>
      <w:r w:rsidR="00587A17" w:rsidRPr="00FD48A9">
        <w:t xml:space="preserve">Wage subsidy schemes have been prominent in a number of countries, reflecting the effect this crisis has had on jobs. </w:t>
      </w:r>
      <w:r w:rsidRPr="00FD48A9">
        <w:fldChar w:fldCharType="begin"/>
      </w:r>
      <w:r w:rsidRPr="00FD48A9">
        <w:instrText xml:space="preserve"> :End:MECD_TP1 </w:instrText>
      </w:r>
      <w:r w:rsidRPr="00FD48A9">
        <w:fldChar w:fldCharType="end"/>
      </w:r>
      <w:r w:rsidRPr="00FD48A9">
        <w:fldChar w:fldCharType="begin"/>
      </w:r>
      <w:r w:rsidRPr="00FD48A9">
        <w:instrText xml:space="preserve"> :Start:</w:instrText>
      </w:r>
      <w:r w:rsidR="00786318" w:rsidRPr="00FD48A9">
        <w:instrText>IPED_JH1</w:instrText>
      </w:r>
      <w:r w:rsidRPr="00FD48A9">
        <w:instrText xml:space="preserve"> </w:instrText>
      </w:r>
      <w:r w:rsidRPr="00FD48A9">
        <w:fldChar w:fldCharType="end"/>
      </w:r>
      <w:r w:rsidR="00D131AE" w:rsidRPr="00FD48A9">
        <w:t>The aggregate size of these economic packages is unprecedented, with</w:t>
      </w:r>
      <w:r w:rsidR="00D56818" w:rsidRPr="00FD48A9">
        <w:t xml:space="preserve"> the IMF estimating</w:t>
      </w:r>
      <w:r w:rsidR="00D131AE" w:rsidRPr="00FD48A9">
        <w:t xml:space="preserve"> </w:t>
      </w:r>
      <w:r w:rsidR="004A612A" w:rsidRPr="00FD48A9">
        <w:t xml:space="preserve">that </w:t>
      </w:r>
      <w:r w:rsidR="00D131AE" w:rsidRPr="00FD48A9">
        <w:t>global economic support</w:t>
      </w:r>
      <w:r w:rsidR="004A612A" w:rsidRPr="00FD48A9">
        <w:t xml:space="preserve"> to date</w:t>
      </w:r>
      <w:r w:rsidR="00D131AE" w:rsidRPr="00FD48A9">
        <w:t xml:space="preserve"> total</w:t>
      </w:r>
      <w:r w:rsidR="007F55EE" w:rsidRPr="00FD48A9">
        <w:t>s</w:t>
      </w:r>
      <w:r w:rsidR="00E050CC" w:rsidRPr="00FD48A9">
        <w:t xml:space="preserve"> almost</w:t>
      </w:r>
      <w:r w:rsidR="00D131AE" w:rsidRPr="00FD48A9">
        <w:t xml:space="preserve"> US$</w:t>
      </w:r>
      <w:r w:rsidR="005A6525" w:rsidRPr="00FD48A9">
        <w:t>11 </w:t>
      </w:r>
      <w:r w:rsidR="00D131AE" w:rsidRPr="00FD48A9">
        <w:t>trillion. Around half of these measures are direct fiscal support</w:t>
      </w:r>
      <w:r w:rsidR="00A12B75" w:rsidRPr="00FD48A9">
        <w:t xml:space="preserve">, while the other half </w:t>
      </w:r>
      <w:r w:rsidR="009522E2">
        <w:t>are</w:t>
      </w:r>
      <w:r w:rsidR="00A12B75" w:rsidRPr="00FD48A9">
        <w:t xml:space="preserve"> balance sheet measures such as loans and guarantees</w:t>
      </w:r>
      <w:r w:rsidR="00D131AE" w:rsidRPr="00FD48A9">
        <w:t xml:space="preserve">. </w:t>
      </w:r>
      <w:r w:rsidRPr="00FD48A9">
        <w:fldChar w:fldCharType="begin"/>
      </w:r>
      <w:r w:rsidRPr="00FD48A9">
        <w:instrText xml:space="preserve"> :End:</w:instrText>
      </w:r>
      <w:r w:rsidR="00786318" w:rsidRPr="00FD48A9">
        <w:instrText>IPED_JH1</w:instrText>
      </w:r>
      <w:r w:rsidRPr="00FD48A9">
        <w:instrText xml:space="preserve"> </w:instrText>
      </w:r>
      <w:r w:rsidRPr="00FD48A9">
        <w:fldChar w:fldCharType="end"/>
      </w:r>
      <w:r w:rsidR="00BC743C" w:rsidRPr="00FD48A9">
        <w:fldChar w:fldCharType="begin"/>
      </w:r>
      <w:r w:rsidR="00BC743C" w:rsidRPr="00FD48A9">
        <w:instrText xml:space="preserve"> :Start:MECD_TP1 </w:instrText>
      </w:r>
      <w:r w:rsidR="00BC743C" w:rsidRPr="00FD48A9">
        <w:fldChar w:fldCharType="end"/>
      </w:r>
      <w:r w:rsidR="00D131AE" w:rsidRPr="00FD48A9">
        <w:t xml:space="preserve">As a result, fiscal deficits </w:t>
      </w:r>
      <w:proofErr w:type="gramStart"/>
      <w:r w:rsidR="00D131AE" w:rsidRPr="00FD48A9">
        <w:t>are expected</w:t>
      </w:r>
      <w:proofErr w:type="gramEnd"/>
      <w:r w:rsidR="00D131AE" w:rsidRPr="00FD48A9">
        <w:t xml:space="preserve"> to widen significantly, averaging </w:t>
      </w:r>
      <w:r w:rsidR="00A21789" w:rsidRPr="00FD48A9">
        <w:t>almost 14</w:t>
      </w:r>
      <w:r w:rsidR="00D131AE" w:rsidRPr="00FD48A9">
        <w:t xml:space="preserve"> per cent of </w:t>
      </w:r>
      <w:r w:rsidR="00A21789" w:rsidRPr="00FD48A9">
        <w:t xml:space="preserve">global </w:t>
      </w:r>
      <w:r w:rsidR="00D131AE" w:rsidRPr="00FD48A9">
        <w:t>GDP</w:t>
      </w:r>
      <w:r w:rsidR="00064DDB" w:rsidRPr="00FD48A9">
        <w:t xml:space="preserve"> in 2020</w:t>
      </w:r>
      <w:r w:rsidR="00D131AE" w:rsidRPr="00FD48A9">
        <w:t xml:space="preserve">. </w:t>
      </w:r>
      <w:proofErr w:type="gramStart"/>
      <w:r w:rsidR="00D131AE" w:rsidRPr="00FD48A9">
        <w:t xml:space="preserve">This is </w:t>
      </w:r>
      <w:r w:rsidR="009F5BC9" w:rsidRPr="00FD48A9">
        <w:t>10</w:t>
      </w:r>
      <w:r w:rsidR="00C52CD3" w:rsidRPr="00FD48A9">
        <w:t> </w:t>
      </w:r>
      <w:r w:rsidR="00D131AE" w:rsidRPr="00FD48A9">
        <w:t xml:space="preserve">percentage points higher than in 2019 with global public debt expected to surpass </w:t>
      </w:r>
      <w:r w:rsidR="00B967A6" w:rsidRPr="00FD48A9">
        <w:t>100 </w:t>
      </w:r>
      <w:r w:rsidR="00D131AE" w:rsidRPr="00FD48A9">
        <w:t>per cent of global GDP.</w:t>
      </w:r>
      <w:proofErr w:type="gramEnd"/>
      <w:r w:rsidR="00D131AE" w:rsidRPr="00FD48A9">
        <w:t xml:space="preserve"> </w:t>
      </w:r>
      <w:r w:rsidR="00BC743C" w:rsidRPr="00FD48A9">
        <w:fldChar w:fldCharType="begin"/>
      </w:r>
      <w:r w:rsidR="00BC743C" w:rsidRPr="00FD48A9">
        <w:instrText xml:space="preserve"> :End:MECD_TP1 </w:instrText>
      </w:r>
      <w:r w:rsidR="00BC743C" w:rsidRPr="00FD48A9">
        <w:fldChar w:fldCharType="end"/>
      </w:r>
    </w:p>
    <w:p w14:paraId="6F010431" w14:textId="166ED0A8" w:rsidR="00D131AE" w:rsidRPr="00FD48A9" w:rsidRDefault="00935C75" w:rsidP="00D131AE">
      <w:r w:rsidRPr="00FD48A9">
        <w:fldChar w:fldCharType="begin"/>
      </w:r>
      <w:r w:rsidRPr="00FD48A9">
        <w:instrText xml:space="preserve"> :Start:</w:instrText>
      </w:r>
      <w:r w:rsidR="00786318" w:rsidRPr="00FD48A9">
        <w:instrText>MMPD_IB1</w:instrText>
      </w:r>
      <w:r w:rsidRPr="00FD48A9">
        <w:instrText xml:space="preserve"> </w:instrText>
      </w:r>
      <w:r w:rsidRPr="00FD48A9">
        <w:fldChar w:fldCharType="end"/>
      </w:r>
      <w:r w:rsidR="00D131AE" w:rsidRPr="00FD48A9">
        <w:t xml:space="preserve">Monetary policy is also providing support to the global economy. However, the extent of support </w:t>
      </w:r>
      <w:r w:rsidR="007A7CDC" w:rsidRPr="00FD48A9">
        <w:t>through lowering interest rates</w:t>
      </w:r>
      <w:r w:rsidR="00D131AE" w:rsidRPr="00FD48A9">
        <w:t xml:space="preserve"> has been m</w:t>
      </w:r>
      <w:r w:rsidR="004F3DF6" w:rsidRPr="00FD48A9">
        <w:t xml:space="preserve">ore limited than during the GFC (Chart </w:t>
      </w:r>
      <w:r w:rsidR="007B699D" w:rsidRPr="00FD48A9">
        <w:t>2.</w:t>
      </w:r>
      <w:r w:rsidR="00A12B75" w:rsidRPr="00FD48A9">
        <w:t>4</w:t>
      </w:r>
      <w:r w:rsidR="004F3DF6" w:rsidRPr="00FD48A9">
        <w:t xml:space="preserve">). </w:t>
      </w:r>
      <w:r w:rsidR="009300E8" w:rsidRPr="00FD48A9">
        <w:t>A</w:t>
      </w:r>
      <w:r w:rsidR="00D131AE" w:rsidRPr="00FD48A9">
        <w:t xml:space="preserve">t the height of the GFC, the US Federal Reserve reduced the federal funds rate target by over 500 basis points in </w:t>
      </w:r>
      <w:r w:rsidR="00B92306" w:rsidRPr="00FD48A9">
        <w:t xml:space="preserve">around </w:t>
      </w:r>
      <w:r w:rsidR="00D131AE" w:rsidRPr="00FD48A9">
        <w:t>18 months. In Australia, the Reserve Bank reduced the cash rate target by 425 basis points over a</w:t>
      </w:r>
      <w:r w:rsidR="00C864D8" w:rsidRPr="00FD48A9">
        <w:t>n</w:t>
      </w:r>
      <w:r w:rsidR="00D131AE" w:rsidRPr="00FD48A9">
        <w:t xml:space="preserve"> </w:t>
      </w:r>
      <w:r w:rsidR="00C864D8" w:rsidRPr="00FD48A9">
        <w:t>8</w:t>
      </w:r>
      <w:r w:rsidR="00C77479">
        <w:noBreakHyphen/>
      </w:r>
      <w:r w:rsidR="00D131AE" w:rsidRPr="00FD48A9">
        <w:t xml:space="preserve">month period. In contrast, following the </w:t>
      </w:r>
      <w:r w:rsidR="00FA1BB5" w:rsidRPr="00FD48A9">
        <w:t>COVID</w:t>
      </w:r>
      <w:r w:rsidR="00C77479">
        <w:noBreakHyphen/>
      </w:r>
      <w:r w:rsidR="00FA1BB5" w:rsidRPr="00FD48A9">
        <w:t>19 pandemic</w:t>
      </w:r>
      <w:r w:rsidR="00D131AE" w:rsidRPr="00FD48A9">
        <w:t xml:space="preserve"> the US</w:t>
      </w:r>
      <w:r w:rsidR="00A12B75" w:rsidRPr="00FD48A9">
        <w:t xml:space="preserve"> federal</w:t>
      </w:r>
      <w:r w:rsidR="00D131AE" w:rsidRPr="00FD48A9">
        <w:t xml:space="preserve"> funds </w:t>
      </w:r>
      <w:r w:rsidR="00D131AE" w:rsidRPr="00FD48A9">
        <w:lastRenderedPageBreak/>
        <w:t xml:space="preserve">rate target </w:t>
      </w:r>
      <w:proofErr w:type="gramStart"/>
      <w:r w:rsidR="00D131AE" w:rsidRPr="00FD48A9">
        <w:t>has been reduced</w:t>
      </w:r>
      <w:proofErr w:type="gramEnd"/>
      <w:r w:rsidR="00D131AE" w:rsidRPr="00FD48A9">
        <w:t xml:space="preserve"> by 1</w:t>
      </w:r>
      <w:r w:rsidR="006F40CE" w:rsidRPr="00FD48A9">
        <w:t>5</w:t>
      </w:r>
      <w:r w:rsidR="00D131AE" w:rsidRPr="00FD48A9">
        <w:t>0</w:t>
      </w:r>
      <w:r w:rsidR="00EB6328" w:rsidRPr="00FD48A9">
        <w:t> </w:t>
      </w:r>
      <w:r w:rsidR="00D131AE" w:rsidRPr="00FD48A9">
        <w:t xml:space="preserve">basis points and the Reserve Bank has reduced the cash rate target by 50 basis points, with little room to reduce interest rates further. </w:t>
      </w:r>
    </w:p>
    <w:p w14:paraId="150ABAC6" w14:textId="014E3831" w:rsidR="00D131AE" w:rsidRDefault="00AC0C4E" w:rsidP="00D131AE">
      <w:pPr>
        <w:pStyle w:val="ChartHeading"/>
      </w:pPr>
      <w:r w:rsidRPr="00FD48A9">
        <w:t xml:space="preserve">Chart </w:t>
      </w:r>
      <w:r w:rsidR="00B04E5F" w:rsidRPr="00FD48A9">
        <w:t>2.</w:t>
      </w:r>
      <w:r w:rsidR="00A12B75" w:rsidRPr="00FD48A9">
        <w:t>4</w:t>
      </w:r>
      <w:r w:rsidR="00D131AE" w:rsidRPr="00FD48A9">
        <w:t>: Conventional monetary policy support, with GFC comparison</w:t>
      </w:r>
    </w:p>
    <w:p w14:paraId="30CE5604" w14:textId="19DB91B3" w:rsidR="003A655E" w:rsidRPr="003A655E" w:rsidRDefault="003A655E" w:rsidP="003A655E">
      <w:pPr>
        <w:pStyle w:val="ChartGraphic"/>
      </w:pPr>
      <w:r>
        <w:rPr>
          <w:noProof/>
        </w:rPr>
        <w:drawing>
          <wp:inline distT="0" distB="0" distL="0" distR="0" wp14:anchorId="36477FE0" wp14:editId="5A319911">
            <wp:extent cx="4450715" cy="2573020"/>
            <wp:effectExtent l="0" t="0" r="6985" b="0"/>
            <wp:docPr id="34" name="Picture 34" descr="This chart shows the size of the reduction in monetary policy interest rates in developed economies in response to the Global Financial Crisis compared to the COVID-19 pandemic. It shows that the conventional monetary policy response to the GFC was significantly larger in each economy in comparison to the COVID-19 pandemic. For example, in the United States the policy interest rate fell 5.1 percentage points in the GFC and only 1.5 percentage points in the COVID-19 pandem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0715" cy="2573020"/>
                    </a:xfrm>
                    <a:prstGeom prst="rect">
                      <a:avLst/>
                    </a:prstGeom>
                    <a:noFill/>
                  </pic:spPr>
                </pic:pic>
              </a:graphicData>
            </a:graphic>
          </wp:inline>
        </w:drawing>
      </w:r>
    </w:p>
    <w:p w14:paraId="580B9C78" w14:textId="35A54687" w:rsidR="00FB04F7" w:rsidRPr="00FD48A9" w:rsidRDefault="00FB04F7" w:rsidP="00EB6328">
      <w:pPr>
        <w:pStyle w:val="ChartandTableFootnote"/>
      </w:pPr>
      <w:r w:rsidRPr="00FD48A9">
        <w:t xml:space="preserve">Note: </w:t>
      </w:r>
      <w:r w:rsidR="005C647C">
        <w:t>The s</w:t>
      </w:r>
      <w:r w:rsidRPr="00FD48A9">
        <w:t xml:space="preserve">ize of </w:t>
      </w:r>
      <w:r w:rsidR="005C647C">
        <w:t xml:space="preserve">the </w:t>
      </w:r>
      <w:r w:rsidRPr="00FD48A9">
        <w:t xml:space="preserve">change in policy rates for the GFC is the difference between the maximum and minimum policy rates at any point between August 2007 and January 2010. </w:t>
      </w:r>
      <w:r w:rsidR="005C647C">
        <w:t>The s</w:t>
      </w:r>
      <w:r w:rsidRPr="00FD48A9">
        <w:t xml:space="preserve">ize of </w:t>
      </w:r>
      <w:r w:rsidR="005C647C">
        <w:t xml:space="preserve">the </w:t>
      </w:r>
      <w:r w:rsidRPr="00FD48A9">
        <w:t>change in policy rates for COVID</w:t>
      </w:r>
      <w:r w:rsidR="00C77479">
        <w:noBreakHyphen/>
      </w:r>
      <w:r w:rsidR="00BC37B4" w:rsidRPr="00FD48A9">
        <w:t>19</w:t>
      </w:r>
      <w:r w:rsidRPr="00FD48A9">
        <w:t xml:space="preserve"> is the difference between policy rates between January 2020 and May 2020.</w:t>
      </w:r>
    </w:p>
    <w:p w14:paraId="507E845B" w14:textId="42C4D046" w:rsidR="00FB04F7" w:rsidRPr="00FD48A9" w:rsidRDefault="00FB04F7" w:rsidP="00EB6328">
      <w:pPr>
        <w:pStyle w:val="ChartandTableFootnote"/>
      </w:pPr>
      <w:r w:rsidRPr="00FD48A9">
        <w:t xml:space="preserve">Source: Bank </w:t>
      </w:r>
      <w:r w:rsidR="006F40CE" w:rsidRPr="00FD48A9">
        <w:t>for</w:t>
      </w:r>
      <w:r w:rsidRPr="00FD48A9">
        <w:t xml:space="preserve"> International Settlements</w:t>
      </w:r>
      <w:r w:rsidR="006C0B93" w:rsidRPr="00FD48A9">
        <w:t>.</w:t>
      </w:r>
    </w:p>
    <w:p w14:paraId="525BE543" w14:textId="40CC6FCA" w:rsidR="00B44FE0" w:rsidRPr="00FD48A9" w:rsidRDefault="00B44FE0" w:rsidP="00EB6328">
      <w:pPr>
        <w:pStyle w:val="ChartGraphic"/>
        <w:jc w:val="both"/>
      </w:pPr>
    </w:p>
    <w:p w14:paraId="7A6A33AD" w14:textId="37A9CE0C" w:rsidR="00D131AE" w:rsidRPr="00FD48A9" w:rsidRDefault="00D131AE" w:rsidP="00D131AE">
      <w:r w:rsidRPr="00FD48A9">
        <w:t xml:space="preserve">Major central banks have needed to rely more heavily on a range of unconventional monetary policy measures to support the economy. This includes negative policy rates, asset purchases of both government and private sector securities and measures to mitigate disruption in financial markets and boost bank liquidity. </w:t>
      </w:r>
    </w:p>
    <w:p w14:paraId="574D5ADF" w14:textId="13F0B08F" w:rsidR="00D131AE" w:rsidRPr="00FD48A9" w:rsidRDefault="00935C75" w:rsidP="00D131AE">
      <w:r w:rsidRPr="00FD48A9">
        <w:fldChar w:fldCharType="begin"/>
      </w:r>
      <w:r w:rsidRPr="00FD48A9">
        <w:instrText xml:space="preserve"> :End:</w:instrText>
      </w:r>
      <w:r w:rsidR="00786318" w:rsidRPr="00FD48A9">
        <w:instrText>MMPD_IB1</w:instrText>
      </w:r>
      <w:r w:rsidRPr="00FD48A9">
        <w:instrText xml:space="preserve"> </w:instrText>
      </w:r>
      <w:r w:rsidRPr="00FD48A9">
        <w:fldChar w:fldCharType="end"/>
      </w:r>
      <w:r w:rsidR="00FF727C" w:rsidRPr="00FD48A9">
        <w:fldChar w:fldCharType="begin"/>
      </w:r>
      <w:r w:rsidR="00FF727C" w:rsidRPr="00FD48A9">
        <w:instrText xml:space="preserve"> :Start:MECD_TP2 </w:instrText>
      </w:r>
      <w:r w:rsidR="00FF727C" w:rsidRPr="00FD48A9">
        <w:fldChar w:fldCharType="end"/>
      </w:r>
      <w:r w:rsidR="00D131AE" w:rsidRPr="00FD48A9">
        <w:t xml:space="preserve">Financial markets remain volatile and, while conditions have improved since late March and early April when concerns about the spread of the virus peaked, </w:t>
      </w:r>
      <w:r w:rsidR="00E17283">
        <w:t>there is a risk that global</w:t>
      </w:r>
      <w:r w:rsidR="000859E4" w:rsidRPr="00FD48A9">
        <w:t xml:space="preserve"> markets have </w:t>
      </w:r>
      <w:r w:rsidR="00E17283">
        <w:t xml:space="preserve">not </w:t>
      </w:r>
      <w:r w:rsidR="000859E4" w:rsidRPr="00FD48A9">
        <w:t xml:space="preserve">fully accounted for the economic </w:t>
      </w:r>
      <w:r w:rsidR="00FB4FD1" w:rsidRPr="00FD48A9">
        <w:t>consequences of</w:t>
      </w:r>
      <w:r w:rsidR="000859E4" w:rsidRPr="00FD48A9">
        <w:t xml:space="preserve"> the crisis, including from possible</w:t>
      </w:r>
      <w:r w:rsidR="00D131AE" w:rsidRPr="00FD48A9">
        <w:t xml:space="preserve"> solvency issues arising from the ongoing fallout in corporate earnings</w:t>
      </w:r>
      <w:r w:rsidR="00FF727C" w:rsidRPr="00FD48A9">
        <w:fldChar w:fldCharType="begin"/>
      </w:r>
      <w:r w:rsidR="00FF727C" w:rsidRPr="00FD48A9">
        <w:instrText xml:space="preserve"> :End:MECD_TP2 </w:instrText>
      </w:r>
      <w:r w:rsidR="00FF727C" w:rsidRPr="00FD48A9">
        <w:fldChar w:fldCharType="end"/>
      </w:r>
      <w:r w:rsidR="00D131AE" w:rsidRPr="00FD48A9">
        <w:t xml:space="preserve">. </w:t>
      </w:r>
    </w:p>
    <w:p w14:paraId="74C12B53" w14:textId="39303138" w:rsidR="00013CC1" w:rsidRPr="00FD48A9" w:rsidRDefault="00935C75" w:rsidP="00013CC1">
      <w:r w:rsidRPr="00FD48A9">
        <w:fldChar w:fldCharType="begin"/>
      </w:r>
      <w:r w:rsidRPr="00FD48A9">
        <w:instrText xml:space="preserve"> :Start:MECD_TP1 </w:instrText>
      </w:r>
      <w:r w:rsidRPr="00FD48A9">
        <w:fldChar w:fldCharType="end"/>
      </w:r>
      <w:r w:rsidR="00D131AE" w:rsidRPr="00FD48A9">
        <w:t>In line with the significant contraction in economic activity, global labour markets have deteriorated sharply.</w:t>
      </w:r>
      <w:r w:rsidR="00013CC1" w:rsidRPr="00FD48A9">
        <w:t xml:space="preserve"> Women, young people and low</w:t>
      </w:r>
      <w:r w:rsidR="00C77479">
        <w:noBreakHyphen/>
      </w:r>
      <w:r w:rsidR="00013CC1" w:rsidRPr="00FD48A9">
        <w:t xml:space="preserve">skilled workers </w:t>
      </w:r>
      <w:proofErr w:type="gramStart"/>
      <w:r w:rsidR="00013CC1" w:rsidRPr="00FD48A9">
        <w:t>have been disproportionately impacted</w:t>
      </w:r>
      <w:proofErr w:type="gramEnd"/>
      <w:r w:rsidR="00013CC1" w:rsidRPr="00FD48A9">
        <w:t xml:space="preserve"> as they make up a greater share of employment in the sectors most heavily affected by </w:t>
      </w:r>
      <w:r w:rsidR="009300E8" w:rsidRPr="00FD48A9">
        <w:t xml:space="preserve">containment </w:t>
      </w:r>
      <w:r w:rsidR="00013CC1" w:rsidRPr="00FD48A9">
        <w:t xml:space="preserve">measures. </w:t>
      </w:r>
    </w:p>
    <w:p w14:paraId="4DA413EC" w14:textId="046CA267" w:rsidR="00D131AE" w:rsidRPr="00FD48A9" w:rsidRDefault="00D131AE" w:rsidP="00D131AE">
      <w:r w:rsidRPr="00FD48A9">
        <w:t xml:space="preserve">In the United States, initial </w:t>
      </w:r>
      <w:r w:rsidR="00834009" w:rsidRPr="00FD48A9">
        <w:t xml:space="preserve">unemployment insurance </w:t>
      </w:r>
      <w:r w:rsidRPr="00FD48A9">
        <w:t xml:space="preserve">claims totalled </w:t>
      </w:r>
      <w:r w:rsidR="00013CC1" w:rsidRPr="00FD48A9">
        <w:t xml:space="preserve">more than </w:t>
      </w:r>
      <w:r w:rsidR="00E17283">
        <w:t>51</w:t>
      </w:r>
      <w:r w:rsidRPr="00FD48A9">
        <w:t xml:space="preserve"> million </w:t>
      </w:r>
      <w:r w:rsidR="00013CC1" w:rsidRPr="00FD48A9">
        <w:t xml:space="preserve">between </w:t>
      </w:r>
      <w:r w:rsidRPr="00FD48A9">
        <w:t>the middle of March</w:t>
      </w:r>
      <w:r w:rsidR="00013CC1" w:rsidRPr="00FD48A9">
        <w:t xml:space="preserve"> and </w:t>
      </w:r>
      <w:r w:rsidR="00757245" w:rsidRPr="00FD48A9">
        <w:t xml:space="preserve">the </w:t>
      </w:r>
      <w:r w:rsidR="00E17283">
        <w:t>middle of July</w:t>
      </w:r>
      <w:r w:rsidR="00834009" w:rsidRPr="00FD48A9">
        <w:t xml:space="preserve">, </w:t>
      </w:r>
      <w:r w:rsidR="00EF2B0D" w:rsidRPr="00FD48A9">
        <w:t>equivalent to</w:t>
      </w:r>
      <w:r w:rsidR="00013CC1" w:rsidRPr="00FD48A9">
        <w:t xml:space="preserve"> </w:t>
      </w:r>
      <w:r w:rsidR="005A6525" w:rsidRPr="00FD48A9">
        <w:t>one</w:t>
      </w:r>
      <w:r w:rsidR="00C77479">
        <w:noBreakHyphen/>
      </w:r>
      <w:r w:rsidR="00013CC1" w:rsidRPr="00FD48A9">
        <w:t>third</w:t>
      </w:r>
      <w:r w:rsidR="00EF2B0D" w:rsidRPr="00FD48A9">
        <w:t xml:space="preserve"> of </w:t>
      </w:r>
      <w:r w:rsidR="005627EC" w:rsidRPr="00FD48A9">
        <w:t>pre</w:t>
      </w:r>
      <w:r w:rsidR="00C77479">
        <w:noBreakHyphen/>
      </w:r>
      <w:r w:rsidR="005627EC" w:rsidRPr="00FD48A9">
        <w:t xml:space="preserve">crisis </w:t>
      </w:r>
      <w:r w:rsidR="00013CC1" w:rsidRPr="00FD48A9">
        <w:t>employment</w:t>
      </w:r>
      <w:r w:rsidRPr="00FD48A9">
        <w:t xml:space="preserve">. </w:t>
      </w:r>
      <w:r w:rsidR="003B7CDA" w:rsidRPr="00FD48A9">
        <w:t>Weekly new claims peaked in late March at 6.</w:t>
      </w:r>
      <w:r w:rsidR="00A81064" w:rsidRPr="00FD48A9">
        <w:t>87</w:t>
      </w:r>
      <w:r w:rsidR="00A12B75" w:rsidRPr="00FD48A9">
        <w:t> </w:t>
      </w:r>
      <w:r w:rsidR="003B7CDA" w:rsidRPr="00FD48A9">
        <w:t xml:space="preserve">million. </w:t>
      </w:r>
      <w:r w:rsidRPr="00FD48A9">
        <w:t xml:space="preserve">This compares with previous peaks of 695,000 in 1982 and 665,000 </w:t>
      </w:r>
      <w:r w:rsidR="00C42868" w:rsidRPr="00FD48A9">
        <w:t xml:space="preserve">in 2009 </w:t>
      </w:r>
      <w:r w:rsidRPr="00FD48A9">
        <w:t>during the GFC.</w:t>
      </w:r>
      <w:r w:rsidR="004A612A" w:rsidRPr="00FD48A9">
        <w:t xml:space="preserve"> </w:t>
      </w:r>
      <w:r w:rsidR="00161A2B" w:rsidRPr="00FD48A9">
        <w:t>In Europe, the ILO estimates that the decline in hours worked over the June quarter was equivalent to the loss of 44 million full</w:t>
      </w:r>
      <w:r w:rsidR="00C77479">
        <w:noBreakHyphen/>
      </w:r>
      <w:r w:rsidR="00161A2B" w:rsidRPr="00FD48A9">
        <w:t>time jobs.</w:t>
      </w:r>
    </w:p>
    <w:p w14:paraId="30889550" w14:textId="7926EF57" w:rsidR="00B56750" w:rsidRPr="00FD48A9" w:rsidRDefault="00B56750" w:rsidP="00D131AE">
      <w:r w:rsidRPr="00FD48A9">
        <w:lastRenderedPageBreak/>
        <w:t>Employment conditions have also worsened across developing and emerging markets where the impact</w:t>
      </w:r>
      <w:r w:rsidR="004A612A" w:rsidRPr="00FD48A9">
        <w:t xml:space="preserve"> of the crisis on economic activity</w:t>
      </w:r>
      <w:r w:rsidRPr="00FD48A9">
        <w:t xml:space="preserve"> </w:t>
      </w:r>
      <w:proofErr w:type="gramStart"/>
      <w:r w:rsidRPr="00FD48A9">
        <w:t>is magnified</w:t>
      </w:r>
      <w:proofErr w:type="gramEnd"/>
      <w:r w:rsidRPr="00FD48A9">
        <w:t xml:space="preserve"> by weaker </w:t>
      </w:r>
      <w:r w:rsidR="00A12B75" w:rsidRPr="00FD48A9">
        <w:t xml:space="preserve">social </w:t>
      </w:r>
      <w:r w:rsidRPr="00FD48A9">
        <w:t>safety</w:t>
      </w:r>
      <w:r w:rsidR="00C77479">
        <w:t> </w:t>
      </w:r>
      <w:r w:rsidRPr="00FD48A9">
        <w:t xml:space="preserve">nets. </w:t>
      </w:r>
    </w:p>
    <w:p w14:paraId="2A9D28B1" w14:textId="6E4E4DD8" w:rsidR="00D131AE" w:rsidRPr="00FD48A9" w:rsidRDefault="00D131AE" w:rsidP="00D131AE">
      <w:r w:rsidRPr="00FD48A9">
        <w:t>There remain a number of uncertainties for the global economic outlook.</w:t>
      </w:r>
    </w:p>
    <w:p w14:paraId="6A2ECD9D" w14:textId="2C3ED007" w:rsidR="00D131AE" w:rsidRPr="00FD48A9" w:rsidRDefault="00D131AE" w:rsidP="00D131AE">
      <w:r w:rsidRPr="00FD48A9">
        <w:t xml:space="preserve">The outlook </w:t>
      </w:r>
      <w:r w:rsidR="006F670D" w:rsidRPr="00FD48A9">
        <w:t xml:space="preserve">assumes that </w:t>
      </w:r>
      <w:r w:rsidR="00635B9B" w:rsidRPr="00FD48A9">
        <w:t xml:space="preserve">health restrictions </w:t>
      </w:r>
      <w:proofErr w:type="gramStart"/>
      <w:r w:rsidR="00635B9B" w:rsidRPr="00FD48A9">
        <w:t>are gradually lifted</w:t>
      </w:r>
      <w:proofErr w:type="gramEnd"/>
      <w:r w:rsidR="00635B9B" w:rsidRPr="00FD48A9">
        <w:t xml:space="preserve"> on average, albeit with minor periodic outbreaks</w:t>
      </w:r>
      <w:r w:rsidRPr="00FD48A9">
        <w:t xml:space="preserve">. </w:t>
      </w:r>
      <w:r w:rsidR="00635B9B" w:rsidRPr="00FD48A9">
        <w:t xml:space="preserve">However, </w:t>
      </w:r>
      <w:r w:rsidR="003F6598" w:rsidRPr="00FD48A9">
        <w:t>COVID</w:t>
      </w:r>
      <w:r w:rsidR="00C77479">
        <w:noBreakHyphen/>
      </w:r>
      <w:r w:rsidR="003F6598" w:rsidRPr="00FD48A9">
        <w:t>19</w:t>
      </w:r>
      <w:r w:rsidRPr="00FD48A9">
        <w:t xml:space="preserve"> cases continue to rise</w:t>
      </w:r>
      <w:r w:rsidR="0076720B" w:rsidRPr="00FD48A9">
        <w:t xml:space="preserve"> despite improvements in controlling transmission in many countries </w:t>
      </w:r>
      <w:r w:rsidRPr="00FD48A9">
        <w:t xml:space="preserve">and there is a risk </w:t>
      </w:r>
      <w:r w:rsidR="007A7CDC" w:rsidRPr="00FD48A9">
        <w:t xml:space="preserve">that </w:t>
      </w:r>
      <w:r w:rsidRPr="00FD48A9">
        <w:t xml:space="preserve">the pandemic may return in multiple waves over the coming period. </w:t>
      </w:r>
      <w:r w:rsidR="004A612A" w:rsidRPr="00FD48A9">
        <w:t xml:space="preserve">Renewed outbreaks in countries where cases were previously </w:t>
      </w:r>
      <w:r w:rsidR="00D1048F" w:rsidRPr="00FD48A9">
        <w:t xml:space="preserve">falling </w:t>
      </w:r>
      <w:r w:rsidR="004A612A" w:rsidRPr="00FD48A9">
        <w:t xml:space="preserve">give cause for concern, while some economies are still struggling to control infection rates, such as the United States, Brazil and Russia. </w:t>
      </w:r>
      <w:r w:rsidRPr="00FD48A9">
        <w:t xml:space="preserve">As many countries move to </w:t>
      </w:r>
      <w:r w:rsidR="00456A4C" w:rsidRPr="00FD48A9">
        <w:t xml:space="preserve">ease </w:t>
      </w:r>
      <w:r w:rsidR="00B56750" w:rsidRPr="00FD48A9">
        <w:t>containment</w:t>
      </w:r>
      <w:r w:rsidR="00AD4699" w:rsidRPr="00FD48A9">
        <w:t xml:space="preserve"> </w:t>
      </w:r>
      <w:r w:rsidRPr="00FD48A9">
        <w:t xml:space="preserve">measures, the global recovery depends on their ability to prevent further outbreaks and remain open. Severe health and economic outcomes in a range of </w:t>
      </w:r>
      <w:r w:rsidR="00D9673E">
        <w:t>countries</w:t>
      </w:r>
      <w:r w:rsidR="00D9673E" w:rsidRPr="00FD48A9">
        <w:t xml:space="preserve"> </w:t>
      </w:r>
      <w:r w:rsidRPr="00FD48A9">
        <w:t>could put pressure on the global economic and financial architecture, with implications for geopolitical stability more</w:t>
      </w:r>
      <w:r w:rsidR="00EB6328" w:rsidRPr="00FD48A9">
        <w:t> </w:t>
      </w:r>
      <w:r w:rsidRPr="00FD48A9">
        <w:t>broadly</w:t>
      </w:r>
      <w:r w:rsidR="00CA125F">
        <w:t xml:space="preserve">. </w:t>
      </w:r>
    </w:p>
    <w:p w14:paraId="2092EC89" w14:textId="3B688321" w:rsidR="00D131AE" w:rsidRPr="00FD48A9" w:rsidRDefault="00935C75" w:rsidP="00D131AE">
      <w:r w:rsidRPr="00FD48A9">
        <w:fldChar w:fldCharType="begin"/>
      </w:r>
      <w:r w:rsidRPr="00FD48A9">
        <w:instrText xml:space="preserve"> :End:MECD_TP1 </w:instrText>
      </w:r>
      <w:r w:rsidRPr="00FD48A9">
        <w:fldChar w:fldCharType="end"/>
      </w:r>
      <w:r w:rsidR="00C97145" w:rsidRPr="00FD48A9">
        <w:fldChar w:fldCharType="begin"/>
      </w:r>
      <w:r w:rsidR="00C97145" w:rsidRPr="00FD48A9">
        <w:instrText xml:space="preserve"> :Start:MECD_TP1 </w:instrText>
      </w:r>
      <w:r w:rsidR="00C97145" w:rsidRPr="00FD48A9">
        <w:fldChar w:fldCharType="end"/>
      </w:r>
      <w:r w:rsidR="00D131AE" w:rsidRPr="00FD48A9">
        <w:t>The unprecedented policy support from governments, alongside automatic stabilisers, will see a significant rise in global debt over the forecast period. There are risks that the substantial increase in global debt may lead to credit tightening and financial instability, slowing the pace of recovery.</w:t>
      </w:r>
      <w:r w:rsidR="00C97145" w:rsidRPr="00FD48A9">
        <w:fldChar w:fldCharType="begin"/>
      </w:r>
      <w:r w:rsidR="00C97145" w:rsidRPr="00FD48A9">
        <w:instrText xml:space="preserve"> :End:MECD_TP1 </w:instrText>
      </w:r>
      <w:r w:rsidR="00C97145" w:rsidRPr="00FD48A9">
        <w:fldChar w:fldCharType="end"/>
      </w:r>
    </w:p>
    <w:p w14:paraId="3F88F7D8" w14:textId="690DCC27" w:rsidR="00D131AE" w:rsidRPr="00FD48A9" w:rsidRDefault="00935C75" w:rsidP="00D131AE">
      <w:r w:rsidRPr="00FD48A9">
        <w:fldChar w:fldCharType="begin"/>
      </w:r>
      <w:r w:rsidRPr="00FD48A9">
        <w:instrText xml:space="preserve"> :Start:MECD_TP1 </w:instrText>
      </w:r>
      <w:r w:rsidRPr="00FD48A9">
        <w:fldChar w:fldCharType="end"/>
      </w:r>
      <w:r w:rsidR="00D131AE" w:rsidRPr="00FD48A9">
        <w:t xml:space="preserve">Uncertainty surrounding the </w:t>
      </w:r>
      <w:r w:rsidR="003F6598" w:rsidRPr="00FD48A9">
        <w:t>COVID</w:t>
      </w:r>
      <w:r w:rsidR="00C77479">
        <w:noBreakHyphen/>
      </w:r>
      <w:r w:rsidR="003F6598" w:rsidRPr="00FD48A9">
        <w:t>19</w:t>
      </w:r>
      <w:r w:rsidR="00D131AE" w:rsidRPr="00FD48A9">
        <w:t xml:space="preserve"> pandemic and the global recession may dampen economic sentiment more than expected, leading to weaker</w:t>
      </w:r>
      <w:r w:rsidR="00C77479">
        <w:noBreakHyphen/>
      </w:r>
      <w:r w:rsidR="00D131AE" w:rsidRPr="00FD48A9">
        <w:t>than</w:t>
      </w:r>
      <w:r w:rsidR="00C77479">
        <w:noBreakHyphen/>
      </w:r>
      <w:r w:rsidR="00D131AE" w:rsidRPr="00FD48A9">
        <w:t xml:space="preserve">expected global economic activity. This will threaten recovery even in individual economies that do succeed in normalising domestic activity. These uncertainties may also play out in financial markets through investor confidence. The current financial market optimism around the evolution of the global economy presents some risk of another correction, should investor risk </w:t>
      </w:r>
      <w:r w:rsidR="007B5472" w:rsidRPr="00FD48A9">
        <w:t>perceptions deteriorate</w:t>
      </w:r>
      <w:r w:rsidR="00D131AE" w:rsidRPr="00FD48A9">
        <w:t xml:space="preserve">. </w:t>
      </w:r>
    </w:p>
    <w:p w14:paraId="0498FC87" w14:textId="19E54FAC" w:rsidR="00D131AE" w:rsidRPr="00FD48A9" w:rsidRDefault="00D131AE" w:rsidP="00D131AE">
      <w:pPr>
        <w:rPr>
          <w:b/>
        </w:rPr>
      </w:pPr>
      <w:r w:rsidRPr="00FD48A9">
        <w:t>The extent of any longer</w:t>
      </w:r>
      <w:r w:rsidR="00C77479">
        <w:noBreakHyphen/>
      </w:r>
      <w:r w:rsidRPr="00FD48A9">
        <w:t>lasting effects</w:t>
      </w:r>
      <w:r w:rsidR="00456A4C" w:rsidRPr="00FD48A9">
        <w:t xml:space="preserve"> from the pandemic</w:t>
      </w:r>
      <w:r w:rsidRPr="00FD48A9">
        <w:t xml:space="preserve"> </w:t>
      </w:r>
      <w:r w:rsidR="000B72D5" w:rsidRPr="00FD48A9">
        <w:t xml:space="preserve">is </w:t>
      </w:r>
      <w:r w:rsidRPr="00FD48A9">
        <w:t xml:space="preserve">also uncertain, including </w:t>
      </w:r>
      <w:proofErr w:type="gramStart"/>
      <w:r w:rsidRPr="00FD48A9">
        <w:t>as a result</w:t>
      </w:r>
      <w:proofErr w:type="gramEnd"/>
      <w:r w:rsidRPr="00FD48A9">
        <w:t xml:space="preserve"> of persistently high unemployment, business failures or broader changes in the structure of the economy both domestically and </w:t>
      </w:r>
      <w:r w:rsidR="007A7CDC" w:rsidRPr="00FD48A9">
        <w:t>globally</w:t>
      </w:r>
      <w:r w:rsidRPr="00FD48A9">
        <w:t>. This economic scarring may suppress the pace of recovery.</w:t>
      </w:r>
    </w:p>
    <w:p w14:paraId="7C1C7F76" w14:textId="77777777" w:rsidR="00D131AE" w:rsidRPr="00FD48A9" w:rsidRDefault="00D131AE" w:rsidP="00D131AE">
      <w:pPr>
        <w:rPr>
          <w:rFonts w:ascii="Times New Roman" w:hAnsi="Times New Roman"/>
          <w:b/>
          <w:color w:val="70AD47" w:themeColor="accent6"/>
        </w:rPr>
      </w:pPr>
    </w:p>
    <w:p w14:paraId="6C52C973" w14:textId="2629AF34" w:rsidR="00D131AE" w:rsidRDefault="00C946C5" w:rsidP="00D131AE">
      <w:pPr>
        <w:pStyle w:val="ChartHeading"/>
      </w:pPr>
      <w:r w:rsidRPr="00FD48A9">
        <w:lastRenderedPageBreak/>
        <w:t>C</w:t>
      </w:r>
      <w:r w:rsidR="00AC0C4E" w:rsidRPr="00FD48A9">
        <w:t xml:space="preserve">hart </w:t>
      </w:r>
      <w:r w:rsidR="00B04E5F" w:rsidRPr="00FD48A9">
        <w:t>2.</w:t>
      </w:r>
      <w:r w:rsidR="00456A4C" w:rsidRPr="00FD48A9">
        <w:t>5</w:t>
      </w:r>
      <w:r w:rsidRPr="00FD48A9">
        <w:t>:</w:t>
      </w:r>
      <w:r w:rsidR="00E17283">
        <w:t xml:space="preserve"> Real</w:t>
      </w:r>
      <w:r w:rsidRPr="00FD48A9">
        <w:t xml:space="preserve"> GDP growth</w:t>
      </w:r>
    </w:p>
    <w:p w14:paraId="283332C9" w14:textId="3A567971" w:rsidR="003A655E" w:rsidRPr="003A655E" w:rsidRDefault="003A655E" w:rsidP="003A655E">
      <w:pPr>
        <w:pStyle w:val="ChartGraphic"/>
      </w:pPr>
      <w:r>
        <w:rPr>
          <w:noProof/>
        </w:rPr>
        <w:drawing>
          <wp:inline distT="0" distB="0" distL="0" distR="0" wp14:anchorId="5AE17B6C" wp14:editId="42FFF6EC">
            <wp:extent cx="4681855" cy="2548255"/>
            <wp:effectExtent l="0" t="0" r="0" b="4445"/>
            <wp:docPr id="35" name="Picture 35" descr="This chart shows forecast growth in 2020 and 2021 for selected major economies and Australia. The Australian economy is expected to contract by 3¾ per cent in 2020, followed by growth of 2½ per cent in 2021. In 2020, key global economies are forecast to contract with the exception of China. China’s GDP is forecast to grow by 1¾ per cent in 2020, followed by 8¼ per cent growth in 2021. GDP in India is expected to decline by 4 per cent in 2020, followed by 4¼ per cent growth in 2021. Japan’s GDP is forecast to contract by 6¼ per cent in 2020, followed by growth of 2¾ per cent in 2021. In the United States, GDP is expected to contract by 8 per cent in 2020, and grow by 4¾ per cent in 2021. Euro area GDP is forecast to contract by 8¾ per cent in 2020 and grow by 5 per cent in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1855" cy="2548255"/>
                    </a:xfrm>
                    <a:prstGeom prst="rect">
                      <a:avLst/>
                    </a:prstGeom>
                    <a:noFill/>
                  </pic:spPr>
                </pic:pic>
              </a:graphicData>
            </a:graphic>
          </wp:inline>
        </w:drawing>
      </w:r>
    </w:p>
    <w:p w14:paraId="121ED990" w14:textId="19F27598" w:rsidR="00FB04F7" w:rsidRPr="00FD48A9" w:rsidRDefault="00FB04F7" w:rsidP="00EB6328">
      <w:pPr>
        <w:pStyle w:val="ChartandTableFootnote"/>
      </w:pPr>
      <w:r w:rsidRPr="00FD48A9">
        <w:t xml:space="preserve">Source: </w:t>
      </w:r>
      <w:r w:rsidR="00EE5D3E">
        <w:t xml:space="preserve">National statistical agencies, </w:t>
      </w:r>
      <w:proofErr w:type="spellStart"/>
      <w:r w:rsidR="00EE5D3E">
        <w:t>Refinitv</w:t>
      </w:r>
      <w:proofErr w:type="spellEnd"/>
      <w:r w:rsidR="00EE5D3E">
        <w:t xml:space="preserve"> and Treasury</w:t>
      </w:r>
      <w:r w:rsidR="006C0B93" w:rsidRPr="00FD48A9">
        <w:t>.</w:t>
      </w:r>
    </w:p>
    <w:p w14:paraId="4451440E" w14:textId="77777777" w:rsidR="00C946C5" w:rsidRPr="00FD48A9" w:rsidRDefault="00C946C5" w:rsidP="00C946C5">
      <w:pPr>
        <w:spacing w:after="0"/>
      </w:pPr>
    </w:p>
    <w:p w14:paraId="13BF35A9" w14:textId="33E0C040" w:rsidR="00D131AE" w:rsidRPr="00FD48A9" w:rsidRDefault="00D131AE" w:rsidP="00D131AE">
      <w:r w:rsidRPr="00FD48A9">
        <w:t>All of Australia</w:t>
      </w:r>
      <w:r w:rsidR="00C77479">
        <w:t>’</w:t>
      </w:r>
      <w:r w:rsidRPr="00FD48A9">
        <w:t xml:space="preserve">s top ten trading partners, except for China, </w:t>
      </w:r>
      <w:proofErr w:type="gramStart"/>
      <w:r w:rsidRPr="00FD48A9">
        <w:t>are expected</w:t>
      </w:r>
      <w:proofErr w:type="gramEnd"/>
      <w:r w:rsidRPr="00FD48A9">
        <w:t xml:space="preserve"> to experience a contraction in GDP in 2020. Major trading partner (MTP) GDP </w:t>
      </w:r>
      <w:proofErr w:type="gramStart"/>
      <w:r w:rsidRPr="00FD48A9">
        <w:t>is expected</w:t>
      </w:r>
      <w:proofErr w:type="gramEnd"/>
      <w:r w:rsidRPr="00FD48A9">
        <w:t xml:space="preserve"> to fall by </w:t>
      </w:r>
      <w:r w:rsidR="00817FAB" w:rsidRPr="00FD48A9">
        <w:t>3</w:t>
      </w:r>
      <w:r w:rsidR="00C839D4" w:rsidRPr="00FD48A9">
        <w:t> </w:t>
      </w:r>
      <w:r w:rsidRPr="00FD48A9">
        <w:t xml:space="preserve">per cent in 2020, before rebounding by </w:t>
      </w:r>
      <w:r w:rsidR="00817FAB" w:rsidRPr="00FD48A9">
        <w:t>5½</w:t>
      </w:r>
      <w:r w:rsidRPr="00FD48A9">
        <w:t xml:space="preserve"> per cent in 2021. Compared with global growth overall, China</w:t>
      </w:r>
      <w:r w:rsidR="00C77479">
        <w:t>’</w:t>
      </w:r>
      <w:r w:rsidRPr="00FD48A9">
        <w:t>s economic performance is more important for Australia</w:t>
      </w:r>
      <w:r w:rsidR="00C77479">
        <w:t>’</w:t>
      </w:r>
      <w:r w:rsidRPr="00FD48A9">
        <w:t>s MTP growth as it accounts for approximately one</w:t>
      </w:r>
      <w:r w:rsidR="00C77479">
        <w:noBreakHyphen/>
      </w:r>
      <w:r w:rsidRPr="00FD48A9">
        <w:t>third of Australia</w:t>
      </w:r>
      <w:r w:rsidR="00C77479">
        <w:t>’</w:t>
      </w:r>
      <w:r w:rsidRPr="00FD48A9">
        <w:t>s MTP basket. With Chin</w:t>
      </w:r>
      <w:r w:rsidR="001C586F" w:rsidRPr="00FD48A9">
        <w:t>ese GDP expected to grow</w:t>
      </w:r>
      <w:r w:rsidRPr="00FD48A9">
        <w:t xml:space="preserve"> this year, </w:t>
      </w:r>
      <w:r w:rsidR="001C586F" w:rsidRPr="00FD48A9">
        <w:t xml:space="preserve">albeit modestly, </w:t>
      </w:r>
      <w:r w:rsidRPr="00FD48A9">
        <w:t>Australia</w:t>
      </w:r>
      <w:r w:rsidR="00C77479">
        <w:t>’</w:t>
      </w:r>
      <w:r w:rsidRPr="00FD48A9">
        <w:t>s external outlook remains in a better position than many other economies</w:t>
      </w:r>
      <w:r w:rsidR="005A6525" w:rsidRPr="00FD48A9">
        <w:t xml:space="preserve"> (Chart 2.5)</w:t>
      </w:r>
      <w:r w:rsidRPr="00FD48A9">
        <w:t xml:space="preserve">. </w:t>
      </w:r>
    </w:p>
    <w:p w14:paraId="4A3C8D8C" w14:textId="07BA55FB" w:rsidR="003C6D13" w:rsidRPr="00FD48A9" w:rsidRDefault="00D131AE" w:rsidP="00D16B89">
      <w:pPr>
        <w:pStyle w:val="TableHeading"/>
        <w:spacing w:after="0"/>
        <w:rPr>
          <w:rFonts w:asciiTheme="minorHAnsi" w:eastAsiaTheme="minorHAnsi" w:hAnsiTheme="minorHAnsi" w:cstheme="minorBidi"/>
          <w:sz w:val="22"/>
          <w:szCs w:val="22"/>
          <w:lang w:eastAsia="en-US"/>
        </w:rPr>
      </w:pPr>
      <w:r w:rsidRPr="00FD48A9">
        <w:t xml:space="preserve">Table </w:t>
      </w:r>
      <w:r w:rsidR="00B04E5F" w:rsidRPr="00FD48A9">
        <w:t>2.</w:t>
      </w:r>
      <w:r w:rsidR="00AC0C4E" w:rsidRPr="00FD48A9">
        <w:t>1</w:t>
      </w:r>
      <w:r w:rsidRPr="00FD48A9">
        <w:t xml:space="preserve">: International economy </w:t>
      </w:r>
      <w:proofErr w:type="gramStart"/>
      <w:r w:rsidRPr="00FD48A9">
        <w:t>forecasts</w:t>
      </w:r>
      <w:r w:rsidRPr="00FD48A9">
        <w:rPr>
          <w:rFonts w:ascii="Arial Bold" w:hAnsi="Arial Bold"/>
          <w:vertAlign w:val="superscript"/>
        </w:rPr>
        <w:t>(</w:t>
      </w:r>
      <w:proofErr w:type="gramEnd"/>
      <w:r w:rsidRPr="00FD48A9">
        <w:rPr>
          <w:rFonts w:ascii="Arial Bold" w:hAnsi="Arial Bold"/>
          <w:vertAlign w:val="superscript"/>
        </w:rPr>
        <w:t>a)</w:t>
      </w:r>
      <w:r w:rsidRPr="00FD48A9">
        <w:t xml:space="preserve"> </w:t>
      </w:r>
    </w:p>
    <w:tbl>
      <w:tblPr>
        <w:tblW w:w="5000" w:type="pct"/>
        <w:tblLook w:val="04A0" w:firstRow="1" w:lastRow="0" w:firstColumn="1" w:lastColumn="0" w:noHBand="0" w:noVBand="1"/>
      </w:tblPr>
      <w:tblGrid>
        <w:gridCol w:w="3205"/>
        <w:gridCol w:w="1564"/>
        <w:gridCol w:w="1567"/>
        <w:gridCol w:w="1374"/>
      </w:tblGrid>
      <w:tr w:rsidR="003C6D13" w:rsidRPr="00FD48A9" w14:paraId="6C826DFA" w14:textId="77777777" w:rsidTr="003C6D13">
        <w:trPr>
          <w:trHeight w:hRule="exact" w:val="255"/>
        </w:trPr>
        <w:tc>
          <w:tcPr>
            <w:tcW w:w="2079" w:type="pct"/>
            <w:tcBorders>
              <w:top w:val="single" w:sz="4" w:space="0" w:color="auto"/>
              <w:left w:val="nil"/>
              <w:bottom w:val="nil"/>
              <w:right w:val="nil"/>
            </w:tcBorders>
            <w:shd w:val="clear" w:color="000000" w:fill="FFFFFF"/>
            <w:noWrap/>
            <w:vAlign w:val="bottom"/>
            <w:hideMark/>
          </w:tcPr>
          <w:p w14:paraId="69AA6743" w14:textId="739F884B" w:rsidR="003C6D13" w:rsidRPr="00FD48A9" w:rsidRDefault="003C6D13">
            <w:pPr>
              <w:rPr>
                <w:rFonts w:ascii="Arial" w:hAnsi="Arial" w:cs="Arial"/>
                <w:color w:val="000000"/>
                <w:sz w:val="16"/>
                <w:szCs w:val="16"/>
              </w:rPr>
            </w:pPr>
            <w:r w:rsidRPr="00FD48A9">
              <w:rPr>
                <w:rFonts w:ascii="Arial" w:hAnsi="Arial" w:cs="Arial"/>
                <w:color w:val="000000"/>
                <w:sz w:val="16"/>
                <w:szCs w:val="16"/>
              </w:rPr>
              <w:t> </w:t>
            </w:r>
          </w:p>
        </w:tc>
        <w:tc>
          <w:tcPr>
            <w:tcW w:w="1014" w:type="pct"/>
            <w:tcBorders>
              <w:top w:val="single" w:sz="4" w:space="0" w:color="auto"/>
              <w:left w:val="nil"/>
              <w:bottom w:val="nil"/>
              <w:right w:val="nil"/>
            </w:tcBorders>
            <w:shd w:val="clear" w:color="000000" w:fill="FFFFFF"/>
            <w:noWrap/>
            <w:vAlign w:val="bottom"/>
            <w:hideMark/>
          </w:tcPr>
          <w:p w14:paraId="4948534D"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Outcomes</w:t>
            </w:r>
          </w:p>
        </w:tc>
        <w:tc>
          <w:tcPr>
            <w:tcW w:w="1907" w:type="pct"/>
            <w:gridSpan w:val="2"/>
            <w:tcBorders>
              <w:top w:val="single" w:sz="4" w:space="0" w:color="auto"/>
              <w:left w:val="nil"/>
              <w:bottom w:val="single" w:sz="4" w:space="0" w:color="auto"/>
              <w:right w:val="nil"/>
            </w:tcBorders>
            <w:shd w:val="clear" w:color="000000" w:fill="E6E6E6"/>
            <w:noWrap/>
            <w:vAlign w:val="bottom"/>
            <w:hideMark/>
          </w:tcPr>
          <w:p w14:paraId="76B08244" w14:textId="77777777" w:rsidR="003C6D13" w:rsidRPr="00FD48A9" w:rsidRDefault="003C6D13" w:rsidP="003C6D13">
            <w:pPr>
              <w:spacing w:after="0" w:line="240" w:lineRule="auto"/>
              <w:jc w:val="center"/>
              <w:rPr>
                <w:rFonts w:ascii="Arial" w:hAnsi="Arial" w:cs="Arial"/>
                <w:color w:val="000000"/>
                <w:sz w:val="16"/>
                <w:szCs w:val="16"/>
              </w:rPr>
            </w:pPr>
            <w:r w:rsidRPr="00FD48A9">
              <w:rPr>
                <w:rFonts w:ascii="Arial" w:hAnsi="Arial" w:cs="Arial"/>
                <w:color w:val="000000"/>
                <w:sz w:val="16"/>
                <w:szCs w:val="16"/>
              </w:rPr>
              <w:t>Forecasts</w:t>
            </w:r>
          </w:p>
        </w:tc>
      </w:tr>
      <w:tr w:rsidR="003C6D13" w:rsidRPr="00FD48A9" w14:paraId="45F85527" w14:textId="77777777" w:rsidTr="003C6D13">
        <w:trPr>
          <w:trHeight w:hRule="exact" w:val="255"/>
        </w:trPr>
        <w:tc>
          <w:tcPr>
            <w:tcW w:w="2079" w:type="pct"/>
            <w:tcBorders>
              <w:top w:val="nil"/>
              <w:left w:val="nil"/>
              <w:bottom w:val="nil"/>
              <w:right w:val="nil"/>
            </w:tcBorders>
            <w:shd w:val="clear" w:color="000000" w:fill="FFFFFF"/>
            <w:noWrap/>
            <w:vAlign w:val="bottom"/>
            <w:hideMark/>
          </w:tcPr>
          <w:p w14:paraId="62C1F2A6" w14:textId="77777777" w:rsidR="003C6D13" w:rsidRPr="00FD48A9" w:rsidRDefault="003C6D13" w:rsidP="003C6D13">
            <w:pPr>
              <w:spacing w:after="0" w:line="240" w:lineRule="auto"/>
              <w:jc w:val="left"/>
              <w:rPr>
                <w:rFonts w:ascii="Arial" w:hAnsi="Arial" w:cs="Arial"/>
                <w:color w:val="000000"/>
                <w:sz w:val="16"/>
                <w:szCs w:val="16"/>
              </w:rPr>
            </w:pPr>
            <w:r w:rsidRPr="00FD48A9">
              <w:rPr>
                <w:rFonts w:ascii="Arial" w:hAnsi="Arial" w:cs="Arial"/>
                <w:color w:val="000000"/>
                <w:sz w:val="16"/>
                <w:szCs w:val="16"/>
              </w:rPr>
              <w:t> </w:t>
            </w:r>
          </w:p>
        </w:tc>
        <w:tc>
          <w:tcPr>
            <w:tcW w:w="1014" w:type="pct"/>
            <w:tcBorders>
              <w:top w:val="single" w:sz="4" w:space="0" w:color="auto"/>
              <w:left w:val="nil"/>
              <w:bottom w:val="single" w:sz="4" w:space="0" w:color="auto"/>
              <w:right w:val="nil"/>
            </w:tcBorders>
            <w:shd w:val="clear" w:color="000000" w:fill="FFFFFF"/>
            <w:noWrap/>
            <w:vAlign w:val="bottom"/>
            <w:hideMark/>
          </w:tcPr>
          <w:p w14:paraId="4586BA9F" w14:textId="77777777"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2019</w:t>
            </w:r>
          </w:p>
        </w:tc>
        <w:tc>
          <w:tcPr>
            <w:tcW w:w="1016" w:type="pct"/>
            <w:tcBorders>
              <w:top w:val="nil"/>
              <w:left w:val="nil"/>
              <w:bottom w:val="single" w:sz="4" w:space="0" w:color="auto"/>
              <w:right w:val="nil"/>
            </w:tcBorders>
            <w:shd w:val="clear" w:color="000000" w:fill="E6E6E6"/>
            <w:noWrap/>
            <w:vAlign w:val="bottom"/>
            <w:hideMark/>
          </w:tcPr>
          <w:p w14:paraId="5CB24A50" w14:textId="77777777"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2020</w:t>
            </w:r>
          </w:p>
        </w:tc>
        <w:tc>
          <w:tcPr>
            <w:tcW w:w="892" w:type="pct"/>
            <w:tcBorders>
              <w:top w:val="nil"/>
              <w:left w:val="nil"/>
              <w:bottom w:val="single" w:sz="4" w:space="0" w:color="auto"/>
              <w:right w:val="nil"/>
            </w:tcBorders>
            <w:shd w:val="clear" w:color="000000" w:fill="E6E6E6"/>
            <w:noWrap/>
            <w:vAlign w:val="bottom"/>
            <w:hideMark/>
          </w:tcPr>
          <w:p w14:paraId="3ED9D620" w14:textId="77777777"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2021</w:t>
            </w:r>
          </w:p>
        </w:tc>
      </w:tr>
      <w:tr w:rsidR="003C6D13" w:rsidRPr="00FD48A9" w14:paraId="5AF1830B" w14:textId="77777777" w:rsidTr="003C6D13">
        <w:trPr>
          <w:trHeight w:hRule="exact" w:val="255"/>
        </w:trPr>
        <w:tc>
          <w:tcPr>
            <w:tcW w:w="2079" w:type="pct"/>
            <w:tcBorders>
              <w:top w:val="nil"/>
              <w:left w:val="nil"/>
              <w:bottom w:val="nil"/>
              <w:right w:val="nil"/>
            </w:tcBorders>
            <w:shd w:val="clear" w:color="000000" w:fill="FFFFFF"/>
            <w:noWrap/>
            <w:vAlign w:val="bottom"/>
            <w:hideMark/>
          </w:tcPr>
          <w:p w14:paraId="62E7969A" w14:textId="77777777" w:rsidR="003C6D13" w:rsidRPr="00FD48A9" w:rsidRDefault="003C6D13" w:rsidP="003C6D13">
            <w:pPr>
              <w:spacing w:after="0" w:line="240" w:lineRule="auto"/>
              <w:jc w:val="left"/>
              <w:rPr>
                <w:rFonts w:ascii="Arial" w:hAnsi="Arial" w:cs="Arial"/>
                <w:color w:val="000000"/>
                <w:sz w:val="16"/>
                <w:szCs w:val="16"/>
              </w:rPr>
            </w:pPr>
            <w:r w:rsidRPr="00FD48A9">
              <w:rPr>
                <w:rFonts w:ascii="Arial" w:hAnsi="Arial" w:cs="Arial"/>
                <w:color w:val="000000"/>
                <w:sz w:val="16"/>
                <w:szCs w:val="16"/>
              </w:rPr>
              <w:t>China</w:t>
            </w:r>
          </w:p>
        </w:tc>
        <w:tc>
          <w:tcPr>
            <w:tcW w:w="1014" w:type="pct"/>
            <w:tcBorders>
              <w:top w:val="nil"/>
              <w:left w:val="nil"/>
              <w:bottom w:val="nil"/>
              <w:right w:val="nil"/>
            </w:tcBorders>
            <w:shd w:val="clear" w:color="000000" w:fill="FFFFFF"/>
            <w:noWrap/>
            <w:vAlign w:val="center"/>
            <w:hideMark/>
          </w:tcPr>
          <w:p w14:paraId="69897F30" w14:textId="77777777"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6.1</w:t>
            </w:r>
          </w:p>
        </w:tc>
        <w:tc>
          <w:tcPr>
            <w:tcW w:w="1016" w:type="pct"/>
            <w:tcBorders>
              <w:top w:val="nil"/>
              <w:left w:val="nil"/>
              <w:bottom w:val="nil"/>
              <w:right w:val="nil"/>
            </w:tcBorders>
            <w:shd w:val="clear" w:color="000000" w:fill="E6E6E6"/>
            <w:noWrap/>
            <w:vAlign w:val="center"/>
            <w:hideMark/>
          </w:tcPr>
          <w:p w14:paraId="5AE14E32" w14:textId="77777777"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1 3/4</w:t>
            </w:r>
          </w:p>
        </w:tc>
        <w:tc>
          <w:tcPr>
            <w:tcW w:w="892" w:type="pct"/>
            <w:tcBorders>
              <w:top w:val="nil"/>
              <w:left w:val="nil"/>
              <w:bottom w:val="nil"/>
              <w:right w:val="nil"/>
            </w:tcBorders>
            <w:shd w:val="clear" w:color="000000" w:fill="E6E6E6"/>
            <w:noWrap/>
            <w:vAlign w:val="center"/>
            <w:hideMark/>
          </w:tcPr>
          <w:p w14:paraId="1081B460" w14:textId="77777777"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8 1/4</w:t>
            </w:r>
          </w:p>
        </w:tc>
      </w:tr>
      <w:tr w:rsidR="003C6D13" w:rsidRPr="00FD48A9" w14:paraId="248D0D5D" w14:textId="77777777" w:rsidTr="003C6D13">
        <w:trPr>
          <w:trHeight w:hRule="exact" w:val="255"/>
        </w:trPr>
        <w:tc>
          <w:tcPr>
            <w:tcW w:w="2079" w:type="pct"/>
            <w:tcBorders>
              <w:top w:val="nil"/>
              <w:left w:val="nil"/>
              <w:bottom w:val="nil"/>
              <w:right w:val="nil"/>
            </w:tcBorders>
            <w:shd w:val="clear" w:color="000000" w:fill="FFFFFF"/>
            <w:noWrap/>
            <w:vAlign w:val="bottom"/>
            <w:hideMark/>
          </w:tcPr>
          <w:p w14:paraId="7E3D115D" w14:textId="77777777" w:rsidR="003C6D13" w:rsidRPr="00FD48A9" w:rsidRDefault="003C6D13" w:rsidP="003C6D13">
            <w:pPr>
              <w:spacing w:after="0" w:line="240" w:lineRule="auto"/>
              <w:jc w:val="left"/>
              <w:rPr>
                <w:rFonts w:ascii="Arial" w:hAnsi="Arial" w:cs="Arial"/>
                <w:color w:val="000000"/>
                <w:sz w:val="16"/>
                <w:szCs w:val="16"/>
              </w:rPr>
            </w:pPr>
            <w:r w:rsidRPr="00FD48A9">
              <w:rPr>
                <w:rFonts w:ascii="Arial" w:hAnsi="Arial" w:cs="Arial"/>
                <w:color w:val="000000"/>
                <w:sz w:val="16"/>
                <w:szCs w:val="16"/>
              </w:rPr>
              <w:t>India</w:t>
            </w:r>
          </w:p>
        </w:tc>
        <w:tc>
          <w:tcPr>
            <w:tcW w:w="1014" w:type="pct"/>
            <w:tcBorders>
              <w:top w:val="nil"/>
              <w:left w:val="nil"/>
              <w:bottom w:val="nil"/>
              <w:right w:val="nil"/>
            </w:tcBorders>
            <w:shd w:val="clear" w:color="000000" w:fill="FFFFFF"/>
            <w:noWrap/>
            <w:vAlign w:val="center"/>
            <w:hideMark/>
          </w:tcPr>
          <w:p w14:paraId="07D00ADC" w14:textId="77777777"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4.9</w:t>
            </w:r>
          </w:p>
        </w:tc>
        <w:tc>
          <w:tcPr>
            <w:tcW w:w="1016" w:type="pct"/>
            <w:tcBorders>
              <w:top w:val="nil"/>
              <w:left w:val="nil"/>
              <w:bottom w:val="nil"/>
              <w:right w:val="nil"/>
            </w:tcBorders>
            <w:shd w:val="clear" w:color="000000" w:fill="E6E6E6"/>
            <w:noWrap/>
            <w:vAlign w:val="center"/>
            <w:hideMark/>
          </w:tcPr>
          <w:p w14:paraId="533D46F4" w14:textId="6D4B5E48" w:rsidR="003C6D13" w:rsidRPr="00FD48A9" w:rsidRDefault="00C77479" w:rsidP="003C6D13">
            <w:pPr>
              <w:spacing w:after="0" w:line="240" w:lineRule="auto"/>
              <w:jc w:val="right"/>
              <w:rPr>
                <w:rFonts w:ascii="Arial" w:hAnsi="Arial" w:cs="Arial"/>
                <w:sz w:val="16"/>
                <w:szCs w:val="16"/>
              </w:rPr>
            </w:pPr>
            <w:r>
              <w:rPr>
                <w:rFonts w:ascii="Arial" w:hAnsi="Arial" w:cs="Arial"/>
                <w:sz w:val="16"/>
                <w:szCs w:val="16"/>
              </w:rPr>
              <w:noBreakHyphen/>
            </w:r>
            <w:r w:rsidR="003C6D13" w:rsidRPr="00FD48A9">
              <w:rPr>
                <w:rFonts w:ascii="Arial" w:hAnsi="Arial" w:cs="Arial"/>
                <w:sz w:val="16"/>
                <w:szCs w:val="16"/>
              </w:rPr>
              <w:t xml:space="preserve">4    </w:t>
            </w:r>
          </w:p>
        </w:tc>
        <w:tc>
          <w:tcPr>
            <w:tcW w:w="892" w:type="pct"/>
            <w:tcBorders>
              <w:top w:val="nil"/>
              <w:left w:val="nil"/>
              <w:bottom w:val="nil"/>
              <w:right w:val="nil"/>
            </w:tcBorders>
            <w:shd w:val="clear" w:color="000000" w:fill="E6E6E6"/>
            <w:noWrap/>
            <w:vAlign w:val="center"/>
            <w:hideMark/>
          </w:tcPr>
          <w:p w14:paraId="70D7DED9" w14:textId="77777777"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4 1/4</w:t>
            </w:r>
          </w:p>
        </w:tc>
      </w:tr>
      <w:tr w:rsidR="003C6D13" w:rsidRPr="00FD48A9" w14:paraId="7139A0A0" w14:textId="77777777" w:rsidTr="003C6D13">
        <w:trPr>
          <w:trHeight w:hRule="exact" w:val="255"/>
        </w:trPr>
        <w:tc>
          <w:tcPr>
            <w:tcW w:w="2079" w:type="pct"/>
            <w:tcBorders>
              <w:top w:val="nil"/>
              <w:left w:val="nil"/>
              <w:bottom w:val="nil"/>
              <w:right w:val="nil"/>
            </w:tcBorders>
            <w:shd w:val="clear" w:color="000000" w:fill="FFFFFF"/>
            <w:noWrap/>
            <w:vAlign w:val="bottom"/>
            <w:hideMark/>
          </w:tcPr>
          <w:p w14:paraId="52467D3B" w14:textId="77777777" w:rsidR="003C6D13" w:rsidRPr="00FD48A9" w:rsidRDefault="003C6D13" w:rsidP="003C6D13">
            <w:pPr>
              <w:spacing w:after="0" w:line="240" w:lineRule="auto"/>
              <w:jc w:val="left"/>
              <w:rPr>
                <w:rFonts w:ascii="Arial" w:hAnsi="Arial" w:cs="Arial"/>
                <w:color w:val="000000"/>
                <w:sz w:val="16"/>
                <w:szCs w:val="16"/>
              </w:rPr>
            </w:pPr>
            <w:r w:rsidRPr="00FD48A9">
              <w:rPr>
                <w:rFonts w:ascii="Arial" w:hAnsi="Arial" w:cs="Arial"/>
                <w:color w:val="000000"/>
                <w:sz w:val="16"/>
                <w:szCs w:val="16"/>
              </w:rPr>
              <w:t>Japan</w:t>
            </w:r>
          </w:p>
        </w:tc>
        <w:tc>
          <w:tcPr>
            <w:tcW w:w="1014" w:type="pct"/>
            <w:tcBorders>
              <w:top w:val="nil"/>
              <w:left w:val="nil"/>
              <w:bottom w:val="nil"/>
              <w:right w:val="nil"/>
            </w:tcBorders>
            <w:shd w:val="clear" w:color="000000" w:fill="FFFFFF"/>
            <w:noWrap/>
            <w:vAlign w:val="center"/>
            <w:hideMark/>
          </w:tcPr>
          <w:p w14:paraId="753F0F1B" w14:textId="77777777"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0.7</w:t>
            </w:r>
          </w:p>
        </w:tc>
        <w:tc>
          <w:tcPr>
            <w:tcW w:w="1016" w:type="pct"/>
            <w:tcBorders>
              <w:top w:val="nil"/>
              <w:left w:val="nil"/>
              <w:bottom w:val="nil"/>
              <w:right w:val="nil"/>
            </w:tcBorders>
            <w:shd w:val="clear" w:color="000000" w:fill="E6E6E6"/>
            <w:noWrap/>
            <w:vAlign w:val="center"/>
            <w:hideMark/>
          </w:tcPr>
          <w:p w14:paraId="0F337460" w14:textId="119887CF" w:rsidR="003C6D13" w:rsidRPr="00FD48A9" w:rsidRDefault="00C77479" w:rsidP="003C6D13">
            <w:pPr>
              <w:spacing w:after="0" w:line="240" w:lineRule="auto"/>
              <w:jc w:val="right"/>
              <w:rPr>
                <w:rFonts w:ascii="Arial" w:hAnsi="Arial" w:cs="Arial"/>
                <w:sz w:val="16"/>
                <w:szCs w:val="16"/>
              </w:rPr>
            </w:pPr>
            <w:r>
              <w:rPr>
                <w:rFonts w:ascii="Arial" w:hAnsi="Arial" w:cs="Arial"/>
                <w:sz w:val="16"/>
                <w:szCs w:val="16"/>
              </w:rPr>
              <w:noBreakHyphen/>
            </w:r>
            <w:r w:rsidR="003C6D13" w:rsidRPr="00FD48A9">
              <w:rPr>
                <w:rFonts w:ascii="Arial" w:hAnsi="Arial" w:cs="Arial"/>
                <w:sz w:val="16"/>
                <w:szCs w:val="16"/>
              </w:rPr>
              <w:t>6 1/4</w:t>
            </w:r>
          </w:p>
        </w:tc>
        <w:tc>
          <w:tcPr>
            <w:tcW w:w="892" w:type="pct"/>
            <w:tcBorders>
              <w:top w:val="nil"/>
              <w:left w:val="nil"/>
              <w:bottom w:val="nil"/>
              <w:right w:val="nil"/>
            </w:tcBorders>
            <w:shd w:val="clear" w:color="000000" w:fill="E6E6E6"/>
            <w:noWrap/>
            <w:vAlign w:val="center"/>
            <w:hideMark/>
          </w:tcPr>
          <w:p w14:paraId="44043A33" w14:textId="77777777"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2 3/4</w:t>
            </w:r>
          </w:p>
        </w:tc>
      </w:tr>
      <w:tr w:rsidR="003C6D13" w:rsidRPr="00FD48A9" w14:paraId="558AAAED" w14:textId="77777777" w:rsidTr="003C6D13">
        <w:trPr>
          <w:trHeight w:hRule="exact" w:val="255"/>
        </w:trPr>
        <w:tc>
          <w:tcPr>
            <w:tcW w:w="2079" w:type="pct"/>
            <w:tcBorders>
              <w:top w:val="nil"/>
              <w:left w:val="nil"/>
              <w:bottom w:val="nil"/>
              <w:right w:val="nil"/>
            </w:tcBorders>
            <w:shd w:val="clear" w:color="000000" w:fill="FFFFFF"/>
            <w:noWrap/>
            <w:vAlign w:val="bottom"/>
            <w:hideMark/>
          </w:tcPr>
          <w:p w14:paraId="4AD3FBC2" w14:textId="77777777" w:rsidR="003C6D13" w:rsidRPr="00FD48A9" w:rsidRDefault="003C6D13" w:rsidP="003C6D13">
            <w:pPr>
              <w:spacing w:after="0" w:line="240" w:lineRule="auto"/>
              <w:jc w:val="left"/>
              <w:rPr>
                <w:rFonts w:ascii="Arial" w:hAnsi="Arial" w:cs="Arial"/>
                <w:color w:val="000000"/>
                <w:sz w:val="16"/>
                <w:szCs w:val="16"/>
              </w:rPr>
            </w:pPr>
            <w:r w:rsidRPr="00FD48A9">
              <w:rPr>
                <w:rFonts w:ascii="Arial" w:hAnsi="Arial" w:cs="Arial"/>
                <w:color w:val="000000"/>
                <w:sz w:val="16"/>
                <w:szCs w:val="16"/>
              </w:rPr>
              <w:t>United States</w:t>
            </w:r>
          </w:p>
        </w:tc>
        <w:tc>
          <w:tcPr>
            <w:tcW w:w="1014" w:type="pct"/>
            <w:tcBorders>
              <w:top w:val="nil"/>
              <w:left w:val="nil"/>
              <w:bottom w:val="nil"/>
              <w:right w:val="nil"/>
            </w:tcBorders>
            <w:shd w:val="clear" w:color="000000" w:fill="FFFFFF"/>
            <w:noWrap/>
            <w:vAlign w:val="center"/>
            <w:hideMark/>
          </w:tcPr>
          <w:p w14:paraId="416E0F07" w14:textId="77777777"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2.3</w:t>
            </w:r>
          </w:p>
        </w:tc>
        <w:tc>
          <w:tcPr>
            <w:tcW w:w="1016" w:type="pct"/>
            <w:tcBorders>
              <w:top w:val="nil"/>
              <w:left w:val="nil"/>
              <w:bottom w:val="nil"/>
              <w:right w:val="nil"/>
            </w:tcBorders>
            <w:shd w:val="clear" w:color="000000" w:fill="E6E6E6"/>
            <w:noWrap/>
            <w:vAlign w:val="center"/>
            <w:hideMark/>
          </w:tcPr>
          <w:p w14:paraId="3643594F" w14:textId="1EF33C6F" w:rsidR="003C6D13" w:rsidRPr="00FD48A9" w:rsidRDefault="00C77479" w:rsidP="003C6D13">
            <w:pPr>
              <w:spacing w:after="0" w:line="240" w:lineRule="auto"/>
              <w:jc w:val="right"/>
              <w:rPr>
                <w:rFonts w:ascii="Arial" w:hAnsi="Arial" w:cs="Arial"/>
                <w:sz w:val="16"/>
                <w:szCs w:val="16"/>
              </w:rPr>
            </w:pPr>
            <w:r>
              <w:rPr>
                <w:rFonts w:ascii="Arial" w:hAnsi="Arial" w:cs="Arial"/>
                <w:sz w:val="16"/>
                <w:szCs w:val="16"/>
              </w:rPr>
              <w:noBreakHyphen/>
            </w:r>
            <w:r w:rsidR="003C6D13" w:rsidRPr="00FD48A9">
              <w:rPr>
                <w:rFonts w:ascii="Arial" w:hAnsi="Arial" w:cs="Arial"/>
                <w:sz w:val="16"/>
                <w:szCs w:val="16"/>
              </w:rPr>
              <w:t xml:space="preserve">8    </w:t>
            </w:r>
          </w:p>
        </w:tc>
        <w:tc>
          <w:tcPr>
            <w:tcW w:w="892" w:type="pct"/>
            <w:tcBorders>
              <w:top w:val="nil"/>
              <w:left w:val="nil"/>
              <w:bottom w:val="nil"/>
              <w:right w:val="nil"/>
            </w:tcBorders>
            <w:shd w:val="clear" w:color="000000" w:fill="E6E6E6"/>
            <w:noWrap/>
            <w:vAlign w:val="center"/>
            <w:hideMark/>
          </w:tcPr>
          <w:p w14:paraId="50C5F667" w14:textId="77777777"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4 3/4</w:t>
            </w:r>
          </w:p>
        </w:tc>
      </w:tr>
      <w:tr w:rsidR="003C6D13" w:rsidRPr="00FD48A9" w14:paraId="2DFC1386" w14:textId="77777777" w:rsidTr="003C6D13">
        <w:trPr>
          <w:trHeight w:hRule="exact" w:val="255"/>
        </w:trPr>
        <w:tc>
          <w:tcPr>
            <w:tcW w:w="2079" w:type="pct"/>
            <w:tcBorders>
              <w:top w:val="nil"/>
              <w:left w:val="nil"/>
              <w:bottom w:val="nil"/>
              <w:right w:val="nil"/>
            </w:tcBorders>
            <w:shd w:val="clear" w:color="000000" w:fill="FFFFFF"/>
            <w:noWrap/>
            <w:vAlign w:val="bottom"/>
            <w:hideMark/>
          </w:tcPr>
          <w:p w14:paraId="43CC3A50" w14:textId="77777777" w:rsidR="003C6D13" w:rsidRPr="00FD48A9" w:rsidRDefault="003C6D13" w:rsidP="003C6D13">
            <w:pPr>
              <w:spacing w:after="0" w:line="240" w:lineRule="auto"/>
              <w:jc w:val="left"/>
              <w:rPr>
                <w:rFonts w:ascii="Arial" w:hAnsi="Arial" w:cs="Arial"/>
                <w:color w:val="000000"/>
                <w:sz w:val="16"/>
                <w:szCs w:val="16"/>
              </w:rPr>
            </w:pPr>
            <w:r w:rsidRPr="00FD48A9">
              <w:rPr>
                <w:rFonts w:ascii="Arial" w:hAnsi="Arial" w:cs="Arial"/>
                <w:color w:val="000000"/>
                <w:sz w:val="16"/>
                <w:szCs w:val="16"/>
              </w:rPr>
              <w:t>Euro area</w:t>
            </w:r>
          </w:p>
        </w:tc>
        <w:tc>
          <w:tcPr>
            <w:tcW w:w="1014" w:type="pct"/>
            <w:tcBorders>
              <w:top w:val="nil"/>
              <w:left w:val="nil"/>
              <w:bottom w:val="nil"/>
              <w:right w:val="nil"/>
            </w:tcBorders>
            <w:shd w:val="clear" w:color="000000" w:fill="FFFFFF"/>
            <w:noWrap/>
            <w:vAlign w:val="center"/>
            <w:hideMark/>
          </w:tcPr>
          <w:p w14:paraId="0CE5DE57" w14:textId="77777777"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1.2</w:t>
            </w:r>
          </w:p>
        </w:tc>
        <w:tc>
          <w:tcPr>
            <w:tcW w:w="1016" w:type="pct"/>
            <w:tcBorders>
              <w:top w:val="nil"/>
              <w:left w:val="nil"/>
              <w:bottom w:val="nil"/>
              <w:right w:val="nil"/>
            </w:tcBorders>
            <w:shd w:val="clear" w:color="000000" w:fill="E6E6E6"/>
            <w:noWrap/>
            <w:vAlign w:val="center"/>
            <w:hideMark/>
          </w:tcPr>
          <w:p w14:paraId="698F69D3" w14:textId="7491FD50" w:rsidR="003C6D13" w:rsidRPr="00FD48A9" w:rsidRDefault="00C77479" w:rsidP="003C6D13">
            <w:pPr>
              <w:spacing w:after="0" w:line="240" w:lineRule="auto"/>
              <w:jc w:val="right"/>
              <w:rPr>
                <w:rFonts w:ascii="Arial" w:hAnsi="Arial" w:cs="Arial"/>
                <w:sz w:val="16"/>
                <w:szCs w:val="16"/>
              </w:rPr>
            </w:pPr>
            <w:r>
              <w:rPr>
                <w:rFonts w:ascii="Arial" w:hAnsi="Arial" w:cs="Arial"/>
                <w:sz w:val="16"/>
                <w:szCs w:val="16"/>
              </w:rPr>
              <w:noBreakHyphen/>
            </w:r>
            <w:r w:rsidR="003C6D13" w:rsidRPr="00FD48A9">
              <w:rPr>
                <w:rFonts w:ascii="Arial" w:hAnsi="Arial" w:cs="Arial"/>
                <w:sz w:val="16"/>
                <w:szCs w:val="16"/>
              </w:rPr>
              <w:t>8 3/4</w:t>
            </w:r>
          </w:p>
        </w:tc>
        <w:tc>
          <w:tcPr>
            <w:tcW w:w="892" w:type="pct"/>
            <w:tcBorders>
              <w:top w:val="nil"/>
              <w:left w:val="nil"/>
              <w:bottom w:val="nil"/>
              <w:right w:val="nil"/>
            </w:tcBorders>
            <w:shd w:val="clear" w:color="000000" w:fill="E6E6E6"/>
            <w:noWrap/>
            <w:vAlign w:val="center"/>
            <w:hideMark/>
          </w:tcPr>
          <w:p w14:paraId="3DDBA2A9" w14:textId="77777777"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 xml:space="preserve">5    </w:t>
            </w:r>
          </w:p>
        </w:tc>
      </w:tr>
      <w:tr w:rsidR="003C6D13" w:rsidRPr="00FD48A9" w14:paraId="0D499436" w14:textId="77777777" w:rsidTr="003C6D13">
        <w:trPr>
          <w:trHeight w:hRule="exact" w:val="255"/>
        </w:trPr>
        <w:tc>
          <w:tcPr>
            <w:tcW w:w="2079" w:type="pct"/>
            <w:tcBorders>
              <w:top w:val="nil"/>
              <w:left w:val="nil"/>
              <w:bottom w:val="nil"/>
              <w:right w:val="nil"/>
            </w:tcBorders>
            <w:shd w:val="clear" w:color="000000" w:fill="FFFFFF"/>
            <w:noWrap/>
            <w:vAlign w:val="bottom"/>
            <w:hideMark/>
          </w:tcPr>
          <w:p w14:paraId="3A85C543" w14:textId="77777777" w:rsidR="003C6D13" w:rsidRPr="00FD48A9" w:rsidRDefault="003C6D13" w:rsidP="003C6D13">
            <w:pPr>
              <w:spacing w:after="0" w:line="240" w:lineRule="auto"/>
              <w:jc w:val="left"/>
              <w:rPr>
                <w:rFonts w:ascii="Arial" w:hAnsi="Arial" w:cs="Arial"/>
                <w:color w:val="000000"/>
                <w:sz w:val="16"/>
                <w:szCs w:val="16"/>
              </w:rPr>
            </w:pPr>
            <w:r w:rsidRPr="00FD48A9">
              <w:rPr>
                <w:rFonts w:ascii="Arial" w:hAnsi="Arial" w:cs="Arial"/>
                <w:color w:val="000000"/>
                <w:sz w:val="16"/>
                <w:szCs w:val="16"/>
              </w:rPr>
              <w:t>Other East Asia</w:t>
            </w:r>
            <w:r w:rsidRPr="00FD48A9">
              <w:rPr>
                <w:rFonts w:ascii="Arial" w:hAnsi="Arial" w:cs="Arial"/>
                <w:color w:val="000000"/>
                <w:sz w:val="16"/>
                <w:szCs w:val="16"/>
                <w:vertAlign w:val="superscript"/>
              </w:rPr>
              <w:t>(b)</w:t>
            </w:r>
          </w:p>
        </w:tc>
        <w:tc>
          <w:tcPr>
            <w:tcW w:w="1014" w:type="pct"/>
            <w:tcBorders>
              <w:top w:val="nil"/>
              <w:left w:val="nil"/>
              <w:bottom w:val="nil"/>
              <w:right w:val="nil"/>
            </w:tcBorders>
            <w:shd w:val="clear" w:color="000000" w:fill="FFFFFF"/>
            <w:noWrap/>
            <w:vAlign w:val="center"/>
            <w:hideMark/>
          </w:tcPr>
          <w:p w14:paraId="38ED5D0D" w14:textId="77777777"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3.6</w:t>
            </w:r>
          </w:p>
        </w:tc>
        <w:tc>
          <w:tcPr>
            <w:tcW w:w="1016" w:type="pct"/>
            <w:tcBorders>
              <w:top w:val="nil"/>
              <w:left w:val="nil"/>
              <w:bottom w:val="nil"/>
              <w:right w:val="nil"/>
            </w:tcBorders>
            <w:shd w:val="clear" w:color="000000" w:fill="E6E6E6"/>
            <w:noWrap/>
            <w:vAlign w:val="center"/>
            <w:hideMark/>
          </w:tcPr>
          <w:p w14:paraId="0517A108" w14:textId="39249BD5" w:rsidR="003C6D13" w:rsidRPr="00FD48A9" w:rsidRDefault="00C77479" w:rsidP="003C6D13">
            <w:pPr>
              <w:spacing w:after="0" w:line="240" w:lineRule="auto"/>
              <w:jc w:val="right"/>
              <w:rPr>
                <w:rFonts w:ascii="Arial" w:hAnsi="Arial" w:cs="Arial"/>
                <w:sz w:val="16"/>
                <w:szCs w:val="16"/>
              </w:rPr>
            </w:pPr>
            <w:r>
              <w:rPr>
                <w:rFonts w:ascii="Arial" w:hAnsi="Arial" w:cs="Arial"/>
                <w:sz w:val="16"/>
                <w:szCs w:val="16"/>
              </w:rPr>
              <w:noBreakHyphen/>
            </w:r>
            <w:r w:rsidR="003C6D13" w:rsidRPr="00FD48A9">
              <w:rPr>
                <w:rFonts w:ascii="Arial" w:hAnsi="Arial" w:cs="Arial"/>
                <w:sz w:val="16"/>
                <w:szCs w:val="16"/>
              </w:rPr>
              <w:t>3 1/4</w:t>
            </w:r>
          </w:p>
        </w:tc>
        <w:tc>
          <w:tcPr>
            <w:tcW w:w="892" w:type="pct"/>
            <w:tcBorders>
              <w:top w:val="nil"/>
              <w:left w:val="nil"/>
              <w:bottom w:val="nil"/>
              <w:right w:val="nil"/>
            </w:tcBorders>
            <w:shd w:val="clear" w:color="000000" w:fill="E6E6E6"/>
            <w:noWrap/>
            <w:vAlign w:val="center"/>
            <w:hideMark/>
          </w:tcPr>
          <w:p w14:paraId="76895332" w14:textId="77777777"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3 1/2</w:t>
            </w:r>
          </w:p>
        </w:tc>
      </w:tr>
      <w:tr w:rsidR="003C6D13" w:rsidRPr="00FD48A9" w14:paraId="4DA6EA31" w14:textId="77777777" w:rsidTr="003C6D13">
        <w:trPr>
          <w:trHeight w:hRule="exact" w:val="255"/>
        </w:trPr>
        <w:tc>
          <w:tcPr>
            <w:tcW w:w="2079" w:type="pct"/>
            <w:tcBorders>
              <w:top w:val="nil"/>
              <w:left w:val="nil"/>
              <w:bottom w:val="nil"/>
              <w:right w:val="nil"/>
            </w:tcBorders>
            <w:shd w:val="clear" w:color="000000" w:fill="FFFFFF"/>
            <w:noWrap/>
            <w:vAlign w:val="bottom"/>
            <w:hideMark/>
          </w:tcPr>
          <w:p w14:paraId="5AC79696" w14:textId="77777777" w:rsidR="003C6D13" w:rsidRPr="00FD48A9" w:rsidRDefault="003C6D13" w:rsidP="003C6D13">
            <w:pPr>
              <w:spacing w:after="0" w:line="240" w:lineRule="auto"/>
              <w:jc w:val="left"/>
              <w:rPr>
                <w:rFonts w:ascii="Arial" w:hAnsi="Arial" w:cs="Arial"/>
                <w:color w:val="000000"/>
                <w:sz w:val="16"/>
                <w:szCs w:val="16"/>
              </w:rPr>
            </w:pPr>
            <w:r w:rsidRPr="00FD48A9">
              <w:rPr>
                <w:rFonts w:ascii="Arial" w:hAnsi="Arial" w:cs="Arial"/>
                <w:color w:val="000000"/>
                <w:sz w:val="16"/>
                <w:szCs w:val="16"/>
              </w:rPr>
              <w:t>Major trading partners</w:t>
            </w:r>
          </w:p>
        </w:tc>
        <w:tc>
          <w:tcPr>
            <w:tcW w:w="1014" w:type="pct"/>
            <w:tcBorders>
              <w:top w:val="nil"/>
              <w:left w:val="nil"/>
              <w:bottom w:val="nil"/>
              <w:right w:val="nil"/>
            </w:tcBorders>
            <w:shd w:val="clear" w:color="000000" w:fill="FFFFFF"/>
            <w:noWrap/>
            <w:vAlign w:val="center"/>
            <w:hideMark/>
          </w:tcPr>
          <w:p w14:paraId="35E8D075" w14:textId="77777777"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3.6</w:t>
            </w:r>
          </w:p>
        </w:tc>
        <w:tc>
          <w:tcPr>
            <w:tcW w:w="1016" w:type="pct"/>
            <w:tcBorders>
              <w:top w:val="nil"/>
              <w:left w:val="nil"/>
              <w:bottom w:val="nil"/>
              <w:right w:val="nil"/>
            </w:tcBorders>
            <w:shd w:val="clear" w:color="000000" w:fill="E6E6E6"/>
            <w:noWrap/>
            <w:vAlign w:val="center"/>
            <w:hideMark/>
          </w:tcPr>
          <w:p w14:paraId="3F91FBC9" w14:textId="2698B2FA" w:rsidR="003C6D13" w:rsidRPr="00FD48A9" w:rsidRDefault="00C77479" w:rsidP="003C6D13">
            <w:pPr>
              <w:spacing w:after="0" w:line="240" w:lineRule="auto"/>
              <w:jc w:val="right"/>
              <w:rPr>
                <w:rFonts w:ascii="Arial" w:hAnsi="Arial" w:cs="Arial"/>
                <w:sz w:val="16"/>
                <w:szCs w:val="16"/>
              </w:rPr>
            </w:pPr>
            <w:r>
              <w:rPr>
                <w:rFonts w:ascii="Arial" w:hAnsi="Arial" w:cs="Arial"/>
                <w:sz w:val="16"/>
                <w:szCs w:val="16"/>
              </w:rPr>
              <w:noBreakHyphen/>
            </w:r>
            <w:r w:rsidR="003C6D13" w:rsidRPr="00FD48A9">
              <w:rPr>
                <w:rFonts w:ascii="Arial" w:hAnsi="Arial" w:cs="Arial"/>
                <w:sz w:val="16"/>
                <w:szCs w:val="16"/>
              </w:rPr>
              <w:t xml:space="preserve">3    </w:t>
            </w:r>
          </w:p>
        </w:tc>
        <w:tc>
          <w:tcPr>
            <w:tcW w:w="892" w:type="pct"/>
            <w:tcBorders>
              <w:top w:val="nil"/>
              <w:left w:val="nil"/>
              <w:bottom w:val="nil"/>
              <w:right w:val="nil"/>
            </w:tcBorders>
            <w:shd w:val="clear" w:color="000000" w:fill="E6E6E6"/>
            <w:noWrap/>
            <w:vAlign w:val="center"/>
            <w:hideMark/>
          </w:tcPr>
          <w:p w14:paraId="5E751B58" w14:textId="77777777"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5 1/2</w:t>
            </w:r>
          </w:p>
        </w:tc>
      </w:tr>
      <w:tr w:rsidR="003C6D13" w:rsidRPr="00FD48A9" w14:paraId="506952EF" w14:textId="77777777" w:rsidTr="003C6D13">
        <w:trPr>
          <w:trHeight w:hRule="exact" w:val="255"/>
        </w:trPr>
        <w:tc>
          <w:tcPr>
            <w:tcW w:w="2079" w:type="pct"/>
            <w:tcBorders>
              <w:top w:val="nil"/>
              <w:left w:val="nil"/>
              <w:bottom w:val="single" w:sz="4" w:space="0" w:color="auto"/>
              <w:right w:val="nil"/>
            </w:tcBorders>
            <w:shd w:val="clear" w:color="000000" w:fill="FFFFFF"/>
            <w:noWrap/>
            <w:vAlign w:val="bottom"/>
            <w:hideMark/>
          </w:tcPr>
          <w:p w14:paraId="177330DF" w14:textId="77777777" w:rsidR="003C6D13" w:rsidRPr="00FD48A9" w:rsidRDefault="003C6D13" w:rsidP="003C6D13">
            <w:pPr>
              <w:spacing w:after="0" w:line="240" w:lineRule="auto"/>
              <w:jc w:val="left"/>
              <w:rPr>
                <w:rFonts w:ascii="Arial" w:hAnsi="Arial" w:cs="Arial"/>
                <w:color w:val="000000"/>
                <w:sz w:val="16"/>
                <w:szCs w:val="16"/>
              </w:rPr>
            </w:pPr>
            <w:r w:rsidRPr="00FD48A9">
              <w:rPr>
                <w:rFonts w:ascii="Arial" w:hAnsi="Arial" w:cs="Arial"/>
                <w:color w:val="000000"/>
                <w:sz w:val="16"/>
                <w:szCs w:val="16"/>
              </w:rPr>
              <w:t>World</w:t>
            </w:r>
          </w:p>
        </w:tc>
        <w:tc>
          <w:tcPr>
            <w:tcW w:w="1014" w:type="pct"/>
            <w:tcBorders>
              <w:top w:val="nil"/>
              <w:left w:val="nil"/>
              <w:bottom w:val="single" w:sz="4" w:space="0" w:color="auto"/>
              <w:right w:val="nil"/>
            </w:tcBorders>
            <w:shd w:val="clear" w:color="000000" w:fill="FFFFFF"/>
            <w:noWrap/>
            <w:vAlign w:val="center"/>
            <w:hideMark/>
          </w:tcPr>
          <w:p w14:paraId="39269109" w14:textId="77777777"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2.9</w:t>
            </w:r>
          </w:p>
        </w:tc>
        <w:tc>
          <w:tcPr>
            <w:tcW w:w="1016" w:type="pct"/>
            <w:tcBorders>
              <w:top w:val="nil"/>
              <w:left w:val="nil"/>
              <w:bottom w:val="single" w:sz="4" w:space="0" w:color="auto"/>
              <w:right w:val="nil"/>
            </w:tcBorders>
            <w:shd w:val="clear" w:color="000000" w:fill="E6E6E6"/>
            <w:noWrap/>
            <w:vAlign w:val="center"/>
            <w:hideMark/>
          </w:tcPr>
          <w:p w14:paraId="1796DEB0" w14:textId="49FFE98F" w:rsidR="003C6D13" w:rsidRPr="00FD48A9" w:rsidRDefault="00C77479" w:rsidP="003C6D13">
            <w:pPr>
              <w:spacing w:after="0" w:line="240" w:lineRule="auto"/>
              <w:jc w:val="right"/>
              <w:rPr>
                <w:rFonts w:ascii="Arial" w:hAnsi="Arial" w:cs="Arial"/>
                <w:sz w:val="16"/>
                <w:szCs w:val="16"/>
              </w:rPr>
            </w:pPr>
            <w:r>
              <w:rPr>
                <w:rFonts w:ascii="Arial" w:hAnsi="Arial" w:cs="Arial"/>
                <w:sz w:val="16"/>
                <w:szCs w:val="16"/>
              </w:rPr>
              <w:noBreakHyphen/>
            </w:r>
            <w:r w:rsidR="003C6D13" w:rsidRPr="00FD48A9">
              <w:rPr>
                <w:rFonts w:ascii="Arial" w:hAnsi="Arial" w:cs="Arial"/>
                <w:sz w:val="16"/>
                <w:szCs w:val="16"/>
              </w:rPr>
              <w:t>4 3/4</w:t>
            </w:r>
          </w:p>
        </w:tc>
        <w:tc>
          <w:tcPr>
            <w:tcW w:w="892" w:type="pct"/>
            <w:tcBorders>
              <w:top w:val="nil"/>
              <w:left w:val="nil"/>
              <w:bottom w:val="single" w:sz="4" w:space="0" w:color="auto"/>
              <w:right w:val="nil"/>
            </w:tcBorders>
            <w:shd w:val="clear" w:color="000000" w:fill="E6E6E6"/>
            <w:noWrap/>
            <w:vAlign w:val="center"/>
            <w:hideMark/>
          </w:tcPr>
          <w:p w14:paraId="11E9C64E" w14:textId="77777777"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 xml:space="preserve">5    </w:t>
            </w:r>
          </w:p>
        </w:tc>
      </w:tr>
    </w:tbl>
    <w:p w14:paraId="38931A5D" w14:textId="493B6C66" w:rsidR="00D16B89" w:rsidRDefault="00FB04F7" w:rsidP="00D16B89">
      <w:pPr>
        <w:pStyle w:val="ChartandTableFootnoteAlpha"/>
      </w:pPr>
      <w:r w:rsidRPr="00FD48A9">
        <w:t>World and Other East Asia growth rates are calculated using GDP weights b</w:t>
      </w:r>
      <w:r w:rsidR="00806C95" w:rsidRPr="00FD48A9">
        <w:t xml:space="preserve">ased on purchasing power parity </w:t>
      </w:r>
      <w:r w:rsidRPr="00FD48A9">
        <w:t xml:space="preserve">(PPP), while growth rates for major trading partners </w:t>
      </w:r>
      <w:proofErr w:type="gramStart"/>
      <w:r w:rsidRPr="00FD48A9">
        <w:t>are calculated</w:t>
      </w:r>
      <w:proofErr w:type="gramEnd"/>
      <w:r w:rsidRPr="00FD48A9">
        <w:t xml:space="preserve"> using goods and services export trade weights.</w:t>
      </w:r>
    </w:p>
    <w:p w14:paraId="7CF8EBF1" w14:textId="0005808A" w:rsidR="00FB04F7" w:rsidRPr="00FD48A9" w:rsidRDefault="00FB04F7" w:rsidP="00D16B89">
      <w:pPr>
        <w:pStyle w:val="ChartandTableFootnoteAlpha"/>
      </w:pPr>
      <w:r w:rsidRPr="00FD48A9">
        <w:t>Other East Asia comprises the Association of Southeast Asian Nations group of five (ASEAN</w:t>
      </w:r>
      <w:r w:rsidR="00C77479">
        <w:noBreakHyphen/>
      </w:r>
      <w:r w:rsidRPr="00FD48A9">
        <w:t xml:space="preserve">5), comprising Indonesia, Malaysia, the Philippines, Thailand and </w:t>
      </w:r>
      <w:r w:rsidR="001C586F" w:rsidRPr="00FD48A9">
        <w:t>Singapore</w:t>
      </w:r>
      <w:r w:rsidRPr="00FD48A9">
        <w:t>, along with Hong Kong, South</w:t>
      </w:r>
      <w:r w:rsidR="005409E5">
        <w:t> </w:t>
      </w:r>
      <w:r w:rsidRPr="00FD48A9">
        <w:t xml:space="preserve">Korea, </w:t>
      </w:r>
      <w:r w:rsidR="001C586F" w:rsidRPr="00FD48A9">
        <w:t>Vietnam</w:t>
      </w:r>
      <w:r w:rsidRPr="00FD48A9">
        <w:t xml:space="preserve"> and Taiwan.</w:t>
      </w:r>
    </w:p>
    <w:p w14:paraId="748083DE" w14:textId="77777777" w:rsidR="00FB04F7" w:rsidRPr="00FD48A9" w:rsidRDefault="00FB04F7" w:rsidP="00806C95">
      <w:pPr>
        <w:pStyle w:val="ChartandTableFootnoteAlpha"/>
        <w:numPr>
          <w:ilvl w:val="0"/>
          <w:numId w:val="0"/>
        </w:numPr>
      </w:pPr>
      <w:r w:rsidRPr="00FD48A9">
        <w:t xml:space="preserve">Source: National statistical agencies, </w:t>
      </w:r>
      <w:proofErr w:type="spellStart"/>
      <w:r w:rsidRPr="00FD48A9">
        <w:t>Refinitiv</w:t>
      </w:r>
      <w:proofErr w:type="spellEnd"/>
      <w:r w:rsidRPr="00FD48A9">
        <w:t xml:space="preserve"> and Treasury.</w:t>
      </w:r>
    </w:p>
    <w:p w14:paraId="08AEFE4A" w14:textId="77777777" w:rsidR="00FB04F7" w:rsidRPr="00FD48A9" w:rsidRDefault="00FB04F7" w:rsidP="00D131AE">
      <w:pPr>
        <w:pStyle w:val="ChartGraphic"/>
      </w:pPr>
    </w:p>
    <w:p w14:paraId="4FE5E9A1" w14:textId="4C8D5493" w:rsidR="00D131AE" w:rsidRPr="00FD48A9" w:rsidRDefault="001E1A7B" w:rsidP="00D131AE">
      <w:r w:rsidRPr="00FD48A9">
        <w:t>The</w:t>
      </w:r>
      <w:r w:rsidRPr="00FD48A9">
        <w:rPr>
          <w:b/>
        </w:rPr>
        <w:t xml:space="preserve"> </w:t>
      </w:r>
      <w:r w:rsidR="00D131AE" w:rsidRPr="00FD48A9">
        <w:rPr>
          <w:b/>
        </w:rPr>
        <w:t>Chin</w:t>
      </w:r>
      <w:r w:rsidRPr="00FD48A9">
        <w:rPr>
          <w:b/>
        </w:rPr>
        <w:t>ese</w:t>
      </w:r>
      <w:r w:rsidR="00D131AE" w:rsidRPr="00FD48A9">
        <w:t xml:space="preserve"> </w:t>
      </w:r>
      <w:r w:rsidRPr="00FD48A9">
        <w:t xml:space="preserve">economy </w:t>
      </w:r>
      <w:proofErr w:type="gramStart"/>
      <w:r w:rsidR="00D131AE" w:rsidRPr="00FD48A9">
        <w:t>is forecast</w:t>
      </w:r>
      <w:proofErr w:type="gramEnd"/>
      <w:r w:rsidR="00D131AE" w:rsidRPr="00FD48A9">
        <w:t xml:space="preserve"> to </w:t>
      </w:r>
      <w:r w:rsidR="00721F8E" w:rsidRPr="00FD48A9">
        <w:t>grow</w:t>
      </w:r>
      <w:r w:rsidRPr="00FD48A9">
        <w:t xml:space="preserve"> by</w:t>
      </w:r>
      <w:r w:rsidR="00721F8E" w:rsidRPr="00FD48A9">
        <w:t xml:space="preserve"> 1¾</w:t>
      </w:r>
      <w:r w:rsidR="003A228A" w:rsidRPr="00FD48A9">
        <w:t xml:space="preserve"> </w:t>
      </w:r>
      <w:r w:rsidR="00721F8E" w:rsidRPr="00FD48A9">
        <w:t>per cent in 2020 and 8¼ per cent in</w:t>
      </w:r>
      <w:r w:rsidR="00EB6328" w:rsidRPr="00FD48A9">
        <w:t> </w:t>
      </w:r>
      <w:r w:rsidR="00721F8E" w:rsidRPr="00FD48A9">
        <w:t>2021</w:t>
      </w:r>
      <w:r w:rsidR="00D131AE" w:rsidRPr="00FD48A9">
        <w:t>. China</w:t>
      </w:r>
      <w:r w:rsidR="00C77479">
        <w:t>’</w:t>
      </w:r>
      <w:r w:rsidR="00D131AE" w:rsidRPr="00FD48A9">
        <w:t xml:space="preserve">s success in largely containing the spread of the virus and the resumption of industrial production since March </w:t>
      </w:r>
      <w:r w:rsidR="00917B95" w:rsidRPr="00FD48A9">
        <w:t>saw</w:t>
      </w:r>
      <w:r w:rsidR="00D131AE" w:rsidRPr="00FD48A9">
        <w:t xml:space="preserve"> a significant rebound in activity in the June</w:t>
      </w:r>
      <w:r w:rsidR="00C77479">
        <w:t> </w:t>
      </w:r>
      <w:r w:rsidR="00D131AE" w:rsidRPr="00FD48A9">
        <w:t xml:space="preserve">quarter. Economic activity </w:t>
      </w:r>
      <w:proofErr w:type="gramStart"/>
      <w:r w:rsidR="00D131AE" w:rsidRPr="00FD48A9">
        <w:t>is expected</w:t>
      </w:r>
      <w:proofErr w:type="gramEnd"/>
      <w:r w:rsidR="00D131AE" w:rsidRPr="00FD48A9">
        <w:t xml:space="preserve"> to continue to recover over the remainder of 2020 and into 2021 with the support of infrastructure investment and pent</w:t>
      </w:r>
      <w:r w:rsidR="00C77479">
        <w:noBreakHyphen/>
      </w:r>
      <w:r w:rsidR="00D131AE" w:rsidRPr="00FD48A9">
        <w:t>up demand.</w:t>
      </w:r>
    </w:p>
    <w:p w14:paraId="4240B19C" w14:textId="2CBA43B1" w:rsidR="00D131AE" w:rsidRPr="00FD48A9" w:rsidRDefault="00D926C9" w:rsidP="00D131AE">
      <w:r w:rsidRPr="00FD48A9">
        <w:t xml:space="preserve">There have been </w:t>
      </w:r>
      <w:r w:rsidR="00D131AE" w:rsidRPr="00FD48A9">
        <w:t xml:space="preserve">devastating health and economic consequences from the </w:t>
      </w:r>
      <w:r w:rsidR="003F6598" w:rsidRPr="00FD48A9">
        <w:t>COVID</w:t>
      </w:r>
      <w:r w:rsidR="00C77479">
        <w:noBreakHyphen/>
      </w:r>
      <w:r w:rsidR="003F6598" w:rsidRPr="00FD48A9">
        <w:t>19</w:t>
      </w:r>
      <w:r w:rsidR="00D131AE" w:rsidRPr="00FD48A9">
        <w:t xml:space="preserve"> pandemic</w:t>
      </w:r>
      <w:r w:rsidRPr="00FD48A9">
        <w:t xml:space="preserve"> in the </w:t>
      </w:r>
      <w:r w:rsidRPr="00FD48A9">
        <w:rPr>
          <w:b/>
        </w:rPr>
        <w:t>United States</w:t>
      </w:r>
      <w:r w:rsidR="00D131AE" w:rsidRPr="00FD48A9">
        <w:t xml:space="preserve">, with the highest number of confirmed cases and fatalities in the world. This has led to a sharp increase in unemployment, as well as subdued demand and business activity. The economy </w:t>
      </w:r>
      <w:proofErr w:type="gramStart"/>
      <w:r w:rsidR="00D131AE" w:rsidRPr="00FD48A9">
        <w:t>is forecast</w:t>
      </w:r>
      <w:proofErr w:type="gramEnd"/>
      <w:r w:rsidR="00D131AE" w:rsidRPr="00FD48A9">
        <w:t xml:space="preserve"> to contract by </w:t>
      </w:r>
      <w:r w:rsidRPr="00FD48A9">
        <w:t>8</w:t>
      </w:r>
      <w:r w:rsidR="00D131AE" w:rsidRPr="00FD48A9">
        <w:t xml:space="preserve"> per cent in 2020, before </w:t>
      </w:r>
      <w:r w:rsidR="00456A4C" w:rsidRPr="00FD48A9">
        <w:t>growing by</w:t>
      </w:r>
      <w:r w:rsidR="00D131AE" w:rsidRPr="00FD48A9">
        <w:t xml:space="preserve"> </w:t>
      </w:r>
      <w:r w:rsidRPr="00FD48A9">
        <w:t>4¾</w:t>
      </w:r>
      <w:r w:rsidR="00D131AE" w:rsidRPr="00FD48A9">
        <w:t xml:space="preserve"> per cent</w:t>
      </w:r>
      <w:r w:rsidR="00456A4C" w:rsidRPr="00FD48A9">
        <w:t xml:space="preserve"> in 2021</w:t>
      </w:r>
      <w:r w:rsidR="00D131AE" w:rsidRPr="00FD48A9">
        <w:t xml:space="preserve">. </w:t>
      </w:r>
      <w:r w:rsidR="001E1A7B" w:rsidRPr="00FD48A9">
        <w:t xml:space="preserve">While activity and employment partly recovered </w:t>
      </w:r>
      <w:r w:rsidR="001E1A7B" w:rsidRPr="00FD48A9">
        <w:lastRenderedPageBreak/>
        <w:t xml:space="preserve">as containment measures </w:t>
      </w:r>
      <w:proofErr w:type="gramStart"/>
      <w:r w:rsidR="001E1A7B" w:rsidRPr="00FD48A9">
        <w:t>were lifted</w:t>
      </w:r>
      <w:proofErr w:type="gramEnd"/>
      <w:r w:rsidR="001E1A7B" w:rsidRPr="00FD48A9">
        <w:t>,</w:t>
      </w:r>
      <w:r w:rsidR="00E42B1A" w:rsidRPr="00FD48A9">
        <w:t xml:space="preserve"> further outbreaks pose a significant downside risk to the recovery. Infection rates have remained high and several states have seen a further deterioration in health outcomes following </w:t>
      </w:r>
      <w:r w:rsidR="00456A4C" w:rsidRPr="00FD48A9">
        <w:t>an easing</w:t>
      </w:r>
      <w:r w:rsidR="002D3021" w:rsidRPr="00FD48A9">
        <w:t xml:space="preserve"> </w:t>
      </w:r>
      <w:r w:rsidR="00E42B1A" w:rsidRPr="00FD48A9">
        <w:t xml:space="preserve">of containment measures. </w:t>
      </w:r>
      <w:r w:rsidR="00B36D2B" w:rsidRPr="00FD48A9">
        <w:t>As a result, some states have postponed or partially reversed</w:t>
      </w:r>
      <w:r w:rsidR="003C299E" w:rsidRPr="00FD48A9">
        <w:t xml:space="preserve"> </w:t>
      </w:r>
      <w:r w:rsidR="00B24E4A">
        <w:t>re</w:t>
      </w:r>
      <w:r w:rsidR="00C77479">
        <w:noBreakHyphen/>
      </w:r>
      <w:r w:rsidR="00B24E4A">
        <w:t xml:space="preserve">opening </w:t>
      </w:r>
      <w:r w:rsidR="003C299E" w:rsidRPr="00FD48A9">
        <w:t>plans</w:t>
      </w:r>
      <w:r w:rsidR="00B36D2B" w:rsidRPr="00FD48A9">
        <w:t>.</w:t>
      </w:r>
    </w:p>
    <w:p w14:paraId="46EA8BA2" w14:textId="3218DB2C" w:rsidR="00D131AE" w:rsidRPr="00FD48A9" w:rsidRDefault="00D131AE" w:rsidP="00D131AE">
      <w:r w:rsidRPr="00FD48A9">
        <w:t xml:space="preserve">The </w:t>
      </w:r>
      <w:r w:rsidRPr="00FD48A9">
        <w:rPr>
          <w:b/>
        </w:rPr>
        <w:t>euro area</w:t>
      </w:r>
      <w:r w:rsidRPr="00FD48A9">
        <w:t xml:space="preserve"> entered the health crisis in a weaker position than many other advanced economies and several European countries </w:t>
      </w:r>
      <w:r w:rsidR="002F42E3" w:rsidRPr="00FD48A9">
        <w:t xml:space="preserve">experienced </w:t>
      </w:r>
      <w:r w:rsidRPr="00FD48A9">
        <w:t xml:space="preserve">an early surge in </w:t>
      </w:r>
      <w:r w:rsidR="003F6598" w:rsidRPr="00FD48A9">
        <w:t>COVID</w:t>
      </w:r>
      <w:r w:rsidR="00C77479">
        <w:noBreakHyphen/>
      </w:r>
      <w:r w:rsidR="003F6598" w:rsidRPr="00FD48A9">
        <w:t>19</w:t>
      </w:r>
      <w:r w:rsidRPr="00FD48A9">
        <w:t xml:space="preserve"> cases. While strict containment measures appear to have been effective</w:t>
      </w:r>
      <w:r w:rsidR="00801120" w:rsidRPr="00FD48A9">
        <w:t xml:space="preserve"> at slowing infection rates</w:t>
      </w:r>
      <w:r w:rsidRPr="00FD48A9">
        <w:t>,</w:t>
      </w:r>
      <w:r w:rsidR="002F42E3" w:rsidRPr="00FD48A9">
        <w:t xml:space="preserve"> the economic impact has been severe particularly for those countries with high levels of cases and longer periods of lockdown</w:t>
      </w:r>
      <w:r w:rsidRPr="00FD48A9">
        <w:t xml:space="preserve">. GDP in the euro area </w:t>
      </w:r>
      <w:proofErr w:type="gramStart"/>
      <w:r w:rsidRPr="00FD48A9">
        <w:t>is forecast</w:t>
      </w:r>
      <w:proofErr w:type="gramEnd"/>
      <w:r w:rsidRPr="00FD48A9">
        <w:t xml:space="preserve"> to fall by </w:t>
      </w:r>
      <w:r w:rsidR="00801120" w:rsidRPr="00FD48A9">
        <w:t>8¾</w:t>
      </w:r>
      <w:r w:rsidRPr="00FD48A9">
        <w:t xml:space="preserve"> per cent in 2020. Beyond the initial recovery, diverging national</w:t>
      </w:r>
      <w:r w:rsidR="00C77479">
        <w:noBreakHyphen/>
      </w:r>
      <w:r w:rsidRPr="00FD48A9">
        <w:t>level fiscal responses, sovereign debt overhangs and increases in long</w:t>
      </w:r>
      <w:r w:rsidR="00C77479">
        <w:noBreakHyphen/>
      </w:r>
      <w:r w:rsidRPr="00FD48A9">
        <w:t>term unemployment risk exacerbating existing imbalances. The risk remains that a no</w:t>
      </w:r>
      <w:r w:rsidR="00C77479">
        <w:noBreakHyphen/>
      </w:r>
      <w:r w:rsidRPr="00FD48A9">
        <w:t xml:space="preserve">deal </w:t>
      </w:r>
      <w:proofErr w:type="spellStart"/>
      <w:r w:rsidRPr="00FD48A9">
        <w:t>Brexit</w:t>
      </w:r>
      <w:proofErr w:type="spellEnd"/>
      <w:r w:rsidRPr="00FD48A9">
        <w:t xml:space="preserve"> at the end of the year could </w:t>
      </w:r>
      <w:r w:rsidR="00747E05" w:rsidRPr="00FD48A9">
        <w:t xml:space="preserve">result in lower growth </w:t>
      </w:r>
      <w:r w:rsidRPr="00FD48A9">
        <w:t>in the euro area</w:t>
      </w:r>
      <w:r w:rsidR="000C3AAD" w:rsidRPr="00FD48A9">
        <w:t>,</w:t>
      </w:r>
      <w:r w:rsidR="00AD050D" w:rsidRPr="00FD48A9">
        <w:t xml:space="preserve"> and even more so</w:t>
      </w:r>
      <w:r w:rsidR="000C3AAD" w:rsidRPr="00FD48A9">
        <w:t xml:space="preserve"> in</w:t>
      </w:r>
      <w:r w:rsidRPr="00FD48A9">
        <w:t xml:space="preserve"> the United</w:t>
      </w:r>
      <w:r w:rsidR="00EB6328" w:rsidRPr="00FD48A9">
        <w:t> </w:t>
      </w:r>
      <w:r w:rsidRPr="00FD48A9">
        <w:t xml:space="preserve">Kingdom. GDP in the euro area </w:t>
      </w:r>
      <w:proofErr w:type="gramStart"/>
      <w:r w:rsidRPr="00FD48A9">
        <w:t>is forecast</w:t>
      </w:r>
      <w:proofErr w:type="gramEnd"/>
      <w:r w:rsidRPr="00FD48A9">
        <w:t xml:space="preserve"> to grow by </w:t>
      </w:r>
      <w:r w:rsidR="007B0728" w:rsidRPr="00FD48A9">
        <w:t>5</w:t>
      </w:r>
      <w:r w:rsidRPr="00FD48A9">
        <w:t xml:space="preserve"> per cent in 2021. </w:t>
      </w:r>
    </w:p>
    <w:p w14:paraId="2EFB9726" w14:textId="445A637B" w:rsidR="00D131AE" w:rsidRPr="00FD48A9" w:rsidRDefault="00D131AE" w:rsidP="00D131AE">
      <w:r w:rsidRPr="00FD48A9">
        <w:rPr>
          <w:b/>
        </w:rPr>
        <w:t>Japan</w:t>
      </w:r>
      <w:r w:rsidRPr="00FD48A9">
        <w:t xml:space="preserve"> also entered the health crisis from a subdued economic position, having recorded a large fall in GDP in</w:t>
      </w:r>
      <w:r w:rsidR="00456A4C" w:rsidRPr="00FD48A9">
        <w:t xml:space="preserve"> the</w:t>
      </w:r>
      <w:r w:rsidRPr="00FD48A9">
        <w:t xml:space="preserve"> December quarter 2019. There were signs of recovery over January and February, and the </w:t>
      </w:r>
      <w:r w:rsidR="00456A4C" w:rsidRPr="00FD48A9">
        <w:t>Japanese G</w:t>
      </w:r>
      <w:r w:rsidRPr="00FD48A9">
        <w:t>overnment</w:t>
      </w:r>
      <w:r w:rsidR="00C77479">
        <w:t>’</w:t>
      </w:r>
      <w:r w:rsidRPr="00FD48A9">
        <w:t xml:space="preserve">s containment and support measures </w:t>
      </w:r>
      <w:proofErr w:type="gramStart"/>
      <w:r w:rsidRPr="00FD48A9">
        <w:t xml:space="preserve">have </w:t>
      </w:r>
      <w:r w:rsidR="00385010" w:rsidRPr="00FD48A9">
        <w:t>been aimed</w:t>
      </w:r>
      <w:proofErr w:type="gramEnd"/>
      <w:r w:rsidR="00385010" w:rsidRPr="00FD48A9">
        <w:t xml:space="preserve"> at</w:t>
      </w:r>
      <w:r w:rsidRPr="00FD48A9">
        <w:t xml:space="preserve"> keep</w:t>
      </w:r>
      <w:r w:rsidR="00385010" w:rsidRPr="00FD48A9">
        <w:t>ing</w:t>
      </w:r>
      <w:r w:rsidRPr="00FD48A9">
        <w:t xml:space="preserve"> businesses open, but the pandemic has taken its toll on both domestic consumption and exports. Japan</w:t>
      </w:r>
      <w:r w:rsidR="00C77479">
        <w:t>’</w:t>
      </w:r>
      <w:r w:rsidRPr="00FD48A9">
        <w:t xml:space="preserve">s economy </w:t>
      </w:r>
      <w:proofErr w:type="gramStart"/>
      <w:r w:rsidRPr="00FD48A9">
        <w:t>is expected</w:t>
      </w:r>
      <w:proofErr w:type="gramEnd"/>
      <w:r w:rsidRPr="00FD48A9">
        <w:t xml:space="preserve"> to contract by </w:t>
      </w:r>
      <w:r w:rsidR="00597558" w:rsidRPr="00FD48A9">
        <w:t>6¼</w:t>
      </w:r>
      <w:r w:rsidRPr="00FD48A9">
        <w:t xml:space="preserve"> per cent in</w:t>
      </w:r>
      <w:r w:rsidR="00EB6328" w:rsidRPr="00FD48A9">
        <w:t> </w:t>
      </w:r>
      <w:r w:rsidRPr="00FD48A9">
        <w:t xml:space="preserve">2020 before growing by </w:t>
      </w:r>
      <w:r w:rsidR="00597558" w:rsidRPr="00FD48A9">
        <w:t>2¾</w:t>
      </w:r>
      <w:r w:rsidRPr="00FD48A9">
        <w:t xml:space="preserve"> per cent in 2021. </w:t>
      </w:r>
    </w:p>
    <w:p w14:paraId="04E269B8" w14:textId="65D12BDE" w:rsidR="00D131AE" w:rsidRPr="00FD48A9" w:rsidRDefault="00D131AE" w:rsidP="00D131AE">
      <w:r w:rsidRPr="00FD48A9">
        <w:t xml:space="preserve">GDP for </w:t>
      </w:r>
      <w:r w:rsidRPr="00FD48A9">
        <w:rPr>
          <w:b/>
        </w:rPr>
        <w:t>Other East Asia</w:t>
      </w:r>
      <w:r w:rsidRPr="00FD48A9">
        <w:t xml:space="preserve"> </w:t>
      </w:r>
      <w:proofErr w:type="gramStart"/>
      <w:r w:rsidRPr="00FD48A9">
        <w:t>is forecast</w:t>
      </w:r>
      <w:proofErr w:type="gramEnd"/>
      <w:r w:rsidRPr="00FD48A9">
        <w:t xml:space="preserve"> to fall by </w:t>
      </w:r>
      <w:r w:rsidR="00D75F2D" w:rsidRPr="00FD48A9">
        <w:t>3¼</w:t>
      </w:r>
      <w:r w:rsidRPr="00FD48A9">
        <w:t xml:space="preserve"> per cent in 2020. Countries in the region </w:t>
      </w:r>
      <w:r w:rsidR="00D75F2D" w:rsidRPr="00FD48A9">
        <w:t xml:space="preserve">entered the crisis with different economic conditions and </w:t>
      </w:r>
      <w:r w:rsidRPr="00FD48A9">
        <w:t>have had varying success in containing the virus. Economies like Korea</w:t>
      </w:r>
      <w:r w:rsidR="008255C9" w:rsidRPr="00FD48A9">
        <w:t xml:space="preserve">, </w:t>
      </w:r>
      <w:r w:rsidRPr="00FD48A9">
        <w:t>Taiwan</w:t>
      </w:r>
      <w:r w:rsidR="008255C9" w:rsidRPr="00FD48A9">
        <w:t xml:space="preserve"> and Vietnam</w:t>
      </w:r>
      <w:r w:rsidRPr="00FD48A9">
        <w:t xml:space="preserve"> appear to have limited transmission without substantially restricting production, and are consequently forecast to see smaller contractions in activity than most advanced economies. Others, </w:t>
      </w:r>
      <w:r w:rsidR="001C15FE" w:rsidRPr="00FD48A9">
        <w:t>like</w:t>
      </w:r>
      <w:r w:rsidRPr="00FD48A9">
        <w:t xml:space="preserve"> Indonesia and </w:t>
      </w:r>
      <w:r w:rsidR="00613149" w:rsidRPr="00FD48A9">
        <w:t>the Philippines</w:t>
      </w:r>
      <w:r w:rsidRPr="00FD48A9">
        <w:t xml:space="preserve">, continue to face high infection rates and </w:t>
      </w:r>
      <w:r w:rsidR="001E1A7B" w:rsidRPr="00FD48A9">
        <w:t>economic activity</w:t>
      </w:r>
      <w:r w:rsidR="001C15FE" w:rsidRPr="00FD48A9">
        <w:t xml:space="preserve"> </w:t>
      </w:r>
      <w:proofErr w:type="gramStart"/>
      <w:r w:rsidR="001C15FE" w:rsidRPr="00FD48A9">
        <w:t>is expected</w:t>
      </w:r>
      <w:proofErr w:type="gramEnd"/>
      <w:r w:rsidR="001C15FE" w:rsidRPr="00FD48A9">
        <w:t xml:space="preserve"> to contract further</w:t>
      </w:r>
      <w:r w:rsidRPr="00FD48A9">
        <w:t xml:space="preserve">. A rebound </w:t>
      </w:r>
      <w:proofErr w:type="gramStart"/>
      <w:r w:rsidRPr="00FD48A9">
        <w:t>is expected</w:t>
      </w:r>
      <w:proofErr w:type="gramEnd"/>
      <w:r w:rsidRPr="00FD48A9">
        <w:t xml:space="preserve"> for</w:t>
      </w:r>
      <w:r w:rsidR="00512F47" w:rsidRPr="00FD48A9">
        <w:t xml:space="preserve"> the region in</w:t>
      </w:r>
      <w:r w:rsidRPr="00FD48A9">
        <w:t xml:space="preserve"> 2021, fuelled by the expected recovery in China and a transition back towards pre</w:t>
      </w:r>
      <w:r w:rsidR="00C77479">
        <w:noBreakHyphen/>
      </w:r>
      <w:r w:rsidRPr="00FD48A9">
        <w:t xml:space="preserve">crisis growth trends. While relatively strong government balance sheets </w:t>
      </w:r>
      <w:r w:rsidR="003C299E" w:rsidRPr="00FD48A9">
        <w:t>should support</w:t>
      </w:r>
      <w:r w:rsidRPr="00FD48A9">
        <w:t xml:space="preserve"> recovery, high reliance on trade and remittances leave the region vulnerable to the risk of sustained global weakness.</w:t>
      </w:r>
    </w:p>
    <w:p w14:paraId="7CFE744F" w14:textId="5F75EFBE" w:rsidR="00D131AE" w:rsidRPr="00FD48A9" w:rsidRDefault="00D131AE" w:rsidP="00D131AE">
      <w:r w:rsidRPr="00FD48A9">
        <w:rPr>
          <w:b/>
        </w:rPr>
        <w:t>Indonesia</w:t>
      </w:r>
      <w:r w:rsidRPr="00FD48A9">
        <w:t xml:space="preserve"> has the highest number of </w:t>
      </w:r>
      <w:r w:rsidR="003F6598" w:rsidRPr="00FD48A9">
        <w:t>COVID</w:t>
      </w:r>
      <w:r w:rsidR="00C77479">
        <w:noBreakHyphen/>
      </w:r>
      <w:r w:rsidR="003F6598" w:rsidRPr="00FD48A9">
        <w:t>19</w:t>
      </w:r>
      <w:r w:rsidRPr="00FD48A9">
        <w:t xml:space="preserve"> cases in South East Asia, although it is yet to experience the peak of the virus impact. The Indonesian Government</w:t>
      </w:r>
      <w:r w:rsidR="00431D86" w:rsidRPr="00FD48A9">
        <w:t xml:space="preserve"> announced multiple rounds of fiscal stimulus, with </w:t>
      </w:r>
      <w:r w:rsidRPr="00FD48A9">
        <w:t xml:space="preserve">the budget deficit to reach </w:t>
      </w:r>
      <w:r w:rsidR="00431D86" w:rsidRPr="00FD48A9">
        <w:t>6.3</w:t>
      </w:r>
      <w:r w:rsidRPr="00FD48A9">
        <w:t xml:space="preserve"> per cent of GDP. Indonesia</w:t>
      </w:r>
      <w:r w:rsidR="00C77479">
        <w:t>’</w:t>
      </w:r>
      <w:r w:rsidRPr="00FD48A9">
        <w:t xml:space="preserve">s economy </w:t>
      </w:r>
      <w:proofErr w:type="gramStart"/>
      <w:r w:rsidRPr="00FD48A9">
        <w:t>is forecast</w:t>
      </w:r>
      <w:proofErr w:type="gramEnd"/>
      <w:r w:rsidRPr="00FD48A9">
        <w:t xml:space="preserve"> to contract by </w:t>
      </w:r>
      <w:r w:rsidR="00431D86" w:rsidRPr="00FD48A9">
        <w:t>3¼</w:t>
      </w:r>
      <w:r w:rsidRPr="00FD48A9">
        <w:t xml:space="preserve"> per cent in 2020. </w:t>
      </w:r>
    </w:p>
    <w:p w14:paraId="48C0EAF1" w14:textId="295EF4C5" w:rsidR="00D131AE" w:rsidRPr="00FD48A9" w:rsidRDefault="00D131AE" w:rsidP="00D131AE">
      <w:r w:rsidRPr="00FD48A9">
        <w:rPr>
          <w:b/>
        </w:rPr>
        <w:t>India</w:t>
      </w:r>
      <w:r w:rsidRPr="00FD48A9">
        <w:t xml:space="preserve"> has the </w:t>
      </w:r>
      <w:r w:rsidR="00590C3D" w:rsidRPr="00FD48A9">
        <w:t>third</w:t>
      </w:r>
      <w:r w:rsidRPr="00FD48A9">
        <w:t xml:space="preserve"> largest number of recorded </w:t>
      </w:r>
      <w:r w:rsidR="003F6598" w:rsidRPr="00FD48A9">
        <w:t>COVID</w:t>
      </w:r>
      <w:r w:rsidR="00C77479">
        <w:noBreakHyphen/>
      </w:r>
      <w:r w:rsidR="003F6598" w:rsidRPr="00FD48A9">
        <w:t>19</w:t>
      </w:r>
      <w:r w:rsidRPr="00FD48A9">
        <w:t xml:space="preserve"> cases in the world, </w:t>
      </w:r>
      <w:r w:rsidR="002E30C9" w:rsidRPr="00FD48A9">
        <w:t>and</w:t>
      </w:r>
      <w:r w:rsidRPr="00FD48A9">
        <w:t xml:space="preserve"> </w:t>
      </w:r>
      <w:r w:rsidR="00590C3D" w:rsidRPr="00FD48A9">
        <w:t>cases continu</w:t>
      </w:r>
      <w:r w:rsidR="002E30C9" w:rsidRPr="00FD48A9">
        <w:t>e</w:t>
      </w:r>
      <w:r w:rsidR="00590C3D" w:rsidRPr="00FD48A9">
        <w:t xml:space="preserve"> to rise</w:t>
      </w:r>
      <w:r w:rsidRPr="00FD48A9">
        <w:t xml:space="preserve">. The Indian Government has announced </w:t>
      </w:r>
      <w:r w:rsidR="001C6BEB" w:rsidRPr="00FD48A9">
        <w:t xml:space="preserve">a number of </w:t>
      </w:r>
      <w:r w:rsidRPr="00FD48A9">
        <w:t xml:space="preserve">economic </w:t>
      </w:r>
      <w:r w:rsidR="001C6BEB" w:rsidRPr="00FD48A9">
        <w:t xml:space="preserve">support measures </w:t>
      </w:r>
      <w:r w:rsidR="00BA73E6" w:rsidRPr="00FD48A9">
        <w:t>to stimulate the economy. However,</w:t>
      </w:r>
      <w:r w:rsidRPr="00FD48A9">
        <w:t xml:space="preserve"> the pandemic is likely to exacerbate existing weakness, with </w:t>
      </w:r>
      <w:r w:rsidR="00590C3D" w:rsidRPr="00FD48A9">
        <w:t xml:space="preserve">fragile </w:t>
      </w:r>
      <w:r w:rsidRPr="00FD48A9">
        <w:t xml:space="preserve">financial conditions and stress in </w:t>
      </w:r>
      <w:proofErr w:type="gramStart"/>
      <w:r w:rsidRPr="00FD48A9">
        <w:t>India</w:t>
      </w:r>
      <w:r w:rsidR="00C77479">
        <w:t>’</w:t>
      </w:r>
      <w:r w:rsidRPr="00FD48A9">
        <w:t>s</w:t>
      </w:r>
      <w:proofErr w:type="gramEnd"/>
      <w:r w:rsidRPr="00FD48A9">
        <w:t xml:space="preserve"> banking sector preventing the Government from increasing fiscal support in the face of further </w:t>
      </w:r>
      <w:r w:rsidRPr="00FD48A9">
        <w:lastRenderedPageBreak/>
        <w:t xml:space="preserve">deteriorating health and economic conditions. The Indian economy </w:t>
      </w:r>
      <w:proofErr w:type="gramStart"/>
      <w:r w:rsidRPr="00FD48A9">
        <w:t>is forecast</w:t>
      </w:r>
      <w:proofErr w:type="gramEnd"/>
      <w:r w:rsidRPr="00FD48A9">
        <w:t xml:space="preserve"> to contract by </w:t>
      </w:r>
      <w:r w:rsidR="001C6BEB" w:rsidRPr="00FD48A9">
        <w:t>4</w:t>
      </w:r>
      <w:r w:rsidRPr="00FD48A9">
        <w:t xml:space="preserve"> per cent</w:t>
      </w:r>
      <w:r w:rsidR="00336288" w:rsidRPr="00FD48A9">
        <w:t xml:space="preserve"> in</w:t>
      </w:r>
      <w:r w:rsidRPr="00FD48A9">
        <w:t xml:space="preserve"> 2020 following a prolonged lockdown period.</w:t>
      </w:r>
    </w:p>
    <w:p w14:paraId="2C01FD4A" w14:textId="40F4F009" w:rsidR="00D131AE" w:rsidRPr="00FD48A9" w:rsidRDefault="00935C75" w:rsidP="00B04E5F">
      <w:pPr>
        <w:pStyle w:val="Heading2"/>
      </w:pPr>
      <w:r w:rsidRPr="00FD48A9">
        <w:fldChar w:fldCharType="begin"/>
      </w:r>
      <w:r w:rsidRPr="00FD48A9">
        <w:instrText xml:space="preserve"> :End:MECD_TP1 </w:instrText>
      </w:r>
      <w:r w:rsidRPr="00FD48A9">
        <w:fldChar w:fldCharType="end"/>
      </w:r>
      <w:r w:rsidR="00163A55" w:rsidRPr="00FD48A9">
        <w:fldChar w:fldCharType="begin"/>
      </w:r>
      <w:r w:rsidR="00163A55" w:rsidRPr="00FD48A9">
        <w:instrText xml:space="preserve"> :Start:MECD_TP2 </w:instrText>
      </w:r>
      <w:r w:rsidR="00163A55" w:rsidRPr="00FD48A9">
        <w:fldChar w:fldCharType="end"/>
      </w:r>
      <w:r w:rsidR="00B04E5F" w:rsidRPr="00FD48A9">
        <w:t>Domestic economic outlook</w:t>
      </w:r>
    </w:p>
    <w:p w14:paraId="635EBC46" w14:textId="50C48F5D" w:rsidR="00D131AE" w:rsidRPr="00FD48A9" w:rsidRDefault="00FD3E04" w:rsidP="00D131AE">
      <w:r w:rsidRPr="00FD48A9">
        <w:t xml:space="preserve">The impact that </w:t>
      </w:r>
      <w:r w:rsidR="003F6598" w:rsidRPr="00FD48A9">
        <w:t>the COVID</w:t>
      </w:r>
      <w:r w:rsidR="00C77479">
        <w:noBreakHyphen/>
      </w:r>
      <w:r w:rsidR="003F6598" w:rsidRPr="00FD48A9">
        <w:t>19 pandemic</w:t>
      </w:r>
      <w:r w:rsidRPr="00FD48A9">
        <w:t xml:space="preserve"> is having on the global economy and the measures implemented to slow the spread of the virus domestically are having profound impacts on the Australian economy.</w:t>
      </w:r>
      <w:r w:rsidR="00DE5F97" w:rsidRPr="00FD48A9">
        <w:t xml:space="preserve"> </w:t>
      </w:r>
      <w:r w:rsidR="00163A55" w:rsidRPr="00FD48A9">
        <w:fldChar w:fldCharType="begin"/>
      </w:r>
      <w:r w:rsidR="00163A55" w:rsidRPr="00FD48A9">
        <w:instrText xml:space="preserve"> :End:MECD_TP2 </w:instrText>
      </w:r>
      <w:r w:rsidR="00163A55" w:rsidRPr="00FD48A9">
        <w:fldChar w:fldCharType="end"/>
      </w:r>
      <w:r w:rsidR="00163A55" w:rsidRPr="00FD48A9">
        <w:fldChar w:fldCharType="begin"/>
      </w:r>
      <w:r w:rsidR="00163A55" w:rsidRPr="00FD48A9">
        <w:instrText xml:space="preserve"> :Start:MECD_TP1 </w:instrText>
      </w:r>
      <w:r w:rsidR="00163A55" w:rsidRPr="00FD48A9">
        <w:fldChar w:fldCharType="end"/>
      </w:r>
      <w:r w:rsidR="00DE5F97" w:rsidRPr="00FD48A9">
        <w:t>Despite this,</w:t>
      </w:r>
      <w:r w:rsidRPr="00FD48A9">
        <w:t xml:space="preserve"> </w:t>
      </w:r>
      <w:r w:rsidR="00D131AE" w:rsidRPr="00FD48A9">
        <w:t>Australia has outperformed most other countries in both health and economic outcomes to date</w:t>
      </w:r>
      <w:r w:rsidR="00917B95" w:rsidRPr="00FD48A9">
        <w:t>,</w:t>
      </w:r>
      <w:r w:rsidR="00163A55" w:rsidRPr="00FD48A9">
        <w:fldChar w:fldCharType="begin"/>
      </w:r>
      <w:r w:rsidR="00163A55" w:rsidRPr="00FD48A9">
        <w:instrText xml:space="preserve"> :End:MECD_TP1 </w:instrText>
      </w:r>
      <w:r w:rsidR="00163A55" w:rsidRPr="00FD48A9">
        <w:fldChar w:fldCharType="end"/>
      </w:r>
      <w:r w:rsidR="00D131AE" w:rsidRPr="00FD48A9">
        <w:t xml:space="preserve"> </w:t>
      </w:r>
      <w:r w:rsidR="00163A55" w:rsidRPr="00FD48A9">
        <w:fldChar w:fldCharType="begin"/>
      </w:r>
      <w:r w:rsidR="00163A55" w:rsidRPr="00FD48A9">
        <w:instrText xml:space="preserve"> :Start:MECD_TP2 </w:instrText>
      </w:r>
      <w:r w:rsidR="00163A55" w:rsidRPr="00FD48A9">
        <w:fldChar w:fldCharType="end"/>
      </w:r>
      <w:r w:rsidR="00D131AE" w:rsidRPr="00FD48A9">
        <w:t>supported by the largest economic support package in our history.</w:t>
      </w:r>
      <w:r w:rsidRPr="00FD48A9">
        <w:t xml:space="preserve"> </w:t>
      </w:r>
    </w:p>
    <w:p w14:paraId="4469B2B4" w14:textId="4F03EB9C" w:rsidR="00D131AE" w:rsidRPr="00FD48A9" w:rsidRDefault="00163A55" w:rsidP="00D131AE">
      <w:r w:rsidRPr="00FD48A9">
        <w:fldChar w:fldCharType="begin"/>
      </w:r>
      <w:r w:rsidRPr="00FD48A9">
        <w:instrText xml:space="preserve"> :End:MECD_TP2 </w:instrText>
      </w:r>
      <w:r w:rsidRPr="00FD48A9">
        <w:fldChar w:fldCharType="end"/>
      </w:r>
      <w:r w:rsidRPr="00FD48A9">
        <w:fldChar w:fldCharType="begin"/>
      </w:r>
      <w:r w:rsidRPr="00FD48A9">
        <w:instrText xml:space="preserve"> :Start:MECD_TP2 </w:instrText>
      </w:r>
      <w:r w:rsidRPr="00FD48A9">
        <w:fldChar w:fldCharType="end"/>
      </w:r>
      <w:r w:rsidR="00D131AE" w:rsidRPr="00FD48A9">
        <w:t xml:space="preserve">In the June quarter, the economy is expected to have experienced its largest quarterly fall on record of </w:t>
      </w:r>
      <w:r w:rsidR="004048C0" w:rsidRPr="00FD48A9">
        <w:t>7</w:t>
      </w:r>
      <w:r w:rsidR="00D131AE" w:rsidRPr="00FD48A9">
        <w:t xml:space="preserve"> per cent. </w:t>
      </w:r>
      <w:r w:rsidRPr="00FD48A9">
        <w:fldChar w:fldCharType="begin"/>
      </w:r>
      <w:r w:rsidRPr="00FD48A9">
        <w:instrText xml:space="preserve"> :End:MECD_TP2 </w:instrText>
      </w:r>
      <w:r w:rsidRPr="00FD48A9">
        <w:fldChar w:fldCharType="end"/>
      </w:r>
      <w:r w:rsidRPr="00FD48A9">
        <w:fldChar w:fldCharType="begin"/>
      </w:r>
      <w:r w:rsidRPr="00FD48A9">
        <w:instrText xml:space="preserve"> :Start:MECD_TP3 </w:instrText>
      </w:r>
      <w:r w:rsidRPr="00FD48A9">
        <w:fldChar w:fldCharType="end"/>
      </w:r>
      <w:r w:rsidR="00D131AE" w:rsidRPr="00FD48A9">
        <w:t xml:space="preserve">The fallout from containment measures has been evident across all </w:t>
      </w:r>
      <w:r w:rsidR="00456A4C" w:rsidRPr="00FD48A9">
        <w:t>parts</w:t>
      </w:r>
      <w:r w:rsidR="001E7735" w:rsidRPr="00FD48A9">
        <w:t xml:space="preserve"> </w:t>
      </w:r>
      <w:r w:rsidR="00D131AE" w:rsidRPr="00FD48A9">
        <w:t xml:space="preserve">of the economy since March, with record falls in a range of key economic indicators. </w:t>
      </w:r>
      <w:r w:rsidRPr="00FD48A9">
        <w:fldChar w:fldCharType="begin"/>
      </w:r>
      <w:r w:rsidRPr="00FD48A9">
        <w:instrText xml:space="preserve"> :End:MECD_TP3 </w:instrText>
      </w:r>
      <w:r w:rsidRPr="00FD48A9">
        <w:fldChar w:fldCharType="end"/>
      </w:r>
      <w:r w:rsidR="00D56C3F" w:rsidRPr="00FD48A9">
        <w:fldChar w:fldCharType="begin"/>
      </w:r>
      <w:r w:rsidR="00D56C3F" w:rsidRPr="00FD48A9">
        <w:instrText xml:space="preserve"> :Start:MECD_TP3 </w:instrText>
      </w:r>
      <w:r w:rsidR="00D56C3F" w:rsidRPr="00FD48A9">
        <w:fldChar w:fldCharType="end"/>
      </w:r>
      <w:r w:rsidR="00D131AE" w:rsidRPr="00FD48A9">
        <w:t>Business conditions, confidence and activity indices all fell to record lows and there have been significant downgrades to firms</w:t>
      </w:r>
      <w:r w:rsidR="00C77479">
        <w:t>’</w:t>
      </w:r>
      <w:r w:rsidR="00D131AE" w:rsidRPr="00FD48A9">
        <w:t xml:space="preserve"> capital expenditure plans. In the household sector, there have been record falls in consumer confidence</w:t>
      </w:r>
      <w:r w:rsidR="00E330A0" w:rsidRPr="00FD48A9">
        <w:t>, with</w:t>
      </w:r>
      <w:r w:rsidR="00D131AE" w:rsidRPr="00FD48A9">
        <w:t xml:space="preserve"> consumption of services such as accommodation and food services and transport</w:t>
      </w:r>
      <w:r w:rsidR="00E330A0" w:rsidRPr="00FD48A9">
        <w:t xml:space="preserve"> being particularly hard hit</w:t>
      </w:r>
      <w:r w:rsidR="00D131AE" w:rsidRPr="00FD48A9">
        <w:t xml:space="preserve">. Severe job losses have also occurred and the unemployment rate rose at its fastest pace on record in April, alongside a record fall in participation. </w:t>
      </w:r>
      <w:r w:rsidR="00D56C3F" w:rsidRPr="00FD48A9">
        <w:fldChar w:fldCharType="begin"/>
      </w:r>
      <w:r w:rsidR="00D56C3F" w:rsidRPr="00FD48A9">
        <w:instrText xml:space="preserve"> :End:MECD_TP3 </w:instrText>
      </w:r>
      <w:r w:rsidR="00D56C3F" w:rsidRPr="00FD48A9">
        <w:fldChar w:fldCharType="end"/>
      </w:r>
      <w:r w:rsidR="00833804" w:rsidRPr="00FD48A9">
        <w:fldChar w:fldCharType="begin"/>
      </w:r>
      <w:r w:rsidR="00833804" w:rsidRPr="00FD48A9">
        <w:instrText xml:space="preserve"> :Start:MECD_TP1 </w:instrText>
      </w:r>
      <w:r w:rsidR="00833804" w:rsidRPr="00FD48A9">
        <w:fldChar w:fldCharType="end"/>
      </w:r>
      <w:r w:rsidR="00D131AE" w:rsidRPr="00FD48A9">
        <w:t>Consistent with restrictions on international travel, overseas arrivals fell to record lows in May.</w:t>
      </w:r>
      <w:r w:rsidR="008F3219" w:rsidRPr="00FD48A9">
        <w:t xml:space="preserve"> </w:t>
      </w:r>
      <w:r w:rsidR="00833804" w:rsidRPr="00FD48A9">
        <w:fldChar w:fldCharType="begin"/>
      </w:r>
      <w:r w:rsidR="00833804" w:rsidRPr="00FD48A9">
        <w:instrText xml:space="preserve"> :End:MECD_TP1 </w:instrText>
      </w:r>
      <w:r w:rsidR="00833804" w:rsidRPr="00FD48A9">
        <w:fldChar w:fldCharType="end"/>
      </w:r>
    </w:p>
    <w:p w14:paraId="2D9C34FE" w14:textId="46F7D8EB" w:rsidR="00456A4C" w:rsidRPr="00FD48A9" w:rsidRDefault="00202D07" w:rsidP="00D131AE">
      <w:r w:rsidRPr="00FD48A9">
        <w:fldChar w:fldCharType="begin"/>
      </w:r>
      <w:r w:rsidRPr="00FD48A9">
        <w:instrText xml:space="preserve"> :Start:MECD_TP2 </w:instrText>
      </w:r>
      <w:r w:rsidRPr="00FD48A9">
        <w:fldChar w:fldCharType="end"/>
      </w:r>
      <w:r w:rsidR="00D131AE" w:rsidRPr="00FD48A9">
        <w:t xml:space="preserve">Economic activity </w:t>
      </w:r>
      <w:proofErr w:type="gramStart"/>
      <w:r w:rsidR="00D131AE" w:rsidRPr="00FD48A9">
        <w:t>is expected</w:t>
      </w:r>
      <w:proofErr w:type="gramEnd"/>
      <w:r w:rsidR="00D131AE" w:rsidRPr="00FD48A9">
        <w:t xml:space="preserve"> to pick up in the September quarter, by </w:t>
      </w:r>
      <w:r w:rsidR="004F01E5" w:rsidRPr="00FD48A9">
        <w:t>1</w:t>
      </w:r>
      <w:r w:rsidR="001563BE" w:rsidRPr="00FD48A9">
        <w:t xml:space="preserve">½ </w:t>
      </w:r>
      <w:r w:rsidR="00D131AE" w:rsidRPr="00FD48A9">
        <w:t xml:space="preserve">per cent. </w:t>
      </w:r>
      <w:r w:rsidR="00D32A9E" w:rsidRPr="00FD48A9">
        <w:t xml:space="preserve">Activity in the quarter </w:t>
      </w:r>
      <w:proofErr w:type="gramStart"/>
      <w:r w:rsidR="00D32A9E" w:rsidRPr="00FD48A9">
        <w:t>will be supported</w:t>
      </w:r>
      <w:proofErr w:type="gramEnd"/>
      <w:r w:rsidR="00D32A9E" w:rsidRPr="00FD48A9">
        <w:t xml:space="preserve"> by t</w:t>
      </w:r>
      <w:r w:rsidR="00D131AE" w:rsidRPr="00FD48A9">
        <w:t xml:space="preserve">he gradual easing of restrictions </w:t>
      </w:r>
      <w:r w:rsidR="00C77A77" w:rsidRPr="00FD48A9">
        <w:t xml:space="preserve">around most of the country </w:t>
      </w:r>
      <w:r w:rsidR="00D131AE" w:rsidRPr="00FD48A9">
        <w:t>that began in the latter part of the June quarter</w:t>
      </w:r>
      <w:r w:rsidR="00D32A9E" w:rsidRPr="00FD48A9">
        <w:t>,</w:t>
      </w:r>
      <w:r w:rsidRPr="00FD48A9">
        <w:fldChar w:fldCharType="begin"/>
      </w:r>
      <w:r w:rsidRPr="00FD48A9">
        <w:instrText xml:space="preserve"> :End:MECD_TP2 </w:instrText>
      </w:r>
      <w:r w:rsidRPr="00FD48A9">
        <w:fldChar w:fldCharType="end"/>
      </w:r>
      <w:r w:rsidR="00D32A9E" w:rsidRPr="00FD48A9">
        <w:t xml:space="preserve"> </w:t>
      </w:r>
      <w:r w:rsidRPr="00FD48A9">
        <w:fldChar w:fldCharType="begin"/>
      </w:r>
      <w:r w:rsidRPr="00FD48A9">
        <w:instrText xml:space="preserve"> :Start:MECD_TP3 </w:instrText>
      </w:r>
      <w:r w:rsidRPr="00FD48A9">
        <w:fldChar w:fldCharType="end"/>
      </w:r>
      <w:r w:rsidR="00D32A9E" w:rsidRPr="00FD48A9">
        <w:t>which was</w:t>
      </w:r>
      <w:r w:rsidR="00D131AE" w:rsidRPr="00FD48A9">
        <w:t xml:space="preserve"> accompanied by a </w:t>
      </w:r>
      <w:r w:rsidR="001563BE" w:rsidRPr="00FD48A9">
        <w:t>partial</w:t>
      </w:r>
      <w:r w:rsidR="00D131AE" w:rsidRPr="00FD48A9">
        <w:t xml:space="preserve"> recovery in consumer</w:t>
      </w:r>
      <w:r w:rsidR="006D285C" w:rsidRPr="00FD48A9">
        <w:t xml:space="preserve"> confidence, a rebound in</w:t>
      </w:r>
      <w:r w:rsidR="00D131AE" w:rsidRPr="00FD48A9">
        <w:t xml:space="preserve"> business confidence and some improvement in the labour market</w:t>
      </w:r>
      <w:r w:rsidR="00D32A9E" w:rsidRPr="00FD48A9">
        <w:t>.</w:t>
      </w:r>
      <w:r w:rsidRPr="00FD48A9">
        <w:fldChar w:fldCharType="begin"/>
      </w:r>
      <w:r w:rsidRPr="00FD48A9">
        <w:instrText xml:space="preserve"> :End:MECD_TP3 </w:instrText>
      </w:r>
      <w:r w:rsidRPr="00FD48A9">
        <w:fldChar w:fldCharType="end"/>
      </w:r>
      <w:r w:rsidR="00D32A9E" w:rsidRPr="00FD48A9">
        <w:t xml:space="preserve"> </w:t>
      </w:r>
      <w:r w:rsidR="00911881" w:rsidRPr="00FD48A9">
        <w:fldChar w:fldCharType="begin"/>
      </w:r>
      <w:r w:rsidR="00911881" w:rsidRPr="00FD48A9">
        <w:instrText xml:space="preserve"> :Start:MECD_TP2 </w:instrText>
      </w:r>
      <w:r w:rsidR="00911881" w:rsidRPr="00FD48A9">
        <w:fldChar w:fldCharType="end"/>
      </w:r>
      <w:r w:rsidR="00D32A9E" w:rsidRPr="00FD48A9">
        <w:t>However,</w:t>
      </w:r>
      <w:r w:rsidR="003B707D" w:rsidRPr="00FD48A9" w:rsidDel="00D32A9E">
        <w:t xml:space="preserve"> </w:t>
      </w:r>
      <w:r w:rsidR="003B707D" w:rsidRPr="00FD48A9">
        <w:t xml:space="preserve">the recent increase in locally acquired </w:t>
      </w:r>
      <w:r w:rsidR="003F6598" w:rsidRPr="00FD48A9">
        <w:t>COVID</w:t>
      </w:r>
      <w:r w:rsidR="00C77479">
        <w:noBreakHyphen/>
      </w:r>
      <w:r w:rsidR="003F6598" w:rsidRPr="00FD48A9">
        <w:t>19</w:t>
      </w:r>
      <w:r w:rsidR="00F5470E" w:rsidRPr="00FD48A9">
        <w:t xml:space="preserve"> </w:t>
      </w:r>
      <w:r w:rsidR="003B707D" w:rsidRPr="00FD48A9">
        <w:t>cases in Victoria</w:t>
      </w:r>
      <w:r w:rsidR="00D32A9E" w:rsidRPr="00FD48A9">
        <w:t xml:space="preserve"> and the corresponding me</w:t>
      </w:r>
      <w:r w:rsidR="00F5470E" w:rsidRPr="00FD48A9">
        <w:t>asures implemented to contain the outbreak</w:t>
      </w:r>
      <w:r w:rsidR="00D32A9E" w:rsidRPr="00FD48A9">
        <w:t xml:space="preserve"> will </w:t>
      </w:r>
      <w:r w:rsidR="00F5470E" w:rsidRPr="00FD48A9">
        <w:t>weigh on activity in that state. The increase in uncertainty about the spread of the virus</w:t>
      </w:r>
      <w:r w:rsidR="00D32A9E" w:rsidRPr="00FD48A9">
        <w:t xml:space="preserve"> </w:t>
      </w:r>
      <w:proofErr w:type="gramStart"/>
      <w:r w:rsidR="00F5470E" w:rsidRPr="00FD48A9">
        <w:t>is also expected</w:t>
      </w:r>
      <w:proofErr w:type="gramEnd"/>
      <w:r w:rsidR="00D32A9E" w:rsidRPr="00FD48A9">
        <w:t xml:space="preserve"> to dampen the </w:t>
      </w:r>
      <w:r w:rsidR="00C352C7" w:rsidRPr="00FD48A9">
        <w:t>recovery</w:t>
      </w:r>
      <w:r w:rsidR="00F5470E" w:rsidRPr="00FD48A9">
        <w:t xml:space="preserve"> in </w:t>
      </w:r>
      <w:r w:rsidR="00D32A9E" w:rsidRPr="00FD48A9">
        <w:t>other parts of the country</w:t>
      </w:r>
      <w:r w:rsidR="00D131AE" w:rsidRPr="00FD48A9">
        <w:t>.</w:t>
      </w:r>
      <w:r w:rsidR="00F5470E" w:rsidRPr="00FD48A9">
        <w:t xml:space="preserve"> </w:t>
      </w:r>
      <w:r w:rsidR="00911881" w:rsidRPr="00FD48A9">
        <w:fldChar w:fldCharType="begin"/>
      </w:r>
      <w:r w:rsidR="00911881" w:rsidRPr="00FD48A9">
        <w:instrText xml:space="preserve"> :End:MECD_TP2 </w:instrText>
      </w:r>
      <w:r w:rsidR="00911881" w:rsidRPr="00FD48A9">
        <w:fldChar w:fldCharType="end"/>
      </w:r>
      <w:r w:rsidR="00911881" w:rsidRPr="00FD48A9">
        <w:fldChar w:fldCharType="begin"/>
      </w:r>
      <w:r w:rsidR="00911881" w:rsidRPr="00FD48A9">
        <w:instrText xml:space="preserve"> :Start:MECD_TP3 </w:instrText>
      </w:r>
      <w:r w:rsidR="00911881" w:rsidRPr="00FD48A9">
        <w:fldChar w:fldCharType="end"/>
      </w:r>
      <w:r w:rsidR="008F3219" w:rsidRPr="00FD48A9">
        <w:t>Consumer confidence data for Australia showed falls from late June as COVID</w:t>
      </w:r>
      <w:r w:rsidR="00C77479">
        <w:noBreakHyphen/>
      </w:r>
      <w:r w:rsidR="008F3219" w:rsidRPr="00FD48A9">
        <w:t>19 case numbers in Australia rose.</w:t>
      </w:r>
      <w:r w:rsidR="003A7CFB" w:rsidRPr="00FD48A9">
        <w:t xml:space="preserve"> </w:t>
      </w:r>
      <w:r w:rsidR="00911881" w:rsidRPr="00FD48A9">
        <w:fldChar w:fldCharType="begin"/>
      </w:r>
      <w:r w:rsidR="00911881" w:rsidRPr="00FD48A9">
        <w:instrText xml:space="preserve"> :End:MECD_TP3 </w:instrText>
      </w:r>
      <w:r w:rsidR="00911881" w:rsidRPr="00FD48A9">
        <w:fldChar w:fldCharType="end"/>
      </w:r>
    </w:p>
    <w:p w14:paraId="25F98519" w14:textId="7A526094" w:rsidR="00D131AE" w:rsidRPr="00FD48A9" w:rsidRDefault="00911881" w:rsidP="00D131AE">
      <w:r w:rsidRPr="00FD48A9">
        <w:fldChar w:fldCharType="begin"/>
      </w:r>
      <w:r w:rsidRPr="00FD48A9">
        <w:instrText xml:space="preserve"> :Start:MECD_TP2 </w:instrText>
      </w:r>
      <w:r w:rsidRPr="00FD48A9">
        <w:fldChar w:fldCharType="end"/>
      </w:r>
      <w:r w:rsidR="003A7CFB" w:rsidRPr="00FD48A9">
        <w:t xml:space="preserve">Real GDP </w:t>
      </w:r>
      <w:proofErr w:type="gramStart"/>
      <w:r w:rsidR="003A7CFB" w:rsidRPr="00FD48A9">
        <w:t>is forecast</w:t>
      </w:r>
      <w:proofErr w:type="gramEnd"/>
      <w:r w:rsidR="003A7CFB" w:rsidRPr="00FD48A9">
        <w:t xml:space="preserve"> to fall by 3¾ per cent in </w:t>
      </w:r>
      <w:r w:rsidR="002D3021" w:rsidRPr="00FD48A9">
        <w:t xml:space="preserve">calendar year </w:t>
      </w:r>
      <w:r w:rsidR="003A7CFB" w:rsidRPr="00FD48A9">
        <w:t>2020, the largest fall on official record</w:t>
      </w:r>
      <w:r w:rsidR="00917B95" w:rsidRPr="00FD48A9">
        <w:t>,</w:t>
      </w:r>
      <w:r w:rsidR="002D3021" w:rsidRPr="00FD48A9">
        <w:t xml:space="preserve"> and fall by 2½ per cent in 2020</w:t>
      </w:r>
      <w:r w:rsidR="00C77479">
        <w:noBreakHyphen/>
      </w:r>
      <w:r w:rsidR="002D3021" w:rsidRPr="00FD48A9">
        <w:t>21</w:t>
      </w:r>
      <w:r w:rsidR="003A7CFB" w:rsidRPr="00FD48A9">
        <w:t>.</w:t>
      </w:r>
      <w:r w:rsidR="00456A4C" w:rsidRPr="00FD48A9">
        <w:t xml:space="preserve"> Activity </w:t>
      </w:r>
      <w:proofErr w:type="gramStart"/>
      <w:r w:rsidR="00456A4C" w:rsidRPr="00FD48A9">
        <w:t>is expected</w:t>
      </w:r>
      <w:proofErr w:type="gramEnd"/>
      <w:r w:rsidR="00456A4C" w:rsidRPr="00FD48A9">
        <w:t xml:space="preserve"> to gradually improve throughout 2021 as restrictions ease, uncertainty about the virus and the economic outlook reduces, the global economy improves and employment and incomes recover. Real GDP </w:t>
      </w:r>
      <w:proofErr w:type="gramStart"/>
      <w:r w:rsidR="00456A4C" w:rsidRPr="00FD48A9">
        <w:t>is forecast</w:t>
      </w:r>
      <w:proofErr w:type="gramEnd"/>
      <w:r w:rsidR="00456A4C" w:rsidRPr="00FD48A9">
        <w:t xml:space="preserve"> to grow by 2½</w:t>
      </w:r>
      <w:r w:rsidR="006C21F2" w:rsidRPr="00FD48A9">
        <w:t xml:space="preserve"> per cent in 2021. </w:t>
      </w:r>
    </w:p>
    <w:p w14:paraId="047594A1" w14:textId="72352D34" w:rsidR="003A2F47" w:rsidRPr="00FD48A9" w:rsidRDefault="00911881" w:rsidP="00D131AE">
      <w:r w:rsidRPr="00FD48A9">
        <w:lastRenderedPageBreak/>
        <w:fldChar w:fldCharType="begin"/>
      </w:r>
      <w:r w:rsidRPr="00FD48A9">
        <w:instrText xml:space="preserve"> :End:MECD_TP2 </w:instrText>
      </w:r>
      <w:r w:rsidRPr="00FD48A9">
        <w:fldChar w:fldCharType="end"/>
      </w:r>
      <w:r w:rsidRPr="00FD48A9">
        <w:fldChar w:fldCharType="begin"/>
      </w:r>
      <w:r w:rsidRPr="00FD48A9">
        <w:instrText xml:space="preserve"> :Start:</w:instrText>
      </w:r>
      <w:r w:rsidR="00FF727C" w:rsidRPr="00FD48A9">
        <w:instrText>CPOP_VA1</w:instrText>
      </w:r>
      <w:r w:rsidRPr="00FD48A9">
        <w:instrText xml:space="preserve"> </w:instrText>
      </w:r>
      <w:r w:rsidRPr="00FD48A9">
        <w:fldChar w:fldCharType="end"/>
      </w:r>
      <w:r w:rsidR="003A2F47" w:rsidRPr="00FD48A9">
        <w:t>Australia</w:t>
      </w:r>
      <w:r w:rsidR="00C77479">
        <w:t>’</w:t>
      </w:r>
      <w:r w:rsidR="003A2F47" w:rsidRPr="00FD48A9">
        <w:t xml:space="preserve">s population growth </w:t>
      </w:r>
      <w:proofErr w:type="gramStart"/>
      <w:r w:rsidR="003A2F47" w:rsidRPr="00FD48A9">
        <w:t>is assumed</w:t>
      </w:r>
      <w:proofErr w:type="gramEnd"/>
      <w:r w:rsidR="003A2F47" w:rsidRPr="00FD48A9">
        <w:t xml:space="preserve"> to remain positive but lower over the forecast period. This is mainly due to lower net overseas migration</w:t>
      </w:r>
      <w:r w:rsidR="001E1A7B" w:rsidRPr="00FD48A9">
        <w:t>.</w:t>
      </w:r>
      <w:r w:rsidR="003A2F47" w:rsidRPr="00FD48A9">
        <w:t xml:space="preserve"> </w:t>
      </w:r>
      <w:r w:rsidR="007B46C0" w:rsidRPr="00FD48A9">
        <w:t>T</w:t>
      </w:r>
      <w:r w:rsidR="00035ADB" w:rsidRPr="00FD48A9">
        <w:t xml:space="preserve">he fertility rate </w:t>
      </w:r>
      <w:proofErr w:type="gramStart"/>
      <w:r w:rsidR="00035ADB" w:rsidRPr="00FD48A9">
        <w:t>is also expected</w:t>
      </w:r>
      <w:proofErr w:type="gramEnd"/>
      <w:r w:rsidR="00035ADB" w:rsidRPr="00FD48A9">
        <w:t xml:space="preserve"> to fall due to the weaker economic conditions and outlook. </w:t>
      </w:r>
      <w:r w:rsidR="003A2F47" w:rsidRPr="00FD48A9">
        <w:t xml:space="preserve">As a result, annual population growth </w:t>
      </w:r>
      <w:proofErr w:type="gramStart"/>
      <w:r w:rsidR="003A2F47" w:rsidRPr="00FD48A9">
        <w:t>is assumed</w:t>
      </w:r>
      <w:proofErr w:type="gramEnd"/>
      <w:r w:rsidR="003A2F47" w:rsidRPr="00FD48A9">
        <w:t xml:space="preserve"> to slow to 1.2</w:t>
      </w:r>
      <w:r w:rsidR="00FF7B50" w:rsidRPr="00FD48A9">
        <w:t xml:space="preserve"> per cent in 2019</w:t>
      </w:r>
      <w:r w:rsidR="00C77479">
        <w:noBreakHyphen/>
      </w:r>
      <w:r w:rsidR="00FF7B50" w:rsidRPr="00FD48A9">
        <w:t>20 and to 0.6 </w:t>
      </w:r>
      <w:r w:rsidR="003A2F47" w:rsidRPr="00FD48A9">
        <w:t>per</w:t>
      </w:r>
      <w:r w:rsidR="00FF7B50" w:rsidRPr="00FD48A9">
        <w:t> </w:t>
      </w:r>
      <w:r w:rsidR="003A2F47" w:rsidRPr="00FD48A9">
        <w:t>cent in</w:t>
      </w:r>
      <w:r w:rsidR="00CC6238">
        <w:t> </w:t>
      </w:r>
      <w:r w:rsidR="003A2F47" w:rsidRPr="00FD48A9">
        <w:t>2020</w:t>
      </w:r>
      <w:r w:rsidR="00C77479">
        <w:noBreakHyphen/>
      </w:r>
      <w:r w:rsidR="003A2F47" w:rsidRPr="00FD48A9">
        <w:t xml:space="preserve">21 — the lowest annual rate </w:t>
      </w:r>
      <w:r w:rsidR="00585C79" w:rsidRPr="00FD48A9">
        <w:t xml:space="preserve">of </w:t>
      </w:r>
      <w:r w:rsidR="003A2F47" w:rsidRPr="00FD48A9">
        <w:t>growth since 1916</w:t>
      </w:r>
      <w:r w:rsidR="00C77479">
        <w:noBreakHyphen/>
      </w:r>
      <w:r w:rsidR="003A2F47" w:rsidRPr="00FD48A9">
        <w:t xml:space="preserve">17. Future </w:t>
      </w:r>
      <w:r w:rsidR="009300E8" w:rsidRPr="00FD48A9">
        <w:t xml:space="preserve">migration levels </w:t>
      </w:r>
      <w:r w:rsidR="003A2F47" w:rsidRPr="00FD48A9">
        <w:t xml:space="preserve">remain highly uncertain, due to the path of the pandemic and the nature and duration of measures taken to contain its spread at home and abroad. </w:t>
      </w:r>
    </w:p>
    <w:p w14:paraId="2912DDB8" w14:textId="539702E7" w:rsidR="00D131AE" w:rsidRPr="00FD48A9" w:rsidRDefault="00911881" w:rsidP="00D131AE">
      <w:r w:rsidRPr="00FD48A9">
        <w:fldChar w:fldCharType="begin"/>
      </w:r>
      <w:r w:rsidRPr="00FD48A9">
        <w:instrText xml:space="preserve"> :End:</w:instrText>
      </w:r>
      <w:r w:rsidR="00FF727C" w:rsidRPr="00FD48A9">
        <w:instrText>CPOP_VA1</w:instrText>
      </w:r>
      <w:r w:rsidRPr="00FD48A9">
        <w:instrText xml:space="preserve"> </w:instrText>
      </w:r>
      <w:r w:rsidRPr="00FD48A9">
        <w:fldChar w:fldCharType="end"/>
      </w:r>
      <w:r w:rsidR="00DB2976" w:rsidRPr="00FD48A9">
        <w:fldChar w:fldCharType="begin"/>
      </w:r>
      <w:r w:rsidR="00DB2976" w:rsidRPr="00FD48A9">
        <w:instrText xml:space="preserve"> :Start:MECD_TP2 </w:instrText>
      </w:r>
      <w:r w:rsidR="00DB2976" w:rsidRPr="00FD48A9">
        <w:fldChar w:fldCharType="end"/>
      </w:r>
      <w:r w:rsidR="00D131AE" w:rsidRPr="00FD48A9">
        <w:t xml:space="preserve">There are significant uncertainties surrounding the domestic outlook. The range of possible outcomes for GDP and unemployment </w:t>
      </w:r>
      <w:r w:rsidR="00917B95" w:rsidRPr="00FD48A9">
        <w:t xml:space="preserve">is </w:t>
      </w:r>
      <w:r w:rsidR="00D131AE" w:rsidRPr="00FD48A9">
        <w:t>substantially wider than normal.</w:t>
      </w:r>
    </w:p>
    <w:p w14:paraId="53D0AB31" w14:textId="3762E69B" w:rsidR="00D131AE" w:rsidRPr="00FD48A9" w:rsidRDefault="00D131AE" w:rsidP="00D131AE">
      <w:r w:rsidRPr="00FD48A9">
        <w:t>As is the case globally, the evolution of the virus is the greatest uncertainty for the domestic outlook</w:t>
      </w:r>
      <w:r w:rsidR="00C434AC" w:rsidRPr="00FD48A9">
        <w:t xml:space="preserve"> (Box </w:t>
      </w:r>
      <w:r w:rsidR="007B699D" w:rsidRPr="00FD48A9">
        <w:t>2.</w:t>
      </w:r>
      <w:r w:rsidR="00C434AC" w:rsidRPr="00FD48A9">
        <w:t>1</w:t>
      </w:r>
      <w:r w:rsidR="001F6A63" w:rsidRPr="00FD48A9">
        <w:t xml:space="preserve"> </w:t>
      </w:r>
      <w:r w:rsidR="00B24E4A">
        <w:t xml:space="preserve">contains </w:t>
      </w:r>
      <w:r w:rsidR="001F6A63" w:rsidRPr="00FD48A9">
        <w:t>key assumptions)</w:t>
      </w:r>
      <w:r w:rsidRPr="00FD48A9">
        <w:t xml:space="preserve">. Additional significant outbreaks in Australia, or a noticeable worsening of existing outbreaks, would lead to a further contraction in economic activity and employment, especially if accompanied by the </w:t>
      </w:r>
      <w:r w:rsidR="00F80672" w:rsidRPr="00FD48A9">
        <w:t>reintroduction</w:t>
      </w:r>
      <w:r w:rsidRPr="00FD48A9">
        <w:t xml:space="preserve"> of</w:t>
      </w:r>
      <w:r w:rsidR="00CF0E4D" w:rsidRPr="00FD48A9">
        <w:t xml:space="preserve"> containment measures (</w:t>
      </w:r>
      <w:r w:rsidR="00C434AC" w:rsidRPr="00FD48A9">
        <w:t xml:space="preserve">Box </w:t>
      </w:r>
      <w:r w:rsidR="007B699D" w:rsidRPr="00FD48A9">
        <w:t>2.</w:t>
      </w:r>
      <w:r w:rsidR="00C434AC" w:rsidRPr="00FD48A9">
        <w:t>2</w:t>
      </w:r>
      <w:r w:rsidRPr="00FD48A9">
        <w:t>). Even if Australia is able to prevent a major regression in health outcomes as containment measures are relaxed, further outbreaks in our major trading partners also pose a risk to Australia</w:t>
      </w:r>
      <w:r w:rsidR="00C77479">
        <w:t>’</w:t>
      </w:r>
      <w:r w:rsidRPr="00FD48A9">
        <w:t xml:space="preserve">s recovery. </w:t>
      </w:r>
    </w:p>
    <w:p w14:paraId="07445E5B" w14:textId="5F5E5B95" w:rsidR="00D131AE" w:rsidRPr="00FD48A9" w:rsidRDefault="00D131AE" w:rsidP="00D131AE">
      <w:r w:rsidRPr="00FD48A9">
        <w:t xml:space="preserve">There is also significant uncertainty around the pace and shape of the recovery, given the unprecedented nature of this crisis. The economic recovery </w:t>
      </w:r>
      <w:proofErr w:type="gramStart"/>
      <w:r w:rsidR="001F6A63" w:rsidRPr="00FD48A9">
        <w:t>is</w:t>
      </w:r>
      <w:r w:rsidRPr="00FD48A9">
        <w:t xml:space="preserve"> forecast</w:t>
      </w:r>
      <w:proofErr w:type="gramEnd"/>
      <w:r w:rsidRPr="00FD48A9">
        <w:t xml:space="preserve"> </w:t>
      </w:r>
      <w:r w:rsidR="001F6A63" w:rsidRPr="00FD48A9">
        <w:t>to be</w:t>
      </w:r>
      <w:r w:rsidRPr="00FD48A9">
        <w:t xml:space="preserve"> relatively fast by historical standards. The economy could recover more quickly than forecast if firms rapidly adjust to the new environment and household spending returns to usual levels. However, the recovery </w:t>
      </w:r>
      <w:proofErr w:type="gramStart"/>
      <w:r w:rsidRPr="00FD48A9">
        <w:t>could be more protracted</w:t>
      </w:r>
      <w:proofErr w:type="gramEnd"/>
      <w:r w:rsidRPr="00FD48A9">
        <w:t xml:space="preserve"> if confidence remains subdued or more people than expected lose their jobs, including from changes in the structure of the economy</w:t>
      </w:r>
      <w:r w:rsidR="00F5470E" w:rsidRPr="00FD48A9">
        <w:t xml:space="preserve"> or a larger</w:t>
      </w:r>
      <w:r w:rsidR="00C77479">
        <w:noBreakHyphen/>
      </w:r>
      <w:r w:rsidR="00F5470E" w:rsidRPr="00FD48A9">
        <w:t>than</w:t>
      </w:r>
      <w:r w:rsidR="00C77479">
        <w:noBreakHyphen/>
      </w:r>
      <w:r w:rsidR="00F5470E" w:rsidRPr="00FD48A9">
        <w:t>expected wave of business closures</w:t>
      </w:r>
      <w:r w:rsidRPr="00FD48A9">
        <w:t xml:space="preserve">. </w:t>
      </w:r>
      <w:r w:rsidR="00F3320A" w:rsidRPr="00FD48A9">
        <w:t xml:space="preserve">Structural change </w:t>
      </w:r>
      <w:r w:rsidRPr="00FD48A9">
        <w:t>is a significant source of uncertainty</w:t>
      </w:r>
      <w:r w:rsidR="0028347C" w:rsidRPr="00FD48A9">
        <w:t>;</w:t>
      </w:r>
      <w:r w:rsidRPr="00FD48A9" w:rsidDel="0028347C">
        <w:t xml:space="preserve"> </w:t>
      </w:r>
      <w:r w:rsidRPr="00FD48A9">
        <w:t>the health and economic shock has changed many aspects of the way people live, including the way people work, shop and socialise, and it is unclear how</w:t>
      </w:r>
      <w:r w:rsidR="00836831" w:rsidRPr="00FD48A9">
        <w:t xml:space="preserve"> large and</w:t>
      </w:r>
      <w:r w:rsidRPr="00FD48A9">
        <w:t xml:space="preserve"> persistent some of these changes will be.</w:t>
      </w:r>
    </w:p>
    <w:p w14:paraId="4BADADDB" w14:textId="0579B785" w:rsidR="00851321" w:rsidRPr="00FD48A9" w:rsidRDefault="00DB2976">
      <w:pPr>
        <w:spacing w:after="160" w:line="259" w:lineRule="auto"/>
        <w:jc w:val="left"/>
      </w:pPr>
      <w:r w:rsidRPr="00FD48A9">
        <w:fldChar w:fldCharType="begin"/>
      </w:r>
      <w:r w:rsidRPr="00FD48A9">
        <w:instrText xml:space="preserve"> :End:MECD_TP2 </w:instrText>
      </w:r>
      <w:r w:rsidRPr="00FD48A9">
        <w:fldChar w:fldCharType="end"/>
      </w:r>
      <w:r w:rsidR="00851321" w:rsidRPr="00FD48A9">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BEBEB"/>
        <w:tblLook w:val="04A0" w:firstRow="1" w:lastRow="0" w:firstColumn="1" w:lastColumn="0" w:noHBand="0" w:noVBand="1"/>
      </w:tblPr>
      <w:tblGrid>
        <w:gridCol w:w="7700"/>
      </w:tblGrid>
      <w:tr w:rsidR="00BB5B09" w:rsidRPr="00FD48A9" w14:paraId="4CDF5830" w14:textId="77777777" w:rsidTr="00390FA1">
        <w:tc>
          <w:tcPr>
            <w:tcW w:w="7700" w:type="dxa"/>
            <w:shd w:val="clear" w:color="auto" w:fill="EBEBEB"/>
          </w:tcPr>
          <w:p w14:paraId="20491B03" w14:textId="4147BA0F" w:rsidR="00BB5B09" w:rsidRPr="00FD48A9" w:rsidRDefault="00D31F4E" w:rsidP="00BB5B09">
            <w:pPr>
              <w:pStyle w:val="BoxHeading"/>
            </w:pPr>
            <w:r w:rsidRPr="00FD48A9">
              <w:lastRenderedPageBreak/>
              <w:fldChar w:fldCharType="begin"/>
            </w:r>
            <w:r w:rsidRPr="00FD48A9">
              <w:instrText xml:space="preserve"> :Start:MECD_TP5 </w:instrText>
            </w:r>
            <w:r w:rsidRPr="00FD48A9">
              <w:fldChar w:fldCharType="end"/>
            </w:r>
            <w:r w:rsidR="00BB5B09" w:rsidRPr="00FD48A9">
              <w:t xml:space="preserve">Box </w:t>
            </w:r>
            <w:r w:rsidR="00851321" w:rsidRPr="00FD48A9">
              <w:t>2.</w:t>
            </w:r>
            <w:r w:rsidR="00BB5B09" w:rsidRPr="00FD48A9">
              <w:t>1: Key assumptions</w:t>
            </w:r>
          </w:p>
          <w:p w14:paraId="2F9DFC4F" w14:textId="45664096" w:rsidR="00BB5B09" w:rsidRPr="00FD48A9" w:rsidRDefault="00BB5B09" w:rsidP="00BB5B09">
            <w:pPr>
              <w:pStyle w:val="BoxText"/>
            </w:pPr>
            <w:r w:rsidRPr="00FD48A9" w:rsidDel="00EC1E01">
              <w:t xml:space="preserve">The evolution of the health crisis presents a significant risk to the outlook alongside uncertainty about the speed with which the Australian </w:t>
            </w:r>
            <w:r w:rsidR="006C21F2" w:rsidRPr="00FD48A9">
              <w:t>and global economies</w:t>
            </w:r>
            <w:r w:rsidRPr="00FD48A9" w:rsidDel="00EC1E01">
              <w:t xml:space="preserve"> are able to resume activity following the lifting of restrictions. </w:t>
            </w:r>
          </w:p>
          <w:p w14:paraId="5AE541B5" w14:textId="77777777" w:rsidR="00BB5B09" w:rsidRPr="00FD48A9" w:rsidRDefault="00BB5B09" w:rsidP="00BB5B09">
            <w:pPr>
              <w:pStyle w:val="BoxText"/>
            </w:pPr>
            <w:r w:rsidRPr="00FD48A9">
              <w:t xml:space="preserve">The key assumptions that underpin the economic forecasts are set out below. Outcomes could be substantially different to the forecasts, depending upon the extent to which the following assumptions hold:  </w:t>
            </w:r>
          </w:p>
          <w:p w14:paraId="2816A2E2" w14:textId="214A4C7B" w:rsidR="00BB5B09" w:rsidRPr="00FD48A9" w:rsidRDefault="00BB5B09" w:rsidP="00BB5B09">
            <w:pPr>
              <w:pStyle w:val="BoxBullet"/>
            </w:pPr>
            <w:r w:rsidRPr="00FD48A9">
              <w:t xml:space="preserve">Outside of Victoria, restrictions </w:t>
            </w:r>
            <w:proofErr w:type="gramStart"/>
            <w:r w:rsidRPr="00FD48A9">
              <w:t>are assumed to be lifted</w:t>
            </w:r>
            <w:proofErr w:type="gramEnd"/>
            <w:r w:rsidRPr="00FD48A9">
              <w:t xml:space="preserve"> in accordance with the 3</w:t>
            </w:r>
            <w:r w:rsidR="00C77479">
              <w:noBreakHyphen/>
            </w:r>
            <w:r w:rsidRPr="00FD48A9">
              <w:t xml:space="preserve">step process outlined by the Prime Minister on 8 May 2020. </w:t>
            </w:r>
          </w:p>
          <w:p w14:paraId="077381AF" w14:textId="76AFABDB" w:rsidR="00BB5B09" w:rsidRPr="00FD48A9" w:rsidRDefault="00BB5B09" w:rsidP="00BB5B09">
            <w:pPr>
              <w:pStyle w:val="Dash"/>
            </w:pPr>
            <w:r w:rsidRPr="00FD48A9">
              <w:t xml:space="preserve">Step 1 opening </w:t>
            </w:r>
            <w:proofErr w:type="gramStart"/>
            <w:r w:rsidRPr="00FD48A9">
              <w:t>is assumed</w:t>
            </w:r>
            <w:proofErr w:type="gramEnd"/>
            <w:r w:rsidRPr="00FD48A9">
              <w:t xml:space="preserve"> to</w:t>
            </w:r>
            <w:r w:rsidR="00917B95" w:rsidRPr="00FD48A9">
              <w:t xml:space="preserve"> have</w:t>
            </w:r>
            <w:r w:rsidRPr="00FD48A9">
              <w:t xml:space="preserve"> be</w:t>
            </w:r>
            <w:r w:rsidR="00917B95" w:rsidRPr="00FD48A9">
              <w:t>en</w:t>
            </w:r>
            <w:r w:rsidRPr="00FD48A9">
              <w:t xml:space="preserve"> in place from mid</w:t>
            </w:r>
            <w:r w:rsidR="00C77479">
              <w:noBreakHyphen/>
            </w:r>
            <w:r w:rsidRPr="00FD48A9">
              <w:t>May to mid</w:t>
            </w:r>
            <w:r w:rsidR="00C77479">
              <w:noBreakHyphen/>
            </w:r>
            <w:r w:rsidRPr="00FD48A9">
              <w:t xml:space="preserve">June. Maintain a </w:t>
            </w:r>
            <w:proofErr w:type="gramStart"/>
            <w:r w:rsidRPr="00FD48A9">
              <w:t>4</w:t>
            </w:r>
            <w:proofErr w:type="gramEnd"/>
            <w:r w:rsidRPr="00FD48A9">
              <w:t xml:space="preserve"> square metres per person and 10 person limit for indoor activities</w:t>
            </w:r>
            <w:r w:rsidR="00CA125F">
              <w:t xml:space="preserve">. </w:t>
            </w:r>
          </w:p>
          <w:p w14:paraId="7542D849" w14:textId="417CE215" w:rsidR="00BB5B09" w:rsidRPr="00FD48A9" w:rsidRDefault="00BB5B09" w:rsidP="00BB5B09">
            <w:pPr>
              <w:pStyle w:val="Dash"/>
            </w:pPr>
            <w:r w:rsidRPr="00FD48A9">
              <w:t xml:space="preserve">Step 2 opening </w:t>
            </w:r>
            <w:proofErr w:type="gramStart"/>
            <w:r w:rsidRPr="00FD48A9">
              <w:t>is assumed</w:t>
            </w:r>
            <w:proofErr w:type="gramEnd"/>
            <w:r w:rsidRPr="00FD48A9">
              <w:t xml:space="preserve"> to </w:t>
            </w:r>
            <w:r w:rsidR="00917B95" w:rsidRPr="00FD48A9">
              <w:t>have been</w:t>
            </w:r>
            <w:r w:rsidRPr="00FD48A9">
              <w:t xml:space="preserve"> in place from mid</w:t>
            </w:r>
            <w:r w:rsidR="00C77479">
              <w:noBreakHyphen/>
            </w:r>
            <w:r w:rsidRPr="00FD48A9">
              <w:t>June to mid</w:t>
            </w:r>
            <w:r w:rsidR="00C77479">
              <w:noBreakHyphen/>
            </w:r>
            <w:r w:rsidRPr="00FD48A9">
              <w:t xml:space="preserve">July. Maintain a </w:t>
            </w:r>
            <w:proofErr w:type="gramStart"/>
            <w:r w:rsidRPr="00FD48A9">
              <w:t>4</w:t>
            </w:r>
            <w:proofErr w:type="gramEnd"/>
            <w:r w:rsidRPr="00FD48A9">
              <w:t xml:space="preserve"> square metres per person and 20 person limit for indoor activities</w:t>
            </w:r>
            <w:r w:rsidR="00CA125F">
              <w:t xml:space="preserve">. </w:t>
            </w:r>
          </w:p>
          <w:p w14:paraId="20704DD3" w14:textId="0A655124" w:rsidR="00BB5B09" w:rsidRPr="00FD48A9" w:rsidRDefault="00BB5B09" w:rsidP="00BB5B09">
            <w:pPr>
              <w:pStyle w:val="Dash"/>
            </w:pPr>
            <w:r w:rsidRPr="00FD48A9">
              <w:t xml:space="preserve">Step 3 opening </w:t>
            </w:r>
            <w:proofErr w:type="gramStart"/>
            <w:r w:rsidRPr="00FD48A9">
              <w:t>is assumed</w:t>
            </w:r>
            <w:proofErr w:type="gramEnd"/>
            <w:r w:rsidRPr="00FD48A9">
              <w:t xml:space="preserve"> to be in place from mid</w:t>
            </w:r>
            <w:r w:rsidR="00C77479">
              <w:noBreakHyphen/>
            </w:r>
            <w:r w:rsidRPr="00FD48A9">
              <w:t xml:space="preserve">July to end of September, except in Victoria. Maintain a </w:t>
            </w:r>
            <w:proofErr w:type="gramStart"/>
            <w:r w:rsidRPr="00FD48A9">
              <w:t>4</w:t>
            </w:r>
            <w:proofErr w:type="gramEnd"/>
            <w:r w:rsidRPr="00FD48A9">
              <w:t xml:space="preserve"> square metres per person and 100 person limit for indoor activities. </w:t>
            </w:r>
          </w:p>
          <w:p w14:paraId="0F66614F" w14:textId="21029190" w:rsidR="00BB5B09" w:rsidRPr="00FD48A9" w:rsidRDefault="00BB5B09" w:rsidP="00BB5B09">
            <w:pPr>
              <w:pStyle w:val="Dash"/>
            </w:pPr>
            <w:r w:rsidRPr="00FD48A9">
              <w:t xml:space="preserve">The </w:t>
            </w:r>
            <w:proofErr w:type="gramStart"/>
            <w:r w:rsidRPr="00FD48A9">
              <w:t>4</w:t>
            </w:r>
            <w:proofErr w:type="gramEnd"/>
            <w:r w:rsidRPr="00FD48A9">
              <w:t xml:space="preserve"> square meters per person rule is assumed to remain in place from the end of September until the end of 2020.</w:t>
            </w:r>
          </w:p>
          <w:p w14:paraId="65AFDC61" w14:textId="61C9FB49" w:rsidR="00BB5B09" w:rsidRPr="00FD48A9" w:rsidRDefault="00BB5B09" w:rsidP="00BB5B09">
            <w:pPr>
              <w:pStyle w:val="BoxBullet"/>
            </w:pPr>
            <w:r w:rsidRPr="00FD48A9">
              <w:t xml:space="preserve">Localised outbreaks, such as those occurring in New South Wales, </w:t>
            </w:r>
            <w:proofErr w:type="gramStart"/>
            <w:r w:rsidRPr="00FD48A9">
              <w:t>are assumed to be contained</w:t>
            </w:r>
            <w:proofErr w:type="gramEnd"/>
            <w:r w:rsidRPr="00FD48A9">
              <w:t xml:space="preserve"> to the extent that, on average, they do not delay the lifting of restrictions set out above. Specific exceptions to this broad assumption </w:t>
            </w:r>
            <w:proofErr w:type="gramStart"/>
            <w:r w:rsidRPr="00FD48A9">
              <w:t>are separately identified</w:t>
            </w:r>
            <w:proofErr w:type="gramEnd"/>
            <w:r w:rsidRPr="00FD48A9">
              <w:t xml:space="preserve"> below.</w:t>
            </w:r>
          </w:p>
          <w:p w14:paraId="26A6566C" w14:textId="02E5E16B" w:rsidR="00BB5B09" w:rsidRPr="00FD48A9" w:rsidRDefault="00C77479" w:rsidP="00BB5B09">
            <w:pPr>
              <w:pStyle w:val="BoxBullet"/>
            </w:pPr>
            <w:r>
              <w:t>‘</w:t>
            </w:r>
            <w:r w:rsidR="00BB5B09" w:rsidRPr="00FD48A9">
              <w:t xml:space="preserve">Stay at </w:t>
            </w:r>
            <w:r w:rsidR="00B24E4A">
              <w:t>h</w:t>
            </w:r>
            <w:r w:rsidR="00BB5B09" w:rsidRPr="00FD48A9">
              <w:t>ome</w:t>
            </w:r>
            <w:r>
              <w:t>’</w:t>
            </w:r>
            <w:r w:rsidR="00BB5B09" w:rsidRPr="00FD48A9">
              <w:t xml:space="preserve"> restrictions </w:t>
            </w:r>
            <w:proofErr w:type="gramStart"/>
            <w:r w:rsidR="00BB5B09" w:rsidRPr="00FD48A9">
              <w:t>were r</w:t>
            </w:r>
            <w:r w:rsidR="001266F8" w:rsidRPr="00FD48A9">
              <w:t>eintroduced</w:t>
            </w:r>
            <w:proofErr w:type="gramEnd"/>
            <w:r w:rsidR="00BB5B09" w:rsidRPr="00FD48A9">
              <w:t xml:space="preserve"> across metropolitan Melbourne and the Mitchell Shire from 9 July. These restrictions require people to </w:t>
            </w:r>
            <w:r>
              <w:t>‘</w:t>
            </w:r>
            <w:r w:rsidR="00BB5B09" w:rsidRPr="00FD48A9">
              <w:t>stay at home</w:t>
            </w:r>
            <w:r>
              <w:t>’</w:t>
            </w:r>
            <w:r w:rsidR="00BB5B09" w:rsidRPr="00FD48A9">
              <w:t xml:space="preserve"> unless shopping for food, providing care and caregiving, exercise, or study and work, if it cannot be completed from home. </w:t>
            </w:r>
          </w:p>
          <w:p w14:paraId="564E3743" w14:textId="0A8BAACE" w:rsidR="00BB5B09" w:rsidRPr="00FD48A9" w:rsidRDefault="00BB5B09" w:rsidP="00BB5B09">
            <w:pPr>
              <w:pStyle w:val="Dash"/>
            </w:pPr>
            <w:r w:rsidRPr="00FD48A9">
              <w:t xml:space="preserve">These restrictions are assumed to remain in place for six weeks, easing to step </w:t>
            </w:r>
            <w:proofErr w:type="gramStart"/>
            <w:r w:rsidRPr="00FD48A9">
              <w:t>1</w:t>
            </w:r>
            <w:proofErr w:type="gramEnd"/>
            <w:r w:rsidRPr="00FD48A9">
              <w:t xml:space="preserve"> opening of restrictions until mid</w:t>
            </w:r>
            <w:r w:rsidR="00C77479">
              <w:noBreakHyphen/>
            </w:r>
            <w:r w:rsidRPr="00FD48A9">
              <w:t>September before the gradual move to the final step by mid</w:t>
            </w:r>
            <w:r w:rsidR="00C77479">
              <w:noBreakHyphen/>
            </w:r>
            <w:r w:rsidRPr="00FD48A9">
              <w:t>December.</w:t>
            </w:r>
          </w:p>
          <w:p w14:paraId="11AAF0DD" w14:textId="7AC7E603" w:rsidR="00BB5B09" w:rsidRPr="00FD48A9" w:rsidRDefault="00BB5B09" w:rsidP="00BB5B09">
            <w:pPr>
              <w:pStyle w:val="Dash"/>
            </w:pPr>
            <w:r w:rsidRPr="00FD48A9">
              <w:t>The Victorian border with N</w:t>
            </w:r>
            <w:r w:rsidR="00B24E4A">
              <w:t xml:space="preserve">ew South </w:t>
            </w:r>
            <w:r w:rsidRPr="00FD48A9">
              <w:t>W</w:t>
            </w:r>
            <w:r w:rsidR="00B24E4A">
              <w:t>ales</w:t>
            </w:r>
            <w:r w:rsidRPr="00FD48A9">
              <w:t xml:space="preserve"> and S</w:t>
            </w:r>
            <w:r w:rsidR="00B24E4A">
              <w:t xml:space="preserve">outh </w:t>
            </w:r>
            <w:r w:rsidRPr="00FD48A9">
              <w:t>A</w:t>
            </w:r>
            <w:r w:rsidR="00B24E4A">
              <w:t>ustralia</w:t>
            </w:r>
            <w:r w:rsidRPr="00FD48A9">
              <w:t xml:space="preserve"> </w:t>
            </w:r>
            <w:proofErr w:type="gramStart"/>
            <w:r w:rsidRPr="00FD48A9">
              <w:t>i</w:t>
            </w:r>
            <w:r w:rsidR="00F01A5B" w:rsidRPr="00FD48A9">
              <w:t>s assumed to be closed</w:t>
            </w:r>
            <w:proofErr w:type="gramEnd"/>
            <w:r w:rsidR="00F01A5B" w:rsidRPr="00FD48A9">
              <w:t xml:space="preserve"> until 19 </w:t>
            </w:r>
            <w:r w:rsidRPr="00FD48A9">
              <w:t>August</w:t>
            </w:r>
            <w:r w:rsidR="00F01A5B" w:rsidRPr="00FD48A9">
              <w:t> </w:t>
            </w:r>
            <w:r w:rsidRPr="00FD48A9">
              <w:t>2020, with freight allowed to pass between the states along with essential travel.</w:t>
            </w:r>
          </w:p>
          <w:p w14:paraId="51FC0883" w14:textId="5F279C56" w:rsidR="00BB5B09" w:rsidRPr="00FD48A9" w:rsidRDefault="00D31F4E" w:rsidP="00E27E08">
            <w:pPr>
              <w:pStyle w:val="BoxBullet"/>
            </w:pPr>
            <w:r w:rsidRPr="00FD48A9">
              <w:fldChar w:fldCharType="begin"/>
            </w:r>
            <w:r w:rsidRPr="00FD48A9">
              <w:instrText xml:space="preserve"> :End:MECD_TP5 </w:instrText>
            </w:r>
            <w:r w:rsidRPr="00FD48A9">
              <w:fldChar w:fldCharType="end"/>
            </w:r>
            <w:r w:rsidRPr="00FD48A9">
              <w:fldChar w:fldCharType="begin"/>
            </w:r>
            <w:r w:rsidRPr="00FD48A9">
              <w:instrText xml:space="preserve"> :Start:MECD_TP1 </w:instrText>
            </w:r>
            <w:r w:rsidRPr="00FD48A9">
              <w:fldChar w:fldCharType="end"/>
            </w:r>
            <w:r w:rsidR="00BB5B09" w:rsidRPr="00FD48A9">
              <w:t xml:space="preserve">International travel </w:t>
            </w:r>
            <w:proofErr w:type="gramStart"/>
            <w:r w:rsidR="00BB5B09" w:rsidRPr="00FD48A9">
              <w:t>is assumed</w:t>
            </w:r>
            <w:proofErr w:type="gramEnd"/>
            <w:r w:rsidR="00BB5B09" w:rsidRPr="00FD48A9">
              <w:t xml:space="preserve"> to remain at low levels until the end of the June</w:t>
            </w:r>
            <w:r w:rsidR="00B04E5F" w:rsidRPr="00FD48A9">
              <w:t> </w:t>
            </w:r>
            <w:r w:rsidR="00E27E08" w:rsidRPr="00FD48A9">
              <w:t>quarter 2021</w:t>
            </w:r>
            <w:r w:rsidR="00CA125F">
              <w:t xml:space="preserve">. </w:t>
            </w:r>
            <w:r w:rsidRPr="00FD48A9">
              <w:fldChar w:fldCharType="begin"/>
            </w:r>
            <w:r w:rsidRPr="00FD48A9">
              <w:instrText xml:space="preserve"> :End:MECD_TP1 </w:instrText>
            </w:r>
            <w:r w:rsidRPr="00FD48A9">
              <w:fldChar w:fldCharType="end"/>
            </w:r>
          </w:p>
        </w:tc>
      </w:tr>
    </w:tbl>
    <w:p w14:paraId="53B47D1B" w14:textId="3C210BA0" w:rsidR="00BB5B09" w:rsidRPr="00FD48A9" w:rsidRDefault="00BB5B09" w:rsidP="00BB5B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BEBEB"/>
        <w:tblLook w:val="04A0" w:firstRow="1" w:lastRow="0" w:firstColumn="1" w:lastColumn="0" w:noHBand="0" w:noVBand="1"/>
      </w:tblPr>
      <w:tblGrid>
        <w:gridCol w:w="7700"/>
      </w:tblGrid>
      <w:tr w:rsidR="00BB5B09" w:rsidRPr="00FD48A9" w14:paraId="17010A0B" w14:textId="77777777" w:rsidTr="00F01A5B">
        <w:tc>
          <w:tcPr>
            <w:tcW w:w="7700" w:type="dxa"/>
            <w:shd w:val="clear" w:color="auto" w:fill="EBEBEB"/>
          </w:tcPr>
          <w:p w14:paraId="34FEDCFB" w14:textId="4A93DF84" w:rsidR="00F01A5B" w:rsidRPr="00FD48A9" w:rsidRDefault="00D31F4E" w:rsidP="00F01A5B">
            <w:pPr>
              <w:pStyle w:val="BoxHeading"/>
            </w:pPr>
            <w:r w:rsidRPr="00FD48A9">
              <w:lastRenderedPageBreak/>
              <w:fldChar w:fldCharType="begin"/>
            </w:r>
            <w:r w:rsidRPr="00FD48A9">
              <w:instrText xml:space="preserve"> :Start:MECD_TP5 </w:instrText>
            </w:r>
            <w:r w:rsidRPr="00FD48A9">
              <w:fldChar w:fldCharType="end"/>
            </w:r>
            <w:r w:rsidR="00F01A5B" w:rsidRPr="00FD48A9">
              <w:t xml:space="preserve">Box </w:t>
            </w:r>
            <w:r w:rsidR="00851321" w:rsidRPr="00FD48A9">
              <w:t>2.</w:t>
            </w:r>
            <w:r w:rsidR="00F01A5B" w:rsidRPr="00FD48A9">
              <w:t>1: Key assumptions (continued)</w:t>
            </w:r>
          </w:p>
          <w:p w14:paraId="6F3D4660" w14:textId="109C4E59" w:rsidR="00BB5B09" w:rsidRPr="00C279D7" w:rsidRDefault="00D31F4E" w:rsidP="00BB5B09">
            <w:pPr>
              <w:pStyle w:val="BoxBullet"/>
            </w:pPr>
            <w:r w:rsidRPr="00FD48A9">
              <w:fldChar w:fldCharType="begin"/>
            </w:r>
            <w:r w:rsidRPr="00FD48A9">
              <w:instrText xml:space="preserve"> :End:MECD_TP5 </w:instrText>
            </w:r>
            <w:r w:rsidRPr="00FD48A9">
              <w:fldChar w:fldCharType="end"/>
            </w:r>
            <w:r w:rsidRPr="00FD48A9">
              <w:fldChar w:fldCharType="begin"/>
            </w:r>
            <w:r w:rsidRPr="00FD48A9">
              <w:instrText xml:space="preserve"> :Start:</w:instrText>
            </w:r>
            <w:r w:rsidR="00FF727C" w:rsidRPr="00FD48A9">
              <w:instrText>CPOP_VA1</w:instrText>
            </w:r>
            <w:r w:rsidRPr="00FD48A9">
              <w:instrText xml:space="preserve"> </w:instrText>
            </w:r>
            <w:r w:rsidRPr="00FD48A9">
              <w:fldChar w:fldCharType="end"/>
            </w:r>
            <w:r w:rsidR="00BB5B09" w:rsidRPr="00FD48A9">
              <w:t xml:space="preserve">Net overseas migration </w:t>
            </w:r>
            <w:proofErr w:type="gramStart"/>
            <w:r w:rsidR="00BB5B09" w:rsidRPr="00FD48A9">
              <w:t>is significantly affected</w:t>
            </w:r>
            <w:proofErr w:type="gramEnd"/>
            <w:r w:rsidR="00BB5B09" w:rsidRPr="00FD48A9">
              <w:t xml:space="preserve"> by international travel restrictions and constraints on the ability of applicants to meet visa application requirements, and is assumed to fall from 232,000 in 2018</w:t>
            </w:r>
            <w:r w:rsidR="00C77479">
              <w:noBreakHyphen/>
            </w:r>
            <w:r w:rsidR="00BB5B09" w:rsidRPr="00FD48A9">
              <w:t>19 to be 154,000 in 2019</w:t>
            </w:r>
            <w:r w:rsidR="00C77479">
              <w:noBreakHyphen/>
            </w:r>
            <w:r w:rsidR="00BB5B09" w:rsidRPr="00FD48A9">
              <w:t xml:space="preserve">20 and 31,000 </w:t>
            </w:r>
            <w:r w:rsidR="00BB5B09" w:rsidRPr="00C279D7">
              <w:t>in 2020</w:t>
            </w:r>
            <w:r w:rsidR="00C77479">
              <w:noBreakHyphen/>
            </w:r>
            <w:r w:rsidR="00BB5B09" w:rsidRPr="00C279D7">
              <w:t xml:space="preserve">21. </w:t>
            </w:r>
          </w:p>
          <w:p w14:paraId="1CC1BCC6" w14:textId="0417ACFB" w:rsidR="00BB5B09" w:rsidRPr="00C279D7" w:rsidRDefault="00D31F4E" w:rsidP="00BB5B09">
            <w:pPr>
              <w:pStyle w:val="Dash"/>
            </w:pPr>
            <w:r w:rsidRPr="00BB5639">
              <w:fldChar w:fldCharType="begin"/>
            </w:r>
            <w:r w:rsidRPr="00BB5639">
              <w:instrText xml:space="preserve"> :End:</w:instrText>
            </w:r>
            <w:r w:rsidR="00FF727C" w:rsidRPr="00BB5639">
              <w:instrText>CPOP_VA1</w:instrText>
            </w:r>
            <w:r w:rsidRPr="00BB5639">
              <w:instrText xml:space="preserve"> </w:instrText>
            </w:r>
            <w:r w:rsidRPr="00BB5639">
              <w:fldChar w:fldCharType="end"/>
            </w:r>
            <w:r w:rsidR="00DB2976" w:rsidRPr="00BB5639">
              <w:fldChar w:fldCharType="begin"/>
            </w:r>
            <w:r w:rsidR="00DB2976" w:rsidRPr="00BB5639">
              <w:instrText xml:space="preserve"> :Start:MECD_TP1 </w:instrText>
            </w:r>
            <w:r w:rsidR="00DB2976" w:rsidRPr="00BB5639">
              <w:fldChar w:fldCharType="end"/>
            </w:r>
            <w:r w:rsidR="00BB5B09" w:rsidRPr="00C279D7">
              <w:t>The Government implemented international travel bans in March</w:t>
            </w:r>
            <w:r w:rsidR="00B04E5F" w:rsidRPr="00BB5639">
              <w:t> </w:t>
            </w:r>
            <w:r w:rsidR="00BB5B09" w:rsidRPr="00BB5639">
              <w:t>2020. This prevented all arrivals on visitor and temporary migration visas and prevented Australian citizens and permanent residents from departing Australia.</w:t>
            </w:r>
            <w:r w:rsidR="00DB2976" w:rsidRPr="00BB5639">
              <w:fldChar w:fldCharType="begin"/>
            </w:r>
            <w:r w:rsidR="00DB2976" w:rsidRPr="00BB5639">
              <w:instrText xml:space="preserve"> :End:MECD_TP1 </w:instrText>
            </w:r>
            <w:r w:rsidR="00DB2976" w:rsidRPr="00BB5639">
              <w:fldChar w:fldCharType="end"/>
            </w:r>
          </w:p>
          <w:p w14:paraId="4F73C0FC" w14:textId="3C5D4CE6" w:rsidR="00BB5B09" w:rsidRPr="00BB5639" w:rsidRDefault="006D7A0A" w:rsidP="00B04E5F">
            <w:pPr>
              <w:pStyle w:val="Dash"/>
            </w:pPr>
            <w:r w:rsidRPr="00BB5639">
              <w:fldChar w:fldCharType="begin"/>
            </w:r>
            <w:r w:rsidRPr="00BB5639">
              <w:instrText xml:space="preserve"> :Start:MECD_TP1 </w:instrText>
            </w:r>
            <w:r w:rsidRPr="00BB5639">
              <w:fldChar w:fldCharType="end"/>
            </w:r>
            <w:r w:rsidR="00BB5B09" w:rsidRPr="00C279D7">
              <w:t>Between July and December 2020, only citizens, permanent residents, New</w:t>
            </w:r>
            <w:r w:rsidR="00B04E5F" w:rsidRPr="00BB5639">
              <w:t> </w:t>
            </w:r>
            <w:r w:rsidR="00BB5B09" w:rsidRPr="00BB5639">
              <w:t xml:space="preserve">Zealanders and a small number of international students are assumed </w:t>
            </w:r>
            <w:proofErr w:type="gramStart"/>
            <w:r w:rsidR="00BB5B09" w:rsidRPr="00BB5639">
              <w:t>to be able</w:t>
            </w:r>
            <w:proofErr w:type="gramEnd"/>
            <w:r w:rsidR="00BB5B09" w:rsidRPr="00BB5639">
              <w:t xml:space="preserve"> to travel to Australia, based on announced policy to date. </w:t>
            </w:r>
          </w:p>
          <w:p w14:paraId="26BF6136" w14:textId="7243A582" w:rsidR="00BB5B09" w:rsidRPr="00FD48A9" w:rsidRDefault="006D7A0A" w:rsidP="00A9224C">
            <w:pPr>
              <w:pStyle w:val="Dash"/>
            </w:pPr>
            <w:r w:rsidRPr="009E181F">
              <w:fldChar w:fldCharType="begin"/>
            </w:r>
            <w:r w:rsidRPr="00BB5639">
              <w:instrText xml:space="preserve"> :End:MECD_TP1 </w:instrText>
            </w:r>
            <w:r w:rsidRPr="009E181F">
              <w:fldChar w:fldCharType="end"/>
            </w:r>
            <w:r w:rsidRPr="00BB5639">
              <w:fldChar w:fldCharType="begin"/>
            </w:r>
            <w:r w:rsidRPr="00BB5639">
              <w:instrText xml:space="preserve"> :Start:</w:instrText>
            </w:r>
            <w:r w:rsidR="00FF727C" w:rsidRPr="00BB5639">
              <w:instrText>CPOP_VA1</w:instrText>
            </w:r>
            <w:r w:rsidRPr="00BB5639">
              <w:instrText xml:space="preserve"> </w:instrText>
            </w:r>
            <w:r w:rsidRPr="00BB5639">
              <w:fldChar w:fldCharType="end"/>
            </w:r>
            <w:r w:rsidR="00BB5B09" w:rsidRPr="00C279D7">
              <w:t xml:space="preserve">From 1 January to 30 June 2021, it </w:t>
            </w:r>
            <w:proofErr w:type="gramStart"/>
            <w:r w:rsidR="00BB5B09" w:rsidRPr="00C279D7">
              <w:t>is assumed</w:t>
            </w:r>
            <w:proofErr w:type="gramEnd"/>
            <w:r w:rsidR="00BB5B09" w:rsidRPr="00C279D7">
              <w:t xml:space="preserve"> that the travel ban is lifted, but that</w:t>
            </w:r>
            <w:r w:rsidR="00BB5B09" w:rsidRPr="00FD48A9">
              <w:t xml:space="preserve"> a two</w:t>
            </w:r>
            <w:r w:rsidR="00C77479">
              <w:noBreakHyphen/>
            </w:r>
            <w:r w:rsidR="00BB5B09" w:rsidRPr="00FD48A9">
              <w:t>week quarantine period is required of arrivals to Australia. This leads to the resumption of arrivals by temporary and permanent migrants, but at lower levels overall than normal.</w:t>
            </w:r>
            <w:r w:rsidR="00BB5B09" w:rsidRPr="00FD48A9">
              <w:rPr>
                <w:rStyle w:val="CommentReference"/>
              </w:rPr>
              <w:t xml:space="preserve"> </w:t>
            </w:r>
            <w:r w:rsidRPr="00FD48A9">
              <w:rPr>
                <w:rStyle w:val="CommentReference"/>
              </w:rPr>
              <w:fldChar w:fldCharType="begin"/>
            </w:r>
            <w:r w:rsidRPr="00FD48A9">
              <w:rPr>
                <w:rStyle w:val="CommentReference"/>
              </w:rPr>
              <w:instrText xml:space="preserve"> :End:</w:instrText>
            </w:r>
            <w:r w:rsidR="00FF727C" w:rsidRPr="00FD48A9">
              <w:rPr>
                <w:rStyle w:val="CommentReference"/>
              </w:rPr>
              <w:instrText>CPOP_VA1</w:instrText>
            </w:r>
            <w:r w:rsidRPr="00FD48A9">
              <w:rPr>
                <w:rStyle w:val="CommentReference"/>
              </w:rPr>
              <w:instrText xml:space="preserve"> </w:instrText>
            </w:r>
            <w:r w:rsidRPr="00FD48A9">
              <w:rPr>
                <w:rStyle w:val="CommentReference"/>
              </w:rPr>
              <w:fldChar w:fldCharType="end"/>
            </w:r>
          </w:p>
        </w:tc>
      </w:tr>
    </w:tbl>
    <w:p w14:paraId="4BD32761" w14:textId="2DE5DB61" w:rsidR="00F01A5B" w:rsidRPr="00FD48A9" w:rsidRDefault="00F01A5B" w:rsidP="00F01A5B">
      <w:pPr>
        <w:pStyle w:val="SingleParagraph"/>
      </w:pPr>
    </w:p>
    <w:tbl>
      <w:tblPr>
        <w:tblW w:w="5000" w:type="pct"/>
        <w:shd w:val="clear" w:color="auto" w:fill="EBEBEB"/>
        <w:tblLook w:val="0000" w:firstRow="0" w:lastRow="0" w:firstColumn="0" w:lastColumn="0" w:noHBand="0" w:noVBand="0"/>
      </w:tblPr>
      <w:tblGrid>
        <w:gridCol w:w="7710"/>
      </w:tblGrid>
      <w:tr w:rsidR="00F01A5B" w:rsidRPr="00FD48A9" w14:paraId="1FDDF369" w14:textId="77777777" w:rsidTr="00F01A5B">
        <w:trPr>
          <w:cantSplit/>
        </w:trPr>
        <w:tc>
          <w:tcPr>
            <w:tcW w:w="5000" w:type="pct"/>
            <w:shd w:val="clear" w:color="auto" w:fill="EBEBEB"/>
          </w:tcPr>
          <w:p w14:paraId="7E9A89E1" w14:textId="47012003" w:rsidR="00F01A5B" w:rsidRPr="00FD48A9" w:rsidRDefault="00D31F4E" w:rsidP="00F01A5B">
            <w:pPr>
              <w:pStyle w:val="BoxHeading"/>
            </w:pPr>
            <w:r w:rsidRPr="00FD48A9">
              <w:fldChar w:fldCharType="begin"/>
            </w:r>
            <w:r w:rsidRPr="00FD48A9">
              <w:instrText xml:space="preserve"> :Start:MECD_TP5 </w:instrText>
            </w:r>
            <w:r w:rsidRPr="00FD48A9">
              <w:fldChar w:fldCharType="end"/>
            </w:r>
            <w:r w:rsidR="00F01A5B" w:rsidRPr="00FD48A9">
              <w:t xml:space="preserve">Box </w:t>
            </w:r>
            <w:r w:rsidR="002A0899" w:rsidRPr="00FD48A9">
              <w:t>2.</w:t>
            </w:r>
            <w:r w:rsidR="00F01A5B" w:rsidRPr="00FD48A9">
              <w:t>2: Second wave scenario</w:t>
            </w:r>
          </w:p>
          <w:p w14:paraId="09A86E2F" w14:textId="3BFBD457" w:rsidR="00F01A5B" w:rsidRPr="00FD48A9" w:rsidRDefault="00F01A5B" w:rsidP="00806C95">
            <w:pPr>
              <w:pStyle w:val="BoxText"/>
            </w:pPr>
            <w:r w:rsidRPr="00FD48A9">
              <w:t>The recent outbreak of COVID</w:t>
            </w:r>
            <w:r w:rsidR="00C77479">
              <w:noBreakHyphen/>
            </w:r>
            <w:r w:rsidRPr="00FD48A9">
              <w:t xml:space="preserve">19 in Victoria and the subsequent reintroduction of restrictions in </w:t>
            </w:r>
            <w:r w:rsidR="00DA7556">
              <w:t>m</w:t>
            </w:r>
            <w:r w:rsidRPr="00FD48A9">
              <w:t xml:space="preserve">etropolitan Melbourne and </w:t>
            </w:r>
            <w:r w:rsidR="00DA7556">
              <w:t>the Mitche</w:t>
            </w:r>
            <w:r w:rsidR="00493C59">
              <w:t>l</w:t>
            </w:r>
            <w:r w:rsidR="00DA7556">
              <w:t>l Shire</w:t>
            </w:r>
            <w:r w:rsidRPr="00FD48A9">
              <w:t xml:space="preserve">, including border closures, is a sobering reminder of the virulence of the virus and its potential to continue to disrupt the way we live. </w:t>
            </w:r>
            <w:proofErr w:type="gramStart"/>
            <w:r w:rsidRPr="00FD48A9">
              <w:t>Though</w:t>
            </w:r>
            <w:proofErr w:type="gramEnd"/>
            <w:r w:rsidRPr="00FD48A9">
              <w:t xml:space="preserve"> Australia is well prepared to manage the health crisis, the possibility of a major second wave of infections remains.</w:t>
            </w:r>
          </w:p>
          <w:p w14:paraId="1D97B4DA" w14:textId="77777777" w:rsidR="00F01A5B" w:rsidRPr="00FD48A9" w:rsidRDefault="00F01A5B" w:rsidP="00806C95">
            <w:pPr>
              <w:pStyle w:val="BoxText"/>
            </w:pPr>
            <w:r w:rsidRPr="00FD48A9">
              <w:t xml:space="preserve">To some degree, such outcomes </w:t>
            </w:r>
            <w:proofErr w:type="gramStart"/>
            <w:r w:rsidRPr="00FD48A9">
              <w:t>have already been observed</w:t>
            </w:r>
            <w:proofErr w:type="gramEnd"/>
            <w:r w:rsidRPr="00FD48A9">
              <w:t xml:space="preserve"> in several countries that had initial success in suppressing transmission of the virus. In Singapore, a spike in new cases </w:t>
            </w:r>
            <w:proofErr w:type="gramStart"/>
            <w:r w:rsidRPr="00FD48A9">
              <w:t>was observed</w:t>
            </w:r>
            <w:proofErr w:type="gramEnd"/>
            <w:r w:rsidRPr="00FD48A9">
              <w:t xml:space="preserve"> in late April and new infections have been slow to decline. Similarly, after an initial peak was suppressed quickly, new cases in South Korea have slowly risen due to small but persistent groups of new infections.</w:t>
            </w:r>
          </w:p>
          <w:p w14:paraId="67EA3AC8" w14:textId="6C538FF3" w:rsidR="00F01A5B" w:rsidRPr="00FD48A9" w:rsidRDefault="00F01A5B" w:rsidP="00A9224C">
            <w:pPr>
              <w:pStyle w:val="BoxText"/>
            </w:pPr>
            <w:r w:rsidRPr="00FD48A9">
              <w:t xml:space="preserve">How further outbreaks of the virus will play out and its effects on communities and the economy are highly uncertain. Higher rates of testing, contact tracing and increased health system capacity may enable persistent but small outbreaks to </w:t>
            </w:r>
            <w:proofErr w:type="gramStart"/>
            <w:r w:rsidRPr="00FD48A9">
              <w:t>be managed</w:t>
            </w:r>
            <w:proofErr w:type="gramEnd"/>
            <w:r w:rsidRPr="00FD48A9">
              <w:t xml:space="preserve"> without the </w:t>
            </w:r>
            <w:r w:rsidR="00F80672" w:rsidRPr="00FD48A9">
              <w:t>reintroduction</w:t>
            </w:r>
            <w:r w:rsidRPr="00FD48A9">
              <w:t xml:space="preserve"> of large</w:t>
            </w:r>
            <w:r w:rsidR="00C77479">
              <w:noBreakHyphen/>
            </w:r>
            <w:r w:rsidRPr="00FD48A9">
              <w:t xml:space="preserve">scale restrictions. Widespread outbreaks and high rates of community transmission would likely necessitate the </w:t>
            </w:r>
            <w:r w:rsidR="00F80672" w:rsidRPr="00FD48A9">
              <w:t>reintroduction</w:t>
            </w:r>
            <w:r w:rsidRPr="00FD48A9">
              <w:t xml:space="preserve"> of more severe health controls, of the kind we have seen in Victoria. </w:t>
            </w:r>
            <w:r w:rsidR="00D31F4E" w:rsidRPr="00FD48A9">
              <w:fldChar w:fldCharType="begin"/>
            </w:r>
            <w:r w:rsidR="00D31F4E" w:rsidRPr="00FD48A9">
              <w:instrText xml:space="preserve"> :End:MECD_TP5 </w:instrText>
            </w:r>
            <w:r w:rsidR="00D31F4E" w:rsidRPr="00FD48A9">
              <w:fldChar w:fldCharType="end"/>
            </w:r>
          </w:p>
        </w:tc>
      </w:tr>
    </w:tbl>
    <w:p w14:paraId="20CFB413" w14:textId="77777777" w:rsidR="00F01A5B" w:rsidRPr="00FD48A9" w:rsidRDefault="00F01A5B" w:rsidP="00851321">
      <w:pPr>
        <w:pStyle w:val="SingleParagraph"/>
      </w:pPr>
    </w:p>
    <w:p w14:paraId="217AF517" w14:textId="1D275E20" w:rsidR="00851321" w:rsidRPr="00FD48A9" w:rsidRDefault="00851321">
      <w:pPr>
        <w:spacing w:after="160" w:line="259" w:lineRule="auto"/>
        <w:jc w:val="left"/>
      </w:pPr>
      <w:r w:rsidRPr="00FD48A9">
        <w:br w:type="page"/>
      </w:r>
    </w:p>
    <w:tbl>
      <w:tblPr>
        <w:tblW w:w="5000" w:type="pct"/>
        <w:shd w:val="clear" w:color="auto" w:fill="EBEBEB"/>
        <w:tblLook w:val="0000" w:firstRow="0" w:lastRow="0" w:firstColumn="0" w:lastColumn="0" w:noHBand="0" w:noVBand="0"/>
      </w:tblPr>
      <w:tblGrid>
        <w:gridCol w:w="7710"/>
      </w:tblGrid>
      <w:tr w:rsidR="00F01A5B" w:rsidRPr="00FD48A9" w14:paraId="22C81137" w14:textId="77777777" w:rsidTr="00806C95">
        <w:trPr>
          <w:cantSplit/>
        </w:trPr>
        <w:tc>
          <w:tcPr>
            <w:tcW w:w="5000" w:type="pct"/>
            <w:shd w:val="clear" w:color="auto" w:fill="EBEBEB"/>
          </w:tcPr>
          <w:p w14:paraId="050C31B7" w14:textId="787055CE" w:rsidR="00F01A5B" w:rsidRPr="00FD48A9" w:rsidRDefault="00BF135D" w:rsidP="00F01A5B">
            <w:pPr>
              <w:pStyle w:val="BoxHeading"/>
            </w:pPr>
            <w:r w:rsidRPr="00FD48A9">
              <w:lastRenderedPageBreak/>
              <w:fldChar w:fldCharType="begin"/>
            </w:r>
            <w:r w:rsidRPr="00FD48A9">
              <w:instrText xml:space="preserve"> :Start:MECD_TP5 </w:instrText>
            </w:r>
            <w:r w:rsidRPr="00FD48A9">
              <w:fldChar w:fldCharType="end"/>
            </w:r>
            <w:r w:rsidR="00F01A5B" w:rsidRPr="00FD48A9">
              <w:t xml:space="preserve">Box </w:t>
            </w:r>
            <w:r w:rsidR="002A0899" w:rsidRPr="00FD48A9">
              <w:t>2.</w:t>
            </w:r>
            <w:r w:rsidR="00F01A5B" w:rsidRPr="00FD48A9">
              <w:t>2: Second wave scenario (continued)</w:t>
            </w:r>
          </w:p>
          <w:p w14:paraId="6DF0C892" w14:textId="35DBA1EB" w:rsidR="00F01A5B" w:rsidRPr="00FD48A9" w:rsidRDefault="00F01A5B" w:rsidP="00806C95">
            <w:pPr>
              <w:pStyle w:val="BoxText"/>
            </w:pPr>
            <w:r w:rsidRPr="00FD48A9">
              <w:t>Treasury estimates that</w:t>
            </w:r>
            <w:r w:rsidR="00174569">
              <w:t>,</w:t>
            </w:r>
            <w:r w:rsidRPr="00FD48A9">
              <w:t xml:space="preserve"> relative to a pre</w:t>
            </w:r>
            <w:r w:rsidR="00C77479">
              <w:noBreakHyphen/>
            </w:r>
            <w:r w:rsidRPr="00FD48A9">
              <w:t>pandemic economy, GDP was around $4 billion lower for every week the containment restrictions from late March to mid</w:t>
            </w:r>
            <w:r w:rsidR="00C77479">
              <w:noBreakHyphen/>
            </w:r>
            <w:r w:rsidRPr="00FD48A9">
              <w:t>May were in place. These containment restrictions included closures to high</w:t>
            </w:r>
            <w:r w:rsidR="00C77479">
              <w:noBreakHyphen/>
            </w:r>
            <w:r w:rsidRPr="00FD48A9">
              <w:t>risk activities including pubs, nightclubs and gyms, restricting cafes and restaurants to take</w:t>
            </w:r>
            <w:r w:rsidR="00C77479">
              <w:noBreakHyphen/>
            </w:r>
            <w:r w:rsidRPr="00FD48A9">
              <w:t xml:space="preserve">away only, the effects of school closures, stay at home restrictions and the </w:t>
            </w:r>
            <w:r w:rsidR="006C21F2" w:rsidRPr="00FD48A9">
              <w:t xml:space="preserve">physical </w:t>
            </w:r>
            <w:r w:rsidRPr="00FD48A9">
              <w:t xml:space="preserve">distancing requirements limiting venues to one person per four square metres. Following the three steps of easing restrictions, Treasury estimates that economic activity could increase by around $2 billion per week within a few months, or around half of the original fall. </w:t>
            </w:r>
          </w:p>
          <w:p w14:paraId="494B72B0" w14:textId="1F8EC75A" w:rsidR="00F01A5B" w:rsidRPr="00FD48A9" w:rsidRDefault="00F01A5B" w:rsidP="00806C95">
            <w:pPr>
              <w:pStyle w:val="BoxText"/>
            </w:pPr>
            <w:r w:rsidRPr="00FD48A9">
              <w:t xml:space="preserve">If similar </w:t>
            </w:r>
            <w:proofErr w:type="gramStart"/>
            <w:r w:rsidRPr="00FD48A9">
              <w:t>large scale</w:t>
            </w:r>
            <w:proofErr w:type="gramEnd"/>
            <w:r w:rsidRPr="00FD48A9">
              <w:t xml:space="preserve"> restrictions were reimposed across all of Australia, this would likely reduce economic activity to similar levels as observed across April and May, and therefore would likely cost the economy at least $2 billion per week compared to where we may have been without a second wave of infections</w:t>
            </w:r>
            <w:r w:rsidR="00CA125F">
              <w:t xml:space="preserve">. </w:t>
            </w:r>
          </w:p>
          <w:p w14:paraId="6E7BB3A9" w14:textId="6FD99BA3" w:rsidR="00F01A5B" w:rsidRPr="00FD48A9" w:rsidRDefault="00F01A5B" w:rsidP="00806C95">
            <w:pPr>
              <w:pStyle w:val="BoxText"/>
            </w:pPr>
            <w:r w:rsidRPr="00FD48A9">
              <w:t xml:space="preserve">Less severe or more geographically targeted restrictions would not have as large of an impact on economic activity. In this case, rather than experiencing another sharp downturn in economic growth, it would be more likely that the speed of economic recovery </w:t>
            </w:r>
            <w:proofErr w:type="gramStart"/>
            <w:r w:rsidRPr="00FD48A9">
              <w:t>is slowed</w:t>
            </w:r>
            <w:proofErr w:type="gramEnd"/>
            <w:r w:rsidRPr="00FD48A9">
              <w:t xml:space="preserve">. This would be as a direct result of the restrictions themselves, but also from the </w:t>
            </w:r>
            <w:proofErr w:type="spellStart"/>
            <w:r w:rsidRPr="00FD48A9">
              <w:t>spillovers</w:t>
            </w:r>
            <w:proofErr w:type="spellEnd"/>
            <w:r w:rsidRPr="00FD48A9">
              <w:t xml:space="preserve"> continued community outbreaks </w:t>
            </w:r>
            <w:proofErr w:type="gramStart"/>
            <w:r w:rsidRPr="00FD48A9">
              <w:t>may</w:t>
            </w:r>
            <w:proofErr w:type="gramEnd"/>
            <w:r w:rsidRPr="00FD48A9">
              <w:t xml:space="preserve"> have on consumer and business confidence.</w:t>
            </w:r>
          </w:p>
          <w:p w14:paraId="1AA83F8D" w14:textId="6D8452C3" w:rsidR="00F01A5B" w:rsidRPr="00FD48A9" w:rsidRDefault="00BF135D" w:rsidP="00806C95">
            <w:pPr>
              <w:pStyle w:val="BoxText"/>
            </w:pPr>
            <w:r w:rsidRPr="00FD48A9">
              <w:fldChar w:fldCharType="begin"/>
            </w:r>
            <w:r w:rsidRPr="00FD48A9">
              <w:instrText xml:space="preserve"> :End:MECD_TP5 </w:instrText>
            </w:r>
            <w:r w:rsidRPr="00FD48A9">
              <w:fldChar w:fldCharType="end"/>
            </w:r>
            <w:r w:rsidRPr="00FD48A9">
              <w:fldChar w:fldCharType="begin"/>
            </w:r>
            <w:r w:rsidRPr="00FD48A9">
              <w:instrText xml:space="preserve"> :Start:MECD_TP2 </w:instrText>
            </w:r>
            <w:r w:rsidRPr="00FD48A9">
              <w:fldChar w:fldCharType="end"/>
            </w:r>
            <w:r w:rsidR="00F01A5B" w:rsidRPr="00FD48A9">
              <w:t>Initial estimates indicate that the rei</w:t>
            </w:r>
            <w:r w:rsidR="00DA7556">
              <w:t>ntroduction of restrictions in m</w:t>
            </w:r>
            <w:r w:rsidR="00F01A5B" w:rsidRPr="00FD48A9">
              <w:t xml:space="preserve">etropolitan Melbourne and </w:t>
            </w:r>
            <w:r w:rsidR="00DA7556">
              <w:t>the Mitche</w:t>
            </w:r>
            <w:r w:rsidR="00493C59">
              <w:t>l</w:t>
            </w:r>
            <w:r w:rsidR="00DA7556">
              <w:t xml:space="preserve">l Shire </w:t>
            </w:r>
            <w:r w:rsidR="00F01A5B" w:rsidRPr="00FD48A9">
              <w:t>in response to the latest virus outbreak will reduce national real GDP growth by around ¾ of a percentage point in the September</w:t>
            </w:r>
            <w:r w:rsidR="00B04E5F" w:rsidRPr="00FD48A9">
              <w:t> </w:t>
            </w:r>
            <w:r w:rsidR="00F01A5B" w:rsidRPr="00FD48A9">
              <w:t xml:space="preserve">quarter 2020. </w:t>
            </w:r>
          </w:p>
          <w:p w14:paraId="439AC017" w14:textId="2E1532D8" w:rsidR="00F01A5B" w:rsidRPr="00FD48A9" w:rsidRDefault="00F01A5B" w:rsidP="00C279D7">
            <w:pPr>
              <w:pStyle w:val="BoxText"/>
            </w:pPr>
            <w:r w:rsidRPr="00FD48A9">
              <w:t xml:space="preserve">The impact on economic activity will moderate in the December quarter consistent with the current timetable for unwinding the new restrictions, assuming that the Victorian outbreak is contained and the reintroduced restrictions </w:t>
            </w:r>
            <w:proofErr w:type="gramStart"/>
            <w:r w:rsidRPr="00FD48A9">
              <w:t>are not extended</w:t>
            </w:r>
            <w:proofErr w:type="gramEnd"/>
            <w:r w:rsidRPr="00FD48A9">
              <w:t xml:space="preserve"> further. The estimate also assumes that the outbreak does not spread beyond the lockdown localities to other areas of Victoria or Australia, but does take into account the effect of the Victorian outbreak on consumer confidence and activity across the rest of Australia.</w:t>
            </w:r>
            <w:r w:rsidR="00BF135D" w:rsidRPr="00FD48A9">
              <w:fldChar w:fldCharType="begin"/>
            </w:r>
            <w:r w:rsidR="00BF135D" w:rsidRPr="00FD48A9">
              <w:instrText xml:space="preserve"> :End:MECD_TP2 </w:instrText>
            </w:r>
            <w:r w:rsidR="00BF135D" w:rsidRPr="00FD48A9">
              <w:fldChar w:fldCharType="end"/>
            </w:r>
          </w:p>
        </w:tc>
      </w:tr>
    </w:tbl>
    <w:p w14:paraId="7049432B" w14:textId="77777777" w:rsidR="00F01A5B" w:rsidRPr="00FD48A9" w:rsidRDefault="00F01A5B" w:rsidP="00851321">
      <w:pPr>
        <w:pStyle w:val="SingleParagraph"/>
      </w:pPr>
    </w:p>
    <w:p w14:paraId="65D54B46" w14:textId="0E28D53A" w:rsidR="00851321" w:rsidRPr="00FD48A9" w:rsidRDefault="00851321">
      <w:pPr>
        <w:spacing w:after="160" w:line="259" w:lineRule="auto"/>
        <w:jc w:val="left"/>
      </w:pPr>
      <w:r w:rsidRPr="00FD48A9">
        <w:br w:type="page"/>
      </w:r>
    </w:p>
    <w:p w14:paraId="315C4397" w14:textId="34234C85" w:rsidR="003C6D13" w:rsidRPr="00A940DA" w:rsidRDefault="000F7C04" w:rsidP="00A940DA">
      <w:pPr>
        <w:pStyle w:val="TableHeading"/>
        <w:rPr>
          <w:vertAlign w:val="superscript"/>
        </w:rPr>
      </w:pPr>
      <w:r w:rsidRPr="00FD48A9">
        <w:lastRenderedPageBreak/>
        <w:fldChar w:fldCharType="begin"/>
      </w:r>
      <w:r w:rsidRPr="00FD48A9">
        <w:instrText xml:space="preserve"> :Start:MECD_TP2 </w:instrText>
      </w:r>
      <w:r w:rsidRPr="00FD48A9">
        <w:fldChar w:fldCharType="end"/>
      </w:r>
      <w:r w:rsidR="00AC0C4E" w:rsidRPr="00FD48A9">
        <w:t xml:space="preserve">Table </w:t>
      </w:r>
      <w:r w:rsidR="00B04E5F" w:rsidRPr="00FD48A9">
        <w:t>2.</w:t>
      </w:r>
      <w:r w:rsidR="00AC0C4E" w:rsidRPr="00FD48A9">
        <w:t>2</w:t>
      </w:r>
      <w:r w:rsidR="00D131AE" w:rsidRPr="00FD48A9">
        <w:t xml:space="preserve">: Domestic economy </w:t>
      </w:r>
      <w:proofErr w:type="gramStart"/>
      <w:r w:rsidR="00D131AE" w:rsidRPr="00FD48A9">
        <w:t>forecasts</w:t>
      </w:r>
      <w:r w:rsidR="00D131AE" w:rsidRPr="00FD48A9">
        <w:rPr>
          <w:vertAlign w:val="superscript"/>
        </w:rPr>
        <w:t>(</w:t>
      </w:r>
      <w:proofErr w:type="gramEnd"/>
      <w:r w:rsidR="00D131AE" w:rsidRPr="00FD48A9">
        <w:rPr>
          <w:vertAlign w:val="superscript"/>
        </w:rPr>
        <w:t>a)</w:t>
      </w:r>
    </w:p>
    <w:tbl>
      <w:tblPr>
        <w:tblW w:w="5000" w:type="pct"/>
        <w:tblLook w:val="04A0" w:firstRow="1" w:lastRow="0" w:firstColumn="1" w:lastColumn="0" w:noHBand="0" w:noVBand="1"/>
      </w:tblPr>
      <w:tblGrid>
        <w:gridCol w:w="4026"/>
        <w:gridCol w:w="1283"/>
        <w:gridCol w:w="1201"/>
        <w:gridCol w:w="1200"/>
      </w:tblGrid>
      <w:tr w:rsidR="003C6D13" w:rsidRPr="00FD48A9" w14:paraId="64885548" w14:textId="77777777" w:rsidTr="003C6D13">
        <w:trPr>
          <w:trHeight w:hRule="exact" w:val="315"/>
        </w:trPr>
        <w:tc>
          <w:tcPr>
            <w:tcW w:w="2611" w:type="pct"/>
            <w:tcBorders>
              <w:top w:val="single" w:sz="4" w:space="0" w:color="auto"/>
              <w:left w:val="nil"/>
              <w:bottom w:val="nil"/>
              <w:right w:val="nil"/>
            </w:tcBorders>
            <w:shd w:val="clear" w:color="auto" w:fill="auto"/>
            <w:noWrap/>
            <w:vAlign w:val="center"/>
            <w:hideMark/>
          </w:tcPr>
          <w:p w14:paraId="6485BB6A" w14:textId="170EE462" w:rsidR="003C6D13" w:rsidRPr="00FD48A9" w:rsidRDefault="003C6D13" w:rsidP="003C6D13">
            <w:pPr>
              <w:spacing w:after="0" w:line="240" w:lineRule="auto"/>
              <w:jc w:val="left"/>
              <w:rPr>
                <w:rFonts w:ascii="Arial" w:hAnsi="Arial" w:cs="Arial"/>
                <w:sz w:val="16"/>
                <w:szCs w:val="16"/>
              </w:rPr>
            </w:pPr>
            <w:r w:rsidRPr="00FD48A9">
              <w:rPr>
                <w:rFonts w:ascii="Arial" w:hAnsi="Arial" w:cs="Arial"/>
                <w:sz w:val="16"/>
                <w:szCs w:val="16"/>
              </w:rPr>
              <w:t> </w:t>
            </w:r>
          </w:p>
        </w:tc>
        <w:tc>
          <w:tcPr>
            <w:tcW w:w="832" w:type="pct"/>
            <w:tcBorders>
              <w:top w:val="single" w:sz="4" w:space="0" w:color="auto"/>
              <w:left w:val="nil"/>
              <w:bottom w:val="nil"/>
              <w:right w:val="nil"/>
            </w:tcBorders>
            <w:shd w:val="clear" w:color="auto" w:fill="auto"/>
            <w:noWrap/>
            <w:vAlign w:val="center"/>
            <w:hideMark/>
          </w:tcPr>
          <w:p w14:paraId="7973B084" w14:textId="77777777" w:rsidR="003C6D13" w:rsidRPr="00FD48A9" w:rsidRDefault="003C6D13" w:rsidP="003C6D13">
            <w:pPr>
              <w:spacing w:after="0" w:line="240" w:lineRule="auto"/>
              <w:jc w:val="center"/>
              <w:rPr>
                <w:rFonts w:ascii="Arial" w:hAnsi="Arial" w:cs="Arial"/>
                <w:sz w:val="16"/>
                <w:szCs w:val="16"/>
              </w:rPr>
            </w:pPr>
            <w:r w:rsidRPr="00FD48A9">
              <w:rPr>
                <w:rFonts w:ascii="Arial" w:hAnsi="Arial" w:cs="Arial"/>
                <w:sz w:val="16"/>
                <w:szCs w:val="16"/>
              </w:rPr>
              <w:t>Outcomes</w:t>
            </w:r>
            <w:r w:rsidRPr="00FD48A9">
              <w:rPr>
                <w:rFonts w:ascii="Arial" w:hAnsi="Arial" w:cs="Arial"/>
                <w:sz w:val="16"/>
                <w:szCs w:val="16"/>
                <w:vertAlign w:val="superscript"/>
              </w:rPr>
              <w:t>(b)</w:t>
            </w:r>
          </w:p>
        </w:tc>
        <w:tc>
          <w:tcPr>
            <w:tcW w:w="1558" w:type="pct"/>
            <w:gridSpan w:val="2"/>
            <w:tcBorders>
              <w:top w:val="single" w:sz="4" w:space="0" w:color="auto"/>
              <w:left w:val="nil"/>
              <w:bottom w:val="single" w:sz="4" w:space="0" w:color="000000"/>
              <w:right w:val="nil"/>
            </w:tcBorders>
            <w:shd w:val="clear" w:color="000000" w:fill="E6E6E6"/>
            <w:noWrap/>
            <w:vAlign w:val="center"/>
            <w:hideMark/>
          </w:tcPr>
          <w:p w14:paraId="66479E14" w14:textId="77777777" w:rsidR="003C6D13" w:rsidRPr="00FD48A9" w:rsidRDefault="003C6D13" w:rsidP="003C6D13">
            <w:pPr>
              <w:spacing w:after="0" w:line="240" w:lineRule="auto"/>
              <w:jc w:val="center"/>
              <w:rPr>
                <w:rFonts w:ascii="Arial" w:hAnsi="Arial" w:cs="Arial"/>
                <w:sz w:val="16"/>
                <w:szCs w:val="16"/>
              </w:rPr>
            </w:pPr>
            <w:r w:rsidRPr="00FD48A9">
              <w:rPr>
                <w:rFonts w:ascii="Arial" w:hAnsi="Arial" w:cs="Arial"/>
                <w:sz w:val="16"/>
                <w:szCs w:val="16"/>
              </w:rPr>
              <w:t>Forecasts</w:t>
            </w:r>
          </w:p>
        </w:tc>
      </w:tr>
      <w:tr w:rsidR="003C6D13" w:rsidRPr="00FD48A9" w14:paraId="736D914E" w14:textId="77777777" w:rsidTr="003C6D13">
        <w:trPr>
          <w:trHeight w:hRule="exact" w:val="235"/>
        </w:trPr>
        <w:tc>
          <w:tcPr>
            <w:tcW w:w="2611" w:type="pct"/>
            <w:tcBorders>
              <w:top w:val="nil"/>
              <w:left w:val="nil"/>
              <w:bottom w:val="nil"/>
              <w:right w:val="nil"/>
            </w:tcBorders>
            <w:shd w:val="clear" w:color="auto" w:fill="auto"/>
            <w:noWrap/>
            <w:vAlign w:val="center"/>
            <w:hideMark/>
          </w:tcPr>
          <w:p w14:paraId="5D3C9A33" w14:textId="77777777" w:rsidR="003C6D13" w:rsidRPr="00FD48A9" w:rsidRDefault="003C6D13" w:rsidP="003C6D13">
            <w:pPr>
              <w:spacing w:after="0" w:line="240" w:lineRule="auto"/>
              <w:jc w:val="center"/>
              <w:rPr>
                <w:rFonts w:ascii="Arial" w:hAnsi="Arial" w:cs="Arial"/>
                <w:sz w:val="16"/>
                <w:szCs w:val="16"/>
              </w:rPr>
            </w:pPr>
          </w:p>
        </w:tc>
        <w:tc>
          <w:tcPr>
            <w:tcW w:w="832" w:type="pct"/>
            <w:tcBorders>
              <w:top w:val="single" w:sz="4" w:space="0" w:color="000000"/>
              <w:left w:val="nil"/>
              <w:bottom w:val="single" w:sz="4" w:space="0" w:color="000000"/>
              <w:right w:val="nil"/>
            </w:tcBorders>
            <w:shd w:val="clear" w:color="auto" w:fill="auto"/>
            <w:noWrap/>
            <w:vAlign w:val="center"/>
            <w:hideMark/>
          </w:tcPr>
          <w:p w14:paraId="78F477B5" w14:textId="5BE6CCB6"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2018</w:t>
            </w:r>
            <w:r w:rsidR="00C77479">
              <w:rPr>
                <w:rFonts w:ascii="Arial" w:hAnsi="Arial" w:cs="Arial"/>
                <w:sz w:val="16"/>
                <w:szCs w:val="16"/>
              </w:rPr>
              <w:noBreakHyphen/>
            </w:r>
            <w:r w:rsidRPr="00FD48A9">
              <w:rPr>
                <w:rFonts w:ascii="Arial" w:hAnsi="Arial" w:cs="Arial"/>
                <w:sz w:val="16"/>
                <w:szCs w:val="16"/>
              </w:rPr>
              <w:t>19</w:t>
            </w:r>
          </w:p>
        </w:tc>
        <w:tc>
          <w:tcPr>
            <w:tcW w:w="779" w:type="pct"/>
            <w:tcBorders>
              <w:top w:val="nil"/>
              <w:left w:val="nil"/>
              <w:bottom w:val="single" w:sz="4" w:space="0" w:color="000000"/>
              <w:right w:val="nil"/>
            </w:tcBorders>
            <w:shd w:val="clear" w:color="000000" w:fill="E6E6E6"/>
            <w:noWrap/>
            <w:vAlign w:val="center"/>
            <w:hideMark/>
          </w:tcPr>
          <w:p w14:paraId="55A14B25" w14:textId="2E9E32C3"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2019</w:t>
            </w:r>
            <w:r w:rsidR="00C77479">
              <w:rPr>
                <w:rFonts w:ascii="Arial" w:hAnsi="Arial" w:cs="Arial"/>
                <w:sz w:val="16"/>
                <w:szCs w:val="16"/>
              </w:rPr>
              <w:noBreakHyphen/>
            </w:r>
            <w:r w:rsidRPr="00FD48A9">
              <w:rPr>
                <w:rFonts w:ascii="Arial" w:hAnsi="Arial" w:cs="Arial"/>
                <w:sz w:val="16"/>
                <w:szCs w:val="16"/>
              </w:rPr>
              <w:t>20</w:t>
            </w:r>
          </w:p>
        </w:tc>
        <w:tc>
          <w:tcPr>
            <w:tcW w:w="779" w:type="pct"/>
            <w:tcBorders>
              <w:top w:val="nil"/>
              <w:left w:val="nil"/>
              <w:bottom w:val="single" w:sz="4" w:space="0" w:color="000000"/>
              <w:right w:val="nil"/>
            </w:tcBorders>
            <w:shd w:val="clear" w:color="000000" w:fill="E6E6E6"/>
            <w:noWrap/>
            <w:vAlign w:val="center"/>
            <w:hideMark/>
          </w:tcPr>
          <w:p w14:paraId="27CCB5F7" w14:textId="6AB0B717"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2020</w:t>
            </w:r>
            <w:r w:rsidR="00C77479">
              <w:rPr>
                <w:rFonts w:ascii="Arial" w:hAnsi="Arial" w:cs="Arial"/>
                <w:sz w:val="16"/>
                <w:szCs w:val="16"/>
              </w:rPr>
              <w:noBreakHyphen/>
            </w:r>
            <w:r w:rsidRPr="00FD48A9">
              <w:rPr>
                <w:rFonts w:ascii="Arial" w:hAnsi="Arial" w:cs="Arial"/>
                <w:sz w:val="16"/>
                <w:szCs w:val="16"/>
              </w:rPr>
              <w:t>21</w:t>
            </w:r>
          </w:p>
        </w:tc>
      </w:tr>
      <w:tr w:rsidR="003C6D13" w:rsidRPr="00FD48A9" w14:paraId="081F0803" w14:textId="77777777" w:rsidTr="003C6D13">
        <w:trPr>
          <w:trHeight w:hRule="exact" w:val="235"/>
        </w:trPr>
        <w:tc>
          <w:tcPr>
            <w:tcW w:w="2611" w:type="pct"/>
            <w:tcBorders>
              <w:top w:val="nil"/>
              <w:left w:val="nil"/>
              <w:bottom w:val="nil"/>
              <w:right w:val="nil"/>
            </w:tcBorders>
            <w:shd w:val="clear" w:color="auto" w:fill="auto"/>
            <w:noWrap/>
            <w:vAlign w:val="center"/>
            <w:hideMark/>
          </w:tcPr>
          <w:p w14:paraId="4D6C4F9A" w14:textId="77777777" w:rsidR="003C6D13" w:rsidRPr="00FD48A9" w:rsidRDefault="003C6D13" w:rsidP="003C6D13">
            <w:pPr>
              <w:spacing w:after="0" w:line="240" w:lineRule="auto"/>
              <w:jc w:val="left"/>
              <w:rPr>
                <w:rFonts w:ascii="Arial" w:hAnsi="Arial" w:cs="Arial"/>
                <w:b/>
                <w:bCs/>
                <w:sz w:val="16"/>
                <w:szCs w:val="16"/>
              </w:rPr>
            </w:pPr>
            <w:r w:rsidRPr="00FD48A9">
              <w:rPr>
                <w:rFonts w:ascii="Arial" w:hAnsi="Arial" w:cs="Arial"/>
                <w:b/>
                <w:bCs/>
                <w:sz w:val="16"/>
                <w:szCs w:val="16"/>
              </w:rPr>
              <w:t>Real gross domestic product</w:t>
            </w:r>
          </w:p>
        </w:tc>
        <w:tc>
          <w:tcPr>
            <w:tcW w:w="832" w:type="pct"/>
            <w:tcBorders>
              <w:top w:val="nil"/>
              <w:left w:val="nil"/>
              <w:bottom w:val="nil"/>
              <w:right w:val="nil"/>
            </w:tcBorders>
            <w:shd w:val="clear" w:color="auto" w:fill="auto"/>
            <w:noWrap/>
            <w:vAlign w:val="center"/>
            <w:hideMark/>
          </w:tcPr>
          <w:p w14:paraId="4F36A0EF" w14:textId="77777777" w:rsidR="003C6D13" w:rsidRPr="00FD48A9" w:rsidRDefault="003C6D13" w:rsidP="003C6D13">
            <w:pPr>
              <w:spacing w:after="0" w:line="240" w:lineRule="auto"/>
              <w:jc w:val="right"/>
              <w:rPr>
                <w:rFonts w:ascii="Arial" w:hAnsi="Arial" w:cs="Arial"/>
                <w:b/>
                <w:bCs/>
                <w:color w:val="000000"/>
                <w:sz w:val="16"/>
                <w:szCs w:val="16"/>
              </w:rPr>
            </w:pPr>
            <w:r w:rsidRPr="00FD48A9">
              <w:rPr>
                <w:rFonts w:ascii="Arial" w:hAnsi="Arial" w:cs="Arial"/>
                <w:b/>
                <w:bCs/>
                <w:color w:val="000000"/>
                <w:sz w:val="16"/>
                <w:szCs w:val="16"/>
              </w:rPr>
              <w:t>2.0</w:t>
            </w:r>
          </w:p>
        </w:tc>
        <w:tc>
          <w:tcPr>
            <w:tcW w:w="779" w:type="pct"/>
            <w:tcBorders>
              <w:top w:val="nil"/>
              <w:left w:val="nil"/>
              <w:bottom w:val="nil"/>
              <w:right w:val="nil"/>
            </w:tcBorders>
            <w:shd w:val="clear" w:color="000000" w:fill="E6E6E6"/>
            <w:noWrap/>
            <w:vAlign w:val="center"/>
            <w:hideMark/>
          </w:tcPr>
          <w:p w14:paraId="7DC8D06E" w14:textId="20F75145" w:rsidR="003C6D13" w:rsidRPr="00FD48A9" w:rsidRDefault="00C77479" w:rsidP="003C6D1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3C6D13" w:rsidRPr="00FD48A9">
              <w:rPr>
                <w:rFonts w:ascii="Arial" w:hAnsi="Arial" w:cs="Arial"/>
                <w:b/>
                <w:bCs/>
                <w:color w:val="000000"/>
                <w:sz w:val="16"/>
                <w:szCs w:val="16"/>
              </w:rPr>
              <w:t xml:space="preserve"> 1/4</w:t>
            </w:r>
          </w:p>
        </w:tc>
        <w:tc>
          <w:tcPr>
            <w:tcW w:w="779" w:type="pct"/>
            <w:tcBorders>
              <w:top w:val="nil"/>
              <w:left w:val="nil"/>
              <w:bottom w:val="nil"/>
              <w:right w:val="nil"/>
            </w:tcBorders>
            <w:shd w:val="clear" w:color="000000" w:fill="E6E6E6"/>
            <w:noWrap/>
            <w:vAlign w:val="center"/>
            <w:hideMark/>
          </w:tcPr>
          <w:p w14:paraId="1BF10379" w14:textId="46315E95" w:rsidR="003C6D13" w:rsidRPr="00FD48A9" w:rsidRDefault="00C77479" w:rsidP="003C6D1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3C6D13" w:rsidRPr="00FD48A9">
              <w:rPr>
                <w:rFonts w:ascii="Arial" w:hAnsi="Arial" w:cs="Arial"/>
                <w:b/>
                <w:bCs/>
                <w:color w:val="000000"/>
                <w:sz w:val="16"/>
                <w:szCs w:val="16"/>
              </w:rPr>
              <w:t>2 1/2</w:t>
            </w:r>
          </w:p>
        </w:tc>
      </w:tr>
      <w:tr w:rsidR="003C6D13" w:rsidRPr="00FD48A9" w14:paraId="0D10896A" w14:textId="77777777" w:rsidTr="003C6D13">
        <w:trPr>
          <w:trHeight w:hRule="exact" w:val="235"/>
        </w:trPr>
        <w:tc>
          <w:tcPr>
            <w:tcW w:w="2611" w:type="pct"/>
            <w:tcBorders>
              <w:top w:val="nil"/>
              <w:left w:val="nil"/>
              <w:bottom w:val="nil"/>
              <w:right w:val="nil"/>
            </w:tcBorders>
            <w:shd w:val="clear" w:color="auto" w:fill="auto"/>
            <w:noWrap/>
            <w:vAlign w:val="center"/>
            <w:hideMark/>
          </w:tcPr>
          <w:p w14:paraId="29830068" w14:textId="77777777" w:rsidR="003C6D13" w:rsidRPr="00FD48A9" w:rsidRDefault="003C6D13" w:rsidP="003C6D13">
            <w:pPr>
              <w:spacing w:after="0" w:line="240" w:lineRule="auto"/>
              <w:jc w:val="left"/>
              <w:rPr>
                <w:rFonts w:ascii="Arial" w:hAnsi="Arial" w:cs="Arial"/>
                <w:sz w:val="16"/>
                <w:szCs w:val="16"/>
              </w:rPr>
            </w:pPr>
            <w:r w:rsidRPr="00FD48A9">
              <w:rPr>
                <w:rFonts w:ascii="Arial" w:hAnsi="Arial" w:cs="Arial"/>
                <w:sz w:val="16"/>
                <w:szCs w:val="16"/>
              </w:rPr>
              <w:t>Household consumption</w:t>
            </w:r>
          </w:p>
        </w:tc>
        <w:tc>
          <w:tcPr>
            <w:tcW w:w="832" w:type="pct"/>
            <w:tcBorders>
              <w:top w:val="nil"/>
              <w:left w:val="nil"/>
              <w:bottom w:val="nil"/>
              <w:right w:val="nil"/>
            </w:tcBorders>
            <w:shd w:val="clear" w:color="auto" w:fill="auto"/>
            <w:noWrap/>
            <w:vAlign w:val="center"/>
            <w:hideMark/>
          </w:tcPr>
          <w:p w14:paraId="21B35ACB"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2.0</w:t>
            </w:r>
          </w:p>
        </w:tc>
        <w:tc>
          <w:tcPr>
            <w:tcW w:w="779" w:type="pct"/>
            <w:tcBorders>
              <w:top w:val="nil"/>
              <w:left w:val="nil"/>
              <w:bottom w:val="nil"/>
              <w:right w:val="nil"/>
            </w:tcBorders>
            <w:shd w:val="clear" w:color="000000" w:fill="E6E6E6"/>
            <w:noWrap/>
            <w:vAlign w:val="center"/>
            <w:hideMark/>
          </w:tcPr>
          <w:p w14:paraId="78AEDC62" w14:textId="5FE46D5E"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2 1/2</w:t>
            </w:r>
          </w:p>
        </w:tc>
        <w:tc>
          <w:tcPr>
            <w:tcW w:w="779" w:type="pct"/>
            <w:tcBorders>
              <w:top w:val="nil"/>
              <w:left w:val="nil"/>
              <w:bottom w:val="nil"/>
              <w:right w:val="nil"/>
            </w:tcBorders>
            <w:shd w:val="clear" w:color="000000" w:fill="E6E6E6"/>
            <w:noWrap/>
            <w:vAlign w:val="center"/>
            <w:hideMark/>
          </w:tcPr>
          <w:p w14:paraId="6749961B" w14:textId="39DCEED1"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1 1/4</w:t>
            </w:r>
          </w:p>
        </w:tc>
      </w:tr>
      <w:tr w:rsidR="003C6D13" w:rsidRPr="00FD48A9" w14:paraId="68DDD687" w14:textId="77777777" w:rsidTr="003C6D13">
        <w:trPr>
          <w:trHeight w:hRule="exact" w:val="235"/>
        </w:trPr>
        <w:tc>
          <w:tcPr>
            <w:tcW w:w="2611" w:type="pct"/>
            <w:tcBorders>
              <w:top w:val="nil"/>
              <w:left w:val="nil"/>
              <w:bottom w:val="nil"/>
              <w:right w:val="nil"/>
            </w:tcBorders>
            <w:shd w:val="clear" w:color="auto" w:fill="auto"/>
            <w:noWrap/>
            <w:vAlign w:val="center"/>
            <w:hideMark/>
          </w:tcPr>
          <w:p w14:paraId="4E7467CC" w14:textId="77777777" w:rsidR="003C6D13" w:rsidRPr="00FD48A9" w:rsidRDefault="003C6D13" w:rsidP="003C6D13">
            <w:pPr>
              <w:spacing w:after="0" w:line="240" w:lineRule="auto"/>
              <w:jc w:val="left"/>
              <w:rPr>
                <w:rFonts w:ascii="Arial" w:hAnsi="Arial" w:cs="Arial"/>
                <w:sz w:val="16"/>
                <w:szCs w:val="16"/>
              </w:rPr>
            </w:pPr>
            <w:r w:rsidRPr="00FD48A9">
              <w:rPr>
                <w:rFonts w:ascii="Arial" w:hAnsi="Arial" w:cs="Arial"/>
                <w:sz w:val="16"/>
                <w:szCs w:val="16"/>
              </w:rPr>
              <w:t>Dwelling investment</w:t>
            </w:r>
          </w:p>
        </w:tc>
        <w:tc>
          <w:tcPr>
            <w:tcW w:w="832" w:type="pct"/>
            <w:tcBorders>
              <w:top w:val="nil"/>
              <w:left w:val="nil"/>
              <w:bottom w:val="nil"/>
              <w:right w:val="nil"/>
            </w:tcBorders>
            <w:shd w:val="clear" w:color="auto" w:fill="auto"/>
            <w:noWrap/>
            <w:vAlign w:val="center"/>
            <w:hideMark/>
          </w:tcPr>
          <w:p w14:paraId="62BED11A"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0.0</w:t>
            </w:r>
          </w:p>
        </w:tc>
        <w:tc>
          <w:tcPr>
            <w:tcW w:w="779" w:type="pct"/>
            <w:tcBorders>
              <w:top w:val="nil"/>
              <w:left w:val="nil"/>
              <w:bottom w:val="nil"/>
              <w:right w:val="nil"/>
            </w:tcBorders>
            <w:shd w:val="clear" w:color="000000" w:fill="E6E6E6"/>
            <w:noWrap/>
            <w:vAlign w:val="center"/>
            <w:hideMark/>
          </w:tcPr>
          <w:p w14:paraId="4D68C409" w14:textId="25B06346"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 xml:space="preserve">10    </w:t>
            </w:r>
          </w:p>
        </w:tc>
        <w:tc>
          <w:tcPr>
            <w:tcW w:w="779" w:type="pct"/>
            <w:tcBorders>
              <w:top w:val="nil"/>
              <w:left w:val="nil"/>
              <w:bottom w:val="nil"/>
              <w:right w:val="nil"/>
            </w:tcBorders>
            <w:shd w:val="clear" w:color="000000" w:fill="E6E6E6"/>
            <w:noWrap/>
            <w:vAlign w:val="center"/>
            <w:hideMark/>
          </w:tcPr>
          <w:p w14:paraId="47357532" w14:textId="1259350F"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 xml:space="preserve">16    </w:t>
            </w:r>
          </w:p>
        </w:tc>
      </w:tr>
      <w:tr w:rsidR="003C6D13" w:rsidRPr="00FD48A9" w14:paraId="4899F705" w14:textId="77777777" w:rsidTr="003C6D13">
        <w:trPr>
          <w:trHeight w:hRule="exact" w:val="235"/>
        </w:trPr>
        <w:tc>
          <w:tcPr>
            <w:tcW w:w="2611" w:type="pct"/>
            <w:tcBorders>
              <w:top w:val="nil"/>
              <w:left w:val="nil"/>
              <w:bottom w:val="nil"/>
              <w:right w:val="nil"/>
            </w:tcBorders>
            <w:shd w:val="clear" w:color="auto" w:fill="auto"/>
            <w:noWrap/>
            <w:vAlign w:val="center"/>
            <w:hideMark/>
          </w:tcPr>
          <w:p w14:paraId="217BF14E" w14:textId="77777777" w:rsidR="003C6D13" w:rsidRPr="00FD48A9" w:rsidRDefault="003C6D13" w:rsidP="003C6D13">
            <w:pPr>
              <w:spacing w:after="0" w:line="240" w:lineRule="auto"/>
              <w:jc w:val="left"/>
              <w:rPr>
                <w:rFonts w:ascii="Arial" w:hAnsi="Arial" w:cs="Arial"/>
                <w:sz w:val="16"/>
                <w:szCs w:val="16"/>
              </w:rPr>
            </w:pPr>
            <w:r w:rsidRPr="00FD48A9">
              <w:rPr>
                <w:rFonts w:ascii="Arial" w:hAnsi="Arial" w:cs="Arial"/>
                <w:sz w:val="16"/>
                <w:szCs w:val="16"/>
              </w:rPr>
              <w:t>Total business investment</w:t>
            </w:r>
            <w:r w:rsidRPr="00FD48A9">
              <w:rPr>
                <w:rFonts w:ascii="Arial" w:hAnsi="Arial" w:cs="Arial"/>
                <w:sz w:val="16"/>
                <w:szCs w:val="16"/>
                <w:vertAlign w:val="superscript"/>
              </w:rPr>
              <w:t>(c)</w:t>
            </w:r>
          </w:p>
        </w:tc>
        <w:tc>
          <w:tcPr>
            <w:tcW w:w="832" w:type="pct"/>
            <w:tcBorders>
              <w:top w:val="nil"/>
              <w:left w:val="nil"/>
              <w:bottom w:val="nil"/>
              <w:right w:val="nil"/>
            </w:tcBorders>
            <w:shd w:val="clear" w:color="auto" w:fill="auto"/>
            <w:noWrap/>
            <w:vAlign w:val="center"/>
            <w:hideMark/>
          </w:tcPr>
          <w:p w14:paraId="2AE50545" w14:textId="7756D586"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0.9</w:t>
            </w:r>
          </w:p>
        </w:tc>
        <w:tc>
          <w:tcPr>
            <w:tcW w:w="779" w:type="pct"/>
            <w:tcBorders>
              <w:top w:val="nil"/>
              <w:left w:val="nil"/>
              <w:bottom w:val="nil"/>
              <w:right w:val="nil"/>
            </w:tcBorders>
            <w:shd w:val="clear" w:color="000000" w:fill="E6E6E6"/>
            <w:noWrap/>
            <w:vAlign w:val="center"/>
            <w:hideMark/>
          </w:tcPr>
          <w:p w14:paraId="2F07E9EE" w14:textId="18710997"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 xml:space="preserve">6    </w:t>
            </w:r>
          </w:p>
        </w:tc>
        <w:tc>
          <w:tcPr>
            <w:tcW w:w="779" w:type="pct"/>
            <w:tcBorders>
              <w:top w:val="nil"/>
              <w:left w:val="nil"/>
              <w:bottom w:val="nil"/>
              <w:right w:val="nil"/>
            </w:tcBorders>
            <w:shd w:val="clear" w:color="000000" w:fill="E6E6E6"/>
            <w:noWrap/>
            <w:vAlign w:val="center"/>
            <w:hideMark/>
          </w:tcPr>
          <w:p w14:paraId="5DA61C56" w14:textId="1244B29D"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12 1/2</w:t>
            </w:r>
          </w:p>
        </w:tc>
      </w:tr>
      <w:tr w:rsidR="003C6D13" w:rsidRPr="00FD48A9" w14:paraId="7696C61E" w14:textId="77777777" w:rsidTr="003C6D13">
        <w:trPr>
          <w:trHeight w:hRule="exact" w:val="235"/>
        </w:trPr>
        <w:tc>
          <w:tcPr>
            <w:tcW w:w="2611" w:type="pct"/>
            <w:tcBorders>
              <w:top w:val="nil"/>
              <w:left w:val="nil"/>
              <w:bottom w:val="nil"/>
              <w:right w:val="nil"/>
            </w:tcBorders>
            <w:shd w:val="clear" w:color="auto" w:fill="auto"/>
            <w:noWrap/>
            <w:vAlign w:val="center"/>
            <w:hideMark/>
          </w:tcPr>
          <w:p w14:paraId="55A6443F" w14:textId="77777777" w:rsidR="003C6D13" w:rsidRPr="00FD48A9" w:rsidRDefault="003C6D13" w:rsidP="003C6D13">
            <w:pPr>
              <w:spacing w:after="0" w:line="240" w:lineRule="auto"/>
              <w:ind w:left="170"/>
              <w:jc w:val="left"/>
              <w:rPr>
                <w:rFonts w:ascii="Arial" w:hAnsi="Arial" w:cs="Arial"/>
                <w:i/>
                <w:iCs/>
                <w:sz w:val="16"/>
                <w:szCs w:val="16"/>
              </w:rPr>
            </w:pPr>
            <w:r w:rsidRPr="00FD48A9">
              <w:rPr>
                <w:rFonts w:ascii="Arial" w:hAnsi="Arial" w:cs="Arial"/>
                <w:i/>
                <w:iCs/>
                <w:sz w:val="16"/>
                <w:szCs w:val="16"/>
              </w:rPr>
              <w:t>By industry</w:t>
            </w:r>
          </w:p>
        </w:tc>
        <w:tc>
          <w:tcPr>
            <w:tcW w:w="832" w:type="pct"/>
            <w:tcBorders>
              <w:top w:val="nil"/>
              <w:left w:val="nil"/>
              <w:bottom w:val="nil"/>
              <w:right w:val="nil"/>
            </w:tcBorders>
            <w:shd w:val="clear" w:color="auto" w:fill="auto"/>
            <w:noWrap/>
            <w:vAlign w:val="center"/>
            <w:hideMark/>
          </w:tcPr>
          <w:p w14:paraId="6694FF06" w14:textId="77777777" w:rsidR="003C6D13" w:rsidRPr="00FD48A9" w:rsidRDefault="003C6D13" w:rsidP="003C6D13">
            <w:pPr>
              <w:spacing w:after="0" w:line="240" w:lineRule="auto"/>
              <w:ind w:firstLineChars="100" w:firstLine="160"/>
              <w:jc w:val="left"/>
              <w:rPr>
                <w:rFonts w:ascii="Arial" w:hAnsi="Arial" w:cs="Arial"/>
                <w:i/>
                <w:iCs/>
                <w:sz w:val="16"/>
                <w:szCs w:val="16"/>
              </w:rPr>
            </w:pPr>
          </w:p>
        </w:tc>
        <w:tc>
          <w:tcPr>
            <w:tcW w:w="779" w:type="pct"/>
            <w:tcBorders>
              <w:top w:val="nil"/>
              <w:left w:val="nil"/>
              <w:bottom w:val="nil"/>
              <w:right w:val="nil"/>
            </w:tcBorders>
            <w:shd w:val="clear" w:color="000000" w:fill="E6E6E6"/>
            <w:noWrap/>
            <w:vAlign w:val="center"/>
            <w:hideMark/>
          </w:tcPr>
          <w:p w14:paraId="7D0876B9"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 </w:t>
            </w:r>
          </w:p>
        </w:tc>
        <w:tc>
          <w:tcPr>
            <w:tcW w:w="779" w:type="pct"/>
            <w:tcBorders>
              <w:top w:val="nil"/>
              <w:left w:val="nil"/>
              <w:bottom w:val="nil"/>
              <w:right w:val="nil"/>
            </w:tcBorders>
            <w:shd w:val="clear" w:color="000000" w:fill="E6E6E6"/>
            <w:noWrap/>
            <w:vAlign w:val="center"/>
            <w:hideMark/>
          </w:tcPr>
          <w:p w14:paraId="48BF867A"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 </w:t>
            </w:r>
          </w:p>
        </w:tc>
      </w:tr>
      <w:tr w:rsidR="003C6D13" w:rsidRPr="00FD48A9" w14:paraId="672FC17F" w14:textId="77777777" w:rsidTr="003C6D13">
        <w:trPr>
          <w:trHeight w:hRule="exact" w:val="235"/>
        </w:trPr>
        <w:tc>
          <w:tcPr>
            <w:tcW w:w="2611" w:type="pct"/>
            <w:tcBorders>
              <w:top w:val="nil"/>
              <w:left w:val="nil"/>
              <w:bottom w:val="nil"/>
              <w:right w:val="nil"/>
            </w:tcBorders>
            <w:shd w:val="clear" w:color="auto" w:fill="auto"/>
            <w:noWrap/>
            <w:vAlign w:val="center"/>
            <w:hideMark/>
          </w:tcPr>
          <w:p w14:paraId="113B57E6" w14:textId="77777777" w:rsidR="003C6D13" w:rsidRPr="00FD48A9" w:rsidRDefault="003C6D13" w:rsidP="003C6D13">
            <w:pPr>
              <w:spacing w:after="0" w:line="240" w:lineRule="auto"/>
              <w:ind w:left="340"/>
              <w:jc w:val="left"/>
              <w:rPr>
                <w:rFonts w:ascii="Arial" w:hAnsi="Arial" w:cs="Arial"/>
                <w:sz w:val="16"/>
                <w:szCs w:val="16"/>
              </w:rPr>
            </w:pPr>
            <w:r w:rsidRPr="00FD48A9">
              <w:rPr>
                <w:rFonts w:ascii="Arial" w:hAnsi="Arial" w:cs="Arial"/>
                <w:sz w:val="16"/>
                <w:szCs w:val="16"/>
              </w:rPr>
              <w:t>Mining investment</w:t>
            </w:r>
          </w:p>
        </w:tc>
        <w:tc>
          <w:tcPr>
            <w:tcW w:w="832" w:type="pct"/>
            <w:tcBorders>
              <w:top w:val="nil"/>
              <w:left w:val="nil"/>
              <w:bottom w:val="nil"/>
              <w:right w:val="nil"/>
            </w:tcBorders>
            <w:shd w:val="clear" w:color="auto" w:fill="auto"/>
            <w:noWrap/>
            <w:vAlign w:val="center"/>
            <w:hideMark/>
          </w:tcPr>
          <w:p w14:paraId="2CA7D4B8" w14:textId="34C3ACD3"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9.4</w:t>
            </w:r>
          </w:p>
        </w:tc>
        <w:tc>
          <w:tcPr>
            <w:tcW w:w="779" w:type="pct"/>
            <w:tcBorders>
              <w:top w:val="nil"/>
              <w:left w:val="nil"/>
              <w:bottom w:val="nil"/>
              <w:right w:val="nil"/>
            </w:tcBorders>
            <w:shd w:val="clear" w:color="000000" w:fill="E6E6E6"/>
            <w:noWrap/>
            <w:vAlign w:val="center"/>
            <w:hideMark/>
          </w:tcPr>
          <w:p w14:paraId="3D98593B"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 xml:space="preserve">4    </w:t>
            </w:r>
          </w:p>
        </w:tc>
        <w:tc>
          <w:tcPr>
            <w:tcW w:w="779" w:type="pct"/>
            <w:tcBorders>
              <w:top w:val="nil"/>
              <w:left w:val="nil"/>
              <w:bottom w:val="nil"/>
              <w:right w:val="nil"/>
            </w:tcBorders>
            <w:shd w:val="clear" w:color="000000" w:fill="E6E6E6"/>
            <w:noWrap/>
            <w:vAlign w:val="center"/>
            <w:hideMark/>
          </w:tcPr>
          <w:p w14:paraId="18A403BA"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9 1/2</w:t>
            </w:r>
          </w:p>
        </w:tc>
      </w:tr>
      <w:tr w:rsidR="003C6D13" w:rsidRPr="00FD48A9" w14:paraId="0A8FDFB4" w14:textId="77777777" w:rsidTr="003C6D13">
        <w:trPr>
          <w:trHeight w:hRule="exact" w:val="235"/>
        </w:trPr>
        <w:tc>
          <w:tcPr>
            <w:tcW w:w="2611" w:type="pct"/>
            <w:tcBorders>
              <w:top w:val="nil"/>
              <w:left w:val="nil"/>
              <w:bottom w:val="nil"/>
              <w:right w:val="nil"/>
            </w:tcBorders>
            <w:shd w:val="clear" w:color="auto" w:fill="auto"/>
            <w:noWrap/>
            <w:vAlign w:val="center"/>
            <w:hideMark/>
          </w:tcPr>
          <w:p w14:paraId="2E1F178E" w14:textId="4976714F" w:rsidR="003C6D13" w:rsidRPr="00FD48A9" w:rsidRDefault="003C6D13" w:rsidP="003C6D13">
            <w:pPr>
              <w:spacing w:after="0" w:line="240" w:lineRule="auto"/>
              <w:ind w:left="340"/>
              <w:jc w:val="left"/>
              <w:rPr>
                <w:rFonts w:ascii="Arial" w:hAnsi="Arial" w:cs="Arial"/>
                <w:sz w:val="16"/>
                <w:szCs w:val="16"/>
              </w:rPr>
            </w:pPr>
            <w:r w:rsidRPr="00FD48A9">
              <w:rPr>
                <w:rFonts w:ascii="Arial" w:hAnsi="Arial" w:cs="Arial"/>
                <w:sz w:val="16"/>
                <w:szCs w:val="16"/>
              </w:rPr>
              <w:t>Non</w:t>
            </w:r>
            <w:r w:rsidR="00C77479">
              <w:rPr>
                <w:rFonts w:ascii="Arial" w:hAnsi="Arial" w:cs="Arial"/>
                <w:sz w:val="16"/>
                <w:szCs w:val="16"/>
              </w:rPr>
              <w:noBreakHyphen/>
            </w:r>
            <w:r w:rsidRPr="00FD48A9">
              <w:rPr>
                <w:rFonts w:ascii="Arial" w:hAnsi="Arial" w:cs="Arial"/>
                <w:sz w:val="16"/>
                <w:szCs w:val="16"/>
              </w:rPr>
              <w:t>mining investment</w:t>
            </w:r>
          </w:p>
        </w:tc>
        <w:tc>
          <w:tcPr>
            <w:tcW w:w="832" w:type="pct"/>
            <w:tcBorders>
              <w:top w:val="nil"/>
              <w:left w:val="nil"/>
              <w:bottom w:val="nil"/>
              <w:right w:val="nil"/>
            </w:tcBorders>
            <w:shd w:val="clear" w:color="auto" w:fill="auto"/>
            <w:noWrap/>
            <w:vAlign w:val="center"/>
            <w:hideMark/>
          </w:tcPr>
          <w:p w14:paraId="79D76412"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1.8</w:t>
            </w:r>
          </w:p>
        </w:tc>
        <w:tc>
          <w:tcPr>
            <w:tcW w:w="779" w:type="pct"/>
            <w:tcBorders>
              <w:top w:val="nil"/>
              <w:left w:val="nil"/>
              <w:bottom w:val="nil"/>
              <w:right w:val="nil"/>
            </w:tcBorders>
            <w:shd w:val="clear" w:color="000000" w:fill="E6E6E6"/>
            <w:noWrap/>
            <w:vAlign w:val="center"/>
            <w:hideMark/>
          </w:tcPr>
          <w:p w14:paraId="5726FD4D" w14:textId="0E5CC983"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 xml:space="preserve">9    </w:t>
            </w:r>
          </w:p>
        </w:tc>
        <w:tc>
          <w:tcPr>
            <w:tcW w:w="779" w:type="pct"/>
            <w:tcBorders>
              <w:top w:val="nil"/>
              <w:left w:val="nil"/>
              <w:bottom w:val="nil"/>
              <w:right w:val="nil"/>
            </w:tcBorders>
            <w:shd w:val="clear" w:color="000000" w:fill="E6E6E6"/>
            <w:noWrap/>
            <w:vAlign w:val="center"/>
            <w:hideMark/>
          </w:tcPr>
          <w:p w14:paraId="0DD04912" w14:textId="009F905E"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19 1/2</w:t>
            </w:r>
          </w:p>
        </w:tc>
      </w:tr>
      <w:tr w:rsidR="003C6D13" w:rsidRPr="00FD48A9" w14:paraId="619600D5" w14:textId="77777777" w:rsidTr="003C6D13">
        <w:trPr>
          <w:trHeight w:hRule="exact" w:val="235"/>
        </w:trPr>
        <w:tc>
          <w:tcPr>
            <w:tcW w:w="2611" w:type="pct"/>
            <w:tcBorders>
              <w:top w:val="nil"/>
              <w:left w:val="nil"/>
              <w:bottom w:val="nil"/>
              <w:right w:val="nil"/>
            </w:tcBorders>
            <w:shd w:val="clear" w:color="auto" w:fill="auto"/>
            <w:noWrap/>
            <w:vAlign w:val="center"/>
            <w:hideMark/>
          </w:tcPr>
          <w:p w14:paraId="4C85BDA7" w14:textId="77777777" w:rsidR="003C6D13" w:rsidRPr="00FD48A9" w:rsidRDefault="003C6D13" w:rsidP="003C6D13">
            <w:pPr>
              <w:spacing w:after="0" w:line="240" w:lineRule="auto"/>
              <w:jc w:val="left"/>
              <w:rPr>
                <w:rFonts w:ascii="Arial" w:hAnsi="Arial" w:cs="Arial"/>
                <w:sz w:val="16"/>
                <w:szCs w:val="16"/>
              </w:rPr>
            </w:pPr>
            <w:r w:rsidRPr="00FD48A9">
              <w:rPr>
                <w:rFonts w:ascii="Arial" w:hAnsi="Arial" w:cs="Arial"/>
                <w:sz w:val="16"/>
                <w:szCs w:val="16"/>
              </w:rPr>
              <w:t>Private final demand</w:t>
            </w:r>
            <w:r w:rsidRPr="00FD48A9">
              <w:rPr>
                <w:rFonts w:ascii="Arial" w:hAnsi="Arial" w:cs="Arial"/>
                <w:sz w:val="16"/>
                <w:szCs w:val="16"/>
                <w:vertAlign w:val="superscript"/>
              </w:rPr>
              <w:t>(c)</w:t>
            </w:r>
          </w:p>
        </w:tc>
        <w:tc>
          <w:tcPr>
            <w:tcW w:w="832" w:type="pct"/>
            <w:tcBorders>
              <w:top w:val="nil"/>
              <w:left w:val="nil"/>
              <w:bottom w:val="nil"/>
              <w:right w:val="nil"/>
            </w:tcBorders>
            <w:shd w:val="clear" w:color="auto" w:fill="auto"/>
            <w:noWrap/>
            <w:vAlign w:val="center"/>
            <w:hideMark/>
          </w:tcPr>
          <w:p w14:paraId="41C99186"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1.0</w:t>
            </w:r>
          </w:p>
        </w:tc>
        <w:tc>
          <w:tcPr>
            <w:tcW w:w="779" w:type="pct"/>
            <w:tcBorders>
              <w:top w:val="nil"/>
              <w:left w:val="nil"/>
              <w:bottom w:val="nil"/>
              <w:right w:val="nil"/>
            </w:tcBorders>
            <w:shd w:val="clear" w:color="000000" w:fill="E6E6E6"/>
            <w:noWrap/>
            <w:vAlign w:val="center"/>
            <w:hideMark/>
          </w:tcPr>
          <w:p w14:paraId="6CE0A40F" w14:textId="2AB50520"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3 1/2</w:t>
            </w:r>
          </w:p>
        </w:tc>
        <w:tc>
          <w:tcPr>
            <w:tcW w:w="779" w:type="pct"/>
            <w:tcBorders>
              <w:top w:val="nil"/>
              <w:left w:val="nil"/>
              <w:bottom w:val="nil"/>
              <w:right w:val="nil"/>
            </w:tcBorders>
            <w:shd w:val="clear" w:color="000000" w:fill="E6E6E6"/>
            <w:noWrap/>
            <w:vAlign w:val="center"/>
            <w:hideMark/>
          </w:tcPr>
          <w:p w14:paraId="0102C040" w14:textId="72D0D542"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 xml:space="preserve">4    </w:t>
            </w:r>
          </w:p>
        </w:tc>
      </w:tr>
      <w:tr w:rsidR="003C6D13" w:rsidRPr="00FD48A9" w14:paraId="0D71F60A" w14:textId="77777777" w:rsidTr="003C6D13">
        <w:trPr>
          <w:trHeight w:hRule="exact" w:val="235"/>
        </w:trPr>
        <w:tc>
          <w:tcPr>
            <w:tcW w:w="2611" w:type="pct"/>
            <w:tcBorders>
              <w:top w:val="nil"/>
              <w:left w:val="nil"/>
              <w:bottom w:val="nil"/>
              <w:right w:val="nil"/>
            </w:tcBorders>
            <w:shd w:val="clear" w:color="auto" w:fill="auto"/>
            <w:noWrap/>
            <w:vAlign w:val="center"/>
            <w:hideMark/>
          </w:tcPr>
          <w:p w14:paraId="52AAE450" w14:textId="77777777" w:rsidR="003C6D13" w:rsidRPr="00FD48A9" w:rsidRDefault="003C6D13" w:rsidP="003C6D13">
            <w:pPr>
              <w:spacing w:after="0" w:line="240" w:lineRule="auto"/>
              <w:jc w:val="left"/>
              <w:rPr>
                <w:rFonts w:ascii="Arial" w:hAnsi="Arial" w:cs="Arial"/>
                <w:sz w:val="16"/>
                <w:szCs w:val="16"/>
              </w:rPr>
            </w:pPr>
            <w:r w:rsidRPr="00FD48A9">
              <w:rPr>
                <w:rFonts w:ascii="Arial" w:hAnsi="Arial" w:cs="Arial"/>
                <w:sz w:val="16"/>
                <w:szCs w:val="16"/>
              </w:rPr>
              <w:t>Public final demand</w:t>
            </w:r>
            <w:r w:rsidRPr="00FD48A9">
              <w:rPr>
                <w:rFonts w:ascii="Arial" w:hAnsi="Arial" w:cs="Arial"/>
                <w:sz w:val="16"/>
                <w:szCs w:val="16"/>
                <w:vertAlign w:val="superscript"/>
              </w:rPr>
              <w:t xml:space="preserve">(c) </w:t>
            </w:r>
          </w:p>
        </w:tc>
        <w:tc>
          <w:tcPr>
            <w:tcW w:w="832" w:type="pct"/>
            <w:tcBorders>
              <w:top w:val="nil"/>
              <w:left w:val="nil"/>
              <w:bottom w:val="nil"/>
              <w:right w:val="nil"/>
            </w:tcBorders>
            <w:shd w:val="clear" w:color="auto" w:fill="auto"/>
            <w:noWrap/>
            <w:vAlign w:val="center"/>
            <w:hideMark/>
          </w:tcPr>
          <w:p w14:paraId="0105BCD0"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4.4</w:t>
            </w:r>
          </w:p>
        </w:tc>
        <w:tc>
          <w:tcPr>
            <w:tcW w:w="779" w:type="pct"/>
            <w:tcBorders>
              <w:top w:val="nil"/>
              <w:left w:val="nil"/>
              <w:bottom w:val="nil"/>
              <w:right w:val="nil"/>
            </w:tcBorders>
            <w:shd w:val="clear" w:color="000000" w:fill="E6E6E6"/>
            <w:noWrap/>
            <w:vAlign w:val="center"/>
            <w:hideMark/>
          </w:tcPr>
          <w:p w14:paraId="542932AE"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 xml:space="preserve">5    </w:t>
            </w:r>
          </w:p>
        </w:tc>
        <w:tc>
          <w:tcPr>
            <w:tcW w:w="779" w:type="pct"/>
            <w:tcBorders>
              <w:top w:val="nil"/>
              <w:left w:val="nil"/>
              <w:bottom w:val="nil"/>
              <w:right w:val="nil"/>
            </w:tcBorders>
            <w:shd w:val="clear" w:color="000000" w:fill="E6E6E6"/>
            <w:noWrap/>
            <w:vAlign w:val="center"/>
            <w:hideMark/>
          </w:tcPr>
          <w:p w14:paraId="4B8A231D"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4 1/2</w:t>
            </w:r>
          </w:p>
        </w:tc>
      </w:tr>
      <w:tr w:rsidR="003C6D13" w:rsidRPr="00FD48A9" w14:paraId="41F5AE11" w14:textId="77777777" w:rsidTr="003C6D13">
        <w:trPr>
          <w:trHeight w:hRule="exact" w:val="235"/>
        </w:trPr>
        <w:tc>
          <w:tcPr>
            <w:tcW w:w="2611" w:type="pct"/>
            <w:tcBorders>
              <w:top w:val="nil"/>
              <w:left w:val="nil"/>
              <w:bottom w:val="nil"/>
              <w:right w:val="nil"/>
            </w:tcBorders>
            <w:shd w:val="clear" w:color="auto" w:fill="auto"/>
            <w:noWrap/>
            <w:vAlign w:val="center"/>
            <w:hideMark/>
          </w:tcPr>
          <w:p w14:paraId="67F8A3B0" w14:textId="77777777" w:rsidR="003C6D13" w:rsidRPr="00FD48A9" w:rsidRDefault="003C6D13" w:rsidP="003C6D13">
            <w:pPr>
              <w:spacing w:after="0" w:line="240" w:lineRule="auto"/>
              <w:jc w:val="left"/>
              <w:rPr>
                <w:rFonts w:ascii="Arial" w:hAnsi="Arial" w:cs="Arial"/>
                <w:sz w:val="16"/>
                <w:szCs w:val="16"/>
              </w:rPr>
            </w:pPr>
            <w:r w:rsidRPr="00FD48A9">
              <w:rPr>
                <w:rFonts w:ascii="Arial" w:hAnsi="Arial" w:cs="Arial"/>
                <w:sz w:val="16"/>
                <w:szCs w:val="16"/>
              </w:rPr>
              <w:t>Change in inventories</w:t>
            </w:r>
            <w:r w:rsidRPr="00FD48A9">
              <w:rPr>
                <w:rFonts w:ascii="Arial" w:hAnsi="Arial" w:cs="Arial"/>
                <w:sz w:val="16"/>
                <w:szCs w:val="16"/>
                <w:vertAlign w:val="superscript"/>
              </w:rPr>
              <w:t>(d)</w:t>
            </w:r>
          </w:p>
        </w:tc>
        <w:tc>
          <w:tcPr>
            <w:tcW w:w="832" w:type="pct"/>
            <w:tcBorders>
              <w:top w:val="nil"/>
              <w:left w:val="nil"/>
              <w:bottom w:val="nil"/>
              <w:right w:val="nil"/>
            </w:tcBorders>
            <w:shd w:val="clear" w:color="auto" w:fill="auto"/>
            <w:noWrap/>
            <w:vAlign w:val="center"/>
            <w:hideMark/>
          </w:tcPr>
          <w:p w14:paraId="48AC90C5" w14:textId="136CAA61"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0.2</w:t>
            </w:r>
          </w:p>
        </w:tc>
        <w:tc>
          <w:tcPr>
            <w:tcW w:w="779" w:type="pct"/>
            <w:tcBorders>
              <w:top w:val="nil"/>
              <w:left w:val="nil"/>
              <w:bottom w:val="nil"/>
              <w:right w:val="nil"/>
            </w:tcBorders>
            <w:shd w:val="clear" w:color="000000" w:fill="E6E6E6"/>
            <w:noWrap/>
            <w:vAlign w:val="center"/>
            <w:hideMark/>
          </w:tcPr>
          <w:p w14:paraId="1F3ABCBF"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 xml:space="preserve">0    </w:t>
            </w:r>
          </w:p>
        </w:tc>
        <w:tc>
          <w:tcPr>
            <w:tcW w:w="779" w:type="pct"/>
            <w:tcBorders>
              <w:top w:val="nil"/>
              <w:left w:val="nil"/>
              <w:bottom w:val="nil"/>
              <w:right w:val="nil"/>
            </w:tcBorders>
            <w:shd w:val="clear" w:color="000000" w:fill="E6E6E6"/>
            <w:noWrap/>
            <w:vAlign w:val="center"/>
            <w:hideMark/>
          </w:tcPr>
          <w:p w14:paraId="2B67A36F"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 xml:space="preserve">0    </w:t>
            </w:r>
          </w:p>
        </w:tc>
      </w:tr>
      <w:tr w:rsidR="003C6D13" w:rsidRPr="00FD48A9" w14:paraId="12C7E541" w14:textId="77777777" w:rsidTr="003C6D13">
        <w:trPr>
          <w:trHeight w:hRule="exact" w:val="235"/>
        </w:trPr>
        <w:tc>
          <w:tcPr>
            <w:tcW w:w="2611" w:type="pct"/>
            <w:tcBorders>
              <w:top w:val="nil"/>
              <w:left w:val="nil"/>
              <w:bottom w:val="nil"/>
              <w:right w:val="nil"/>
            </w:tcBorders>
            <w:shd w:val="clear" w:color="auto" w:fill="auto"/>
            <w:noWrap/>
            <w:vAlign w:val="center"/>
            <w:hideMark/>
          </w:tcPr>
          <w:p w14:paraId="0923ACBA" w14:textId="77777777" w:rsidR="003C6D13" w:rsidRPr="00FD48A9" w:rsidRDefault="003C6D13" w:rsidP="003C6D13">
            <w:pPr>
              <w:spacing w:after="0" w:line="240" w:lineRule="auto"/>
              <w:jc w:val="left"/>
              <w:rPr>
                <w:rFonts w:ascii="Arial" w:hAnsi="Arial" w:cs="Arial"/>
                <w:sz w:val="16"/>
                <w:szCs w:val="16"/>
              </w:rPr>
            </w:pPr>
            <w:r w:rsidRPr="00FD48A9">
              <w:rPr>
                <w:rFonts w:ascii="Arial" w:hAnsi="Arial" w:cs="Arial"/>
                <w:sz w:val="16"/>
                <w:szCs w:val="16"/>
              </w:rPr>
              <w:t>Gross national expenditure</w:t>
            </w:r>
          </w:p>
        </w:tc>
        <w:tc>
          <w:tcPr>
            <w:tcW w:w="832" w:type="pct"/>
            <w:tcBorders>
              <w:top w:val="nil"/>
              <w:left w:val="nil"/>
              <w:bottom w:val="nil"/>
              <w:right w:val="nil"/>
            </w:tcBorders>
            <w:shd w:val="clear" w:color="auto" w:fill="auto"/>
            <w:noWrap/>
            <w:vAlign w:val="center"/>
            <w:hideMark/>
          </w:tcPr>
          <w:p w14:paraId="38A61A49"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1.6</w:t>
            </w:r>
          </w:p>
        </w:tc>
        <w:tc>
          <w:tcPr>
            <w:tcW w:w="779" w:type="pct"/>
            <w:tcBorders>
              <w:top w:val="nil"/>
              <w:left w:val="nil"/>
              <w:bottom w:val="nil"/>
              <w:right w:val="nil"/>
            </w:tcBorders>
            <w:shd w:val="clear" w:color="000000" w:fill="E6E6E6"/>
            <w:noWrap/>
            <w:vAlign w:val="center"/>
            <w:hideMark/>
          </w:tcPr>
          <w:p w14:paraId="574B3DA2" w14:textId="4FC858A4"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1 1/2</w:t>
            </w:r>
          </w:p>
        </w:tc>
        <w:tc>
          <w:tcPr>
            <w:tcW w:w="779" w:type="pct"/>
            <w:tcBorders>
              <w:top w:val="nil"/>
              <w:left w:val="nil"/>
              <w:bottom w:val="nil"/>
              <w:right w:val="nil"/>
            </w:tcBorders>
            <w:shd w:val="clear" w:color="000000" w:fill="E6E6E6"/>
            <w:noWrap/>
            <w:vAlign w:val="center"/>
            <w:hideMark/>
          </w:tcPr>
          <w:p w14:paraId="7C8844E4" w14:textId="3D9E0F39"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1 3/4</w:t>
            </w:r>
          </w:p>
        </w:tc>
      </w:tr>
      <w:tr w:rsidR="003C6D13" w:rsidRPr="00FD48A9" w14:paraId="2E0B8F55" w14:textId="77777777" w:rsidTr="003C6D13">
        <w:trPr>
          <w:trHeight w:hRule="exact" w:val="235"/>
        </w:trPr>
        <w:tc>
          <w:tcPr>
            <w:tcW w:w="2611" w:type="pct"/>
            <w:tcBorders>
              <w:top w:val="nil"/>
              <w:left w:val="nil"/>
              <w:bottom w:val="nil"/>
              <w:right w:val="nil"/>
            </w:tcBorders>
            <w:shd w:val="clear" w:color="auto" w:fill="auto"/>
            <w:noWrap/>
            <w:vAlign w:val="center"/>
            <w:hideMark/>
          </w:tcPr>
          <w:p w14:paraId="19B29CFF" w14:textId="77777777" w:rsidR="003C6D13" w:rsidRPr="00FD48A9" w:rsidRDefault="003C6D13" w:rsidP="003C6D13">
            <w:pPr>
              <w:spacing w:after="0" w:line="240" w:lineRule="auto"/>
              <w:jc w:val="left"/>
              <w:rPr>
                <w:rFonts w:ascii="Arial" w:hAnsi="Arial" w:cs="Arial"/>
                <w:sz w:val="16"/>
                <w:szCs w:val="16"/>
              </w:rPr>
            </w:pPr>
            <w:r w:rsidRPr="00FD48A9">
              <w:rPr>
                <w:rFonts w:ascii="Arial" w:hAnsi="Arial" w:cs="Arial"/>
                <w:sz w:val="16"/>
                <w:szCs w:val="16"/>
              </w:rPr>
              <w:t>Exports of goods and services</w:t>
            </w:r>
          </w:p>
        </w:tc>
        <w:tc>
          <w:tcPr>
            <w:tcW w:w="832" w:type="pct"/>
            <w:tcBorders>
              <w:top w:val="nil"/>
              <w:left w:val="nil"/>
              <w:bottom w:val="nil"/>
              <w:right w:val="nil"/>
            </w:tcBorders>
            <w:shd w:val="clear" w:color="auto" w:fill="auto"/>
            <w:noWrap/>
            <w:vAlign w:val="center"/>
            <w:hideMark/>
          </w:tcPr>
          <w:p w14:paraId="743DA6D2"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4.0</w:t>
            </w:r>
          </w:p>
        </w:tc>
        <w:tc>
          <w:tcPr>
            <w:tcW w:w="779" w:type="pct"/>
            <w:tcBorders>
              <w:top w:val="nil"/>
              <w:left w:val="nil"/>
              <w:bottom w:val="nil"/>
              <w:right w:val="nil"/>
            </w:tcBorders>
            <w:shd w:val="clear" w:color="000000" w:fill="E6E6E6"/>
            <w:noWrap/>
            <w:vAlign w:val="center"/>
            <w:hideMark/>
          </w:tcPr>
          <w:p w14:paraId="7C35AB5D" w14:textId="5ED56B18"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1 1/2</w:t>
            </w:r>
          </w:p>
        </w:tc>
        <w:tc>
          <w:tcPr>
            <w:tcW w:w="779" w:type="pct"/>
            <w:tcBorders>
              <w:top w:val="nil"/>
              <w:left w:val="nil"/>
              <w:bottom w:val="nil"/>
              <w:right w:val="nil"/>
            </w:tcBorders>
            <w:shd w:val="clear" w:color="000000" w:fill="E6E6E6"/>
            <w:noWrap/>
            <w:vAlign w:val="center"/>
            <w:hideMark/>
          </w:tcPr>
          <w:p w14:paraId="31FC1056" w14:textId="3EA58972"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6 1/2</w:t>
            </w:r>
          </w:p>
        </w:tc>
      </w:tr>
      <w:tr w:rsidR="003C6D13" w:rsidRPr="00FD48A9" w14:paraId="2EEAD4A4" w14:textId="77777777" w:rsidTr="003C6D13">
        <w:trPr>
          <w:trHeight w:hRule="exact" w:val="235"/>
        </w:trPr>
        <w:tc>
          <w:tcPr>
            <w:tcW w:w="2611" w:type="pct"/>
            <w:tcBorders>
              <w:top w:val="nil"/>
              <w:left w:val="nil"/>
              <w:bottom w:val="nil"/>
              <w:right w:val="nil"/>
            </w:tcBorders>
            <w:shd w:val="clear" w:color="auto" w:fill="auto"/>
            <w:noWrap/>
            <w:vAlign w:val="center"/>
            <w:hideMark/>
          </w:tcPr>
          <w:p w14:paraId="0C866C6D" w14:textId="77777777" w:rsidR="003C6D13" w:rsidRPr="00FD48A9" w:rsidRDefault="003C6D13" w:rsidP="003C6D13">
            <w:pPr>
              <w:spacing w:after="0" w:line="240" w:lineRule="auto"/>
              <w:jc w:val="left"/>
              <w:rPr>
                <w:rFonts w:ascii="Arial" w:hAnsi="Arial" w:cs="Arial"/>
                <w:sz w:val="16"/>
                <w:szCs w:val="16"/>
              </w:rPr>
            </w:pPr>
            <w:r w:rsidRPr="00FD48A9">
              <w:rPr>
                <w:rFonts w:ascii="Arial" w:hAnsi="Arial" w:cs="Arial"/>
                <w:sz w:val="16"/>
                <w:szCs w:val="16"/>
              </w:rPr>
              <w:t>Imports of goods and services</w:t>
            </w:r>
          </w:p>
        </w:tc>
        <w:tc>
          <w:tcPr>
            <w:tcW w:w="832" w:type="pct"/>
            <w:tcBorders>
              <w:top w:val="nil"/>
              <w:left w:val="nil"/>
              <w:bottom w:val="nil"/>
              <w:right w:val="nil"/>
            </w:tcBorders>
            <w:shd w:val="clear" w:color="auto" w:fill="auto"/>
            <w:noWrap/>
            <w:vAlign w:val="center"/>
            <w:hideMark/>
          </w:tcPr>
          <w:p w14:paraId="1BFA3C16"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0.3</w:t>
            </w:r>
          </w:p>
        </w:tc>
        <w:tc>
          <w:tcPr>
            <w:tcW w:w="779" w:type="pct"/>
            <w:tcBorders>
              <w:top w:val="nil"/>
              <w:left w:val="nil"/>
              <w:bottom w:val="nil"/>
              <w:right w:val="nil"/>
            </w:tcBorders>
            <w:shd w:val="clear" w:color="000000" w:fill="E6E6E6"/>
            <w:noWrap/>
            <w:vAlign w:val="center"/>
            <w:hideMark/>
          </w:tcPr>
          <w:p w14:paraId="69DFCB17" w14:textId="023AC28D"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 xml:space="preserve">8    </w:t>
            </w:r>
          </w:p>
        </w:tc>
        <w:tc>
          <w:tcPr>
            <w:tcW w:w="779" w:type="pct"/>
            <w:tcBorders>
              <w:top w:val="nil"/>
              <w:left w:val="nil"/>
              <w:bottom w:val="nil"/>
              <w:right w:val="nil"/>
            </w:tcBorders>
            <w:shd w:val="clear" w:color="000000" w:fill="E6E6E6"/>
            <w:noWrap/>
            <w:vAlign w:val="center"/>
            <w:hideMark/>
          </w:tcPr>
          <w:p w14:paraId="497F2CE9" w14:textId="595790F2"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 xml:space="preserve">6    </w:t>
            </w:r>
          </w:p>
        </w:tc>
      </w:tr>
      <w:tr w:rsidR="003C6D13" w:rsidRPr="00FD48A9" w14:paraId="1939FDEF" w14:textId="77777777" w:rsidTr="003C6D13">
        <w:trPr>
          <w:trHeight w:hRule="exact" w:val="235"/>
        </w:trPr>
        <w:tc>
          <w:tcPr>
            <w:tcW w:w="2611" w:type="pct"/>
            <w:tcBorders>
              <w:top w:val="nil"/>
              <w:left w:val="nil"/>
              <w:bottom w:val="nil"/>
              <w:right w:val="nil"/>
            </w:tcBorders>
            <w:shd w:val="clear" w:color="auto" w:fill="auto"/>
            <w:noWrap/>
            <w:vAlign w:val="center"/>
            <w:hideMark/>
          </w:tcPr>
          <w:p w14:paraId="01EC63EF" w14:textId="77777777" w:rsidR="003C6D13" w:rsidRPr="00FD48A9" w:rsidRDefault="003C6D13" w:rsidP="003C6D13">
            <w:pPr>
              <w:spacing w:after="0" w:line="240" w:lineRule="auto"/>
              <w:ind w:left="170"/>
              <w:jc w:val="left"/>
              <w:rPr>
                <w:rFonts w:ascii="Arial" w:hAnsi="Arial" w:cs="Arial"/>
                <w:sz w:val="16"/>
                <w:szCs w:val="16"/>
              </w:rPr>
            </w:pPr>
            <w:r w:rsidRPr="00FD48A9">
              <w:rPr>
                <w:rFonts w:ascii="Arial" w:hAnsi="Arial" w:cs="Arial"/>
                <w:sz w:val="16"/>
                <w:szCs w:val="16"/>
              </w:rPr>
              <w:t>Net exports</w:t>
            </w:r>
            <w:r w:rsidRPr="00FD48A9">
              <w:rPr>
                <w:rFonts w:ascii="Arial" w:hAnsi="Arial" w:cs="Arial"/>
                <w:sz w:val="16"/>
                <w:szCs w:val="16"/>
                <w:vertAlign w:val="superscript"/>
              </w:rPr>
              <w:t>(d)</w:t>
            </w:r>
          </w:p>
        </w:tc>
        <w:tc>
          <w:tcPr>
            <w:tcW w:w="832" w:type="pct"/>
            <w:tcBorders>
              <w:top w:val="nil"/>
              <w:left w:val="nil"/>
              <w:bottom w:val="nil"/>
              <w:right w:val="nil"/>
            </w:tcBorders>
            <w:shd w:val="clear" w:color="auto" w:fill="auto"/>
            <w:noWrap/>
            <w:vAlign w:val="center"/>
            <w:hideMark/>
          </w:tcPr>
          <w:p w14:paraId="64C27ED2"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0.8</w:t>
            </w:r>
          </w:p>
        </w:tc>
        <w:tc>
          <w:tcPr>
            <w:tcW w:w="779" w:type="pct"/>
            <w:tcBorders>
              <w:top w:val="nil"/>
              <w:left w:val="nil"/>
              <w:bottom w:val="nil"/>
              <w:right w:val="nil"/>
            </w:tcBorders>
            <w:shd w:val="clear" w:color="000000" w:fill="E6E6E6"/>
            <w:noWrap/>
            <w:vAlign w:val="center"/>
            <w:hideMark/>
          </w:tcPr>
          <w:p w14:paraId="14882492"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1 1/4</w:t>
            </w:r>
          </w:p>
        </w:tc>
        <w:tc>
          <w:tcPr>
            <w:tcW w:w="779" w:type="pct"/>
            <w:tcBorders>
              <w:top w:val="nil"/>
              <w:left w:val="nil"/>
              <w:bottom w:val="nil"/>
              <w:right w:val="nil"/>
            </w:tcBorders>
            <w:shd w:val="clear" w:color="000000" w:fill="E6E6E6"/>
            <w:noWrap/>
            <w:vAlign w:val="center"/>
            <w:hideMark/>
          </w:tcPr>
          <w:p w14:paraId="45EFBD32" w14:textId="01BE3286"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 xml:space="preserve"> 1/4</w:t>
            </w:r>
          </w:p>
        </w:tc>
      </w:tr>
      <w:tr w:rsidR="003C6D13" w:rsidRPr="00FD48A9" w14:paraId="2818E7EB" w14:textId="77777777" w:rsidTr="003C6D13">
        <w:trPr>
          <w:trHeight w:hRule="exact" w:val="235"/>
        </w:trPr>
        <w:tc>
          <w:tcPr>
            <w:tcW w:w="2611" w:type="pct"/>
            <w:tcBorders>
              <w:top w:val="nil"/>
              <w:left w:val="nil"/>
              <w:bottom w:val="nil"/>
              <w:right w:val="nil"/>
            </w:tcBorders>
            <w:shd w:val="clear" w:color="auto" w:fill="auto"/>
            <w:noWrap/>
            <w:vAlign w:val="center"/>
            <w:hideMark/>
          </w:tcPr>
          <w:p w14:paraId="60CF7A56" w14:textId="77777777" w:rsidR="003C6D13" w:rsidRPr="00FD48A9" w:rsidRDefault="003C6D13" w:rsidP="003C6D13">
            <w:pPr>
              <w:spacing w:after="0" w:line="240" w:lineRule="auto"/>
              <w:jc w:val="left"/>
              <w:rPr>
                <w:rFonts w:ascii="Arial" w:hAnsi="Arial" w:cs="Arial"/>
                <w:sz w:val="16"/>
                <w:szCs w:val="16"/>
              </w:rPr>
            </w:pPr>
            <w:r w:rsidRPr="00FD48A9">
              <w:rPr>
                <w:rFonts w:ascii="Arial" w:hAnsi="Arial" w:cs="Arial"/>
                <w:sz w:val="16"/>
                <w:szCs w:val="16"/>
              </w:rPr>
              <w:t>Nominal gross domestic product</w:t>
            </w:r>
          </w:p>
        </w:tc>
        <w:tc>
          <w:tcPr>
            <w:tcW w:w="832" w:type="pct"/>
            <w:tcBorders>
              <w:top w:val="nil"/>
              <w:left w:val="nil"/>
              <w:bottom w:val="nil"/>
              <w:right w:val="nil"/>
            </w:tcBorders>
            <w:shd w:val="clear" w:color="auto" w:fill="auto"/>
            <w:noWrap/>
            <w:vAlign w:val="center"/>
            <w:hideMark/>
          </w:tcPr>
          <w:p w14:paraId="12951E25"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5.3</w:t>
            </w:r>
          </w:p>
        </w:tc>
        <w:tc>
          <w:tcPr>
            <w:tcW w:w="779" w:type="pct"/>
            <w:tcBorders>
              <w:top w:val="nil"/>
              <w:left w:val="nil"/>
              <w:bottom w:val="nil"/>
              <w:right w:val="nil"/>
            </w:tcBorders>
            <w:shd w:val="clear" w:color="000000" w:fill="E6E6E6"/>
            <w:noWrap/>
            <w:vAlign w:val="center"/>
            <w:hideMark/>
          </w:tcPr>
          <w:p w14:paraId="7DB2304E"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 xml:space="preserve">2    </w:t>
            </w:r>
          </w:p>
        </w:tc>
        <w:tc>
          <w:tcPr>
            <w:tcW w:w="779" w:type="pct"/>
            <w:tcBorders>
              <w:top w:val="nil"/>
              <w:left w:val="nil"/>
              <w:bottom w:val="nil"/>
              <w:right w:val="nil"/>
            </w:tcBorders>
            <w:shd w:val="clear" w:color="000000" w:fill="E6E6E6"/>
            <w:noWrap/>
            <w:vAlign w:val="center"/>
            <w:hideMark/>
          </w:tcPr>
          <w:p w14:paraId="37F40963" w14:textId="67B77F10"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4 3/4</w:t>
            </w:r>
          </w:p>
        </w:tc>
      </w:tr>
      <w:tr w:rsidR="003C6D13" w:rsidRPr="00FD48A9" w14:paraId="5D8CEBCE" w14:textId="77777777" w:rsidTr="003C6D13">
        <w:trPr>
          <w:trHeight w:hRule="exact" w:val="235"/>
        </w:trPr>
        <w:tc>
          <w:tcPr>
            <w:tcW w:w="2611" w:type="pct"/>
            <w:tcBorders>
              <w:top w:val="nil"/>
              <w:left w:val="nil"/>
              <w:bottom w:val="nil"/>
              <w:right w:val="nil"/>
            </w:tcBorders>
            <w:shd w:val="clear" w:color="auto" w:fill="auto"/>
            <w:noWrap/>
            <w:vAlign w:val="center"/>
            <w:hideMark/>
          </w:tcPr>
          <w:p w14:paraId="5E85EAC0" w14:textId="77777777" w:rsidR="003C6D13" w:rsidRPr="00FD48A9" w:rsidRDefault="003C6D13" w:rsidP="003C6D13">
            <w:pPr>
              <w:spacing w:after="0" w:line="240" w:lineRule="auto"/>
              <w:jc w:val="left"/>
              <w:rPr>
                <w:rFonts w:ascii="Arial" w:hAnsi="Arial" w:cs="Arial"/>
                <w:sz w:val="16"/>
                <w:szCs w:val="16"/>
              </w:rPr>
            </w:pPr>
            <w:r w:rsidRPr="00FD48A9">
              <w:rPr>
                <w:rFonts w:ascii="Arial" w:hAnsi="Arial" w:cs="Arial"/>
                <w:sz w:val="16"/>
                <w:szCs w:val="16"/>
              </w:rPr>
              <w:t>Prices and wages</w:t>
            </w:r>
          </w:p>
        </w:tc>
        <w:tc>
          <w:tcPr>
            <w:tcW w:w="832" w:type="pct"/>
            <w:tcBorders>
              <w:top w:val="nil"/>
              <w:left w:val="nil"/>
              <w:bottom w:val="nil"/>
              <w:right w:val="nil"/>
            </w:tcBorders>
            <w:shd w:val="clear" w:color="auto" w:fill="auto"/>
            <w:noWrap/>
            <w:vAlign w:val="center"/>
            <w:hideMark/>
          </w:tcPr>
          <w:p w14:paraId="528BB36C" w14:textId="77777777" w:rsidR="003C6D13" w:rsidRPr="00FD48A9" w:rsidRDefault="003C6D13" w:rsidP="003C6D13">
            <w:pPr>
              <w:spacing w:after="0" w:line="240" w:lineRule="auto"/>
              <w:jc w:val="left"/>
              <w:rPr>
                <w:rFonts w:ascii="Arial" w:hAnsi="Arial" w:cs="Arial"/>
                <w:sz w:val="16"/>
                <w:szCs w:val="16"/>
              </w:rPr>
            </w:pPr>
          </w:p>
        </w:tc>
        <w:tc>
          <w:tcPr>
            <w:tcW w:w="779" w:type="pct"/>
            <w:tcBorders>
              <w:top w:val="nil"/>
              <w:left w:val="nil"/>
              <w:bottom w:val="nil"/>
              <w:right w:val="nil"/>
            </w:tcBorders>
            <w:shd w:val="clear" w:color="000000" w:fill="E6E6E6"/>
            <w:noWrap/>
            <w:vAlign w:val="center"/>
            <w:hideMark/>
          </w:tcPr>
          <w:p w14:paraId="546F10BF"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 </w:t>
            </w:r>
          </w:p>
        </w:tc>
        <w:tc>
          <w:tcPr>
            <w:tcW w:w="779" w:type="pct"/>
            <w:tcBorders>
              <w:top w:val="nil"/>
              <w:left w:val="nil"/>
              <w:bottom w:val="nil"/>
              <w:right w:val="nil"/>
            </w:tcBorders>
            <w:shd w:val="clear" w:color="000000" w:fill="E6E6E6"/>
            <w:noWrap/>
            <w:vAlign w:val="center"/>
            <w:hideMark/>
          </w:tcPr>
          <w:p w14:paraId="43E25969"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 </w:t>
            </w:r>
          </w:p>
        </w:tc>
      </w:tr>
      <w:tr w:rsidR="003C6D13" w:rsidRPr="00FD48A9" w14:paraId="4881E892" w14:textId="77777777" w:rsidTr="003C6D13">
        <w:trPr>
          <w:trHeight w:hRule="exact" w:val="235"/>
        </w:trPr>
        <w:tc>
          <w:tcPr>
            <w:tcW w:w="2611" w:type="pct"/>
            <w:tcBorders>
              <w:top w:val="nil"/>
              <w:left w:val="nil"/>
              <w:bottom w:val="nil"/>
              <w:right w:val="nil"/>
            </w:tcBorders>
            <w:shd w:val="clear" w:color="auto" w:fill="auto"/>
            <w:noWrap/>
            <w:vAlign w:val="center"/>
            <w:hideMark/>
          </w:tcPr>
          <w:p w14:paraId="023F35CD" w14:textId="77777777" w:rsidR="003C6D13" w:rsidRPr="00FD48A9" w:rsidRDefault="003C6D13" w:rsidP="003C6D13">
            <w:pPr>
              <w:spacing w:after="0" w:line="240" w:lineRule="auto"/>
              <w:ind w:left="170"/>
              <w:jc w:val="left"/>
              <w:rPr>
                <w:rFonts w:ascii="Arial" w:hAnsi="Arial" w:cs="Arial"/>
                <w:sz w:val="16"/>
                <w:szCs w:val="16"/>
              </w:rPr>
            </w:pPr>
            <w:r w:rsidRPr="00FD48A9">
              <w:rPr>
                <w:rFonts w:ascii="Arial" w:hAnsi="Arial" w:cs="Arial"/>
                <w:sz w:val="16"/>
                <w:szCs w:val="16"/>
              </w:rPr>
              <w:t>Consumer price index</w:t>
            </w:r>
            <w:r w:rsidRPr="00FD48A9">
              <w:rPr>
                <w:rFonts w:ascii="Arial" w:hAnsi="Arial" w:cs="Arial"/>
                <w:sz w:val="16"/>
                <w:szCs w:val="16"/>
                <w:vertAlign w:val="superscript"/>
              </w:rPr>
              <w:t>(e)</w:t>
            </w:r>
          </w:p>
        </w:tc>
        <w:tc>
          <w:tcPr>
            <w:tcW w:w="832" w:type="pct"/>
            <w:tcBorders>
              <w:top w:val="nil"/>
              <w:left w:val="nil"/>
              <w:bottom w:val="nil"/>
              <w:right w:val="nil"/>
            </w:tcBorders>
            <w:shd w:val="clear" w:color="auto" w:fill="auto"/>
            <w:noWrap/>
            <w:vAlign w:val="center"/>
            <w:hideMark/>
          </w:tcPr>
          <w:p w14:paraId="4DFFA588"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1.6</w:t>
            </w:r>
          </w:p>
        </w:tc>
        <w:tc>
          <w:tcPr>
            <w:tcW w:w="779" w:type="pct"/>
            <w:tcBorders>
              <w:top w:val="nil"/>
              <w:left w:val="nil"/>
              <w:bottom w:val="nil"/>
              <w:right w:val="nil"/>
            </w:tcBorders>
            <w:shd w:val="clear" w:color="000000" w:fill="E6E6E6"/>
            <w:noWrap/>
            <w:vAlign w:val="center"/>
            <w:hideMark/>
          </w:tcPr>
          <w:p w14:paraId="637E24C1" w14:textId="5D0A64E3"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 xml:space="preserve"> 1/4</w:t>
            </w:r>
          </w:p>
        </w:tc>
        <w:tc>
          <w:tcPr>
            <w:tcW w:w="779" w:type="pct"/>
            <w:tcBorders>
              <w:top w:val="nil"/>
              <w:left w:val="nil"/>
              <w:bottom w:val="nil"/>
              <w:right w:val="nil"/>
            </w:tcBorders>
            <w:shd w:val="clear" w:color="000000" w:fill="E6E6E6"/>
            <w:noWrap/>
            <w:vAlign w:val="center"/>
            <w:hideMark/>
          </w:tcPr>
          <w:p w14:paraId="7954E27E"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1 1/4</w:t>
            </w:r>
          </w:p>
        </w:tc>
      </w:tr>
      <w:tr w:rsidR="003C6D13" w:rsidRPr="00FD48A9" w14:paraId="713422AE" w14:textId="77777777" w:rsidTr="003C6D13">
        <w:trPr>
          <w:trHeight w:hRule="exact" w:val="235"/>
        </w:trPr>
        <w:tc>
          <w:tcPr>
            <w:tcW w:w="2611" w:type="pct"/>
            <w:tcBorders>
              <w:top w:val="nil"/>
              <w:left w:val="nil"/>
              <w:bottom w:val="nil"/>
              <w:right w:val="nil"/>
            </w:tcBorders>
            <w:shd w:val="clear" w:color="auto" w:fill="auto"/>
            <w:noWrap/>
            <w:vAlign w:val="center"/>
            <w:hideMark/>
          </w:tcPr>
          <w:p w14:paraId="3AC3F8FD" w14:textId="77777777" w:rsidR="003C6D13" w:rsidRPr="00FD48A9" w:rsidRDefault="003C6D13" w:rsidP="003C6D13">
            <w:pPr>
              <w:spacing w:after="0" w:line="240" w:lineRule="auto"/>
              <w:ind w:left="170"/>
              <w:jc w:val="left"/>
              <w:rPr>
                <w:rFonts w:ascii="Arial" w:hAnsi="Arial" w:cs="Arial"/>
                <w:sz w:val="16"/>
                <w:szCs w:val="16"/>
              </w:rPr>
            </w:pPr>
            <w:r w:rsidRPr="00FD48A9">
              <w:rPr>
                <w:rFonts w:ascii="Arial" w:hAnsi="Arial" w:cs="Arial"/>
                <w:sz w:val="16"/>
                <w:szCs w:val="16"/>
              </w:rPr>
              <w:t>Wage price index</w:t>
            </w:r>
            <w:r w:rsidRPr="00FD48A9">
              <w:rPr>
                <w:rFonts w:ascii="Arial" w:hAnsi="Arial" w:cs="Arial"/>
                <w:sz w:val="16"/>
                <w:szCs w:val="16"/>
                <w:vertAlign w:val="superscript"/>
              </w:rPr>
              <w:t>(f)</w:t>
            </w:r>
          </w:p>
        </w:tc>
        <w:tc>
          <w:tcPr>
            <w:tcW w:w="832" w:type="pct"/>
            <w:tcBorders>
              <w:top w:val="nil"/>
              <w:left w:val="nil"/>
              <w:bottom w:val="nil"/>
              <w:right w:val="nil"/>
            </w:tcBorders>
            <w:shd w:val="clear" w:color="auto" w:fill="auto"/>
            <w:noWrap/>
            <w:vAlign w:val="center"/>
            <w:hideMark/>
          </w:tcPr>
          <w:p w14:paraId="0B33D47C"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2.3</w:t>
            </w:r>
          </w:p>
        </w:tc>
        <w:tc>
          <w:tcPr>
            <w:tcW w:w="779" w:type="pct"/>
            <w:tcBorders>
              <w:top w:val="nil"/>
              <w:left w:val="nil"/>
              <w:bottom w:val="nil"/>
              <w:right w:val="nil"/>
            </w:tcBorders>
            <w:shd w:val="clear" w:color="000000" w:fill="E6E6E6"/>
            <w:noWrap/>
            <w:vAlign w:val="center"/>
            <w:hideMark/>
          </w:tcPr>
          <w:p w14:paraId="5E6B52F7"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1 3/4</w:t>
            </w:r>
          </w:p>
        </w:tc>
        <w:tc>
          <w:tcPr>
            <w:tcW w:w="779" w:type="pct"/>
            <w:tcBorders>
              <w:top w:val="nil"/>
              <w:left w:val="nil"/>
              <w:bottom w:val="nil"/>
              <w:right w:val="nil"/>
            </w:tcBorders>
            <w:shd w:val="clear" w:color="000000" w:fill="E6E6E6"/>
            <w:noWrap/>
            <w:vAlign w:val="center"/>
            <w:hideMark/>
          </w:tcPr>
          <w:p w14:paraId="565AB73A"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1 1/4</w:t>
            </w:r>
          </w:p>
        </w:tc>
      </w:tr>
      <w:tr w:rsidR="003C6D13" w:rsidRPr="00FD48A9" w14:paraId="1A80D008" w14:textId="77777777" w:rsidTr="003C6D13">
        <w:trPr>
          <w:trHeight w:hRule="exact" w:val="235"/>
        </w:trPr>
        <w:tc>
          <w:tcPr>
            <w:tcW w:w="2611" w:type="pct"/>
            <w:tcBorders>
              <w:top w:val="nil"/>
              <w:left w:val="nil"/>
              <w:bottom w:val="nil"/>
              <w:right w:val="nil"/>
            </w:tcBorders>
            <w:shd w:val="clear" w:color="auto" w:fill="auto"/>
            <w:noWrap/>
            <w:vAlign w:val="center"/>
            <w:hideMark/>
          </w:tcPr>
          <w:p w14:paraId="78235BA7" w14:textId="77777777" w:rsidR="003C6D13" w:rsidRPr="00FD48A9" w:rsidRDefault="003C6D13" w:rsidP="003C6D13">
            <w:pPr>
              <w:spacing w:after="0" w:line="240" w:lineRule="auto"/>
              <w:ind w:left="170"/>
              <w:jc w:val="left"/>
              <w:rPr>
                <w:rFonts w:ascii="Arial" w:hAnsi="Arial" w:cs="Arial"/>
                <w:sz w:val="16"/>
                <w:szCs w:val="16"/>
              </w:rPr>
            </w:pPr>
            <w:r w:rsidRPr="00FD48A9">
              <w:rPr>
                <w:rFonts w:ascii="Arial" w:hAnsi="Arial" w:cs="Arial"/>
                <w:sz w:val="16"/>
                <w:szCs w:val="16"/>
              </w:rPr>
              <w:t>GDP deflator</w:t>
            </w:r>
          </w:p>
        </w:tc>
        <w:tc>
          <w:tcPr>
            <w:tcW w:w="832" w:type="pct"/>
            <w:tcBorders>
              <w:top w:val="nil"/>
              <w:left w:val="nil"/>
              <w:bottom w:val="nil"/>
              <w:right w:val="nil"/>
            </w:tcBorders>
            <w:shd w:val="clear" w:color="auto" w:fill="auto"/>
            <w:noWrap/>
            <w:vAlign w:val="center"/>
            <w:hideMark/>
          </w:tcPr>
          <w:p w14:paraId="7F800BFA"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3.3</w:t>
            </w:r>
          </w:p>
        </w:tc>
        <w:tc>
          <w:tcPr>
            <w:tcW w:w="779" w:type="pct"/>
            <w:tcBorders>
              <w:top w:val="nil"/>
              <w:left w:val="nil"/>
              <w:bottom w:val="nil"/>
              <w:right w:val="nil"/>
            </w:tcBorders>
            <w:shd w:val="clear" w:color="000000" w:fill="E6E6E6"/>
            <w:noWrap/>
            <w:vAlign w:val="center"/>
            <w:hideMark/>
          </w:tcPr>
          <w:p w14:paraId="6E586ED4"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2 1/4</w:t>
            </w:r>
          </w:p>
        </w:tc>
        <w:tc>
          <w:tcPr>
            <w:tcW w:w="779" w:type="pct"/>
            <w:tcBorders>
              <w:top w:val="nil"/>
              <w:left w:val="nil"/>
              <w:bottom w:val="nil"/>
              <w:right w:val="nil"/>
            </w:tcBorders>
            <w:shd w:val="clear" w:color="000000" w:fill="E6E6E6"/>
            <w:noWrap/>
            <w:vAlign w:val="center"/>
            <w:hideMark/>
          </w:tcPr>
          <w:p w14:paraId="51A0A257" w14:textId="49C135F3"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2 1/4</w:t>
            </w:r>
          </w:p>
        </w:tc>
      </w:tr>
      <w:tr w:rsidR="003C6D13" w:rsidRPr="00FD48A9" w14:paraId="4A37E057" w14:textId="77777777" w:rsidTr="003C6D13">
        <w:trPr>
          <w:trHeight w:hRule="exact" w:val="235"/>
        </w:trPr>
        <w:tc>
          <w:tcPr>
            <w:tcW w:w="2611" w:type="pct"/>
            <w:tcBorders>
              <w:top w:val="nil"/>
              <w:left w:val="nil"/>
              <w:bottom w:val="nil"/>
              <w:right w:val="nil"/>
            </w:tcBorders>
            <w:shd w:val="clear" w:color="auto" w:fill="auto"/>
            <w:noWrap/>
            <w:vAlign w:val="center"/>
            <w:hideMark/>
          </w:tcPr>
          <w:p w14:paraId="5AB97003" w14:textId="77777777" w:rsidR="003C6D13" w:rsidRPr="00FD48A9" w:rsidRDefault="003C6D13" w:rsidP="003C6D13">
            <w:pPr>
              <w:spacing w:after="0" w:line="240" w:lineRule="auto"/>
              <w:jc w:val="left"/>
              <w:rPr>
                <w:rFonts w:ascii="Arial" w:hAnsi="Arial" w:cs="Arial"/>
                <w:sz w:val="16"/>
                <w:szCs w:val="16"/>
              </w:rPr>
            </w:pPr>
            <w:r w:rsidRPr="00FD48A9">
              <w:rPr>
                <w:rFonts w:ascii="Arial" w:hAnsi="Arial" w:cs="Arial"/>
                <w:sz w:val="16"/>
                <w:szCs w:val="16"/>
              </w:rPr>
              <w:t>Labour market</w:t>
            </w:r>
          </w:p>
        </w:tc>
        <w:tc>
          <w:tcPr>
            <w:tcW w:w="832" w:type="pct"/>
            <w:tcBorders>
              <w:top w:val="nil"/>
              <w:left w:val="nil"/>
              <w:bottom w:val="nil"/>
              <w:right w:val="nil"/>
            </w:tcBorders>
            <w:shd w:val="clear" w:color="auto" w:fill="auto"/>
            <w:noWrap/>
            <w:vAlign w:val="center"/>
            <w:hideMark/>
          </w:tcPr>
          <w:p w14:paraId="170B0A45" w14:textId="77777777" w:rsidR="003C6D13" w:rsidRPr="00FD48A9" w:rsidRDefault="003C6D13" w:rsidP="003C6D13">
            <w:pPr>
              <w:spacing w:after="0" w:line="240" w:lineRule="auto"/>
              <w:jc w:val="left"/>
              <w:rPr>
                <w:rFonts w:ascii="Arial" w:hAnsi="Arial" w:cs="Arial"/>
                <w:sz w:val="16"/>
                <w:szCs w:val="16"/>
              </w:rPr>
            </w:pPr>
          </w:p>
        </w:tc>
        <w:tc>
          <w:tcPr>
            <w:tcW w:w="779" w:type="pct"/>
            <w:tcBorders>
              <w:top w:val="nil"/>
              <w:left w:val="nil"/>
              <w:bottom w:val="nil"/>
              <w:right w:val="nil"/>
            </w:tcBorders>
            <w:shd w:val="clear" w:color="000000" w:fill="E6E6E6"/>
            <w:noWrap/>
            <w:vAlign w:val="center"/>
            <w:hideMark/>
          </w:tcPr>
          <w:p w14:paraId="1D95B11D"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 </w:t>
            </w:r>
          </w:p>
        </w:tc>
        <w:tc>
          <w:tcPr>
            <w:tcW w:w="779" w:type="pct"/>
            <w:tcBorders>
              <w:top w:val="nil"/>
              <w:left w:val="nil"/>
              <w:bottom w:val="nil"/>
              <w:right w:val="nil"/>
            </w:tcBorders>
            <w:shd w:val="clear" w:color="000000" w:fill="E6E6E6"/>
            <w:noWrap/>
            <w:vAlign w:val="center"/>
            <w:hideMark/>
          </w:tcPr>
          <w:p w14:paraId="12B87A48"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 </w:t>
            </w:r>
          </w:p>
        </w:tc>
      </w:tr>
      <w:tr w:rsidR="003C6D13" w:rsidRPr="00FD48A9" w14:paraId="62B54E10" w14:textId="77777777" w:rsidTr="003C6D13">
        <w:trPr>
          <w:trHeight w:hRule="exact" w:val="235"/>
        </w:trPr>
        <w:tc>
          <w:tcPr>
            <w:tcW w:w="2611" w:type="pct"/>
            <w:tcBorders>
              <w:top w:val="nil"/>
              <w:left w:val="nil"/>
              <w:bottom w:val="nil"/>
              <w:right w:val="nil"/>
            </w:tcBorders>
            <w:shd w:val="clear" w:color="auto" w:fill="auto"/>
            <w:noWrap/>
            <w:vAlign w:val="center"/>
            <w:hideMark/>
          </w:tcPr>
          <w:p w14:paraId="5CA64EAF" w14:textId="77777777" w:rsidR="003C6D13" w:rsidRPr="00FD48A9" w:rsidRDefault="003C6D13" w:rsidP="003C6D13">
            <w:pPr>
              <w:spacing w:after="0" w:line="240" w:lineRule="auto"/>
              <w:ind w:left="170"/>
              <w:jc w:val="left"/>
              <w:rPr>
                <w:rFonts w:ascii="Arial" w:hAnsi="Arial" w:cs="Arial"/>
                <w:sz w:val="16"/>
                <w:szCs w:val="16"/>
              </w:rPr>
            </w:pPr>
            <w:r w:rsidRPr="00FD48A9">
              <w:rPr>
                <w:rFonts w:ascii="Arial" w:hAnsi="Arial" w:cs="Arial"/>
                <w:sz w:val="16"/>
                <w:szCs w:val="16"/>
              </w:rPr>
              <w:t>Participation rate (per cent)</w:t>
            </w:r>
            <w:r w:rsidRPr="00FD48A9">
              <w:rPr>
                <w:rFonts w:ascii="Arial" w:hAnsi="Arial" w:cs="Arial"/>
                <w:sz w:val="16"/>
                <w:szCs w:val="16"/>
                <w:vertAlign w:val="superscript"/>
              </w:rPr>
              <w:t>(g)(h)</w:t>
            </w:r>
          </w:p>
        </w:tc>
        <w:tc>
          <w:tcPr>
            <w:tcW w:w="832" w:type="pct"/>
            <w:tcBorders>
              <w:top w:val="nil"/>
              <w:left w:val="nil"/>
              <w:bottom w:val="nil"/>
              <w:right w:val="nil"/>
            </w:tcBorders>
            <w:shd w:val="clear" w:color="auto" w:fill="auto"/>
            <w:noWrap/>
            <w:vAlign w:val="center"/>
            <w:hideMark/>
          </w:tcPr>
          <w:p w14:paraId="73256AAF"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66.0</w:t>
            </w:r>
          </w:p>
        </w:tc>
        <w:tc>
          <w:tcPr>
            <w:tcW w:w="779" w:type="pct"/>
            <w:tcBorders>
              <w:top w:val="nil"/>
              <w:left w:val="nil"/>
              <w:bottom w:val="nil"/>
              <w:right w:val="nil"/>
            </w:tcBorders>
            <w:shd w:val="clear" w:color="000000" w:fill="E6E6E6"/>
            <w:noWrap/>
            <w:vAlign w:val="center"/>
            <w:hideMark/>
          </w:tcPr>
          <w:p w14:paraId="7D7AB6FA"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63.4</w:t>
            </w:r>
          </w:p>
        </w:tc>
        <w:tc>
          <w:tcPr>
            <w:tcW w:w="779" w:type="pct"/>
            <w:tcBorders>
              <w:top w:val="nil"/>
              <w:left w:val="nil"/>
              <w:bottom w:val="nil"/>
              <w:right w:val="nil"/>
            </w:tcBorders>
            <w:shd w:val="clear" w:color="000000" w:fill="E6E6E6"/>
            <w:noWrap/>
            <w:vAlign w:val="center"/>
            <w:hideMark/>
          </w:tcPr>
          <w:p w14:paraId="67CA9B51"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64 3/4</w:t>
            </w:r>
          </w:p>
        </w:tc>
      </w:tr>
      <w:tr w:rsidR="003C6D13" w:rsidRPr="00FD48A9" w14:paraId="4703C5B6" w14:textId="77777777" w:rsidTr="003C6D13">
        <w:trPr>
          <w:trHeight w:hRule="exact" w:val="235"/>
        </w:trPr>
        <w:tc>
          <w:tcPr>
            <w:tcW w:w="2611" w:type="pct"/>
            <w:tcBorders>
              <w:top w:val="nil"/>
              <w:left w:val="nil"/>
              <w:bottom w:val="nil"/>
              <w:right w:val="nil"/>
            </w:tcBorders>
            <w:shd w:val="clear" w:color="auto" w:fill="auto"/>
            <w:noWrap/>
            <w:vAlign w:val="center"/>
            <w:hideMark/>
          </w:tcPr>
          <w:p w14:paraId="60809B45" w14:textId="77777777" w:rsidR="003C6D13" w:rsidRPr="00FD48A9" w:rsidRDefault="003C6D13" w:rsidP="003C6D13">
            <w:pPr>
              <w:spacing w:after="0" w:line="240" w:lineRule="auto"/>
              <w:ind w:left="170"/>
              <w:jc w:val="left"/>
              <w:rPr>
                <w:rFonts w:ascii="Arial" w:hAnsi="Arial" w:cs="Arial"/>
                <w:sz w:val="16"/>
                <w:szCs w:val="16"/>
              </w:rPr>
            </w:pPr>
            <w:r w:rsidRPr="00FD48A9">
              <w:rPr>
                <w:rFonts w:ascii="Arial" w:hAnsi="Arial" w:cs="Arial"/>
                <w:sz w:val="16"/>
                <w:szCs w:val="16"/>
              </w:rPr>
              <w:t>Employment</w:t>
            </w:r>
            <w:r w:rsidRPr="00FD48A9">
              <w:rPr>
                <w:rFonts w:ascii="Arial" w:hAnsi="Arial" w:cs="Arial"/>
                <w:sz w:val="16"/>
                <w:szCs w:val="16"/>
                <w:vertAlign w:val="superscript"/>
              </w:rPr>
              <w:t>(f)(h)</w:t>
            </w:r>
          </w:p>
        </w:tc>
        <w:tc>
          <w:tcPr>
            <w:tcW w:w="832" w:type="pct"/>
            <w:tcBorders>
              <w:top w:val="nil"/>
              <w:left w:val="nil"/>
              <w:bottom w:val="nil"/>
              <w:right w:val="nil"/>
            </w:tcBorders>
            <w:shd w:val="clear" w:color="auto" w:fill="auto"/>
            <w:noWrap/>
            <w:vAlign w:val="center"/>
            <w:hideMark/>
          </w:tcPr>
          <w:p w14:paraId="40D18FA4"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2.5</w:t>
            </w:r>
          </w:p>
        </w:tc>
        <w:tc>
          <w:tcPr>
            <w:tcW w:w="779" w:type="pct"/>
            <w:tcBorders>
              <w:top w:val="nil"/>
              <w:left w:val="nil"/>
              <w:bottom w:val="nil"/>
              <w:right w:val="nil"/>
            </w:tcBorders>
            <w:shd w:val="clear" w:color="000000" w:fill="E6E6E6"/>
            <w:noWrap/>
            <w:vAlign w:val="center"/>
            <w:hideMark/>
          </w:tcPr>
          <w:p w14:paraId="42805DCB" w14:textId="64611BE1"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4.4</w:t>
            </w:r>
          </w:p>
        </w:tc>
        <w:tc>
          <w:tcPr>
            <w:tcW w:w="779" w:type="pct"/>
            <w:tcBorders>
              <w:top w:val="nil"/>
              <w:left w:val="nil"/>
              <w:bottom w:val="nil"/>
              <w:right w:val="nil"/>
            </w:tcBorders>
            <w:shd w:val="clear" w:color="000000" w:fill="E6E6E6"/>
            <w:noWrap/>
            <w:vAlign w:val="center"/>
            <w:hideMark/>
          </w:tcPr>
          <w:p w14:paraId="519B1F12"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 xml:space="preserve">1    </w:t>
            </w:r>
          </w:p>
        </w:tc>
      </w:tr>
      <w:tr w:rsidR="003C6D13" w:rsidRPr="00FD48A9" w14:paraId="019756C0" w14:textId="77777777" w:rsidTr="003C6D13">
        <w:trPr>
          <w:trHeight w:hRule="exact" w:val="235"/>
        </w:trPr>
        <w:tc>
          <w:tcPr>
            <w:tcW w:w="2611" w:type="pct"/>
            <w:tcBorders>
              <w:top w:val="nil"/>
              <w:left w:val="nil"/>
              <w:bottom w:val="nil"/>
              <w:right w:val="nil"/>
            </w:tcBorders>
            <w:shd w:val="clear" w:color="auto" w:fill="auto"/>
            <w:noWrap/>
            <w:vAlign w:val="center"/>
            <w:hideMark/>
          </w:tcPr>
          <w:p w14:paraId="76C4BE97" w14:textId="77777777" w:rsidR="003C6D13" w:rsidRPr="00FD48A9" w:rsidRDefault="003C6D13" w:rsidP="003C6D13">
            <w:pPr>
              <w:spacing w:after="0" w:line="240" w:lineRule="auto"/>
              <w:ind w:left="170"/>
              <w:jc w:val="left"/>
              <w:rPr>
                <w:rFonts w:ascii="Arial" w:hAnsi="Arial" w:cs="Arial"/>
                <w:sz w:val="16"/>
                <w:szCs w:val="16"/>
              </w:rPr>
            </w:pPr>
            <w:r w:rsidRPr="00FD48A9">
              <w:rPr>
                <w:rFonts w:ascii="Arial" w:hAnsi="Arial" w:cs="Arial"/>
                <w:sz w:val="16"/>
                <w:szCs w:val="16"/>
              </w:rPr>
              <w:t>Unemployment rate (per cent)</w:t>
            </w:r>
            <w:r w:rsidRPr="00FD48A9">
              <w:rPr>
                <w:rFonts w:ascii="Arial" w:hAnsi="Arial" w:cs="Arial"/>
                <w:sz w:val="16"/>
                <w:szCs w:val="16"/>
                <w:vertAlign w:val="superscript"/>
              </w:rPr>
              <w:t>(g)(h)</w:t>
            </w:r>
          </w:p>
        </w:tc>
        <w:tc>
          <w:tcPr>
            <w:tcW w:w="832" w:type="pct"/>
            <w:tcBorders>
              <w:top w:val="nil"/>
              <w:left w:val="nil"/>
              <w:bottom w:val="nil"/>
              <w:right w:val="nil"/>
            </w:tcBorders>
            <w:shd w:val="clear" w:color="auto" w:fill="auto"/>
            <w:noWrap/>
            <w:vAlign w:val="center"/>
            <w:hideMark/>
          </w:tcPr>
          <w:p w14:paraId="74D0A123"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5.2</w:t>
            </w:r>
          </w:p>
        </w:tc>
        <w:tc>
          <w:tcPr>
            <w:tcW w:w="779" w:type="pct"/>
            <w:tcBorders>
              <w:top w:val="nil"/>
              <w:left w:val="nil"/>
              <w:bottom w:val="nil"/>
              <w:right w:val="nil"/>
            </w:tcBorders>
            <w:shd w:val="clear" w:color="000000" w:fill="E6E6E6"/>
            <w:noWrap/>
            <w:vAlign w:val="center"/>
            <w:hideMark/>
          </w:tcPr>
          <w:p w14:paraId="02C2A658"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7.0</w:t>
            </w:r>
          </w:p>
        </w:tc>
        <w:tc>
          <w:tcPr>
            <w:tcW w:w="779" w:type="pct"/>
            <w:tcBorders>
              <w:top w:val="nil"/>
              <w:left w:val="nil"/>
              <w:bottom w:val="nil"/>
              <w:right w:val="nil"/>
            </w:tcBorders>
            <w:shd w:val="clear" w:color="000000" w:fill="E6E6E6"/>
            <w:noWrap/>
            <w:vAlign w:val="center"/>
            <w:hideMark/>
          </w:tcPr>
          <w:p w14:paraId="00741D5E"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8 3/4</w:t>
            </w:r>
          </w:p>
        </w:tc>
      </w:tr>
      <w:tr w:rsidR="003C6D13" w:rsidRPr="00FD48A9" w14:paraId="59D5D42A" w14:textId="77777777" w:rsidTr="003C6D13">
        <w:trPr>
          <w:trHeight w:hRule="exact" w:val="235"/>
        </w:trPr>
        <w:tc>
          <w:tcPr>
            <w:tcW w:w="2611" w:type="pct"/>
            <w:tcBorders>
              <w:top w:val="nil"/>
              <w:left w:val="nil"/>
              <w:bottom w:val="nil"/>
              <w:right w:val="nil"/>
            </w:tcBorders>
            <w:shd w:val="clear" w:color="auto" w:fill="auto"/>
            <w:noWrap/>
            <w:vAlign w:val="center"/>
            <w:hideMark/>
          </w:tcPr>
          <w:p w14:paraId="25E7C5AF" w14:textId="77777777" w:rsidR="003C6D13" w:rsidRPr="00FD48A9" w:rsidRDefault="003C6D13" w:rsidP="003C6D13">
            <w:pPr>
              <w:spacing w:after="0" w:line="240" w:lineRule="auto"/>
              <w:jc w:val="left"/>
              <w:rPr>
                <w:rFonts w:ascii="Arial" w:hAnsi="Arial" w:cs="Arial"/>
                <w:sz w:val="16"/>
                <w:szCs w:val="16"/>
              </w:rPr>
            </w:pPr>
            <w:r w:rsidRPr="00FD48A9">
              <w:rPr>
                <w:rFonts w:ascii="Arial" w:hAnsi="Arial" w:cs="Arial"/>
                <w:sz w:val="16"/>
                <w:szCs w:val="16"/>
              </w:rPr>
              <w:t>Balance of payments</w:t>
            </w:r>
          </w:p>
        </w:tc>
        <w:tc>
          <w:tcPr>
            <w:tcW w:w="832" w:type="pct"/>
            <w:tcBorders>
              <w:top w:val="nil"/>
              <w:left w:val="nil"/>
              <w:bottom w:val="nil"/>
              <w:right w:val="nil"/>
            </w:tcBorders>
            <w:shd w:val="clear" w:color="auto" w:fill="auto"/>
            <w:noWrap/>
            <w:vAlign w:val="center"/>
            <w:hideMark/>
          </w:tcPr>
          <w:p w14:paraId="47978B4B" w14:textId="77777777" w:rsidR="003C6D13" w:rsidRPr="00FD48A9" w:rsidRDefault="003C6D13" w:rsidP="003C6D13">
            <w:pPr>
              <w:spacing w:after="0" w:line="240" w:lineRule="auto"/>
              <w:jc w:val="left"/>
              <w:rPr>
                <w:rFonts w:ascii="Arial" w:hAnsi="Arial" w:cs="Arial"/>
                <w:sz w:val="16"/>
                <w:szCs w:val="16"/>
              </w:rPr>
            </w:pPr>
          </w:p>
        </w:tc>
        <w:tc>
          <w:tcPr>
            <w:tcW w:w="779" w:type="pct"/>
            <w:tcBorders>
              <w:top w:val="nil"/>
              <w:left w:val="nil"/>
              <w:bottom w:val="nil"/>
              <w:right w:val="nil"/>
            </w:tcBorders>
            <w:shd w:val="clear" w:color="000000" w:fill="E6E6E6"/>
            <w:noWrap/>
            <w:vAlign w:val="center"/>
            <w:hideMark/>
          </w:tcPr>
          <w:p w14:paraId="1BC79B8F"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 </w:t>
            </w:r>
          </w:p>
        </w:tc>
        <w:tc>
          <w:tcPr>
            <w:tcW w:w="779" w:type="pct"/>
            <w:tcBorders>
              <w:top w:val="nil"/>
              <w:left w:val="nil"/>
              <w:bottom w:val="nil"/>
              <w:right w:val="nil"/>
            </w:tcBorders>
            <w:shd w:val="clear" w:color="000000" w:fill="E6E6E6"/>
            <w:noWrap/>
            <w:vAlign w:val="center"/>
            <w:hideMark/>
          </w:tcPr>
          <w:p w14:paraId="53A77239"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 </w:t>
            </w:r>
          </w:p>
        </w:tc>
      </w:tr>
      <w:tr w:rsidR="003C6D13" w:rsidRPr="00FD48A9" w14:paraId="31189699" w14:textId="77777777" w:rsidTr="003C6D13">
        <w:trPr>
          <w:trHeight w:hRule="exact" w:val="235"/>
        </w:trPr>
        <w:tc>
          <w:tcPr>
            <w:tcW w:w="2611" w:type="pct"/>
            <w:tcBorders>
              <w:top w:val="nil"/>
              <w:left w:val="nil"/>
              <w:bottom w:val="nil"/>
              <w:right w:val="nil"/>
            </w:tcBorders>
            <w:shd w:val="clear" w:color="auto" w:fill="auto"/>
            <w:noWrap/>
            <w:vAlign w:val="center"/>
            <w:hideMark/>
          </w:tcPr>
          <w:p w14:paraId="7B3938D4" w14:textId="77777777" w:rsidR="003C6D13" w:rsidRPr="00FD48A9" w:rsidRDefault="003C6D13" w:rsidP="003C6D13">
            <w:pPr>
              <w:spacing w:after="0" w:line="240" w:lineRule="auto"/>
              <w:ind w:left="170"/>
              <w:jc w:val="left"/>
              <w:rPr>
                <w:rFonts w:ascii="Arial" w:hAnsi="Arial" w:cs="Arial"/>
                <w:sz w:val="16"/>
                <w:szCs w:val="16"/>
              </w:rPr>
            </w:pPr>
            <w:r w:rsidRPr="00FD48A9">
              <w:rPr>
                <w:rFonts w:ascii="Arial" w:hAnsi="Arial" w:cs="Arial"/>
                <w:sz w:val="16"/>
                <w:szCs w:val="16"/>
              </w:rPr>
              <w:t>Terms of trad</w:t>
            </w:r>
            <w:r w:rsidRPr="005409E5">
              <w:rPr>
                <w:rFonts w:ascii="Arial" w:hAnsi="Arial" w:cs="Arial"/>
                <w:sz w:val="16"/>
                <w:szCs w:val="16"/>
              </w:rPr>
              <w:t>e</w:t>
            </w:r>
            <w:r w:rsidRPr="005409E5">
              <w:rPr>
                <w:rFonts w:ascii="Arial" w:hAnsi="Arial" w:cs="Arial"/>
                <w:sz w:val="16"/>
                <w:szCs w:val="16"/>
                <w:vertAlign w:val="superscript"/>
              </w:rPr>
              <w:t>(</w:t>
            </w:r>
            <w:proofErr w:type="spellStart"/>
            <w:r w:rsidRPr="005409E5">
              <w:rPr>
                <w:rFonts w:ascii="Arial" w:hAnsi="Arial" w:cs="Arial"/>
                <w:sz w:val="16"/>
                <w:szCs w:val="16"/>
                <w:vertAlign w:val="superscript"/>
              </w:rPr>
              <w:t>i</w:t>
            </w:r>
            <w:proofErr w:type="spellEnd"/>
            <w:r w:rsidRPr="005409E5">
              <w:rPr>
                <w:rFonts w:ascii="Arial" w:hAnsi="Arial" w:cs="Arial"/>
                <w:sz w:val="16"/>
                <w:szCs w:val="16"/>
                <w:vertAlign w:val="superscript"/>
              </w:rPr>
              <w:t>)</w:t>
            </w:r>
          </w:p>
        </w:tc>
        <w:tc>
          <w:tcPr>
            <w:tcW w:w="832" w:type="pct"/>
            <w:tcBorders>
              <w:top w:val="nil"/>
              <w:left w:val="nil"/>
              <w:bottom w:val="nil"/>
              <w:right w:val="nil"/>
            </w:tcBorders>
            <w:shd w:val="clear" w:color="auto" w:fill="auto"/>
            <w:noWrap/>
            <w:vAlign w:val="center"/>
            <w:hideMark/>
          </w:tcPr>
          <w:p w14:paraId="5D461A98"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5.6</w:t>
            </w:r>
          </w:p>
        </w:tc>
        <w:tc>
          <w:tcPr>
            <w:tcW w:w="779" w:type="pct"/>
            <w:tcBorders>
              <w:top w:val="nil"/>
              <w:left w:val="nil"/>
              <w:bottom w:val="nil"/>
              <w:right w:val="nil"/>
            </w:tcBorders>
            <w:shd w:val="clear" w:color="000000" w:fill="E6E6E6"/>
            <w:noWrap/>
            <w:vAlign w:val="center"/>
            <w:hideMark/>
          </w:tcPr>
          <w:p w14:paraId="6577238A"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1 3/4</w:t>
            </w:r>
          </w:p>
        </w:tc>
        <w:tc>
          <w:tcPr>
            <w:tcW w:w="779" w:type="pct"/>
            <w:tcBorders>
              <w:top w:val="nil"/>
              <w:left w:val="nil"/>
              <w:bottom w:val="nil"/>
              <w:right w:val="nil"/>
            </w:tcBorders>
            <w:shd w:val="clear" w:color="000000" w:fill="E6E6E6"/>
            <w:noWrap/>
            <w:vAlign w:val="center"/>
            <w:hideMark/>
          </w:tcPr>
          <w:p w14:paraId="269B5BAC" w14:textId="0C420E1C"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12 1/4</w:t>
            </w:r>
          </w:p>
        </w:tc>
      </w:tr>
      <w:tr w:rsidR="003C6D13" w:rsidRPr="00FD48A9" w14:paraId="5B8EF9B8" w14:textId="77777777" w:rsidTr="003C6D13">
        <w:trPr>
          <w:trHeight w:hRule="exact" w:val="235"/>
        </w:trPr>
        <w:tc>
          <w:tcPr>
            <w:tcW w:w="2611" w:type="pct"/>
            <w:tcBorders>
              <w:top w:val="nil"/>
              <w:left w:val="nil"/>
              <w:bottom w:val="single" w:sz="4" w:space="0" w:color="auto"/>
              <w:right w:val="nil"/>
            </w:tcBorders>
            <w:shd w:val="clear" w:color="auto" w:fill="auto"/>
            <w:noWrap/>
            <w:vAlign w:val="center"/>
            <w:hideMark/>
          </w:tcPr>
          <w:p w14:paraId="17563F81" w14:textId="77777777" w:rsidR="003C6D13" w:rsidRPr="00FD48A9" w:rsidRDefault="003C6D13" w:rsidP="003C6D13">
            <w:pPr>
              <w:spacing w:after="0" w:line="240" w:lineRule="auto"/>
              <w:ind w:left="170"/>
              <w:jc w:val="left"/>
              <w:rPr>
                <w:rFonts w:ascii="Arial" w:hAnsi="Arial" w:cs="Arial"/>
                <w:sz w:val="16"/>
                <w:szCs w:val="16"/>
              </w:rPr>
            </w:pPr>
            <w:r w:rsidRPr="00FD48A9">
              <w:rPr>
                <w:rFonts w:ascii="Arial" w:hAnsi="Arial" w:cs="Arial"/>
                <w:sz w:val="16"/>
                <w:szCs w:val="16"/>
              </w:rPr>
              <w:t xml:space="preserve">Current account balance (per cent of GDP) </w:t>
            </w:r>
          </w:p>
        </w:tc>
        <w:tc>
          <w:tcPr>
            <w:tcW w:w="832" w:type="pct"/>
            <w:tcBorders>
              <w:top w:val="nil"/>
              <w:left w:val="nil"/>
              <w:bottom w:val="single" w:sz="4" w:space="0" w:color="auto"/>
              <w:right w:val="nil"/>
            </w:tcBorders>
            <w:shd w:val="clear" w:color="auto" w:fill="auto"/>
            <w:noWrap/>
            <w:vAlign w:val="center"/>
            <w:hideMark/>
          </w:tcPr>
          <w:p w14:paraId="62CEFC1F" w14:textId="4BE3B9A9"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0.7</w:t>
            </w:r>
          </w:p>
        </w:tc>
        <w:tc>
          <w:tcPr>
            <w:tcW w:w="779" w:type="pct"/>
            <w:tcBorders>
              <w:top w:val="nil"/>
              <w:left w:val="nil"/>
              <w:bottom w:val="single" w:sz="4" w:space="0" w:color="auto"/>
              <w:right w:val="nil"/>
            </w:tcBorders>
            <w:shd w:val="clear" w:color="000000" w:fill="E6E6E6"/>
            <w:noWrap/>
            <w:vAlign w:val="center"/>
            <w:hideMark/>
          </w:tcPr>
          <w:p w14:paraId="39AB1D4F" w14:textId="77777777" w:rsidR="003C6D13" w:rsidRPr="00FD48A9" w:rsidRDefault="003C6D13" w:rsidP="003C6D13">
            <w:pPr>
              <w:spacing w:after="0" w:line="240" w:lineRule="auto"/>
              <w:jc w:val="right"/>
              <w:rPr>
                <w:rFonts w:ascii="Arial" w:hAnsi="Arial" w:cs="Arial"/>
                <w:color w:val="000000"/>
                <w:sz w:val="16"/>
                <w:szCs w:val="16"/>
              </w:rPr>
            </w:pPr>
            <w:r w:rsidRPr="00FD48A9">
              <w:rPr>
                <w:rFonts w:ascii="Arial" w:hAnsi="Arial" w:cs="Arial"/>
                <w:color w:val="000000"/>
                <w:sz w:val="16"/>
                <w:szCs w:val="16"/>
              </w:rPr>
              <w:t>1 3/4</w:t>
            </w:r>
          </w:p>
        </w:tc>
        <w:tc>
          <w:tcPr>
            <w:tcW w:w="779" w:type="pct"/>
            <w:tcBorders>
              <w:top w:val="nil"/>
              <w:left w:val="nil"/>
              <w:bottom w:val="single" w:sz="4" w:space="0" w:color="auto"/>
              <w:right w:val="nil"/>
            </w:tcBorders>
            <w:shd w:val="clear" w:color="000000" w:fill="E6E6E6"/>
            <w:noWrap/>
            <w:vAlign w:val="center"/>
            <w:hideMark/>
          </w:tcPr>
          <w:p w14:paraId="749036B0" w14:textId="60EC137B" w:rsidR="003C6D13" w:rsidRPr="00FD48A9" w:rsidRDefault="00C77479" w:rsidP="003C6D1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3C6D13" w:rsidRPr="00FD48A9">
              <w:rPr>
                <w:rFonts w:ascii="Arial" w:hAnsi="Arial" w:cs="Arial"/>
                <w:color w:val="000000"/>
                <w:sz w:val="16"/>
                <w:szCs w:val="16"/>
              </w:rPr>
              <w:t>1 1/4</w:t>
            </w:r>
          </w:p>
        </w:tc>
      </w:tr>
    </w:tbl>
    <w:p w14:paraId="0C350943" w14:textId="2D4B12F7" w:rsidR="00FB04F7" w:rsidRPr="00FD48A9" w:rsidRDefault="00FB04F7" w:rsidP="00A940DA">
      <w:pPr>
        <w:pStyle w:val="ChartandTableFootnoteAlpha"/>
        <w:numPr>
          <w:ilvl w:val="0"/>
          <w:numId w:val="20"/>
        </w:numPr>
      </w:pPr>
      <w:r w:rsidRPr="00FD48A9">
        <w:t>Percentage change on preceding year unless otherwise indicated.</w:t>
      </w:r>
    </w:p>
    <w:p w14:paraId="69B1103A" w14:textId="67DCCD6C" w:rsidR="00FB04F7" w:rsidRPr="00FD48A9" w:rsidRDefault="00FB04F7" w:rsidP="00851321">
      <w:pPr>
        <w:pStyle w:val="ChartandTableFootnoteAlpha"/>
      </w:pPr>
      <w:r w:rsidRPr="00FD48A9">
        <w:t>Calculated using original data unless otherwise indicated.</w:t>
      </w:r>
    </w:p>
    <w:p w14:paraId="48C86673" w14:textId="2EBD493E" w:rsidR="00FB04F7" w:rsidRPr="00FD48A9" w:rsidRDefault="00FB04F7" w:rsidP="00851321">
      <w:pPr>
        <w:pStyle w:val="ChartandTableFootnoteAlpha"/>
      </w:pPr>
      <w:r w:rsidRPr="00FD48A9">
        <w:t>Excluding second</w:t>
      </w:r>
      <w:r w:rsidR="00C77479">
        <w:noBreakHyphen/>
      </w:r>
      <w:r w:rsidRPr="00FD48A9">
        <w:t>hand asset sales between the public and private sector.</w:t>
      </w:r>
    </w:p>
    <w:p w14:paraId="4B0F1A66" w14:textId="2E753773" w:rsidR="00FB04F7" w:rsidRPr="00FD48A9" w:rsidRDefault="00FB04F7" w:rsidP="00851321">
      <w:pPr>
        <w:pStyle w:val="ChartandTableFootnoteAlpha"/>
      </w:pPr>
      <w:r w:rsidRPr="00FD48A9">
        <w:t xml:space="preserve">Percentage point contribution to growth in GDP. </w:t>
      </w:r>
    </w:p>
    <w:p w14:paraId="1D74A5FB" w14:textId="1DBF9542" w:rsidR="00FB04F7" w:rsidRPr="00FD48A9" w:rsidRDefault="00FB04F7" w:rsidP="00851321">
      <w:pPr>
        <w:pStyle w:val="ChartandTableFootnoteAlpha"/>
      </w:pPr>
      <w:r w:rsidRPr="00FD48A9">
        <w:t>Through</w:t>
      </w:r>
      <w:r w:rsidR="00C77479">
        <w:noBreakHyphen/>
      </w:r>
      <w:r w:rsidRPr="00FD48A9">
        <w:t>the</w:t>
      </w:r>
      <w:r w:rsidR="00C77479">
        <w:noBreakHyphen/>
      </w:r>
      <w:r w:rsidRPr="00FD48A9">
        <w:t>year growth rate to the June quarter.</w:t>
      </w:r>
    </w:p>
    <w:p w14:paraId="1F104961" w14:textId="11F839F6" w:rsidR="00FB04F7" w:rsidRPr="00FD48A9" w:rsidRDefault="00FB04F7" w:rsidP="00851321">
      <w:pPr>
        <w:pStyle w:val="ChartandTableFootnoteAlpha"/>
      </w:pPr>
      <w:r w:rsidRPr="00FD48A9">
        <w:t>Seasonally adjusted, through</w:t>
      </w:r>
      <w:r w:rsidR="00C77479">
        <w:noBreakHyphen/>
      </w:r>
      <w:r w:rsidRPr="00FD48A9">
        <w:t>the</w:t>
      </w:r>
      <w:r w:rsidR="00C77479">
        <w:noBreakHyphen/>
      </w:r>
      <w:r w:rsidRPr="00FD48A9">
        <w:t>year growth rate to the June quarter.</w:t>
      </w:r>
    </w:p>
    <w:p w14:paraId="4EDBD4BF" w14:textId="79F68F9C" w:rsidR="00FB04F7" w:rsidRPr="00FD48A9" w:rsidRDefault="00FB04F7" w:rsidP="00851321">
      <w:pPr>
        <w:pStyle w:val="ChartandTableFootnoteAlpha"/>
      </w:pPr>
      <w:r w:rsidRPr="00FD48A9">
        <w:t>Seasonally adjusted rate for the June quarter.</w:t>
      </w:r>
    </w:p>
    <w:p w14:paraId="46408697" w14:textId="3E376DBE" w:rsidR="00A635D5" w:rsidRPr="00FD48A9" w:rsidRDefault="00A635D5" w:rsidP="00851321">
      <w:pPr>
        <w:pStyle w:val="ChartandTableFootnoteAlpha"/>
      </w:pPr>
      <w:r w:rsidRPr="00FD48A9">
        <w:t>2019</w:t>
      </w:r>
      <w:r w:rsidR="00C77479">
        <w:noBreakHyphen/>
      </w:r>
      <w:r w:rsidRPr="00FD48A9">
        <w:t>20 is an outcome</w:t>
      </w:r>
      <w:r w:rsidR="006C0B93" w:rsidRPr="00FD48A9">
        <w:t>.</w:t>
      </w:r>
      <w:r w:rsidR="000F7C04" w:rsidRPr="00FD48A9">
        <w:fldChar w:fldCharType="begin"/>
      </w:r>
      <w:r w:rsidR="000F7C04" w:rsidRPr="00FD48A9">
        <w:instrText xml:space="preserve"> :End:MECD_TP2 </w:instrText>
      </w:r>
      <w:r w:rsidR="000F7C04" w:rsidRPr="00FD48A9">
        <w:fldChar w:fldCharType="end"/>
      </w:r>
      <w:r w:rsidR="0056740A" w:rsidRPr="00FD48A9">
        <w:fldChar w:fldCharType="begin"/>
      </w:r>
      <w:r w:rsidR="0056740A" w:rsidRPr="00FD48A9">
        <w:instrText xml:space="preserve"> :Start:MECD_TP1 </w:instrText>
      </w:r>
      <w:r w:rsidR="0056740A" w:rsidRPr="00FD48A9">
        <w:fldChar w:fldCharType="end"/>
      </w:r>
    </w:p>
    <w:p w14:paraId="35773A16" w14:textId="33EC31AF" w:rsidR="00A872BC" w:rsidRPr="00FD48A9" w:rsidRDefault="00A872BC" w:rsidP="00A872BC">
      <w:pPr>
        <w:pStyle w:val="ChartandTableFootnoteAlpha"/>
      </w:pPr>
      <w:r w:rsidRPr="00FD48A9">
        <w:t xml:space="preserve">The forecasts </w:t>
      </w:r>
      <w:proofErr w:type="gramStart"/>
      <w:r w:rsidRPr="00FD48A9">
        <w:t>are underpinned</w:t>
      </w:r>
      <w:proofErr w:type="gramEnd"/>
      <w:r w:rsidRPr="00FD48A9">
        <w:t xml:space="preserve"> by price assumptions for key commodities: </w:t>
      </w:r>
      <w:r w:rsidR="001E2910">
        <w:t>i</w:t>
      </w:r>
      <w:r w:rsidRPr="00FD48A9">
        <w:t>ron ore spot price assumed to decline to US$55</w:t>
      </w:r>
      <w:r w:rsidR="00723528">
        <w:t xml:space="preserve"> per </w:t>
      </w:r>
      <w:r w:rsidRPr="00FD48A9">
        <w:t>tonne free</w:t>
      </w:r>
      <w:r w:rsidR="00C77479">
        <w:noBreakHyphen/>
      </w:r>
      <w:r w:rsidRPr="00FD48A9">
        <w:t>on</w:t>
      </w:r>
      <w:r w:rsidR="00C77479">
        <w:noBreakHyphen/>
      </w:r>
      <w:r w:rsidRPr="00FD48A9">
        <w:t xml:space="preserve">board (FOB) by the end of the December quarter 2020; metallurgical coal spot price </w:t>
      </w:r>
      <w:r w:rsidR="001E2910">
        <w:t>assumed to remain</w:t>
      </w:r>
      <w:r w:rsidRPr="00FD48A9">
        <w:t xml:space="preserve"> at US$110</w:t>
      </w:r>
      <w:r w:rsidR="001E2910">
        <w:t xml:space="preserve"> per </w:t>
      </w:r>
      <w:r w:rsidRPr="00FD48A9">
        <w:t xml:space="preserve">tonne FOB; and thermal coal spot price </w:t>
      </w:r>
      <w:r w:rsidR="001E2910">
        <w:t>assumed to remain</w:t>
      </w:r>
      <w:r w:rsidRPr="00FD48A9">
        <w:t xml:space="preserve"> at US$54</w:t>
      </w:r>
      <w:r w:rsidR="001E2910">
        <w:t xml:space="preserve"> per </w:t>
      </w:r>
      <w:r w:rsidRPr="00FD48A9">
        <w:t>tonne FOB.</w:t>
      </w:r>
    </w:p>
    <w:p w14:paraId="627D7A4D" w14:textId="74AF82FE" w:rsidR="00FB04F7" w:rsidRPr="00FD48A9" w:rsidRDefault="0056740A" w:rsidP="00851321">
      <w:pPr>
        <w:pStyle w:val="ChartandTableFootnote"/>
      </w:pPr>
      <w:r w:rsidRPr="00FD48A9">
        <w:fldChar w:fldCharType="begin"/>
      </w:r>
      <w:r w:rsidRPr="00FD48A9">
        <w:instrText xml:space="preserve"> :End:MECD_TP1 </w:instrText>
      </w:r>
      <w:r w:rsidRPr="00FD48A9">
        <w:fldChar w:fldCharType="end"/>
      </w:r>
      <w:r w:rsidRPr="00FD48A9">
        <w:fldChar w:fldCharType="begin"/>
      </w:r>
      <w:r w:rsidRPr="00FD48A9">
        <w:instrText xml:space="preserve"> :Start:MECD_TP2 </w:instrText>
      </w:r>
      <w:r w:rsidRPr="00FD48A9">
        <w:fldChar w:fldCharType="end"/>
      </w:r>
      <w:r w:rsidR="00FB04F7" w:rsidRPr="00FD48A9">
        <w:t xml:space="preserve">Note: The forecasts for the domestic economy </w:t>
      </w:r>
      <w:proofErr w:type="gramStart"/>
      <w:r w:rsidR="00FB04F7" w:rsidRPr="00FD48A9">
        <w:t>are based</w:t>
      </w:r>
      <w:proofErr w:type="gramEnd"/>
      <w:r w:rsidR="00FB04F7" w:rsidRPr="00FD48A9">
        <w:t xml:space="preserve"> on several technical assumptions. The exchange rate is assumed to remain around its recent average level — a trade</w:t>
      </w:r>
      <w:r w:rsidR="00C77479">
        <w:noBreakHyphen/>
      </w:r>
      <w:r w:rsidR="00FB04F7" w:rsidRPr="00FD48A9">
        <w:t>weighted index of around 60 and a $US</w:t>
      </w:r>
      <w:r w:rsidR="00B04E5F" w:rsidRPr="00FD48A9">
        <w:t> </w:t>
      </w:r>
      <w:r w:rsidR="00FB04F7" w:rsidRPr="00FD48A9">
        <w:t xml:space="preserve">exchange rate of around 69 US cents. Interest rates </w:t>
      </w:r>
      <w:proofErr w:type="gramStart"/>
      <w:r w:rsidR="00FB04F7" w:rsidRPr="00FD48A9">
        <w:t>are assumed</w:t>
      </w:r>
      <w:proofErr w:type="gramEnd"/>
      <w:r w:rsidR="00FB04F7" w:rsidRPr="00FD48A9">
        <w:t xml:space="preserve"> to move broadly in line with market expectations. World oil prices (Malaysian Tapis) </w:t>
      </w:r>
      <w:proofErr w:type="gramStart"/>
      <w:r w:rsidR="00FB04F7" w:rsidRPr="00FD48A9">
        <w:t>are assumed</w:t>
      </w:r>
      <w:proofErr w:type="gramEnd"/>
      <w:r w:rsidR="00FB04F7" w:rsidRPr="00FD48A9">
        <w:t xml:space="preserve"> to remain around US$34 per barrel.</w:t>
      </w:r>
      <w:r w:rsidRPr="00FD48A9">
        <w:fldChar w:fldCharType="begin"/>
      </w:r>
      <w:r w:rsidRPr="00FD48A9">
        <w:instrText xml:space="preserve"> :End:MECD_TP2 </w:instrText>
      </w:r>
      <w:r w:rsidRPr="00FD48A9">
        <w:fldChar w:fldCharType="end"/>
      </w:r>
    </w:p>
    <w:p w14:paraId="4DFA8964" w14:textId="4B635CE5" w:rsidR="00B04E5F" w:rsidRPr="00FD48A9" w:rsidRDefault="00935C75" w:rsidP="00B04E5F">
      <w:pPr>
        <w:pStyle w:val="ChartandTableFootnote"/>
      </w:pPr>
      <w:r w:rsidRPr="00FD48A9">
        <w:fldChar w:fldCharType="begin"/>
      </w:r>
      <w:r w:rsidRPr="00FD48A9">
        <w:instrText xml:space="preserve"> :Start:</w:instrText>
      </w:r>
      <w:r w:rsidR="00FF727C" w:rsidRPr="00FD48A9">
        <w:instrText>CPOP_VA1</w:instrText>
      </w:r>
      <w:r w:rsidRPr="00FD48A9">
        <w:instrText xml:space="preserve"> </w:instrText>
      </w:r>
      <w:r w:rsidRPr="00FD48A9">
        <w:fldChar w:fldCharType="end"/>
      </w:r>
      <w:r w:rsidR="00FB04F7" w:rsidRPr="00FD48A9">
        <w:t xml:space="preserve">Population growth is assumed </w:t>
      </w:r>
      <w:proofErr w:type="gramStart"/>
      <w:r w:rsidR="00FB04F7" w:rsidRPr="00FD48A9">
        <w:t>to be 1.2</w:t>
      </w:r>
      <w:proofErr w:type="gramEnd"/>
      <w:r w:rsidR="00FB04F7" w:rsidRPr="00FD48A9">
        <w:t xml:space="preserve"> per cent in 2019</w:t>
      </w:r>
      <w:r w:rsidR="00C77479">
        <w:noBreakHyphen/>
      </w:r>
      <w:r w:rsidR="00FB04F7" w:rsidRPr="00FD48A9">
        <w:t>20 and 0.6 per cent in 2020</w:t>
      </w:r>
      <w:r w:rsidR="00C77479">
        <w:noBreakHyphen/>
      </w:r>
      <w:r w:rsidR="00FB04F7" w:rsidRPr="00FD48A9">
        <w:t>21.</w:t>
      </w:r>
    </w:p>
    <w:p w14:paraId="489E15BF" w14:textId="375CEAC5" w:rsidR="00851321" w:rsidRPr="00FD48A9" w:rsidRDefault="00935C75" w:rsidP="00B04E5F">
      <w:pPr>
        <w:pStyle w:val="ChartandTableFootnote"/>
      </w:pPr>
      <w:r w:rsidRPr="00FD48A9">
        <w:fldChar w:fldCharType="begin"/>
      </w:r>
      <w:r w:rsidRPr="00FD48A9">
        <w:instrText xml:space="preserve"> :End:</w:instrText>
      </w:r>
      <w:r w:rsidR="00FF727C" w:rsidRPr="00FD48A9">
        <w:instrText>CPOP_VA1</w:instrText>
      </w:r>
      <w:r w:rsidRPr="00FD48A9">
        <w:instrText xml:space="preserve"> </w:instrText>
      </w:r>
      <w:r w:rsidRPr="00FD48A9">
        <w:fldChar w:fldCharType="end"/>
      </w:r>
      <w:r w:rsidRPr="00FD48A9">
        <w:fldChar w:fldCharType="begin"/>
      </w:r>
      <w:r w:rsidRPr="00FD48A9">
        <w:instrText xml:space="preserve"> :Start:MECD_TP2 </w:instrText>
      </w:r>
      <w:r w:rsidRPr="00FD48A9">
        <w:fldChar w:fldCharType="end"/>
      </w:r>
      <w:r w:rsidR="00FB04F7" w:rsidRPr="00FD48A9">
        <w:t xml:space="preserve">Source: ABS cat. </w:t>
      </w:r>
      <w:proofErr w:type="gramStart"/>
      <w:r w:rsidR="00FB04F7" w:rsidRPr="00FD48A9">
        <w:t>no</w:t>
      </w:r>
      <w:proofErr w:type="gramEnd"/>
      <w:r w:rsidR="00FB04F7" w:rsidRPr="00FD48A9">
        <w:t>.</w:t>
      </w:r>
      <w:r w:rsidR="001A672F" w:rsidRPr="00FD48A9">
        <w:t xml:space="preserve"> </w:t>
      </w:r>
      <w:r w:rsidR="00FB04F7" w:rsidRPr="00FD48A9">
        <w:t>5206.0, 5302.0, 6202.0, 6345.0, 6401.0, un</w:t>
      </w:r>
      <w:r w:rsidR="00851321" w:rsidRPr="00FD48A9">
        <w:t>published ABS data and Treasury.</w:t>
      </w:r>
      <w:r w:rsidRPr="00FD48A9">
        <w:fldChar w:fldCharType="begin"/>
      </w:r>
      <w:r w:rsidRPr="00FD48A9">
        <w:instrText xml:space="preserve"> :End:MECD_TP2 </w:instrText>
      </w:r>
      <w:r w:rsidRPr="00FD48A9">
        <w:fldChar w:fldCharType="end"/>
      </w:r>
    </w:p>
    <w:p w14:paraId="31367989" w14:textId="56104090" w:rsidR="00B04E5F" w:rsidRPr="00FD48A9" w:rsidRDefault="00B04E5F" w:rsidP="00B04E5F">
      <w:pPr>
        <w:pStyle w:val="SingleParagraph"/>
      </w:pPr>
    </w:p>
    <w:p w14:paraId="38B4B4BE" w14:textId="7F70747C" w:rsidR="00D131AE" w:rsidRPr="00FD48A9" w:rsidRDefault="000E2012" w:rsidP="00851321">
      <w:r w:rsidRPr="00FD48A9">
        <w:rPr>
          <w:b/>
        </w:rPr>
        <w:fldChar w:fldCharType="begin"/>
      </w:r>
      <w:r w:rsidRPr="00FD48A9">
        <w:rPr>
          <w:b/>
        </w:rPr>
        <w:instrText xml:space="preserve"> :Start:MECD_TP3 </w:instrText>
      </w:r>
      <w:r w:rsidRPr="00FD48A9">
        <w:rPr>
          <w:b/>
        </w:rPr>
        <w:fldChar w:fldCharType="end"/>
      </w:r>
      <w:r w:rsidR="00D131AE" w:rsidRPr="00FD48A9">
        <w:rPr>
          <w:b/>
        </w:rPr>
        <w:t xml:space="preserve">Employment </w:t>
      </w:r>
      <w:r w:rsidR="00D131AE" w:rsidRPr="00FD48A9">
        <w:t xml:space="preserve">declined sharply in the June quarter, falling by </w:t>
      </w:r>
      <w:r w:rsidR="00797FA4" w:rsidRPr="00FD48A9">
        <w:t>708,900</w:t>
      </w:r>
      <w:r w:rsidR="00D131AE" w:rsidRPr="00FD48A9">
        <w:t xml:space="preserve"> persons, to be </w:t>
      </w:r>
      <w:r w:rsidR="00797FA4" w:rsidRPr="00FD48A9">
        <w:t>4.</w:t>
      </w:r>
      <w:r w:rsidR="00A81064" w:rsidRPr="00FD48A9">
        <w:t>4</w:t>
      </w:r>
      <w:r w:rsidR="00500FD8" w:rsidRPr="00FD48A9">
        <w:t> </w:t>
      </w:r>
      <w:r w:rsidR="00D131AE" w:rsidRPr="00FD48A9">
        <w:t>per cent lower through the year</w:t>
      </w:r>
      <w:r w:rsidR="00F80672" w:rsidRPr="00FD48A9">
        <w:t xml:space="preserve"> (Chart 2.6)</w:t>
      </w:r>
      <w:r w:rsidR="00D131AE" w:rsidRPr="00FD48A9">
        <w:t xml:space="preserve">. </w:t>
      </w:r>
      <w:r w:rsidR="00F3320A" w:rsidRPr="00FD48A9">
        <w:t>Changes in e</w:t>
      </w:r>
      <w:r w:rsidR="00D131AE" w:rsidRPr="00FD48A9">
        <w:t xml:space="preserve">mployment have been largest in those industries directly affected by </w:t>
      </w:r>
      <w:r w:rsidR="00C352C7" w:rsidRPr="00FD48A9">
        <w:t>health restrictions</w:t>
      </w:r>
      <w:r w:rsidR="00D131AE" w:rsidRPr="00FD48A9">
        <w:t xml:space="preserve">, including service industries such as accommodation and food, arts and recreation, and transport. General </w:t>
      </w:r>
      <w:r w:rsidR="00500FD8" w:rsidRPr="00FD48A9">
        <w:t xml:space="preserve">physical </w:t>
      </w:r>
      <w:r w:rsidR="00D131AE" w:rsidRPr="00FD48A9">
        <w:t>distancing guidelines and guidance about essential</w:t>
      </w:r>
      <w:r w:rsidR="00C77479">
        <w:noBreakHyphen/>
      </w:r>
      <w:r w:rsidR="00D131AE" w:rsidRPr="00FD48A9">
        <w:t>only travel has also had flow</w:t>
      </w:r>
      <w:r w:rsidR="00C77479">
        <w:noBreakHyphen/>
      </w:r>
      <w:r w:rsidR="00D131AE" w:rsidRPr="00FD48A9">
        <w:t xml:space="preserve">on effects to employment in other industries, such as retail trade. </w:t>
      </w:r>
    </w:p>
    <w:p w14:paraId="0786BD76" w14:textId="485FE99E" w:rsidR="00D131AE" w:rsidRPr="00FD48A9" w:rsidRDefault="00D131AE" w:rsidP="007F203A">
      <w:r w:rsidRPr="00FD48A9">
        <w:t xml:space="preserve">Alongside a recovery in activity, the easing of containment measures in the latter part of the June quarter has </w:t>
      </w:r>
      <w:r w:rsidR="00C050B5" w:rsidRPr="00FD48A9">
        <w:t>accomp</w:t>
      </w:r>
      <w:r w:rsidR="00FC554C" w:rsidRPr="00FD48A9">
        <w:t>anied some improvement</w:t>
      </w:r>
      <w:r w:rsidR="00C050B5" w:rsidRPr="00FD48A9">
        <w:t xml:space="preserve"> </w:t>
      </w:r>
      <w:r w:rsidRPr="00FD48A9">
        <w:t xml:space="preserve">in the labour market. After falling significantly over April and May, </w:t>
      </w:r>
      <w:r w:rsidR="00C050B5" w:rsidRPr="00FD48A9">
        <w:t xml:space="preserve">total </w:t>
      </w:r>
      <w:r w:rsidRPr="00FD48A9">
        <w:t>hours worked</w:t>
      </w:r>
      <w:r w:rsidR="00797FA4" w:rsidRPr="00FD48A9">
        <w:t xml:space="preserve"> recovered around one</w:t>
      </w:r>
      <w:r w:rsidR="00C77479">
        <w:noBreakHyphen/>
      </w:r>
      <w:r w:rsidR="00797FA4" w:rsidRPr="00FD48A9">
        <w:t xml:space="preserve">third of its fall, driven </w:t>
      </w:r>
      <w:proofErr w:type="gramStart"/>
      <w:r w:rsidR="00797FA4" w:rsidRPr="00FD48A9">
        <w:t>both by an increase in employment and an</w:t>
      </w:r>
      <w:proofErr w:type="gramEnd"/>
      <w:r w:rsidR="00797FA4" w:rsidRPr="00FD48A9">
        <w:t xml:space="preserve"> increase in average hours worked</w:t>
      </w:r>
      <w:r w:rsidR="002D151F" w:rsidRPr="00FD48A9">
        <w:t>,</w:t>
      </w:r>
      <w:r w:rsidR="00797FA4" w:rsidRPr="00FD48A9">
        <w:t xml:space="preserve"> including from those who were previously working zero hours. However, total hours worked in June remained almost 7</w:t>
      </w:r>
      <w:r w:rsidR="002D151F" w:rsidRPr="00FD48A9">
        <w:t> </w:t>
      </w:r>
      <w:r w:rsidR="00797FA4" w:rsidRPr="00FD48A9">
        <w:t>per</w:t>
      </w:r>
      <w:r w:rsidR="002D151F" w:rsidRPr="00FD48A9">
        <w:t> </w:t>
      </w:r>
      <w:r w:rsidR="00797FA4" w:rsidRPr="00FD48A9">
        <w:t>cent lower than in March</w:t>
      </w:r>
      <w:r w:rsidRPr="00FD48A9">
        <w:t xml:space="preserve">. </w:t>
      </w:r>
      <w:r w:rsidR="00C050B5" w:rsidRPr="00FD48A9">
        <w:t>Some l</w:t>
      </w:r>
      <w:r w:rsidRPr="00FD48A9">
        <w:t xml:space="preserve">eading indicators of labour market activity have also </w:t>
      </w:r>
      <w:r w:rsidR="00E57851">
        <w:t>shown</w:t>
      </w:r>
      <w:r w:rsidR="00E57851" w:rsidRPr="00FD48A9">
        <w:t xml:space="preserve"> </w:t>
      </w:r>
      <w:r w:rsidRPr="00FD48A9">
        <w:t>some positive signs, with measures of job advertisements picking up in June</w:t>
      </w:r>
      <w:r w:rsidR="005D3026" w:rsidRPr="00FD48A9">
        <w:t>,</w:t>
      </w:r>
      <w:r w:rsidR="00C050B5" w:rsidRPr="00FD48A9">
        <w:t xml:space="preserve"> albeit from very low levels</w:t>
      </w:r>
      <w:r w:rsidRPr="00FD48A9">
        <w:t xml:space="preserve">. </w:t>
      </w:r>
      <w:r w:rsidR="00C050B5" w:rsidRPr="00FD48A9">
        <w:t>Employment</w:t>
      </w:r>
      <w:r w:rsidRPr="00FD48A9">
        <w:t xml:space="preserve"> outcomes </w:t>
      </w:r>
      <w:proofErr w:type="gramStart"/>
      <w:r w:rsidRPr="00FD48A9">
        <w:t>are expected</w:t>
      </w:r>
      <w:proofErr w:type="gramEnd"/>
      <w:r w:rsidRPr="00FD48A9">
        <w:t xml:space="preserve"> to recover </w:t>
      </w:r>
      <w:r w:rsidR="002D151F" w:rsidRPr="00FD48A9">
        <w:t xml:space="preserve">over the forecast period, even accounting for the effect of the reintroduction of restrictions in parts of Victoria. The recovery in employment </w:t>
      </w:r>
      <w:proofErr w:type="gramStart"/>
      <w:r w:rsidR="002D151F" w:rsidRPr="00FD48A9">
        <w:t>is expected</w:t>
      </w:r>
      <w:proofErr w:type="gramEnd"/>
      <w:r w:rsidR="002D151F" w:rsidRPr="00FD48A9">
        <w:t xml:space="preserve"> to lag the recovery in total hours</w:t>
      </w:r>
      <w:r w:rsidRPr="00FD48A9">
        <w:t xml:space="preserve"> as employers </w:t>
      </w:r>
      <w:r w:rsidR="00C050B5" w:rsidRPr="00FD48A9">
        <w:t xml:space="preserve">prioritise </w:t>
      </w:r>
      <w:r w:rsidRPr="00FD48A9">
        <w:t>increas</w:t>
      </w:r>
      <w:r w:rsidR="00C050B5" w:rsidRPr="00FD48A9">
        <w:t>ing</w:t>
      </w:r>
      <w:r w:rsidRPr="00FD48A9">
        <w:t xml:space="preserve"> hours for existing staff, </w:t>
      </w:r>
      <w:r w:rsidR="00C050B5" w:rsidRPr="00FD48A9">
        <w:t xml:space="preserve">ahead of </w:t>
      </w:r>
      <w:r w:rsidRPr="00FD48A9">
        <w:t xml:space="preserve">hiring new staff. </w:t>
      </w:r>
    </w:p>
    <w:p w14:paraId="5BB2AFC5" w14:textId="0BBD87C9" w:rsidR="00D131AE" w:rsidRDefault="00D131AE" w:rsidP="00D131AE">
      <w:pPr>
        <w:pStyle w:val="ChartHeading"/>
      </w:pPr>
      <w:r w:rsidRPr="00FD48A9">
        <w:lastRenderedPageBreak/>
        <w:t>C</w:t>
      </w:r>
      <w:r w:rsidR="00AC0C4E" w:rsidRPr="00FD48A9">
        <w:t xml:space="preserve">hart </w:t>
      </w:r>
      <w:r w:rsidR="00B04E5F" w:rsidRPr="00FD48A9">
        <w:t>2.</w:t>
      </w:r>
      <w:r w:rsidR="00500FD8" w:rsidRPr="00FD48A9">
        <w:t>6</w:t>
      </w:r>
      <w:r w:rsidRPr="00FD48A9">
        <w:t>:</w:t>
      </w:r>
      <w:r w:rsidR="00FB04F7" w:rsidRPr="00FD48A9">
        <w:t xml:space="preserve"> </w:t>
      </w:r>
      <w:r w:rsidRPr="00FD48A9">
        <w:t xml:space="preserve">Employment growth </w:t>
      </w:r>
    </w:p>
    <w:p w14:paraId="6490E31E" w14:textId="5F3B37FB" w:rsidR="00405E32" w:rsidRPr="00FD48A9" w:rsidRDefault="003A655E" w:rsidP="003A655E">
      <w:pPr>
        <w:pStyle w:val="ChartGraphic"/>
      </w:pPr>
      <w:r>
        <w:rPr>
          <w:noProof/>
        </w:rPr>
        <w:drawing>
          <wp:inline distT="0" distB="0" distL="0" distR="0" wp14:anchorId="280A6318" wp14:editId="19489B20">
            <wp:extent cx="4694555" cy="2468880"/>
            <wp:effectExtent l="0" t="0" r="0" b="7620"/>
            <wp:docPr id="36" name="Picture 36" descr="This chart shows monthly through-the-year employment growth over the past 20 years. Prior to April 2020, employment growth mostly cycled between 0 and 4 per cent over the period. From April 2020, through-the-year employment growth decreased sharply to be lower than negative 3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4555" cy="2468880"/>
                    </a:xfrm>
                    <a:prstGeom prst="rect">
                      <a:avLst/>
                    </a:prstGeom>
                    <a:noFill/>
                  </pic:spPr>
                </pic:pic>
              </a:graphicData>
            </a:graphic>
          </wp:inline>
        </w:drawing>
      </w:r>
    </w:p>
    <w:p w14:paraId="0A49847D" w14:textId="6AEA9FC5" w:rsidR="00FB04F7" w:rsidRPr="00FD48A9" w:rsidRDefault="00FB04F7" w:rsidP="00FB04F7">
      <w:pPr>
        <w:pStyle w:val="BoxText"/>
        <w:rPr>
          <w:rFonts w:ascii="Arial" w:hAnsi="Arial"/>
          <w:sz w:val="16"/>
        </w:rPr>
      </w:pPr>
      <w:r w:rsidRPr="00FD48A9">
        <w:rPr>
          <w:rFonts w:ascii="Arial" w:hAnsi="Arial"/>
          <w:sz w:val="16"/>
        </w:rPr>
        <w:t xml:space="preserve">Source: ABS cat. </w:t>
      </w:r>
      <w:proofErr w:type="gramStart"/>
      <w:r w:rsidRPr="00FD48A9">
        <w:rPr>
          <w:rFonts w:ascii="Arial" w:hAnsi="Arial"/>
          <w:sz w:val="16"/>
        </w:rPr>
        <w:t>no</w:t>
      </w:r>
      <w:proofErr w:type="gramEnd"/>
      <w:r w:rsidRPr="00FD48A9">
        <w:rPr>
          <w:rFonts w:ascii="Arial" w:hAnsi="Arial"/>
          <w:sz w:val="16"/>
        </w:rPr>
        <w:t>. 6202.0</w:t>
      </w:r>
      <w:r w:rsidR="006C0B93" w:rsidRPr="00FD48A9">
        <w:rPr>
          <w:rFonts w:ascii="Arial" w:hAnsi="Arial"/>
          <w:sz w:val="16"/>
        </w:rPr>
        <w:t>.</w:t>
      </w:r>
    </w:p>
    <w:p w14:paraId="09F7BB7D" w14:textId="77777777" w:rsidR="009B5CC3" w:rsidRDefault="009B5CC3" w:rsidP="005409E5">
      <w:pPr>
        <w:pStyle w:val="SingleParagraph"/>
      </w:pPr>
    </w:p>
    <w:p w14:paraId="424C8C98" w14:textId="5361A531" w:rsidR="00D131AE" w:rsidRPr="00FD48A9" w:rsidRDefault="00D131AE" w:rsidP="00D131AE">
      <w:r w:rsidRPr="00FD48A9">
        <w:t xml:space="preserve">The </w:t>
      </w:r>
      <w:r w:rsidRPr="00FD48A9">
        <w:rPr>
          <w:b/>
        </w:rPr>
        <w:t xml:space="preserve">unemployment rate </w:t>
      </w:r>
      <w:proofErr w:type="gramStart"/>
      <w:r w:rsidRPr="00FD48A9">
        <w:t>is expected</w:t>
      </w:r>
      <w:proofErr w:type="gramEnd"/>
      <w:r w:rsidRPr="00FD48A9">
        <w:t xml:space="preserve"> to increase over the remainder of 2020, peaking at around </w:t>
      </w:r>
      <w:r w:rsidR="00466D03" w:rsidRPr="00FD48A9">
        <w:t>9¼</w:t>
      </w:r>
      <w:r w:rsidRPr="00FD48A9">
        <w:t xml:space="preserve"> per cent in the December quarter. Further increases in the unemployment rate are likely to </w:t>
      </w:r>
      <w:proofErr w:type="gramStart"/>
      <w:r w:rsidRPr="00FD48A9">
        <w:t>be driven</w:t>
      </w:r>
      <w:proofErr w:type="gramEnd"/>
      <w:r w:rsidRPr="00FD48A9">
        <w:t xml:space="preserve"> by rising labour force participation as those who dropped out of the labour market at the start of the crisis begin to look for work again as the economy opens up. The unemployment rate </w:t>
      </w:r>
      <w:proofErr w:type="gramStart"/>
      <w:r w:rsidRPr="00FD48A9">
        <w:t>is expected</w:t>
      </w:r>
      <w:proofErr w:type="gramEnd"/>
      <w:r w:rsidRPr="00FD48A9">
        <w:t xml:space="preserve"> to gradually decline from the start of 2021 to be around </w:t>
      </w:r>
      <w:r w:rsidR="00466D03" w:rsidRPr="00FD48A9">
        <w:t xml:space="preserve">8¾ </w:t>
      </w:r>
      <w:r w:rsidRPr="00FD48A9">
        <w:t xml:space="preserve">per cent in the June quarter 2021. However, spare capacity in the labour market </w:t>
      </w:r>
      <w:proofErr w:type="gramStart"/>
      <w:r w:rsidRPr="00FD48A9">
        <w:t>is expected</w:t>
      </w:r>
      <w:proofErr w:type="gramEnd"/>
      <w:r w:rsidRPr="00FD48A9">
        <w:t xml:space="preserve"> to be more significant than suggested by the unemployment rate, particularly in the near term. The measured unemployment rate is a key uncertainty and will depend on </w:t>
      </w:r>
      <w:r w:rsidR="006005F6" w:rsidRPr="00FD48A9">
        <w:t xml:space="preserve">the </w:t>
      </w:r>
      <w:r w:rsidRPr="00FD48A9">
        <w:t>evolution of the participation rate and average hours worked</w:t>
      </w:r>
      <w:r w:rsidR="00D11280">
        <w:t> </w:t>
      </w:r>
      <w:r w:rsidR="00C25160" w:rsidRPr="00FD48A9">
        <w:t>(</w:t>
      </w:r>
      <w:r w:rsidR="00A81064" w:rsidRPr="00FD48A9">
        <w:t>Box</w:t>
      </w:r>
      <w:r w:rsidR="00500FD8" w:rsidRPr="00FD48A9">
        <w:t> </w:t>
      </w:r>
      <w:r w:rsidR="007B699D" w:rsidRPr="00FD48A9">
        <w:t>2.</w:t>
      </w:r>
      <w:r w:rsidR="00C25160" w:rsidRPr="00FD48A9">
        <w:t>3</w:t>
      </w:r>
      <w:r w:rsidRPr="00FD48A9">
        <w:t>).</w:t>
      </w:r>
    </w:p>
    <w:p w14:paraId="0DBA8B73" w14:textId="27F02F91" w:rsidR="00D131AE" w:rsidRPr="00FD48A9" w:rsidRDefault="00D131AE" w:rsidP="00D131AE">
      <w:r w:rsidRPr="00FD48A9">
        <w:t xml:space="preserve">During this crisis, particular cohorts have experienced more adverse labour market impacts. Women and young people have been particularly affected, consistent with </w:t>
      </w:r>
      <w:r w:rsidR="00E57851">
        <w:t>being over</w:t>
      </w:r>
      <w:r w:rsidRPr="00FD48A9">
        <w:t xml:space="preserve"> re</w:t>
      </w:r>
      <w:r w:rsidR="00E57851">
        <w:t>presented</w:t>
      </w:r>
      <w:r w:rsidRPr="00FD48A9">
        <w:t xml:space="preserve"> in industries hardest hit by the crisis, such as accommodation and food services</w:t>
      </w:r>
      <w:r w:rsidR="00365556" w:rsidRPr="00FD48A9">
        <w:t>, arts and recreation services</w:t>
      </w:r>
      <w:r w:rsidRPr="00FD48A9">
        <w:t xml:space="preserve"> and retail trade</w:t>
      </w:r>
      <w:r w:rsidR="00E23BFC" w:rsidRPr="00FD48A9">
        <w:t>.</w:t>
      </w:r>
      <w:r w:rsidR="003D763E" w:rsidRPr="00FD48A9">
        <w:t xml:space="preserve"> Despite rising in June,</w:t>
      </w:r>
      <w:r w:rsidR="002D151F" w:rsidRPr="00FD48A9">
        <w:t xml:space="preserve"> employment </w:t>
      </w:r>
      <w:r w:rsidRPr="00FD48A9">
        <w:t>amongst those aged 15</w:t>
      </w:r>
      <w:r w:rsidR="00C77479">
        <w:noBreakHyphen/>
      </w:r>
      <w:r w:rsidRPr="00FD48A9">
        <w:t xml:space="preserve">24 </w:t>
      </w:r>
      <w:proofErr w:type="gramStart"/>
      <w:r w:rsidR="003D763E" w:rsidRPr="00FD48A9">
        <w:t xml:space="preserve">was </w:t>
      </w:r>
      <w:r w:rsidRPr="00FD48A9">
        <w:t>significantly</w:t>
      </w:r>
      <w:r w:rsidR="003D763E" w:rsidRPr="00FD48A9">
        <w:t xml:space="preserve"> lower compared</w:t>
      </w:r>
      <w:proofErr w:type="gramEnd"/>
      <w:r w:rsidR="003D763E" w:rsidRPr="00FD48A9">
        <w:t xml:space="preserve"> with March</w:t>
      </w:r>
      <w:r w:rsidRPr="00FD48A9">
        <w:t xml:space="preserve">, accounting for around </w:t>
      </w:r>
      <w:r w:rsidR="002D151F" w:rsidRPr="00FD48A9">
        <w:t>35</w:t>
      </w:r>
      <w:r w:rsidRPr="00FD48A9">
        <w:t> per cent of the total fall in employment</w:t>
      </w:r>
      <w:r w:rsidR="003D763E" w:rsidRPr="00FD48A9">
        <w:t xml:space="preserve"> over this period</w:t>
      </w:r>
      <w:r w:rsidRPr="00FD48A9">
        <w:t xml:space="preserve">. </w:t>
      </w:r>
      <w:r w:rsidR="003D763E" w:rsidRPr="00FD48A9">
        <w:t>As a result,</w:t>
      </w:r>
      <w:r w:rsidRPr="00FD48A9">
        <w:t xml:space="preserve"> the youth unemployment rate </w:t>
      </w:r>
      <w:r w:rsidR="009A445D" w:rsidRPr="00FD48A9">
        <w:t>rose</w:t>
      </w:r>
      <w:r w:rsidR="00B314B1" w:rsidRPr="00FD48A9">
        <w:t xml:space="preserve"> </w:t>
      </w:r>
      <w:r w:rsidRPr="00FD48A9">
        <w:t xml:space="preserve">to </w:t>
      </w:r>
      <w:r w:rsidR="002D151F" w:rsidRPr="00FD48A9">
        <w:t>15.5</w:t>
      </w:r>
      <w:r w:rsidRPr="00FD48A9">
        <w:t xml:space="preserve"> per cent in the June quarter, its highest rate in </w:t>
      </w:r>
      <w:r w:rsidR="002D151F" w:rsidRPr="00FD48A9">
        <w:t>over 20</w:t>
      </w:r>
      <w:r w:rsidRPr="00FD48A9">
        <w:t xml:space="preserve"> years. </w:t>
      </w:r>
      <w:r w:rsidR="00B314B1" w:rsidRPr="00FD48A9">
        <w:t>T</w:t>
      </w:r>
      <w:r w:rsidR="002D151F" w:rsidRPr="00FD48A9">
        <w:t xml:space="preserve">he </w:t>
      </w:r>
      <w:r w:rsidRPr="00FD48A9">
        <w:t>employment</w:t>
      </w:r>
      <w:r w:rsidR="00C77479">
        <w:noBreakHyphen/>
      </w:r>
      <w:r w:rsidRPr="00FD48A9">
        <w:t>to</w:t>
      </w:r>
      <w:r w:rsidR="00C77479">
        <w:noBreakHyphen/>
      </w:r>
      <w:r w:rsidRPr="00FD48A9">
        <w:t>population ratio</w:t>
      </w:r>
      <w:r w:rsidR="002D151F" w:rsidRPr="00FD48A9">
        <w:t xml:space="preserve"> and the</w:t>
      </w:r>
      <w:r w:rsidRPr="00FD48A9">
        <w:t xml:space="preserve"> participation </w:t>
      </w:r>
      <w:r w:rsidR="002D151F" w:rsidRPr="00FD48A9">
        <w:t>rate</w:t>
      </w:r>
      <w:r w:rsidR="007C70AD" w:rsidRPr="00FD48A9">
        <w:t xml:space="preserve"> </w:t>
      </w:r>
      <w:r w:rsidRPr="00FD48A9">
        <w:t>declined more significantly for women than for men</w:t>
      </w:r>
      <w:r w:rsidR="002D151F" w:rsidRPr="00FD48A9">
        <w:t xml:space="preserve"> in the June quarter</w:t>
      </w:r>
      <w:r w:rsidRPr="00FD48A9">
        <w:t xml:space="preserve">. The significant fall in female participation moderated the rise in the measured unemployment rate for </w:t>
      </w:r>
      <w:r w:rsidR="007B5472" w:rsidRPr="00FD48A9">
        <w:t>women</w:t>
      </w:r>
      <w:r w:rsidRPr="00FD48A9">
        <w:t>. Casual employees and those working part</w:t>
      </w:r>
      <w:r w:rsidR="00C77479">
        <w:noBreakHyphen/>
      </w:r>
      <w:r w:rsidRPr="00FD48A9">
        <w:t xml:space="preserve">time </w:t>
      </w:r>
      <w:proofErr w:type="gramStart"/>
      <w:r w:rsidRPr="00FD48A9">
        <w:t>have also been disproportionately impacted</w:t>
      </w:r>
      <w:proofErr w:type="gramEnd"/>
      <w:r w:rsidRPr="00FD48A9">
        <w:t>.</w:t>
      </w:r>
    </w:p>
    <w:p w14:paraId="4884614A" w14:textId="56387869" w:rsidR="00D131AE" w:rsidRPr="00FD48A9" w:rsidRDefault="00D131AE" w:rsidP="00D131AE">
      <w:r w:rsidRPr="00FD48A9">
        <w:t xml:space="preserve">Beyond 2020, labour market conditions will strengthen as demand picks up, but the unemployment rate will take some time to decline, as has been the case in previous </w:t>
      </w:r>
      <w:r w:rsidR="008F08E7" w:rsidRPr="00FD48A9">
        <w:t>recessions</w:t>
      </w:r>
      <w:r w:rsidRPr="00FD48A9">
        <w:t xml:space="preserve">. In the recession of the early 1990s, it took around seven years for the </w:t>
      </w:r>
      <w:r w:rsidRPr="00FD48A9">
        <w:lastRenderedPageBreak/>
        <w:t>unemployment rate to fall from its peak of 11.2 per cent in 1992 to below 7 per cent. In addition, there may be longer</w:t>
      </w:r>
      <w:r w:rsidR="00C77479">
        <w:noBreakHyphen/>
      </w:r>
      <w:r w:rsidRPr="00FD48A9">
        <w:t xml:space="preserve">term impacts on the labour market if some workers who have been dislocated, especially those </w:t>
      </w:r>
      <w:proofErr w:type="gramStart"/>
      <w:r w:rsidRPr="00FD48A9">
        <w:t>in more vulnerable cohorts,</w:t>
      </w:r>
      <w:proofErr w:type="gramEnd"/>
      <w:r w:rsidRPr="00FD48A9">
        <w:t xml:space="preserve"> lose skills or need to </w:t>
      </w:r>
      <w:r w:rsidR="00E1596F">
        <w:t>re</w:t>
      </w:r>
      <w:r w:rsidR="00E57851">
        <w:t>skill</w:t>
      </w:r>
      <w:r w:rsidRPr="00FD48A9">
        <w:t xml:space="preserve"> to enter employment in a different occupation or industry.</w:t>
      </w:r>
    </w:p>
    <w:p w14:paraId="07B8E54D" w14:textId="4DF47113" w:rsidR="002A0899" w:rsidRPr="00FD48A9" w:rsidRDefault="002A0899" w:rsidP="00D131AE"/>
    <w:p w14:paraId="35A2D3C0" w14:textId="68435E73" w:rsidR="002A0899" w:rsidRPr="00FD48A9" w:rsidRDefault="002A0899">
      <w:pPr>
        <w:spacing w:after="160" w:line="259" w:lineRule="auto"/>
        <w:jc w:val="left"/>
      </w:pPr>
      <w:r w:rsidRPr="00FD48A9">
        <w:br w:type="page"/>
      </w:r>
    </w:p>
    <w:tbl>
      <w:tblPr>
        <w:tblW w:w="5000" w:type="pct"/>
        <w:shd w:val="clear" w:color="auto" w:fill="EBEBEB"/>
        <w:tblLook w:val="0000" w:firstRow="0" w:lastRow="0" w:firstColumn="0" w:lastColumn="0" w:noHBand="0" w:noVBand="0"/>
      </w:tblPr>
      <w:tblGrid>
        <w:gridCol w:w="7710"/>
      </w:tblGrid>
      <w:tr w:rsidR="002A0899" w:rsidRPr="00FD48A9" w14:paraId="14C62044" w14:textId="77777777" w:rsidTr="00806C95">
        <w:trPr>
          <w:cantSplit/>
        </w:trPr>
        <w:tc>
          <w:tcPr>
            <w:tcW w:w="5000" w:type="pct"/>
            <w:shd w:val="clear" w:color="auto" w:fill="EBEBEB"/>
          </w:tcPr>
          <w:p w14:paraId="4BCEE28B" w14:textId="40BB18AA" w:rsidR="002A0899" w:rsidRPr="00FD48A9" w:rsidRDefault="000E2012" w:rsidP="002A0899">
            <w:pPr>
              <w:pStyle w:val="BoxHeading"/>
            </w:pPr>
            <w:r w:rsidRPr="00FD48A9">
              <w:lastRenderedPageBreak/>
              <w:fldChar w:fldCharType="begin"/>
            </w:r>
            <w:r w:rsidRPr="00FD48A9">
              <w:instrText xml:space="preserve"> :Start:MECD_TP3 </w:instrText>
            </w:r>
            <w:r w:rsidRPr="00FD48A9">
              <w:fldChar w:fldCharType="end"/>
            </w:r>
            <w:r w:rsidR="002A0899" w:rsidRPr="00FD48A9">
              <w:t xml:space="preserve">Box </w:t>
            </w:r>
            <w:r w:rsidR="00B04E5F" w:rsidRPr="00FD48A9">
              <w:t>2.</w:t>
            </w:r>
            <w:r w:rsidR="002A0899" w:rsidRPr="00FD48A9">
              <w:t>3: Assessing spare capacity in the labour market</w:t>
            </w:r>
          </w:p>
          <w:p w14:paraId="5AD5CEA1" w14:textId="2010B228" w:rsidR="002A0899" w:rsidRPr="00FD48A9" w:rsidRDefault="002A0899" w:rsidP="002A0899">
            <w:pPr>
              <w:pStyle w:val="BoxText"/>
            </w:pPr>
            <w:r w:rsidRPr="00FD48A9">
              <w:t>The unemployment rate is the most commonly used indicator of spare capacity in the labour market. However, the unprecedented nature of the COVID</w:t>
            </w:r>
            <w:r w:rsidR="00C77479">
              <w:noBreakHyphen/>
            </w:r>
            <w:r w:rsidRPr="00FD48A9">
              <w:t>19 shock means that alternative labour market indicators</w:t>
            </w:r>
            <w:r w:rsidR="00CA125F">
              <w:t xml:space="preserve"> — </w:t>
            </w:r>
            <w:r w:rsidRPr="00FD48A9">
              <w:t>such as the underutilisation rate</w:t>
            </w:r>
            <w:r w:rsidR="008F08E7" w:rsidRPr="00FD48A9">
              <w:t xml:space="preserve"> and</w:t>
            </w:r>
            <w:r w:rsidRPr="00FD48A9">
              <w:t xml:space="preserve"> measures that take into account those who have dropped out of the labour force altogether</w:t>
            </w:r>
            <w:r w:rsidR="00CA125F">
              <w:t xml:space="preserve"> — </w:t>
            </w:r>
            <w:r w:rsidRPr="00FD48A9">
              <w:t xml:space="preserve">are currently more useful indicators of spare capacity. </w:t>
            </w:r>
          </w:p>
          <w:p w14:paraId="77EA8378" w14:textId="17A51F22" w:rsidR="002A0899" w:rsidRPr="00FD48A9" w:rsidRDefault="002A0899" w:rsidP="002A0899">
            <w:pPr>
              <w:pStyle w:val="BoxText"/>
            </w:pPr>
            <w:r w:rsidRPr="00FD48A9">
              <w:t xml:space="preserve">Many workers who have lost their jobs or </w:t>
            </w:r>
            <w:proofErr w:type="gramStart"/>
            <w:r w:rsidRPr="00FD48A9">
              <w:t>have been stood down</w:t>
            </w:r>
            <w:proofErr w:type="gramEnd"/>
            <w:r w:rsidRPr="00FD48A9">
              <w:t xml:space="preserve"> have not been counted in the unemployment rate. For some workers, this is because they have been unable to look for work, a fact recognised by the Government</w:t>
            </w:r>
            <w:r w:rsidR="00C77479">
              <w:t>’</w:t>
            </w:r>
            <w:r w:rsidRPr="00FD48A9">
              <w:t xml:space="preserve">s decision </w:t>
            </w:r>
            <w:proofErr w:type="gramStart"/>
            <w:r w:rsidRPr="00FD48A9">
              <w:t>to temporarily waive</w:t>
            </w:r>
            <w:proofErr w:type="gramEnd"/>
            <w:r w:rsidRPr="00FD48A9">
              <w:t xml:space="preserve"> requirements to look for work for people receiving unemployment benefits. Other workers were stood down working zero hours but remained (and were classified as) employed, in large part due to the operation of the </w:t>
            </w:r>
            <w:proofErr w:type="spellStart"/>
            <w:r w:rsidRPr="00FD48A9">
              <w:t>JobKeeper</w:t>
            </w:r>
            <w:proofErr w:type="spellEnd"/>
            <w:r w:rsidR="00B04E5F" w:rsidRPr="00FD48A9">
              <w:t> </w:t>
            </w:r>
            <w:r w:rsidR="00500FD8" w:rsidRPr="00FD48A9">
              <w:t>Payment</w:t>
            </w:r>
            <w:r w:rsidRPr="00FD48A9">
              <w:t>.</w:t>
            </w:r>
          </w:p>
          <w:tbl>
            <w:tblPr>
              <w:tblW w:w="5000" w:type="pct"/>
              <w:tblLook w:val="0000" w:firstRow="0" w:lastRow="0" w:firstColumn="0" w:lastColumn="0" w:noHBand="0" w:noVBand="0"/>
            </w:tblPr>
            <w:tblGrid>
              <w:gridCol w:w="3747"/>
              <w:gridCol w:w="3747"/>
            </w:tblGrid>
            <w:tr w:rsidR="00D11280" w:rsidRPr="00FD48A9" w14:paraId="05ABC250" w14:textId="77777777" w:rsidTr="00D11280">
              <w:trPr>
                <w:cantSplit/>
                <w:trHeight w:val="260"/>
              </w:trPr>
              <w:tc>
                <w:tcPr>
                  <w:tcW w:w="2501" w:type="pct"/>
                </w:tcPr>
                <w:p w14:paraId="2C4EB6C9" w14:textId="3A2D7C7F" w:rsidR="00D11280" w:rsidRPr="00FD48A9" w:rsidRDefault="00D11280" w:rsidP="00D11280">
                  <w:pPr>
                    <w:pStyle w:val="ChartHeading"/>
                  </w:pPr>
                  <w:r w:rsidRPr="00FD48A9">
                    <w:t>Chart 2.7</w:t>
                  </w:r>
                  <w:r>
                    <w:t>: Underemployment rate</w:t>
                  </w:r>
                </w:p>
              </w:tc>
              <w:tc>
                <w:tcPr>
                  <w:tcW w:w="2499" w:type="pct"/>
                </w:tcPr>
                <w:p w14:paraId="62C6F4D7" w14:textId="288ADA12" w:rsidR="00D11280" w:rsidRPr="00FD48A9" w:rsidRDefault="00D11280" w:rsidP="00D11280">
                  <w:pPr>
                    <w:pStyle w:val="ChartHeading"/>
                  </w:pPr>
                  <w:r w:rsidRPr="00FD48A9">
                    <w:t>Chart 2.8: Average hours worked</w:t>
                  </w:r>
                </w:p>
              </w:tc>
            </w:tr>
            <w:tr w:rsidR="00D11280" w:rsidRPr="00FD48A9" w14:paraId="6220824E" w14:textId="77777777" w:rsidTr="00D11280">
              <w:trPr>
                <w:cantSplit/>
                <w:trHeight w:val="260"/>
              </w:trPr>
              <w:tc>
                <w:tcPr>
                  <w:tcW w:w="2501" w:type="pct"/>
                </w:tcPr>
                <w:p w14:paraId="2552B306" w14:textId="022AC86D" w:rsidR="00D11280" w:rsidRPr="00FD48A9" w:rsidRDefault="003A655E" w:rsidP="00D11280">
                  <w:pPr>
                    <w:pStyle w:val="ChartGraphic"/>
                  </w:pPr>
                  <w:r>
                    <w:rPr>
                      <w:noProof/>
                    </w:rPr>
                    <w:drawing>
                      <wp:inline distT="0" distB="0" distL="0" distR="0" wp14:anchorId="0510F52C" wp14:editId="3A25E29E">
                        <wp:extent cx="2304415" cy="2304415"/>
                        <wp:effectExtent l="0" t="0" r="635" b="635"/>
                        <wp:docPr id="37" name="Picture 37" descr="This chart shows the monthly underemployment rate from June 2010 to June 2020. This chart shows that over the period underemployment generally ranged between 6.7 to 9 per cent, until April 2020 when it increased to above 13.8 per cent and has remained above 13 per cent si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4415" cy="2304415"/>
                                </a:xfrm>
                                <a:prstGeom prst="rect">
                                  <a:avLst/>
                                </a:prstGeom>
                                <a:noFill/>
                              </pic:spPr>
                            </pic:pic>
                          </a:graphicData>
                        </a:graphic>
                      </wp:inline>
                    </w:drawing>
                  </w:r>
                </w:p>
              </w:tc>
              <w:tc>
                <w:tcPr>
                  <w:tcW w:w="2499" w:type="pct"/>
                </w:tcPr>
                <w:p w14:paraId="70AAC3A5" w14:textId="75376269" w:rsidR="00D11280" w:rsidRPr="00FD48A9" w:rsidRDefault="003A655E" w:rsidP="00D11280">
                  <w:pPr>
                    <w:pStyle w:val="ChartGraphic"/>
                  </w:pPr>
                  <w:r>
                    <w:rPr>
                      <w:noProof/>
                    </w:rPr>
                    <w:drawing>
                      <wp:inline distT="0" distB="0" distL="0" distR="0" wp14:anchorId="0D837B64" wp14:editId="69AD2938">
                        <wp:extent cx="2304415" cy="2304415"/>
                        <wp:effectExtent l="0" t="0" r="635" b="635"/>
                        <wp:docPr id="39" name="Picture 39" descr="This chart shows average weekly hours worked from June 2010 to June 2020. Average weekly hours declined from around 32.5 hours per week in June 2010 to around 31.7 hours per week in March 2020. Average weekly hours worked then dropped sharply in April to 30.4 hours per week before recovering slightly to 31.1 hours in 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4415" cy="2304415"/>
                                </a:xfrm>
                                <a:prstGeom prst="rect">
                                  <a:avLst/>
                                </a:prstGeom>
                                <a:noFill/>
                              </pic:spPr>
                            </pic:pic>
                          </a:graphicData>
                        </a:graphic>
                      </wp:inline>
                    </w:drawing>
                  </w:r>
                </w:p>
              </w:tc>
            </w:tr>
            <w:tr w:rsidR="002A0899" w:rsidRPr="00FD48A9" w14:paraId="25F3050E" w14:textId="77777777" w:rsidTr="00D11280">
              <w:trPr>
                <w:cantSplit/>
                <w:trHeight w:val="260"/>
              </w:trPr>
              <w:tc>
                <w:tcPr>
                  <w:tcW w:w="2501" w:type="pct"/>
                </w:tcPr>
                <w:p w14:paraId="13BFBF03" w14:textId="3FDC7222" w:rsidR="002A0899" w:rsidRPr="00CC144B" w:rsidRDefault="002A0899" w:rsidP="00CC144B">
                  <w:pPr>
                    <w:pStyle w:val="Source"/>
                  </w:pPr>
                  <w:r w:rsidRPr="00FD48A9">
                    <w:t xml:space="preserve">Source: ABS cat. </w:t>
                  </w:r>
                  <w:proofErr w:type="gramStart"/>
                  <w:r w:rsidRPr="00FD48A9">
                    <w:t>no</w:t>
                  </w:r>
                  <w:proofErr w:type="gramEnd"/>
                  <w:r w:rsidRPr="00FD48A9">
                    <w:t>. 6202.0</w:t>
                  </w:r>
                  <w:r w:rsidR="006C0B93" w:rsidRPr="00FD48A9">
                    <w:t>.</w:t>
                  </w:r>
                </w:p>
              </w:tc>
              <w:tc>
                <w:tcPr>
                  <w:tcW w:w="2499" w:type="pct"/>
                </w:tcPr>
                <w:p w14:paraId="75179D1B" w14:textId="6ECD33A9" w:rsidR="002A0899" w:rsidRPr="00CC144B" w:rsidRDefault="002A0899" w:rsidP="00CC144B">
                  <w:pPr>
                    <w:pStyle w:val="Source"/>
                  </w:pPr>
                  <w:r w:rsidRPr="00FD48A9">
                    <w:t xml:space="preserve">Source: ABS cat. </w:t>
                  </w:r>
                  <w:proofErr w:type="gramStart"/>
                  <w:r w:rsidRPr="00FD48A9">
                    <w:t>no</w:t>
                  </w:r>
                  <w:proofErr w:type="gramEnd"/>
                  <w:r w:rsidRPr="00FD48A9">
                    <w:t>. 6202.0</w:t>
                  </w:r>
                  <w:r w:rsidR="006C0B93" w:rsidRPr="00FD48A9">
                    <w:t>.</w:t>
                  </w:r>
                </w:p>
              </w:tc>
            </w:tr>
          </w:tbl>
          <w:p w14:paraId="1963627D" w14:textId="6BD33609" w:rsidR="002A0899" w:rsidRPr="00FD48A9" w:rsidRDefault="002A0899" w:rsidP="00CC144B">
            <w:pPr>
              <w:pStyle w:val="BoxText"/>
              <w:spacing w:before="0"/>
            </w:pPr>
            <w:r w:rsidRPr="00FD48A9">
              <w:t>In April, the number of unemployed increased by 126,000, but 482,000 people left the labour force. In addition, the number of people working zero hours for e</w:t>
            </w:r>
            <w:r w:rsidR="003C7D33" w:rsidRPr="00FD48A9">
              <w:t>conomic reasons increased by around 700</w:t>
            </w:r>
            <w:r w:rsidR="00B04E5F" w:rsidRPr="00FD48A9">
              <w:t xml:space="preserve">,000. As a result, the </w:t>
            </w:r>
            <w:r w:rsidR="00C77479">
              <w:t>‘</w:t>
            </w:r>
            <w:r w:rsidRPr="00FD48A9">
              <w:t>effective</w:t>
            </w:r>
            <w:r w:rsidR="00C77479">
              <w:t>’</w:t>
            </w:r>
            <w:r w:rsidRPr="00FD48A9">
              <w:t xml:space="preserve"> unemployment rate was close to 15 per cent in </w:t>
            </w:r>
            <w:r w:rsidR="00191B8B">
              <w:t>April</w:t>
            </w:r>
            <w:r w:rsidRPr="00FD48A9">
              <w:t>. Total hours worked fell by 9.5 per cent in the month</w:t>
            </w:r>
            <w:r w:rsidR="00CA125F">
              <w:t xml:space="preserve"> — </w:t>
            </w:r>
            <w:r w:rsidRPr="00FD48A9">
              <w:t>much more than the fall in employment. Average weekly hours worked fell by 5.</w:t>
            </w:r>
            <w:r w:rsidR="00AE45A6" w:rsidRPr="00FD48A9">
              <w:t>1 </w:t>
            </w:r>
            <w:r w:rsidRPr="00FD48A9">
              <w:t xml:space="preserve">per cent, with the fall partly moderated by the fact that employment was hardest hit in industries where people typically work fewer hours on average. </w:t>
            </w:r>
          </w:p>
        </w:tc>
      </w:tr>
    </w:tbl>
    <w:p w14:paraId="7B8B56E3" w14:textId="72CDF596" w:rsidR="002A0899" w:rsidRPr="00FD48A9" w:rsidRDefault="002A0899" w:rsidP="00D131AE"/>
    <w:p w14:paraId="541B5F53" w14:textId="1406C4F2" w:rsidR="002A0899" w:rsidRPr="00FD48A9" w:rsidRDefault="002A0899" w:rsidP="00D131AE"/>
    <w:tbl>
      <w:tblPr>
        <w:tblW w:w="5000" w:type="pct"/>
        <w:shd w:val="clear" w:color="auto" w:fill="EBEBEB"/>
        <w:tblLook w:val="0000" w:firstRow="0" w:lastRow="0" w:firstColumn="0" w:lastColumn="0" w:noHBand="0" w:noVBand="0"/>
      </w:tblPr>
      <w:tblGrid>
        <w:gridCol w:w="7710"/>
      </w:tblGrid>
      <w:tr w:rsidR="00D131AE" w:rsidRPr="00FD48A9" w14:paraId="7DA8D95C" w14:textId="77777777" w:rsidTr="00D11280">
        <w:trPr>
          <w:cantSplit/>
        </w:trPr>
        <w:tc>
          <w:tcPr>
            <w:tcW w:w="7710" w:type="dxa"/>
            <w:shd w:val="clear" w:color="auto" w:fill="EBEBEB"/>
          </w:tcPr>
          <w:p w14:paraId="19953BA9" w14:textId="5D34CE89" w:rsidR="00D131AE" w:rsidRPr="00FD48A9" w:rsidRDefault="00AC0C4E" w:rsidP="002A0899">
            <w:pPr>
              <w:pStyle w:val="BoxHeading"/>
            </w:pPr>
            <w:r w:rsidRPr="00FD48A9">
              <w:lastRenderedPageBreak/>
              <w:t xml:space="preserve">Box </w:t>
            </w:r>
            <w:r w:rsidR="00F10DF0" w:rsidRPr="00FD48A9">
              <w:t>2.</w:t>
            </w:r>
            <w:r w:rsidRPr="00FD48A9">
              <w:t>3</w:t>
            </w:r>
            <w:r w:rsidR="00D131AE" w:rsidRPr="00FD48A9">
              <w:t>: Assessing spare capacity in the labour market</w:t>
            </w:r>
            <w:r w:rsidR="002A0899" w:rsidRPr="00FD48A9">
              <w:t xml:space="preserve"> (continued)</w:t>
            </w:r>
          </w:p>
          <w:p w14:paraId="3F86D02E" w14:textId="468B1298" w:rsidR="00D131AE" w:rsidRDefault="00D131AE" w:rsidP="00753590">
            <w:pPr>
              <w:pStyle w:val="ChartHeading"/>
            </w:pPr>
            <w:r w:rsidRPr="00FD48A9">
              <w:t>Chart</w:t>
            </w:r>
            <w:r w:rsidR="00020E7D" w:rsidRPr="00FD48A9">
              <w:t xml:space="preserve"> </w:t>
            </w:r>
            <w:r w:rsidR="00B26BCD" w:rsidRPr="00FD48A9">
              <w:t>2.9</w:t>
            </w:r>
            <w:r w:rsidRPr="00FD48A9">
              <w:t>:</w:t>
            </w:r>
            <w:r w:rsidR="00B52F7D" w:rsidRPr="00FD48A9">
              <w:t xml:space="preserve"> </w:t>
            </w:r>
            <w:r w:rsidRPr="00FD48A9">
              <w:t>The effective unemployment rate</w:t>
            </w:r>
          </w:p>
          <w:p w14:paraId="1BF3D4A6" w14:textId="07FECF82" w:rsidR="00753590" w:rsidRPr="00FD48A9" w:rsidRDefault="003A655E" w:rsidP="003A655E">
            <w:pPr>
              <w:pStyle w:val="ChartGraphic"/>
            </w:pPr>
            <w:r>
              <w:rPr>
                <w:noProof/>
              </w:rPr>
              <w:drawing>
                <wp:inline distT="0" distB="0" distL="0" distR="0" wp14:anchorId="705838CD" wp14:editId="647A7C6F">
                  <wp:extent cx="4664075" cy="2475230"/>
                  <wp:effectExtent l="0" t="0" r="3175" b="1270"/>
                  <wp:docPr id="40" name="Picture 40" descr="This chart shows the monthly unemployment rate from June 2018 to June 2020. This chart also shows the effective unemployment rate declining from around 15 per cent in the month of April, to around 14 per cent in the month May, to be around 11 per cent in the month of June 2020. This chart shows that prior to March 2020 unemployment rate remained around 5 per cent, until April 2020 when it increased dramatically to above 6 per cen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4075" cy="2475230"/>
                          </a:xfrm>
                          <a:prstGeom prst="rect">
                            <a:avLst/>
                          </a:prstGeom>
                          <a:noFill/>
                        </pic:spPr>
                      </pic:pic>
                    </a:graphicData>
                  </a:graphic>
                </wp:inline>
              </w:drawing>
            </w:r>
          </w:p>
          <w:p w14:paraId="6427B2F4" w14:textId="22FF40E6" w:rsidR="00B52F7D" w:rsidRPr="00FD48A9" w:rsidRDefault="00B52F7D" w:rsidP="002A0899">
            <w:pPr>
              <w:pStyle w:val="ChartandTableFootnoteSmall"/>
              <w:rPr>
                <w:rFonts w:cs="Arial"/>
                <w:color w:val="CCD5DD"/>
                <w:sz w:val="18"/>
                <w:szCs w:val="18"/>
              </w:rPr>
            </w:pPr>
            <w:r w:rsidRPr="00FD48A9">
              <w:t xml:space="preserve">Source: ABS cat. </w:t>
            </w:r>
            <w:proofErr w:type="gramStart"/>
            <w:r w:rsidRPr="00FD48A9">
              <w:t>no</w:t>
            </w:r>
            <w:proofErr w:type="gramEnd"/>
            <w:r w:rsidRPr="00FD48A9">
              <w:t>. 6202.0, ABS cat. no. 6291.0.55.001</w:t>
            </w:r>
            <w:r w:rsidR="00C77BC1" w:rsidRPr="00FD48A9">
              <w:t xml:space="preserve"> and</w:t>
            </w:r>
            <w:r w:rsidRPr="00FD48A9">
              <w:t xml:space="preserve"> Treasury</w:t>
            </w:r>
            <w:r w:rsidR="006C0B93" w:rsidRPr="00FD48A9">
              <w:t>.</w:t>
            </w:r>
          </w:p>
          <w:p w14:paraId="466E2750" w14:textId="77777777" w:rsidR="00B52F7D" w:rsidRPr="00FD48A9" w:rsidRDefault="00B52F7D" w:rsidP="002A0899">
            <w:pPr>
              <w:pStyle w:val="SingleParagraph"/>
            </w:pPr>
          </w:p>
          <w:p w14:paraId="6B625C26" w14:textId="70D2B862" w:rsidR="00CD21C4" w:rsidRDefault="001E4378" w:rsidP="00CC144B">
            <w:pPr>
              <w:pStyle w:val="BoxText"/>
              <w:spacing w:before="0"/>
            </w:pPr>
            <w:r w:rsidRPr="00FD48A9">
              <w:t xml:space="preserve">As the labour market recovers, people will return to work in a number of ways, which </w:t>
            </w:r>
            <w:proofErr w:type="gramStart"/>
            <w:r w:rsidRPr="00FD48A9">
              <w:t>may not be reflected</w:t>
            </w:r>
            <w:proofErr w:type="gramEnd"/>
            <w:r w:rsidRPr="00FD48A9">
              <w:t xml:space="preserve"> in the headline data on employment and unemployment</w:t>
            </w:r>
            <w:r w:rsidR="00FB32F1" w:rsidRPr="00FD48A9">
              <w:t xml:space="preserve"> but will reduce the </w:t>
            </w:r>
            <w:r w:rsidR="00C77479">
              <w:t>‘</w:t>
            </w:r>
            <w:r w:rsidR="00FB32F1" w:rsidRPr="00FD48A9">
              <w:t>effective</w:t>
            </w:r>
            <w:r w:rsidR="00C77479">
              <w:t>’</w:t>
            </w:r>
            <w:r w:rsidR="00FB32F1" w:rsidRPr="00FD48A9">
              <w:t xml:space="preserve"> rate of unemployment</w:t>
            </w:r>
            <w:r w:rsidRPr="00FD48A9">
              <w:t xml:space="preserve">. </w:t>
            </w:r>
            <w:r w:rsidR="00A639AB" w:rsidRPr="00FD48A9">
              <w:t xml:space="preserve">This is evident in the data already. </w:t>
            </w:r>
          </w:p>
          <w:p w14:paraId="26822E33" w14:textId="0F6F4529" w:rsidR="002A0899" w:rsidRPr="00FD48A9" w:rsidRDefault="00A639AB" w:rsidP="00896C93">
            <w:pPr>
              <w:pStyle w:val="BoxText"/>
            </w:pPr>
            <w:r w:rsidRPr="00FD48A9">
              <w:t xml:space="preserve">By June, the effective unemployment rate was close to 11 per cent, with </w:t>
            </w:r>
            <w:r w:rsidR="00F24B89" w:rsidRPr="00FD48A9">
              <w:t xml:space="preserve">employment </w:t>
            </w:r>
            <w:r w:rsidR="00191B8B">
              <w:t>higher than in May</w:t>
            </w:r>
            <w:r w:rsidR="00F24B89" w:rsidRPr="00FD48A9">
              <w:t xml:space="preserve">, </w:t>
            </w:r>
            <w:r w:rsidRPr="00FD48A9">
              <w:t>fewer people working zero hours for economic reasons</w:t>
            </w:r>
            <w:r w:rsidR="00F24B89" w:rsidRPr="00FD48A9">
              <w:t xml:space="preserve"> </w:t>
            </w:r>
            <w:r w:rsidRPr="00FD48A9">
              <w:t xml:space="preserve">and </w:t>
            </w:r>
            <w:r w:rsidR="00C65761" w:rsidRPr="00FD48A9">
              <w:t xml:space="preserve">more </w:t>
            </w:r>
            <w:r w:rsidRPr="00FD48A9">
              <w:t>people</w:t>
            </w:r>
            <w:r w:rsidR="00C65761" w:rsidRPr="00FD48A9">
              <w:t xml:space="preserve"> counted as in </w:t>
            </w:r>
            <w:r w:rsidR="007C70AD" w:rsidRPr="00FD48A9">
              <w:t>the</w:t>
            </w:r>
            <w:r w:rsidR="00C65761" w:rsidRPr="00FD48A9">
              <w:t xml:space="preserve"> labour force</w:t>
            </w:r>
            <w:r w:rsidR="00F24B89" w:rsidRPr="00FD48A9">
              <w:t>. Average hours worked has also picked up from its trough in April as people</w:t>
            </w:r>
            <w:r w:rsidR="001E4378" w:rsidRPr="00FD48A9">
              <w:t xml:space="preserve"> </w:t>
            </w:r>
            <w:r w:rsidR="00F24B89" w:rsidRPr="00FD48A9">
              <w:t xml:space="preserve">started to </w:t>
            </w:r>
            <w:r w:rsidR="001E4378" w:rsidRPr="00FD48A9">
              <w:t xml:space="preserve">return to more normal work patterns. </w:t>
            </w:r>
            <w:r w:rsidR="00F24B89" w:rsidRPr="00FD48A9">
              <w:t xml:space="preserve">However, </w:t>
            </w:r>
            <w:r w:rsidR="001E4378" w:rsidRPr="00FD48A9">
              <w:t xml:space="preserve">measured unemployment </w:t>
            </w:r>
            <w:r w:rsidR="00F24B89" w:rsidRPr="00FD48A9">
              <w:t xml:space="preserve">continued to rise in June, as </w:t>
            </w:r>
            <w:r w:rsidR="00202C23" w:rsidRPr="00FD48A9">
              <w:t>more</w:t>
            </w:r>
            <w:r w:rsidR="00F24B89" w:rsidRPr="00FD48A9">
              <w:t xml:space="preserve"> people return</w:t>
            </w:r>
            <w:r w:rsidR="00202C23" w:rsidRPr="00FD48A9">
              <w:t>ed</w:t>
            </w:r>
            <w:r w:rsidR="00F24B89" w:rsidRPr="00FD48A9">
              <w:t xml:space="preserve"> to the labour force </w:t>
            </w:r>
            <w:r w:rsidR="00202C23" w:rsidRPr="00FD48A9">
              <w:t>than were able</w:t>
            </w:r>
            <w:r w:rsidR="00F24B89" w:rsidRPr="00FD48A9">
              <w:t xml:space="preserve"> to find work. </w:t>
            </w:r>
            <w:r w:rsidR="006F5E0C" w:rsidRPr="00FD48A9">
              <w:t>The</w:t>
            </w:r>
            <w:r w:rsidR="00883FCA" w:rsidRPr="00FD48A9">
              <w:t xml:space="preserve"> measured unemployment rate </w:t>
            </w:r>
            <w:proofErr w:type="gramStart"/>
            <w:r w:rsidR="00883FCA" w:rsidRPr="00FD48A9">
              <w:t>is forecast</w:t>
            </w:r>
            <w:proofErr w:type="gramEnd"/>
            <w:r w:rsidR="00883FCA" w:rsidRPr="00FD48A9">
              <w:t xml:space="preserve"> to continue to rise as more people are drawn into the labour force</w:t>
            </w:r>
            <w:r w:rsidR="008F08E7" w:rsidRPr="00FD48A9">
              <w:t>.</w:t>
            </w:r>
            <w:r w:rsidR="002A0899" w:rsidRPr="00FD48A9">
              <w:t xml:space="preserve"> </w:t>
            </w:r>
          </w:p>
          <w:p w14:paraId="753C47CD" w14:textId="0377D064" w:rsidR="00D131AE" w:rsidRPr="00FD48A9" w:rsidRDefault="00D131AE" w:rsidP="00896C93">
            <w:pPr>
              <w:pStyle w:val="BoxText"/>
            </w:pPr>
            <w:r w:rsidRPr="00FD48A9">
              <w:t>The measured unemployment rate is a key uncertainty</w:t>
            </w:r>
            <w:r w:rsidR="00417365" w:rsidRPr="00FD48A9">
              <w:t>. It</w:t>
            </w:r>
            <w:r w:rsidRPr="00FD48A9">
              <w:t xml:space="preserve"> will depend on how employers allocate available hours amongst existing employees versus hiring new workers. If </w:t>
            </w:r>
            <w:r w:rsidR="00417365" w:rsidRPr="00FD48A9">
              <w:t>businesses</w:t>
            </w:r>
            <w:r w:rsidRPr="00FD48A9">
              <w:t xml:space="preserve"> choose to increase hours for existing staff by more than expected, rather than hiring new workers, the unemployment rate could be higher than expected. Similarly, the unemployment rate could be lower if </w:t>
            </w:r>
            <w:r w:rsidR="00417365" w:rsidRPr="00FD48A9">
              <w:t>businesses</w:t>
            </w:r>
            <w:r w:rsidRPr="00FD48A9">
              <w:t xml:space="preserve"> absorb a higher number of new workers at a lower level of average hours than expected.</w:t>
            </w:r>
            <w:r w:rsidR="008A4BF0" w:rsidRPr="00FD48A9">
              <w:t xml:space="preserve"> The degree to which the participation rate rises over the next several quarters is also a key sensitivity around the forecast unemployment rate.</w:t>
            </w:r>
          </w:p>
          <w:p w14:paraId="7B260C0A" w14:textId="09AEFD87" w:rsidR="00D131AE" w:rsidRPr="00FD48A9" w:rsidRDefault="00D131AE" w:rsidP="00AE45A6">
            <w:pPr>
              <w:pStyle w:val="BoxText"/>
            </w:pPr>
            <w:r w:rsidRPr="00FD48A9">
              <w:t>Sensitivity analysis suggests that the measured unemployment rate could be between 7 per cent and 1</w:t>
            </w:r>
            <w:r w:rsidR="00A74A81" w:rsidRPr="00FD48A9">
              <w:t>0¾</w:t>
            </w:r>
            <w:r w:rsidRPr="00FD48A9">
              <w:t xml:space="preserve"> per cent by the December quarter, depending on how available hours </w:t>
            </w:r>
            <w:proofErr w:type="gramStart"/>
            <w:r w:rsidRPr="00FD48A9">
              <w:t>are split</w:t>
            </w:r>
            <w:proofErr w:type="gramEnd"/>
            <w:r w:rsidRPr="00FD48A9">
              <w:t xml:space="preserve"> between existing and new employees</w:t>
            </w:r>
            <w:r w:rsidR="00BA2B60" w:rsidRPr="00FD48A9">
              <w:t xml:space="preserve"> or the degree to which the participation rate recovers towards pre</w:t>
            </w:r>
            <w:r w:rsidR="00C77479">
              <w:noBreakHyphen/>
            </w:r>
            <w:r w:rsidR="00BA2B60" w:rsidRPr="00FD48A9">
              <w:t>crisis levels</w:t>
            </w:r>
            <w:r w:rsidRPr="00FD48A9">
              <w:t>.</w:t>
            </w:r>
          </w:p>
        </w:tc>
      </w:tr>
    </w:tbl>
    <w:p w14:paraId="45A6EBFB" w14:textId="77777777" w:rsidR="00CD21C4" w:rsidRDefault="00CD21C4" w:rsidP="00D131AE"/>
    <w:p w14:paraId="25523F53" w14:textId="095CBC0D" w:rsidR="00D131AE" w:rsidRPr="00FD48A9" w:rsidRDefault="000E2012" w:rsidP="00D131AE">
      <w:r w:rsidRPr="00FD48A9">
        <w:lastRenderedPageBreak/>
        <w:fldChar w:fldCharType="begin"/>
      </w:r>
      <w:r w:rsidRPr="00FD48A9">
        <w:instrText xml:space="preserve"> :End:MECD_TP3 </w:instrText>
      </w:r>
      <w:r w:rsidRPr="00FD48A9">
        <w:fldChar w:fldCharType="end"/>
      </w:r>
      <w:r w:rsidRPr="00FD48A9">
        <w:fldChar w:fldCharType="begin"/>
      </w:r>
      <w:r w:rsidRPr="00FD48A9">
        <w:instrText xml:space="preserve"> :Start:MECD_TP3 </w:instrText>
      </w:r>
      <w:r w:rsidRPr="00FD48A9">
        <w:fldChar w:fldCharType="end"/>
      </w:r>
      <w:r w:rsidR="00D131AE" w:rsidRPr="00FD48A9">
        <w:t xml:space="preserve">The sharp deterioration in labour market conditions and associated increase in spare capacity will put downward pressure on </w:t>
      </w:r>
      <w:r w:rsidR="00D131AE" w:rsidRPr="00FD48A9">
        <w:rPr>
          <w:b/>
        </w:rPr>
        <w:t>wage and price growth</w:t>
      </w:r>
      <w:r w:rsidR="00D131AE" w:rsidRPr="00FD48A9">
        <w:t xml:space="preserve"> for some time. The Wage Price Index </w:t>
      </w:r>
      <w:proofErr w:type="gramStart"/>
      <w:r w:rsidR="00D131AE" w:rsidRPr="00FD48A9">
        <w:t>is forecast</w:t>
      </w:r>
      <w:proofErr w:type="gramEnd"/>
      <w:r w:rsidR="00D131AE" w:rsidRPr="00FD48A9">
        <w:t xml:space="preserve"> to increase by </w:t>
      </w:r>
      <w:r w:rsidR="000D7683" w:rsidRPr="00FD48A9">
        <w:t>1¼</w:t>
      </w:r>
      <w:r w:rsidR="00D131AE" w:rsidRPr="00FD48A9">
        <w:t xml:space="preserve"> per cent through the year to the June</w:t>
      </w:r>
      <w:r w:rsidR="00B04E5F" w:rsidRPr="00FD48A9">
        <w:t> </w:t>
      </w:r>
      <w:r w:rsidR="00D131AE" w:rsidRPr="00FD48A9">
        <w:t>quarter 2021.</w:t>
      </w:r>
    </w:p>
    <w:p w14:paraId="5F5413BD" w14:textId="7E4569C0" w:rsidR="00D131AE" w:rsidRPr="00FD48A9" w:rsidRDefault="00D131AE" w:rsidP="00D131AE">
      <w:r w:rsidRPr="00FD48A9">
        <w:t>The sharp fall in petrol prices, following a fall in global oil prices, and the Government</w:t>
      </w:r>
      <w:r w:rsidR="00C77479">
        <w:t>’</w:t>
      </w:r>
      <w:r w:rsidRPr="00FD48A9">
        <w:t xml:space="preserve">s changes to make childcare free during the </w:t>
      </w:r>
      <w:r w:rsidR="00191B8B">
        <w:t xml:space="preserve">early stages of the </w:t>
      </w:r>
      <w:r w:rsidR="00E9480C">
        <w:t>COVID</w:t>
      </w:r>
      <w:r w:rsidR="00C77479">
        <w:noBreakHyphen/>
      </w:r>
      <w:r w:rsidR="00E9480C">
        <w:t xml:space="preserve">19 </w:t>
      </w:r>
      <w:r w:rsidR="00191B8B">
        <w:t>pandemic</w:t>
      </w:r>
      <w:r w:rsidRPr="00FD48A9">
        <w:t xml:space="preserve"> will result in a significant fall in consumer price growth in the June quarter 2020. Consumer price inflation </w:t>
      </w:r>
      <w:proofErr w:type="gramStart"/>
      <w:r w:rsidRPr="00FD48A9">
        <w:t>is forecast</w:t>
      </w:r>
      <w:proofErr w:type="gramEnd"/>
      <w:r w:rsidRPr="00FD48A9">
        <w:t xml:space="preserve"> to increase to </w:t>
      </w:r>
      <w:r w:rsidR="000D7683" w:rsidRPr="00FD48A9">
        <w:t xml:space="preserve">1¼ </w:t>
      </w:r>
      <w:r w:rsidRPr="00FD48A9">
        <w:t>per cent through the year to the June quarter 2021,</w:t>
      </w:r>
      <w:r w:rsidR="0087349A" w:rsidRPr="00FD48A9">
        <w:t xml:space="preserve"> </w:t>
      </w:r>
      <w:r w:rsidR="000D7683" w:rsidRPr="00FD48A9">
        <w:t>with</w:t>
      </w:r>
      <w:r w:rsidR="0087349A" w:rsidRPr="00FD48A9">
        <w:t xml:space="preserve"> the </w:t>
      </w:r>
      <w:r w:rsidR="00191B8B">
        <w:t>re</w:t>
      </w:r>
      <w:r w:rsidR="00C77479">
        <w:noBreakHyphen/>
      </w:r>
      <w:r w:rsidR="00191B8B">
        <w:t>establishment</w:t>
      </w:r>
      <w:r w:rsidR="0087349A" w:rsidRPr="00FD48A9">
        <w:t xml:space="preserve"> of</w:t>
      </w:r>
      <w:r w:rsidR="00191B8B">
        <w:t xml:space="preserve"> the Child C</w:t>
      </w:r>
      <w:r w:rsidRPr="00FD48A9">
        <w:t xml:space="preserve">are </w:t>
      </w:r>
      <w:r w:rsidR="00191B8B">
        <w:t>S</w:t>
      </w:r>
      <w:r w:rsidR="0087349A" w:rsidRPr="00FD48A9">
        <w:t>ubsidy</w:t>
      </w:r>
      <w:r w:rsidR="000D7683" w:rsidRPr="00FD48A9">
        <w:t xml:space="preserve"> </w:t>
      </w:r>
      <w:r w:rsidR="00191B8B">
        <w:t>arrangements</w:t>
      </w:r>
      <w:r w:rsidRPr="00FD48A9">
        <w:t xml:space="preserve">. </w:t>
      </w:r>
      <w:r w:rsidR="00CE3D17" w:rsidRPr="00FD48A9">
        <w:t>I</w:t>
      </w:r>
      <w:r w:rsidRPr="00FD48A9">
        <w:t xml:space="preserve">nflation </w:t>
      </w:r>
      <w:proofErr w:type="gramStart"/>
      <w:r w:rsidRPr="00FD48A9">
        <w:t>is expected</w:t>
      </w:r>
      <w:proofErr w:type="gramEnd"/>
      <w:r w:rsidRPr="00FD48A9">
        <w:t xml:space="preserve"> to remain subdued across the forecast period, consistent with reduced pressures from wage growth and weaker inflation expectations.</w:t>
      </w:r>
    </w:p>
    <w:p w14:paraId="37862987" w14:textId="64439A9E" w:rsidR="00D131AE" w:rsidRPr="00FD48A9" w:rsidRDefault="000E2012" w:rsidP="00D131AE">
      <w:r w:rsidRPr="00FD48A9">
        <w:rPr>
          <w:b/>
        </w:rPr>
        <w:fldChar w:fldCharType="begin"/>
      </w:r>
      <w:r w:rsidRPr="00FD48A9">
        <w:rPr>
          <w:b/>
        </w:rPr>
        <w:instrText xml:space="preserve"> :End:MECD_TP3 </w:instrText>
      </w:r>
      <w:r w:rsidRPr="00FD48A9">
        <w:rPr>
          <w:b/>
        </w:rPr>
        <w:fldChar w:fldCharType="end"/>
      </w:r>
      <w:r w:rsidRPr="00FD48A9">
        <w:rPr>
          <w:b/>
        </w:rPr>
        <w:fldChar w:fldCharType="begin"/>
      </w:r>
      <w:r w:rsidRPr="00FD48A9">
        <w:rPr>
          <w:b/>
        </w:rPr>
        <w:instrText xml:space="preserve"> :Start:MECD_TP3 </w:instrText>
      </w:r>
      <w:r w:rsidRPr="00FD48A9">
        <w:rPr>
          <w:b/>
        </w:rPr>
        <w:fldChar w:fldCharType="end"/>
      </w:r>
      <w:r w:rsidR="00D131AE" w:rsidRPr="00FD48A9">
        <w:rPr>
          <w:b/>
        </w:rPr>
        <w:t>Household consumption</w:t>
      </w:r>
      <w:r w:rsidR="00D131AE" w:rsidRPr="00FD48A9">
        <w:t xml:space="preserve"> is forecast to fall by </w:t>
      </w:r>
      <w:r w:rsidR="000D7683" w:rsidRPr="00FD48A9">
        <w:t xml:space="preserve">1¼ </w:t>
      </w:r>
      <w:r w:rsidR="00D131AE" w:rsidRPr="00FD48A9">
        <w:t>per cent in 2020</w:t>
      </w:r>
      <w:r w:rsidR="00C77479">
        <w:noBreakHyphen/>
      </w:r>
      <w:r w:rsidR="00D131AE" w:rsidRPr="00FD48A9">
        <w:t xml:space="preserve">21, reflecting the impacts of containment measures with significant declines in </w:t>
      </w:r>
      <w:r w:rsidR="009957EC" w:rsidRPr="00FD48A9">
        <w:t xml:space="preserve">the </w:t>
      </w:r>
      <w:r w:rsidR="00D131AE" w:rsidRPr="00FD48A9">
        <w:t>income</w:t>
      </w:r>
      <w:r w:rsidR="009957EC" w:rsidRPr="00FD48A9">
        <w:t xml:space="preserve"> households receive from working</w:t>
      </w:r>
      <w:r w:rsidR="00D131AE" w:rsidRPr="00FD48A9">
        <w:t xml:space="preserve">, </w:t>
      </w:r>
      <w:r w:rsidR="00C65761" w:rsidRPr="00FD48A9">
        <w:t xml:space="preserve">declines in </w:t>
      </w:r>
      <w:r w:rsidR="00D131AE" w:rsidRPr="00FD48A9">
        <w:t>wealth</w:t>
      </w:r>
      <w:r w:rsidR="00247A53" w:rsidRPr="00FD48A9">
        <w:t xml:space="preserve"> and</w:t>
      </w:r>
      <w:r w:rsidR="00D131AE" w:rsidRPr="00FD48A9">
        <w:t xml:space="preserve"> consumer confidence</w:t>
      </w:r>
      <w:r w:rsidR="00247A53" w:rsidRPr="00FD48A9">
        <w:t>,</w:t>
      </w:r>
      <w:r w:rsidR="00420C19" w:rsidRPr="00FD48A9">
        <w:t xml:space="preserve"> and </w:t>
      </w:r>
      <w:r w:rsidR="00BE7FC8" w:rsidRPr="00FD48A9">
        <w:t>fewer</w:t>
      </w:r>
      <w:r w:rsidR="00E57012" w:rsidRPr="00FD48A9">
        <w:t xml:space="preserve"> opportunities </w:t>
      </w:r>
      <w:r w:rsidR="00420C19" w:rsidRPr="00FD48A9">
        <w:t xml:space="preserve">to spend </w:t>
      </w:r>
      <w:proofErr w:type="gramStart"/>
      <w:r w:rsidR="00420C19" w:rsidRPr="00FD48A9">
        <w:t>as a result</w:t>
      </w:r>
      <w:proofErr w:type="gramEnd"/>
      <w:r w:rsidR="00420C19" w:rsidRPr="00FD48A9">
        <w:t xml:space="preserve"> of</w:t>
      </w:r>
      <w:r w:rsidR="00D131AE" w:rsidRPr="00FD48A9">
        <w:t xml:space="preserve"> the pandemic. Broad</w:t>
      </w:r>
      <w:r w:rsidR="00C77479">
        <w:noBreakHyphen/>
      </w:r>
      <w:r w:rsidR="00D131AE" w:rsidRPr="00FD48A9">
        <w:t xml:space="preserve">based weakness </w:t>
      </w:r>
      <w:proofErr w:type="gramStart"/>
      <w:r w:rsidR="00D131AE" w:rsidRPr="00FD48A9">
        <w:t>is expected</w:t>
      </w:r>
      <w:proofErr w:type="gramEnd"/>
      <w:r w:rsidR="00D131AE" w:rsidRPr="00FD48A9">
        <w:t xml:space="preserve"> across most consumption categories</w:t>
      </w:r>
      <w:r w:rsidR="00C65B81" w:rsidRPr="00FD48A9">
        <w:t xml:space="preserve">, with a fall of </w:t>
      </w:r>
      <w:r w:rsidR="009957EC" w:rsidRPr="00FD48A9">
        <w:t xml:space="preserve">11½ </w:t>
      </w:r>
      <w:r w:rsidR="00C65B81" w:rsidRPr="00FD48A9">
        <w:t xml:space="preserve">per cent </w:t>
      </w:r>
      <w:r w:rsidR="00BE7FC8" w:rsidRPr="00FD48A9">
        <w:t xml:space="preserve">forecast </w:t>
      </w:r>
      <w:r w:rsidR="00C65B81" w:rsidRPr="00FD48A9">
        <w:t>in the June quarter</w:t>
      </w:r>
      <w:r w:rsidR="00D131AE" w:rsidRPr="00FD48A9">
        <w:t>. Consumption of services</w:t>
      </w:r>
      <w:r w:rsidR="00AE264F" w:rsidRPr="00FD48A9">
        <w:t>, which in recent years has driven growth in total household consumption,</w:t>
      </w:r>
      <w:r w:rsidR="00D131AE" w:rsidRPr="00FD48A9">
        <w:t xml:space="preserve"> </w:t>
      </w:r>
      <w:proofErr w:type="gramStart"/>
      <w:r w:rsidR="00D131AE" w:rsidRPr="00FD48A9">
        <w:t>is expected</w:t>
      </w:r>
      <w:proofErr w:type="gramEnd"/>
      <w:r w:rsidR="00D131AE" w:rsidRPr="00FD48A9">
        <w:t xml:space="preserve"> to </w:t>
      </w:r>
      <w:r w:rsidR="001252BE" w:rsidRPr="00FD48A9">
        <w:t>be</w:t>
      </w:r>
      <w:r w:rsidR="00D131AE" w:rsidRPr="00FD48A9">
        <w:t xml:space="preserve"> particularly weak</w:t>
      </w:r>
      <w:r w:rsidR="00AE45A6" w:rsidRPr="00FD48A9">
        <w:t xml:space="preserve"> (Chart 2.10)</w:t>
      </w:r>
      <w:r w:rsidR="00AE264F" w:rsidRPr="00FD48A9">
        <w:t xml:space="preserve">. This reflects </w:t>
      </w:r>
      <w:r w:rsidR="00D131AE" w:rsidRPr="00FD48A9">
        <w:t xml:space="preserve">the effect of restrictions on spending </w:t>
      </w:r>
      <w:r w:rsidR="00420C19" w:rsidRPr="00FD48A9">
        <w:t xml:space="preserve">including </w:t>
      </w:r>
      <w:r w:rsidR="00D131AE" w:rsidRPr="00FD48A9">
        <w:t xml:space="preserve">on air transport, hotels, cafes and restaurants, as well as on healthcare due to the cancellation of elective surgeries and fewer visits to medical practitioners in the wake of the pandemic. </w:t>
      </w:r>
    </w:p>
    <w:p w14:paraId="30F40127" w14:textId="6EFF1EBB" w:rsidR="00D131AE" w:rsidRPr="00FD48A9" w:rsidRDefault="000E2012" w:rsidP="00D131AE">
      <w:r w:rsidRPr="00FD48A9">
        <w:fldChar w:fldCharType="begin"/>
      </w:r>
      <w:r w:rsidRPr="00FD48A9">
        <w:instrText xml:space="preserve"> :End:MECD_TP3 </w:instrText>
      </w:r>
      <w:r w:rsidRPr="00FD48A9">
        <w:fldChar w:fldCharType="end"/>
      </w:r>
      <w:r w:rsidRPr="00FD48A9">
        <w:fldChar w:fldCharType="begin"/>
      </w:r>
      <w:r w:rsidRPr="00FD48A9">
        <w:instrText xml:space="preserve"> :Start:MECD_TP3 </w:instrText>
      </w:r>
      <w:r w:rsidRPr="00FD48A9">
        <w:fldChar w:fldCharType="end"/>
      </w:r>
      <w:r w:rsidR="00C65B81" w:rsidRPr="00FD48A9">
        <w:t>C</w:t>
      </w:r>
      <w:r w:rsidR="00D131AE" w:rsidRPr="00FD48A9">
        <w:t xml:space="preserve">onsumption growth </w:t>
      </w:r>
      <w:proofErr w:type="gramStart"/>
      <w:r w:rsidR="00D131AE" w:rsidRPr="00FD48A9">
        <w:t>is expected</w:t>
      </w:r>
      <w:proofErr w:type="gramEnd"/>
      <w:r w:rsidR="00D131AE" w:rsidRPr="00FD48A9">
        <w:t xml:space="preserve"> to pick up strongly in the September quarter on the assumption that health restrictions </w:t>
      </w:r>
      <w:r w:rsidR="00B450F4" w:rsidRPr="00FD48A9">
        <w:t xml:space="preserve">broadly </w:t>
      </w:r>
      <w:r w:rsidR="00D131AE" w:rsidRPr="00FD48A9">
        <w:t>continue to ease</w:t>
      </w:r>
      <w:r w:rsidR="00EB5569" w:rsidRPr="00FD48A9">
        <w:t xml:space="preserve"> </w:t>
      </w:r>
      <w:r w:rsidR="00DB56E0" w:rsidRPr="00FD48A9">
        <w:t>in all states except</w:t>
      </w:r>
      <w:r w:rsidR="00EB5569" w:rsidRPr="00FD48A9">
        <w:t xml:space="preserve"> Victoria</w:t>
      </w:r>
      <w:r w:rsidR="00D131AE" w:rsidRPr="00FD48A9">
        <w:t>, accompanied by a</w:t>
      </w:r>
      <w:r w:rsidR="001252BE" w:rsidRPr="00FD48A9">
        <w:t>n improvement</w:t>
      </w:r>
      <w:r w:rsidR="00D131AE" w:rsidRPr="00FD48A9">
        <w:t xml:space="preserve"> in both labour </w:t>
      </w:r>
      <w:r w:rsidR="0087349A" w:rsidRPr="00FD48A9">
        <w:t xml:space="preserve">demand </w:t>
      </w:r>
      <w:r w:rsidR="00D131AE" w:rsidRPr="00FD48A9">
        <w:t xml:space="preserve">and confidence. The recovery </w:t>
      </w:r>
      <w:proofErr w:type="gramStart"/>
      <w:r w:rsidR="00D131AE" w:rsidRPr="00FD48A9">
        <w:t>is expected to be broadly based</w:t>
      </w:r>
      <w:proofErr w:type="gramEnd"/>
      <w:r w:rsidR="00D131AE" w:rsidRPr="00FD48A9">
        <w:t xml:space="preserve"> across components, albeit with restrictions still affecting sectors such as arts, entertainment and recreation</w:t>
      </w:r>
      <w:r w:rsidR="001252BE" w:rsidRPr="00FD48A9">
        <w:t xml:space="preserve"> nationally, and </w:t>
      </w:r>
      <w:r w:rsidR="00A413CA" w:rsidRPr="00FD48A9">
        <w:t xml:space="preserve">additional sectors such as hospitality </w:t>
      </w:r>
      <w:r w:rsidR="001252BE" w:rsidRPr="00FD48A9">
        <w:t xml:space="preserve">in </w:t>
      </w:r>
      <w:r w:rsidR="00B450F4" w:rsidRPr="00FD48A9">
        <w:t>regions with tighter restrictions</w:t>
      </w:r>
      <w:r w:rsidR="00D131AE" w:rsidRPr="00FD48A9">
        <w:t xml:space="preserve">. Spending on travel should also improve as interstate border restrictions </w:t>
      </w:r>
      <w:proofErr w:type="gramStart"/>
      <w:r w:rsidR="00D131AE" w:rsidRPr="00FD48A9">
        <w:t xml:space="preserve">are </w:t>
      </w:r>
      <w:r w:rsidR="00FB78C9">
        <w:t>expected</w:t>
      </w:r>
      <w:proofErr w:type="gramEnd"/>
      <w:r w:rsidR="00FB78C9">
        <w:t xml:space="preserve"> to be </w:t>
      </w:r>
      <w:r w:rsidR="00D131AE" w:rsidRPr="00FD48A9">
        <w:t xml:space="preserve">gradually relaxed, although international travel </w:t>
      </w:r>
      <w:r w:rsidR="00FB78C9">
        <w:t>will</w:t>
      </w:r>
      <w:r w:rsidR="00D131AE" w:rsidRPr="00FD48A9">
        <w:t xml:space="preserve"> remain subdued for some time. </w:t>
      </w:r>
      <w:r w:rsidR="0089354B" w:rsidRPr="00FD48A9">
        <w:t>P</w:t>
      </w:r>
      <w:r w:rsidR="00D131AE" w:rsidRPr="00FD48A9">
        <w:t>otential shifts in consumer behaviour in the aftermath of the pandemic may see longer</w:t>
      </w:r>
      <w:r w:rsidR="00C77479">
        <w:noBreakHyphen/>
      </w:r>
      <w:r w:rsidR="00D131AE" w:rsidRPr="00FD48A9">
        <w:t xml:space="preserve">term structural changes in household consumption. </w:t>
      </w:r>
    </w:p>
    <w:p w14:paraId="1BDCF83B" w14:textId="1D73663B" w:rsidR="00D131AE" w:rsidRPr="00FD48A9" w:rsidRDefault="000E2012" w:rsidP="00D131AE">
      <w:pPr>
        <w:rPr>
          <w:rFonts w:ascii="Times New Roman" w:hAnsi="Times New Roman"/>
          <w:b/>
        </w:rPr>
      </w:pPr>
      <w:r w:rsidRPr="00FD48A9">
        <w:rPr>
          <w:rFonts w:ascii="Times New Roman" w:hAnsi="Times New Roman"/>
          <w:b/>
        </w:rPr>
        <w:fldChar w:fldCharType="begin"/>
      </w:r>
      <w:r w:rsidRPr="00FD48A9">
        <w:rPr>
          <w:rFonts w:ascii="Times New Roman" w:hAnsi="Times New Roman"/>
          <w:b/>
        </w:rPr>
        <w:instrText xml:space="preserve"> :End:MECD_TP3 </w:instrText>
      </w:r>
      <w:r w:rsidRPr="00FD48A9">
        <w:rPr>
          <w:rFonts w:ascii="Times New Roman" w:hAnsi="Times New Roman"/>
          <w:b/>
        </w:rPr>
        <w:fldChar w:fldCharType="end"/>
      </w:r>
    </w:p>
    <w:p w14:paraId="072BB8B8" w14:textId="41B4758F" w:rsidR="00D131AE" w:rsidRDefault="000E2012" w:rsidP="00D131AE">
      <w:pPr>
        <w:pStyle w:val="ChartHeading"/>
      </w:pPr>
      <w:r w:rsidRPr="00FD48A9">
        <w:lastRenderedPageBreak/>
        <w:fldChar w:fldCharType="begin"/>
      </w:r>
      <w:r w:rsidRPr="00FD48A9">
        <w:instrText xml:space="preserve"> :Start:MECD_TP3 </w:instrText>
      </w:r>
      <w:r w:rsidRPr="00FD48A9">
        <w:fldChar w:fldCharType="end"/>
      </w:r>
      <w:r w:rsidR="00D131AE" w:rsidRPr="00FD48A9">
        <w:t xml:space="preserve">Chart </w:t>
      </w:r>
      <w:r w:rsidR="00F10DF0" w:rsidRPr="00FD48A9">
        <w:t>2.</w:t>
      </w:r>
      <w:r w:rsidR="00B26BCD" w:rsidRPr="00FD48A9">
        <w:t>10</w:t>
      </w:r>
      <w:r w:rsidR="00D131AE" w:rsidRPr="00FD48A9">
        <w:t xml:space="preserve">: </w:t>
      </w:r>
      <w:r w:rsidR="009957EC" w:rsidRPr="00FD48A9">
        <w:t>Goods and services contributions to household consumption</w:t>
      </w:r>
      <w:r w:rsidR="00FB78C9">
        <w:t xml:space="preserve"> growth</w:t>
      </w:r>
    </w:p>
    <w:p w14:paraId="00A055F5" w14:textId="39046C26" w:rsidR="007B4E5E" w:rsidRPr="00D11280" w:rsidRDefault="003A655E" w:rsidP="003A655E">
      <w:pPr>
        <w:pStyle w:val="ChartGraphic"/>
      </w:pPr>
      <w:r>
        <w:rPr>
          <w:noProof/>
        </w:rPr>
        <w:drawing>
          <wp:inline distT="0" distB="0" distL="0" distR="0" wp14:anchorId="7B5361EC" wp14:editId="6C4F67E8">
            <wp:extent cx="4681855" cy="2517775"/>
            <wp:effectExtent l="0" t="0" r="0" b="0"/>
            <wp:docPr id="41" name="Picture 41" descr="&quot;The chart shows stacked columns for each year from 2006-07 to 2018-19. Part of the column shows the percentage point contribution to growth in household consumption of spending on services, and the other part shows the contribution from spending on goods. Both components of the column are positive in every year except 2008-09, when goods spending shows a negative contribution to growth. The chart shows that the services contribution to growth has been larger than the goods contribution to growth since 2014-15. The chart also has columns showing the Treasury forecasts for annual growth in total household consumption in 2019-20 and 2020-21, which are -2 1/2 per cent and -1 1/4 per cent respectively. These are the only negative outcomes for total consumption growth in the chart hist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1855" cy="2517775"/>
                    </a:xfrm>
                    <a:prstGeom prst="rect">
                      <a:avLst/>
                    </a:prstGeom>
                    <a:noFill/>
                  </pic:spPr>
                </pic:pic>
              </a:graphicData>
            </a:graphic>
          </wp:inline>
        </w:drawing>
      </w:r>
    </w:p>
    <w:p w14:paraId="335A10AF" w14:textId="6364A915" w:rsidR="00D131AE" w:rsidRPr="00FD48A9" w:rsidRDefault="00B30DCA" w:rsidP="00B30DCA">
      <w:pPr>
        <w:pStyle w:val="ChartGraphic"/>
        <w:jc w:val="left"/>
        <w:rPr>
          <w:sz w:val="16"/>
        </w:rPr>
      </w:pPr>
      <w:r w:rsidRPr="00FD48A9">
        <w:rPr>
          <w:sz w:val="16"/>
        </w:rPr>
        <w:t xml:space="preserve">Source: ABS cat. </w:t>
      </w:r>
      <w:proofErr w:type="gramStart"/>
      <w:r w:rsidRPr="00FD48A9">
        <w:rPr>
          <w:sz w:val="16"/>
        </w:rPr>
        <w:t>no</w:t>
      </w:r>
      <w:proofErr w:type="gramEnd"/>
      <w:r w:rsidRPr="00FD48A9">
        <w:rPr>
          <w:sz w:val="16"/>
        </w:rPr>
        <w:t>. 5206.0, unpublished ABS data and Treasury</w:t>
      </w:r>
      <w:r w:rsidR="006C0B93" w:rsidRPr="00FD48A9">
        <w:rPr>
          <w:sz w:val="16"/>
        </w:rPr>
        <w:t>.</w:t>
      </w:r>
    </w:p>
    <w:p w14:paraId="6FD8A435" w14:textId="2F5922C5" w:rsidR="00B30DCA" w:rsidRPr="00FD48A9" w:rsidRDefault="000E2012" w:rsidP="002A0899">
      <w:pPr>
        <w:pStyle w:val="SingleParagraph"/>
      </w:pPr>
      <w:r w:rsidRPr="00FD48A9">
        <w:fldChar w:fldCharType="begin"/>
      </w:r>
      <w:r w:rsidRPr="00FD48A9">
        <w:instrText xml:space="preserve"> :End:MECD_TP3 </w:instrText>
      </w:r>
      <w:r w:rsidRPr="00FD48A9">
        <w:fldChar w:fldCharType="end"/>
      </w:r>
    </w:p>
    <w:p w14:paraId="213ED900" w14:textId="66F98073" w:rsidR="00D131AE" w:rsidRPr="00FD48A9" w:rsidRDefault="00BB2AF2" w:rsidP="00277203">
      <w:r w:rsidRPr="00FD48A9">
        <w:fldChar w:fldCharType="begin"/>
      </w:r>
      <w:r w:rsidRPr="00FD48A9">
        <w:instrText xml:space="preserve"> :Start:MECD_TP3 </w:instrText>
      </w:r>
      <w:r w:rsidRPr="00FD48A9">
        <w:fldChar w:fldCharType="end"/>
      </w:r>
      <w:r w:rsidR="00D131AE" w:rsidRPr="00FD48A9">
        <w:t xml:space="preserve">The </w:t>
      </w:r>
      <w:r w:rsidR="00911B9A" w:rsidRPr="00FD48A9">
        <w:t>COVID</w:t>
      </w:r>
      <w:r w:rsidR="00C77479">
        <w:noBreakHyphen/>
      </w:r>
      <w:r w:rsidR="00911B9A" w:rsidRPr="00FD48A9">
        <w:t>19</w:t>
      </w:r>
      <w:r w:rsidR="00D131AE" w:rsidRPr="00FD48A9">
        <w:t xml:space="preserve"> pandemic is having a significant impact on household incomes and wealth. Significant job losses and reductions in hours have lowered income received by </w:t>
      </w:r>
      <w:r w:rsidR="00C65B81" w:rsidRPr="00FD48A9">
        <w:t>households</w:t>
      </w:r>
      <w:r w:rsidR="00D131AE" w:rsidRPr="00FD48A9">
        <w:t xml:space="preserve"> from working. However, household incomes </w:t>
      </w:r>
      <w:proofErr w:type="gramStart"/>
      <w:r w:rsidR="00D131AE" w:rsidRPr="00FD48A9">
        <w:t>are b</w:t>
      </w:r>
      <w:r w:rsidR="00BB77D0" w:rsidRPr="00FD48A9">
        <w:t>eing supported</w:t>
      </w:r>
      <w:proofErr w:type="gramEnd"/>
      <w:r w:rsidR="00BB77D0" w:rsidRPr="00FD48A9">
        <w:t xml:space="preserve"> by significant </w:t>
      </w:r>
      <w:r w:rsidR="00D131AE" w:rsidRPr="00FD48A9">
        <w:t xml:space="preserve">Government support measures, including the </w:t>
      </w:r>
      <w:proofErr w:type="spellStart"/>
      <w:r w:rsidR="00D131AE" w:rsidRPr="00FD48A9">
        <w:t>JobKeeper</w:t>
      </w:r>
      <w:proofErr w:type="spellEnd"/>
      <w:r w:rsidR="00D131AE" w:rsidRPr="00FD48A9">
        <w:t xml:space="preserve"> Payment </w:t>
      </w:r>
      <w:r w:rsidR="00CF0E4D" w:rsidRPr="00FD48A9">
        <w:t xml:space="preserve">and Coronavirus </w:t>
      </w:r>
      <w:r w:rsidR="00CD3F27">
        <w:t>S</w:t>
      </w:r>
      <w:r w:rsidR="00CF0E4D" w:rsidRPr="00FD48A9">
        <w:t>upplement (</w:t>
      </w:r>
      <w:r w:rsidR="00D131AE" w:rsidRPr="00FD48A9">
        <w:t xml:space="preserve">Box </w:t>
      </w:r>
      <w:r w:rsidR="007B699D" w:rsidRPr="00FD48A9">
        <w:t>2.</w:t>
      </w:r>
      <w:r w:rsidR="00CF0E4D" w:rsidRPr="00FD48A9">
        <w:t>4</w:t>
      </w:r>
      <w:r w:rsidR="00D131AE" w:rsidRPr="00FD48A9">
        <w:t xml:space="preserve">). </w:t>
      </w:r>
      <w:r w:rsidRPr="00FD48A9">
        <w:fldChar w:fldCharType="begin"/>
      </w:r>
      <w:r w:rsidRPr="00FD48A9">
        <w:instrText xml:space="preserve"> :End:MECD_TP3 </w:instrText>
      </w:r>
      <w:r w:rsidRPr="00FD48A9">
        <w:fldChar w:fldCharType="end"/>
      </w:r>
      <w:r w:rsidR="00F25AF9" w:rsidRPr="00FD48A9">
        <w:fldChar w:fldCharType="begin"/>
      </w:r>
      <w:r w:rsidR="00F25AF9" w:rsidRPr="00FD48A9">
        <w:instrText xml:space="preserve"> :Start:MECD_TP2 </w:instrText>
      </w:r>
      <w:r w:rsidR="00F25AF9" w:rsidRPr="00FD48A9">
        <w:fldChar w:fldCharType="end"/>
      </w:r>
      <w:r w:rsidR="00D131AE" w:rsidRPr="00FD48A9">
        <w:t xml:space="preserve">While household income </w:t>
      </w:r>
      <w:proofErr w:type="gramStart"/>
      <w:r w:rsidR="00D131AE" w:rsidRPr="00FD48A9">
        <w:t>is expected</w:t>
      </w:r>
      <w:proofErr w:type="gramEnd"/>
      <w:r w:rsidR="00D131AE" w:rsidRPr="00FD48A9">
        <w:t xml:space="preserve"> to hold up in the near term, there have been significant falls in household wealth. </w:t>
      </w:r>
      <w:r w:rsidR="00D53EEE" w:rsidRPr="00FD48A9">
        <w:t>Australia</w:t>
      </w:r>
      <w:r w:rsidR="00C77479">
        <w:t>’</w:t>
      </w:r>
      <w:r w:rsidR="00D53EEE" w:rsidRPr="00FD48A9">
        <w:t xml:space="preserve">s ASX200 has recovered some of </w:t>
      </w:r>
      <w:r w:rsidR="00AE264F" w:rsidRPr="00FD48A9">
        <w:t>its</w:t>
      </w:r>
      <w:r w:rsidR="00D53EEE" w:rsidRPr="00FD48A9">
        <w:t xml:space="preserve"> losses since the onset of the crisis, but it remains substantially below the highs reached in late February</w:t>
      </w:r>
      <w:r w:rsidR="00D131AE" w:rsidRPr="00FD48A9">
        <w:t xml:space="preserve">. </w:t>
      </w:r>
      <w:r w:rsidR="00F25AF9" w:rsidRPr="00FD48A9">
        <w:fldChar w:fldCharType="begin"/>
      </w:r>
      <w:r w:rsidR="00F25AF9" w:rsidRPr="00FD48A9">
        <w:instrText xml:space="preserve"> :End:MECD_TP2 </w:instrText>
      </w:r>
      <w:r w:rsidR="00F25AF9" w:rsidRPr="00FD48A9">
        <w:fldChar w:fldCharType="end"/>
      </w:r>
      <w:r w:rsidRPr="00FD48A9">
        <w:fldChar w:fldCharType="begin"/>
      </w:r>
      <w:r w:rsidRPr="00FD48A9">
        <w:instrText xml:space="preserve"> :Start:MECD_TP3 </w:instrText>
      </w:r>
      <w:r w:rsidRPr="00FD48A9">
        <w:fldChar w:fldCharType="end"/>
      </w:r>
      <w:r w:rsidR="00D131AE" w:rsidRPr="00FD48A9">
        <w:t xml:space="preserve">The outlook for the </w:t>
      </w:r>
      <w:r w:rsidR="00E57012" w:rsidRPr="00FD48A9">
        <w:t xml:space="preserve">established </w:t>
      </w:r>
      <w:r w:rsidR="00D131AE" w:rsidRPr="00FD48A9">
        <w:t xml:space="preserve">housing market remains uncertain with prices falling in June for a second consecutive month despite transaction activity starting to recover alongside the easing of restrictions. </w:t>
      </w:r>
      <w:r w:rsidRPr="00FD48A9">
        <w:fldChar w:fldCharType="begin"/>
      </w:r>
      <w:r w:rsidRPr="00FD48A9">
        <w:instrText xml:space="preserve"> :End:MECD_TP3 </w:instrText>
      </w:r>
      <w:r w:rsidRPr="00FD48A9">
        <w:fldChar w:fldCharType="end"/>
      </w:r>
    </w:p>
    <w:p w14:paraId="03179D29" w14:textId="4071F181" w:rsidR="00D131AE" w:rsidRPr="00FD48A9" w:rsidRDefault="000E2012" w:rsidP="00277203">
      <w:r w:rsidRPr="00FD48A9">
        <w:fldChar w:fldCharType="begin"/>
      </w:r>
      <w:r w:rsidRPr="00FD48A9">
        <w:instrText xml:space="preserve"> :Start:MECD_TP3 </w:instrText>
      </w:r>
      <w:r w:rsidRPr="00FD48A9">
        <w:fldChar w:fldCharType="end"/>
      </w:r>
      <w:r w:rsidR="00D131AE" w:rsidRPr="00FD48A9">
        <w:t xml:space="preserve">The support to household incomes, combined with the weakness in consumption, </w:t>
      </w:r>
      <w:proofErr w:type="gramStart"/>
      <w:r w:rsidR="00D131AE" w:rsidRPr="00FD48A9">
        <w:t>is expected</w:t>
      </w:r>
      <w:proofErr w:type="gramEnd"/>
      <w:r w:rsidR="00D131AE" w:rsidRPr="00FD48A9">
        <w:t xml:space="preserve"> to result in a sharp increase in the household saving ratio in the </w:t>
      </w:r>
      <w:r w:rsidR="008F08E7" w:rsidRPr="00FD48A9">
        <w:t>June </w:t>
      </w:r>
      <w:r w:rsidR="00D131AE" w:rsidRPr="00FD48A9">
        <w:t>quarter</w:t>
      </w:r>
      <w:r w:rsidR="008F08E7" w:rsidRPr="00FD48A9">
        <w:t> 2020</w:t>
      </w:r>
      <w:r w:rsidR="00D131AE" w:rsidRPr="00FD48A9">
        <w:t xml:space="preserve">. The household saving ratio </w:t>
      </w:r>
      <w:proofErr w:type="gramStart"/>
      <w:r w:rsidR="00D131AE" w:rsidRPr="00FD48A9">
        <w:t>is expected</w:t>
      </w:r>
      <w:proofErr w:type="gramEnd"/>
      <w:r w:rsidR="00D131AE" w:rsidRPr="00FD48A9">
        <w:t xml:space="preserve"> to reach a near</w:t>
      </w:r>
      <w:r w:rsidR="00C77479">
        <w:noBreakHyphen/>
      </w:r>
      <w:r w:rsidR="00BB77D0" w:rsidRPr="00FD48A9">
        <w:t>record high in the June quarter</w:t>
      </w:r>
      <w:r w:rsidR="00D131AE" w:rsidRPr="00FD48A9">
        <w:t xml:space="preserve"> to be around double that seen during </w:t>
      </w:r>
      <w:r w:rsidR="00AE45A6" w:rsidRPr="00FD48A9">
        <w:t>the GFC</w:t>
      </w:r>
      <w:r w:rsidR="00080294" w:rsidRPr="00FD48A9">
        <w:t>,</w:t>
      </w:r>
      <w:r w:rsidR="00D131AE" w:rsidRPr="00FD48A9">
        <w:t xml:space="preserve"> before </w:t>
      </w:r>
      <w:r w:rsidR="00C65B81" w:rsidRPr="00FD48A9">
        <w:t xml:space="preserve">moderating </w:t>
      </w:r>
      <w:r w:rsidR="00D131AE" w:rsidRPr="00FD48A9">
        <w:t>as labour market conditions improve.</w:t>
      </w:r>
      <w:r w:rsidR="00287B3B" w:rsidRPr="00FD48A9">
        <w:t xml:space="preserve"> </w:t>
      </w:r>
    </w:p>
    <w:p w14:paraId="7BDBD730" w14:textId="1C4FC917" w:rsidR="002A0899" w:rsidRPr="00FD48A9" w:rsidRDefault="000E2012" w:rsidP="00277203">
      <w:r w:rsidRPr="00FD48A9">
        <w:fldChar w:fldCharType="begin"/>
      </w:r>
      <w:r w:rsidRPr="00FD48A9">
        <w:instrText xml:space="preserve"> :End:MECD_TP3 </w:instrText>
      </w:r>
      <w:r w:rsidRPr="00FD48A9">
        <w:fldChar w:fldCharType="end"/>
      </w:r>
    </w:p>
    <w:p w14:paraId="00B32C1E" w14:textId="2EC4DDB8" w:rsidR="002A0899" w:rsidRPr="00FD48A9" w:rsidRDefault="002A0899" w:rsidP="00277203"/>
    <w:p w14:paraId="517A95D6" w14:textId="5713CD47" w:rsidR="002A0899" w:rsidRPr="00FD48A9" w:rsidRDefault="002A0899" w:rsidP="00277203"/>
    <w:p w14:paraId="2DB70060" w14:textId="0DC54D79" w:rsidR="002A0899" w:rsidRPr="00FD48A9" w:rsidRDefault="002A0899" w:rsidP="00277203"/>
    <w:tbl>
      <w:tblPr>
        <w:tblW w:w="5000" w:type="pct"/>
        <w:shd w:val="clear" w:color="auto" w:fill="EBEBEB"/>
        <w:tblLook w:val="0000" w:firstRow="0" w:lastRow="0" w:firstColumn="0" w:lastColumn="0" w:noHBand="0" w:noVBand="0"/>
      </w:tblPr>
      <w:tblGrid>
        <w:gridCol w:w="7710"/>
      </w:tblGrid>
      <w:tr w:rsidR="002A0899" w:rsidRPr="00FD48A9" w14:paraId="10A2E382" w14:textId="77777777" w:rsidTr="00806C95">
        <w:trPr>
          <w:cantSplit/>
        </w:trPr>
        <w:tc>
          <w:tcPr>
            <w:tcW w:w="5000" w:type="pct"/>
            <w:shd w:val="clear" w:color="auto" w:fill="EBEBEB"/>
          </w:tcPr>
          <w:p w14:paraId="69D9FFC5" w14:textId="454ECBB5" w:rsidR="002A0899" w:rsidRPr="00FD48A9" w:rsidRDefault="00BB77D0" w:rsidP="002A0899">
            <w:pPr>
              <w:pStyle w:val="BoxHeading"/>
            </w:pPr>
            <w:r w:rsidRPr="00FD48A9">
              <w:lastRenderedPageBreak/>
              <w:fldChar w:fldCharType="begin"/>
            </w:r>
            <w:r w:rsidRPr="00FD48A9">
              <w:instrText xml:space="preserve"> :Start:MECD_TP4 </w:instrText>
            </w:r>
            <w:r w:rsidRPr="00FD48A9">
              <w:fldChar w:fldCharType="end"/>
            </w:r>
            <w:r w:rsidR="002A0899" w:rsidRPr="00FD48A9">
              <w:t xml:space="preserve">Box </w:t>
            </w:r>
            <w:r w:rsidR="00F10DF0" w:rsidRPr="00FD48A9">
              <w:t>2.</w:t>
            </w:r>
            <w:r w:rsidR="002A0899" w:rsidRPr="00FD48A9">
              <w:t>4: Fiscal response to the COVID</w:t>
            </w:r>
            <w:r w:rsidR="00C77479">
              <w:noBreakHyphen/>
            </w:r>
            <w:r w:rsidR="002A0899" w:rsidRPr="00FD48A9">
              <w:t>19 pandemic</w:t>
            </w:r>
          </w:p>
          <w:p w14:paraId="6B360B8B" w14:textId="6CA15AE7" w:rsidR="002A0899" w:rsidRPr="00FD48A9" w:rsidRDefault="002A0899" w:rsidP="002A0899">
            <w:pPr>
              <w:pStyle w:val="BoxText"/>
            </w:pPr>
            <w:r w:rsidRPr="00FD48A9">
              <w:t>The Government has responded to the pandemic with an historic</w:t>
            </w:r>
            <w:r w:rsidR="00D0233F" w:rsidRPr="00FD48A9">
              <w:t xml:space="preserve"> amount of</w:t>
            </w:r>
            <w:r w:rsidRPr="00FD48A9">
              <w:t xml:space="preserve"> economic support</w:t>
            </w:r>
            <w:r w:rsidR="00D0233F" w:rsidRPr="00FD48A9">
              <w:t>,</w:t>
            </w:r>
            <w:r w:rsidRPr="00FD48A9">
              <w:t xml:space="preserve"> which has been effective and well targeted.</w:t>
            </w:r>
          </w:p>
          <w:p w14:paraId="1365D1AE" w14:textId="675998A2" w:rsidR="002A0899" w:rsidRPr="00FD48A9" w:rsidRDefault="00BB77D0" w:rsidP="002A0899">
            <w:pPr>
              <w:pStyle w:val="BoxText"/>
            </w:pPr>
            <w:r w:rsidRPr="00FD48A9">
              <w:fldChar w:fldCharType="begin"/>
            </w:r>
            <w:r w:rsidRPr="00FD48A9">
              <w:instrText xml:space="preserve"> :End:MECD_TP4 </w:instrText>
            </w:r>
            <w:r w:rsidRPr="00FD48A9">
              <w:fldChar w:fldCharType="end"/>
            </w:r>
            <w:r w:rsidR="00B01EFA" w:rsidRPr="00FD48A9">
              <w:fldChar w:fldCharType="begin"/>
            </w:r>
            <w:r w:rsidR="00B01EFA" w:rsidRPr="00FD48A9">
              <w:instrText xml:space="preserve"> :Start:</w:instrText>
            </w:r>
            <w:r w:rsidR="00694409" w:rsidRPr="00FD48A9">
              <w:instrText>BPD_JR2</w:instrText>
            </w:r>
            <w:r w:rsidR="00B01EFA" w:rsidRPr="00FD48A9">
              <w:instrText xml:space="preserve"> </w:instrText>
            </w:r>
            <w:r w:rsidR="00B01EFA" w:rsidRPr="00FD48A9">
              <w:fldChar w:fldCharType="end"/>
            </w:r>
            <w:r w:rsidR="002A0899" w:rsidRPr="00FD48A9">
              <w:t>The Government</w:t>
            </w:r>
            <w:r w:rsidR="00C77479">
              <w:t>’</w:t>
            </w:r>
            <w:r w:rsidR="002A0899" w:rsidRPr="00FD48A9">
              <w:t>s economic support in response to the COVID</w:t>
            </w:r>
            <w:r w:rsidR="00C77479">
              <w:noBreakHyphen/>
            </w:r>
            <w:r w:rsidR="002A0899" w:rsidRPr="00FD48A9">
              <w:t xml:space="preserve">19 pandemic </w:t>
            </w:r>
            <w:proofErr w:type="gramStart"/>
            <w:r w:rsidR="002A0899" w:rsidRPr="00FD48A9">
              <w:t>is estimated</w:t>
            </w:r>
            <w:proofErr w:type="gramEnd"/>
            <w:r w:rsidR="002A0899" w:rsidRPr="00FD48A9">
              <w:t xml:space="preserve"> to be around $16</w:t>
            </w:r>
            <w:r w:rsidR="006D5DBF" w:rsidRPr="00FD48A9">
              <w:t>2</w:t>
            </w:r>
            <w:r w:rsidR="002A0899" w:rsidRPr="00FD48A9">
              <w:t xml:space="preserve"> billion in 2019</w:t>
            </w:r>
            <w:r w:rsidR="00C77479">
              <w:noBreakHyphen/>
            </w:r>
            <w:r w:rsidR="002A0899" w:rsidRPr="00FD48A9">
              <w:t>20 and 2020</w:t>
            </w:r>
            <w:r w:rsidR="00C77479">
              <w:noBreakHyphen/>
            </w:r>
            <w:r w:rsidR="002A0899" w:rsidRPr="00FD48A9">
              <w:t>21, equivalent to 8</w:t>
            </w:r>
            <w:r w:rsidR="007F5745" w:rsidRPr="00FD48A9">
              <w:t>.2</w:t>
            </w:r>
            <w:r w:rsidR="00D43CE9">
              <w:t> </w:t>
            </w:r>
            <w:r w:rsidR="002A0899" w:rsidRPr="00FD48A9">
              <w:t>per</w:t>
            </w:r>
            <w:r w:rsidR="00D43CE9">
              <w:t> </w:t>
            </w:r>
            <w:r w:rsidR="002A0899" w:rsidRPr="00FD48A9">
              <w:t>cent of 2019</w:t>
            </w:r>
            <w:r w:rsidR="00C77479">
              <w:noBreakHyphen/>
            </w:r>
            <w:r w:rsidR="002A0899" w:rsidRPr="00FD48A9">
              <w:t>20 GDP. In addition, the Government</w:t>
            </w:r>
            <w:r w:rsidR="00C77479">
              <w:t>’</w:t>
            </w:r>
            <w:r w:rsidR="002A0899" w:rsidRPr="00FD48A9">
              <w:t>s</w:t>
            </w:r>
            <w:r w:rsidR="00DF44E0">
              <w:t xml:space="preserve"> balance sheet support totals $</w:t>
            </w:r>
            <w:r w:rsidR="007F5745" w:rsidRPr="00FD48A9">
              <w:t>125</w:t>
            </w:r>
            <w:r w:rsidR="00174569">
              <w:t> </w:t>
            </w:r>
            <w:r w:rsidR="00DF44E0">
              <w:t xml:space="preserve">billion, equivalent to </w:t>
            </w:r>
            <w:r w:rsidR="007F5745" w:rsidRPr="00FD48A9">
              <w:t>6.3</w:t>
            </w:r>
            <w:r w:rsidR="002A0899" w:rsidRPr="00FD48A9">
              <w:t xml:space="preserve"> per cent of 2019</w:t>
            </w:r>
            <w:r w:rsidR="00C77479">
              <w:noBreakHyphen/>
            </w:r>
            <w:r w:rsidR="002A0899" w:rsidRPr="00FD48A9">
              <w:t xml:space="preserve">20 GDP. </w:t>
            </w:r>
            <w:r w:rsidR="00D0233F" w:rsidRPr="00FD48A9">
              <w:t>A</w:t>
            </w:r>
            <w:r w:rsidR="002A0899" w:rsidRPr="00FD48A9">
              <w:t xml:space="preserve">utomatic stabilisers </w:t>
            </w:r>
            <w:r w:rsidR="00D0233F" w:rsidRPr="00FD48A9">
              <w:t>are also</w:t>
            </w:r>
            <w:r w:rsidR="002A0899" w:rsidRPr="00FD48A9">
              <w:t xml:space="preserve"> support</w:t>
            </w:r>
            <w:r w:rsidR="00D0233F" w:rsidRPr="00FD48A9">
              <w:t>ing</w:t>
            </w:r>
            <w:r w:rsidR="002A0899" w:rsidRPr="00FD48A9">
              <w:t xml:space="preserve"> the economy (for more detail see Box 3.1 of Part 3: </w:t>
            </w:r>
            <w:r w:rsidR="002A0899" w:rsidRPr="00FD48A9">
              <w:rPr>
                <w:i/>
              </w:rPr>
              <w:t xml:space="preserve">Fiscal </w:t>
            </w:r>
            <w:r w:rsidR="00843D6C">
              <w:rPr>
                <w:i/>
              </w:rPr>
              <w:t>o</w:t>
            </w:r>
            <w:r w:rsidR="002A0899" w:rsidRPr="00FD48A9">
              <w:rPr>
                <w:i/>
              </w:rPr>
              <w:t>utlook</w:t>
            </w:r>
            <w:r w:rsidR="002A0899" w:rsidRPr="00FD48A9">
              <w:t>).</w:t>
            </w:r>
          </w:p>
          <w:p w14:paraId="4429AF31" w14:textId="5B51BEA2" w:rsidR="002A0899" w:rsidRPr="00FD48A9" w:rsidRDefault="00B01EFA" w:rsidP="002A0899">
            <w:pPr>
              <w:pStyle w:val="BoxText"/>
            </w:pPr>
            <w:r w:rsidRPr="00FD48A9">
              <w:fldChar w:fldCharType="begin"/>
            </w:r>
            <w:r w:rsidRPr="00FD48A9">
              <w:instrText xml:space="preserve"> :End:</w:instrText>
            </w:r>
            <w:r w:rsidR="00694409" w:rsidRPr="00FD48A9">
              <w:instrText>BPD_JR2</w:instrText>
            </w:r>
            <w:r w:rsidRPr="00FD48A9">
              <w:instrText xml:space="preserve"> </w:instrText>
            </w:r>
            <w:r w:rsidRPr="00FD48A9">
              <w:fldChar w:fldCharType="end"/>
            </w:r>
            <w:r w:rsidR="009C04EA">
              <w:fldChar w:fldCharType="begin"/>
            </w:r>
            <w:r w:rsidR="009C04EA">
              <w:instrText xml:space="preserve"> :Start:MECD_TP4 </w:instrText>
            </w:r>
            <w:r w:rsidR="009C04EA">
              <w:fldChar w:fldCharType="end"/>
            </w:r>
            <w:r w:rsidR="002A0899" w:rsidRPr="00FD48A9">
              <w:t xml:space="preserve">A </w:t>
            </w:r>
            <w:r w:rsidR="001166C1">
              <w:t>number</w:t>
            </w:r>
            <w:r w:rsidR="002A0899" w:rsidRPr="00FD48A9">
              <w:t xml:space="preserve"> of </w:t>
            </w:r>
            <w:r w:rsidR="00A872BC" w:rsidRPr="00FD48A9">
              <w:t xml:space="preserve">Government </w:t>
            </w:r>
            <w:r w:rsidR="002A0899" w:rsidRPr="00FD48A9">
              <w:t xml:space="preserve">measures </w:t>
            </w:r>
            <w:r w:rsidR="00FC74E6" w:rsidRPr="00FD48A9">
              <w:t xml:space="preserve">are </w:t>
            </w:r>
            <w:r w:rsidR="002A0899" w:rsidRPr="00FD48A9">
              <w:t>support</w:t>
            </w:r>
            <w:r w:rsidR="00FC74E6" w:rsidRPr="00FD48A9">
              <w:t>ing</w:t>
            </w:r>
            <w:r w:rsidR="002A0899" w:rsidRPr="00FD48A9">
              <w:t xml:space="preserve"> economic demand, such as cash payments to support household and business incomes and incentives to encourage investment. Some measures</w:t>
            </w:r>
            <w:r w:rsidR="001166C1">
              <w:t xml:space="preserve"> are</w:t>
            </w:r>
            <w:r w:rsidR="002A0899" w:rsidRPr="00FD48A9">
              <w:t xml:space="preserve"> also help</w:t>
            </w:r>
            <w:r w:rsidR="001166C1">
              <w:t>ing</w:t>
            </w:r>
            <w:r w:rsidR="002A0899" w:rsidRPr="00FD48A9">
              <w:t xml:space="preserve"> keep businesses in business and </w:t>
            </w:r>
            <w:r w:rsidR="00FC74E6" w:rsidRPr="00FD48A9">
              <w:t>workers in jobs</w:t>
            </w:r>
            <w:r w:rsidR="002A0899" w:rsidRPr="00FD48A9">
              <w:t xml:space="preserve"> to speed up the pace of recovery, such as the </w:t>
            </w:r>
            <w:proofErr w:type="spellStart"/>
            <w:r w:rsidR="002A0899" w:rsidRPr="00FD48A9">
              <w:t>JobKeeper</w:t>
            </w:r>
            <w:proofErr w:type="spellEnd"/>
            <w:r w:rsidR="002A0899" w:rsidRPr="00FD48A9">
              <w:t xml:space="preserve"> Payment, loan guarantees and regulatory measures.</w:t>
            </w:r>
          </w:p>
          <w:p w14:paraId="0E32C05F" w14:textId="0EC2305A" w:rsidR="002A0899" w:rsidRPr="00FD48A9" w:rsidRDefault="002A0899" w:rsidP="002A0899">
            <w:pPr>
              <w:pStyle w:val="BoxText"/>
            </w:pPr>
            <w:r w:rsidRPr="00FD48A9">
              <w:t>Fiscal</w:t>
            </w:r>
            <w:r w:rsidRPr="00FD48A9" w:rsidDel="00C65B81">
              <w:t xml:space="preserve"> </w:t>
            </w:r>
            <w:r w:rsidRPr="00FD48A9">
              <w:t>support also has confidence effects, and can limit the effects on economic activity from heightened uncertainty and rising risk aversion. The Government</w:t>
            </w:r>
            <w:r w:rsidR="00C77479">
              <w:t>’</w:t>
            </w:r>
            <w:r w:rsidRPr="00FD48A9">
              <w:t>s economic measures were associated with an improvement in consumer and business confidence. The forecasts incorporate an ongoing beneficial impact of the Government support on household and business confidence (and, in turn, consumption and investment).</w:t>
            </w:r>
          </w:p>
          <w:p w14:paraId="4AA8E564" w14:textId="36536708" w:rsidR="002A0899" w:rsidRPr="00FD48A9" w:rsidRDefault="002A0899" w:rsidP="002A0899">
            <w:pPr>
              <w:pStyle w:val="BoxText"/>
            </w:pPr>
            <w:r w:rsidRPr="00FD48A9">
              <w:t xml:space="preserve">It </w:t>
            </w:r>
            <w:proofErr w:type="gramStart"/>
            <w:r w:rsidRPr="00FD48A9">
              <w:t>is estimated</w:t>
            </w:r>
            <w:proofErr w:type="gramEnd"/>
            <w:r w:rsidRPr="00FD48A9">
              <w:t xml:space="preserve"> that the fiscal support will have increased the level of real GDP by </w:t>
            </w:r>
            <w:r w:rsidR="00AE45A6" w:rsidRPr="00FD48A9">
              <w:t xml:space="preserve">around </w:t>
            </w:r>
            <w:r w:rsidRPr="00FD48A9">
              <w:t>¾ per cent in 2019</w:t>
            </w:r>
            <w:r w:rsidR="00C77479">
              <w:noBreakHyphen/>
            </w:r>
            <w:r w:rsidRPr="00FD48A9">
              <w:t xml:space="preserve">20 </w:t>
            </w:r>
            <w:r w:rsidR="00082D64" w:rsidRPr="00FD48A9">
              <w:t xml:space="preserve">and will increase it by </w:t>
            </w:r>
            <w:r w:rsidR="00AE45A6" w:rsidRPr="00FD48A9">
              <w:t xml:space="preserve">around </w:t>
            </w:r>
            <w:r w:rsidR="00082D64" w:rsidRPr="00FD48A9">
              <w:t xml:space="preserve">4¼ </w:t>
            </w:r>
            <w:r w:rsidRPr="00FD48A9">
              <w:t>per cent in 2020</w:t>
            </w:r>
            <w:r w:rsidR="00C77479">
              <w:noBreakHyphen/>
            </w:r>
            <w:r w:rsidRPr="00FD48A9">
              <w:t>21 relative to the case</w:t>
            </w:r>
            <w:r w:rsidRPr="00FD48A9" w:rsidDel="008F33A0">
              <w:t xml:space="preserve"> </w:t>
            </w:r>
            <w:r w:rsidRPr="00FD48A9">
              <w:t xml:space="preserve">of no policy support. Fiscal measures </w:t>
            </w:r>
            <w:proofErr w:type="gramStart"/>
            <w:r w:rsidRPr="00FD48A9">
              <w:t>are also estimated</w:t>
            </w:r>
            <w:proofErr w:type="gramEnd"/>
            <w:r w:rsidRPr="00FD48A9">
              <w:t xml:space="preserve"> to have lowered the peak of the measured unemployment rate by around 5 percentage points, preventing the loss of a</w:t>
            </w:r>
            <w:r w:rsidR="00AE45A6" w:rsidRPr="00FD48A9">
              <w:t>round</w:t>
            </w:r>
            <w:r w:rsidRPr="00FD48A9">
              <w:t xml:space="preserve"> 700,000 jobs.</w:t>
            </w:r>
            <w:r w:rsidR="009C04EA" w:rsidRPr="00FD48A9">
              <w:t xml:space="preserve"> </w:t>
            </w:r>
          </w:p>
          <w:tbl>
            <w:tblPr>
              <w:tblW w:w="5000" w:type="pct"/>
              <w:tblLook w:val="0000" w:firstRow="0" w:lastRow="0" w:firstColumn="0" w:lastColumn="0" w:noHBand="0" w:noVBand="0"/>
            </w:tblPr>
            <w:tblGrid>
              <w:gridCol w:w="3761"/>
              <w:gridCol w:w="3733"/>
            </w:tblGrid>
            <w:tr w:rsidR="00B90C71" w:rsidRPr="00FD48A9" w14:paraId="5F75FD4B" w14:textId="77777777" w:rsidTr="00B90C71">
              <w:trPr>
                <w:cantSplit/>
              </w:trPr>
              <w:tc>
                <w:tcPr>
                  <w:tcW w:w="2509" w:type="pct"/>
                </w:tcPr>
                <w:p w14:paraId="68F88649" w14:textId="15D5CE96" w:rsidR="00B90C71" w:rsidRPr="00FD48A9" w:rsidRDefault="00B90C71" w:rsidP="00B90C71">
                  <w:pPr>
                    <w:pStyle w:val="ChartHeading"/>
                  </w:pPr>
                  <w:r w:rsidRPr="00FD48A9">
                    <w:t xml:space="preserve">Chart 2.11: </w:t>
                  </w:r>
                  <w:r>
                    <w:t xml:space="preserve">Real </w:t>
                  </w:r>
                  <w:r w:rsidRPr="00FD48A9">
                    <w:t>GDP</w:t>
                  </w:r>
                </w:p>
              </w:tc>
              <w:tc>
                <w:tcPr>
                  <w:tcW w:w="2491" w:type="pct"/>
                </w:tcPr>
                <w:p w14:paraId="21449788" w14:textId="4D9AB114" w:rsidR="00B90C71" w:rsidRPr="00FD48A9" w:rsidRDefault="00B90C71" w:rsidP="00A94BBF">
                  <w:pPr>
                    <w:pStyle w:val="ChartHeading"/>
                    <w:rPr>
                      <w:rFonts w:cs="Arial"/>
                      <w:sz w:val="16"/>
                      <w:szCs w:val="16"/>
                    </w:rPr>
                  </w:pPr>
                  <w:r w:rsidRPr="00FD48A9">
                    <w:t>Chart 2.12</w:t>
                  </w:r>
                  <w:r w:rsidRPr="00A94BBF">
                    <w:t>:</w:t>
                  </w:r>
                  <w:r w:rsidRPr="00FD48A9">
                    <w:rPr>
                      <w:color w:val="FF0000"/>
                    </w:rPr>
                    <w:t xml:space="preserve"> </w:t>
                  </w:r>
                  <w:r w:rsidRPr="00A94BBF">
                    <w:t>Unemployment</w:t>
                  </w:r>
                  <w:r w:rsidRPr="00FD48A9">
                    <w:t xml:space="preserve"> rate</w:t>
                  </w:r>
                </w:p>
              </w:tc>
            </w:tr>
            <w:tr w:rsidR="00B90C71" w:rsidRPr="00FD48A9" w14:paraId="561FCBD6" w14:textId="77777777" w:rsidTr="00B90C71">
              <w:trPr>
                <w:cantSplit/>
              </w:trPr>
              <w:tc>
                <w:tcPr>
                  <w:tcW w:w="2509" w:type="pct"/>
                </w:tcPr>
                <w:p w14:paraId="0225C020" w14:textId="518AB3A9" w:rsidR="00B90C71" w:rsidRPr="00FD48A9" w:rsidRDefault="003A655E" w:rsidP="00B90C71">
                  <w:pPr>
                    <w:pStyle w:val="ChartGraphic"/>
                  </w:pPr>
                  <w:r>
                    <w:rPr>
                      <w:noProof/>
                    </w:rPr>
                    <w:drawing>
                      <wp:inline distT="0" distB="0" distL="0" distR="0" wp14:anchorId="36EA40E7" wp14:editId="49E50BE6">
                        <wp:extent cx="2310765" cy="2304415"/>
                        <wp:effectExtent l="0" t="0" r="0" b="635"/>
                        <wp:docPr id="42" name="Picture 42" descr="This chart shows the level of real GDP before and after economic support until the end of 2020-21. It shows that after economic support the level of real GDP is around $15 to $20 billion higher per quarter relative to the scenario before economic suppo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0765" cy="2304415"/>
                                </a:xfrm>
                                <a:prstGeom prst="rect">
                                  <a:avLst/>
                                </a:prstGeom>
                                <a:noFill/>
                              </pic:spPr>
                            </pic:pic>
                          </a:graphicData>
                        </a:graphic>
                      </wp:inline>
                    </w:drawing>
                  </w:r>
                </w:p>
              </w:tc>
              <w:tc>
                <w:tcPr>
                  <w:tcW w:w="2491" w:type="pct"/>
                </w:tcPr>
                <w:p w14:paraId="7D4834D5" w14:textId="40228B1E" w:rsidR="00B90C71" w:rsidRPr="00B90C71" w:rsidRDefault="003A655E" w:rsidP="00B90C71">
                  <w:pPr>
                    <w:pStyle w:val="ChartGraphic"/>
                  </w:pPr>
                  <w:r>
                    <w:rPr>
                      <w:noProof/>
                    </w:rPr>
                    <w:drawing>
                      <wp:inline distT="0" distB="0" distL="0" distR="0" wp14:anchorId="4937C462" wp14:editId="7E25275B">
                        <wp:extent cx="2292350" cy="2268220"/>
                        <wp:effectExtent l="0" t="0" r="0" b="0"/>
                        <wp:docPr id="44" name="Picture 44" descr="This chart shows the unemployment rate before and after economic support until the end of 2020-21. It shows that the unemployment rate reaches a peak of nine and one-quarter per cent after economic support, while in the scenario before economic support the peak is around five percentage points high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2350" cy="2268220"/>
                                </a:xfrm>
                                <a:prstGeom prst="rect">
                                  <a:avLst/>
                                </a:prstGeom>
                                <a:noFill/>
                              </pic:spPr>
                            </pic:pic>
                          </a:graphicData>
                        </a:graphic>
                      </wp:inline>
                    </w:drawing>
                  </w:r>
                </w:p>
              </w:tc>
            </w:tr>
            <w:tr w:rsidR="002A0899" w:rsidRPr="00FD48A9" w14:paraId="064D5527" w14:textId="77777777" w:rsidTr="00B90C71">
              <w:trPr>
                <w:cantSplit/>
              </w:trPr>
              <w:tc>
                <w:tcPr>
                  <w:tcW w:w="2509" w:type="pct"/>
                </w:tcPr>
                <w:p w14:paraId="22449B6F" w14:textId="106DFF2A" w:rsidR="002A0899" w:rsidRPr="00FD48A9" w:rsidRDefault="002A0899" w:rsidP="002A0899">
                  <w:pPr>
                    <w:pStyle w:val="BoxText"/>
                    <w:spacing w:before="0" w:after="0"/>
                    <w:rPr>
                      <w:rFonts w:ascii="Arial" w:hAnsi="Arial" w:cs="Arial"/>
                      <w:sz w:val="16"/>
                      <w:szCs w:val="16"/>
                    </w:rPr>
                  </w:pPr>
                  <w:r w:rsidRPr="00FD48A9">
                    <w:rPr>
                      <w:rFonts w:ascii="Arial" w:hAnsi="Arial" w:cs="Arial"/>
                      <w:sz w:val="16"/>
                      <w:szCs w:val="16"/>
                    </w:rPr>
                    <w:t xml:space="preserve">Source: ABS cat.no. 5206.0 </w:t>
                  </w:r>
                  <w:proofErr w:type="gramStart"/>
                  <w:r w:rsidRPr="00FD48A9">
                    <w:rPr>
                      <w:rFonts w:ascii="Arial" w:hAnsi="Arial" w:cs="Arial"/>
                      <w:sz w:val="16"/>
                      <w:szCs w:val="16"/>
                    </w:rPr>
                    <w:t>and</w:t>
                  </w:r>
                  <w:proofErr w:type="gramEnd"/>
                  <w:r w:rsidRPr="00FD48A9">
                    <w:rPr>
                      <w:rFonts w:ascii="Arial" w:hAnsi="Arial" w:cs="Arial"/>
                      <w:sz w:val="16"/>
                      <w:szCs w:val="16"/>
                    </w:rPr>
                    <w:t xml:space="preserve"> Treasury</w:t>
                  </w:r>
                  <w:r w:rsidR="006C0B93" w:rsidRPr="00FD48A9">
                    <w:rPr>
                      <w:rFonts w:ascii="Arial" w:hAnsi="Arial" w:cs="Arial"/>
                      <w:sz w:val="16"/>
                      <w:szCs w:val="16"/>
                    </w:rPr>
                    <w:t>.</w:t>
                  </w:r>
                </w:p>
              </w:tc>
              <w:tc>
                <w:tcPr>
                  <w:tcW w:w="2491" w:type="pct"/>
                </w:tcPr>
                <w:p w14:paraId="3D0BBC8D" w14:textId="1230A263" w:rsidR="002A0899" w:rsidRPr="00FD48A9" w:rsidRDefault="002A0899" w:rsidP="009C04EA">
                  <w:pPr>
                    <w:pStyle w:val="ChartGraphic"/>
                    <w:jc w:val="left"/>
                  </w:pPr>
                  <w:r w:rsidRPr="00FD48A9">
                    <w:rPr>
                      <w:rFonts w:cs="Arial"/>
                      <w:sz w:val="16"/>
                      <w:szCs w:val="16"/>
                    </w:rPr>
                    <w:t xml:space="preserve">Source: ABS cat.no. 6202.0 </w:t>
                  </w:r>
                  <w:proofErr w:type="gramStart"/>
                  <w:r w:rsidRPr="00FD48A9">
                    <w:rPr>
                      <w:rFonts w:cs="Arial"/>
                      <w:sz w:val="16"/>
                      <w:szCs w:val="16"/>
                    </w:rPr>
                    <w:t>and</w:t>
                  </w:r>
                  <w:proofErr w:type="gramEnd"/>
                  <w:r w:rsidRPr="00FD48A9">
                    <w:rPr>
                      <w:rFonts w:cs="Arial"/>
                      <w:sz w:val="16"/>
                      <w:szCs w:val="16"/>
                    </w:rPr>
                    <w:t xml:space="preserve"> Treasury</w:t>
                  </w:r>
                  <w:r w:rsidR="006C0B93" w:rsidRPr="00FD48A9">
                    <w:rPr>
                      <w:rFonts w:cs="Arial"/>
                      <w:sz w:val="16"/>
                      <w:szCs w:val="16"/>
                    </w:rPr>
                    <w:t>.</w:t>
                  </w:r>
                </w:p>
              </w:tc>
            </w:tr>
          </w:tbl>
          <w:p w14:paraId="1D102D34" w14:textId="4C6C909D" w:rsidR="002A0899" w:rsidRPr="00FD48A9" w:rsidRDefault="009C04EA">
            <w:pPr>
              <w:pStyle w:val="BoxText"/>
            </w:pPr>
            <w:r>
              <w:fldChar w:fldCharType="begin"/>
            </w:r>
            <w:r>
              <w:instrText xml:space="preserve"> :End:MECD_TP4 </w:instrText>
            </w:r>
            <w:r>
              <w:fldChar w:fldCharType="end"/>
            </w:r>
          </w:p>
        </w:tc>
      </w:tr>
    </w:tbl>
    <w:p w14:paraId="37AB731A" w14:textId="5D41B730" w:rsidR="00D131AE" w:rsidRPr="00FD48A9" w:rsidRDefault="00D131AE" w:rsidP="00215287">
      <w:pPr>
        <w:pStyle w:val="SingleParagraph"/>
      </w:pPr>
    </w:p>
    <w:tbl>
      <w:tblPr>
        <w:tblW w:w="5000" w:type="pct"/>
        <w:shd w:val="clear" w:color="auto" w:fill="EBEBEB"/>
        <w:tblLook w:val="0000" w:firstRow="0" w:lastRow="0" w:firstColumn="0" w:lastColumn="0" w:noHBand="0" w:noVBand="0"/>
      </w:tblPr>
      <w:tblGrid>
        <w:gridCol w:w="7710"/>
      </w:tblGrid>
      <w:tr w:rsidR="00B90C71" w14:paraId="7B3C4B31" w14:textId="77777777" w:rsidTr="00684022">
        <w:trPr>
          <w:cantSplit/>
        </w:trPr>
        <w:tc>
          <w:tcPr>
            <w:tcW w:w="5000" w:type="pct"/>
            <w:shd w:val="clear" w:color="auto" w:fill="EBEBEB"/>
          </w:tcPr>
          <w:p w14:paraId="57E183EB" w14:textId="5D8AFD00" w:rsidR="00B90C71" w:rsidRPr="00FD48A9" w:rsidRDefault="00357FE9" w:rsidP="00B90C71">
            <w:pPr>
              <w:pStyle w:val="BoxHeading"/>
            </w:pPr>
            <w:r>
              <w:fldChar w:fldCharType="begin"/>
            </w:r>
            <w:r>
              <w:instrText xml:space="preserve"> :Start:MECD_TP4 </w:instrText>
            </w:r>
            <w:r>
              <w:fldChar w:fldCharType="end"/>
            </w:r>
            <w:r w:rsidR="00B90C71" w:rsidRPr="00FD48A9">
              <w:t>Box 2.4: Fiscal response to the COVID</w:t>
            </w:r>
            <w:r w:rsidR="00B90C71">
              <w:noBreakHyphen/>
            </w:r>
            <w:r w:rsidR="00B90C71" w:rsidRPr="00FD48A9">
              <w:t>19 pandemic (continued)</w:t>
            </w:r>
          </w:p>
          <w:p w14:paraId="76262DBF" w14:textId="77777777" w:rsidR="00B90C71" w:rsidRPr="00FD48A9" w:rsidRDefault="00B90C71" w:rsidP="00B90C71">
            <w:pPr>
              <w:pStyle w:val="BoxText"/>
            </w:pPr>
            <w:r w:rsidRPr="00FD48A9">
              <w:t>The economic impact of the Government</w:t>
            </w:r>
            <w:r>
              <w:t>’</w:t>
            </w:r>
            <w:r w:rsidRPr="00FD48A9">
              <w:t xml:space="preserve">s direct fiscal policy measures </w:t>
            </w:r>
            <w:proofErr w:type="gramStart"/>
            <w:r w:rsidRPr="00FD48A9">
              <w:t>has been estimated</w:t>
            </w:r>
            <w:proofErr w:type="gramEnd"/>
            <w:r w:rsidRPr="00FD48A9">
              <w:t xml:space="preserve"> using Treasury</w:t>
            </w:r>
            <w:r>
              <w:t>’</w:t>
            </w:r>
            <w:r w:rsidRPr="00FD48A9">
              <w:t>s macroeconomic model, drawing upon estimates of first</w:t>
            </w:r>
            <w:r>
              <w:noBreakHyphen/>
            </w:r>
            <w:r w:rsidRPr="00FD48A9">
              <w:t xml:space="preserve">round fiscal multipliers of individual measures, analysis of the impact of the </w:t>
            </w:r>
            <w:proofErr w:type="spellStart"/>
            <w:r w:rsidRPr="00FD48A9">
              <w:t>JobKeeper</w:t>
            </w:r>
            <w:proofErr w:type="spellEnd"/>
            <w:r w:rsidRPr="00FD48A9">
              <w:t xml:space="preserve"> Payment on the labour market, and judgments about the impact of the economic support on business and household confidence.</w:t>
            </w:r>
          </w:p>
          <w:p w14:paraId="52CC1B33" w14:textId="2DB50284" w:rsidR="00B90C71" w:rsidRDefault="00B90C71" w:rsidP="00B90C71">
            <w:pPr>
              <w:pStyle w:val="BoxText"/>
            </w:pPr>
            <w:r w:rsidRPr="00FD48A9">
              <w:t xml:space="preserve">The analysis is contingent on </w:t>
            </w:r>
            <w:r>
              <w:t>the</w:t>
            </w:r>
            <w:r w:rsidRPr="00FD48A9">
              <w:t xml:space="preserve"> forecasts of the evolution of the domestic and international economies and the assumptions that underpin the forecasts about the spread of the virus, industry containment measures and physical distancing.</w:t>
            </w:r>
            <w:r w:rsidR="00357FE9">
              <w:fldChar w:fldCharType="begin"/>
            </w:r>
            <w:r w:rsidR="00357FE9">
              <w:instrText xml:space="preserve"> :End:MECD_TP4 </w:instrText>
            </w:r>
            <w:r w:rsidR="00357FE9">
              <w:fldChar w:fldCharType="end"/>
            </w:r>
          </w:p>
        </w:tc>
      </w:tr>
    </w:tbl>
    <w:p w14:paraId="3EF7FD49" w14:textId="77777777" w:rsidR="00B90C71" w:rsidRDefault="00B90C71" w:rsidP="00B90C71">
      <w:pPr>
        <w:pStyle w:val="SingleParagraph"/>
      </w:pPr>
    </w:p>
    <w:p w14:paraId="476B6DEF" w14:textId="116D943E" w:rsidR="00D131AE" w:rsidRPr="00FD48A9" w:rsidRDefault="00BB77D0" w:rsidP="00DC50E1">
      <w:pPr>
        <w:spacing w:after="200"/>
      </w:pPr>
      <w:r w:rsidRPr="00FD48A9">
        <w:rPr>
          <w:b/>
        </w:rPr>
        <w:fldChar w:fldCharType="begin"/>
      </w:r>
      <w:r w:rsidRPr="00FD48A9">
        <w:rPr>
          <w:b/>
        </w:rPr>
        <w:instrText xml:space="preserve"> :Start:MECD_TP3 </w:instrText>
      </w:r>
      <w:r w:rsidRPr="00FD48A9">
        <w:rPr>
          <w:b/>
        </w:rPr>
        <w:fldChar w:fldCharType="end"/>
      </w:r>
      <w:r w:rsidR="00D131AE" w:rsidRPr="00FD48A9">
        <w:rPr>
          <w:b/>
        </w:rPr>
        <w:t>Dwelling investment</w:t>
      </w:r>
      <w:r w:rsidR="00D131AE" w:rsidRPr="00FD48A9">
        <w:t xml:space="preserve"> </w:t>
      </w:r>
      <w:proofErr w:type="gramStart"/>
      <w:r w:rsidR="00D131AE" w:rsidRPr="00FD48A9">
        <w:t>is forecast</w:t>
      </w:r>
      <w:proofErr w:type="gramEnd"/>
      <w:r w:rsidR="00D131AE" w:rsidRPr="00FD48A9">
        <w:t xml:space="preserve"> to fall by </w:t>
      </w:r>
      <w:r w:rsidR="0029396A" w:rsidRPr="00FD48A9">
        <w:t>16</w:t>
      </w:r>
      <w:r w:rsidR="00D131AE" w:rsidRPr="00FD48A9">
        <w:t xml:space="preserve"> per cent in 2020</w:t>
      </w:r>
      <w:r w:rsidR="00C77479">
        <w:noBreakHyphen/>
      </w:r>
      <w:r w:rsidR="00D131AE" w:rsidRPr="00FD48A9">
        <w:t xml:space="preserve">21. The fall in the June quarter </w:t>
      </w:r>
      <w:proofErr w:type="gramStart"/>
      <w:r w:rsidR="00D131AE" w:rsidRPr="00FD48A9">
        <w:t>is forecast</w:t>
      </w:r>
      <w:proofErr w:type="gramEnd"/>
      <w:r w:rsidR="00D131AE" w:rsidRPr="00FD48A9">
        <w:t xml:space="preserve"> to be </w:t>
      </w:r>
      <w:r w:rsidR="0029396A" w:rsidRPr="00FD48A9">
        <w:t>7</w:t>
      </w:r>
      <w:r w:rsidR="00D131AE" w:rsidRPr="00FD48A9">
        <w:t xml:space="preserve"> per cent, given cancellations and delays in residential projects reflecting reduced demand, health restrictions on con</w:t>
      </w:r>
      <w:r w:rsidR="00B04E5F" w:rsidRPr="00FD48A9">
        <w:t>struction sites and some supply</w:t>
      </w:r>
      <w:r w:rsidR="00C77479">
        <w:noBreakHyphen/>
      </w:r>
      <w:r w:rsidR="00D131AE" w:rsidRPr="00FD48A9">
        <w:t xml:space="preserve">chain disruptions. A further </w:t>
      </w:r>
      <w:r w:rsidR="0029396A" w:rsidRPr="00FD48A9">
        <w:t xml:space="preserve">11 per cent </w:t>
      </w:r>
      <w:r w:rsidR="00D131AE" w:rsidRPr="00FD48A9">
        <w:t xml:space="preserve">decline in dwelling investment </w:t>
      </w:r>
      <w:proofErr w:type="gramStart"/>
      <w:r w:rsidR="00D131AE" w:rsidRPr="00FD48A9">
        <w:t>is anticipated</w:t>
      </w:r>
      <w:proofErr w:type="gramEnd"/>
      <w:r w:rsidR="00D131AE" w:rsidRPr="00FD48A9">
        <w:t xml:space="preserve"> in the September quarter. The </w:t>
      </w:r>
      <w:proofErr w:type="spellStart"/>
      <w:r w:rsidR="00D131AE" w:rsidRPr="00FD48A9">
        <w:t>HomeBuilder</w:t>
      </w:r>
      <w:proofErr w:type="spellEnd"/>
      <w:r w:rsidR="00D131AE" w:rsidRPr="00FD48A9">
        <w:t xml:space="preserve"> program </w:t>
      </w:r>
      <w:proofErr w:type="gramStart"/>
      <w:r w:rsidR="00D131AE" w:rsidRPr="00FD48A9">
        <w:t>is expected</w:t>
      </w:r>
      <w:proofErr w:type="gramEnd"/>
      <w:r w:rsidR="00D131AE" w:rsidRPr="00FD48A9">
        <w:t xml:space="preserve"> to provide </w:t>
      </w:r>
      <w:r w:rsidR="00FA607A" w:rsidRPr="00FD48A9">
        <w:t>a</w:t>
      </w:r>
      <w:r w:rsidR="006E1A5E" w:rsidRPr="00FD48A9">
        <w:t xml:space="preserve"> significant</w:t>
      </w:r>
      <w:r w:rsidR="00FA607A" w:rsidRPr="00FD48A9">
        <w:t xml:space="preserve"> boost </w:t>
      </w:r>
      <w:r w:rsidR="00D131AE" w:rsidRPr="00FD48A9">
        <w:t>to the future pipeline of work</w:t>
      </w:r>
      <w:r w:rsidR="003925F9" w:rsidRPr="00FD48A9">
        <w:t>,</w:t>
      </w:r>
      <w:r w:rsidR="00A22586" w:rsidRPr="00FD48A9">
        <w:t xml:space="preserve"> and there are early indications that it has already improved confidence and incentivised some buyers to return to the market. The program </w:t>
      </w:r>
      <w:proofErr w:type="gramStart"/>
      <w:r w:rsidR="00A22586" w:rsidRPr="00FD48A9">
        <w:t>is expected</w:t>
      </w:r>
      <w:proofErr w:type="gramEnd"/>
      <w:r w:rsidR="00A22586" w:rsidRPr="00FD48A9">
        <w:t xml:space="preserve"> to</w:t>
      </w:r>
      <w:r w:rsidR="00FA607A" w:rsidRPr="00FD48A9">
        <w:t xml:space="preserve"> </w:t>
      </w:r>
      <w:r w:rsidR="00A22586" w:rsidRPr="00FD48A9">
        <w:t xml:space="preserve">contribute </w:t>
      </w:r>
      <w:r w:rsidR="00FA607A" w:rsidRPr="00FD48A9">
        <w:t>around $</w:t>
      </w:r>
      <w:r w:rsidR="0029396A" w:rsidRPr="00FD48A9">
        <w:t>1.6 billion</w:t>
      </w:r>
      <w:r w:rsidR="00FA607A" w:rsidRPr="00FD48A9">
        <w:t xml:space="preserve"> to activity</w:t>
      </w:r>
      <w:r w:rsidR="0029396A" w:rsidRPr="00FD48A9">
        <w:t xml:space="preserve"> in 2020</w:t>
      </w:r>
      <w:r w:rsidR="00C77479">
        <w:noBreakHyphen/>
      </w:r>
      <w:r w:rsidR="0029396A" w:rsidRPr="00FD48A9">
        <w:t>21</w:t>
      </w:r>
      <w:r w:rsidR="003925F9" w:rsidRPr="00FD48A9">
        <w:t>,</w:t>
      </w:r>
      <w:r w:rsidR="00D131AE" w:rsidRPr="00FD48A9">
        <w:t xml:space="preserve"> but total residential construction activity is expected to remain subdued for some time</w:t>
      </w:r>
      <w:r w:rsidR="00CA125F">
        <w:t xml:space="preserve">. </w:t>
      </w:r>
    </w:p>
    <w:p w14:paraId="7F653A38" w14:textId="4C1B1FC7" w:rsidR="00D131AE" w:rsidRPr="00FD48A9" w:rsidRDefault="00D131AE" w:rsidP="00DC50E1">
      <w:pPr>
        <w:spacing w:after="200"/>
      </w:pPr>
      <w:r w:rsidRPr="00FD48A9">
        <w:rPr>
          <w:b/>
        </w:rPr>
        <w:t>New business investment</w:t>
      </w:r>
      <w:r w:rsidRPr="00FD48A9">
        <w:t xml:space="preserve"> </w:t>
      </w:r>
      <w:proofErr w:type="gramStart"/>
      <w:r w:rsidRPr="00FD48A9">
        <w:t>is forecast</w:t>
      </w:r>
      <w:proofErr w:type="gramEnd"/>
      <w:r w:rsidRPr="00FD48A9">
        <w:t xml:space="preserve"> to fall by </w:t>
      </w:r>
      <w:r w:rsidR="0029396A" w:rsidRPr="00FD48A9">
        <w:t xml:space="preserve">12½ </w:t>
      </w:r>
      <w:r w:rsidRPr="00FD48A9">
        <w:t>per cent in 2020</w:t>
      </w:r>
      <w:r w:rsidR="00C77479">
        <w:noBreakHyphen/>
      </w:r>
      <w:r w:rsidRPr="00FD48A9">
        <w:t>21, driven by a significant deterioration in the outlook for non</w:t>
      </w:r>
      <w:r w:rsidR="00C77479">
        <w:noBreakHyphen/>
      </w:r>
      <w:r w:rsidRPr="00FD48A9">
        <w:t xml:space="preserve">mining investment, which is forecast to fall by </w:t>
      </w:r>
      <w:r w:rsidR="0029396A" w:rsidRPr="00FD48A9">
        <w:t xml:space="preserve">25½ </w:t>
      </w:r>
      <w:r w:rsidRPr="00FD48A9">
        <w:t xml:space="preserve">per cent in the June quarter. Containment measures alongside an environment of uncertainty </w:t>
      </w:r>
      <w:proofErr w:type="gramStart"/>
      <w:r w:rsidRPr="00FD48A9">
        <w:t>are expected</w:t>
      </w:r>
      <w:proofErr w:type="gramEnd"/>
      <w:r w:rsidRPr="00FD48A9">
        <w:t xml:space="preserve"> to drive a sharp decline in machinery and equipment investment, as </w:t>
      </w:r>
      <w:r w:rsidR="00FC74E6" w:rsidRPr="00FD48A9">
        <w:t xml:space="preserve">businesses </w:t>
      </w:r>
      <w:r w:rsidRPr="00FD48A9">
        <w:t>seek to preserve cash while operations are impacted by restrictions. Real</w:t>
      </w:r>
      <w:r w:rsidR="00C77479">
        <w:noBreakHyphen/>
      </w:r>
      <w:r w:rsidRPr="00FD48A9">
        <w:t>time data suggest that around three</w:t>
      </w:r>
      <w:r w:rsidR="00C77479">
        <w:noBreakHyphen/>
      </w:r>
      <w:r w:rsidRPr="00FD48A9">
        <w:t xml:space="preserve">quarters of firms have been operating under modified conditions </w:t>
      </w:r>
      <w:proofErr w:type="gramStart"/>
      <w:r w:rsidRPr="00FD48A9">
        <w:t>as a result</w:t>
      </w:r>
      <w:proofErr w:type="gramEnd"/>
      <w:r w:rsidRPr="00FD48A9">
        <w:t xml:space="preserve"> of the pandemic, including changed workplace practices, payment methods, operating hours and suppliers. Business solvency is also at risk with around two</w:t>
      </w:r>
      <w:r w:rsidR="00C77479">
        <w:noBreakHyphen/>
      </w:r>
      <w:r w:rsidRPr="00FD48A9">
        <w:t>thirds of all businesses reporting decreases in revenue and a number of firms deferring loan repayments and renegotiating lease</w:t>
      </w:r>
      <w:r w:rsidR="00B04E5F" w:rsidRPr="00FD48A9">
        <w:t> </w:t>
      </w:r>
      <w:r w:rsidRPr="00FD48A9">
        <w:t xml:space="preserve">agreements. </w:t>
      </w:r>
    </w:p>
    <w:p w14:paraId="697772B9" w14:textId="4749D1BF" w:rsidR="00D131AE" w:rsidRPr="00FD48A9" w:rsidRDefault="00D131AE" w:rsidP="00DC50E1">
      <w:pPr>
        <w:spacing w:after="200"/>
      </w:pPr>
      <w:r w:rsidRPr="00FD48A9">
        <w:t>Non</w:t>
      </w:r>
      <w:r w:rsidR="00C77479">
        <w:noBreakHyphen/>
      </w:r>
      <w:r w:rsidRPr="00FD48A9">
        <w:t xml:space="preserve">mining business investment </w:t>
      </w:r>
      <w:proofErr w:type="gramStart"/>
      <w:r w:rsidRPr="00FD48A9">
        <w:t>is forecast</w:t>
      </w:r>
      <w:proofErr w:type="gramEnd"/>
      <w:r w:rsidRPr="00FD48A9">
        <w:t xml:space="preserve"> to </w:t>
      </w:r>
      <w:r w:rsidR="0029396A" w:rsidRPr="00FD48A9">
        <w:t xml:space="preserve">decrease </w:t>
      </w:r>
      <w:r w:rsidRPr="00FD48A9">
        <w:t xml:space="preserve">by </w:t>
      </w:r>
      <w:r w:rsidR="0029396A" w:rsidRPr="00FD48A9">
        <w:t>a further</w:t>
      </w:r>
      <w:r w:rsidRPr="00FD48A9">
        <w:t xml:space="preserve"> </w:t>
      </w:r>
      <w:r w:rsidR="0029396A" w:rsidRPr="00FD48A9">
        <w:t xml:space="preserve">2½ </w:t>
      </w:r>
      <w:r w:rsidRPr="00FD48A9">
        <w:t>per cent in the September quarter</w:t>
      </w:r>
      <w:r w:rsidR="0029396A" w:rsidRPr="00FD48A9">
        <w:t xml:space="preserve">. Investment </w:t>
      </w:r>
      <w:proofErr w:type="gramStart"/>
      <w:r w:rsidR="0029396A" w:rsidRPr="00FD48A9">
        <w:t>is expected to be</w:t>
      </w:r>
      <w:r w:rsidRPr="00FD48A9">
        <w:t xml:space="preserve"> supported</w:t>
      </w:r>
      <w:proofErr w:type="gramEnd"/>
      <w:r w:rsidRPr="00FD48A9">
        <w:t xml:space="preserve"> </w:t>
      </w:r>
      <w:r w:rsidR="0029396A" w:rsidRPr="00FD48A9">
        <w:t>over 2020</w:t>
      </w:r>
      <w:r w:rsidR="00C77479">
        <w:noBreakHyphen/>
      </w:r>
      <w:r w:rsidR="0029396A" w:rsidRPr="00FD48A9">
        <w:t xml:space="preserve">21 </w:t>
      </w:r>
      <w:r w:rsidRPr="00FD48A9">
        <w:t xml:space="preserve">by </w:t>
      </w:r>
      <w:r w:rsidR="00FC74E6" w:rsidRPr="00FD48A9">
        <w:t xml:space="preserve">Government </w:t>
      </w:r>
      <w:r w:rsidRPr="00FD48A9">
        <w:t>policies</w:t>
      </w:r>
      <w:r w:rsidR="0001215C" w:rsidRPr="00FD48A9">
        <w:t xml:space="preserve"> such as </w:t>
      </w:r>
      <w:r w:rsidR="0029396A" w:rsidRPr="00FD48A9">
        <w:t>accelerated depreciation deductions and the expansion to the instant asset write</w:t>
      </w:r>
      <w:r w:rsidR="00C77479">
        <w:noBreakHyphen/>
      </w:r>
      <w:r w:rsidR="0029396A" w:rsidRPr="00FD48A9">
        <w:t>off</w:t>
      </w:r>
      <w:r w:rsidRPr="00FD48A9">
        <w:t>. However, elevated uncertainty</w:t>
      </w:r>
      <w:r w:rsidR="0001215C" w:rsidRPr="00FD48A9">
        <w:t>,</w:t>
      </w:r>
      <w:r w:rsidR="002A0D3E" w:rsidRPr="00FD48A9">
        <w:t xml:space="preserve"> </w:t>
      </w:r>
      <w:r w:rsidR="00F5498D" w:rsidRPr="00FD48A9">
        <w:t xml:space="preserve">downgrades to </w:t>
      </w:r>
      <w:r w:rsidR="002A0D3E" w:rsidRPr="00FD48A9">
        <w:t>investment intentions</w:t>
      </w:r>
      <w:r w:rsidRPr="00FD48A9">
        <w:t xml:space="preserve"> and lags between approvals and activity in the construction sector </w:t>
      </w:r>
      <w:proofErr w:type="gramStart"/>
      <w:r w:rsidRPr="00FD48A9">
        <w:t>are expected</w:t>
      </w:r>
      <w:proofErr w:type="gramEnd"/>
      <w:r w:rsidRPr="00FD48A9">
        <w:t xml:space="preserve"> to </w:t>
      </w:r>
      <w:r w:rsidR="002D1DB8" w:rsidRPr="00FD48A9">
        <w:t>result in</w:t>
      </w:r>
      <w:r w:rsidRPr="00FD48A9">
        <w:t xml:space="preserve"> a more gradual recovery in business investment than in household consumption</w:t>
      </w:r>
      <w:r w:rsidR="00CA125F">
        <w:t xml:space="preserve">. </w:t>
      </w:r>
    </w:p>
    <w:p w14:paraId="26791121" w14:textId="439AB001" w:rsidR="00D131AE" w:rsidRPr="00FD48A9" w:rsidRDefault="00D131AE" w:rsidP="00DC50E1">
      <w:pPr>
        <w:spacing w:after="200"/>
      </w:pPr>
      <w:r w:rsidRPr="00FD48A9">
        <w:t xml:space="preserve">Mining investment </w:t>
      </w:r>
      <w:proofErr w:type="gramStart"/>
      <w:r w:rsidRPr="00FD48A9">
        <w:t>is expected</w:t>
      </w:r>
      <w:proofErr w:type="gramEnd"/>
      <w:r w:rsidRPr="00FD48A9">
        <w:t xml:space="preserve"> to grow for the first time in seven years by </w:t>
      </w:r>
      <w:r w:rsidR="00466C53" w:rsidRPr="00FD48A9">
        <w:t>4</w:t>
      </w:r>
      <w:r w:rsidRPr="00FD48A9">
        <w:t xml:space="preserve"> per cent in 2019</w:t>
      </w:r>
      <w:r w:rsidR="00C77479">
        <w:noBreakHyphen/>
      </w:r>
      <w:r w:rsidRPr="00FD48A9">
        <w:t xml:space="preserve">20 and another </w:t>
      </w:r>
      <w:r w:rsidR="00466C53" w:rsidRPr="00FD48A9">
        <w:t xml:space="preserve">9½ </w:t>
      </w:r>
      <w:r w:rsidRPr="00FD48A9">
        <w:t>per cent in 2020</w:t>
      </w:r>
      <w:r w:rsidR="00C77479">
        <w:noBreakHyphen/>
      </w:r>
      <w:r w:rsidRPr="00FD48A9">
        <w:t>21</w:t>
      </w:r>
      <w:r w:rsidR="001166C1">
        <w:t xml:space="preserve"> (Chart 2</w:t>
      </w:r>
      <w:r w:rsidR="00941B13">
        <w:t>.13)</w:t>
      </w:r>
      <w:r w:rsidRPr="00FD48A9">
        <w:t xml:space="preserve">. Industry consultation and recent capital expenditure data suggest that investment in large iron ore projects </w:t>
      </w:r>
      <w:proofErr w:type="gramStart"/>
      <w:r w:rsidRPr="00FD48A9">
        <w:t>is expected</w:t>
      </w:r>
      <w:proofErr w:type="gramEnd"/>
      <w:r w:rsidRPr="00FD48A9">
        <w:t xml:space="preserve"> to </w:t>
      </w:r>
      <w:r w:rsidRPr="00FD48A9">
        <w:lastRenderedPageBreak/>
        <w:t>continue in order to sustain productive capacity and maintain large capital stocks accumulated over the investment boom. However, global uncertainty and lower commodity prices have led to delays in final investment decisions for new projects.</w:t>
      </w:r>
    </w:p>
    <w:p w14:paraId="0D92E460" w14:textId="1C052BB2" w:rsidR="00D131AE" w:rsidRDefault="00FC3D7B" w:rsidP="00D131AE">
      <w:pPr>
        <w:pStyle w:val="ChartHeading"/>
      </w:pPr>
      <w:r w:rsidRPr="00FD48A9">
        <w:t xml:space="preserve">Chart </w:t>
      </w:r>
      <w:r w:rsidR="00F10DF0" w:rsidRPr="00FD48A9">
        <w:t>2.</w:t>
      </w:r>
      <w:r w:rsidR="00B26BCD" w:rsidRPr="00FD48A9">
        <w:t>13</w:t>
      </w:r>
      <w:r w:rsidR="00D131AE" w:rsidRPr="00FD48A9">
        <w:t xml:space="preserve">: </w:t>
      </w:r>
      <w:r w:rsidR="000A32FA" w:rsidRPr="00FD48A9">
        <w:t>Business investment</w:t>
      </w:r>
    </w:p>
    <w:p w14:paraId="3FD81C35" w14:textId="5EEBB2A1" w:rsidR="000A32FA" w:rsidRPr="00FD48A9" w:rsidRDefault="00C13CE1" w:rsidP="00C13CE1">
      <w:pPr>
        <w:pStyle w:val="ChartGraphic"/>
      </w:pPr>
      <w:r>
        <w:rPr>
          <w:noProof/>
        </w:rPr>
        <w:drawing>
          <wp:inline distT="0" distB="0" distL="0" distR="0" wp14:anchorId="5FE07F6C" wp14:editId="5EC3C065">
            <wp:extent cx="4681855" cy="2517775"/>
            <wp:effectExtent l="0" t="0" r="0" b="0"/>
            <wp:docPr id="46" name="Picture 46" descr="This chart shows the mining and non-mining business investment shares of nominal GDP as well as forecasts until the end of 2020-21. It shows that non-mining investment has been slowly declining, and will fall further as a share of GDP over the forecast period. However, the chart also shows mining investment is forecast to slowly increase as a share of GDP, after strong declines since 2012 following the peak of the mining investment boo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1855" cy="2517775"/>
                    </a:xfrm>
                    <a:prstGeom prst="rect">
                      <a:avLst/>
                    </a:prstGeom>
                    <a:noFill/>
                  </pic:spPr>
                </pic:pic>
              </a:graphicData>
            </a:graphic>
          </wp:inline>
        </w:drawing>
      </w:r>
    </w:p>
    <w:p w14:paraId="76BD116C" w14:textId="43FB84C5" w:rsidR="004F4A88" w:rsidRPr="00FD48A9" w:rsidRDefault="004F4A88" w:rsidP="004F4A88">
      <w:pPr>
        <w:pStyle w:val="ChartGraphic"/>
        <w:jc w:val="left"/>
        <w:rPr>
          <w:sz w:val="16"/>
        </w:rPr>
      </w:pPr>
      <w:r w:rsidRPr="00FD48A9">
        <w:rPr>
          <w:sz w:val="16"/>
        </w:rPr>
        <w:t xml:space="preserve">Source: ABS cat. </w:t>
      </w:r>
      <w:proofErr w:type="gramStart"/>
      <w:r w:rsidRPr="00FD48A9">
        <w:rPr>
          <w:sz w:val="16"/>
        </w:rPr>
        <w:t>no</w:t>
      </w:r>
      <w:proofErr w:type="gramEnd"/>
      <w:r w:rsidRPr="00FD48A9">
        <w:rPr>
          <w:sz w:val="16"/>
        </w:rPr>
        <w:t>. 520</w:t>
      </w:r>
      <w:r w:rsidR="00466C53" w:rsidRPr="00FD48A9">
        <w:rPr>
          <w:sz w:val="16"/>
        </w:rPr>
        <w:t>6</w:t>
      </w:r>
      <w:r w:rsidRPr="00FD48A9">
        <w:rPr>
          <w:sz w:val="16"/>
        </w:rPr>
        <w:t>.0 and Treasury</w:t>
      </w:r>
      <w:r w:rsidR="006C0B93" w:rsidRPr="00FD48A9">
        <w:rPr>
          <w:sz w:val="16"/>
        </w:rPr>
        <w:t>.</w:t>
      </w:r>
    </w:p>
    <w:p w14:paraId="18AEFB80" w14:textId="77777777" w:rsidR="000A32FA" w:rsidRPr="00FD48A9" w:rsidRDefault="000A32FA" w:rsidP="00851321">
      <w:pPr>
        <w:pStyle w:val="SingleParagraph"/>
      </w:pPr>
    </w:p>
    <w:p w14:paraId="574FF1FE" w14:textId="769BFC44" w:rsidR="00D131AE" w:rsidRPr="00FD48A9" w:rsidRDefault="00D131AE" w:rsidP="00D131AE">
      <w:r w:rsidRPr="00FD48A9">
        <w:rPr>
          <w:b/>
        </w:rPr>
        <w:t>New public final demand</w:t>
      </w:r>
      <w:r w:rsidRPr="00FD48A9">
        <w:t xml:space="preserve"> </w:t>
      </w:r>
      <w:proofErr w:type="gramStart"/>
      <w:r w:rsidRPr="00FD48A9">
        <w:t>is forecast</w:t>
      </w:r>
      <w:proofErr w:type="gramEnd"/>
      <w:r w:rsidRPr="00FD48A9">
        <w:t xml:space="preserve"> to increase by </w:t>
      </w:r>
      <w:r w:rsidR="00466C53" w:rsidRPr="00FD48A9">
        <w:t>4½</w:t>
      </w:r>
      <w:r w:rsidRPr="00FD48A9">
        <w:t xml:space="preserve"> per cent in 2020</w:t>
      </w:r>
      <w:r w:rsidR="00C77479">
        <w:noBreakHyphen/>
      </w:r>
      <w:r w:rsidRPr="00FD48A9">
        <w:t xml:space="preserve">21, with spending on the National Disability Insurance Scheme, transport infrastructure, healthcare and other essential services continuing to support the economy. While the Government has put in place significant economic support measures, most of these measures affect activity in household consumption and </w:t>
      </w:r>
      <w:r w:rsidR="00466C53" w:rsidRPr="00FD48A9">
        <w:t xml:space="preserve">private </w:t>
      </w:r>
      <w:r w:rsidRPr="00FD48A9">
        <w:t>investment rather than public final demand.</w:t>
      </w:r>
    </w:p>
    <w:p w14:paraId="3103832D" w14:textId="53997282" w:rsidR="00D131AE" w:rsidRPr="00FD48A9" w:rsidRDefault="00BB77D0" w:rsidP="00D131AE">
      <w:r w:rsidRPr="00FD48A9">
        <w:rPr>
          <w:b/>
        </w:rPr>
        <w:fldChar w:fldCharType="begin"/>
      </w:r>
      <w:r w:rsidRPr="00FD48A9">
        <w:rPr>
          <w:b/>
        </w:rPr>
        <w:instrText xml:space="preserve"> :End:MECD_TP3 </w:instrText>
      </w:r>
      <w:r w:rsidRPr="00FD48A9">
        <w:rPr>
          <w:b/>
        </w:rPr>
        <w:fldChar w:fldCharType="end"/>
      </w:r>
      <w:r w:rsidR="00315E1E" w:rsidRPr="00FD48A9">
        <w:rPr>
          <w:b/>
        </w:rPr>
        <w:fldChar w:fldCharType="begin"/>
      </w:r>
      <w:r w:rsidR="00315E1E" w:rsidRPr="00FD48A9">
        <w:rPr>
          <w:b/>
        </w:rPr>
        <w:instrText xml:space="preserve"> :Start:MECD_TP1 </w:instrText>
      </w:r>
      <w:r w:rsidR="00315E1E" w:rsidRPr="00FD48A9">
        <w:rPr>
          <w:b/>
        </w:rPr>
        <w:fldChar w:fldCharType="end"/>
      </w:r>
      <w:r w:rsidR="00D131AE" w:rsidRPr="00FD48A9">
        <w:rPr>
          <w:b/>
        </w:rPr>
        <w:t>Net exports</w:t>
      </w:r>
      <w:r w:rsidR="00D131AE" w:rsidRPr="00FD48A9">
        <w:t xml:space="preserve"> are forecast to </w:t>
      </w:r>
      <w:r w:rsidR="0001215C" w:rsidRPr="00FD48A9">
        <w:t>modestly</w:t>
      </w:r>
      <w:r w:rsidR="00D131AE" w:rsidRPr="00FD48A9">
        <w:t xml:space="preserve"> </w:t>
      </w:r>
      <w:r w:rsidR="002D1DB8" w:rsidRPr="00FD48A9">
        <w:t>detract from</w:t>
      </w:r>
      <w:r w:rsidR="00D131AE" w:rsidRPr="00FD48A9">
        <w:t xml:space="preserve"> GDP growth in 2020</w:t>
      </w:r>
      <w:r w:rsidR="00C77479">
        <w:noBreakHyphen/>
      </w:r>
      <w:r w:rsidR="00D131AE" w:rsidRPr="00FD48A9">
        <w:t xml:space="preserve">21, </w:t>
      </w:r>
      <w:r w:rsidR="007414ED" w:rsidRPr="00FD48A9">
        <w:t xml:space="preserve">following a </w:t>
      </w:r>
      <w:proofErr w:type="gramStart"/>
      <w:r w:rsidR="007414ED" w:rsidRPr="00FD48A9">
        <w:t>1¼ percentage</w:t>
      </w:r>
      <w:proofErr w:type="gramEnd"/>
      <w:r w:rsidR="007414ED" w:rsidRPr="00FD48A9">
        <w:t xml:space="preserve"> point contribution to growth in 2019</w:t>
      </w:r>
      <w:r w:rsidR="00C77479">
        <w:noBreakHyphen/>
      </w:r>
      <w:r w:rsidR="007414ED" w:rsidRPr="00FD48A9">
        <w:t xml:space="preserve">20. </w:t>
      </w:r>
      <w:r w:rsidR="00BE7FC8" w:rsidRPr="00FD48A9">
        <w:t>These forecasts</w:t>
      </w:r>
      <w:r w:rsidR="007414ED" w:rsidRPr="00FD48A9">
        <w:t xml:space="preserve"> largely reflect bans on international travel and a recovery in goods import volumes</w:t>
      </w:r>
      <w:r w:rsidR="001A219F" w:rsidRPr="00FD48A9">
        <w:t xml:space="preserve"> over 2020</w:t>
      </w:r>
      <w:r w:rsidR="00C77479">
        <w:noBreakHyphen/>
      </w:r>
      <w:r w:rsidR="001A219F" w:rsidRPr="00FD48A9">
        <w:t>21</w:t>
      </w:r>
      <w:r w:rsidR="00D131AE" w:rsidRPr="00FD48A9">
        <w:t xml:space="preserve">. Exports </w:t>
      </w:r>
      <w:proofErr w:type="gramStart"/>
      <w:r w:rsidR="00D131AE" w:rsidRPr="00FD48A9">
        <w:t>are forecast</w:t>
      </w:r>
      <w:proofErr w:type="gramEnd"/>
      <w:r w:rsidR="00D131AE" w:rsidRPr="00FD48A9">
        <w:t xml:space="preserve"> to fall by </w:t>
      </w:r>
      <w:r w:rsidR="003D6D16" w:rsidRPr="00FD48A9">
        <w:t>6</w:t>
      </w:r>
      <w:r w:rsidR="000061B6" w:rsidRPr="00FD48A9">
        <w:t>½</w:t>
      </w:r>
      <w:r w:rsidR="00D131AE" w:rsidRPr="00FD48A9">
        <w:t xml:space="preserve"> per cent in 2020</w:t>
      </w:r>
      <w:r w:rsidR="00C77479">
        <w:noBreakHyphen/>
      </w:r>
      <w:r w:rsidR="00D131AE" w:rsidRPr="00FD48A9">
        <w:t xml:space="preserve">21, largely driven by a </w:t>
      </w:r>
      <w:r w:rsidR="003D6D16" w:rsidRPr="00FD48A9">
        <w:t>32½</w:t>
      </w:r>
      <w:r w:rsidR="00D131AE" w:rsidRPr="00FD48A9">
        <w:t xml:space="preserve"> per cent fall in services exports. Imports </w:t>
      </w:r>
      <w:proofErr w:type="gramStart"/>
      <w:r w:rsidR="00D131AE" w:rsidRPr="00FD48A9">
        <w:t>are forecast</w:t>
      </w:r>
      <w:proofErr w:type="gramEnd"/>
      <w:r w:rsidR="00D131AE" w:rsidRPr="00FD48A9">
        <w:t xml:space="preserve"> to fall by </w:t>
      </w:r>
      <w:r w:rsidR="005B0815" w:rsidRPr="00FD48A9">
        <w:t>6</w:t>
      </w:r>
      <w:r w:rsidR="00D131AE" w:rsidRPr="00FD48A9">
        <w:t xml:space="preserve"> per cent</w:t>
      </w:r>
      <w:r w:rsidR="005B0815" w:rsidRPr="00FD48A9">
        <w:t xml:space="preserve"> in 2020</w:t>
      </w:r>
      <w:r w:rsidR="00C77479">
        <w:noBreakHyphen/>
      </w:r>
      <w:r w:rsidR="005B0815" w:rsidRPr="00FD48A9">
        <w:t>21</w:t>
      </w:r>
      <w:r w:rsidR="00D131AE" w:rsidRPr="00FD48A9">
        <w:t>.</w:t>
      </w:r>
    </w:p>
    <w:p w14:paraId="2A69140B" w14:textId="01E17A84" w:rsidR="00D131AE" w:rsidRPr="00FD48A9" w:rsidRDefault="00D131AE" w:rsidP="00D131AE">
      <w:r w:rsidRPr="00FD48A9">
        <w:t xml:space="preserve">International travel restrictions have significantly affected tourism and education markets all over the world. In Australia, many international students did not make it into the country before the border </w:t>
      </w:r>
      <w:proofErr w:type="gramStart"/>
      <w:r w:rsidRPr="00FD48A9">
        <w:t>was closed</w:t>
      </w:r>
      <w:proofErr w:type="gramEnd"/>
      <w:r w:rsidRPr="00FD48A9">
        <w:t>, and international tourism</w:t>
      </w:r>
      <w:r w:rsidR="007414ED" w:rsidRPr="00FD48A9">
        <w:t xml:space="preserve"> and education</w:t>
      </w:r>
      <w:r w:rsidRPr="00FD48A9">
        <w:t xml:space="preserve"> exports are expected to remain suppressed over the forecast period. Similarly, falls in imports </w:t>
      </w:r>
      <w:proofErr w:type="gramStart"/>
      <w:r w:rsidRPr="00FD48A9">
        <w:t>are driven</w:t>
      </w:r>
      <w:proofErr w:type="gramEnd"/>
      <w:r w:rsidRPr="00FD48A9">
        <w:t xml:space="preserve"> by dramatic falls in the number of Australians travelling overseas since th</w:t>
      </w:r>
      <w:r w:rsidR="00EE0F9A" w:rsidRPr="00FD48A9">
        <w:t>e beginning of the year</w:t>
      </w:r>
      <w:r w:rsidRPr="00FD48A9">
        <w:t>.</w:t>
      </w:r>
      <w:r w:rsidR="00DD19D4" w:rsidRPr="00FD48A9">
        <w:t xml:space="preserve"> It is likely that a share of the spending usually undertaken overseas </w:t>
      </w:r>
      <w:proofErr w:type="gramStart"/>
      <w:r w:rsidR="00DD19D4" w:rsidRPr="00FD48A9">
        <w:t>will be redirected</w:t>
      </w:r>
      <w:proofErr w:type="gramEnd"/>
      <w:r w:rsidR="00DD19D4" w:rsidRPr="00FD48A9">
        <w:t xml:space="preserve"> to</w:t>
      </w:r>
      <w:r w:rsidR="00DD19D4" w:rsidRPr="00FD48A9">
        <w:rPr>
          <w:b/>
          <w:bCs/>
        </w:rPr>
        <w:t xml:space="preserve"> </w:t>
      </w:r>
      <w:r w:rsidR="00DD19D4" w:rsidRPr="00FD48A9">
        <w:t>consumption, including domestic travel.</w:t>
      </w:r>
    </w:p>
    <w:p w14:paraId="009D6E93" w14:textId="6390AC93" w:rsidR="00D131AE" w:rsidRPr="00FD48A9" w:rsidRDefault="00D131AE" w:rsidP="00D131AE">
      <w:r w:rsidRPr="00FD48A9">
        <w:t xml:space="preserve">Rural exports </w:t>
      </w:r>
      <w:proofErr w:type="gramStart"/>
      <w:r w:rsidRPr="00FD48A9">
        <w:t>are forecast</w:t>
      </w:r>
      <w:proofErr w:type="gramEnd"/>
      <w:r w:rsidRPr="00FD48A9">
        <w:t xml:space="preserve"> to fall by </w:t>
      </w:r>
      <w:r w:rsidR="009D0A0D" w:rsidRPr="00FD48A9">
        <w:t>2</w:t>
      </w:r>
      <w:r w:rsidRPr="00FD48A9">
        <w:t xml:space="preserve"> per cent in 2020</w:t>
      </w:r>
      <w:r w:rsidR="00C77479">
        <w:noBreakHyphen/>
      </w:r>
      <w:r w:rsidRPr="00FD48A9">
        <w:t xml:space="preserve">21, following a </w:t>
      </w:r>
      <w:r w:rsidR="00D35D76" w:rsidRPr="00FD48A9">
        <w:t>6½</w:t>
      </w:r>
      <w:r w:rsidRPr="00FD48A9">
        <w:t xml:space="preserve"> per cent fall in 2019</w:t>
      </w:r>
      <w:r w:rsidR="00C77479">
        <w:noBreakHyphen/>
      </w:r>
      <w:r w:rsidRPr="00FD48A9">
        <w:t xml:space="preserve">20 as the drought continued to weigh on crop and livestock production. Although </w:t>
      </w:r>
      <w:r w:rsidRPr="00FD48A9">
        <w:lastRenderedPageBreak/>
        <w:t xml:space="preserve">favourable seasonal conditions </w:t>
      </w:r>
      <w:proofErr w:type="gramStart"/>
      <w:r w:rsidRPr="00FD48A9">
        <w:t>are expected</w:t>
      </w:r>
      <w:proofErr w:type="gramEnd"/>
      <w:r w:rsidRPr="00FD48A9">
        <w:t xml:space="preserve"> to lead to an above</w:t>
      </w:r>
      <w:r w:rsidR="00C77479">
        <w:noBreakHyphen/>
      </w:r>
      <w:r w:rsidRPr="00FD48A9">
        <w:t>average winter crop in 2020</w:t>
      </w:r>
      <w:r w:rsidR="00C77479">
        <w:noBreakHyphen/>
      </w:r>
      <w:r w:rsidRPr="00FD48A9">
        <w:t xml:space="preserve">21, rural exports are forecast to decrease due to the gradual rebuilding of livestock herds and flocks, which are at historically low levels. </w:t>
      </w:r>
    </w:p>
    <w:p w14:paraId="32A7B35A" w14:textId="6545B035" w:rsidR="00D131AE" w:rsidRPr="00DC50E1" w:rsidRDefault="00D131AE" w:rsidP="00DC50E1">
      <w:r w:rsidRPr="00FD48A9">
        <w:t xml:space="preserve">Mining exports </w:t>
      </w:r>
      <w:proofErr w:type="gramStart"/>
      <w:r w:rsidRPr="00FD48A9">
        <w:t>are forecast</w:t>
      </w:r>
      <w:proofErr w:type="gramEnd"/>
      <w:r w:rsidRPr="00FD48A9">
        <w:t xml:space="preserve"> to increase by </w:t>
      </w:r>
      <w:r w:rsidR="00D35D76" w:rsidRPr="00FD48A9">
        <w:t>3</w:t>
      </w:r>
      <w:r w:rsidRPr="00FD48A9">
        <w:t xml:space="preserve"> per cent in 2020</w:t>
      </w:r>
      <w:r w:rsidR="00C77479">
        <w:noBreakHyphen/>
      </w:r>
      <w:r w:rsidRPr="00FD48A9">
        <w:t>21,</w:t>
      </w:r>
      <w:r w:rsidR="00BE7FC8" w:rsidRPr="00FD48A9">
        <w:t xml:space="preserve"> after a forecast increase of</w:t>
      </w:r>
      <w:r w:rsidR="00D35D76" w:rsidRPr="00FD48A9">
        <w:t xml:space="preserve"> ½ per cent </w:t>
      </w:r>
      <w:r w:rsidRPr="00FD48A9">
        <w:t>in 2019</w:t>
      </w:r>
      <w:r w:rsidR="00C77479">
        <w:noBreakHyphen/>
      </w:r>
      <w:r w:rsidRPr="00FD48A9">
        <w:t xml:space="preserve">20. Iron ore exports </w:t>
      </w:r>
      <w:proofErr w:type="gramStart"/>
      <w:r w:rsidRPr="00FD48A9">
        <w:t>are expected</w:t>
      </w:r>
      <w:proofErr w:type="gramEnd"/>
      <w:r w:rsidRPr="00FD48A9">
        <w:t xml:space="preserve"> to increase due to ongoing demand from China </w:t>
      </w:r>
      <w:r w:rsidR="00B33F11" w:rsidRPr="00FD48A9">
        <w:t>as project expansions support production volumes</w:t>
      </w:r>
      <w:r w:rsidRPr="00FD48A9">
        <w:t xml:space="preserve">. However, lower global coal prices are likely to result in some reduced Australian </w:t>
      </w:r>
      <w:r w:rsidR="008F4D7D" w:rsidRPr="00FD48A9">
        <w:t xml:space="preserve">coal </w:t>
      </w:r>
      <w:r w:rsidRPr="00FD48A9">
        <w:t>production.</w:t>
      </w:r>
    </w:p>
    <w:p w14:paraId="66985524" w14:textId="50BA2E1E" w:rsidR="00D131AE" w:rsidRPr="00DC50E1" w:rsidRDefault="00D131AE" w:rsidP="00DC50E1">
      <w:r w:rsidRPr="00FD48A9">
        <w:t xml:space="preserve">Metallurgical and thermal coal prices have fallen by around </w:t>
      </w:r>
      <w:r w:rsidR="00E92F90">
        <w:t>one</w:t>
      </w:r>
      <w:r w:rsidR="00C77479">
        <w:noBreakHyphen/>
      </w:r>
      <w:r w:rsidR="00B43CAE" w:rsidRPr="00FD48A9">
        <w:t>quarter</w:t>
      </w:r>
      <w:r w:rsidRPr="00FD48A9">
        <w:t xml:space="preserve"> since the beginning of the year due to lower global demand and </w:t>
      </w:r>
      <w:r w:rsidR="00B73DFD" w:rsidRPr="00FD48A9">
        <w:t>the risk of Chinese coal import restrictions</w:t>
      </w:r>
      <w:r w:rsidRPr="00FD48A9">
        <w:t xml:space="preserve">. Reflecting these recent falls, the metallurgical coal price assumption </w:t>
      </w:r>
      <w:proofErr w:type="gramStart"/>
      <w:r w:rsidRPr="00FD48A9">
        <w:t>has been reduced</w:t>
      </w:r>
      <w:proofErr w:type="gramEnd"/>
      <w:r w:rsidRPr="00FD48A9">
        <w:t xml:space="preserve"> to US$11</w:t>
      </w:r>
      <w:r w:rsidR="00A415FD" w:rsidRPr="00FD48A9">
        <w:t>0</w:t>
      </w:r>
      <w:r w:rsidRPr="00FD48A9">
        <w:t xml:space="preserve"> per tonne free</w:t>
      </w:r>
      <w:r w:rsidR="00C77479">
        <w:noBreakHyphen/>
      </w:r>
      <w:r w:rsidRPr="00FD48A9">
        <w:t>on</w:t>
      </w:r>
      <w:r w:rsidR="00C77479">
        <w:noBreakHyphen/>
      </w:r>
      <w:r w:rsidRPr="00FD48A9">
        <w:t>board (FOB), and the thermal coal price assumption has been reduced to US$5</w:t>
      </w:r>
      <w:r w:rsidR="00A415FD" w:rsidRPr="00FD48A9">
        <w:t>4</w:t>
      </w:r>
      <w:r w:rsidRPr="00FD48A9">
        <w:t xml:space="preserve"> per tonne FOB. The Tapis oil benchmark </w:t>
      </w:r>
      <w:r w:rsidR="00E665CC">
        <w:t xml:space="preserve">price </w:t>
      </w:r>
      <w:r w:rsidRPr="00FD48A9">
        <w:t xml:space="preserve">is assumed to </w:t>
      </w:r>
      <w:proofErr w:type="gramStart"/>
      <w:r w:rsidRPr="00FD48A9">
        <w:t>be  US</w:t>
      </w:r>
      <w:proofErr w:type="gramEnd"/>
      <w:r w:rsidRPr="00FD48A9">
        <w:t>$34, around 45 per cent lower compared with</w:t>
      </w:r>
      <w:r w:rsidR="00327BBB" w:rsidRPr="00FD48A9">
        <w:t xml:space="preserve"> the 2019</w:t>
      </w:r>
      <w:r w:rsidR="00C77479">
        <w:noBreakHyphen/>
      </w:r>
      <w:r w:rsidR="00327BBB" w:rsidRPr="00FD48A9">
        <w:t>20</w:t>
      </w:r>
      <w:r w:rsidRPr="00FD48A9">
        <w:t xml:space="preserve"> MYEFO. Oil prices have fallen dramatically as cuts in global production have not been enough to offset the large falls in demand. This will have a significant impact on the value of </w:t>
      </w:r>
      <w:r w:rsidR="00327BBB" w:rsidRPr="00FD48A9">
        <w:t xml:space="preserve">LNG </w:t>
      </w:r>
      <w:r w:rsidRPr="00FD48A9">
        <w:t xml:space="preserve">exports, as </w:t>
      </w:r>
      <w:r w:rsidR="008F4D7D" w:rsidRPr="00FD48A9">
        <w:t xml:space="preserve">the price of </w:t>
      </w:r>
      <w:r w:rsidRPr="00FD48A9">
        <w:t>most of Australia</w:t>
      </w:r>
      <w:r w:rsidR="00C77479">
        <w:t>’</w:t>
      </w:r>
      <w:r w:rsidRPr="00FD48A9">
        <w:t xml:space="preserve">s LNG exports </w:t>
      </w:r>
      <w:proofErr w:type="gramStart"/>
      <w:r w:rsidRPr="00FD48A9">
        <w:t>are directly linked</w:t>
      </w:r>
      <w:proofErr w:type="gramEnd"/>
      <w:r w:rsidRPr="00FD48A9">
        <w:t xml:space="preserve"> to oil prices</w:t>
      </w:r>
      <w:r w:rsidRPr="00FD48A9">
        <w:rPr>
          <w:color w:val="70AD47" w:themeColor="accent6"/>
        </w:rPr>
        <w:t xml:space="preserve">. </w:t>
      </w:r>
    </w:p>
    <w:p w14:paraId="7D073C6D" w14:textId="43F594EA" w:rsidR="00D131AE" w:rsidRPr="00FD48A9" w:rsidRDefault="00D131AE" w:rsidP="00D131AE">
      <w:r w:rsidRPr="00FD48A9">
        <w:t xml:space="preserve">In contrast, iron ore prices have remained resilient to date as the impact of falling steel production outside China </w:t>
      </w:r>
      <w:proofErr w:type="gramStart"/>
      <w:r w:rsidRPr="00FD48A9">
        <w:t>has been largely offset</w:t>
      </w:r>
      <w:proofErr w:type="gramEnd"/>
      <w:r w:rsidRPr="00FD48A9">
        <w:t xml:space="preserve"> by strong demand from Chinese steel producers and supply disruptions in Brazil. However, there is uncertainty about the supply and demand outlook and the prudent assumption for the iron ore spot price </w:t>
      </w:r>
      <w:proofErr w:type="gramStart"/>
      <w:r w:rsidRPr="00FD48A9">
        <w:t>has been retained</w:t>
      </w:r>
      <w:proofErr w:type="gramEnd"/>
      <w:r w:rsidRPr="00FD48A9">
        <w:t xml:space="preserve">. The iron ore price </w:t>
      </w:r>
      <w:proofErr w:type="gramStart"/>
      <w:r w:rsidRPr="00FD48A9">
        <w:t>is assumed</w:t>
      </w:r>
      <w:proofErr w:type="gramEnd"/>
      <w:r w:rsidRPr="00FD48A9">
        <w:t xml:space="preserve"> to decline to US$55 per tonne FOB by the end of the December quarter 2020. Commodity prices are volatile and the outlook remains a key uncertainty in the outlook for nominal GDP</w:t>
      </w:r>
      <w:r w:rsidR="00806C95" w:rsidRPr="00FD48A9">
        <w:t xml:space="preserve"> (</w:t>
      </w:r>
      <w:r w:rsidR="007B699D" w:rsidRPr="00FD48A9">
        <w:t>B</w:t>
      </w:r>
      <w:r w:rsidR="00806C95" w:rsidRPr="00FD48A9">
        <w:t xml:space="preserve">ox </w:t>
      </w:r>
      <w:r w:rsidR="007B699D" w:rsidRPr="00FD48A9">
        <w:t>2.</w:t>
      </w:r>
      <w:r w:rsidR="00806C95" w:rsidRPr="00FD48A9">
        <w:t>5)</w:t>
      </w:r>
      <w:r w:rsidRPr="00FD48A9">
        <w:t xml:space="preserve">. </w:t>
      </w:r>
    </w:p>
    <w:tbl>
      <w:tblPr>
        <w:tblW w:w="5000" w:type="pct"/>
        <w:shd w:val="clear" w:color="auto" w:fill="EBEBEB"/>
        <w:tblLook w:val="0000" w:firstRow="0" w:lastRow="0" w:firstColumn="0" w:lastColumn="0" w:noHBand="0" w:noVBand="0"/>
      </w:tblPr>
      <w:tblGrid>
        <w:gridCol w:w="7710"/>
      </w:tblGrid>
      <w:tr w:rsidR="00806C95" w:rsidRPr="00FD48A9" w14:paraId="16C04D08" w14:textId="77777777" w:rsidTr="00806C95">
        <w:trPr>
          <w:cantSplit/>
        </w:trPr>
        <w:tc>
          <w:tcPr>
            <w:tcW w:w="5000" w:type="pct"/>
            <w:shd w:val="clear" w:color="auto" w:fill="EBEBEB"/>
          </w:tcPr>
          <w:bookmarkStart w:id="0" w:name="_GoBack" w:colFirst="0" w:colLast="0"/>
          <w:p w14:paraId="46F56C0B" w14:textId="2EA77B7B" w:rsidR="00806C95" w:rsidRPr="00FD48A9" w:rsidRDefault="00315E1E" w:rsidP="00806C95">
            <w:pPr>
              <w:pStyle w:val="BoxHeading"/>
            </w:pPr>
            <w:r w:rsidRPr="00FD48A9">
              <w:lastRenderedPageBreak/>
              <w:fldChar w:fldCharType="begin"/>
            </w:r>
            <w:r w:rsidRPr="00FD48A9">
              <w:instrText xml:space="preserve"> :End:MECD_TP1 </w:instrText>
            </w:r>
            <w:r w:rsidRPr="00FD48A9">
              <w:fldChar w:fldCharType="end"/>
            </w:r>
            <w:r w:rsidR="00871846" w:rsidRPr="00FD48A9">
              <w:fldChar w:fldCharType="begin"/>
            </w:r>
            <w:r w:rsidR="00871846" w:rsidRPr="00FD48A9">
              <w:instrText xml:space="preserve"> :Start:MECD_TP2 </w:instrText>
            </w:r>
            <w:r w:rsidR="00871846" w:rsidRPr="00FD48A9">
              <w:fldChar w:fldCharType="end"/>
            </w:r>
            <w:r w:rsidR="00806C95" w:rsidRPr="00FD48A9">
              <w:t xml:space="preserve">Box </w:t>
            </w:r>
            <w:r w:rsidR="00C1292D" w:rsidRPr="00FD48A9">
              <w:t>2.</w:t>
            </w:r>
            <w:r w:rsidR="00806C95" w:rsidRPr="00FD48A9">
              <w:t>5: Sensitivity analysis of the iron ore spot price</w:t>
            </w:r>
          </w:p>
          <w:p w14:paraId="503ECD38" w14:textId="77777777" w:rsidR="00806C95" w:rsidRPr="00FD48A9" w:rsidRDefault="00806C95" w:rsidP="00806C95">
            <w:pPr>
              <w:pStyle w:val="BoxText"/>
            </w:pPr>
            <w:r w:rsidRPr="00FD48A9">
              <w:t>Movements in commodity prices can have significant effects on nominal GDP and Commonwealth government tax revenue. The analysis below provides an indication of the direct impacts on nominal GDP and company tax receipts of altering the timing around the iron ore spot price assumption.</w:t>
            </w:r>
          </w:p>
          <w:p w14:paraId="1453B46A" w14:textId="13A0A653" w:rsidR="00806C95" w:rsidRPr="00FD48A9" w:rsidRDefault="00806C95" w:rsidP="00806C95">
            <w:pPr>
              <w:pStyle w:val="BoxText"/>
            </w:pPr>
            <w:r w:rsidRPr="00FD48A9">
              <w:t xml:space="preserve">If the iron ore price was to fall immediately to US$55 per tonne FOB, rather than by </w:t>
            </w:r>
            <w:r w:rsidR="00327BBB" w:rsidRPr="00FD48A9">
              <w:t xml:space="preserve">the end of the </w:t>
            </w:r>
            <w:r w:rsidRPr="00FD48A9">
              <w:t>December</w:t>
            </w:r>
            <w:r w:rsidR="00327BBB" w:rsidRPr="00FD48A9">
              <w:t xml:space="preserve"> quarter</w:t>
            </w:r>
            <w:r w:rsidRPr="00FD48A9">
              <w:t xml:space="preserve"> 2020 as assumed, </w:t>
            </w:r>
            <w:r w:rsidR="00871846" w:rsidRPr="00FD48A9">
              <w:fldChar w:fldCharType="begin"/>
            </w:r>
            <w:r w:rsidR="00871846" w:rsidRPr="00FD48A9">
              <w:instrText xml:space="preserve"> :End:MECD_TP2 </w:instrText>
            </w:r>
            <w:r w:rsidR="00871846" w:rsidRPr="00FD48A9">
              <w:fldChar w:fldCharType="end"/>
            </w:r>
            <w:r w:rsidR="00D61DD5" w:rsidRPr="00FD48A9">
              <w:fldChar w:fldCharType="begin"/>
            </w:r>
            <w:r w:rsidR="00D61DD5" w:rsidRPr="00FD48A9">
              <w:instrText xml:space="preserve"> :Start:MECD_TP2 </w:instrText>
            </w:r>
            <w:r w:rsidR="00D61DD5" w:rsidRPr="00FD48A9">
              <w:fldChar w:fldCharType="end"/>
            </w:r>
            <w:r w:rsidRPr="00FD48A9">
              <w:t>nominal GDP would be around $8.8 billion lower than forecast in 2020</w:t>
            </w:r>
            <w:r w:rsidR="00C77479">
              <w:noBreakHyphen/>
            </w:r>
            <w:r w:rsidRPr="00FD48A9">
              <w:t xml:space="preserve">21. </w:t>
            </w:r>
            <w:r w:rsidR="00D61DD5" w:rsidRPr="00FD48A9">
              <w:fldChar w:fldCharType="begin"/>
            </w:r>
            <w:r w:rsidR="00D61DD5" w:rsidRPr="00FD48A9">
              <w:instrText xml:space="preserve"> :End:MECD_TP2 </w:instrText>
            </w:r>
            <w:r w:rsidR="00D61DD5" w:rsidRPr="00FD48A9">
              <w:fldChar w:fldCharType="end"/>
            </w:r>
            <w:r w:rsidR="00D61DD5" w:rsidRPr="00FD48A9">
              <w:fldChar w:fldCharType="begin"/>
            </w:r>
            <w:r w:rsidR="00D61DD5" w:rsidRPr="00FD48A9">
              <w:instrText xml:space="preserve"> :Start:</w:instrText>
            </w:r>
            <w:r w:rsidR="00694409" w:rsidRPr="00FD48A9">
              <w:instrText>TAD_KDM1</w:instrText>
            </w:r>
            <w:r w:rsidR="00D61DD5" w:rsidRPr="00FD48A9">
              <w:instrText xml:space="preserve"> </w:instrText>
            </w:r>
            <w:r w:rsidR="00D61DD5" w:rsidRPr="00FD48A9">
              <w:fldChar w:fldCharType="end"/>
            </w:r>
            <w:r w:rsidRPr="00FD48A9">
              <w:t>This would result in a decrease in tax receipts of around $</w:t>
            </w:r>
            <w:r w:rsidR="006C0B93" w:rsidRPr="00FD48A9">
              <w:t>1.3 </w:t>
            </w:r>
            <w:r w:rsidRPr="00FD48A9">
              <w:t>billion in 2020</w:t>
            </w:r>
            <w:r w:rsidR="00C77479">
              <w:noBreakHyphen/>
            </w:r>
            <w:r w:rsidRPr="00FD48A9">
              <w:t>21 and, due to the timing of company tax collections, a decr</w:t>
            </w:r>
            <w:r w:rsidR="006C0B93" w:rsidRPr="00FD48A9">
              <w:t xml:space="preserve">ease in tax receipts of around </w:t>
            </w:r>
            <w:r w:rsidRPr="00FD48A9">
              <w:t>$0.9 billion in 2021</w:t>
            </w:r>
            <w:r w:rsidR="00C77479">
              <w:noBreakHyphen/>
            </w:r>
            <w:r w:rsidRPr="00FD48A9">
              <w:t xml:space="preserve">22 (Table </w:t>
            </w:r>
            <w:r w:rsidR="00B26BCD" w:rsidRPr="00FD48A9">
              <w:t>2.3</w:t>
            </w:r>
            <w:r w:rsidRPr="00FD48A9">
              <w:t>).</w:t>
            </w:r>
            <w:r w:rsidR="00D61DD5" w:rsidRPr="00FD48A9">
              <w:fldChar w:fldCharType="begin"/>
            </w:r>
            <w:r w:rsidR="00D61DD5" w:rsidRPr="00FD48A9">
              <w:instrText xml:space="preserve"> :End:</w:instrText>
            </w:r>
            <w:r w:rsidR="00694409" w:rsidRPr="00FD48A9">
              <w:instrText>TAD_KDM1</w:instrText>
            </w:r>
            <w:r w:rsidR="00D61DD5" w:rsidRPr="00FD48A9">
              <w:instrText xml:space="preserve"> </w:instrText>
            </w:r>
            <w:r w:rsidR="00D61DD5" w:rsidRPr="00FD48A9">
              <w:fldChar w:fldCharType="end"/>
            </w:r>
          </w:p>
          <w:p w14:paraId="6A3CFC87" w14:textId="45CF2417" w:rsidR="00806C95" w:rsidRPr="00FD48A9" w:rsidRDefault="00871846" w:rsidP="00806C95">
            <w:pPr>
              <w:pStyle w:val="BoxText"/>
            </w:pPr>
            <w:r w:rsidRPr="00FD48A9">
              <w:fldChar w:fldCharType="begin"/>
            </w:r>
            <w:r w:rsidRPr="00FD48A9">
              <w:instrText xml:space="preserve"> :Start:MECD_TP2 </w:instrText>
            </w:r>
            <w:r w:rsidRPr="00FD48A9">
              <w:fldChar w:fldCharType="end"/>
            </w:r>
            <w:r w:rsidR="00806C95" w:rsidRPr="00FD48A9">
              <w:t xml:space="preserve">By contrast, if the iron ore price was to remain elevated until </w:t>
            </w:r>
            <w:r w:rsidR="00327BBB" w:rsidRPr="00FD48A9">
              <w:t xml:space="preserve">the end of the </w:t>
            </w:r>
            <w:r w:rsidR="00806C95" w:rsidRPr="00FD48A9">
              <w:t>December</w:t>
            </w:r>
            <w:r w:rsidR="00327BBB" w:rsidRPr="00FD48A9">
              <w:t xml:space="preserve"> quarter</w:t>
            </w:r>
            <w:r w:rsidR="00806C95" w:rsidRPr="00FD48A9">
              <w:t xml:space="preserve"> 2020, before falling immediately to US$55 per tonne FOB,</w:t>
            </w:r>
            <w:r w:rsidRPr="00FD48A9">
              <w:fldChar w:fldCharType="begin"/>
            </w:r>
            <w:r w:rsidRPr="00FD48A9">
              <w:instrText xml:space="preserve"> :End:MECD_TP2 </w:instrText>
            </w:r>
            <w:r w:rsidRPr="00FD48A9">
              <w:fldChar w:fldCharType="end"/>
            </w:r>
            <w:r w:rsidR="00806C95" w:rsidRPr="00FD48A9">
              <w:t xml:space="preserve"> </w:t>
            </w:r>
            <w:r w:rsidR="00D61DD5" w:rsidRPr="00FD48A9">
              <w:fldChar w:fldCharType="begin"/>
            </w:r>
            <w:r w:rsidR="00D61DD5" w:rsidRPr="00FD48A9">
              <w:instrText xml:space="preserve"> :Start:MECD_TP2 </w:instrText>
            </w:r>
            <w:r w:rsidR="00D61DD5" w:rsidRPr="00FD48A9">
              <w:fldChar w:fldCharType="end"/>
            </w:r>
            <w:r w:rsidR="00806C95" w:rsidRPr="00FD48A9">
              <w:t>nominal GDP could be around $9.0 billion higher than forecast in 2020</w:t>
            </w:r>
            <w:r w:rsidR="00C77479">
              <w:noBreakHyphen/>
            </w:r>
            <w:r w:rsidR="00806C95" w:rsidRPr="00FD48A9">
              <w:t xml:space="preserve">21. </w:t>
            </w:r>
            <w:r w:rsidR="00D61DD5" w:rsidRPr="00FD48A9">
              <w:fldChar w:fldCharType="begin"/>
            </w:r>
            <w:r w:rsidR="00D61DD5" w:rsidRPr="00FD48A9">
              <w:instrText xml:space="preserve"> :End:MECD_TP2 </w:instrText>
            </w:r>
            <w:r w:rsidR="00D61DD5" w:rsidRPr="00FD48A9">
              <w:fldChar w:fldCharType="end"/>
            </w:r>
            <w:r w:rsidR="00D61DD5" w:rsidRPr="00FD48A9">
              <w:fldChar w:fldCharType="begin"/>
            </w:r>
            <w:r w:rsidR="00D61DD5" w:rsidRPr="00FD48A9">
              <w:instrText xml:space="preserve"> :Start:</w:instrText>
            </w:r>
            <w:r w:rsidR="00694409" w:rsidRPr="00FD48A9">
              <w:instrText>TAD_KDM1</w:instrText>
            </w:r>
            <w:r w:rsidR="00D61DD5" w:rsidRPr="00FD48A9">
              <w:instrText xml:space="preserve"> </w:instrText>
            </w:r>
            <w:r w:rsidR="00D61DD5" w:rsidRPr="00FD48A9">
              <w:fldChar w:fldCharType="end"/>
            </w:r>
            <w:r w:rsidR="00806C95" w:rsidRPr="00FD48A9">
              <w:t xml:space="preserve">This would result in an increase in tax receipts of around </w:t>
            </w:r>
            <w:r w:rsidR="00130AE7" w:rsidRPr="00FD48A9">
              <w:t>$1.2</w:t>
            </w:r>
            <w:r w:rsidR="00806C95" w:rsidRPr="00FD48A9">
              <w:t xml:space="preserve"> billion in 2020</w:t>
            </w:r>
            <w:r w:rsidR="00C77479">
              <w:noBreakHyphen/>
            </w:r>
            <w:r w:rsidR="00806C95" w:rsidRPr="00FD48A9">
              <w:t>21 and, due to the timing of company tax collections, an increase in tax receipts of around $1.0 billion in 2021</w:t>
            </w:r>
            <w:r w:rsidR="00C77479">
              <w:noBreakHyphen/>
            </w:r>
            <w:r w:rsidR="00806C95" w:rsidRPr="00FD48A9">
              <w:t>22.</w:t>
            </w:r>
            <w:r w:rsidR="00D61DD5" w:rsidRPr="00FD48A9">
              <w:fldChar w:fldCharType="begin"/>
            </w:r>
            <w:r w:rsidR="00D61DD5" w:rsidRPr="00FD48A9">
              <w:instrText xml:space="preserve"> :End:</w:instrText>
            </w:r>
            <w:r w:rsidR="00694409" w:rsidRPr="00FD48A9">
              <w:instrText>TAD_KDM1</w:instrText>
            </w:r>
            <w:r w:rsidR="00D61DD5" w:rsidRPr="00FD48A9">
              <w:instrText xml:space="preserve"> </w:instrText>
            </w:r>
            <w:r w:rsidR="00D61DD5" w:rsidRPr="00FD48A9">
              <w:fldChar w:fldCharType="end"/>
            </w:r>
          </w:p>
          <w:p w14:paraId="32B9A452" w14:textId="24B42062" w:rsidR="003C6D13" w:rsidRPr="00FD48A9" w:rsidRDefault="00315E1E" w:rsidP="003C6D13">
            <w:pPr>
              <w:pStyle w:val="TableHeading"/>
              <w:rPr>
                <w:rFonts w:asciiTheme="minorHAnsi" w:eastAsiaTheme="minorHAnsi" w:hAnsiTheme="minorHAnsi" w:cstheme="minorBidi"/>
                <w:sz w:val="22"/>
                <w:szCs w:val="22"/>
                <w:lang w:eastAsia="en-US"/>
              </w:rPr>
            </w:pPr>
            <w:r w:rsidRPr="00FD48A9">
              <w:fldChar w:fldCharType="begin"/>
            </w:r>
            <w:r w:rsidRPr="00FD48A9">
              <w:instrText xml:space="preserve"> :Start:MECD_TP2 </w:instrText>
            </w:r>
            <w:r w:rsidRPr="00FD48A9">
              <w:fldChar w:fldCharType="end"/>
            </w:r>
            <w:r w:rsidR="00806C95" w:rsidRPr="00FD48A9">
              <w:t xml:space="preserve">Table </w:t>
            </w:r>
            <w:r w:rsidR="00B26BCD" w:rsidRPr="00FD48A9">
              <w:t>2.3</w:t>
            </w:r>
            <w:r w:rsidR="00806C95" w:rsidRPr="00FD48A9">
              <w:t>: Sensitivity analysis of earlier and later fall in the iron ore spot price</w:t>
            </w:r>
          </w:p>
          <w:tbl>
            <w:tblPr>
              <w:tblW w:w="5000" w:type="pct"/>
              <w:tblLook w:val="04A0" w:firstRow="1" w:lastRow="0" w:firstColumn="1" w:lastColumn="0" w:noHBand="0" w:noVBand="1"/>
            </w:tblPr>
            <w:tblGrid>
              <w:gridCol w:w="1884"/>
              <w:gridCol w:w="1403"/>
              <w:gridCol w:w="1403"/>
              <w:gridCol w:w="1403"/>
              <w:gridCol w:w="1401"/>
            </w:tblGrid>
            <w:tr w:rsidR="003C6D13" w:rsidRPr="00FD48A9" w14:paraId="33732A06" w14:textId="77777777" w:rsidTr="003C6D13">
              <w:trPr>
                <w:trHeight w:hRule="exact" w:val="290"/>
              </w:trPr>
              <w:tc>
                <w:tcPr>
                  <w:tcW w:w="1257" w:type="pct"/>
                  <w:tcBorders>
                    <w:top w:val="single" w:sz="4" w:space="0" w:color="000000"/>
                    <w:left w:val="nil"/>
                    <w:bottom w:val="nil"/>
                    <w:right w:val="nil"/>
                  </w:tcBorders>
                  <w:shd w:val="clear" w:color="auto" w:fill="auto"/>
                  <w:noWrap/>
                  <w:vAlign w:val="bottom"/>
                  <w:hideMark/>
                </w:tcPr>
                <w:p w14:paraId="68698B72" w14:textId="247B8C14" w:rsidR="003C6D13" w:rsidRPr="00FD48A9" w:rsidRDefault="003C6D13">
                  <w:pPr>
                    <w:rPr>
                      <w:rFonts w:ascii="Arial" w:hAnsi="Arial" w:cs="Arial"/>
                      <w:sz w:val="16"/>
                      <w:szCs w:val="16"/>
                    </w:rPr>
                  </w:pPr>
                  <w:r w:rsidRPr="00FD48A9">
                    <w:rPr>
                      <w:rFonts w:ascii="Arial" w:hAnsi="Arial" w:cs="Arial"/>
                      <w:sz w:val="16"/>
                      <w:szCs w:val="16"/>
                    </w:rPr>
                    <w:t> </w:t>
                  </w:r>
                </w:p>
              </w:tc>
              <w:tc>
                <w:tcPr>
                  <w:tcW w:w="1872" w:type="pct"/>
                  <w:gridSpan w:val="2"/>
                  <w:tcBorders>
                    <w:top w:val="single" w:sz="4" w:space="0" w:color="000000"/>
                    <w:left w:val="nil"/>
                    <w:bottom w:val="nil"/>
                    <w:right w:val="nil"/>
                  </w:tcBorders>
                  <w:shd w:val="clear" w:color="auto" w:fill="auto"/>
                  <w:vAlign w:val="bottom"/>
                  <w:hideMark/>
                </w:tcPr>
                <w:p w14:paraId="341772FA" w14:textId="77777777" w:rsidR="003C6D13" w:rsidRPr="00FD48A9" w:rsidRDefault="003C6D13" w:rsidP="003C6D13">
                  <w:pPr>
                    <w:spacing w:after="0" w:line="240" w:lineRule="auto"/>
                    <w:jc w:val="center"/>
                    <w:rPr>
                      <w:rFonts w:ascii="Arial" w:hAnsi="Arial" w:cs="Arial"/>
                      <w:sz w:val="16"/>
                      <w:szCs w:val="16"/>
                    </w:rPr>
                  </w:pPr>
                  <w:r w:rsidRPr="00FD48A9">
                    <w:rPr>
                      <w:rFonts w:ascii="Arial" w:hAnsi="Arial" w:cs="Arial"/>
                      <w:sz w:val="16"/>
                      <w:szCs w:val="16"/>
                    </w:rPr>
                    <w:t>Earlier fall to US$55/tonne FOB</w:t>
                  </w:r>
                  <w:r w:rsidRPr="00FD48A9">
                    <w:rPr>
                      <w:rFonts w:ascii="Arial" w:hAnsi="Arial" w:cs="Arial"/>
                      <w:sz w:val="16"/>
                      <w:szCs w:val="16"/>
                      <w:vertAlign w:val="superscript"/>
                    </w:rPr>
                    <w:t>(a)</w:t>
                  </w:r>
                </w:p>
              </w:tc>
              <w:tc>
                <w:tcPr>
                  <w:tcW w:w="1871" w:type="pct"/>
                  <w:gridSpan w:val="2"/>
                  <w:tcBorders>
                    <w:top w:val="single" w:sz="4" w:space="0" w:color="000000"/>
                    <w:left w:val="nil"/>
                    <w:bottom w:val="nil"/>
                    <w:right w:val="nil"/>
                  </w:tcBorders>
                  <w:shd w:val="clear" w:color="auto" w:fill="auto"/>
                  <w:vAlign w:val="bottom"/>
                  <w:hideMark/>
                </w:tcPr>
                <w:p w14:paraId="02A29D24" w14:textId="77777777" w:rsidR="003C6D13" w:rsidRPr="00FD48A9" w:rsidRDefault="003C6D13" w:rsidP="003C6D13">
                  <w:pPr>
                    <w:spacing w:after="0" w:line="240" w:lineRule="auto"/>
                    <w:jc w:val="center"/>
                    <w:rPr>
                      <w:rFonts w:ascii="Arial" w:hAnsi="Arial" w:cs="Arial"/>
                      <w:sz w:val="16"/>
                      <w:szCs w:val="16"/>
                    </w:rPr>
                  </w:pPr>
                  <w:r w:rsidRPr="00FD48A9">
                    <w:rPr>
                      <w:rFonts w:ascii="Arial" w:hAnsi="Arial" w:cs="Arial"/>
                      <w:sz w:val="16"/>
                      <w:szCs w:val="16"/>
                    </w:rPr>
                    <w:t>Later fall to US$55/tonne FOB</w:t>
                  </w:r>
                </w:p>
              </w:tc>
            </w:tr>
            <w:tr w:rsidR="003C6D13" w:rsidRPr="00FD48A9" w14:paraId="1B25C6DA" w14:textId="77777777" w:rsidTr="003C6D13">
              <w:trPr>
                <w:trHeight w:hRule="exact" w:val="225"/>
              </w:trPr>
              <w:tc>
                <w:tcPr>
                  <w:tcW w:w="1257" w:type="pct"/>
                  <w:tcBorders>
                    <w:top w:val="nil"/>
                    <w:left w:val="nil"/>
                    <w:bottom w:val="nil"/>
                    <w:right w:val="nil"/>
                  </w:tcBorders>
                  <w:shd w:val="clear" w:color="auto" w:fill="auto"/>
                  <w:noWrap/>
                  <w:vAlign w:val="bottom"/>
                  <w:hideMark/>
                </w:tcPr>
                <w:p w14:paraId="641FE7A5" w14:textId="77777777" w:rsidR="003C6D13" w:rsidRPr="00FD48A9" w:rsidRDefault="003C6D13" w:rsidP="003C6D13">
                  <w:pPr>
                    <w:spacing w:after="0" w:line="240" w:lineRule="auto"/>
                    <w:jc w:val="center"/>
                    <w:rPr>
                      <w:rFonts w:ascii="Arial" w:hAnsi="Arial" w:cs="Arial"/>
                      <w:sz w:val="16"/>
                      <w:szCs w:val="16"/>
                    </w:rPr>
                  </w:pPr>
                </w:p>
              </w:tc>
              <w:tc>
                <w:tcPr>
                  <w:tcW w:w="936" w:type="pct"/>
                  <w:tcBorders>
                    <w:top w:val="single" w:sz="4" w:space="0" w:color="000000"/>
                    <w:left w:val="nil"/>
                    <w:bottom w:val="single" w:sz="4" w:space="0" w:color="000000"/>
                    <w:right w:val="nil"/>
                  </w:tcBorders>
                  <w:shd w:val="clear" w:color="auto" w:fill="auto"/>
                  <w:noWrap/>
                  <w:vAlign w:val="bottom"/>
                  <w:hideMark/>
                </w:tcPr>
                <w:p w14:paraId="37069004" w14:textId="766AB9B8"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2020</w:t>
                  </w:r>
                  <w:r w:rsidR="00C77479">
                    <w:rPr>
                      <w:rFonts w:ascii="Arial" w:hAnsi="Arial" w:cs="Arial"/>
                      <w:sz w:val="16"/>
                      <w:szCs w:val="16"/>
                    </w:rPr>
                    <w:noBreakHyphen/>
                  </w:r>
                  <w:r w:rsidRPr="00FD48A9">
                    <w:rPr>
                      <w:rFonts w:ascii="Arial" w:hAnsi="Arial" w:cs="Arial"/>
                      <w:sz w:val="16"/>
                      <w:szCs w:val="16"/>
                    </w:rPr>
                    <w:t>21</w:t>
                  </w:r>
                </w:p>
              </w:tc>
              <w:tc>
                <w:tcPr>
                  <w:tcW w:w="936" w:type="pct"/>
                  <w:tcBorders>
                    <w:top w:val="single" w:sz="4" w:space="0" w:color="000000"/>
                    <w:left w:val="nil"/>
                    <w:bottom w:val="single" w:sz="4" w:space="0" w:color="000000"/>
                    <w:right w:val="nil"/>
                  </w:tcBorders>
                  <w:shd w:val="clear" w:color="auto" w:fill="auto"/>
                  <w:noWrap/>
                  <w:vAlign w:val="bottom"/>
                  <w:hideMark/>
                </w:tcPr>
                <w:p w14:paraId="11CFB296" w14:textId="47CDBF40"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2021</w:t>
                  </w:r>
                  <w:r w:rsidR="00C77479">
                    <w:rPr>
                      <w:rFonts w:ascii="Arial" w:hAnsi="Arial" w:cs="Arial"/>
                      <w:sz w:val="16"/>
                      <w:szCs w:val="16"/>
                    </w:rPr>
                    <w:noBreakHyphen/>
                  </w:r>
                  <w:r w:rsidRPr="00FD48A9">
                    <w:rPr>
                      <w:rFonts w:ascii="Arial" w:hAnsi="Arial" w:cs="Arial"/>
                      <w:sz w:val="16"/>
                      <w:szCs w:val="16"/>
                    </w:rPr>
                    <w:t>22</w:t>
                  </w:r>
                </w:p>
              </w:tc>
              <w:tc>
                <w:tcPr>
                  <w:tcW w:w="936" w:type="pct"/>
                  <w:tcBorders>
                    <w:top w:val="single" w:sz="4" w:space="0" w:color="000000"/>
                    <w:left w:val="nil"/>
                    <w:bottom w:val="single" w:sz="4" w:space="0" w:color="000000"/>
                    <w:right w:val="nil"/>
                  </w:tcBorders>
                  <w:shd w:val="clear" w:color="auto" w:fill="auto"/>
                  <w:noWrap/>
                  <w:vAlign w:val="bottom"/>
                  <w:hideMark/>
                </w:tcPr>
                <w:p w14:paraId="6802E2C1" w14:textId="0E2F4C2B"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2020</w:t>
                  </w:r>
                  <w:r w:rsidR="00C77479">
                    <w:rPr>
                      <w:rFonts w:ascii="Arial" w:hAnsi="Arial" w:cs="Arial"/>
                      <w:sz w:val="16"/>
                      <w:szCs w:val="16"/>
                    </w:rPr>
                    <w:noBreakHyphen/>
                  </w:r>
                  <w:r w:rsidRPr="00FD48A9">
                    <w:rPr>
                      <w:rFonts w:ascii="Arial" w:hAnsi="Arial" w:cs="Arial"/>
                      <w:sz w:val="16"/>
                      <w:szCs w:val="16"/>
                    </w:rPr>
                    <w:t>21</w:t>
                  </w:r>
                </w:p>
              </w:tc>
              <w:tc>
                <w:tcPr>
                  <w:tcW w:w="936" w:type="pct"/>
                  <w:tcBorders>
                    <w:top w:val="single" w:sz="4" w:space="0" w:color="000000"/>
                    <w:left w:val="nil"/>
                    <w:bottom w:val="single" w:sz="4" w:space="0" w:color="000000"/>
                    <w:right w:val="nil"/>
                  </w:tcBorders>
                  <w:shd w:val="clear" w:color="auto" w:fill="auto"/>
                  <w:noWrap/>
                  <w:vAlign w:val="bottom"/>
                  <w:hideMark/>
                </w:tcPr>
                <w:p w14:paraId="51C20424" w14:textId="0D345190"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2021</w:t>
                  </w:r>
                  <w:r w:rsidR="00C77479">
                    <w:rPr>
                      <w:rFonts w:ascii="Arial" w:hAnsi="Arial" w:cs="Arial"/>
                      <w:sz w:val="16"/>
                      <w:szCs w:val="16"/>
                    </w:rPr>
                    <w:noBreakHyphen/>
                  </w:r>
                  <w:r w:rsidRPr="00FD48A9">
                    <w:rPr>
                      <w:rFonts w:ascii="Arial" w:hAnsi="Arial" w:cs="Arial"/>
                      <w:sz w:val="16"/>
                      <w:szCs w:val="16"/>
                    </w:rPr>
                    <w:t>22</w:t>
                  </w:r>
                </w:p>
              </w:tc>
            </w:tr>
            <w:tr w:rsidR="003C6D13" w:rsidRPr="00FD48A9" w14:paraId="0F871A49" w14:textId="77777777" w:rsidTr="003C6D13">
              <w:trPr>
                <w:trHeight w:hRule="exact" w:val="225"/>
              </w:trPr>
              <w:tc>
                <w:tcPr>
                  <w:tcW w:w="1257" w:type="pct"/>
                  <w:tcBorders>
                    <w:top w:val="nil"/>
                    <w:left w:val="nil"/>
                    <w:bottom w:val="nil"/>
                    <w:right w:val="nil"/>
                  </w:tcBorders>
                  <w:shd w:val="clear" w:color="auto" w:fill="auto"/>
                  <w:noWrap/>
                  <w:vAlign w:val="bottom"/>
                  <w:hideMark/>
                </w:tcPr>
                <w:p w14:paraId="134A50A5" w14:textId="77777777" w:rsidR="003C6D13" w:rsidRPr="00FD48A9" w:rsidRDefault="003C6D13" w:rsidP="003C6D13">
                  <w:pPr>
                    <w:spacing w:after="0" w:line="240" w:lineRule="auto"/>
                    <w:jc w:val="left"/>
                    <w:rPr>
                      <w:rFonts w:ascii="Arial" w:hAnsi="Arial" w:cs="Arial"/>
                      <w:sz w:val="16"/>
                      <w:szCs w:val="16"/>
                    </w:rPr>
                  </w:pPr>
                  <w:r w:rsidRPr="00FD48A9">
                    <w:rPr>
                      <w:rFonts w:ascii="Arial" w:hAnsi="Arial" w:cs="Arial"/>
                      <w:sz w:val="16"/>
                      <w:szCs w:val="16"/>
                    </w:rPr>
                    <w:t>Nominal GDP ($billion)</w:t>
                  </w:r>
                </w:p>
              </w:tc>
              <w:tc>
                <w:tcPr>
                  <w:tcW w:w="936" w:type="pct"/>
                  <w:tcBorders>
                    <w:top w:val="nil"/>
                    <w:left w:val="nil"/>
                    <w:bottom w:val="nil"/>
                    <w:right w:val="nil"/>
                  </w:tcBorders>
                  <w:shd w:val="clear" w:color="auto" w:fill="auto"/>
                  <w:noWrap/>
                  <w:vAlign w:val="bottom"/>
                  <w:hideMark/>
                </w:tcPr>
                <w:p w14:paraId="25048D4E" w14:textId="7D50D54A" w:rsidR="003C6D13" w:rsidRPr="00FD48A9" w:rsidRDefault="00C77479" w:rsidP="003C6D13">
                  <w:pPr>
                    <w:spacing w:after="0" w:line="240" w:lineRule="auto"/>
                    <w:jc w:val="right"/>
                    <w:rPr>
                      <w:rFonts w:ascii="Arial" w:hAnsi="Arial" w:cs="Arial"/>
                      <w:sz w:val="16"/>
                      <w:szCs w:val="16"/>
                    </w:rPr>
                  </w:pPr>
                  <w:r>
                    <w:rPr>
                      <w:rFonts w:ascii="Arial" w:hAnsi="Arial" w:cs="Arial"/>
                      <w:sz w:val="16"/>
                      <w:szCs w:val="16"/>
                    </w:rPr>
                    <w:noBreakHyphen/>
                  </w:r>
                  <w:r w:rsidR="003C6D13" w:rsidRPr="00FD48A9">
                    <w:rPr>
                      <w:rFonts w:ascii="Arial" w:hAnsi="Arial" w:cs="Arial"/>
                      <w:sz w:val="16"/>
                      <w:szCs w:val="16"/>
                    </w:rPr>
                    <w:t>8.8</w:t>
                  </w:r>
                </w:p>
              </w:tc>
              <w:tc>
                <w:tcPr>
                  <w:tcW w:w="936" w:type="pct"/>
                  <w:tcBorders>
                    <w:top w:val="nil"/>
                    <w:left w:val="nil"/>
                    <w:bottom w:val="nil"/>
                    <w:right w:val="nil"/>
                  </w:tcBorders>
                  <w:shd w:val="clear" w:color="auto" w:fill="auto"/>
                  <w:noWrap/>
                  <w:vAlign w:val="bottom"/>
                  <w:hideMark/>
                </w:tcPr>
                <w:p w14:paraId="3AADA820" w14:textId="00C50ED5" w:rsidR="003C6D13" w:rsidRPr="00FD48A9" w:rsidRDefault="00C77479" w:rsidP="003C6D13">
                  <w:pPr>
                    <w:spacing w:after="0" w:line="240" w:lineRule="auto"/>
                    <w:jc w:val="right"/>
                    <w:rPr>
                      <w:rFonts w:ascii="Arial" w:hAnsi="Arial" w:cs="Arial"/>
                      <w:sz w:val="16"/>
                      <w:szCs w:val="16"/>
                    </w:rPr>
                  </w:pPr>
                  <w:r>
                    <w:rPr>
                      <w:rFonts w:ascii="Arial" w:hAnsi="Arial" w:cs="Arial"/>
                      <w:sz w:val="16"/>
                      <w:szCs w:val="16"/>
                    </w:rPr>
                    <w:noBreakHyphen/>
                  </w:r>
                </w:p>
              </w:tc>
              <w:tc>
                <w:tcPr>
                  <w:tcW w:w="936" w:type="pct"/>
                  <w:tcBorders>
                    <w:top w:val="nil"/>
                    <w:left w:val="nil"/>
                    <w:bottom w:val="nil"/>
                    <w:right w:val="nil"/>
                  </w:tcBorders>
                  <w:shd w:val="clear" w:color="auto" w:fill="auto"/>
                  <w:noWrap/>
                  <w:vAlign w:val="bottom"/>
                  <w:hideMark/>
                </w:tcPr>
                <w:p w14:paraId="3317B5B5" w14:textId="77777777"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9.0</w:t>
                  </w:r>
                </w:p>
              </w:tc>
              <w:tc>
                <w:tcPr>
                  <w:tcW w:w="936" w:type="pct"/>
                  <w:tcBorders>
                    <w:top w:val="nil"/>
                    <w:left w:val="nil"/>
                    <w:bottom w:val="nil"/>
                    <w:right w:val="nil"/>
                  </w:tcBorders>
                  <w:shd w:val="clear" w:color="auto" w:fill="auto"/>
                  <w:noWrap/>
                  <w:vAlign w:val="bottom"/>
                  <w:hideMark/>
                </w:tcPr>
                <w:p w14:paraId="2FA2B1AE" w14:textId="21F36696" w:rsidR="003C6D13" w:rsidRPr="00FD48A9" w:rsidRDefault="00C77479" w:rsidP="003C6D13">
                  <w:pPr>
                    <w:spacing w:after="0" w:line="240" w:lineRule="auto"/>
                    <w:jc w:val="right"/>
                    <w:rPr>
                      <w:rFonts w:ascii="Arial" w:hAnsi="Arial" w:cs="Arial"/>
                      <w:sz w:val="16"/>
                      <w:szCs w:val="16"/>
                    </w:rPr>
                  </w:pPr>
                  <w:r>
                    <w:rPr>
                      <w:rFonts w:ascii="Arial" w:hAnsi="Arial" w:cs="Arial"/>
                      <w:sz w:val="16"/>
                      <w:szCs w:val="16"/>
                    </w:rPr>
                    <w:noBreakHyphen/>
                  </w:r>
                </w:p>
              </w:tc>
            </w:tr>
            <w:tr w:rsidR="003C6D13" w:rsidRPr="00FD48A9" w14:paraId="39950207" w14:textId="77777777" w:rsidTr="003C6D13">
              <w:trPr>
                <w:trHeight w:hRule="exact" w:val="225"/>
              </w:trPr>
              <w:tc>
                <w:tcPr>
                  <w:tcW w:w="1257" w:type="pct"/>
                  <w:tcBorders>
                    <w:top w:val="nil"/>
                    <w:left w:val="nil"/>
                    <w:bottom w:val="single" w:sz="4" w:space="0" w:color="000000"/>
                    <w:right w:val="nil"/>
                  </w:tcBorders>
                  <w:shd w:val="clear" w:color="auto" w:fill="auto"/>
                  <w:noWrap/>
                  <w:vAlign w:val="bottom"/>
                  <w:hideMark/>
                </w:tcPr>
                <w:p w14:paraId="4D080D3A" w14:textId="77777777" w:rsidR="003C6D13" w:rsidRPr="00FD48A9" w:rsidRDefault="003C6D13" w:rsidP="003C6D13">
                  <w:pPr>
                    <w:spacing w:after="0" w:line="240" w:lineRule="auto"/>
                    <w:jc w:val="left"/>
                    <w:rPr>
                      <w:rFonts w:ascii="Arial" w:hAnsi="Arial" w:cs="Arial"/>
                      <w:sz w:val="16"/>
                      <w:szCs w:val="16"/>
                    </w:rPr>
                  </w:pPr>
                  <w:r w:rsidRPr="00FD48A9">
                    <w:rPr>
                      <w:rFonts w:ascii="Arial" w:hAnsi="Arial" w:cs="Arial"/>
                      <w:sz w:val="16"/>
                      <w:szCs w:val="16"/>
                    </w:rPr>
                    <w:t>Tax receipts ($billion)</w:t>
                  </w:r>
                </w:p>
              </w:tc>
              <w:tc>
                <w:tcPr>
                  <w:tcW w:w="936" w:type="pct"/>
                  <w:tcBorders>
                    <w:top w:val="nil"/>
                    <w:left w:val="nil"/>
                    <w:bottom w:val="single" w:sz="4" w:space="0" w:color="000000"/>
                    <w:right w:val="nil"/>
                  </w:tcBorders>
                  <w:shd w:val="clear" w:color="auto" w:fill="auto"/>
                  <w:noWrap/>
                  <w:vAlign w:val="bottom"/>
                  <w:hideMark/>
                </w:tcPr>
                <w:p w14:paraId="48F05871" w14:textId="2861A90B" w:rsidR="003C6D13" w:rsidRPr="00FD48A9" w:rsidRDefault="00C77479" w:rsidP="003C6D13">
                  <w:pPr>
                    <w:spacing w:after="0" w:line="240" w:lineRule="auto"/>
                    <w:jc w:val="right"/>
                    <w:rPr>
                      <w:rFonts w:ascii="Arial" w:hAnsi="Arial" w:cs="Arial"/>
                      <w:sz w:val="16"/>
                      <w:szCs w:val="16"/>
                    </w:rPr>
                  </w:pPr>
                  <w:r>
                    <w:rPr>
                      <w:rFonts w:ascii="Arial" w:hAnsi="Arial" w:cs="Arial"/>
                      <w:sz w:val="16"/>
                      <w:szCs w:val="16"/>
                    </w:rPr>
                    <w:noBreakHyphen/>
                  </w:r>
                  <w:r w:rsidR="003C6D13" w:rsidRPr="00FD48A9">
                    <w:rPr>
                      <w:rFonts w:ascii="Arial" w:hAnsi="Arial" w:cs="Arial"/>
                      <w:sz w:val="16"/>
                      <w:szCs w:val="16"/>
                    </w:rPr>
                    <w:t>1.3</w:t>
                  </w:r>
                </w:p>
              </w:tc>
              <w:tc>
                <w:tcPr>
                  <w:tcW w:w="936" w:type="pct"/>
                  <w:tcBorders>
                    <w:top w:val="nil"/>
                    <w:left w:val="nil"/>
                    <w:bottom w:val="single" w:sz="4" w:space="0" w:color="000000"/>
                    <w:right w:val="nil"/>
                  </w:tcBorders>
                  <w:shd w:val="clear" w:color="auto" w:fill="auto"/>
                  <w:noWrap/>
                  <w:vAlign w:val="bottom"/>
                  <w:hideMark/>
                </w:tcPr>
                <w:p w14:paraId="477DAFE2" w14:textId="770D9D68" w:rsidR="003C6D13" w:rsidRPr="00FD48A9" w:rsidRDefault="00C77479" w:rsidP="003C6D13">
                  <w:pPr>
                    <w:spacing w:after="0" w:line="240" w:lineRule="auto"/>
                    <w:jc w:val="right"/>
                    <w:rPr>
                      <w:rFonts w:ascii="Arial" w:hAnsi="Arial" w:cs="Arial"/>
                      <w:sz w:val="16"/>
                      <w:szCs w:val="16"/>
                    </w:rPr>
                  </w:pPr>
                  <w:r>
                    <w:rPr>
                      <w:rFonts w:ascii="Arial" w:hAnsi="Arial" w:cs="Arial"/>
                      <w:sz w:val="16"/>
                      <w:szCs w:val="16"/>
                    </w:rPr>
                    <w:noBreakHyphen/>
                  </w:r>
                  <w:r w:rsidR="003C6D13" w:rsidRPr="00FD48A9">
                    <w:rPr>
                      <w:rFonts w:ascii="Arial" w:hAnsi="Arial" w:cs="Arial"/>
                      <w:sz w:val="16"/>
                      <w:szCs w:val="16"/>
                    </w:rPr>
                    <w:t>0.9</w:t>
                  </w:r>
                </w:p>
              </w:tc>
              <w:tc>
                <w:tcPr>
                  <w:tcW w:w="936" w:type="pct"/>
                  <w:tcBorders>
                    <w:top w:val="nil"/>
                    <w:left w:val="nil"/>
                    <w:bottom w:val="single" w:sz="4" w:space="0" w:color="000000"/>
                    <w:right w:val="nil"/>
                  </w:tcBorders>
                  <w:shd w:val="clear" w:color="auto" w:fill="auto"/>
                  <w:noWrap/>
                  <w:vAlign w:val="bottom"/>
                  <w:hideMark/>
                </w:tcPr>
                <w:p w14:paraId="3BD139DC" w14:textId="77777777"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1.2</w:t>
                  </w:r>
                </w:p>
              </w:tc>
              <w:tc>
                <w:tcPr>
                  <w:tcW w:w="936" w:type="pct"/>
                  <w:tcBorders>
                    <w:top w:val="nil"/>
                    <w:left w:val="nil"/>
                    <w:bottom w:val="single" w:sz="4" w:space="0" w:color="000000"/>
                    <w:right w:val="nil"/>
                  </w:tcBorders>
                  <w:shd w:val="clear" w:color="auto" w:fill="auto"/>
                  <w:noWrap/>
                  <w:vAlign w:val="bottom"/>
                  <w:hideMark/>
                </w:tcPr>
                <w:p w14:paraId="64A56EB5" w14:textId="77777777" w:rsidR="003C6D13" w:rsidRPr="00FD48A9" w:rsidRDefault="003C6D13" w:rsidP="003C6D13">
                  <w:pPr>
                    <w:spacing w:after="0" w:line="240" w:lineRule="auto"/>
                    <w:jc w:val="right"/>
                    <w:rPr>
                      <w:rFonts w:ascii="Arial" w:hAnsi="Arial" w:cs="Arial"/>
                      <w:sz w:val="16"/>
                      <w:szCs w:val="16"/>
                    </w:rPr>
                  </w:pPr>
                  <w:r w:rsidRPr="00FD48A9">
                    <w:rPr>
                      <w:rFonts w:ascii="Arial" w:hAnsi="Arial" w:cs="Arial"/>
                      <w:sz w:val="16"/>
                      <w:szCs w:val="16"/>
                    </w:rPr>
                    <w:t>1.0</w:t>
                  </w:r>
                </w:p>
              </w:tc>
            </w:tr>
          </w:tbl>
          <w:p w14:paraId="7BCEB6FA" w14:textId="79DCBFB9" w:rsidR="00806C95" w:rsidRPr="00FD48A9" w:rsidRDefault="00806C95" w:rsidP="00806C95">
            <w:pPr>
              <w:pStyle w:val="ChartandTableFootnote"/>
            </w:pPr>
            <w:r w:rsidRPr="00FD48A9">
              <w:t>(a) FOB is the free</w:t>
            </w:r>
            <w:r w:rsidR="00C77479">
              <w:noBreakHyphen/>
            </w:r>
            <w:r w:rsidRPr="00FD48A9">
              <w:t>on</w:t>
            </w:r>
            <w:r w:rsidR="00C77479">
              <w:noBreakHyphen/>
            </w:r>
            <w:r w:rsidRPr="00FD48A9">
              <w:t xml:space="preserve">board </w:t>
            </w:r>
            <w:proofErr w:type="gramStart"/>
            <w:r w:rsidRPr="00FD48A9">
              <w:t>price which</w:t>
            </w:r>
            <w:proofErr w:type="gramEnd"/>
            <w:r w:rsidRPr="00FD48A9">
              <w:t xml:space="preserve"> excludes freight costs.</w:t>
            </w:r>
          </w:p>
          <w:p w14:paraId="444E9BEB" w14:textId="39C268EF" w:rsidR="00806C95" w:rsidRPr="00FD48A9" w:rsidRDefault="00806C95" w:rsidP="00A9224C">
            <w:pPr>
              <w:pStyle w:val="Source"/>
            </w:pPr>
            <w:r w:rsidRPr="00FD48A9">
              <w:t>Source: Treasury.</w:t>
            </w:r>
            <w:r w:rsidR="00315E1E" w:rsidRPr="00FD48A9">
              <w:fldChar w:fldCharType="begin"/>
            </w:r>
            <w:r w:rsidR="00315E1E" w:rsidRPr="00FD48A9">
              <w:instrText xml:space="preserve"> :End:MECD_TP2 </w:instrText>
            </w:r>
            <w:r w:rsidR="00315E1E" w:rsidRPr="00FD48A9">
              <w:fldChar w:fldCharType="end"/>
            </w:r>
          </w:p>
        </w:tc>
      </w:tr>
      <w:bookmarkEnd w:id="0"/>
    </w:tbl>
    <w:p w14:paraId="2D604F57" w14:textId="2067B691" w:rsidR="00617DC7" w:rsidRDefault="00617DC7" w:rsidP="00D131AE"/>
    <w:p w14:paraId="45D3A421" w14:textId="77777777" w:rsidR="00390FA1" w:rsidRPr="00FD48A9" w:rsidRDefault="00390FA1" w:rsidP="00D131AE"/>
    <w:sectPr w:rsidR="00390FA1" w:rsidRPr="00FD48A9" w:rsidSect="00EB5686">
      <w:headerReference w:type="even" r:id="rId21"/>
      <w:headerReference w:type="default" r:id="rId22"/>
      <w:footerReference w:type="even" r:id="rId23"/>
      <w:footerReference w:type="default" r:id="rId24"/>
      <w:headerReference w:type="first" r:id="rId25"/>
      <w:footerReference w:type="first" r:id="rId26"/>
      <w:pgSz w:w="11906" w:h="16838" w:code="9"/>
      <w:pgMar w:top="2466" w:right="2098" w:bottom="2466" w:left="2098" w:header="1899" w:footer="1899"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2267F" w14:textId="77777777" w:rsidR="00617E2C" w:rsidRDefault="00617E2C" w:rsidP="00E40261">
      <w:pPr>
        <w:spacing w:after="0" w:line="240" w:lineRule="auto"/>
      </w:pPr>
      <w:r>
        <w:separator/>
      </w:r>
    </w:p>
  </w:endnote>
  <w:endnote w:type="continuationSeparator" w:id="0">
    <w:p w14:paraId="121B642D" w14:textId="77777777" w:rsidR="00617E2C" w:rsidRDefault="00617E2C" w:rsidP="00E40261">
      <w:pPr>
        <w:spacing w:after="0" w:line="240" w:lineRule="auto"/>
      </w:pPr>
      <w:r>
        <w:continuationSeparator/>
      </w:r>
    </w:p>
  </w:endnote>
  <w:endnote w:type="continuationNotice" w:id="1">
    <w:p w14:paraId="6268E987" w14:textId="77777777" w:rsidR="00617E2C" w:rsidRDefault="00617E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C89A" w14:textId="0D0E1176" w:rsidR="00617E2C" w:rsidRDefault="00617E2C">
    <w:pPr>
      <w:pStyle w:val="Footer"/>
    </w:pPr>
    <w:r>
      <w:fldChar w:fldCharType="begin"/>
    </w:r>
    <w:r>
      <w:instrText xml:space="preserve"> PAGE  \* MERGEFORMAT </w:instrText>
    </w:r>
    <w:r>
      <w:fldChar w:fldCharType="separate"/>
    </w:r>
    <w:r w:rsidR="00BF3492">
      <w:rPr>
        <w:noProof/>
      </w:rPr>
      <w:t>42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F530B" w14:textId="4CDA18D1" w:rsidR="00617E2C" w:rsidRDefault="00617E2C">
    <w:pPr>
      <w:pStyle w:val="Footer"/>
    </w:pPr>
    <w:r>
      <w:fldChar w:fldCharType="begin"/>
    </w:r>
    <w:r>
      <w:instrText xml:space="preserve"> PAGE  \* MERGEFORMAT </w:instrText>
    </w:r>
    <w:r>
      <w:fldChar w:fldCharType="separate"/>
    </w:r>
    <w:r w:rsidR="00BF3492">
      <w:rPr>
        <w:noProof/>
      </w:rPr>
      <w:t>41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72CEA" w14:textId="6F5172CA" w:rsidR="00617E2C" w:rsidRDefault="00617E2C" w:rsidP="00F63398">
    <w:pPr>
      <w:pStyle w:val="Footer"/>
    </w:pPr>
    <w:r>
      <w:fldChar w:fldCharType="begin"/>
    </w:r>
    <w:r>
      <w:instrText xml:space="preserve"> PAGE  \* MERGEFORMAT </w:instrText>
    </w:r>
    <w:r>
      <w:fldChar w:fldCharType="separate"/>
    </w:r>
    <w:r w:rsidR="00BF3492">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A5EF5" w14:textId="77777777" w:rsidR="00617E2C" w:rsidRDefault="00617E2C" w:rsidP="00E40261">
      <w:pPr>
        <w:spacing w:after="0" w:line="240" w:lineRule="auto"/>
      </w:pPr>
      <w:r>
        <w:separator/>
      </w:r>
    </w:p>
  </w:footnote>
  <w:footnote w:type="continuationSeparator" w:id="0">
    <w:p w14:paraId="014FCFA4" w14:textId="77777777" w:rsidR="00617E2C" w:rsidRDefault="00617E2C" w:rsidP="00E40261">
      <w:pPr>
        <w:spacing w:after="0" w:line="240" w:lineRule="auto"/>
      </w:pPr>
      <w:r>
        <w:continuationSeparator/>
      </w:r>
    </w:p>
  </w:footnote>
  <w:footnote w:type="continuationNotice" w:id="1">
    <w:p w14:paraId="638C492C" w14:textId="77777777" w:rsidR="00617E2C" w:rsidRDefault="00617E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50740" w14:textId="5451540D" w:rsidR="00617E2C" w:rsidRPr="00BA41CD" w:rsidRDefault="00BA41CD" w:rsidP="00BA41CD">
    <w:pPr>
      <w:pStyle w:val="HeaderEven"/>
    </w:pPr>
    <w:r>
      <w:fldChar w:fldCharType="begin"/>
    </w:r>
    <w:r>
      <w:instrText xml:space="preserve"> STYLEREF  "Heading 1"  \* MERGEFORMAT </w:instrText>
    </w:r>
    <w:r>
      <w:fldChar w:fldCharType="separate"/>
    </w:r>
    <w:r w:rsidR="00BF3492">
      <w:rPr>
        <w:noProof/>
      </w:rPr>
      <w:t>Part 2: Economic outlook</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D5F07" w14:textId="05A91945" w:rsidR="00617E2C" w:rsidRPr="00BA41CD" w:rsidRDefault="00BA41CD" w:rsidP="00BA41CD">
    <w:pPr>
      <w:pStyle w:val="HeaderOdd"/>
    </w:pPr>
    <w:r>
      <w:fldChar w:fldCharType="begin"/>
    </w:r>
    <w:r>
      <w:instrText xml:space="preserve"> STYLEREF  "Heading 1"  \* MERGEFORMAT </w:instrText>
    </w:r>
    <w:r>
      <w:fldChar w:fldCharType="separate"/>
    </w:r>
    <w:r w:rsidR="00BF3492">
      <w:rPr>
        <w:noProof/>
      </w:rPr>
      <w:t>Part 2: Economic outlook</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CC03" w14:textId="2253FE48" w:rsidR="00617E2C" w:rsidRDefault="00617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2909"/>
    <w:multiLevelType w:val="multilevel"/>
    <w:tmpl w:val="753AC1F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123F3FD2"/>
    <w:multiLevelType w:val="hybridMultilevel"/>
    <w:tmpl w:val="8B2CB3EC"/>
    <w:lvl w:ilvl="0" w:tplc="A9966D54">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D1C5D"/>
    <w:multiLevelType w:val="hybridMultilevel"/>
    <w:tmpl w:val="B3D2E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D4D22CA"/>
    <w:multiLevelType w:val="multilevel"/>
    <w:tmpl w:val="28B041A4"/>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6"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7" w15:restartNumberingAfterBreak="0">
    <w:nsid w:val="55097197"/>
    <w:multiLevelType w:val="multilevel"/>
    <w:tmpl w:val="F3CA4B5C"/>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9" w15:restartNumberingAfterBreak="0">
    <w:nsid w:val="7B0844C2"/>
    <w:multiLevelType w:val="multilevel"/>
    <w:tmpl w:val="FBD6CEA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B47245E"/>
    <w:multiLevelType w:val="hybridMultilevel"/>
    <w:tmpl w:val="2EBC2DDE"/>
    <w:lvl w:ilvl="0" w:tplc="039E4638">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8"/>
  </w:num>
  <w:num w:numId="6">
    <w:abstractNumId w:val="0"/>
  </w:num>
  <w:num w:numId="7">
    <w:abstractNumId w:val="0"/>
  </w:num>
  <w:num w:numId="8">
    <w:abstractNumId w:val="4"/>
  </w:num>
  <w:num w:numId="9">
    <w:abstractNumId w:val="9"/>
  </w:num>
  <w:num w:numId="10">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5"/>
    <w:lvlOverride w:ilvl="0">
      <w:startOverride w:val="1"/>
    </w:lvlOverride>
  </w:num>
  <w:num w:numId="15">
    <w:abstractNumId w:val="5"/>
    <w:lvlOverride w:ilvl="0">
      <w:startOverride w:val="1"/>
    </w:lvlOverride>
  </w:num>
  <w:num w:numId="16">
    <w:abstractNumId w:val="5"/>
  </w:num>
  <w:num w:numId="17">
    <w:abstractNumId w:val="7"/>
  </w:num>
  <w:num w:numId="18">
    <w:abstractNumId w:val="5"/>
  </w:num>
  <w:num w:numId="19">
    <w:abstractNumId w:val="3"/>
  </w:num>
  <w:num w:numId="2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attachedTemplate r:id="rId1"/>
  <w:linkStyles/>
  <w:defaultTabStop w:val="720"/>
  <w:evenAndOddHeaders/>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F63398"/>
    <w:rsid w:val="00002F62"/>
    <w:rsid w:val="0000491C"/>
    <w:rsid w:val="000061B6"/>
    <w:rsid w:val="00006F29"/>
    <w:rsid w:val="000076E3"/>
    <w:rsid w:val="0000774E"/>
    <w:rsid w:val="00010306"/>
    <w:rsid w:val="0001215C"/>
    <w:rsid w:val="00013A8C"/>
    <w:rsid w:val="00013CC1"/>
    <w:rsid w:val="00013EA8"/>
    <w:rsid w:val="000140FF"/>
    <w:rsid w:val="00015A81"/>
    <w:rsid w:val="00017ED8"/>
    <w:rsid w:val="000203F4"/>
    <w:rsid w:val="00020E7D"/>
    <w:rsid w:val="0002291E"/>
    <w:rsid w:val="0002330B"/>
    <w:rsid w:val="00023327"/>
    <w:rsid w:val="0002365C"/>
    <w:rsid w:val="00023D75"/>
    <w:rsid w:val="00024306"/>
    <w:rsid w:val="00026687"/>
    <w:rsid w:val="00026A09"/>
    <w:rsid w:val="0003094C"/>
    <w:rsid w:val="00031416"/>
    <w:rsid w:val="000332C5"/>
    <w:rsid w:val="0003356E"/>
    <w:rsid w:val="000340AC"/>
    <w:rsid w:val="0003441F"/>
    <w:rsid w:val="00035ADB"/>
    <w:rsid w:val="00035D8D"/>
    <w:rsid w:val="00040BF9"/>
    <w:rsid w:val="0004224C"/>
    <w:rsid w:val="00047506"/>
    <w:rsid w:val="00047694"/>
    <w:rsid w:val="00047D46"/>
    <w:rsid w:val="000510B9"/>
    <w:rsid w:val="00053666"/>
    <w:rsid w:val="00054EDD"/>
    <w:rsid w:val="00055352"/>
    <w:rsid w:val="00056870"/>
    <w:rsid w:val="000610BC"/>
    <w:rsid w:val="00062E31"/>
    <w:rsid w:val="00064DDB"/>
    <w:rsid w:val="00065DFB"/>
    <w:rsid w:val="000668AF"/>
    <w:rsid w:val="00067A31"/>
    <w:rsid w:val="00070870"/>
    <w:rsid w:val="00072B98"/>
    <w:rsid w:val="000740D7"/>
    <w:rsid w:val="00074748"/>
    <w:rsid w:val="000759A5"/>
    <w:rsid w:val="00076F1D"/>
    <w:rsid w:val="00077594"/>
    <w:rsid w:val="00080294"/>
    <w:rsid w:val="00081A47"/>
    <w:rsid w:val="00082D64"/>
    <w:rsid w:val="00083EC2"/>
    <w:rsid w:val="000859E4"/>
    <w:rsid w:val="00086C8C"/>
    <w:rsid w:val="0009157D"/>
    <w:rsid w:val="000933D9"/>
    <w:rsid w:val="000934D9"/>
    <w:rsid w:val="000A0610"/>
    <w:rsid w:val="000A08C0"/>
    <w:rsid w:val="000A0A37"/>
    <w:rsid w:val="000A32FA"/>
    <w:rsid w:val="000A4300"/>
    <w:rsid w:val="000A6A93"/>
    <w:rsid w:val="000B1BE6"/>
    <w:rsid w:val="000B245C"/>
    <w:rsid w:val="000B35E4"/>
    <w:rsid w:val="000B3A79"/>
    <w:rsid w:val="000B6CBD"/>
    <w:rsid w:val="000B72D5"/>
    <w:rsid w:val="000C1234"/>
    <w:rsid w:val="000C22FD"/>
    <w:rsid w:val="000C26A1"/>
    <w:rsid w:val="000C2A2D"/>
    <w:rsid w:val="000C3AAD"/>
    <w:rsid w:val="000C7E83"/>
    <w:rsid w:val="000D1DC8"/>
    <w:rsid w:val="000D7683"/>
    <w:rsid w:val="000E07E4"/>
    <w:rsid w:val="000E0F82"/>
    <w:rsid w:val="000E105B"/>
    <w:rsid w:val="000E2012"/>
    <w:rsid w:val="000E367B"/>
    <w:rsid w:val="000E48F5"/>
    <w:rsid w:val="000E4EAE"/>
    <w:rsid w:val="000E78E8"/>
    <w:rsid w:val="000F49D8"/>
    <w:rsid w:val="000F614A"/>
    <w:rsid w:val="000F6403"/>
    <w:rsid w:val="000F7C04"/>
    <w:rsid w:val="00102E7B"/>
    <w:rsid w:val="0010501A"/>
    <w:rsid w:val="00106BB5"/>
    <w:rsid w:val="001072B3"/>
    <w:rsid w:val="00110EDF"/>
    <w:rsid w:val="00111944"/>
    <w:rsid w:val="001166C1"/>
    <w:rsid w:val="00121057"/>
    <w:rsid w:val="001252BE"/>
    <w:rsid w:val="001261C3"/>
    <w:rsid w:val="001266F8"/>
    <w:rsid w:val="00130AE7"/>
    <w:rsid w:val="0013443A"/>
    <w:rsid w:val="00135405"/>
    <w:rsid w:val="00141E38"/>
    <w:rsid w:val="001433AF"/>
    <w:rsid w:val="0014367C"/>
    <w:rsid w:val="001455F0"/>
    <w:rsid w:val="00145FA8"/>
    <w:rsid w:val="00150FC9"/>
    <w:rsid w:val="001525C8"/>
    <w:rsid w:val="001545CB"/>
    <w:rsid w:val="001561AB"/>
    <w:rsid w:val="001563BE"/>
    <w:rsid w:val="00156F50"/>
    <w:rsid w:val="00161607"/>
    <w:rsid w:val="001617C0"/>
    <w:rsid w:val="00161A2B"/>
    <w:rsid w:val="00161DA6"/>
    <w:rsid w:val="00163014"/>
    <w:rsid w:val="00163A55"/>
    <w:rsid w:val="00165B54"/>
    <w:rsid w:val="00170A53"/>
    <w:rsid w:val="001728FD"/>
    <w:rsid w:val="00172CFE"/>
    <w:rsid w:val="00173543"/>
    <w:rsid w:val="00174569"/>
    <w:rsid w:val="00175C8D"/>
    <w:rsid w:val="0018287A"/>
    <w:rsid w:val="00183077"/>
    <w:rsid w:val="00183740"/>
    <w:rsid w:val="00184685"/>
    <w:rsid w:val="0018511A"/>
    <w:rsid w:val="00187A29"/>
    <w:rsid w:val="00190B67"/>
    <w:rsid w:val="0019115B"/>
    <w:rsid w:val="00191B8B"/>
    <w:rsid w:val="00192EB3"/>
    <w:rsid w:val="00192FA0"/>
    <w:rsid w:val="001930CE"/>
    <w:rsid w:val="00196FCB"/>
    <w:rsid w:val="001970E6"/>
    <w:rsid w:val="001A1B48"/>
    <w:rsid w:val="001A1D9D"/>
    <w:rsid w:val="001A219F"/>
    <w:rsid w:val="001A3816"/>
    <w:rsid w:val="001A4128"/>
    <w:rsid w:val="001A5B10"/>
    <w:rsid w:val="001A5D44"/>
    <w:rsid w:val="001A672F"/>
    <w:rsid w:val="001B1F7B"/>
    <w:rsid w:val="001B66EC"/>
    <w:rsid w:val="001B79BA"/>
    <w:rsid w:val="001C15FE"/>
    <w:rsid w:val="001C29BA"/>
    <w:rsid w:val="001C3B54"/>
    <w:rsid w:val="001C4035"/>
    <w:rsid w:val="001C4CAD"/>
    <w:rsid w:val="001C5261"/>
    <w:rsid w:val="001C586F"/>
    <w:rsid w:val="001C6501"/>
    <w:rsid w:val="001C6BEB"/>
    <w:rsid w:val="001C6CB8"/>
    <w:rsid w:val="001C75ED"/>
    <w:rsid w:val="001C7A31"/>
    <w:rsid w:val="001C7FDF"/>
    <w:rsid w:val="001D1C46"/>
    <w:rsid w:val="001D30A6"/>
    <w:rsid w:val="001D4D99"/>
    <w:rsid w:val="001D59D1"/>
    <w:rsid w:val="001D62B0"/>
    <w:rsid w:val="001D6A6A"/>
    <w:rsid w:val="001D752C"/>
    <w:rsid w:val="001E0342"/>
    <w:rsid w:val="001E1A7B"/>
    <w:rsid w:val="001E2910"/>
    <w:rsid w:val="001E4378"/>
    <w:rsid w:val="001E4853"/>
    <w:rsid w:val="001E50C7"/>
    <w:rsid w:val="001E5709"/>
    <w:rsid w:val="001E5893"/>
    <w:rsid w:val="001E63E6"/>
    <w:rsid w:val="001E7735"/>
    <w:rsid w:val="001E78AA"/>
    <w:rsid w:val="001F03B8"/>
    <w:rsid w:val="001F062A"/>
    <w:rsid w:val="001F0EB6"/>
    <w:rsid w:val="001F138D"/>
    <w:rsid w:val="001F2C9F"/>
    <w:rsid w:val="001F3FF0"/>
    <w:rsid w:val="001F54CF"/>
    <w:rsid w:val="001F5B67"/>
    <w:rsid w:val="001F6A63"/>
    <w:rsid w:val="001F7292"/>
    <w:rsid w:val="0020112F"/>
    <w:rsid w:val="00201EE0"/>
    <w:rsid w:val="00202C23"/>
    <w:rsid w:val="00202D07"/>
    <w:rsid w:val="00203258"/>
    <w:rsid w:val="00203795"/>
    <w:rsid w:val="00204738"/>
    <w:rsid w:val="00205104"/>
    <w:rsid w:val="002104E5"/>
    <w:rsid w:val="002122B5"/>
    <w:rsid w:val="002130B0"/>
    <w:rsid w:val="00214077"/>
    <w:rsid w:val="00215287"/>
    <w:rsid w:val="002213D5"/>
    <w:rsid w:val="0022748F"/>
    <w:rsid w:val="00227DFA"/>
    <w:rsid w:val="002318D8"/>
    <w:rsid w:val="00234397"/>
    <w:rsid w:val="0023475B"/>
    <w:rsid w:val="00234C62"/>
    <w:rsid w:val="00235DCB"/>
    <w:rsid w:val="00237F04"/>
    <w:rsid w:val="00240F1E"/>
    <w:rsid w:val="00242A05"/>
    <w:rsid w:val="00242CD5"/>
    <w:rsid w:val="00247A53"/>
    <w:rsid w:val="00251A91"/>
    <w:rsid w:val="002521C4"/>
    <w:rsid w:val="002535B0"/>
    <w:rsid w:val="00254083"/>
    <w:rsid w:val="002579A2"/>
    <w:rsid w:val="002618D0"/>
    <w:rsid w:val="00261E5F"/>
    <w:rsid w:val="00263468"/>
    <w:rsid w:val="00264681"/>
    <w:rsid w:val="0026491B"/>
    <w:rsid w:val="00267200"/>
    <w:rsid w:val="00267E95"/>
    <w:rsid w:val="00270410"/>
    <w:rsid w:val="00273BFE"/>
    <w:rsid w:val="0027596F"/>
    <w:rsid w:val="0027633F"/>
    <w:rsid w:val="00277203"/>
    <w:rsid w:val="00277895"/>
    <w:rsid w:val="00281716"/>
    <w:rsid w:val="0028272F"/>
    <w:rsid w:val="0028347C"/>
    <w:rsid w:val="002834A9"/>
    <w:rsid w:val="00286335"/>
    <w:rsid w:val="00287B3B"/>
    <w:rsid w:val="00290760"/>
    <w:rsid w:val="00291220"/>
    <w:rsid w:val="00292EC0"/>
    <w:rsid w:val="00292EF2"/>
    <w:rsid w:val="0029396A"/>
    <w:rsid w:val="00294C58"/>
    <w:rsid w:val="00294F23"/>
    <w:rsid w:val="00295562"/>
    <w:rsid w:val="002964A4"/>
    <w:rsid w:val="002A0899"/>
    <w:rsid w:val="002A0D3E"/>
    <w:rsid w:val="002A0F09"/>
    <w:rsid w:val="002A211F"/>
    <w:rsid w:val="002A33CF"/>
    <w:rsid w:val="002B2459"/>
    <w:rsid w:val="002B3278"/>
    <w:rsid w:val="002B6106"/>
    <w:rsid w:val="002C5EE8"/>
    <w:rsid w:val="002C6F25"/>
    <w:rsid w:val="002D151F"/>
    <w:rsid w:val="002D1DB8"/>
    <w:rsid w:val="002D3021"/>
    <w:rsid w:val="002D3E8F"/>
    <w:rsid w:val="002D4A0B"/>
    <w:rsid w:val="002D4FB2"/>
    <w:rsid w:val="002D6B54"/>
    <w:rsid w:val="002D77A2"/>
    <w:rsid w:val="002E18B8"/>
    <w:rsid w:val="002E1B1B"/>
    <w:rsid w:val="002E1DB4"/>
    <w:rsid w:val="002E30C9"/>
    <w:rsid w:val="002E5975"/>
    <w:rsid w:val="002E638A"/>
    <w:rsid w:val="002F016E"/>
    <w:rsid w:val="002F0645"/>
    <w:rsid w:val="002F1A5B"/>
    <w:rsid w:val="002F1EFF"/>
    <w:rsid w:val="002F42E3"/>
    <w:rsid w:val="002F6589"/>
    <w:rsid w:val="00300990"/>
    <w:rsid w:val="00302EFE"/>
    <w:rsid w:val="00304E37"/>
    <w:rsid w:val="00306C84"/>
    <w:rsid w:val="00315E1E"/>
    <w:rsid w:val="00316103"/>
    <w:rsid w:val="00317218"/>
    <w:rsid w:val="00317DD7"/>
    <w:rsid w:val="0032417B"/>
    <w:rsid w:val="00324411"/>
    <w:rsid w:val="0032442B"/>
    <w:rsid w:val="00326F73"/>
    <w:rsid w:val="00327BBB"/>
    <w:rsid w:val="003306ED"/>
    <w:rsid w:val="00331C2E"/>
    <w:rsid w:val="00332C77"/>
    <w:rsid w:val="0033319A"/>
    <w:rsid w:val="00335E5D"/>
    <w:rsid w:val="00336288"/>
    <w:rsid w:val="0033653D"/>
    <w:rsid w:val="0033679E"/>
    <w:rsid w:val="00341146"/>
    <w:rsid w:val="003421CD"/>
    <w:rsid w:val="003423F5"/>
    <w:rsid w:val="00342EC6"/>
    <w:rsid w:val="00343782"/>
    <w:rsid w:val="0034481E"/>
    <w:rsid w:val="003451F5"/>
    <w:rsid w:val="00345F83"/>
    <w:rsid w:val="003473D3"/>
    <w:rsid w:val="0034776A"/>
    <w:rsid w:val="003506C0"/>
    <w:rsid w:val="00351DE0"/>
    <w:rsid w:val="0035447D"/>
    <w:rsid w:val="00357FE9"/>
    <w:rsid w:val="003603C1"/>
    <w:rsid w:val="00361C39"/>
    <w:rsid w:val="003621A5"/>
    <w:rsid w:val="003622B2"/>
    <w:rsid w:val="00362B5E"/>
    <w:rsid w:val="00364793"/>
    <w:rsid w:val="00365556"/>
    <w:rsid w:val="003716D2"/>
    <w:rsid w:val="00371F94"/>
    <w:rsid w:val="003723A2"/>
    <w:rsid w:val="00372830"/>
    <w:rsid w:val="00372D8E"/>
    <w:rsid w:val="003824BC"/>
    <w:rsid w:val="00382B31"/>
    <w:rsid w:val="00382C27"/>
    <w:rsid w:val="00382E3D"/>
    <w:rsid w:val="00384B1E"/>
    <w:rsid w:val="00384F4F"/>
    <w:rsid w:val="00385010"/>
    <w:rsid w:val="0038564F"/>
    <w:rsid w:val="003872A4"/>
    <w:rsid w:val="00390FA1"/>
    <w:rsid w:val="003911D6"/>
    <w:rsid w:val="003915A9"/>
    <w:rsid w:val="00391BCC"/>
    <w:rsid w:val="003925F9"/>
    <w:rsid w:val="00393050"/>
    <w:rsid w:val="0039416A"/>
    <w:rsid w:val="003960F8"/>
    <w:rsid w:val="003A06C7"/>
    <w:rsid w:val="003A228A"/>
    <w:rsid w:val="003A2BDF"/>
    <w:rsid w:val="003A2F47"/>
    <w:rsid w:val="003A3996"/>
    <w:rsid w:val="003A3AC2"/>
    <w:rsid w:val="003A57A8"/>
    <w:rsid w:val="003A655E"/>
    <w:rsid w:val="003A6DD8"/>
    <w:rsid w:val="003A7CFB"/>
    <w:rsid w:val="003B087B"/>
    <w:rsid w:val="003B2033"/>
    <w:rsid w:val="003B707D"/>
    <w:rsid w:val="003B7CDA"/>
    <w:rsid w:val="003C299E"/>
    <w:rsid w:val="003C42F8"/>
    <w:rsid w:val="003C48BE"/>
    <w:rsid w:val="003C54FF"/>
    <w:rsid w:val="003C59D5"/>
    <w:rsid w:val="003C6D13"/>
    <w:rsid w:val="003C7D33"/>
    <w:rsid w:val="003D0FB4"/>
    <w:rsid w:val="003D40FF"/>
    <w:rsid w:val="003D58CB"/>
    <w:rsid w:val="003D6D16"/>
    <w:rsid w:val="003D763E"/>
    <w:rsid w:val="003E1C42"/>
    <w:rsid w:val="003E2A1E"/>
    <w:rsid w:val="003F045D"/>
    <w:rsid w:val="003F0AA8"/>
    <w:rsid w:val="003F236C"/>
    <w:rsid w:val="003F25AB"/>
    <w:rsid w:val="003F420D"/>
    <w:rsid w:val="003F4240"/>
    <w:rsid w:val="003F49EF"/>
    <w:rsid w:val="003F5ADE"/>
    <w:rsid w:val="003F6598"/>
    <w:rsid w:val="00401040"/>
    <w:rsid w:val="00402569"/>
    <w:rsid w:val="0040273D"/>
    <w:rsid w:val="004028EB"/>
    <w:rsid w:val="00403979"/>
    <w:rsid w:val="00403FA3"/>
    <w:rsid w:val="004048C0"/>
    <w:rsid w:val="00405722"/>
    <w:rsid w:val="00405E32"/>
    <w:rsid w:val="00410F3A"/>
    <w:rsid w:val="004110A7"/>
    <w:rsid w:val="00413DFA"/>
    <w:rsid w:val="00414BEA"/>
    <w:rsid w:val="004157F0"/>
    <w:rsid w:val="0041713C"/>
    <w:rsid w:val="00417365"/>
    <w:rsid w:val="00420C19"/>
    <w:rsid w:val="00420DAA"/>
    <w:rsid w:val="004231F4"/>
    <w:rsid w:val="0042361C"/>
    <w:rsid w:val="00426606"/>
    <w:rsid w:val="00431040"/>
    <w:rsid w:val="00431949"/>
    <w:rsid w:val="00431D86"/>
    <w:rsid w:val="00433068"/>
    <w:rsid w:val="00433981"/>
    <w:rsid w:val="00433A9F"/>
    <w:rsid w:val="0043432E"/>
    <w:rsid w:val="00434AC7"/>
    <w:rsid w:val="00434B1D"/>
    <w:rsid w:val="00437729"/>
    <w:rsid w:val="00443209"/>
    <w:rsid w:val="0044542F"/>
    <w:rsid w:val="004454E7"/>
    <w:rsid w:val="0045176F"/>
    <w:rsid w:val="00451C9F"/>
    <w:rsid w:val="00452545"/>
    <w:rsid w:val="00456A4C"/>
    <w:rsid w:val="0045790D"/>
    <w:rsid w:val="004603AB"/>
    <w:rsid w:val="0046531E"/>
    <w:rsid w:val="00466557"/>
    <w:rsid w:val="00466C53"/>
    <w:rsid w:val="00466D03"/>
    <w:rsid w:val="00470871"/>
    <w:rsid w:val="00472E07"/>
    <w:rsid w:val="00473DA3"/>
    <w:rsid w:val="00474AAE"/>
    <w:rsid w:val="004774EE"/>
    <w:rsid w:val="00477A2F"/>
    <w:rsid w:val="0048267C"/>
    <w:rsid w:val="0048563A"/>
    <w:rsid w:val="004913D2"/>
    <w:rsid w:val="004933FF"/>
    <w:rsid w:val="00493C59"/>
    <w:rsid w:val="00493DF1"/>
    <w:rsid w:val="00495536"/>
    <w:rsid w:val="00495F71"/>
    <w:rsid w:val="004A2CD5"/>
    <w:rsid w:val="004A47C1"/>
    <w:rsid w:val="004A50F7"/>
    <w:rsid w:val="004A5A6D"/>
    <w:rsid w:val="004A612A"/>
    <w:rsid w:val="004A62E2"/>
    <w:rsid w:val="004B263B"/>
    <w:rsid w:val="004B3ABC"/>
    <w:rsid w:val="004B525A"/>
    <w:rsid w:val="004B694D"/>
    <w:rsid w:val="004C0A25"/>
    <w:rsid w:val="004C1106"/>
    <w:rsid w:val="004C1F4F"/>
    <w:rsid w:val="004C2D7A"/>
    <w:rsid w:val="004C3477"/>
    <w:rsid w:val="004C3A02"/>
    <w:rsid w:val="004C697A"/>
    <w:rsid w:val="004D09AD"/>
    <w:rsid w:val="004D3792"/>
    <w:rsid w:val="004D5F1C"/>
    <w:rsid w:val="004D6AC1"/>
    <w:rsid w:val="004D6E79"/>
    <w:rsid w:val="004E0592"/>
    <w:rsid w:val="004E1DC5"/>
    <w:rsid w:val="004E3ABE"/>
    <w:rsid w:val="004E3B13"/>
    <w:rsid w:val="004E475C"/>
    <w:rsid w:val="004E47BE"/>
    <w:rsid w:val="004E7115"/>
    <w:rsid w:val="004E7E65"/>
    <w:rsid w:val="004F01E5"/>
    <w:rsid w:val="004F3DF6"/>
    <w:rsid w:val="004F3FD9"/>
    <w:rsid w:val="004F4480"/>
    <w:rsid w:val="004F4A88"/>
    <w:rsid w:val="004F5EDF"/>
    <w:rsid w:val="004F60DD"/>
    <w:rsid w:val="004F70C1"/>
    <w:rsid w:val="00500B2E"/>
    <w:rsid w:val="00500FD8"/>
    <w:rsid w:val="00501F7E"/>
    <w:rsid w:val="0050257D"/>
    <w:rsid w:val="005047EF"/>
    <w:rsid w:val="005071A4"/>
    <w:rsid w:val="005073C1"/>
    <w:rsid w:val="00511FAF"/>
    <w:rsid w:val="00512F47"/>
    <w:rsid w:val="00514C21"/>
    <w:rsid w:val="00515382"/>
    <w:rsid w:val="00515BAE"/>
    <w:rsid w:val="00516F53"/>
    <w:rsid w:val="005178DE"/>
    <w:rsid w:val="00520ADB"/>
    <w:rsid w:val="00525BDD"/>
    <w:rsid w:val="00531D89"/>
    <w:rsid w:val="00533905"/>
    <w:rsid w:val="00534CC6"/>
    <w:rsid w:val="005366A6"/>
    <w:rsid w:val="005409E5"/>
    <w:rsid w:val="00541E33"/>
    <w:rsid w:val="00544554"/>
    <w:rsid w:val="00545AE5"/>
    <w:rsid w:val="00546570"/>
    <w:rsid w:val="00552BF1"/>
    <w:rsid w:val="0055304E"/>
    <w:rsid w:val="00554DE6"/>
    <w:rsid w:val="00555F3A"/>
    <w:rsid w:val="005578F2"/>
    <w:rsid w:val="00557D3B"/>
    <w:rsid w:val="005613E1"/>
    <w:rsid w:val="005627EC"/>
    <w:rsid w:val="00564F07"/>
    <w:rsid w:val="0056511A"/>
    <w:rsid w:val="00566147"/>
    <w:rsid w:val="0056740A"/>
    <w:rsid w:val="00572827"/>
    <w:rsid w:val="00575B85"/>
    <w:rsid w:val="00575F81"/>
    <w:rsid w:val="00577C4A"/>
    <w:rsid w:val="00577CB4"/>
    <w:rsid w:val="005808D6"/>
    <w:rsid w:val="005819B1"/>
    <w:rsid w:val="0058328E"/>
    <w:rsid w:val="005845B9"/>
    <w:rsid w:val="005855BA"/>
    <w:rsid w:val="00585C79"/>
    <w:rsid w:val="00586A63"/>
    <w:rsid w:val="00587A17"/>
    <w:rsid w:val="00590BC3"/>
    <w:rsid w:val="00590C3D"/>
    <w:rsid w:val="005926C7"/>
    <w:rsid w:val="00594A45"/>
    <w:rsid w:val="00597558"/>
    <w:rsid w:val="005A1210"/>
    <w:rsid w:val="005A2917"/>
    <w:rsid w:val="005A2D6C"/>
    <w:rsid w:val="005A2F7D"/>
    <w:rsid w:val="005A43A4"/>
    <w:rsid w:val="005A6525"/>
    <w:rsid w:val="005A79DD"/>
    <w:rsid w:val="005B0815"/>
    <w:rsid w:val="005B231B"/>
    <w:rsid w:val="005B3010"/>
    <w:rsid w:val="005B481F"/>
    <w:rsid w:val="005B6125"/>
    <w:rsid w:val="005B6208"/>
    <w:rsid w:val="005B6D45"/>
    <w:rsid w:val="005B7861"/>
    <w:rsid w:val="005C0B22"/>
    <w:rsid w:val="005C1992"/>
    <w:rsid w:val="005C4151"/>
    <w:rsid w:val="005C4736"/>
    <w:rsid w:val="005C56AA"/>
    <w:rsid w:val="005C647C"/>
    <w:rsid w:val="005C70A1"/>
    <w:rsid w:val="005C750C"/>
    <w:rsid w:val="005C7B18"/>
    <w:rsid w:val="005D0F4F"/>
    <w:rsid w:val="005D23CB"/>
    <w:rsid w:val="005D2A28"/>
    <w:rsid w:val="005D2E57"/>
    <w:rsid w:val="005D3026"/>
    <w:rsid w:val="005D30D9"/>
    <w:rsid w:val="005D3A10"/>
    <w:rsid w:val="005D447B"/>
    <w:rsid w:val="005D4D0E"/>
    <w:rsid w:val="005D4D50"/>
    <w:rsid w:val="005D60CE"/>
    <w:rsid w:val="005E134A"/>
    <w:rsid w:val="005E249F"/>
    <w:rsid w:val="005E3433"/>
    <w:rsid w:val="005E695F"/>
    <w:rsid w:val="005F293D"/>
    <w:rsid w:val="005F516B"/>
    <w:rsid w:val="005F523F"/>
    <w:rsid w:val="005F5C21"/>
    <w:rsid w:val="006005F6"/>
    <w:rsid w:val="00602A95"/>
    <w:rsid w:val="0060305C"/>
    <w:rsid w:val="00603E07"/>
    <w:rsid w:val="00603E68"/>
    <w:rsid w:val="00604950"/>
    <w:rsid w:val="006056ED"/>
    <w:rsid w:val="00606EE2"/>
    <w:rsid w:val="00613149"/>
    <w:rsid w:val="00614C6F"/>
    <w:rsid w:val="0061578C"/>
    <w:rsid w:val="00616C83"/>
    <w:rsid w:val="00617A08"/>
    <w:rsid w:val="00617DC7"/>
    <w:rsid w:val="00617E2C"/>
    <w:rsid w:val="00620C3E"/>
    <w:rsid w:val="00622CDB"/>
    <w:rsid w:val="00623AAE"/>
    <w:rsid w:val="006241C5"/>
    <w:rsid w:val="00625731"/>
    <w:rsid w:val="00627AE6"/>
    <w:rsid w:val="0063087B"/>
    <w:rsid w:val="00630F57"/>
    <w:rsid w:val="00632A9E"/>
    <w:rsid w:val="00632E48"/>
    <w:rsid w:val="00633AD2"/>
    <w:rsid w:val="00633F4B"/>
    <w:rsid w:val="00635B9B"/>
    <w:rsid w:val="00637B20"/>
    <w:rsid w:val="00641009"/>
    <w:rsid w:val="006416D6"/>
    <w:rsid w:val="00642248"/>
    <w:rsid w:val="006434D9"/>
    <w:rsid w:val="00643571"/>
    <w:rsid w:val="00644DC4"/>
    <w:rsid w:val="0064702A"/>
    <w:rsid w:val="00647940"/>
    <w:rsid w:val="00654EBA"/>
    <w:rsid w:val="0065775B"/>
    <w:rsid w:val="00661BF9"/>
    <w:rsid w:val="00664C3A"/>
    <w:rsid w:val="00664F1B"/>
    <w:rsid w:val="00670143"/>
    <w:rsid w:val="00670C48"/>
    <w:rsid w:val="006749F2"/>
    <w:rsid w:val="00674DB7"/>
    <w:rsid w:val="00677EBB"/>
    <w:rsid w:val="00682643"/>
    <w:rsid w:val="00682D05"/>
    <w:rsid w:val="00684022"/>
    <w:rsid w:val="006854C2"/>
    <w:rsid w:val="00685D5F"/>
    <w:rsid w:val="006861D1"/>
    <w:rsid w:val="00690ABA"/>
    <w:rsid w:val="0069148E"/>
    <w:rsid w:val="00691582"/>
    <w:rsid w:val="006937A8"/>
    <w:rsid w:val="00694409"/>
    <w:rsid w:val="00696BD8"/>
    <w:rsid w:val="006A1C1E"/>
    <w:rsid w:val="006A2284"/>
    <w:rsid w:val="006A2EB2"/>
    <w:rsid w:val="006A35E6"/>
    <w:rsid w:val="006A4485"/>
    <w:rsid w:val="006A5D51"/>
    <w:rsid w:val="006B34B4"/>
    <w:rsid w:val="006B38A8"/>
    <w:rsid w:val="006B66F2"/>
    <w:rsid w:val="006B6F01"/>
    <w:rsid w:val="006B7AB1"/>
    <w:rsid w:val="006C0B93"/>
    <w:rsid w:val="006C21F2"/>
    <w:rsid w:val="006C2EF7"/>
    <w:rsid w:val="006C2FD4"/>
    <w:rsid w:val="006C74B9"/>
    <w:rsid w:val="006D0447"/>
    <w:rsid w:val="006D1994"/>
    <w:rsid w:val="006D222F"/>
    <w:rsid w:val="006D285C"/>
    <w:rsid w:val="006D2F63"/>
    <w:rsid w:val="006D4F2A"/>
    <w:rsid w:val="006D5B5A"/>
    <w:rsid w:val="006D5DBF"/>
    <w:rsid w:val="006D6863"/>
    <w:rsid w:val="006D7A0A"/>
    <w:rsid w:val="006E0EF5"/>
    <w:rsid w:val="006E1A5E"/>
    <w:rsid w:val="006E40E1"/>
    <w:rsid w:val="006E4675"/>
    <w:rsid w:val="006E58A5"/>
    <w:rsid w:val="006E6878"/>
    <w:rsid w:val="006F29E7"/>
    <w:rsid w:val="006F3FE4"/>
    <w:rsid w:val="006F40CE"/>
    <w:rsid w:val="006F484E"/>
    <w:rsid w:val="006F5E0C"/>
    <w:rsid w:val="006F670D"/>
    <w:rsid w:val="007018FA"/>
    <w:rsid w:val="00702E5D"/>
    <w:rsid w:val="00704D80"/>
    <w:rsid w:val="00710B21"/>
    <w:rsid w:val="00711188"/>
    <w:rsid w:val="00712CD0"/>
    <w:rsid w:val="00712F51"/>
    <w:rsid w:val="00713F5B"/>
    <w:rsid w:val="00716BE9"/>
    <w:rsid w:val="00721F8E"/>
    <w:rsid w:val="00723528"/>
    <w:rsid w:val="007237C1"/>
    <w:rsid w:val="0072392D"/>
    <w:rsid w:val="00723B29"/>
    <w:rsid w:val="0072449F"/>
    <w:rsid w:val="00726F13"/>
    <w:rsid w:val="007309AD"/>
    <w:rsid w:val="00737D38"/>
    <w:rsid w:val="007414ED"/>
    <w:rsid w:val="00742228"/>
    <w:rsid w:val="00745764"/>
    <w:rsid w:val="007465C5"/>
    <w:rsid w:val="00747E05"/>
    <w:rsid w:val="00750DFA"/>
    <w:rsid w:val="007513DC"/>
    <w:rsid w:val="00753590"/>
    <w:rsid w:val="00757245"/>
    <w:rsid w:val="00760269"/>
    <w:rsid w:val="00760D6B"/>
    <w:rsid w:val="00761E4F"/>
    <w:rsid w:val="00762B22"/>
    <w:rsid w:val="007660D8"/>
    <w:rsid w:val="0076720B"/>
    <w:rsid w:val="007734FC"/>
    <w:rsid w:val="007751E6"/>
    <w:rsid w:val="007757B9"/>
    <w:rsid w:val="00775814"/>
    <w:rsid w:val="00775D87"/>
    <w:rsid w:val="00775FE7"/>
    <w:rsid w:val="0077625B"/>
    <w:rsid w:val="00777786"/>
    <w:rsid w:val="00781743"/>
    <w:rsid w:val="00782BF9"/>
    <w:rsid w:val="00783A4B"/>
    <w:rsid w:val="0078545A"/>
    <w:rsid w:val="00786318"/>
    <w:rsid w:val="0078666C"/>
    <w:rsid w:val="00791275"/>
    <w:rsid w:val="00792479"/>
    <w:rsid w:val="00793A06"/>
    <w:rsid w:val="007945C7"/>
    <w:rsid w:val="00795032"/>
    <w:rsid w:val="00797FA4"/>
    <w:rsid w:val="007A023A"/>
    <w:rsid w:val="007A14CA"/>
    <w:rsid w:val="007A312B"/>
    <w:rsid w:val="007A3B4E"/>
    <w:rsid w:val="007A3C0A"/>
    <w:rsid w:val="007A7971"/>
    <w:rsid w:val="007A7CDC"/>
    <w:rsid w:val="007B0728"/>
    <w:rsid w:val="007B35C4"/>
    <w:rsid w:val="007B4600"/>
    <w:rsid w:val="007B46C0"/>
    <w:rsid w:val="007B4E5E"/>
    <w:rsid w:val="007B5472"/>
    <w:rsid w:val="007B699D"/>
    <w:rsid w:val="007B77FF"/>
    <w:rsid w:val="007C0774"/>
    <w:rsid w:val="007C2984"/>
    <w:rsid w:val="007C6DF2"/>
    <w:rsid w:val="007C70AD"/>
    <w:rsid w:val="007C7A14"/>
    <w:rsid w:val="007C7A65"/>
    <w:rsid w:val="007D0A02"/>
    <w:rsid w:val="007D2ADE"/>
    <w:rsid w:val="007D32C9"/>
    <w:rsid w:val="007D332F"/>
    <w:rsid w:val="007D348F"/>
    <w:rsid w:val="007D7A64"/>
    <w:rsid w:val="007E1F17"/>
    <w:rsid w:val="007E4223"/>
    <w:rsid w:val="007E588C"/>
    <w:rsid w:val="007F01F2"/>
    <w:rsid w:val="007F0847"/>
    <w:rsid w:val="007F203A"/>
    <w:rsid w:val="007F2F69"/>
    <w:rsid w:val="007F55EE"/>
    <w:rsid w:val="007F5745"/>
    <w:rsid w:val="00801002"/>
    <w:rsid w:val="00801120"/>
    <w:rsid w:val="0080140B"/>
    <w:rsid w:val="00802D8D"/>
    <w:rsid w:val="008055F1"/>
    <w:rsid w:val="00806C95"/>
    <w:rsid w:val="008103ED"/>
    <w:rsid w:val="008157FA"/>
    <w:rsid w:val="00817FAB"/>
    <w:rsid w:val="008214D4"/>
    <w:rsid w:val="00823E1C"/>
    <w:rsid w:val="00824E07"/>
    <w:rsid w:val="008255C9"/>
    <w:rsid w:val="00831E00"/>
    <w:rsid w:val="00833804"/>
    <w:rsid w:val="00833C68"/>
    <w:rsid w:val="00834009"/>
    <w:rsid w:val="008345C4"/>
    <w:rsid w:val="00836831"/>
    <w:rsid w:val="008406DC"/>
    <w:rsid w:val="00842C83"/>
    <w:rsid w:val="00843D6C"/>
    <w:rsid w:val="00843E22"/>
    <w:rsid w:val="00844C97"/>
    <w:rsid w:val="0084530A"/>
    <w:rsid w:val="00847C87"/>
    <w:rsid w:val="00850F96"/>
    <w:rsid w:val="00851321"/>
    <w:rsid w:val="0085241D"/>
    <w:rsid w:val="008540E7"/>
    <w:rsid w:val="008543BC"/>
    <w:rsid w:val="008574C9"/>
    <w:rsid w:val="00861820"/>
    <w:rsid w:val="00861826"/>
    <w:rsid w:val="00862B03"/>
    <w:rsid w:val="0086715B"/>
    <w:rsid w:val="00867E53"/>
    <w:rsid w:val="00867F24"/>
    <w:rsid w:val="008701AE"/>
    <w:rsid w:val="00870CB6"/>
    <w:rsid w:val="00871846"/>
    <w:rsid w:val="00871DE6"/>
    <w:rsid w:val="0087251C"/>
    <w:rsid w:val="0087349A"/>
    <w:rsid w:val="00873983"/>
    <w:rsid w:val="008750B6"/>
    <w:rsid w:val="0087540D"/>
    <w:rsid w:val="00875AC2"/>
    <w:rsid w:val="00875CBC"/>
    <w:rsid w:val="00876784"/>
    <w:rsid w:val="00876C85"/>
    <w:rsid w:val="008825CA"/>
    <w:rsid w:val="00883D74"/>
    <w:rsid w:val="00883FCA"/>
    <w:rsid w:val="00885145"/>
    <w:rsid w:val="00885620"/>
    <w:rsid w:val="00890629"/>
    <w:rsid w:val="00892932"/>
    <w:rsid w:val="0089354B"/>
    <w:rsid w:val="00893C2A"/>
    <w:rsid w:val="00894B2A"/>
    <w:rsid w:val="00895ED5"/>
    <w:rsid w:val="0089622A"/>
    <w:rsid w:val="00896C93"/>
    <w:rsid w:val="008973B5"/>
    <w:rsid w:val="0089777D"/>
    <w:rsid w:val="008A00C7"/>
    <w:rsid w:val="008A072F"/>
    <w:rsid w:val="008A14FD"/>
    <w:rsid w:val="008A1D86"/>
    <w:rsid w:val="008A1F37"/>
    <w:rsid w:val="008A41AF"/>
    <w:rsid w:val="008A4BF0"/>
    <w:rsid w:val="008A5F2B"/>
    <w:rsid w:val="008B0318"/>
    <w:rsid w:val="008B1AF6"/>
    <w:rsid w:val="008B1F3A"/>
    <w:rsid w:val="008B5DC4"/>
    <w:rsid w:val="008B7C19"/>
    <w:rsid w:val="008B7CB7"/>
    <w:rsid w:val="008B7D00"/>
    <w:rsid w:val="008C0753"/>
    <w:rsid w:val="008C0D7D"/>
    <w:rsid w:val="008C1090"/>
    <w:rsid w:val="008C3479"/>
    <w:rsid w:val="008C47D6"/>
    <w:rsid w:val="008D0724"/>
    <w:rsid w:val="008D379E"/>
    <w:rsid w:val="008D443A"/>
    <w:rsid w:val="008D6E12"/>
    <w:rsid w:val="008D71E5"/>
    <w:rsid w:val="008E55EB"/>
    <w:rsid w:val="008E5ECD"/>
    <w:rsid w:val="008E7225"/>
    <w:rsid w:val="008F07B9"/>
    <w:rsid w:val="008F08E7"/>
    <w:rsid w:val="008F174D"/>
    <w:rsid w:val="008F3219"/>
    <w:rsid w:val="008F33A0"/>
    <w:rsid w:val="008F4D7D"/>
    <w:rsid w:val="008F4E70"/>
    <w:rsid w:val="008F57F2"/>
    <w:rsid w:val="008F6F5F"/>
    <w:rsid w:val="008F761D"/>
    <w:rsid w:val="009009E2"/>
    <w:rsid w:val="0090129C"/>
    <w:rsid w:val="00901EA3"/>
    <w:rsid w:val="009054D2"/>
    <w:rsid w:val="0090677E"/>
    <w:rsid w:val="00907184"/>
    <w:rsid w:val="0091102D"/>
    <w:rsid w:val="00911881"/>
    <w:rsid w:val="00911B9A"/>
    <w:rsid w:val="00912678"/>
    <w:rsid w:val="009133C3"/>
    <w:rsid w:val="00914ED1"/>
    <w:rsid w:val="00917B95"/>
    <w:rsid w:val="00920C89"/>
    <w:rsid w:val="00923B81"/>
    <w:rsid w:val="00924F2D"/>
    <w:rsid w:val="0092520B"/>
    <w:rsid w:val="009300E8"/>
    <w:rsid w:val="0093363A"/>
    <w:rsid w:val="00935C75"/>
    <w:rsid w:val="00941B13"/>
    <w:rsid w:val="009424CA"/>
    <w:rsid w:val="00943894"/>
    <w:rsid w:val="00943C8B"/>
    <w:rsid w:val="00945BA4"/>
    <w:rsid w:val="00946968"/>
    <w:rsid w:val="00946C39"/>
    <w:rsid w:val="009472AC"/>
    <w:rsid w:val="00947EA2"/>
    <w:rsid w:val="009522E2"/>
    <w:rsid w:val="009571D1"/>
    <w:rsid w:val="00960A38"/>
    <w:rsid w:val="00961A40"/>
    <w:rsid w:val="0096283E"/>
    <w:rsid w:val="00962C92"/>
    <w:rsid w:val="00964D68"/>
    <w:rsid w:val="009716D4"/>
    <w:rsid w:val="009722D7"/>
    <w:rsid w:val="00972332"/>
    <w:rsid w:val="00973291"/>
    <w:rsid w:val="00975F66"/>
    <w:rsid w:val="009778AE"/>
    <w:rsid w:val="009804F5"/>
    <w:rsid w:val="0098411E"/>
    <w:rsid w:val="00984E46"/>
    <w:rsid w:val="0098505B"/>
    <w:rsid w:val="009853D9"/>
    <w:rsid w:val="00985AC6"/>
    <w:rsid w:val="009933BB"/>
    <w:rsid w:val="00993FB8"/>
    <w:rsid w:val="00994E8C"/>
    <w:rsid w:val="009957EC"/>
    <w:rsid w:val="009A1A07"/>
    <w:rsid w:val="009A1E9E"/>
    <w:rsid w:val="009A2232"/>
    <w:rsid w:val="009A393D"/>
    <w:rsid w:val="009A445D"/>
    <w:rsid w:val="009A45D2"/>
    <w:rsid w:val="009A4EBC"/>
    <w:rsid w:val="009A52EE"/>
    <w:rsid w:val="009A58E7"/>
    <w:rsid w:val="009A62F3"/>
    <w:rsid w:val="009A6610"/>
    <w:rsid w:val="009A7144"/>
    <w:rsid w:val="009A7444"/>
    <w:rsid w:val="009B30CE"/>
    <w:rsid w:val="009B5CC3"/>
    <w:rsid w:val="009B7044"/>
    <w:rsid w:val="009B7140"/>
    <w:rsid w:val="009C04EA"/>
    <w:rsid w:val="009C11F3"/>
    <w:rsid w:val="009C4905"/>
    <w:rsid w:val="009C52E5"/>
    <w:rsid w:val="009D0A0D"/>
    <w:rsid w:val="009D0C02"/>
    <w:rsid w:val="009D465F"/>
    <w:rsid w:val="009D49AA"/>
    <w:rsid w:val="009D547A"/>
    <w:rsid w:val="009D7662"/>
    <w:rsid w:val="009D76B3"/>
    <w:rsid w:val="009E0D78"/>
    <w:rsid w:val="009E181F"/>
    <w:rsid w:val="009E29BD"/>
    <w:rsid w:val="009E4442"/>
    <w:rsid w:val="009E4CDD"/>
    <w:rsid w:val="009E5ECB"/>
    <w:rsid w:val="009E735B"/>
    <w:rsid w:val="009E766A"/>
    <w:rsid w:val="009F07C5"/>
    <w:rsid w:val="009F36FE"/>
    <w:rsid w:val="009F44E0"/>
    <w:rsid w:val="009F57EA"/>
    <w:rsid w:val="009F5BC9"/>
    <w:rsid w:val="009F6640"/>
    <w:rsid w:val="00A0015C"/>
    <w:rsid w:val="00A01ABB"/>
    <w:rsid w:val="00A020BD"/>
    <w:rsid w:val="00A02F3E"/>
    <w:rsid w:val="00A02F40"/>
    <w:rsid w:val="00A07443"/>
    <w:rsid w:val="00A110AD"/>
    <w:rsid w:val="00A126CC"/>
    <w:rsid w:val="00A129D2"/>
    <w:rsid w:val="00A12B75"/>
    <w:rsid w:val="00A13F0D"/>
    <w:rsid w:val="00A13F86"/>
    <w:rsid w:val="00A1630C"/>
    <w:rsid w:val="00A21789"/>
    <w:rsid w:val="00A223F5"/>
    <w:rsid w:val="00A22586"/>
    <w:rsid w:val="00A26FD7"/>
    <w:rsid w:val="00A2747D"/>
    <w:rsid w:val="00A31F7F"/>
    <w:rsid w:val="00A33B31"/>
    <w:rsid w:val="00A353FA"/>
    <w:rsid w:val="00A3571A"/>
    <w:rsid w:val="00A36880"/>
    <w:rsid w:val="00A37779"/>
    <w:rsid w:val="00A40E25"/>
    <w:rsid w:val="00A413CA"/>
    <w:rsid w:val="00A415FD"/>
    <w:rsid w:val="00A42154"/>
    <w:rsid w:val="00A43B48"/>
    <w:rsid w:val="00A44FCC"/>
    <w:rsid w:val="00A4514C"/>
    <w:rsid w:val="00A4779A"/>
    <w:rsid w:val="00A51009"/>
    <w:rsid w:val="00A5380A"/>
    <w:rsid w:val="00A5443D"/>
    <w:rsid w:val="00A54552"/>
    <w:rsid w:val="00A616E2"/>
    <w:rsid w:val="00A62CF5"/>
    <w:rsid w:val="00A635C4"/>
    <w:rsid w:val="00A635D5"/>
    <w:rsid w:val="00A639AB"/>
    <w:rsid w:val="00A6417F"/>
    <w:rsid w:val="00A6454B"/>
    <w:rsid w:val="00A648F3"/>
    <w:rsid w:val="00A7099D"/>
    <w:rsid w:val="00A70EEC"/>
    <w:rsid w:val="00A727E2"/>
    <w:rsid w:val="00A736C9"/>
    <w:rsid w:val="00A7433A"/>
    <w:rsid w:val="00A747D3"/>
    <w:rsid w:val="00A74A81"/>
    <w:rsid w:val="00A74E21"/>
    <w:rsid w:val="00A75016"/>
    <w:rsid w:val="00A808BC"/>
    <w:rsid w:val="00A81064"/>
    <w:rsid w:val="00A815BE"/>
    <w:rsid w:val="00A81F88"/>
    <w:rsid w:val="00A826DF"/>
    <w:rsid w:val="00A8715D"/>
    <w:rsid w:val="00A872BC"/>
    <w:rsid w:val="00A87F58"/>
    <w:rsid w:val="00A9224C"/>
    <w:rsid w:val="00A923B3"/>
    <w:rsid w:val="00A92B63"/>
    <w:rsid w:val="00A93A15"/>
    <w:rsid w:val="00A940DA"/>
    <w:rsid w:val="00A94BBF"/>
    <w:rsid w:val="00A951D7"/>
    <w:rsid w:val="00A955A2"/>
    <w:rsid w:val="00AA196E"/>
    <w:rsid w:val="00AA3D6C"/>
    <w:rsid w:val="00AA4834"/>
    <w:rsid w:val="00AA61EB"/>
    <w:rsid w:val="00AA75C9"/>
    <w:rsid w:val="00AB2655"/>
    <w:rsid w:val="00AB2902"/>
    <w:rsid w:val="00AB54C7"/>
    <w:rsid w:val="00AC0C4E"/>
    <w:rsid w:val="00AD050D"/>
    <w:rsid w:val="00AD1105"/>
    <w:rsid w:val="00AD2D85"/>
    <w:rsid w:val="00AD4699"/>
    <w:rsid w:val="00AD4C0B"/>
    <w:rsid w:val="00AE1852"/>
    <w:rsid w:val="00AE25E5"/>
    <w:rsid w:val="00AE264F"/>
    <w:rsid w:val="00AE3C04"/>
    <w:rsid w:val="00AE45A6"/>
    <w:rsid w:val="00AE527A"/>
    <w:rsid w:val="00AE7583"/>
    <w:rsid w:val="00AF0C45"/>
    <w:rsid w:val="00AF10FB"/>
    <w:rsid w:val="00AF3B52"/>
    <w:rsid w:val="00AF514B"/>
    <w:rsid w:val="00AF5981"/>
    <w:rsid w:val="00AF6C8E"/>
    <w:rsid w:val="00AF71A5"/>
    <w:rsid w:val="00AF7798"/>
    <w:rsid w:val="00AF789A"/>
    <w:rsid w:val="00B006AC"/>
    <w:rsid w:val="00B01EFA"/>
    <w:rsid w:val="00B043C2"/>
    <w:rsid w:val="00B0495C"/>
    <w:rsid w:val="00B04E5F"/>
    <w:rsid w:val="00B075D6"/>
    <w:rsid w:val="00B12A61"/>
    <w:rsid w:val="00B14472"/>
    <w:rsid w:val="00B153FE"/>
    <w:rsid w:val="00B17FC6"/>
    <w:rsid w:val="00B20A4D"/>
    <w:rsid w:val="00B22A72"/>
    <w:rsid w:val="00B22B53"/>
    <w:rsid w:val="00B22DE7"/>
    <w:rsid w:val="00B231BE"/>
    <w:rsid w:val="00B24E4A"/>
    <w:rsid w:val="00B26BCD"/>
    <w:rsid w:val="00B26ED3"/>
    <w:rsid w:val="00B302DA"/>
    <w:rsid w:val="00B30DCA"/>
    <w:rsid w:val="00B30FC7"/>
    <w:rsid w:val="00B314B1"/>
    <w:rsid w:val="00B33F11"/>
    <w:rsid w:val="00B349DD"/>
    <w:rsid w:val="00B355E8"/>
    <w:rsid w:val="00B36777"/>
    <w:rsid w:val="00B36D2B"/>
    <w:rsid w:val="00B4099B"/>
    <w:rsid w:val="00B413C4"/>
    <w:rsid w:val="00B4284D"/>
    <w:rsid w:val="00B43CAE"/>
    <w:rsid w:val="00B43F65"/>
    <w:rsid w:val="00B44FE0"/>
    <w:rsid w:val="00B450F4"/>
    <w:rsid w:val="00B45DBB"/>
    <w:rsid w:val="00B464D7"/>
    <w:rsid w:val="00B476A1"/>
    <w:rsid w:val="00B479D0"/>
    <w:rsid w:val="00B508A3"/>
    <w:rsid w:val="00B50FB6"/>
    <w:rsid w:val="00B51394"/>
    <w:rsid w:val="00B5259D"/>
    <w:rsid w:val="00B52F7D"/>
    <w:rsid w:val="00B54AAD"/>
    <w:rsid w:val="00B55A7F"/>
    <w:rsid w:val="00B564D0"/>
    <w:rsid w:val="00B56750"/>
    <w:rsid w:val="00B56EA3"/>
    <w:rsid w:val="00B67B02"/>
    <w:rsid w:val="00B67DEF"/>
    <w:rsid w:val="00B70D18"/>
    <w:rsid w:val="00B70EC6"/>
    <w:rsid w:val="00B72A72"/>
    <w:rsid w:val="00B73DFD"/>
    <w:rsid w:val="00B8013E"/>
    <w:rsid w:val="00B8620B"/>
    <w:rsid w:val="00B8636D"/>
    <w:rsid w:val="00B900DF"/>
    <w:rsid w:val="00B90C71"/>
    <w:rsid w:val="00B91AED"/>
    <w:rsid w:val="00B92306"/>
    <w:rsid w:val="00B957EA"/>
    <w:rsid w:val="00B963D7"/>
    <w:rsid w:val="00B967A6"/>
    <w:rsid w:val="00BA15A3"/>
    <w:rsid w:val="00BA2B60"/>
    <w:rsid w:val="00BA41CD"/>
    <w:rsid w:val="00BA4550"/>
    <w:rsid w:val="00BA513F"/>
    <w:rsid w:val="00BA6D6B"/>
    <w:rsid w:val="00BA6DE7"/>
    <w:rsid w:val="00BA72BC"/>
    <w:rsid w:val="00BA73E6"/>
    <w:rsid w:val="00BA7511"/>
    <w:rsid w:val="00BB207D"/>
    <w:rsid w:val="00BB2AF2"/>
    <w:rsid w:val="00BB53CD"/>
    <w:rsid w:val="00BB5639"/>
    <w:rsid w:val="00BB5B09"/>
    <w:rsid w:val="00BB612C"/>
    <w:rsid w:val="00BB741C"/>
    <w:rsid w:val="00BB77D0"/>
    <w:rsid w:val="00BC1C9A"/>
    <w:rsid w:val="00BC37B4"/>
    <w:rsid w:val="00BC623F"/>
    <w:rsid w:val="00BC743C"/>
    <w:rsid w:val="00BD0EEB"/>
    <w:rsid w:val="00BD125E"/>
    <w:rsid w:val="00BD1799"/>
    <w:rsid w:val="00BD192B"/>
    <w:rsid w:val="00BD1D63"/>
    <w:rsid w:val="00BD3E12"/>
    <w:rsid w:val="00BD59C2"/>
    <w:rsid w:val="00BD7DCC"/>
    <w:rsid w:val="00BE2F0E"/>
    <w:rsid w:val="00BE359E"/>
    <w:rsid w:val="00BE5DF9"/>
    <w:rsid w:val="00BE6215"/>
    <w:rsid w:val="00BE6646"/>
    <w:rsid w:val="00BE7856"/>
    <w:rsid w:val="00BE7FC8"/>
    <w:rsid w:val="00BF0ADF"/>
    <w:rsid w:val="00BF135D"/>
    <w:rsid w:val="00BF290B"/>
    <w:rsid w:val="00BF3492"/>
    <w:rsid w:val="00BF3E78"/>
    <w:rsid w:val="00BF6C4D"/>
    <w:rsid w:val="00C01E9C"/>
    <w:rsid w:val="00C03EB5"/>
    <w:rsid w:val="00C049D3"/>
    <w:rsid w:val="00C050B5"/>
    <w:rsid w:val="00C10D6E"/>
    <w:rsid w:val="00C1292D"/>
    <w:rsid w:val="00C12A4A"/>
    <w:rsid w:val="00C13CE1"/>
    <w:rsid w:val="00C17887"/>
    <w:rsid w:val="00C200F9"/>
    <w:rsid w:val="00C21531"/>
    <w:rsid w:val="00C243D5"/>
    <w:rsid w:val="00C24B40"/>
    <w:rsid w:val="00C25160"/>
    <w:rsid w:val="00C25BF2"/>
    <w:rsid w:val="00C2773A"/>
    <w:rsid w:val="00C279D7"/>
    <w:rsid w:val="00C30C72"/>
    <w:rsid w:val="00C34AC4"/>
    <w:rsid w:val="00C352C7"/>
    <w:rsid w:val="00C36EF0"/>
    <w:rsid w:val="00C379A8"/>
    <w:rsid w:val="00C41DA1"/>
    <w:rsid w:val="00C42868"/>
    <w:rsid w:val="00C4293F"/>
    <w:rsid w:val="00C4326B"/>
    <w:rsid w:val="00C434AC"/>
    <w:rsid w:val="00C4404E"/>
    <w:rsid w:val="00C466E1"/>
    <w:rsid w:val="00C470C1"/>
    <w:rsid w:val="00C47951"/>
    <w:rsid w:val="00C47CE1"/>
    <w:rsid w:val="00C52CD3"/>
    <w:rsid w:val="00C5711E"/>
    <w:rsid w:val="00C57ADD"/>
    <w:rsid w:val="00C60AB1"/>
    <w:rsid w:val="00C6162A"/>
    <w:rsid w:val="00C6405E"/>
    <w:rsid w:val="00C64CC1"/>
    <w:rsid w:val="00C65690"/>
    <w:rsid w:val="00C65761"/>
    <w:rsid w:val="00C65B81"/>
    <w:rsid w:val="00C712BC"/>
    <w:rsid w:val="00C7145A"/>
    <w:rsid w:val="00C71937"/>
    <w:rsid w:val="00C74323"/>
    <w:rsid w:val="00C7551E"/>
    <w:rsid w:val="00C760A9"/>
    <w:rsid w:val="00C76AAD"/>
    <w:rsid w:val="00C76BF8"/>
    <w:rsid w:val="00C77479"/>
    <w:rsid w:val="00C77A77"/>
    <w:rsid w:val="00C77BC1"/>
    <w:rsid w:val="00C77C55"/>
    <w:rsid w:val="00C80033"/>
    <w:rsid w:val="00C80117"/>
    <w:rsid w:val="00C80EAC"/>
    <w:rsid w:val="00C839D4"/>
    <w:rsid w:val="00C85317"/>
    <w:rsid w:val="00C864D8"/>
    <w:rsid w:val="00C87A12"/>
    <w:rsid w:val="00C9242F"/>
    <w:rsid w:val="00C946C5"/>
    <w:rsid w:val="00C94D2A"/>
    <w:rsid w:val="00C9520F"/>
    <w:rsid w:val="00C95748"/>
    <w:rsid w:val="00C95C70"/>
    <w:rsid w:val="00C97145"/>
    <w:rsid w:val="00C97BCD"/>
    <w:rsid w:val="00CA0017"/>
    <w:rsid w:val="00CA0329"/>
    <w:rsid w:val="00CA125F"/>
    <w:rsid w:val="00CA2B28"/>
    <w:rsid w:val="00CA2B8C"/>
    <w:rsid w:val="00CA2F14"/>
    <w:rsid w:val="00CA4885"/>
    <w:rsid w:val="00CA643C"/>
    <w:rsid w:val="00CA6942"/>
    <w:rsid w:val="00CA7764"/>
    <w:rsid w:val="00CB0CD2"/>
    <w:rsid w:val="00CB2C26"/>
    <w:rsid w:val="00CB393D"/>
    <w:rsid w:val="00CB7362"/>
    <w:rsid w:val="00CC144B"/>
    <w:rsid w:val="00CC430C"/>
    <w:rsid w:val="00CC6238"/>
    <w:rsid w:val="00CC6432"/>
    <w:rsid w:val="00CC6C4B"/>
    <w:rsid w:val="00CD041F"/>
    <w:rsid w:val="00CD127C"/>
    <w:rsid w:val="00CD1FC6"/>
    <w:rsid w:val="00CD21C4"/>
    <w:rsid w:val="00CD3CAF"/>
    <w:rsid w:val="00CD3F27"/>
    <w:rsid w:val="00CD5E5A"/>
    <w:rsid w:val="00CD6797"/>
    <w:rsid w:val="00CD6980"/>
    <w:rsid w:val="00CD70FF"/>
    <w:rsid w:val="00CE2872"/>
    <w:rsid w:val="00CE3D17"/>
    <w:rsid w:val="00CE5355"/>
    <w:rsid w:val="00CE7AD6"/>
    <w:rsid w:val="00CE7F8A"/>
    <w:rsid w:val="00CF0E4D"/>
    <w:rsid w:val="00CF0E74"/>
    <w:rsid w:val="00D011E0"/>
    <w:rsid w:val="00D01461"/>
    <w:rsid w:val="00D014B6"/>
    <w:rsid w:val="00D0233F"/>
    <w:rsid w:val="00D0464C"/>
    <w:rsid w:val="00D07144"/>
    <w:rsid w:val="00D1048F"/>
    <w:rsid w:val="00D11280"/>
    <w:rsid w:val="00D131AE"/>
    <w:rsid w:val="00D1685E"/>
    <w:rsid w:val="00D16B89"/>
    <w:rsid w:val="00D16C7D"/>
    <w:rsid w:val="00D17A8E"/>
    <w:rsid w:val="00D17BDF"/>
    <w:rsid w:val="00D2029B"/>
    <w:rsid w:val="00D202AD"/>
    <w:rsid w:val="00D20546"/>
    <w:rsid w:val="00D20ED2"/>
    <w:rsid w:val="00D22606"/>
    <w:rsid w:val="00D22E20"/>
    <w:rsid w:val="00D254D9"/>
    <w:rsid w:val="00D269DD"/>
    <w:rsid w:val="00D300E5"/>
    <w:rsid w:val="00D3042B"/>
    <w:rsid w:val="00D30D06"/>
    <w:rsid w:val="00D31F4E"/>
    <w:rsid w:val="00D32A9E"/>
    <w:rsid w:val="00D34B0D"/>
    <w:rsid w:val="00D35D76"/>
    <w:rsid w:val="00D35FB4"/>
    <w:rsid w:val="00D37612"/>
    <w:rsid w:val="00D37F6B"/>
    <w:rsid w:val="00D414D3"/>
    <w:rsid w:val="00D43274"/>
    <w:rsid w:val="00D43CE9"/>
    <w:rsid w:val="00D45A31"/>
    <w:rsid w:val="00D45C86"/>
    <w:rsid w:val="00D46331"/>
    <w:rsid w:val="00D504CE"/>
    <w:rsid w:val="00D52C2D"/>
    <w:rsid w:val="00D53EEE"/>
    <w:rsid w:val="00D55AD8"/>
    <w:rsid w:val="00D56818"/>
    <w:rsid w:val="00D5698C"/>
    <w:rsid w:val="00D56C3F"/>
    <w:rsid w:val="00D577B2"/>
    <w:rsid w:val="00D60E09"/>
    <w:rsid w:val="00D61DD5"/>
    <w:rsid w:val="00D638E9"/>
    <w:rsid w:val="00D6611A"/>
    <w:rsid w:val="00D675D7"/>
    <w:rsid w:val="00D70AD8"/>
    <w:rsid w:val="00D72BDA"/>
    <w:rsid w:val="00D73FC0"/>
    <w:rsid w:val="00D75F2D"/>
    <w:rsid w:val="00D7654E"/>
    <w:rsid w:val="00D8004A"/>
    <w:rsid w:val="00D81798"/>
    <w:rsid w:val="00D82B0F"/>
    <w:rsid w:val="00D83898"/>
    <w:rsid w:val="00D86044"/>
    <w:rsid w:val="00D862CC"/>
    <w:rsid w:val="00D926C9"/>
    <w:rsid w:val="00D9673E"/>
    <w:rsid w:val="00D96B06"/>
    <w:rsid w:val="00DA1ACE"/>
    <w:rsid w:val="00DA1F13"/>
    <w:rsid w:val="00DA42A3"/>
    <w:rsid w:val="00DA58C6"/>
    <w:rsid w:val="00DA6808"/>
    <w:rsid w:val="00DA7556"/>
    <w:rsid w:val="00DB1E96"/>
    <w:rsid w:val="00DB2976"/>
    <w:rsid w:val="00DB39A7"/>
    <w:rsid w:val="00DB4ECD"/>
    <w:rsid w:val="00DB50ED"/>
    <w:rsid w:val="00DB56E0"/>
    <w:rsid w:val="00DB6031"/>
    <w:rsid w:val="00DB70A9"/>
    <w:rsid w:val="00DC0B28"/>
    <w:rsid w:val="00DC1BC2"/>
    <w:rsid w:val="00DC1FC2"/>
    <w:rsid w:val="00DC26B8"/>
    <w:rsid w:val="00DC26D5"/>
    <w:rsid w:val="00DC348B"/>
    <w:rsid w:val="00DC50E1"/>
    <w:rsid w:val="00DC636D"/>
    <w:rsid w:val="00DC7242"/>
    <w:rsid w:val="00DC742A"/>
    <w:rsid w:val="00DD19D4"/>
    <w:rsid w:val="00DD25D4"/>
    <w:rsid w:val="00DD2F12"/>
    <w:rsid w:val="00DD3EFC"/>
    <w:rsid w:val="00DD50E1"/>
    <w:rsid w:val="00DD55AA"/>
    <w:rsid w:val="00DD6197"/>
    <w:rsid w:val="00DD783A"/>
    <w:rsid w:val="00DE1606"/>
    <w:rsid w:val="00DE3B1E"/>
    <w:rsid w:val="00DE3BDD"/>
    <w:rsid w:val="00DE5F97"/>
    <w:rsid w:val="00DE7C95"/>
    <w:rsid w:val="00DF0D3E"/>
    <w:rsid w:val="00DF1A66"/>
    <w:rsid w:val="00DF3144"/>
    <w:rsid w:val="00DF44E0"/>
    <w:rsid w:val="00DF7E56"/>
    <w:rsid w:val="00E00694"/>
    <w:rsid w:val="00E0319B"/>
    <w:rsid w:val="00E040B8"/>
    <w:rsid w:val="00E050CC"/>
    <w:rsid w:val="00E05B29"/>
    <w:rsid w:val="00E05B9C"/>
    <w:rsid w:val="00E06317"/>
    <w:rsid w:val="00E06C7F"/>
    <w:rsid w:val="00E11179"/>
    <w:rsid w:val="00E12257"/>
    <w:rsid w:val="00E1527C"/>
    <w:rsid w:val="00E1596F"/>
    <w:rsid w:val="00E15FF7"/>
    <w:rsid w:val="00E16DAF"/>
    <w:rsid w:val="00E17283"/>
    <w:rsid w:val="00E17829"/>
    <w:rsid w:val="00E21F03"/>
    <w:rsid w:val="00E22FFA"/>
    <w:rsid w:val="00E23846"/>
    <w:rsid w:val="00E23BFC"/>
    <w:rsid w:val="00E241E1"/>
    <w:rsid w:val="00E255B8"/>
    <w:rsid w:val="00E25FFB"/>
    <w:rsid w:val="00E27E08"/>
    <w:rsid w:val="00E3025E"/>
    <w:rsid w:val="00E30DFA"/>
    <w:rsid w:val="00E330A0"/>
    <w:rsid w:val="00E33702"/>
    <w:rsid w:val="00E360BF"/>
    <w:rsid w:val="00E37624"/>
    <w:rsid w:val="00E40261"/>
    <w:rsid w:val="00E40367"/>
    <w:rsid w:val="00E405D2"/>
    <w:rsid w:val="00E41D85"/>
    <w:rsid w:val="00E42B1A"/>
    <w:rsid w:val="00E432BC"/>
    <w:rsid w:val="00E445E6"/>
    <w:rsid w:val="00E540E8"/>
    <w:rsid w:val="00E5497A"/>
    <w:rsid w:val="00E54E74"/>
    <w:rsid w:val="00E57012"/>
    <w:rsid w:val="00E57851"/>
    <w:rsid w:val="00E64C3B"/>
    <w:rsid w:val="00E665CC"/>
    <w:rsid w:val="00E66821"/>
    <w:rsid w:val="00E73C2C"/>
    <w:rsid w:val="00E743CB"/>
    <w:rsid w:val="00E74729"/>
    <w:rsid w:val="00E76D03"/>
    <w:rsid w:val="00E77D36"/>
    <w:rsid w:val="00E80210"/>
    <w:rsid w:val="00E851BE"/>
    <w:rsid w:val="00E85754"/>
    <w:rsid w:val="00E8652F"/>
    <w:rsid w:val="00E86A0A"/>
    <w:rsid w:val="00E87848"/>
    <w:rsid w:val="00E87912"/>
    <w:rsid w:val="00E90AA5"/>
    <w:rsid w:val="00E91C4E"/>
    <w:rsid w:val="00E92124"/>
    <w:rsid w:val="00E9273A"/>
    <w:rsid w:val="00E92DCC"/>
    <w:rsid w:val="00E92F90"/>
    <w:rsid w:val="00E9480C"/>
    <w:rsid w:val="00E96CCE"/>
    <w:rsid w:val="00EA2BB7"/>
    <w:rsid w:val="00EA54C5"/>
    <w:rsid w:val="00EA679C"/>
    <w:rsid w:val="00EA6812"/>
    <w:rsid w:val="00EB0921"/>
    <w:rsid w:val="00EB0FF8"/>
    <w:rsid w:val="00EB19F5"/>
    <w:rsid w:val="00EB4059"/>
    <w:rsid w:val="00EB4907"/>
    <w:rsid w:val="00EB5569"/>
    <w:rsid w:val="00EB5686"/>
    <w:rsid w:val="00EB576C"/>
    <w:rsid w:val="00EB5ED8"/>
    <w:rsid w:val="00EB6328"/>
    <w:rsid w:val="00EB7D17"/>
    <w:rsid w:val="00EC19C3"/>
    <w:rsid w:val="00EC1CD1"/>
    <w:rsid w:val="00EC1E01"/>
    <w:rsid w:val="00EC34F8"/>
    <w:rsid w:val="00EC39B5"/>
    <w:rsid w:val="00EC3C47"/>
    <w:rsid w:val="00EC52BD"/>
    <w:rsid w:val="00ED197B"/>
    <w:rsid w:val="00ED31E6"/>
    <w:rsid w:val="00ED393A"/>
    <w:rsid w:val="00ED39BE"/>
    <w:rsid w:val="00ED5318"/>
    <w:rsid w:val="00EE0F9A"/>
    <w:rsid w:val="00EE13F5"/>
    <w:rsid w:val="00EE1ACB"/>
    <w:rsid w:val="00EE1DAC"/>
    <w:rsid w:val="00EE2493"/>
    <w:rsid w:val="00EE2B32"/>
    <w:rsid w:val="00EE5D3E"/>
    <w:rsid w:val="00EE5E63"/>
    <w:rsid w:val="00EF2B0D"/>
    <w:rsid w:val="00EF4C8A"/>
    <w:rsid w:val="00F009E6"/>
    <w:rsid w:val="00F01A5B"/>
    <w:rsid w:val="00F03574"/>
    <w:rsid w:val="00F0358B"/>
    <w:rsid w:val="00F04411"/>
    <w:rsid w:val="00F063D8"/>
    <w:rsid w:val="00F070AB"/>
    <w:rsid w:val="00F10DF0"/>
    <w:rsid w:val="00F1114D"/>
    <w:rsid w:val="00F14952"/>
    <w:rsid w:val="00F14FD2"/>
    <w:rsid w:val="00F228BE"/>
    <w:rsid w:val="00F24B89"/>
    <w:rsid w:val="00F251F8"/>
    <w:rsid w:val="00F25AF9"/>
    <w:rsid w:val="00F26C14"/>
    <w:rsid w:val="00F26EBC"/>
    <w:rsid w:val="00F315E4"/>
    <w:rsid w:val="00F3320A"/>
    <w:rsid w:val="00F362DE"/>
    <w:rsid w:val="00F37AF8"/>
    <w:rsid w:val="00F40D41"/>
    <w:rsid w:val="00F41122"/>
    <w:rsid w:val="00F42F32"/>
    <w:rsid w:val="00F447B5"/>
    <w:rsid w:val="00F4613E"/>
    <w:rsid w:val="00F46DE0"/>
    <w:rsid w:val="00F47F71"/>
    <w:rsid w:val="00F5095D"/>
    <w:rsid w:val="00F51F66"/>
    <w:rsid w:val="00F531F1"/>
    <w:rsid w:val="00F5470E"/>
    <w:rsid w:val="00F5498D"/>
    <w:rsid w:val="00F57DB6"/>
    <w:rsid w:val="00F625F0"/>
    <w:rsid w:val="00F62915"/>
    <w:rsid w:val="00F62E15"/>
    <w:rsid w:val="00F63398"/>
    <w:rsid w:val="00F643D2"/>
    <w:rsid w:val="00F64B8E"/>
    <w:rsid w:val="00F66145"/>
    <w:rsid w:val="00F67832"/>
    <w:rsid w:val="00F71773"/>
    <w:rsid w:val="00F71E6F"/>
    <w:rsid w:val="00F720E8"/>
    <w:rsid w:val="00F746EC"/>
    <w:rsid w:val="00F76DD6"/>
    <w:rsid w:val="00F770BF"/>
    <w:rsid w:val="00F80672"/>
    <w:rsid w:val="00F80CDA"/>
    <w:rsid w:val="00F814FE"/>
    <w:rsid w:val="00F82D18"/>
    <w:rsid w:val="00F8394D"/>
    <w:rsid w:val="00F846E0"/>
    <w:rsid w:val="00F84F40"/>
    <w:rsid w:val="00F85A73"/>
    <w:rsid w:val="00F86CD5"/>
    <w:rsid w:val="00F873B4"/>
    <w:rsid w:val="00F91F16"/>
    <w:rsid w:val="00F94474"/>
    <w:rsid w:val="00F946CC"/>
    <w:rsid w:val="00F95890"/>
    <w:rsid w:val="00F9662E"/>
    <w:rsid w:val="00F97BD6"/>
    <w:rsid w:val="00FA14D6"/>
    <w:rsid w:val="00FA1BB5"/>
    <w:rsid w:val="00FA44B9"/>
    <w:rsid w:val="00FA607A"/>
    <w:rsid w:val="00FA66F0"/>
    <w:rsid w:val="00FB03CD"/>
    <w:rsid w:val="00FB04F7"/>
    <w:rsid w:val="00FB05BF"/>
    <w:rsid w:val="00FB32F1"/>
    <w:rsid w:val="00FB4706"/>
    <w:rsid w:val="00FB4FD1"/>
    <w:rsid w:val="00FB5D29"/>
    <w:rsid w:val="00FB6CFE"/>
    <w:rsid w:val="00FB76E2"/>
    <w:rsid w:val="00FB78C9"/>
    <w:rsid w:val="00FC1645"/>
    <w:rsid w:val="00FC20E7"/>
    <w:rsid w:val="00FC3D7B"/>
    <w:rsid w:val="00FC554C"/>
    <w:rsid w:val="00FC5E3F"/>
    <w:rsid w:val="00FC5E6D"/>
    <w:rsid w:val="00FC7371"/>
    <w:rsid w:val="00FC74E6"/>
    <w:rsid w:val="00FD1C41"/>
    <w:rsid w:val="00FD3E04"/>
    <w:rsid w:val="00FD48A9"/>
    <w:rsid w:val="00FE3D9B"/>
    <w:rsid w:val="00FE48A3"/>
    <w:rsid w:val="00FF113F"/>
    <w:rsid w:val="00FF3EC8"/>
    <w:rsid w:val="00FF6512"/>
    <w:rsid w:val="00FF6C6D"/>
    <w:rsid w:val="00FF727C"/>
    <w:rsid w:val="00FF7B50"/>
    <w:rsid w:val="00FF7E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DD618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C7"/>
    <w:pPr>
      <w:spacing w:after="240" w:line="260" w:lineRule="exact"/>
      <w:jc w:val="both"/>
    </w:pPr>
    <w:rPr>
      <w:rFonts w:ascii="Book Antiqua" w:eastAsia="Times New Roman" w:hAnsi="Book Antiqua" w:cs="Times New Roman"/>
      <w:sz w:val="20"/>
      <w:szCs w:val="20"/>
      <w:lang w:eastAsia="en-AU"/>
    </w:rPr>
  </w:style>
  <w:style w:type="paragraph" w:styleId="Heading1">
    <w:name w:val="heading 1"/>
    <w:basedOn w:val="HeadingBase"/>
    <w:next w:val="Normal"/>
    <w:link w:val="Heading1Char"/>
    <w:qFormat/>
    <w:rsid w:val="00B30FC7"/>
    <w:pPr>
      <w:spacing w:after="240"/>
      <w:jc w:val="center"/>
      <w:outlineLvl w:val="0"/>
    </w:pPr>
    <w:rPr>
      <w:rFonts w:ascii="Arial Bold" w:hAnsi="Arial Bold"/>
      <w:b/>
      <w:kern w:val="34"/>
      <w:sz w:val="36"/>
    </w:rPr>
  </w:style>
  <w:style w:type="paragraph" w:styleId="Heading2">
    <w:name w:val="heading 2"/>
    <w:basedOn w:val="HeadingBase"/>
    <w:next w:val="Normal"/>
    <w:link w:val="Heading2Char"/>
    <w:qFormat/>
    <w:rsid w:val="00B30FC7"/>
    <w:pPr>
      <w:spacing w:before="240" w:after="240"/>
      <w:outlineLvl w:val="1"/>
    </w:pPr>
    <w:rPr>
      <w:rFonts w:ascii="Arial Bold" w:hAnsi="Arial Bold"/>
      <w:b/>
      <w:sz w:val="26"/>
    </w:rPr>
  </w:style>
  <w:style w:type="paragraph" w:styleId="Heading3">
    <w:name w:val="heading 3"/>
    <w:basedOn w:val="HeadingBase"/>
    <w:next w:val="Normal"/>
    <w:link w:val="Heading3Char"/>
    <w:qFormat/>
    <w:rsid w:val="00B30FC7"/>
    <w:pPr>
      <w:spacing w:before="120" w:after="120"/>
      <w:outlineLvl w:val="2"/>
    </w:pPr>
    <w:rPr>
      <w:rFonts w:ascii="Arial Bold" w:hAnsi="Arial Bold"/>
      <w:b/>
      <w:sz w:val="22"/>
    </w:rPr>
  </w:style>
  <w:style w:type="paragraph" w:styleId="Heading4">
    <w:name w:val="heading 4"/>
    <w:basedOn w:val="HeadingBase"/>
    <w:next w:val="Normal"/>
    <w:link w:val="Heading4Char"/>
    <w:qFormat/>
    <w:rsid w:val="00B30FC7"/>
    <w:pPr>
      <w:spacing w:after="120"/>
      <w:outlineLvl w:val="3"/>
    </w:pPr>
    <w:rPr>
      <w:rFonts w:ascii="Arial Bold" w:hAnsi="Arial Bold"/>
      <w:b/>
      <w:sz w:val="20"/>
    </w:rPr>
  </w:style>
  <w:style w:type="paragraph" w:styleId="Heading5">
    <w:name w:val="heading 5"/>
    <w:basedOn w:val="HeadingBase"/>
    <w:next w:val="Normal"/>
    <w:link w:val="Heading5Char"/>
    <w:qFormat/>
    <w:rsid w:val="00B30FC7"/>
    <w:pPr>
      <w:spacing w:after="120"/>
      <w:outlineLvl w:val="4"/>
    </w:pPr>
    <w:rPr>
      <w:b/>
      <w:bCs/>
      <w:iCs/>
      <w:sz w:val="20"/>
      <w:szCs w:val="26"/>
    </w:rPr>
  </w:style>
  <w:style w:type="paragraph" w:styleId="Heading6">
    <w:name w:val="heading 6"/>
    <w:basedOn w:val="HeadingBase"/>
    <w:next w:val="Normal"/>
    <w:link w:val="Heading6Char"/>
    <w:rsid w:val="00B30FC7"/>
    <w:pPr>
      <w:spacing w:after="120"/>
      <w:outlineLvl w:val="5"/>
    </w:pPr>
    <w:rPr>
      <w:bCs/>
      <w:sz w:val="20"/>
      <w:szCs w:val="22"/>
    </w:rPr>
  </w:style>
  <w:style w:type="paragraph" w:styleId="Heading7">
    <w:name w:val="heading 7"/>
    <w:basedOn w:val="HeadingBase"/>
    <w:next w:val="Normal"/>
    <w:link w:val="Heading7Char"/>
    <w:rsid w:val="00B30FC7"/>
    <w:pPr>
      <w:spacing w:before="120"/>
      <w:outlineLvl w:val="6"/>
    </w:pPr>
    <w:rPr>
      <w:sz w:val="20"/>
      <w:szCs w:val="24"/>
    </w:rPr>
  </w:style>
  <w:style w:type="paragraph" w:styleId="Heading8">
    <w:name w:val="heading 8"/>
    <w:basedOn w:val="HeadingBase"/>
    <w:next w:val="Normal"/>
    <w:link w:val="Heading8Char"/>
    <w:rsid w:val="00B30FC7"/>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rsid w:val="00B30F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0FC7"/>
  </w:style>
  <w:style w:type="paragraph" w:styleId="Header">
    <w:name w:val="header"/>
    <w:basedOn w:val="HeaderBase"/>
    <w:link w:val="HeaderChar"/>
    <w:rsid w:val="00B30FC7"/>
    <w:pPr>
      <w:tabs>
        <w:tab w:val="center" w:pos="4153"/>
        <w:tab w:val="right" w:pos="8306"/>
      </w:tabs>
    </w:pPr>
  </w:style>
  <w:style w:type="character" w:customStyle="1" w:styleId="HeaderChar">
    <w:name w:val="Header Char"/>
    <w:basedOn w:val="DefaultParagraphFont"/>
    <w:link w:val="Header"/>
    <w:rsid w:val="00B30FC7"/>
    <w:rPr>
      <w:rFonts w:ascii="Book Antiqua" w:eastAsia="Times New Roman" w:hAnsi="Book Antiqua" w:cs="Times New Roman"/>
      <w:i/>
      <w:sz w:val="20"/>
      <w:szCs w:val="20"/>
      <w:lang w:eastAsia="en-AU"/>
    </w:rPr>
  </w:style>
  <w:style w:type="paragraph" w:styleId="Footer">
    <w:name w:val="footer"/>
    <w:basedOn w:val="FooterBase"/>
    <w:link w:val="FooterChar"/>
    <w:rsid w:val="00B30FC7"/>
    <w:pPr>
      <w:tabs>
        <w:tab w:val="center" w:pos="4153"/>
        <w:tab w:val="right" w:pos="8306"/>
      </w:tabs>
    </w:pPr>
  </w:style>
  <w:style w:type="character" w:customStyle="1" w:styleId="FooterChar">
    <w:name w:val="Footer Char"/>
    <w:basedOn w:val="DefaultParagraphFont"/>
    <w:link w:val="Footer"/>
    <w:rsid w:val="00B30FC7"/>
    <w:rPr>
      <w:rFonts w:ascii="Arial" w:eastAsia="Times New Roman" w:hAnsi="Arial" w:cs="Times New Roman"/>
      <w:sz w:val="20"/>
      <w:szCs w:val="20"/>
      <w:lang w:eastAsia="en-AU"/>
    </w:rPr>
  </w:style>
  <w:style w:type="paragraph" w:customStyle="1" w:styleId="SecurityClassificationHeader">
    <w:name w:val="Security Classification Header"/>
    <w:link w:val="SecurityClassificationHeaderChar"/>
    <w:rsid w:val="00B30FC7"/>
    <w:pPr>
      <w:spacing w:before="240" w:after="60"/>
      <w:jc w:val="center"/>
    </w:pPr>
    <w:rPr>
      <w:rFonts w:ascii="Calibri" w:eastAsia="Times New Roman" w:hAnsi="Calibri" w:cs="Calibri"/>
      <w:b/>
      <w:caps/>
      <w:sz w:val="24"/>
      <w:szCs w:val="20"/>
      <w:lang w:eastAsia="en-AU"/>
    </w:rPr>
  </w:style>
  <w:style w:type="character" w:customStyle="1" w:styleId="SecurityClassificationHeaderChar">
    <w:name w:val="Security Classification Header Char"/>
    <w:basedOn w:val="HeaderChar"/>
    <w:link w:val="SecurityClassificationHeader"/>
    <w:rsid w:val="00B30FC7"/>
    <w:rPr>
      <w:rFonts w:ascii="Calibri" w:eastAsia="Times New Roman" w:hAnsi="Calibri" w:cs="Calibri"/>
      <w:b/>
      <w:i w:val="0"/>
      <w:caps/>
      <w:sz w:val="24"/>
      <w:szCs w:val="20"/>
      <w:lang w:eastAsia="en-AU"/>
    </w:rPr>
  </w:style>
  <w:style w:type="paragraph" w:customStyle="1" w:styleId="SecurityClassificationFooter">
    <w:name w:val="Security Classification Footer"/>
    <w:link w:val="SecurityClassificationFooterChar"/>
    <w:rsid w:val="00B30FC7"/>
    <w:pPr>
      <w:spacing w:before="60" w:after="240"/>
      <w:jc w:val="center"/>
    </w:pPr>
    <w:rPr>
      <w:rFonts w:ascii="Calibri" w:eastAsia="Times New Roman" w:hAnsi="Calibri" w:cs="Calibri"/>
      <w:b/>
      <w:caps/>
      <w:sz w:val="24"/>
      <w:szCs w:val="20"/>
      <w:lang w:eastAsia="en-AU"/>
    </w:rPr>
  </w:style>
  <w:style w:type="character" w:customStyle="1" w:styleId="SecurityClassificationFooterChar">
    <w:name w:val="Security Classification Footer Char"/>
    <w:basedOn w:val="HeaderChar"/>
    <w:link w:val="SecurityClassificationFooter"/>
    <w:rsid w:val="00B30FC7"/>
    <w:rPr>
      <w:rFonts w:ascii="Calibri" w:eastAsia="Times New Roman" w:hAnsi="Calibri" w:cs="Calibri"/>
      <w:b/>
      <w:i w:val="0"/>
      <w:caps/>
      <w:sz w:val="24"/>
      <w:szCs w:val="20"/>
      <w:lang w:eastAsia="en-AU"/>
    </w:rPr>
  </w:style>
  <w:style w:type="paragraph" w:customStyle="1" w:styleId="DLMSecurityHeader">
    <w:name w:val="DLM Security Header"/>
    <w:link w:val="DLMSecurityHeaderChar"/>
    <w:rsid w:val="00B30FC7"/>
    <w:pPr>
      <w:spacing w:before="60" w:after="240"/>
      <w:jc w:val="center"/>
    </w:pPr>
    <w:rPr>
      <w:rFonts w:ascii="Calibri" w:eastAsia="Times New Roman" w:hAnsi="Calibri" w:cs="Calibri"/>
      <w:b/>
      <w:caps/>
      <w:sz w:val="24"/>
      <w:szCs w:val="20"/>
      <w:lang w:eastAsia="en-AU"/>
    </w:rPr>
  </w:style>
  <w:style w:type="character" w:customStyle="1" w:styleId="DLMSecurityHeaderChar">
    <w:name w:val="DLM Security Header Char"/>
    <w:basedOn w:val="HeaderChar"/>
    <w:link w:val="DLMSecurityHeader"/>
    <w:rsid w:val="00B30FC7"/>
    <w:rPr>
      <w:rFonts w:ascii="Calibri" w:eastAsia="Times New Roman" w:hAnsi="Calibri" w:cs="Calibri"/>
      <w:b/>
      <w:i w:val="0"/>
      <w:caps/>
      <w:sz w:val="24"/>
      <w:szCs w:val="20"/>
      <w:lang w:eastAsia="en-AU"/>
    </w:rPr>
  </w:style>
  <w:style w:type="paragraph" w:customStyle="1" w:styleId="DLMSecurityFooter">
    <w:name w:val="DLM Security Footer"/>
    <w:link w:val="DLMSecurityFooterChar"/>
    <w:rsid w:val="00B30FC7"/>
    <w:pPr>
      <w:spacing w:before="240" w:after="60"/>
      <w:jc w:val="center"/>
    </w:pPr>
    <w:rPr>
      <w:rFonts w:ascii="Calibri" w:eastAsia="Times New Roman" w:hAnsi="Calibri" w:cs="Calibri"/>
      <w:b/>
      <w:caps/>
      <w:sz w:val="24"/>
      <w:szCs w:val="20"/>
      <w:lang w:eastAsia="en-AU"/>
    </w:rPr>
  </w:style>
  <w:style w:type="character" w:customStyle="1" w:styleId="DLMSecurityFooterChar">
    <w:name w:val="DLM Security Footer Char"/>
    <w:basedOn w:val="HeaderChar"/>
    <w:link w:val="DLMSecurityFooter"/>
    <w:rsid w:val="00B30FC7"/>
    <w:rPr>
      <w:rFonts w:ascii="Calibri" w:eastAsia="Times New Roman" w:hAnsi="Calibri" w:cs="Calibri"/>
      <w:b/>
      <w:i w:val="0"/>
      <w:caps/>
      <w:sz w:val="24"/>
      <w:szCs w:val="20"/>
      <w:lang w:eastAsia="en-AU"/>
    </w:rPr>
  </w:style>
  <w:style w:type="paragraph" w:customStyle="1" w:styleId="Classification">
    <w:name w:val="Classification"/>
    <w:basedOn w:val="HeadingBase"/>
    <w:rsid w:val="00B30FC7"/>
    <w:pPr>
      <w:jc w:val="center"/>
    </w:pPr>
    <w:rPr>
      <w:b/>
      <w:smallCaps/>
    </w:rPr>
  </w:style>
  <w:style w:type="paragraph" w:customStyle="1" w:styleId="FileProperties">
    <w:name w:val="File Properties"/>
    <w:basedOn w:val="Normal"/>
    <w:rsid w:val="00B30FC7"/>
    <w:rPr>
      <w:i/>
    </w:rPr>
  </w:style>
  <w:style w:type="paragraph" w:customStyle="1" w:styleId="AlphaParagraph">
    <w:name w:val="Alpha Paragraph"/>
    <w:basedOn w:val="Normal"/>
    <w:rsid w:val="00B30FC7"/>
    <w:pPr>
      <w:numPr>
        <w:numId w:val="1"/>
      </w:numPr>
      <w:tabs>
        <w:tab w:val="clear" w:pos="567"/>
        <w:tab w:val="num" w:pos="360"/>
      </w:tabs>
      <w:ind w:left="0" w:firstLine="0"/>
    </w:pPr>
  </w:style>
  <w:style w:type="paragraph" w:customStyle="1" w:styleId="HeadingBase">
    <w:name w:val="Heading Base"/>
    <w:link w:val="HeadingBaseChar"/>
    <w:rsid w:val="00B30FC7"/>
    <w:pPr>
      <w:keepNext/>
      <w:spacing w:after="0" w:line="240" w:lineRule="auto"/>
    </w:pPr>
    <w:rPr>
      <w:rFonts w:ascii="Arial" w:eastAsia="Times New Roman" w:hAnsi="Arial" w:cs="Times New Roman"/>
      <w:sz w:val="24"/>
      <w:szCs w:val="20"/>
      <w:lang w:eastAsia="en-AU"/>
    </w:rPr>
  </w:style>
  <w:style w:type="paragraph" w:customStyle="1" w:styleId="AppendixHeading">
    <w:name w:val="Appendix Heading"/>
    <w:basedOn w:val="HeadingBase"/>
    <w:rsid w:val="00B30FC7"/>
    <w:pPr>
      <w:spacing w:after="240"/>
      <w:jc w:val="center"/>
      <w:outlineLvl w:val="3"/>
    </w:pPr>
    <w:rPr>
      <w:rFonts w:ascii="Arial Bold" w:hAnsi="Arial Bold"/>
      <w:b/>
      <w:sz w:val="30"/>
    </w:rPr>
  </w:style>
  <w:style w:type="paragraph" w:styleId="BalloonText">
    <w:name w:val="Balloon Text"/>
    <w:basedOn w:val="Normal"/>
    <w:link w:val="BalloonTextChar"/>
    <w:rsid w:val="00B30FC7"/>
    <w:rPr>
      <w:rFonts w:ascii="Tahoma" w:hAnsi="Tahoma" w:cs="Tahoma"/>
      <w:sz w:val="16"/>
      <w:szCs w:val="16"/>
    </w:rPr>
  </w:style>
  <w:style w:type="character" w:customStyle="1" w:styleId="BalloonTextChar">
    <w:name w:val="Balloon Text Char"/>
    <w:basedOn w:val="DefaultParagraphFont"/>
    <w:link w:val="BalloonText"/>
    <w:rsid w:val="00B30FC7"/>
    <w:rPr>
      <w:rFonts w:ascii="Tahoma" w:eastAsia="Times New Roman" w:hAnsi="Tahoma" w:cs="Tahoma"/>
      <w:sz w:val="16"/>
      <w:szCs w:val="16"/>
      <w:lang w:eastAsia="en-AU"/>
    </w:rPr>
  </w:style>
  <w:style w:type="paragraph" w:customStyle="1" w:styleId="BlockedQuotation">
    <w:name w:val="Blocked Quotation"/>
    <w:basedOn w:val="Normal"/>
    <w:rsid w:val="00B30FC7"/>
    <w:pPr>
      <w:ind w:left="567"/>
    </w:pPr>
  </w:style>
  <w:style w:type="paragraph" w:customStyle="1" w:styleId="BoxText">
    <w:name w:val="Box Text"/>
    <w:basedOn w:val="Normal"/>
    <w:qFormat/>
    <w:rsid w:val="00B30FC7"/>
    <w:pPr>
      <w:spacing w:before="120" w:after="120" w:line="240" w:lineRule="auto"/>
    </w:pPr>
  </w:style>
  <w:style w:type="paragraph" w:customStyle="1" w:styleId="BoxBullet">
    <w:name w:val="Box Bullet"/>
    <w:basedOn w:val="BoxText"/>
    <w:rsid w:val="00B30FC7"/>
    <w:pPr>
      <w:numPr>
        <w:numId w:val="2"/>
      </w:numPr>
    </w:pPr>
  </w:style>
  <w:style w:type="paragraph" w:customStyle="1" w:styleId="BoxHeading">
    <w:name w:val="Box Heading"/>
    <w:basedOn w:val="HeadingBase"/>
    <w:next w:val="BoxText"/>
    <w:rsid w:val="00B30FC7"/>
    <w:pPr>
      <w:spacing w:before="120" w:after="120"/>
    </w:pPr>
    <w:rPr>
      <w:b/>
      <w:sz w:val="20"/>
    </w:rPr>
  </w:style>
  <w:style w:type="character" w:customStyle="1" w:styleId="Heading6Char">
    <w:name w:val="Heading 6 Char"/>
    <w:basedOn w:val="DefaultParagraphFont"/>
    <w:link w:val="Heading6"/>
    <w:rsid w:val="00B30FC7"/>
    <w:rPr>
      <w:rFonts w:ascii="Arial" w:eastAsia="Times New Roman" w:hAnsi="Arial" w:cs="Times New Roman"/>
      <w:bCs/>
      <w:sz w:val="20"/>
      <w:lang w:eastAsia="en-AU"/>
    </w:rPr>
  </w:style>
  <w:style w:type="paragraph" w:customStyle="1" w:styleId="BoxSubHeading">
    <w:name w:val="Box Sub Heading"/>
    <w:basedOn w:val="Heading6"/>
    <w:rsid w:val="00B30FC7"/>
    <w:pPr>
      <w:spacing w:before="120" w:after="40"/>
    </w:pPr>
  </w:style>
  <w:style w:type="paragraph" w:customStyle="1" w:styleId="Bullet">
    <w:name w:val="Bullet"/>
    <w:aliases w:val="b,b1,b + line,level 1,Body,Bullet + line"/>
    <w:basedOn w:val="Normal"/>
    <w:link w:val="BulletChar"/>
    <w:qFormat/>
    <w:rsid w:val="00B30FC7"/>
    <w:pPr>
      <w:numPr>
        <w:numId w:val="3"/>
      </w:numPr>
    </w:pPr>
  </w:style>
  <w:style w:type="paragraph" w:styleId="Caption">
    <w:name w:val="caption"/>
    <w:basedOn w:val="Normal"/>
    <w:next w:val="Normal"/>
    <w:rsid w:val="00B30FC7"/>
    <w:rPr>
      <w:b/>
      <w:bCs/>
    </w:rPr>
  </w:style>
  <w:style w:type="paragraph" w:customStyle="1" w:styleId="ChartandTableFootnote">
    <w:name w:val="Chart and Table Footnote"/>
    <w:basedOn w:val="HeadingBase"/>
    <w:next w:val="Normal"/>
    <w:rsid w:val="00B30FC7"/>
    <w:pPr>
      <w:keepNext w:val="0"/>
      <w:tabs>
        <w:tab w:val="left" w:pos="284"/>
      </w:tabs>
      <w:jc w:val="both"/>
    </w:pPr>
    <w:rPr>
      <w:color w:val="000000"/>
      <w:sz w:val="16"/>
    </w:rPr>
  </w:style>
  <w:style w:type="paragraph" w:customStyle="1" w:styleId="ChartandTableFootnoteAlpha">
    <w:name w:val="Chart and Table Footnote Alpha"/>
    <w:basedOn w:val="HeadingBase"/>
    <w:next w:val="Normal"/>
    <w:link w:val="ChartandTableFootnoteAlphaChar"/>
    <w:rsid w:val="00B30FC7"/>
    <w:pPr>
      <w:keepNext w:val="0"/>
      <w:numPr>
        <w:numId w:val="4"/>
      </w:numPr>
      <w:jc w:val="both"/>
    </w:pPr>
    <w:rPr>
      <w:color w:val="000000"/>
      <w:sz w:val="16"/>
    </w:rPr>
  </w:style>
  <w:style w:type="paragraph" w:customStyle="1" w:styleId="ChartandTableFootnoteSmall">
    <w:name w:val="Chart and Table Footnote Small"/>
    <w:basedOn w:val="HeadingBase"/>
    <w:next w:val="Normal"/>
    <w:rsid w:val="00B30FC7"/>
    <w:pPr>
      <w:keepNext w:val="0"/>
      <w:tabs>
        <w:tab w:val="left" w:pos="284"/>
      </w:tabs>
      <w:jc w:val="both"/>
    </w:pPr>
    <w:rPr>
      <w:color w:val="000000"/>
      <w:sz w:val="15"/>
    </w:rPr>
  </w:style>
  <w:style w:type="paragraph" w:customStyle="1" w:styleId="ChartGraphic">
    <w:name w:val="Chart Graphic"/>
    <w:basedOn w:val="HeadingBase"/>
    <w:rsid w:val="00B30FC7"/>
    <w:pPr>
      <w:jc w:val="center"/>
    </w:pPr>
    <w:rPr>
      <w:sz w:val="20"/>
    </w:rPr>
  </w:style>
  <w:style w:type="paragraph" w:customStyle="1" w:styleId="ChartHeading">
    <w:name w:val="Chart Heading"/>
    <w:basedOn w:val="HeadingBase"/>
    <w:next w:val="ChartGraphic"/>
    <w:qFormat/>
    <w:rsid w:val="00B30FC7"/>
    <w:pPr>
      <w:spacing w:before="120" w:after="20"/>
      <w:jc w:val="center"/>
    </w:pPr>
    <w:rPr>
      <w:b/>
      <w:sz w:val="20"/>
    </w:rPr>
  </w:style>
  <w:style w:type="paragraph" w:customStyle="1" w:styleId="ChartMainHeading">
    <w:name w:val="Chart Main Heading"/>
    <w:basedOn w:val="Normal"/>
    <w:next w:val="ChartGraphic"/>
    <w:rsid w:val="00B30FC7"/>
    <w:pPr>
      <w:keepNext/>
      <w:spacing w:before="120" w:after="20" w:line="240" w:lineRule="auto"/>
      <w:jc w:val="center"/>
    </w:pPr>
    <w:rPr>
      <w:rFonts w:ascii="Arial Bold" w:hAnsi="Arial Bold"/>
      <w:b/>
    </w:rPr>
  </w:style>
  <w:style w:type="paragraph" w:customStyle="1" w:styleId="ChartSecondHeading">
    <w:name w:val="Chart Second Heading"/>
    <w:basedOn w:val="HeadingBase"/>
    <w:next w:val="ChartGraphic"/>
    <w:rsid w:val="00B30FC7"/>
    <w:pPr>
      <w:spacing w:before="60"/>
      <w:jc w:val="center"/>
    </w:pPr>
    <w:rPr>
      <w:sz w:val="20"/>
    </w:rPr>
  </w:style>
  <w:style w:type="character" w:styleId="CommentReference">
    <w:name w:val="annotation reference"/>
    <w:basedOn w:val="DefaultParagraphFont"/>
    <w:semiHidden/>
    <w:rsid w:val="00B30FC7"/>
    <w:rPr>
      <w:sz w:val="16"/>
      <w:szCs w:val="16"/>
    </w:rPr>
  </w:style>
  <w:style w:type="paragraph" w:styleId="CommentText">
    <w:name w:val="annotation text"/>
    <w:basedOn w:val="Normal"/>
    <w:link w:val="CommentTextChar"/>
    <w:semiHidden/>
    <w:rsid w:val="00B30FC7"/>
  </w:style>
  <w:style w:type="character" w:customStyle="1" w:styleId="CommentTextChar">
    <w:name w:val="Comment Text Char"/>
    <w:basedOn w:val="DefaultParagraphFont"/>
    <w:link w:val="CommentText"/>
    <w:semiHidden/>
    <w:rsid w:val="00B30FC7"/>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semiHidden/>
    <w:rsid w:val="00B30FC7"/>
    <w:rPr>
      <w:b/>
      <w:bCs/>
    </w:rPr>
  </w:style>
  <w:style w:type="character" w:customStyle="1" w:styleId="CommentSubjectChar">
    <w:name w:val="Comment Subject Char"/>
    <w:basedOn w:val="CommentTextChar"/>
    <w:link w:val="CommentSubject"/>
    <w:semiHidden/>
    <w:rsid w:val="00B30FC7"/>
    <w:rPr>
      <w:rFonts w:ascii="Book Antiqua" w:eastAsia="Times New Roman" w:hAnsi="Book Antiqua" w:cs="Times New Roman"/>
      <w:b/>
      <w:bCs/>
      <w:sz w:val="20"/>
      <w:szCs w:val="20"/>
      <w:lang w:eastAsia="en-AU"/>
    </w:rPr>
  </w:style>
  <w:style w:type="paragraph" w:customStyle="1" w:styleId="ContentsHeading">
    <w:name w:val="Contents Heading"/>
    <w:basedOn w:val="HeadingBase"/>
    <w:next w:val="Normal"/>
    <w:rsid w:val="00B30FC7"/>
    <w:pPr>
      <w:spacing w:after="720"/>
      <w:jc w:val="center"/>
    </w:pPr>
    <w:rPr>
      <w:rFonts w:ascii="Arial Bold" w:hAnsi="Arial Bold"/>
      <w:b/>
      <w:sz w:val="36"/>
    </w:rPr>
  </w:style>
  <w:style w:type="paragraph" w:customStyle="1" w:styleId="ContentsnoToC">
    <w:name w:val="Contents no ToC"/>
    <w:basedOn w:val="ContentsHeading"/>
    <w:rsid w:val="00B30FC7"/>
  </w:style>
  <w:style w:type="paragraph" w:customStyle="1" w:styleId="Dash">
    <w:name w:val="Dash"/>
    <w:basedOn w:val="Normal"/>
    <w:qFormat/>
    <w:rsid w:val="00B30FC7"/>
    <w:pPr>
      <w:numPr>
        <w:ilvl w:val="1"/>
        <w:numId w:val="3"/>
      </w:numPr>
      <w:tabs>
        <w:tab w:val="left" w:pos="567"/>
      </w:tabs>
    </w:pPr>
  </w:style>
  <w:style w:type="paragraph" w:styleId="DocumentMap">
    <w:name w:val="Document Map"/>
    <w:basedOn w:val="Normal"/>
    <w:link w:val="DocumentMapChar"/>
    <w:semiHidden/>
    <w:rsid w:val="00B30FC7"/>
    <w:pPr>
      <w:shd w:val="clear" w:color="auto" w:fill="000080"/>
    </w:pPr>
    <w:rPr>
      <w:rFonts w:ascii="Tahoma" w:hAnsi="Tahoma" w:cs="Tahoma"/>
    </w:rPr>
  </w:style>
  <w:style w:type="character" w:customStyle="1" w:styleId="DocumentMapChar">
    <w:name w:val="Document Map Char"/>
    <w:basedOn w:val="DefaultParagraphFont"/>
    <w:link w:val="DocumentMap"/>
    <w:semiHidden/>
    <w:rsid w:val="00B30FC7"/>
    <w:rPr>
      <w:rFonts w:ascii="Tahoma" w:eastAsia="Times New Roman" w:hAnsi="Tahoma" w:cs="Tahoma"/>
      <w:sz w:val="20"/>
      <w:szCs w:val="20"/>
      <w:shd w:val="clear" w:color="auto" w:fill="000080"/>
      <w:lang w:eastAsia="en-AU"/>
    </w:rPr>
  </w:style>
  <w:style w:type="paragraph" w:customStyle="1" w:styleId="DoubleDot">
    <w:name w:val="Double Dot"/>
    <w:basedOn w:val="Normal"/>
    <w:rsid w:val="00B30FC7"/>
    <w:pPr>
      <w:numPr>
        <w:ilvl w:val="2"/>
        <w:numId w:val="3"/>
      </w:numPr>
      <w:tabs>
        <w:tab w:val="clear" w:pos="850"/>
        <w:tab w:val="num" w:pos="360"/>
        <w:tab w:val="left" w:pos="851"/>
      </w:tabs>
    </w:pPr>
  </w:style>
  <w:style w:type="character" w:styleId="EndnoteReference">
    <w:name w:val="endnote reference"/>
    <w:basedOn w:val="DefaultParagraphFont"/>
    <w:unhideWhenUsed/>
    <w:rsid w:val="00B30FC7"/>
    <w:rPr>
      <w:vertAlign w:val="superscript"/>
    </w:rPr>
  </w:style>
  <w:style w:type="paragraph" w:styleId="EndnoteText">
    <w:name w:val="endnote text"/>
    <w:basedOn w:val="Normal"/>
    <w:link w:val="EndnoteTextChar"/>
    <w:unhideWhenUsed/>
    <w:rsid w:val="00B30FC7"/>
  </w:style>
  <w:style w:type="character" w:customStyle="1" w:styleId="EndnoteTextChar">
    <w:name w:val="Endnote Text Char"/>
    <w:basedOn w:val="DefaultParagraphFont"/>
    <w:link w:val="EndnoteText"/>
    <w:rsid w:val="00B30FC7"/>
    <w:rPr>
      <w:rFonts w:ascii="Book Antiqua" w:eastAsia="Times New Roman" w:hAnsi="Book Antiqua" w:cs="Times New Roman"/>
      <w:sz w:val="20"/>
      <w:szCs w:val="20"/>
      <w:lang w:eastAsia="en-AU"/>
    </w:rPr>
  </w:style>
  <w:style w:type="paragraph" w:customStyle="1" w:styleId="FigureHeading">
    <w:name w:val="Figure Heading"/>
    <w:basedOn w:val="HeadingBase"/>
    <w:next w:val="ChartGraphic"/>
    <w:rsid w:val="00B30FC7"/>
    <w:pPr>
      <w:spacing w:before="120" w:after="20"/>
    </w:pPr>
    <w:rPr>
      <w:b/>
      <w:sz w:val="20"/>
    </w:rPr>
  </w:style>
  <w:style w:type="paragraph" w:customStyle="1" w:styleId="FooterBase">
    <w:name w:val="Footer Base"/>
    <w:rsid w:val="00B30FC7"/>
    <w:pPr>
      <w:spacing w:after="0" w:line="240" w:lineRule="auto"/>
      <w:jc w:val="center"/>
    </w:pPr>
    <w:rPr>
      <w:rFonts w:ascii="Arial" w:eastAsia="Times New Roman" w:hAnsi="Arial" w:cs="Times New Roman"/>
      <w:sz w:val="20"/>
      <w:szCs w:val="20"/>
      <w:lang w:eastAsia="en-AU"/>
    </w:rPr>
  </w:style>
  <w:style w:type="paragraph" w:customStyle="1" w:styleId="FooterEven">
    <w:name w:val="Footer Even"/>
    <w:basedOn w:val="Footer"/>
    <w:rsid w:val="00B30FC7"/>
    <w:pPr>
      <w:jc w:val="left"/>
    </w:pPr>
    <w:rPr>
      <w:sz w:val="18"/>
    </w:rPr>
  </w:style>
  <w:style w:type="paragraph" w:customStyle="1" w:styleId="FooterOdd">
    <w:name w:val="Footer Odd"/>
    <w:basedOn w:val="Footer"/>
    <w:rsid w:val="00B30FC7"/>
    <w:pPr>
      <w:jc w:val="right"/>
    </w:pPr>
    <w:rPr>
      <w:sz w:val="18"/>
    </w:rPr>
  </w:style>
  <w:style w:type="character" w:styleId="FootnoteReference">
    <w:name w:val="footnote reference"/>
    <w:basedOn w:val="DefaultParagraphFont"/>
    <w:rsid w:val="00B30FC7"/>
    <w:rPr>
      <w:vertAlign w:val="superscript"/>
    </w:rPr>
  </w:style>
  <w:style w:type="paragraph" w:styleId="FootnoteText">
    <w:name w:val="footnote text"/>
    <w:basedOn w:val="Normal"/>
    <w:link w:val="FootnoteTextChar"/>
    <w:rsid w:val="00B30FC7"/>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rsid w:val="00B30FC7"/>
    <w:rPr>
      <w:rFonts w:ascii="Book Antiqua" w:eastAsia="Times New Roman" w:hAnsi="Book Antiqua" w:cs="Times New Roman"/>
      <w:sz w:val="18"/>
      <w:szCs w:val="20"/>
      <w:lang w:eastAsia="en-AU"/>
    </w:rPr>
  </w:style>
  <w:style w:type="character" w:customStyle="1" w:styleId="FramedHeader">
    <w:name w:val="Framed Header"/>
    <w:basedOn w:val="DefaultParagraphFont"/>
    <w:rsid w:val="00B30FC7"/>
    <w:rPr>
      <w:rFonts w:ascii="Book Antiqua" w:hAnsi="Book Antiqua"/>
      <w:i/>
      <w:dstrike w:val="0"/>
      <w:color w:val="auto"/>
      <w:sz w:val="20"/>
      <w:vertAlign w:val="baseline"/>
    </w:rPr>
  </w:style>
  <w:style w:type="paragraph" w:customStyle="1" w:styleId="HeaderBase">
    <w:name w:val="Header Base"/>
    <w:rsid w:val="00B30FC7"/>
    <w:pPr>
      <w:spacing w:after="0" w:line="240" w:lineRule="auto"/>
    </w:pPr>
    <w:rPr>
      <w:rFonts w:ascii="Book Antiqua" w:eastAsia="Times New Roman" w:hAnsi="Book Antiqua" w:cs="Times New Roman"/>
      <w:i/>
      <w:sz w:val="20"/>
      <w:szCs w:val="20"/>
      <w:lang w:eastAsia="en-AU"/>
    </w:rPr>
  </w:style>
  <w:style w:type="paragraph" w:customStyle="1" w:styleId="HeaderEven">
    <w:name w:val="Header Even"/>
    <w:basedOn w:val="HeaderBase"/>
    <w:rsid w:val="00B30FC7"/>
  </w:style>
  <w:style w:type="paragraph" w:customStyle="1" w:styleId="HeaderOdd">
    <w:name w:val="Header Odd"/>
    <w:basedOn w:val="HeaderBase"/>
    <w:rsid w:val="00B30FC7"/>
    <w:pPr>
      <w:jc w:val="right"/>
    </w:pPr>
  </w:style>
  <w:style w:type="character" w:customStyle="1" w:styleId="Heading1Char">
    <w:name w:val="Heading 1 Char"/>
    <w:basedOn w:val="DefaultParagraphFont"/>
    <w:link w:val="Heading1"/>
    <w:rsid w:val="00B30FC7"/>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B30FC7"/>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B30FC7"/>
    <w:rPr>
      <w:rFonts w:ascii="Arial Bold" w:eastAsia="Times New Roman" w:hAnsi="Arial Bold" w:cs="Times New Roman"/>
      <w:b/>
      <w:szCs w:val="20"/>
      <w:lang w:eastAsia="en-AU"/>
    </w:rPr>
  </w:style>
  <w:style w:type="paragraph" w:customStyle="1" w:styleId="Heading3noTOC">
    <w:name w:val="Heading 3 no TOC"/>
    <w:basedOn w:val="Heading3"/>
    <w:rsid w:val="00B30FC7"/>
    <w:pPr>
      <w:outlineLvl w:val="9"/>
    </w:pPr>
  </w:style>
  <w:style w:type="character" w:customStyle="1" w:styleId="Heading4Char">
    <w:name w:val="Heading 4 Char"/>
    <w:basedOn w:val="DefaultParagraphFont"/>
    <w:link w:val="Heading4"/>
    <w:rsid w:val="00B30FC7"/>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B30FC7"/>
    <w:rPr>
      <w:rFonts w:ascii="Arial" w:eastAsia="Times New Roman" w:hAnsi="Arial" w:cs="Times New Roman"/>
      <w:b/>
      <w:bCs/>
      <w:iCs/>
      <w:sz w:val="20"/>
      <w:szCs w:val="26"/>
      <w:lang w:eastAsia="en-AU"/>
    </w:rPr>
  </w:style>
  <w:style w:type="character" w:customStyle="1" w:styleId="Heading7Char">
    <w:name w:val="Heading 7 Char"/>
    <w:basedOn w:val="DefaultParagraphFont"/>
    <w:link w:val="Heading7"/>
    <w:rsid w:val="00B30FC7"/>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B30FC7"/>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B30FC7"/>
    <w:rPr>
      <w:rFonts w:ascii="Times New Roman" w:hAnsi="Times New Roman"/>
      <w:vanish/>
      <w:sz w:val="16"/>
    </w:rPr>
  </w:style>
  <w:style w:type="character" w:styleId="Hyperlink">
    <w:name w:val="Hyperlink"/>
    <w:basedOn w:val="DefaultParagraphFont"/>
    <w:uiPriority w:val="99"/>
    <w:unhideWhenUsed/>
    <w:rsid w:val="00B30FC7"/>
    <w:rPr>
      <w:color w:val="0000FF"/>
      <w:u w:val="single"/>
    </w:rPr>
  </w:style>
  <w:style w:type="paragraph" w:styleId="Index1">
    <w:name w:val="index 1"/>
    <w:basedOn w:val="Normal"/>
    <w:next w:val="Normal"/>
    <w:rsid w:val="00B30FC7"/>
    <w:pPr>
      <w:ind w:left="200" w:hanging="200"/>
    </w:pPr>
  </w:style>
  <w:style w:type="paragraph" w:styleId="Index2">
    <w:name w:val="index 2"/>
    <w:basedOn w:val="Normal"/>
    <w:next w:val="Normal"/>
    <w:rsid w:val="00B30FC7"/>
    <w:pPr>
      <w:ind w:left="400" w:hanging="200"/>
    </w:pPr>
  </w:style>
  <w:style w:type="paragraph" w:styleId="Index3">
    <w:name w:val="index 3"/>
    <w:basedOn w:val="Normal"/>
    <w:next w:val="Normal"/>
    <w:rsid w:val="00B30FC7"/>
    <w:pPr>
      <w:ind w:left="600" w:hanging="200"/>
    </w:pPr>
  </w:style>
  <w:style w:type="paragraph" w:styleId="Index4">
    <w:name w:val="index 4"/>
    <w:basedOn w:val="Normal"/>
    <w:next w:val="Normal"/>
    <w:autoRedefine/>
    <w:semiHidden/>
    <w:rsid w:val="00B30FC7"/>
    <w:pPr>
      <w:ind w:left="800" w:hanging="200"/>
    </w:pPr>
  </w:style>
  <w:style w:type="paragraph" w:styleId="Index5">
    <w:name w:val="index 5"/>
    <w:basedOn w:val="Normal"/>
    <w:next w:val="Normal"/>
    <w:autoRedefine/>
    <w:semiHidden/>
    <w:rsid w:val="00B30FC7"/>
    <w:pPr>
      <w:ind w:left="1000" w:hanging="200"/>
    </w:pPr>
  </w:style>
  <w:style w:type="paragraph" w:styleId="Index6">
    <w:name w:val="index 6"/>
    <w:basedOn w:val="Normal"/>
    <w:next w:val="Normal"/>
    <w:autoRedefine/>
    <w:semiHidden/>
    <w:rsid w:val="00B30FC7"/>
    <w:pPr>
      <w:ind w:left="1200" w:hanging="200"/>
    </w:pPr>
  </w:style>
  <w:style w:type="paragraph" w:styleId="Index7">
    <w:name w:val="index 7"/>
    <w:basedOn w:val="Normal"/>
    <w:next w:val="Normal"/>
    <w:autoRedefine/>
    <w:semiHidden/>
    <w:rsid w:val="00B30FC7"/>
    <w:pPr>
      <w:ind w:left="1400" w:hanging="200"/>
    </w:pPr>
  </w:style>
  <w:style w:type="paragraph" w:styleId="Index8">
    <w:name w:val="index 8"/>
    <w:basedOn w:val="Normal"/>
    <w:next w:val="Normal"/>
    <w:autoRedefine/>
    <w:semiHidden/>
    <w:rsid w:val="00B30FC7"/>
    <w:pPr>
      <w:ind w:left="1600" w:hanging="200"/>
    </w:pPr>
  </w:style>
  <w:style w:type="paragraph" w:styleId="Index9">
    <w:name w:val="index 9"/>
    <w:basedOn w:val="Normal"/>
    <w:next w:val="Normal"/>
    <w:autoRedefine/>
    <w:semiHidden/>
    <w:rsid w:val="00B30FC7"/>
    <w:pPr>
      <w:ind w:left="1800" w:hanging="200"/>
    </w:pPr>
  </w:style>
  <w:style w:type="paragraph" w:styleId="IndexHeading">
    <w:name w:val="index heading"/>
    <w:basedOn w:val="Normal"/>
    <w:next w:val="Index1"/>
    <w:rsid w:val="00B30FC7"/>
    <w:rPr>
      <w:rFonts w:ascii="Arial Bold" w:hAnsi="Arial Bold" w:cs="Arial"/>
      <w:b/>
      <w:bCs/>
      <w:color w:val="002B54"/>
    </w:rPr>
  </w:style>
  <w:style w:type="paragraph" w:styleId="MacroText">
    <w:name w:val="macro"/>
    <w:link w:val="MacroTextChar"/>
    <w:unhideWhenUsed/>
    <w:rsid w:val="00B30FC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B30FC7"/>
    <w:rPr>
      <w:rFonts w:ascii="Courier New" w:eastAsia="Times New Roman" w:hAnsi="Courier New" w:cs="Courier New"/>
      <w:sz w:val="20"/>
      <w:szCs w:val="20"/>
      <w:lang w:eastAsia="en-AU"/>
    </w:rPr>
  </w:style>
  <w:style w:type="paragraph" w:styleId="NormalIndent">
    <w:name w:val="Normal Indent"/>
    <w:basedOn w:val="Normal"/>
    <w:rsid w:val="00B30FC7"/>
    <w:pPr>
      <w:ind w:left="567"/>
    </w:pPr>
  </w:style>
  <w:style w:type="paragraph" w:customStyle="1" w:styleId="NoteTableHeading">
    <w:name w:val="Note Table Heading"/>
    <w:basedOn w:val="HeadingBase"/>
    <w:next w:val="Normal"/>
    <w:rsid w:val="00B30FC7"/>
    <w:pPr>
      <w:spacing w:before="240"/>
    </w:pPr>
    <w:rPr>
      <w:b/>
      <w:sz w:val="20"/>
    </w:rPr>
  </w:style>
  <w:style w:type="paragraph" w:customStyle="1" w:styleId="OverviewParagraph">
    <w:name w:val="Overview Paragraph"/>
    <w:basedOn w:val="Normal"/>
    <w:rsid w:val="00B30FC7"/>
    <w:pPr>
      <w:spacing w:before="120" w:after="120" w:line="240" w:lineRule="auto"/>
    </w:pPr>
  </w:style>
  <w:style w:type="character" w:styleId="PageNumber">
    <w:name w:val="page number"/>
    <w:basedOn w:val="DefaultParagraphFont"/>
    <w:rsid w:val="00B30FC7"/>
    <w:rPr>
      <w:rFonts w:ascii="Arial" w:hAnsi="Arial" w:cs="Arial"/>
    </w:rPr>
  </w:style>
  <w:style w:type="paragraph" w:customStyle="1" w:styleId="SingleParagraph">
    <w:name w:val="Single Paragraph"/>
    <w:basedOn w:val="Normal"/>
    <w:rsid w:val="00B30FC7"/>
    <w:pPr>
      <w:spacing w:after="0"/>
    </w:pPr>
  </w:style>
  <w:style w:type="paragraph" w:customStyle="1" w:styleId="Source">
    <w:name w:val="Source"/>
    <w:basedOn w:val="Normal"/>
    <w:rsid w:val="00B30FC7"/>
    <w:pPr>
      <w:tabs>
        <w:tab w:val="left" w:pos="284"/>
      </w:tabs>
      <w:spacing w:line="240" w:lineRule="auto"/>
    </w:pPr>
    <w:rPr>
      <w:rFonts w:ascii="Arial" w:hAnsi="Arial"/>
      <w:sz w:val="16"/>
    </w:rPr>
  </w:style>
  <w:style w:type="paragraph" w:customStyle="1" w:styleId="SourceBox">
    <w:name w:val="Source Box"/>
    <w:basedOn w:val="Source"/>
    <w:rsid w:val="00B30FC7"/>
    <w:pPr>
      <w:spacing w:after="120"/>
    </w:pPr>
  </w:style>
  <w:style w:type="paragraph" w:customStyle="1" w:styleId="TableColumnHeadingBase">
    <w:name w:val="Table Column Heading Base"/>
    <w:basedOn w:val="Normal"/>
    <w:rsid w:val="00B30FC7"/>
    <w:pPr>
      <w:spacing w:before="40" w:after="40" w:line="240" w:lineRule="auto"/>
      <w:jc w:val="left"/>
    </w:pPr>
    <w:rPr>
      <w:rFonts w:ascii="Arial Bold" w:hAnsi="Arial Bold"/>
      <w:b/>
      <w:sz w:val="16"/>
    </w:rPr>
  </w:style>
  <w:style w:type="paragraph" w:customStyle="1" w:styleId="TableColumnHeadingCentred">
    <w:name w:val="Table Column Heading Centred"/>
    <w:basedOn w:val="TableColumnHeadingBase"/>
    <w:next w:val="Normal"/>
    <w:rsid w:val="00B30FC7"/>
    <w:pPr>
      <w:jc w:val="center"/>
    </w:pPr>
  </w:style>
  <w:style w:type="paragraph" w:customStyle="1" w:styleId="TableColumnHeadingLeft">
    <w:name w:val="Table Column Heading Left"/>
    <w:basedOn w:val="TableColumnHeadingBase"/>
    <w:next w:val="Normal"/>
    <w:rsid w:val="00B30FC7"/>
  </w:style>
  <w:style w:type="paragraph" w:customStyle="1" w:styleId="TableColumnHeadingRight">
    <w:name w:val="Table Column Heading Right"/>
    <w:basedOn w:val="TableColumnHeadingBase"/>
    <w:next w:val="Normal"/>
    <w:rsid w:val="00B30FC7"/>
    <w:pPr>
      <w:jc w:val="right"/>
    </w:pPr>
  </w:style>
  <w:style w:type="paragraph" w:customStyle="1" w:styleId="TableColumnHeadingS118pt">
    <w:name w:val="Table Column Heading S11 8 pt"/>
    <w:basedOn w:val="TableColumnHeadingBase"/>
    <w:rsid w:val="00B30FC7"/>
    <w:pPr>
      <w:spacing w:after="0"/>
    </w:pPr>
    <w:rPr>
      <w:rFonts w:ascii="Arial" w:hAnsi="Arial"/>
    </w:rPr>
  </w:style>
  <w:style w:type="paragraph" w:customStyle="1" w:styleId="TableColumnHeadingS119pt">
    <w:name w:val="Table Column Heading S11 9 pt"/>
    <w:basedOn w:val="TableColumnHeadingBase"/>
    <w:rsid w:val="00B30FC7"/>
    <w:pPr>
      <w:spacing w:before="60" w:after="60"/>
    </w:pPr>
    <w:rPr>
      <w:rFonts w:ascii="Arial" w:hAnsi="Arial"/>
      <w:sz w:val="18"/>
    </w:rPr>
  </w:style>
  <w:style w:type="paragraph" w:customStyle="1" w:styleId="TableGraphic">
    <w:name w:val="Table Graphic"/>
    <w:basedOn w:val="Normal"/>
    <w:next w:val="Normal"/>
    <w:rsid w:val="00B30FC7"/>
    <w:pPr>
      <w:spacing w:after="0" w:line="240" w:lineRule="auto"/>
      <w:ind w:right="-113"/>
    </w:pPr>
  </w:style>
  <w:style w:type="table" w:styleId="TableGrid">
    <w:name w:val="Table Grid"/>
    <w:basedOn w:val="TableNormal"/>
    <w:rsid w:val="00B30FC7"/>
    <w:pPr>
      <w:spacing w:after="240" w:line="260" w:lineRule="exac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B30FC7"/>
    <w:pPr>
      <w:spacing w:before="120" w:after="20"/>
    </w:pPr>
    <w:rPr>
      <w:b/>
      <w:sz w:val="20"/>
    </w:rPr>
  </w:style>
  <w:style w:type="paragraph" w:customStyle="1" w:styleId="TableHeadingcontinued">
    <w:name w:val="Table Heading continued"/>
    <w:basedOn w:val="HeadingBase"/>
    <w:next w:val="TableGraphic"/>
    <w:rsid w:val="00B30FC7"/>
    <w:pPr>
      <w:spacing w:before="120" w:after="20"/>
    </w:pPr>
    <w:rPr>
      <w:rFonts w:ascii="Arial Bold" w:hAnsi="Arial Bold"/>
      <w:b/>
      <w:sz w:val="20"/>
    </w:rPr>
  </w:style>
  <w:style w:type="paragraph" w:styleId="TableofAuthorities">
    <w:name w:val="table of authorities"/>
    <w:basedOn w:val="Normal"/>
    <w:next w:val="Normal"/>
    <w:rsid w:val="00B30FC7"/>
    <w:pPr>
      <w:ind w:left="200" w:hanging="200"/>
    </w:pPr>
  </w:style>
  <w:style w:type="paragraph" w:styleId="TableofFigures">
    <w:name w:val="table of figures"/>
    <w:basedOn w:val="Normal"/>
    <w:next w:val="Normal"/>
    <w:rsid w:val="00B30FC7"/>
  </w:style>
  <w:style w:type="paragraph" w:customStyle="1" w:styleId="TableTextBase">
    <w:name w:val="Table Text Base"/>
    <w:basedOn w:val="Normal"/>
    <w:rsid w:val="00B30FC7"/>
    <w:pPr>
      <w:spacing w:before="20" w:after="20" w:line="240" w:lineRule="auto"/>
      <w:jc w:val="left"/>
    </w:pPr>
    <w:rPr>
      <w:rFonts w:ascii="Arial" w:hAnsi="Arial"/>
      <w:sz w:val="16"/>
    </w:rPr>
  </w:style>
  <w:style w:type="paragraph" w:customStyle="1" w:styleId="TableTextCentred">
    <w:name w:val="Table Text Centred"/>
    <w:basedOn w:val="TableTextBase"/>
    <w:rsid w:val="00B30FC7"/>
    <w:pPr>
      <w:jc w:val="center"/>
    </w:pPr>
  </w:style>
  <w:style w:type="paragraph" w:customStyle="1" w:styleId="TableTextIndented">
    <w:name w:val="Table Text Indented"/>
    <w:basedOn w:val="TableTextBase"/>
    <w:rsid w:val="00B30FC7"/>
    <w:pPr>
      <w:ind w:left="284"/>
    </w:pPr>
  </w:style>
  <w:style w:type="paragraph" w:customStyle="1" w:styleId="TableTextLeft">
    <w:name w:val="Table Text Left"/>
    <w:basedOn w:val="TableTextBase"/>
    <w:rsid w:val="00B30FC7"/>
  </w:style>
  <w:style w:type="paragraph" w:customStyle="1" w:styleId="TableTextRight">
    <w:name w:val="Table Text Right"/>
    <w:basedOn w:val="TableTextBase"/>
    <w:rsid w:val="00B30FC7"/>
    <w:pPr>
      <w:jc w:val="right"/>
    </w:pPr>
  </w:style>
  <w:style w:type="paragraph" w:styleId="TOAHeading">
    <w:name w:val="toa heading"/>
    <w:basedOn w:val="Normal"/>
    <w:next w:val="Normal"/>
    <w:rsid w:val="00B30FC7"/>
    <w:pPr>
      <w:spacing w:before="120"/>
    </w:pPr>
    <w:rPr>
      <w:rFonts w:ascii="Arial" w:hAnsi="Arial" w:cs="Arial"/>
      <w:b/>
      <w:bCs/>
      <w:sz w:val="24"/>
      <w:szCs w:val="24"/>
    </w:rPr>
  </w:style>
  <w:style w:type="paragraph" w:styleId="TOC1">
    <w:name w:val="toc 1"/>
    <w:basedOn w:val="HeaderBase"/>
    <w:next w:val="Normal"/>
    <w:uiPriority w:val="2"/>
    <w:rsid w:val="00B30FC7"/>
    <w:pPr>
      <w:tabs>
        <w:tab w:val="left" w:pos="1486"/>
        <w:tab w:val="right" w:leader="dot" w:pos="7700"/>
      </w:tabs>
      <w:spacing w:before="240"/>
      <w:ind w:right="851"/>
    </w:pPr>
    <w:rPr>
      <w:rFonts w:ascii="Arial Bold" w:hAnsi="Arial Bold"/>
      <w:b/>
      <w:i w:val="0"/>
      <w:sz w:val="22"/>
    </w:rPr>
  </w:style>
  <w:style w:type="paragraph" w:styleId="TOC2">
    <w:name w:val="toc 2"/>
    <w:basedOn w:val="HeadingBase"/>
    <w:next w:val="Normal"/>
    <w:uiPriority w:val="2"/>
    <w:rsid w:val="00B30FC7"/>
    <w:pPr>
      <w:tabs>
        <w:tab w:val="left" w:pos="992"/>
        <w:tab w:val="right" w:leader="dot" w:pos="7700"/>
      </w:tabs>
      <w:spacing w:before="40"/>
      <w:ind w:left="851" w:right="851" w:hanging="851"/>
    </w:pPr>
    <w:rPr>
      <w:sz w:val="20"/>
    </w:rPr>
  </w:style>
  <w:style w:type="paragraph" w:styleId="TOC3">
    <w:name w:val="toc 3"/>
    <w:basedOn w:val="HeadingBase"/>
    <w:next w:val="Normal"/>
    <w:uiPriority w:val="2"/>
    <w:unhideWhenUsed/>
    <w:rsid w:val="00B30FC7"/>
    <w:pPr>
      <w:tabs>
        <w:tab w:val="right" w:leader="dot" w:pos="7700"/>
      </w:tabs>
      <w:spacing w:before="40"/>
      <w:ind w:right="851"/>
    </w:pPr>
    <w:rPr>
      <w:sz w:val="20"/>
    </w:rPr>
  </w:style>
  <w:style w:type="paragraph" w:styleId="TOC4">
    <w:name w:val="toc 4"/>
    <w:basedOn w:val="HeadingBase"/>
    <w:next w:val="Normal"/>
    <w:uiPriority w:val="2"/>
    <w:unhideWhenUsed/>
    <w:rsid w:val="00B30FC7"/>
    <w:pPr>
      <w:tabs>
        <w:tab w:val="right" w:leader="dot" w:pos="7700"/>
      </w:tabs>
      <w:spacing w:before="40"/>
      <w:ind w:right="851"/>
    </w:pPr>
    <w:rPr>
      <w:sz w:val="20"/>
    </w:rPr>
  </w:style>
  <w:style w:type="paragraph" w:styleId="TOC5">
    <w:name w:val="toc 5"/>
    <w:basedOn w:val="Normal"/>
    <w:next w:val="Normal"/>
    <w:autoRedefine/>
    <w:uiPriority w:val="2"/>
    <w:semiHidden/>
    <w:rsid w:val="00B30FC7"/>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B30FC7"/>
    <w:pPr>
      <w:tabs>
        <w:tab w:val="left" w:pos="851"/>
      </w:tabs>
      <w:ind w:left="851" w:hanging="851"/>
    </w:pPr>
    <w:rPr>
      <w:color w:val="000000"/>
    </w:rPr>
  </w:style>
  <w:style w:type="paragraph" w:styleId="TOC7">
    <w:name w:val="toc 7"/>
    <w:basedOn w:val="Normal"/>
    <w:next w:val="Normal"/>
    <w:autoRedefine/>
    <w:uiPriority w:val="2"/>
    <w:semiHidden/>
    <w:rsid w:val="00B30FC7"/>
    <w:pPr>
      <w:ind w:left="1200"/>
    </w:pPr>
  </w:style>
  <w:style w:type="paragraph" w:styleId="TOC8">
    <w:name w:val="toc 8"/>
    <w:basedOn w:val="Normal"/>
    <w:next w:val="Normal"/>
    <w:autoRedefine/>
    <w:uiPriority w:val="2"/>
    <w:semiHidden/>
    <w:rsid w:val="00B30FC7"/>
    <w:pPr>
      <w:ind w:left="1400"/>
    </w:pPr>
  </w:style>
  <w:style w:type="paragraph" w:styleId="TOC9">
    <w:name w:val="toc 9"/>
    <w:basedOn w:val="Normal"/>
    <w:next w:val="Normal"/>
    <w:autoRedefine/>
    <w:uiPriority w:val="2"/>
    <w:semiHidden/>
    <w:rsid w:val="00B30FC7"/>
    <w:pPr>
      <w:ind w:left="1600"/>
    </w:pPr>
  </w:style>
  <w:style w:type="paragraph" w:customStyle="1" w:styleId="TPHeading1">
    <w:name w:val="TP Heading 1"/>
    <w:basedOn w:val="HeadingBase"/>
    <w:semiHidden/>
    <w:rsid w:val="00B30FC7"/>
    <w:pPr>
      <w:spacing w:before="60" w:after="60"/>
      <w:ind w:left="1134"/>
    </w:pPr>
    <w:rPr>
      <w:rFonts w:ascii="Arial Bold" w:hAnsi="Arial Bold"/>
      <w:b/>
      <w:caps/>
      <w:spacing w:val="-10"/>
      <w:sz w:val="28"/>
    </w:rPr>
  </w:style>
  <w:style w:type="paragraph" w:customStyle="1" w:styleId="TPHeading2">
    <w:name w:val="TP Heading 2"/>
    <w:basedOn w:val="HeadingBase"/>
    <w:semiHidden/>
    <w:rsid w:val="00B30FC7"/>
    <w:pPr>
      <w:ind w:left="1134"/>
    </w:pPr>
    <w:rPr>
      <w:caps/>
      <w:spacing w:val="-10"/>
      <w:sz w:val="28"/>
    </w:rPr>
  </w:style>
  <w:style w:type="paragraph" w:customStyle="1" w:styleId="TPHeading3">
    <w:name w:val="TP Heading 3"/>
    <w:basedOn w:val="HeadingBase"/>
    <w:semiHidden/>
    <w:rsid w:val="00B30FC7"/>
    <w:pPr>
      <w:ind w:left="1134"/>
    </w:pPr>
    <w:rPr>
      <w:caps/>
      <w:spacing w:val="-10"/>
    </w:rPr>
  </w:style>
  <w:style w:type="paragraph" w:customStyle="1" w:styleId="TPHeading3bold">
    <w:name w:val="TP Heading 3 bold"/>
    <w:basedOn w:val="TPHeading3"/>
    <w:semiHidden/>
    <w:rsid w:val="00B30FC7"/>
    <w:rPr>
      <w:rFonts w:cs="Arial"/>
      <w:b/>
      <w:sz w:val="22"/>
      <w:szCs w:val="22"/>
    </w:rPr>
  </w:style>
  <w:style w:type="paragraph" w:customStyle="1" w:styleId="TPHEADING3boldspace">
    <w:name w:val="TP HEADING 3 bold space"/>
    <w:basedOn w:val="TPHeading3bold"/>
    <w:semiHidden/>
    <w:rsid w:val="00B30FC7"/>
    <w:pPr>
      <w:spacing w:after="120"/>
    </w:pPr>
  </w:style>
  <w:style w:type="paragraph" w:customStyle="1" w:styleId="TPHEADING3space">
    <w:name w:val="TP HEADING 3 space"/>
    <w:basedOn w:val="TPHeading3"/>
    <w:semiHidden/>
    <w:rsid w:val="00B30FC7"/>
    <w:pPr>
      <w:spacing w:before="120" w:after="120"/>
    </w:pPr>
    <w:rPr>
      <w:rFonts w:cs="Arial"/>
      <w:sz w:val="22"/>
      <w:szCs w:val="22"/>
    </w:rPr>
  </w:style>
  <w:style w:type="paragraph" w:customStyle="1" w:styleId="TPHeading4">
    <w:name w:val="TP Heading 4"/>
    <w:basedOn w:val="TPHeading3"/>
    <w:semiHidden/>
    <w:rsid w:val="00B30FC7"/>
    <w:rPr>
      <w:sz w:val="20"/>
    </w:rPr>
  </w:style>
  <w:style w:type="paragraph" w:customStyle="1" w:styleId="TPHEADING4space">
    <w:name w:val="TP HEADING 4 space"/>
    <w:basedOn w:val="TPHEADING3space"/>
    <w:semiHidden/>
    <w:rsid w:val="00B30FC7"/>
  </w:style>
  <w:style w:type="character" w:customStyle="1" w:styleId="BulletChar">
    <w:name w:val="Bullet Char"/>
    <w:aliases w:val="b Char,b + line Char Char,b Char Char,Body Char,Bullet + line Char,Number Char,Recommendation Char,b + line Char,b1 Char,level 1 Char,Bullets Char,L Char,List Paragraph1 Char,List Paragraph11 Char,List Paragraph2 Char,List Paragraph Char"/>
    <w:basedOn w:val="DefaultParagraphFont"/>
    <w:link w:val="Bullet"/>
    <w:qFormat/>
    <w:rsid w:val="00A70EEC"/>
    <w:rPr>
      <w:rFonts w:ascii="Book Antiqua" w:eastAsia="Times New Roman" w:hAnsi="Book Antiqua" w:cs="Times New Roman"/>
      <w:sz w:val="20"/>
      <w:szCs w:val="20"/>
      <w:lang w:eastAsia="en-AU"/>
    </w:rPr>
  </w:style>
  <w:style w:type="paragraph" w:customStyle="1" w:styleId="Default">
    <w:name w:val="Default"/>
    <w:rsid w:val="003F5ADE"/>
    <w:pPr>
      <w:autoSpaceDE w:val="0"/>
      <w:autoSpaceDN w:val="0"/>
      <w:adjustRightInd w:val="0"/>
      <w:spacing w:after="0" w:line="240" w:lineRule="auto"/>
    </w:pPr>
    <w:rPr>
      <w:rFonts w:ascii="Book Antiqua" w:hAnsi="Book Antiqua" w:cs="Book Antiqua"/>
      <w:color w:val="000000"/>
      <w:sz w:val="24"/>
      <w:szCs w:val="24"/>
    </w:rPr>
  </w:style>
  <w:style w:type="paragraph" w:styleId="NormalWeb">
    <w:name w:val="Normal (Web)"/>
    <w:basedOn w:val="Normal"/>
    <w:uiPriority w:val="99"/>
    <w:semiHidden/>
    <w:unhideWhenUsed/>
    <w:rsid w:val="003F5ADE"/>
    <w:pPr>
      <w:spacing w:after="150" w:line="240" w:lineRule="auto"/>
    </w:pPr>
    <w:rPr>
      <w:rFonts w:ascii="Times New Roman" w:hAnsi="Times New Roman"/>
      <w:sz w:val="24"/>
      <w:szCs w:val="24"/>
    </w:rPr>
  </w:style>
  <w:style w:type="paragraph" w:styleId="Revision">
    <w:name w:val="Revision"/>
    <w:hidden/>
    <w:uiPriority w:val="99"/>
    <w:semiHidden/>
    <w:rsid w:val="003F5ADE"/>
    <w:pPr>
      <w:spacing w:after="0" w:line="240" w:lineRule="auto"/>
    </w:pPr>
  </w:style>
  <w:style w:type="paragraph" w:customStyle="1" w:styleId="OutlineNumbered1">
    <w:name w:val="Outline Numbered 1"/>
    <w:basedOn w:val="Normal"/>
    <w:link w:val="OutlineNumbered1Char"/>
    <w:rsid w:val="00806C95"/>
    <w:pPr>
      <w:numPr>
        <w:numId w:val="17"/>
      </w:numPr>
    </w:pPr>
    <w:rPr>
      <w:color w:val="000000"/>
    </w:rPr>
  </w:style>
  <w:style w:type="character" w:customStyle="1" w:styleId="HeadingBaseChar">
    <w:name w:val="Heading Base Char"/>
    <w:basedOn w:val="DefaultParagraphFont"/>
    <w:link w:val="HeadingBase"/>
    <w:rsid w:val="00806C95"/>
    <w:rPr>
      <w:rFonts w:ascii="Arial" w:eastAsia="Times New Roman" w:hAnsi="Arial" w:cs="Times New Roman"/>
      <w:sz w:val="24"/>
      <w:szCs w:val="20"/>
      <w:lang w:eastAsia="en-AU"/>
    </w:rPr>
  </w:style>
  <w:style w:type="character" w:customStyle="1" w:styleId="ChartandTableFootnoteAlphaChar">
    <w:name w:val="Chart and Table Footnote Alpha Char"/>
    <w:basedOn w:val="HeadingBaseChar"/>
    <w:link w:val="ChartandTableFootnoteAlpha"/>
    <w:rsid w:val="00806C95"/>
    <w:rPr>
      <w:rFonts w:ascii="Arial" w:eastAsia="Times New Roman" w:hAnsi="Arial" w:cs="Times New Roman"/>
      <w:color w:val="000000"/>
      <w:sz w:val="16"/>
      <w:szCs w:val="20"/>
      <w:lang w:eastAsia="en-AU"/>
    </w:rPr>
  </w:style>
  <w:style w:type="character" w:customStyle="1" w:styleId="OutlineNumbered1Char">
    <w:name w:val="Outline Numbered 1 Char"/>
    <w:basedOn w:val="ChartandTableFootnoteAlphaChar"/>
    <w:link w:val="OutlineNumbered1"/>
    <w:rsid w:val="00806C95"/>
    <w:rPr>
      <w:rFonts w:ascii="Book Antiqua" w:eastAsia="Times New Roman" w:hAnsi="Book Antiqua" w:cs="Times New Roman"/>
      <w:color w:val="000000"/>
      <w:sz w:val="20"/>
      <w:szCs w:val="20"/>
      <w:lang w:eastAsia="en-AU"/>
    </w:rPr>
  </w:style>
  <w:style w:type="paragraph" w:customStyle="1" w:styleId="OutlineNumbered2">
    <w:name w:val="Outline Numbered 2"/>
    <w:basedOn w:val="Normal"/>
    <w:link w:val="OutlineNumbered2Char"/>
    <w:rsid w:val="00806C95"/>
    <w:pPr>
      <w:numPr>
        <w:ilvl w:val="1"/>
        <w:numId w:val="17"/>
      </w:numPr>
    </w:pPr>
    <w:rPr>
      <w:color w:val="000000"/>
    </w:rPr>
  </w:style>
  <w:style w:type="character" w:customStyle="1" w:styleId="OutlineNumbered2Char">
    <w:name w:val="Outline Numbered 2 Char"/>
    <w:basedOn w:val="ChartandTableFootnoteAlphaChar"/>
    <w:link w:val="OutlineNumbered2"/>
    <w:rsid w:val="00806C95"/>
    <w:rPr>
      <w:rFonts w:ascii="Book Antiqua" w:eastAsia="Times New Roman" w:hAnsi="Book Antiqua" w:cs="Times New Roman"/>
      <w:color w:val="000000"/>
      <w:sz w:val="20"/>
      <w:szCs w:val="20"/>
      <w:lang w:eastAsia="en-AU"/>
    </w:rPr>
  </w:style>
  <w:style w:type="paragraph" w:customStyle="1" w:styleId="OutlineNumbered3">
    <w:name w:val="Outline Numbered 3"/>
    <w:basedOn w:val="Normal"/>
    <w:link w:val="OutlineNumbered3Char"/>
    <w:rsid w:val="00806C95"/>
    <w:pPr>
      <w:numPr>
        <w:ilvl w:val="2"/>
        <w:numId w:val="17"/>
      </w:numPr>
    </w:pPr>
    <w:rPr>
      <w:color w:val="000000"/>
    </w:rPr>
  </w:style>
  <w:style w:type="character" w:customStyle="1" w:styleId="OutlineNumbered3Char">
    <w:name w:val="Outline Numbered 3 Char"/>
    <w:basedOn w:val="ChartandTableFootnoteAlphaChar"/>
    <w:link w:val="OutlineNumbered3"/>
    <w:rsid w:val="00806C95"/>
    <w:rPr>
      <w:rFonts w:ascii="Book Antiqua" w:eastAsia="Times New Roman" w:hAnsi="Book Antiqua" w:cs="Times New Roman"/>
      <w:color w:val="000000"/>
      <w:sz w:val="20"/>
      <w:szCs w:val="20"/>
      <w:lang w:eastAsia="en-AU"/>
    </w:rPr>
  </w:style>
  <w:style w:type="paragraph" w:styleId="ListParagraph">
    <w:name w:val="List Paragraph"/>
    <w:basedOn w:val="Normal"/>
    <w:uiPriority w:val="34"/>
    <w:qFormat/>
    <w:rsid w:val="00EB19F5"/>
    <w:pPr>
      <w:spacing w:after="0" w:line="240" w:lineRule="auto"/>
      <w:ind w:left="720"/>
      <w:jc w:val="left"/>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49910">
      <w:bodyDiv w:val="1"/>
      <w:marLeft w:val="0"/>
      <w:marRight w:val="0"/>
      <w:marTop w:val="0"/>
      <w:marBottom w:val="0"/>
      <w:divBdr>
        <w:top w:val="none" w:sz="0" w:space="0" w:color="auto"/>
        <w:left w:val="none" w:sz="0" w:space="0" w:color="auto"/>
        <w:bottom w:val="none" w:sz="0" w:space="0" w:color="auto"/>
        <w:right w:val="none" w:sz="0" w:space="0" w:color="auto"/>
      </w:divBdr>
    </w:div>
    <w:div w:id="265190782">
      <w:bodyDiv w:val="1"/>
      <w:marLeft w:val="0"/>
      <w:marRight w:val="0"/>
      <w:marTop w:val="0"/>
      <w:marBottom w:val="0"/>
      <w:divBdr>
        <w:top w:val="none" w:sz="0" w:space="0" w:color="auto"/>
        <w:left w:val="none" w:sz="0" w:space="0" w:color="auto"/>
        <w:bottom w:val="none" w:sz="0" w:space="0" w:color="auto"/>
        <w:right w:val="none" w:sz="0" w:space="0" w:color="auto"/>
      </w:divBdr>
    </w:div>
    <w:div w:id="286006575">
      <w:bodyDiv w:val="1"/>
      <w:marLeft w:val="0"/>
      <w:marRight w:val="0"/>
      <w:marTop w:val="0"/>
      <w:marBottom w:val="0"/>
      <w:divBdr>
        <w:top w:val="none" w:sz="0" w:space="0" w:color="auto"/>
        <w:left w:val="none" w:sz="0" w:space="0" w:color="auto"/>
        <w:bottom w:val="none" w:sz="0" w:space="0" w:color="auto"/>
        <w:right w:val="none" w:sz="0" w:space="0" w:color="auto"/>
      </w:divBdr>
    </w:div>
    <w:div w:id="318267900">
      <w:bodyDiv w:val="1"/>
      <w:marLeft w:val="0"/>
      <w:marRight w:val="0"/>
      <w:marTop w:val="0"/>
      <w:marBottom w:val="0"/>
      <w:divBdr>
        <w:top w:val="none" w:sz="0" w:space="0" w:color="auto"/>
        <w:left w:val="none" w:sz="0" w:space="0" w:color="auto"/>
        <w:bottom w:val="none" w:sz="0" w:space="0" w:color="auto"/>
        <w:right w:val="none" w:sz="0" w:space="0" w:color="auto"/>
      </w:divBdr>
    </w:div>
    <w:div w:id="386536719">
      <w:bodyDiv w:val="1"/>
      <w:marLeft w:val="0"/>
      <w:marRight w:val="0"/>
      <w:marTop w:val="0"/>
      <w:marBottom w:val="0"/>
      <w:divBdr>
        <w:top w:val="none" w:sz="0" w:space="0" w:color="auto"/>
        <w:left w:val="none" w:sz="0" w:space="0" w:color="auto"/>
        <w:bottom w:val="none" w:sz="0" w:space="0" w:color="auto"/>
        <w:right w:val="none" w:sz="0" w:space="0" w:color="auto"/>
      </w:divBdr>
    </w:div>
    <w:div w:id="404305003">
      <w:bodyDiv w:val="1"/>
      <w:marLeft w:val="0"/>
      <w:marRight w:val="0"/>
      <w:marTop w:val="0"/>
      <w:marBottom w:val="0"/>
      <w:divBdr>
        <w:top w:val="none" w:sz="0" w:space="0" w:color="auto"/>
        <w:left w:val="none" w:sz="0" w:space="0" w:color="auto"/>
        <w:bottom w:val="none" w:sz="0" w:space="0" w:color="auto"/>
        <w:right w:val="none" w:sz="0" w:space="0" w:color="auto"/>
      </w:divBdr>
    </w:div>
    <w:div w:id="443691004">
      <w:bodyDiv w:val="1"/>
      <w:marLeft w:val="0"/>
      <w:marRight w:val="0"/>
      <w:marTop w:val="0"/>
      <w:marBottom w:val="0"/>
      <w:divBdr>
        <w:top w:val="none" w:sz="0" w:space="0" w:color="auto"/>
        <w:left w:val="none" w:sz="0" w:space="0" w:color="auto"/>
        <w:bottom w:val="none" w:sz="0" w:space="0" w:color="auto"/>
        <w:right w:val="none" w:sz="0" w:space="0" w:color="auto"/>
      </w:divBdr>
    </w:div>
    <w:div w:id="455300145">
      <w:bodyDiv w:val="1"/>
      <w:marLeft w:val="0"/>
      <w:marRight w:val="0"/>
      <w:marTop w:val="0"/>
      <w:marBottom w:val="0"/>
      <w:divBdr>
        <w:top w:val="none" w:sz="0" w:space="0" w:color="auto"/>
        <w:left w:val="none" w:sz="0" w:space="0" w:color="auto"/>
        <w:bottom w:val="none" w:sz="0" w:space="0" w:color="auto"/>
        <w:right w:val="none" w:sz="0" w:space="0" w:color="auto"/>
      </w:divBdr>
    </w:div>
    <w:div w:id="478379146">
      <w:bodyDiv w:val="1"/>
      <w:marLeft w:val="0"/>
      <w:marRight w:val="0"/>
      <w:marTop w:val="0"/>
      <w:marBottom w:val="0"/>
      <w:divBdr>
        <w:top w:val="none" w:sz="0" w:space="0" w:color="auto"/>
        <w:left w:val="none" w:sz="0" w:space="0" w:color="auto"/>
        <w:bottom w:val="none" w:sz="0" w:space="0" w:color="auto"/>
        <w:right w:val="none" w:sz="0" w:space="0" w:color="auto"/>
      </w:divBdr>
    </w:div>
    <w:div w:id="507521296">
      <w:bodyDiv w:val="1"/>
      <w:marLeft w:val="0"/>
      <w:marRight w:val="0"/>
      <w:marTop w:val="0"/>
      <w:marBottom w:val="0"/>
      <w:divBdr>
        <w:top w:val="none" w:sz="0" w:space="0" w:color="auto"/>
        <w:left w:val="none" w:sz="0" w:space="0" w:color="auto"/>
        <w:bottom w:val="none" w:sz="0" w:space="0" w:color="auto"/>
        <w:right w:val="none" w:sz="0" w:space="0" w:color="auto"/>
      </w:divBdr>
    </w:div>
    <w:div w:id="533006793">
      <w:bodyDiv w:val="1"/>
      <w:marLeft w:val="0"/>
      <w:marRight w:val="0"/>
      <w:marTop w:val="0"/>
      <w:marBottom w:val="0"/>
      <w:divBdr>
        <w:top w:val="none" w:sz="0" w:space="0" w:color="auto"/>
        <w:left w:val="none" w:sz="0" w:space="0" w:color="auto"/>
        <w:bottom w:val="none" w:sz="0" w:space="0" w:color="auto"/>
        <w:right w:val="none" w:sz="0" w:space="0" w:color="auto"/>
      </w:divBdr>
    </w:div>
    <w:div w:id="564536083">
      <w:bodyDiv w:val="1"/>
      <w:marLeft w:val="0"/>
      <w:marRight w:val="0"/>
      <w:marTop w:val="0"/>
      <w:marBottom w:val="0"/>
      <w:divBdr>
        <w:top w:val="none" w:sz="0" w:space="0" w:color="auto"/>
        <w:left w:val="none" w:sz="0" w:space="0" w:color="auto"/>
        <w:bottom w:val="none" w:sz="0" w:space="0" w:color="auto"/>
        <w:right w:val="none" w:sz="0" w:space="0" w:color="auto"/>
      </w:divBdr>
    </w:div>
    <w:div w:id="706680489">
      <w:bodyDiv w:val="1"/>
      <w:marLeft w:val="0"/>
      <w:marRight w:val="0"/>
      <w:marTop w:val="0"/>
      <w:marBottom w:val="0"/>
      <w:divBdr>
        <w:top w:val="none" w:sz="0" w:space="0" w:color="auto"/>
        <w:left w:val="none" w:sz="0" w:space="0" w:color="auto"/>
        <w:bottom w:val="none" w:sz="0" w:space="0" w:color="auto"/>
        <w:right w:val="none" w:sz="0" w:space="0" w:color="auto"/>
      </w:divBdr>
    </w:div>
    <w:div w:id="715355641">
      <w:bodyDiv w:val="1"/>
      <w:marLeft w:val="0"/>
      <w:marRight w:val="0"/>
      <w:marTop w:val="0"/>
      <w:marBottom w:val="0"/>
      <w:divBdr>
        <w:top w:val="none" w:sz="0" w:space="0" w:color="auto"/>
        <w:left w:val="none" w:sz="0" w:space="0" w:color="auto"/>
        <w:bottom w:val="none" w:sz="0" w:space="0" w:color="auto"/>
        <w:right w:val="none" w:sz="0" w:space="0" w:color="auto"/>
      </w:divBdr>
    </w:div>
    <w:div w:id="817920447">
      <w:bodyDiv w:val="1"/>
      <w:marLeft w:val="0"/>
      <w:marRight w:val="0"/>
      <w:marTop w:val="0"/>
      <w:marBottom w:val="0"/>
      <w:divBdr>
        <w:top w:val="none" w:sz="0" w:space="0" w:color="auto"/>
        <w:left w:val="none" w:sz="0" w:space="0" w:color="auto"/>
        <w:bottom w:val="none" w:sz="0" w:space="0" w:color="auto"/>
        <w:right w:val="none" w:sz="0" w:space="0" w:color="auto"/>
      </w:divBdr>
    </w:div>
    <w:div w:id="1035468858">
      <w:bodyDiv w:val="1"/>
      <w:marLeft w:val="0"/>
      <w:marRight w:val="0"/>
      <w:marTop w:val="0"/>
      <w:marBottom w:val="0"/>
      <w:divBdr>
        <w:top w:val="none" w:sz="0" w:space="0" w:color="auto"/>
        <w:left w:val="none" w:sz="0" w:space="0" w:color="auto"/>
        <w:bottom w:val="none" w:sz="0" w:space="0" w:color="auto"/>
        <w:right w:val="none" w:sz="0" w:space="0" w:color="auto"/>
      </w:divBdr>
    </w:div>
    <w:div w:id="1062363443">
      <w:bodyDiv w:val="1"/>
      <w:marLeft w:val="0"/>
      <w:marRight w:val="0"/>
      <w:marTop w:val="0"/>
      <w:marBottom w:val="0"/>
      <w:divBdr>
        <w:top w:val="none" w:sz="0" w:space="0" w:color="auto"/>
        <w:left w:val="none" w:sz="0" w:space="0" w:color="auto"/>
        <w:bottom w:val="none" w:sz="0" w:space="0" w:color="auto"/>
        <w:right w:val="none" w:sz="0" w:space="0" w:color="auto"/>
      </w:divBdr>
    </w:div>
    <w:div w:id="1068530574">
      <w:bodyDiv w:val="1"/>
      <w:marLeft w:val="0"/>
      <w:marRight w:val="0"/>
      <w:marTop w:val="0"/>
      <w:marBottom w:val="0"/>
      <w:divBdr>
        <w:top w:val="none" w:sz="0" w:space="0" w:color="auto"/>
        <w:left w:val="none" w:sz="0" w:space="0" w:color="auto"/>
        <w:bottom w:val="none" w:sz="0" w:space="0" w:color="auto"/>
        <w:right w:val="none" w:sz="0" w:space="0" w:color="auto"/>
      </w:divBdr>
    </w:div>
    <w:div w:id="1085540722">
      <w:bodyDiv w:val="1"/>
      <w:marLeft w:val="0"/>
      <w:marRight w:val="0"/>
      <w:marTop w:val="0"/>
      <w:marBottom w:val="0"/>
      <w:divBdr>
        <w:top w:val="none" w:sz="0" w:space="0" w:color="auto"/>
        <w:left w:val="none" w:sz="0" w:space="0" w:color="auto"/>
        <w:bottom w:val="none" w:sz="0" w:space="0" w:color="auto"/>
        <w:right w:val="none" w:sz="0" w:space="0" w:color="auto"/>
      </w:divBdr>
    </w:div>
    <w:div w:id="1209494382">
      <w:bodyDiv w:val="1"/>
      <w:marLeft w:val="0"/>
      <w:marRight w:val="0"/>
      <w:marTop w:val="0"/>
      <w:marBottom w:val="0"/>
      <w:divBdr>
        <w:top w:val="none" w:sz="0" w:space="0" w:color="auto"/>
        <w:left w:val="none" w:sz="0" w:space="0" w:color="auto"/>
        <w:bottom w:val="none" w:sz="0" w:space="0" w:color="auto"/>
        <w:right w:val="none" w:sz="0" w:space="0" w:color="auto"/>
      </w:divBdr>
    </w:div>
    <w:div w:id="1335306672">
      <w:bodyDiv w:val="1"/>
      <w:marLeft w:val="0"/>
      <w:marRight w:val="0"/>
      <w:marTop w:val="0"/>
      <w:marBottom w:val="0"/>
      <w:divBdr>
        <w:top w:val="none" w:sz="0" w:space="0" w:color="auto"/>
        <w:left w:val="none" w:sz="0" w:space="0" w:color="auto"/>
        <w:bottom w:val="none" w:sz="0" w:space="0" w:color="auto"/>
        <w:right w:val="none" w:sz="0" w:space="0" w:color="auto"/>
      </w:divBdr>
    </w:div>
    <w:div w:id="1344473051">
      <w:bodyDiv w:val="1"/>
      <w:marLeft w:val="0"/>
      <w:marRight w:val="0"/>
      <w:marTop w:val="0"/>
      <w:marBottom w:val="0"/>
      <w:divBdr>
        <w:top w:val="none" w:sz="0" w:space="0" w:color="auto"/>
        <w:left w:val="none" w:sz="0" w:space="0" w:color="auto"/>
        <w:bottom w:val="none" w:sz="0" w:space="0" w:color="auto"/>
        <w:right w:val="none" w:sz="0" w:space="0" w:color="auto"/>
      </w:divBdr>
    </w:div>
    <w:div w:id="1357122749">
      <w:bodyDiv w:val="1"/>
      <w:marLeft w:val="0"/>
      <w:marRight w:val="0"/>
      <w:marTop w:val="0"/>
      <w:marBottom w:val="0"/>
      <w:divBdr>
        <w:top w:val="none" w:sz="0" w:space="0" w:color="auto"/>
        <w:left w:val="none" w:sz="0" w:space="0" w:color="auto"/>
        <w:bottom w:val="none" w:sz="0" w:space="0" w:color="auto"/>
        <w:right w:val="none" w:sz="0" w:space="0" w:color="auto"/>
      </w:divBdr>
    </w:div>
    <w:div w:id="1443068201">
      <w:bodyDiv w:val="1"/>
      <w:marLeft w:val="0"/>
      <w:marRight w:val="0"/>
      <w:marTop w:val="0"/>
      <w:marBottom w:val="0"/>
      <w:divBdr>
        <w:top w:val="none" w:sz="0" w:space="0" w:color="auto"/>
        <w:left w:val="none" w:sz="0" w:space="0" w:color="auto"/>
        <w:bottom w:val="none" w:sz="0" w:space="0" w:color="auto"/>
        <w:right w:val="none" w:sz="0" w:space="0" w:color="auto"/>
      </w:divBdr>
    </w:div>
    <w:div w:id="1460220483">
      <w:bodyDiv w:val="1"/>
      <w:marLeft w:val="0"/>
      <w:marRight w:val="0"/>
      <w:marTop w:val="0"/>
      <w:marBottom w:val="0"/>
      <w:divBdr>
        <w:top w:val="none" w:sz="0" w:space="0" w:color="auto"/>
        <w:left w:val="none" w:sz="0" w:space="0" w:color="auto"/>
        <w:bottom w:val="none" w:sz="0" w:space="0" w:color="auto"/>
        <w:right w:val="none" w:sz="0" w:space="0" w:color="auto"/>
      </w:divBdr>
    </w:div>
    <w:div w:id="1507786792">
      <w:bodyDiv w:val="1"/>
      <w:marLeft w:val="0"/>
      <w:marRight w:val="0"/>
      <w:marTop w:val="0"/>
      <w:marBottom w:val="0"/>
      <w:divBdr>
        <w:top w:val="none" w:sz="0" w:space="0" w:color="auto"/>
        <w:left w:val="none" w:sz="0" w:space="0" w:color="auto"/>
        <w:bottom w:val="none" w:sz="0" w:space="0" w:color="auto"/>
        <w:right w:val="none" w:sz="0" w:space="0" w:color="auto"/>
      </w:divBdr>
    </w:div>
    <w:div w:id="1529874981">
      <w:bodyDiv w:val="1"/>
      <w:marLeft w:val="0"/>
      <w:marRight w:val="0"/>
      <w:marTop w:val="0"/>
      <w:marBottom w:val="0"/>
      <w:divBdr>
        <w:top w:val="none" w:sz="0" w:space="0" w:color="auto"/>
        <w:left w:val="none" w:sz="0" w:space="0" w:color="auto"/>
        <w:bottom w:val="none" w:sz="0" w:space="0" w:color="auto"/>
        <w:right w:val="none" w:sz="0" w:space="0" w:color="auto"/>
      </w:divBdr>
    </w:div>
    <w:div w:id="1531918722">
      <w:bodyDiv w:val="1"/>
      <w:marLeft w:val="0"/>
      <w:marRight w:val="0"/>
      <w:marTop w:val="0"/>
      <w:marBottom w:val="0"/>
      <w:divBdr>
        <w:top w:val="none" w:sz="0" w:space="0" w:color="auto"/>
        <w:left w:val="none" w:sz="0" w:space="0" w:color="auto"/>
        <w:bottom w:val="none" w:sz="0" w:space="0" w:color="auto"/>
        <w:right w:val="none" w:sz="0" w:space="0" w:color="auto"/>
      </w:divBdr>
    </w:div>
    <w:div w:id="1539394757">
      <w:bodyDiv w:val="1"/>
      <w:marLeft w:val="0"/>
      <w:marRight w:val="0"/>
      <w:marTop w:val="0"/>
      <w:marBottom w:val="0"/>
      <w:divBdr>
        <w:top w:val="none" w:sz="0" w:space="0" w:color="auto"/>
        <w:left w:val="none" w:sz="0" w:space="0" w:color="auto"/>
        <w:bottom w:val="none" w:sz="0" w:space="0" w:color="auto"/>
        <w:right w:val="none" w:sz="0" w:space="0" w:color="auto"/>
      </w:divBdr>
    </w:div>
    <w:div w:id="1552424626">
      <w:bodyDiv w:val="1"/>
      <w:marLeft w:val="0"/>
      <w:marRight w:val="0"/>
      <w:marTop w:val="0"/>
      <w:marBottom w:val="0"/>
      <w:divBdr>
        <w:top w:val="none" w:sz="0" w:space="0" w:color="auto"/>
        <w:left w:val="none" w:sz="0" w:space="0" w:color="auto"/>
        <w:bottom w:val="none" w:sz="0" w:space="0" w:color="auto"/>
        <w:right w:val="none" w:sz="0" w:space="0" w:color="auto"/>
      </w:divBdr>
    </w:div>
    <w:div w:id="1586525064">
      <w:bodyDiv w:val="1"/>
      <w:marLeft w:val="0"/>
      <w:marRight w:val="0"/>
      <w:marTop w:val="0"/>
      <w:marBottom w:val="0"/>
      <w:divBdr>
        <w:top w:val="none" w:sz="0" w:space="0" w:color="auto"/>
        <w:left w:val="none" w:sz="0" w:space="0" w:color="auto"/>
        <w:bottom w:val="none" w:sz="0" w:space="0" w:color="auto"/>
        <w:right w:val="none" w:sz="0" w:space="0" w:color="auto"/>
      </w:divBdr>
    </w:div>
    <w:div w:id="1871531821">
      <w:bodyDiv w:val="1"/>
      <w:marLeft w:val="0"/>
      <w:marRight w:val="0"/>
      <w:marTop w:val="0"/>
      <w:marBottom w:val="0"/>
      <w:divBdr>
        <w:top w:val="none" w:sz="0" w:space="0" w:color="auto"/>
        <w:left w:val="none" w:sz="0" w:space="0" w:color="auto"/>
        <w:bottom w:val="none" w:sz="0" w:space="0" w:color="auto"/>
        <w:right w:val="none" w:sz="0" w:space="0" w:color="auto"/>
      </w:divBdr>
    </w:div>
    <w:div w:id="1890728172">
      <w:bodyDiv w:val="1"/>
      <w:marLeft w:val="0"/>
      <w:marRight w:val="0"/>
      <w:marTop w:val="0"/>
      <w:marBottom w:val="0"/>
      <w:divBdr>
        <w:top w:val="none" w:sz="0" w:space="0" w:color="auto"/>
        <w:left w:val="none" w:sz="0" w:space="0" w:color="auto"/>
        <w:bottom w:val="none" w:sz="0" w:space="0" w:color="auto"/>
        <w:right w:val="none" w:sz="0" w:space="0" w:color="auto"/>
      </w:divBdr>
    </w:div>
    <w:div w:id="1900431543">
      <w:bodyDiv w:val="1"/>
      <w:marLeft w:val="0"/>
      <w:marRight w:val="0"/>
      <w:marTop w:val="0"/>
      <w:marBottom w:val="0"/>
      <w:divBdr>
        <w:top w:val="none" w:sz="0" w:space="0" w:color="auto"/>
        <w:left w:val="none" w:sz="0" w:space="0" w:color="auto"/>
        <w:bottom w:val="none" w:sz="0" w:space="0" w:color="auto"/>
        <w:right w:val="none" w:sz="0" w:space="0" w:color="auto"/>
      </w:divBdr>
      <w:divsChild>
        <w:div w:id="249198787">
          <w:marLeft w:val="0"/>
          <w:marRight w:val="0"/>
          <w:marTop w:val="0"/>
          <w:marBottom w:val="0"/>
          <w:divBdr>
            <w:top w:val="none" w:sz="0" w:space="0" w:color="auto"/>
            <w:left w:val="none" w:sz="0" w:space="0" w:color="auto"/>
            <w:bottom w:val="none" w:sz="0" w:space="0" w:color="auto"/>
            <w:right w:val="none" w:sz="0" w:space="0" w:color="auto"/>
          </w:divBdr>
          <w:divsChild>
            <w:div w:id="1777601447">
              <w:marLeft w:val="0"/>
              <w:marRight w:val="0"/>
              <w:marTop w:val="0"/>
              <w:marBottom w:val="0"/>
              <w:divBdr>
                <w:top w:val="none" w:sz="0" w:space="0" w:color="auto"/>
                <w:left w:val="none" w:sz="0" w:space="0" w:color="auto"/>
                <w:bottom w:val="none" w:sz="0" w:space="0" w:color="auto"/>
                <w:right w:val="none" w:sz="0" w:space="0" w:color="auto"/>
              </w:divBdr>
              <w:divsChild>
                <w:div w:id="1756318298">
                  <w:marLeft w:val="0"/>
                  <w:marRight w:val="0"/>
                  <w:marTop w:val="0"/>
                  <w:marBottom w:val="0"/>
                  <w:divBdr>
                    <w:top w:val="none" w:sz="0" w:space="0" w:color="auto"/>
                    <w:left w:val="none" w:sz="0" w:space="0" w:color="auto"/>
                    <w:bottom w:val="none" w:sz="0" w:space="0" w:color="auto"/>
                    <w:right w:val="none" w:sz="0" w:space="0" w:color="auto"/>
                  </w:divBdr>
                  <w:divsChild>
                    <w:div w:id="2024473299">
                      <w:marLeft w:val="0"/>
                      <w:marRight w:val="0"/>
                      <w:marTop w:val="0"/>
                      <w:marBottom w:val="0"/>
                      <w:divBdr>
                        <w:top w:val="none" w:sz="0" w:space="0" w:color="auto"/>
                        <w:left w:val="none" w:sz="0" w:space="0" w:color="auto"/>
                        <w:bottom w:val="none" w:sz="0" w:space="0" w:color="auto"/>
                        <w:right w:val="none" w:sz="0" w:space="0" w:color="auto"/>
                      </w:divBdr>
                      <w:divsChild>
                        <w:div w:id="568660132">
                          <w:marLeft w:val="0"/>
                          <w:marRight w:val="0"/>
                          <w:marTop w:val="0"/>
                          <w:marBottom w:val="0"/>
                          <w:divBdr>
                            <w:top w:val="none" w:sz="0" w:space="0" w:color="auto"/>
                            <w:left w:val="none" w:sz="0" w:space="0" w:color="auto"/>
                            <w:bottom w:val="none" w:sz="0" w:space="0" w:color="auto"/>
                            <w:right w:val="none" w:sz="0" w:space="0" w:color="auto"/>
                          </w:divBdr>
                          <w:divsChild>
                            <w:div w:id="16247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02528">
          <w:marLeft w:val="0"/>
          <w:marRight w:val="0"/>
          <w:marTop w:val="0"/>
          <w:marBottom w:val="0"/>
          <w:divBdr>
            <w:top w:val="none" w:sz="0" w:space="0" w:color="auto"/>
            <w:left w:val="none" w:sz="0" w:space="0" w:color="auto"/>
            <w:bottom w:val="none" w:sz="0" w:space="0" w:color="auto"/>
            <w:right w:val="none" w:sz="0" w:space="0" w:color="auto"/>
          </w:divBdr>
          <w:divsChild>
            <w:div w:id="996038289">
              <w:marLeft w:val="0"/>
              <w:marRight w:val="0"/>
              <w:marTop w:val="0"/>
              <w:marBottom w:val="0"/>
              <w:divBdr>
                <w:top w:val="none" w:sz="0" w:space="0" w:color="auto"/>
                <w:left w:val="none" w:sz="0" w:space="0" w:color="auto"/>
                <w:bottom w:val="none" w:sz="0" w:space="0" w:color="auto"/>
                <w:right w:val="none" w:sz="0" w:space="0" w:color="auto"/>
              </w:divBdr>
              <w:divsChild>
                <w:div w:id="235363686">
                  <w:marLeft w:val="0"/>
                  <w:marRight w:val="0"/>
                  <w:marTop w:val="0"/>
                  <w:marBottom w:val="0"/>
                  <w:divBdr>
                    <w:top w:val="none" w:sz="0" w:space="0" w:color="auto"/>
                    <w:left w:val="none" w:sz="0" w:space="0" w:color="auto"/>
                    <w:bottom w:val="none" w:sz="0" w:space="0" w:color="auto"/>
                    <w:right w:val="none" w:sz="0" w:space="0" w:color="auto"/>
                  </w:divBdr>
                  <w:divsChild>
                    <w:div w:id="679621292">
                      <w:marLeft w:val="0"/>
                      <w:marRight w:val="0"/>
                      <w:marTop w:val="0"/>
                      <w:marBottom w:val="0"/>
                      <w:divBdr>
                        <w:top w:val="none" w:sz="0" w:space="0" w:color="auto"/>
                        <w:left w:val="none" w:sz="0" w:space="0" w:color="auto"/>
                        <w:bottom w:val="none" w:sz="0" w:space="0" w:color="auto"/>
                        <w:right w:val="none" w:sz="0" w:space="0" w:color="auto"/>
                      </w:divBdr>
                      <w:divsChild>
                        <w:div w:id="277764180">
                          <w:marLeft w:val="0"/>
                          <w:marRight w:val="0"/>
                          <w:marTop w:val="0"/>
                          <w:marBottom w:val="0"/>
                          <w:divBdr>
                            <w:top w:val="none" w:sz="0" w:space="0" w:color="auto"/>
                            <w:left w:val="none" w:sz="0" w:space="0" w:color="auto"/>
                            <w:bottom w:val="none" w:sz="0" w:space="0" w:color="auto"/>
                            <w:right w:val="none" w:sz="0" w:space="0" w:color="auto"/>
                          </w:divBdr>
                          <w:divsChild>
                            <w:div w:id="1911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13294">
          <w:marLeft w:val="0"/>
          <w:marRight w:val="0"/>
          <w:marTop w:val="0"/>
          <w:marBottom w:val="0"/>
          <w:divBdr>
            <w:top w:val="none" w:sz="0" w:space="0" w:color="auto"/>
            <w:left w:val="none" w:sz="0" w:space="0" w:color="auto"/>
            <w:bottom w:val="none" w:sz="0" w:space="0" w:color="auto"/>
            <w:right w:val="none" w:sz="0" w:space="0" w:color="auto"/>
          </w:divBdr>
          <w:divsChild>
            <w:div w:id="75564239">
              <w:marLeft w:val="0"/>
              <w:marRight w:val="0"/>
              <w:marTop w:val="0"/>
              <w:marBottom w:val="0"/>
              <w:divBdr>
                <w:top w:val="none" w:sz="0" w:space="0" w:color="auto"/>
                <w:left w:val="none" w:sz="0" w:space="0" w:color="auto"/>
                <w:bottom w:val="none" w:sz="0" w:space="0" w:color="auto"/>
                <w:right w:val="none" w:sz="0" w:space="0" w:color="auto"/>
              </w:divBdr>
              <w:divsChild>
                <w:div w:id="1619871422">
                  <w:marLeft w:val="0"/>
                  <w:marRight w:val="0"/>
                  <w:marTop w:val="0"/>
                  <w:marBottom w:val="0"/>
                  <w:divBdr>
                    <w:top w:val="none" w:sz="0" w:space="0" w:color="auto"/>
                    <w:left w:val="none" w:sz="0" w:space="0" w:color="auto"/>
                    <w:bottom w:val="none" w:sz="0" w:space="0" w:color="auto"/>
                    <w:right w:val="none" w:sz="0" w:space="0" w:color="auto"/>
                  </w:divBdr>
                  <w:divsChild>
                    <w:div w:id="511258673">
                      <w:marLeft w:val="0"/>
                      <w:marRight w:val="0"/>
                      <w:marTop w:val="0"/>
                      <w:marBottom w:val="0"/>
                      <w:divBdr>
                        <w:top w:val="none" w:sz="0" w:space="0" w:color="auto"/>
                        <w:left w:val="none" w:sz="0" w:space="0" w:color="auto"/>
                        <w:bottom w:val="none" w:sz="0" w:space="0" w:color="auto"/>
                        <w:right w:val="none" w:sz="0" w:space="0" w:color="auto"/>
                      </w:divBdr>
                      <w:divsChild>
                        <w:div w:id="1041781329">
                          <w:marLeft w:val="0"/>
                          <w:marRight w:val="0"/>
                          <w:marTop w:val="0"/>
                          <w:marBottom w:val="0"/>
                          <w:divBdr>
                            <w:top w:val="none" w:sz="0" w:space="0" w:color="auto"/>
                            <w:left w:val="none" w:sz="0" w:space="0" w:color="auto"/>
                            <w:bottom w:val="none" w:sz="0" w:space="0" w:color="auto"/>
                            <w:right w:val="none" w:sz="0" w:space="0" w:color="auto"/>
                          </w:divBdr>
                          <w:divsChild>
                            <w:div w:id="17983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113991">
      <w:bodyDiv w:val="1"/>
      <w:marLeft w:val="0"/>
      <w:marRight w:val="0"/>
      <w:marTop w:val="0"/>
      <w:marBottom w:val="0"/>
      <w:divBdr>
        <w:top w:val="none" w:sz="0" w:space="0" w:color="auto"/>
        <w:left w:val="none" w:sz="0" w:space="0" w:color="auto"/>
        <w:bottom w:val="none" w:sz="0" w:space="0" w:color="auto"/>
        <w:right w:val="none" w:sz="0" w:space="0" w:color="auto"/>
      </w:divBdr>
    </w:div>
    <w:div w:id="2019194098">
      <w:bodyDiv w:val="1"/>
      <w:marLeft w:val="0"/>
      <w:marRight w:val="0"/>
      <w:marTop w:val="0"/>
      <w:marBottom w:val="0"/>
      <w:divBdr>
        <w:top w:val="none" w:sz="0" w:space="0" w:color="auto"/>
        <w:left w:val="none" w:sz="0" w:space="0" w:color="auto"/>
        <w:bottom w:val="none" w:sz="0" w:space="0" w:color="auto"/>
        <w:right w:val="none" w:sz="0" w:space="0" w:color="auto"/>
      </w:divBdr>
    </w:div>
    <w:div w:id="2039310772">
      <w:bodyDiv w:val="1"/>
      <w:marLeft w:val="0"/>
      <w:marRight w:val="0"/>
      <w:marTop w:val="0"/>
      <w:marBottom w:val="0"/>
      <w:divBdr>
        <w:top w:val="none" w:sz="0" w:space="0" w:color="auto"/>
        <w:left w:val="none" w:sz="0" w:space="0" w:color="auto"/>
        <w:bottom w:val="none" w:sz="0" w:space="0" w:color="auto"/>
        <w:right w:val="none" w:sz="0" w:space="0" w:color="auto"/>
      </w:divBdr>
    </w:div>
    <w:div w:id="20865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udge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DB4EA-C901-4396-BF9B-FCD07713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Template.dotm</Template>
  <TotalTime>0</TotalTime>
  <Pages>26</Pages>
  <Words>8916</Words>
  <Characters>47656</Characters>
  <Application>Microsoft Office Word</Application>
  <DocSecurity>0</DocSecurity>
  <Lines>938</Lines>
  <Paragraphs>323</Paragraphs>
  <ScaleCrop>false</ScaleCrop>
  <HeadingPairs>
    <vt:vector size="2" baseType="variant">
      <vt:variant>
        <vt:lpstr>Title</vt:lpstr>
      </vt:variant>
      <vt:variant>
        <vt:i4>1</vt:i4>
      </vt:variant>
    </vt:vector>
  </HeadingPairs>
  <TitlesOfParts>
    <vt:vector size="1" baseType="lpstr">
      <vt:lpstr>Economic and Fiscal Update July 2020</vt:lpstr>
    </vt:vector>
  </TitlesOfParts>
  <Manager/>
  <Company/>
  <LinksUpToDate>false</LinksUpToDate>
  <CharactersWithSpaces>56425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Fiscal Update July 2020</dc:title>
  <dc:subject>Budget</dc:subject>
  <dc:creator/>
  <cp:keywords/>
  <dc:description/>
  <cp:lastModifiedBy/>
  <cp:revision>1</cp:revision>
  <dcterms:created xsi:type="dcterms:W3CDTF">2020-07-27T07:11:00Z</dcterms:created>
  <dcterms:modified xsi:type="dcterms:W3CDTF">2020-07-27T07:14:00Z</dcterms:modified>
  <cp:category/>
</cp:coreProperties>
</file>