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F5A84" w14:textId="7E5503B9" w:rsidR="00F362DE" w:rsidRPr="000E3C8C" w:rsidRDefault="00E60C89" w:rsidP="002A115E">
      <w:pPr>
        <w:pStyle w:val="Heading1"/>
      </w:pPr>
      <w:r w:rsidRPr="000E3C8C">
        <w:fldChar w:fldCharType="begin"/>
      </w:r>
      <w:r w:rsidRPr="000E3C8C">
        <w:instrText xml:space="preserve"> :Start Index: </w:instrText>
      </w:r>
      <w:r w:rsidRPr="000E3C8C">
        <w:fldChar w:fldCharType="end"/>
      </w:r>
      <w:r w:rsidR="00A01E30" w:rsidRPr="000E3C8C">
        <w:fldChar w:fldCharType="begin"/>
      </w:r>
      <w:r w:rsidR="00A01E30" w:rsidRPr="000E3C8C">
        <w:instrText xml:space="preserve"> :Accountability:|BPCD_ER2|Finance|BPCD|Elicia Rudnicki|James Thirkell|James Thirkell|0406380910 </w:instrText>
      </w:r>
      <w:r w:rsidR="00A01E30" w:rsidRPr="000E3C8C">
        <w:fldChar w:fldCharType="end"/>
      </w:r>
      <w:r w:rsidR="00B62B4A" w:rsidRPr="000E3C8C">
        <w:fldChar w:fldCharType="begin"/>
      </w:r>
      <w:r w:rsidR="00B62B4A" w:rsidRPr="000E3C8C">
        <w:instrText xml:space="preserve"> :Accountability:|BPCD_DD1|Finance|BPCD|Donna Degen|Donna Degen|Donna Degen|0484 255 956 </w:instrText>
      </w:r>
      <w:r w:rsidR="00B62B4A" w:rsidRPr="000E3C8C">
        <w:fldChar w:fldCharType="end"/>
      </w:r>
      <w:r w:rsidR="00B83222" w:rsidRPr="000E3C8C">
        <w:fldChar w:fldCharType="begin"/>
      </w:r>
      <w:r w:rsidR="00B83222" w:rsidRPr="000E3C8C">
        <w:instrText xml:space="preserve"> :Accountability:|FARM_AB1|Finance|FARM|Angela Baum|Tony Olliffee|Niki Lee|6215 2697 </w:instrText>
      </w:r>
      <w:r w:rsidR="00B83222" w:rsidRPr="000E3C8C">
        <w:fldChar w:fldCharType="end"/>
      </w:r>
      <w:r w:rsidR="002810AD" w:rsidRPr="000E3C8C">
        <w:fldChar w:fldCharType="begin"/>
      </w:r>
      <w:r w:rsidR="002810AD" w:rsidRPr="000E3C8C">
        <w:instrText xml:space="preserve"> :Accountability:|BPCD_ER1|Finance|BPCD|Elicia Rudnicki|Romesh Gunerante|Romesh Gunerante|0417 394 053 </w:instrText>
      </w:r>
      <w:r w:rsidR="002810AD" w:rsidRPr="000E3C8C">
        <w:fldChar w:fldCharType="end"/>
      </w:r>
      <w:r w:rsidR="0037785D" w:rsidRPr="000E3C8C">
        <w:fldChar w:fldCharType="begin"/>
      </w:r>
      <w:r w:rsidR="0037785D" w:rsidRPr="000E3C8C">
        <w:instrText xml:space="preserve"> :Accountability:|IITD_HT1|Treasury|IITD|Hector Thompson|Georgina Prasad|Tim Vogler|0425 616 709 </w:instrText>
      </w:r>
      <w:r w:rsidR="0037785D" w:rsidRPr="000E3C8C">
        <w:fldChar w:fldCharType="end"/>
      </w:r>
      <w:r w:rsidR="00537E95" w:rsidRPr="000E3C8C">
        <w:fldChar w:fldCharType="begin"/>
      </w:r>
      <w:r w:rsidR="00537E95" w:rsidRPr="000E3C8C">
        <w:instrText xml:space="preserve"> :Accountability:|JKD_PB1|Treasury|JKD|Philippa Brown|Adam Hawkins|Adam Hawkins|x2541 </w:instrText>
      </w:r>
      <w:r w:rsidR="00537E95" w:rsidRPr="000E3C8C">
        <w:fldChar w:fldCharType="end"/>
      </w:r>
      <w:r w:rsidR="00782459" w:rsidRPr="000E3C8C">
        <w:fldChar w:fldCharType="begin"/>
      </w:r>
      <w:r w:rsidR="00782459" w:rsidRPr="000E3C8C">
        <w:instrText xml:space="preserve"> :Accountability:|MECD_TP1|Treasury|MECD|Trevor Power|Grant Ferres|Alice Shen|x4267 </w:instrText>
      </w:r>
      <w:r w:rsidR="00782459" w:rsidRPr="000E3C8C">
        <w:fldChar w:fldCharType="end"/>
      </w:r>
      <w:r w:rsidR="00C03065" w:rsidRPr="000E3C8C">
        <w:fldChar w:fldCharType="begin"/>
      </w:r>
      <w:r w:rsidR="00C03065" w:rsidRPr="000E3C8C">
        <w:instrText xml:space="preserve"> :Accountability:|BPD_JR4|Treasury|BPD|Jonathan Rollings|Shibani Iyer|Mat Gilliland|x3676 </w:instrText>
      </w:r>
      <w:r w:rsidR="00C03065" w:rsidRPr="000E3C8C">
        <w:fldChar w:fldCharType="end"/>
      </w:r>
      <w:r w:rsidR="00704882" w:rsidRPr="000E3C8C">
        <w:fldChar w:fldCharType="begin"/>
      </w:r>
      <w:r w:rsidR="00704882" w:rsidRPr="000E3C8C">
        <w:instrText xml:space="preserve"> :Accountability:|TAD_KDM4|Treasury|TAD|Katrina Di Marco|Matt Smith|Sarah Brown/Oliver Young|x2091/x4296 </w:instrText>
      </w:r>
      <w:r w:rsidR="00704882" w:rsidRPr="000E3C8C">
        <w:fldChar w:fldCharType="end"/>
      </w:r>
      <w:r w:rsidR="00704882" w:rsidRPr="000E3C8C">
        <w:fldChar w:fldCharType="begin"/>
      </w:r>
      <w:r w:rsidR="00704882" w:rsidRPr="000E3C8C">
        <w:instrText xml:space="preserve"> :Accountability:|TAD_KDM3|Treasury|TAD|Katrina Di Marco|Mosfequs Salehin|Sarah Brown/Oliver Young|x2091/x4296 </w:instrText>
      </w:r>
      <w:r w:rsidR="00704882" w:rsidRPr="000E3C8C">
        <w:fldChar w:fldCharType="end"/>
      </w:r>
      <w:r w:rsidR="004D2CD2" w:rsidRPr="000E3C8C">
        <w:fldChar w:fldCharType="begin"/>
      </w:r>
      <w:r w:rsidR="004D2CD2" w:rsidRPr="000E3C8C">
        <w:instrText xml:space="preserve"> :Accountability:|TAD_KDM2|Treasury|TAD|Katrina Di Marco|Arianna Cowling|Sarah Brown/Oliver Young|x2091/x4296 </w:instrText>
      </w:r>
      <w:r w:rsidR="004D2CD2" w:rsidRPr="000E3C8C">
        <w:fldChar w:fldCharType="end"/>
      </w:r>
      <w:r w:rsidR="00EF200C" w:rsidRPr="000E3C8C">
        <w:fldChar w:fldCharType="begin"/>
      </w:r>
      <w:r w:rsidR="00EF200C" w:rsidRPr="000E3C8C">
        <w:instrText xml:space="preserve"> :Accountability:|IPED_LE1|Treasury|IPED|Lisa Elliston|Amy Leaver|Niki Dufty|x4563 </w:instrText>
      </w:r>
      <w:r w:rsidR="00EF200C" w:rsidRPr="000E3C8C">
        <w:fldChar w:fldCharType="end"/>
      </w:r>
      <w:r w:rsidR="00D728AB" w:rsidRPr="000E3C8C">
        <w:fldChar w:fldCharType="begin"/>
      </w:r>
      <w:r w:rsidR="00D728AB" w:rsidRPr="000E3C8C">
        <w:instrText xml:space="preserve"> :Accountability:|BPD_JR3|Treasury|BPD|Jonathan Rollings|Karen Dunn|Tahnisha Ambrum/Holly Rose McMath|x4298/x3282 </w:instrText>
      </w:r>
      <w:r w:rsidR="00D728AB" w:rsidRPr="000E3C8C">
        <w:fldChar w:fldCharType="end"/>
      </w:r>
      <w:r w:rsidR="00CD7CFC" w:rsidRPr="000E3C8C">
        <w:fldChar w:fldCharType="begin"/>
      </w:r>
      <w:r w:rsidR="00CD7CFC" w:rsidRPr="000E3C8C">
        <w:instrText xml:space="preserve"> :Accountability:|TAD_KDM1|Treasury|TAD|Katrina Di Marco|RFA EL2|Oliver Young|x4296 </w:instrText>
      </w:r>
      <w:r w:rsidR="00CD7CFC" w:rsidRPr="000E3C8C">
        <w:fldChar w:fldCharType="end"/>
      </w:r>
      <w:r w:rsidR="00F04628" w:rsidRPr="000E3C8C">
        <w:fldChar w:fldCharType="begin"/>
      </w:r>
      <w:r w:rsidR="00F04628" w:rsidRPr="000E3C8C">
        <w:instrText xml:space="preserve"> :Accountability:|BPD_JR2|Treasury|BPD|Jonathan Rollings|Jane Gordon|Andrea MacLeay|x4510 </w:instrText>
      </w:r>
      <w:r w:rsidR="00F04628" w:rsidRPr="000E3C8C">
        <w:fldChar w:fldCharType="end"/>
      </w:r>
      <w:r w:rsidRPr="000E3C8C">
        <w:fldChar w:fldCharType="begin"/>
      </w:r>
      <w:r w:rsidRPr="000E3C8C">
        <w:instrText xml:space="preserve"> :Accountability:|BPD_JR1|Treasury|BPD|Jonathan Rollings|Karen Dunn|Jack Elliott/Peter Ireland|3942/4606 </w:instrText>
      </w:r>
      <w:r w:rsidRPr="000E3C8C">
        <w:fldChar w:fldCharType="end"/>
      </w:r>
      <w:r w:rsidRPr="000E3C8C">
        <w:fldChar w:fldCharType="begin"/>
      </w:r>
      <w:r w:rsidRPr="000E3C8C">
        <w:instrText xml:space="preserve"> :End Index: </w:instrText>
      </w:r>
      <w:r w:rsidRPr="000E3C8C">
        <w:fldChar w:fldCharType="end"/>
      </w:r>
      <w:r w:rsidR="00F63398" w:rsidRPr="000E3C8C">
        <w:t xml:space="preserve">Part </w:t>
      </w:r>
      <w:r w:rsidR="00263C91" w:rsidRPr="000E3C8C">
        <w:t>3</w:t>
      </w:r>
      <w:r w:rsidR="00F63398" w:rsidRPr="000E3C8C">
        <w:t xml:space="preserve">: </w:t>
      </w:r>
      <w:r w:rsidR="00902D65" w:rsidRPr="000E3C8C">
        <w:t>Fiscal</w:t>
      </w:r>
      <w:r w:rsidR="00C7551E" w:rsidRPr="000E3C8C">
        <w:t xml:space="preserve"> outlook</w:t>
      </w:r>
    </w:p>
    <w:p w14:paraId="3E6B9EB8" w14:textId="4EDF7B66" w:rsidR="005553BE" w:rsidRPr="000E3C8C" w:rsidRDefault="005553BE" w:rsidP="005553BE">
      <w:pPr>
        <w:pStyle w:val="Heading2"/>
      </w:pPr>
      <w:r w:rsidRPr="000E3C8C">
        <w:t>Overview</w:t>
      </w:r>
    </w:p>
    <w:p w14:paraId="21F33B66" w14:textId="32E98616" w:rsidR="00A06E71" w:rsidRPr="000E3C8C" w:rsidRDefault="00C03065" w:rsidP="00C25F9C">
      <w:pPr>
        <w:rPr>
          <w:rFonts w:cs="Arial"/>
        </w:rPr>
      </w:pPr>
      <w:r w:rsidRPr="000E3C8C">
        <w:rPr>
          <w:rFonts w:cs="Arial"/>
        </w:rPr>
        <w:fldChar w:fldCharType="begin"/>
      </w:r>
      <w:r w:rsidRPr="000E3C8C">
        <w:rPr>
          <w:rFonts w:cs="Arial"/>
        </w:rPr>
        <w:instrText xml:space="preserve"> :Start:BPD_JR4 </w:instrText>
      </w:r>
      <w:r w:rsidRPr="000E3C8C">
        <w:rPr>
          <w:rFonts w:cs="Arial"/>
        </w:rPr>
        <w:fldChar w:fldCharType="end"/>
      </w:r>
      <w:r w:rsidR="00F0649A" w:rsidRPr="000E3C8C">
        <w:rPr>
          <w:rFonts w:cs="Arial"/>
        </w:rPr>
        <w:t>T</w:t>
      </w:r>
      <w:r w:rsidR="00F730F2" w:rsidRPr="000E3C8C">
        <w:rPr>
          <w:rFonts w:cs="Arial"/>
        </w:rPr>
        <w:t>he Government has taken decisive action</w:t>
      </w:r>
      <w:r w:rsidR="00860308" w:rsidRPr="000E3C8C">
        <w:rPr>
          <w:rFonts w:cs="Arial"/>
        </w:rPr>
        <w:t xml:space="preserve"> </w:t>
      </w:r>
      <w:r w:rsidR="00F730F2" w:rsidRPr="000E3C8C">
        <w:rPr>
          <w:rFonts w:cs="Arial"/>
        </w:rPr>
        <w:t>to support Australian households and businesses</w:t>
      </w:r>
      <w:r w:rsidR="00860308" w:rsidRPr="000E3C8C">
        <w:rPr>
          <w:rFonts w:cs="Arial"/>
        </w:rPr>
        <w:t xml:space="preserve"> in dealing with the impacts of the COVID</w:t>
      </w:r>
      <w:r w:rsidR="00E834B1">
        <w:rPr>
          <w:rFonts w:cs="Arial"/>
        </w:rPr>
        <w:noBreakHyphen/>
      </w:r>
      <w:r w:rsidR="00860308" w:rsidRPr="000E3C8C">
        <w:rPr>
          <w:rFonts w:cs="Arial"/>
        </w:rPr>
        <w:t>19 pandemic. The Government is</w:t>
      </w:r>
      <w:r w:rsidR="00210D7F" w:rsidRPr="000E3C8C">
        <w:rPr>
          <w:rFonts w:cs="Arial"/>
        </w:rPr>
        <w:t xml:space="preserve"> providing $</w:t>
      </w:r>
      <w:r w:rsidR="00FF0B1A" w:rsidRPr="000E3C8C">
        <w:rPr>
          <w:rFonts w:cs="Arial"/>
        </w:rPr>
        <w:t>28</w:t>
      </w:r>
      <w:r w:rsidR="000F37B4" w:rsidRPr="000E3C8C">
        <w:rPr>
          <w:rFonts w:cs="Arial"/>
        </w:rPr>
        <w:t>9</w:t>
      </w:r>
      <w:r w:rsidR="00344D43" w:rsidRPr="000E3C8C">
        <w:rPr>
          <w:rFonts w:cs="Arial"/>
        </w:rPr>
        <w:t xml:space="preserve"> </w:t>
      </w:r>
      <w:r w:rsidR="00210D7F" w:rsidRPr="000E3C8C">
        <w:rPr>
          <w:rFonts w:cs="Arial"/>
        </w:rPr>
        <w:t xml:space="preserve">billion in fiscal and </w:t>
      </w:r>
      <w:r w:rsidR="00F0649A" w:rsidRPr="000E3C8C">
        <w:rPr>
          <w:rFonts w:cs="Arial"/>
        </w:rPr>
        <w:t xml:space="preserve">balance sheet support, </w:t>
      </w:r>
      <w:r w:rsidR="00210D7F" w:rsidRPr="000E3C8C">
        <w:rPr>
          <w:rFonts w:cs="Arial"/>
        </w:rPr>
        <w:t xml:space="preserve">equivalent to around </w:t>
      </w:r>
      <w:r w:rsidR="00FF0B1A" w:rsidRPr="000E3C8C">
        <w:rPr>
          <w:rFonts w:cs="Arial"/>
        </w:rPr>
        <w:t>14.</w:t>
      </w:r>
      <w:r w:rsidR="003A22FC">
        <w:rPr>
          <w:rFonts w:cs="Arial"/>
        </w:rPr>
        <w:t>6</w:t>
      </w:r>
      <w:r w:rsidR="00751314" w:rsidRPr="000E3C8C">
        <w:rPr>
          <w:rFonts w:cs="Arial"/>
        </w:rPr>
        <w:t> per </w:t>
      </w:r>
      <w:r w:rsidR="00210D7F" w:rsidRPr="000E3C8C">
        <w:rPr>
          <w:rFonts w:cs="Arial"/>
        </w:rPr>
        <w:t>cent of</w:t>
      </w:r>
      <w:r w:rsidR="00FF0B1A" w:rsidRPr="000E3C8C">
        <w:rPr>
          <w:rFonts w:cs="Arial"/>
        </w:rPr>
        <w:t xml:space="preserve"> 2019</w:t>
      </w:r>
      <w:r w:rsidR="00E834B1">
        <w:rPr>
          <w:rFonts w:cs="Arial"/>
        </w:rPr>
        <w:noBreakHyphen/>
      </w:r>
      <w:r w:rsidR="00FF0B1A" w:rsidRPr="000E3C8C">
        <w:rPr>
          <w:rFonts w:cs="Arial"/>
        </w:rPr>
        <w:t>20</w:t>
      </w:r>
      <w:r w:rsidR="00210D7F" w:rsidRPr="000E3C8C">
        <w:rPr>
          <w:rFonts w:cs="Arial"/>
        </w:rPr>
        <w:t xml:space="preserve"> GDP. </w:t>
      </w:r>
    </w:p>
    <w:p w14:paraId="10CC0788" w14:textId="7C65C9B3" w:rsidR="00860308" w:rsidRPr="000E3C8C" w:rsidRDefault="00C03065" w:rsidP="00C25F9C">
      <w:pPr>
        <w:rPr>
          <w:rFonts w:cs="Arial"/>
        </w:rPr>
      </w:pPr>
      <w:r w:rsidRPr="000E3C8C">
        <w:rPr>
          <w:rFonts w:cs="Arial"/>
        </w:rPr>
        <w:fldChar w:fldCharType="begin"/>
      </w:r>
      <w:r w:rsidRPr="000E3C8C">
        <w:rPr>
          <w:rFonts w:cs="Arial"/>
        </w:rPr>
        <w:instrText xml:space="preserve"> :End:BPD_JR4 </w:instrText>
      </w:r>
      <w:r w:rsidRPr="000E3C8C">
        <w:rPr>
          <w:rFonts w:cs="Arial"/>
        </w:rPr>
        <w:fldChar w:fldCharType="end"/>
      </w:r>
      <w:r w:rsidR="002D62E7" w:rsidRPr="000E3C8C">
        <w:rPr>
          <w:rFonts w:cs="Arial"/>
        </w:rPr>
        <w:fldChar w:fldCharType="begin"/>
      </w:r>
      <w:r w:rsidR="002D62E7" w:rsidRPr="000E3C8C">
        <w:rPr>
          <w:rFonts w:cs="Arial"/>
        </w:rPr>
        <w:instrText xml:space="preserve"> :Start:BPD_JR1 </w:instrText>
      </w:r>
      <w:r w:rsidR="002D62E7" w:rsidRPr="000E3C8C">
        <w:rPr>
          <w:rFonts w:cs="Arial"/>
        </w:rPr>
        <w:fldChar w:fldCharType="end"/>
      </w:r>
      <w:r w:rsidR="00C74F05" w:rsidRPr="000E3C8C">
        <w:rPr>
          <w:rFonts w:cs="Arial"/>
          <w:szCs w:val="24"/>
        </w:rPr>
        <w:t>The Government</w:t>
      </w:r>
      <w:r w:rsidR="00E834B1">
        <w:rPr>
          <w:rFonts w:cs="Arial"/>
          <w:szCs w:val="24"/>
        </w:rPr>
        <w:t>’</w:t>
      </w:r>
      <w:r w:rsidR="00C74F05" w:rsidRPr="000E3C8C">
        <w:rPr>
          <w:rFonts w:cs="Arial"/>
          <w:szCs w:val="24"/>
        </w:rPr>
        <w:t xml:space="preserve">s economic response, together with large declines in taxation receipts and increases in </w:t>
      </w:r>
      <w:r w:rsidR="00186D7B" w:rsidRPr="000E3C8C">
        <w:rPr>
          <w:rFonts w:cs="Arial"/>
          <w:szCs w:val="24"/>
        </w:rPr>
        <w:t>unemployment benefit</w:t>
      </w:r>
      <w:r w:rsidR="00FC487B" w:rsidRPr="000E3C8C">
        <w:rPr>
          <w:rFonts w:cs="Arial"/>
          <w:szCs w:val="24"/>
        </w:rPr>
        <w:t xml:space="preserve"> </w:t>
      </w:r>
      <w:r w:rsidR="00C74F05" w:rsidRPr="000E3C8C">
        <w:rPr>
          <w:rFonts w:cs="Arial"/>
          <w:szCs w:val="24"/>
        </w:rPr>
        <w:t xml:space="preserve">payments, </w:t>
      </w:r>
      <w:r w:rsidR="00BC154B" w:rsidRPr="000E3C8C">
        <w:rPr>
          <w:rFonts w:cs="Arial"/>
        </w:rPr>
        <w:t xml:space="preserve">will </w:t>
      </w:r>
      <w:r w:rsidR="005053AD" w:rsidRPr="000E3C8C">
        <w:rPr>
          <w:rFonts w:cs="Arial"/>
        </w:rPr>
        <w:t xml:space="preserve">see </w:t>
      </w:r>
      <w:r w:rsidR="00EA42E3" w:rsidRPr="000E3C8C">
        <w:rPr>
          <w:rFonts w:cs="Arial"/>
        </w:rPr>
        <w:t>the budget move sharply into</w:t>
      </w:r>
      <w:r w:rsidR="00BB6889" w:rsidRPr="000E3C8C">
        <w:rPr>
          <w:rFonts w:cs="Arial"/>
        </w:rPr>
        <w:t xml:space="preserve"> deficit in 2019</w:t>
      </w:r>
      <w:r w:rsidR="00E834B1">
        <w:rPr>
          <w:rFonts w:cs="Arial"/>
        </w:rPr>
        <w:noBreakHyphen/>
      </w:r>
      <w:r w:rsidR="00BC154B" w:rsidRPr="000E3C8C">
        <w:rPr>
          <w:rFonts w:cs="Arial"/>
        </w:rPr>
        <w:t>20 and 2020</w:t>
      </w:r>
      <w:r w:rsidR="00E834B1">
        <w:rPr>
          <w:rFonts w:cs="Arial"/>
        </w:rPr>
        <w:noBreakHyphen/>
      </w:r>
      <w:r w:rsidR="00BC154B" w:rsidRPr="000E3C8C">
        <w:rPr>
          <w:rFonts w:cs="Arial"/>
        </w:rPr>
        <w:t>21</w:t>
      </w:r>
      <w:r w:rsidR="00B617D0" w:rsidRPr="000E3C8C">
        <w:rPr>
          <w:rFonts w:cs="Arial"/>
        </w:rPr>
        <w:t>,</w:t>
      </w:r>
      <w:r w:rsidR="002D62E7" w:rsidRPr="000E3C8C">
        <w:rPr>
          <w:rFonts w:cs="Arial"/>
        </w:rPr>
        <w:fldChar w:fldCharType="begin"/>
      </w:r>
      <w:r w:rsidR="002D62E7" w:rsidRPr="000E3C8C">
        <w:rPr>
          <w:rFonts w:cs="Arial"/>
        </w:rPr>
        <w:instrText xml:space="preserve"> :End:BPD_JR1 </w:instrText>
      </w:r>
      <w:r w:rsidR="002D62E7" w:rsidRPr="000E3C8C">
        <w:rPr>
          <w:rFonts w:cs="Arial"/>
        </w:rPr>
        <w:fldChar w:fldCharType="end"/>
      </w:r>
      <w:r w:rsidR="005053AD" w:rsidRPr="000E3C8C">
        <w:rPr>
          <w:rFonts w:cs="Arial"/>
        </w:rPr>
        <w:t xml:space="preserve"> </w:t>
      </w:r>
      <w:r w:rsidR="002D62E7" w:rsidRPr="000E3C8C">
        <w:rPr>
          <w:rFonts w:cs="Arial"/>
        </w:rPr>
        <w:fldChar w:fldCharType="begin"/>
      </w:r>
      <w:r w:rsidR="002D62E7" w:rsidRPr="000E3C8C">
        <w:rPr>
          <w:rFonts w:cs="Arial"/>
        </w:rPr>
        <w:instrText xml:space="preserve"> :Start:BPD_JR2 </w:instrText>
      </w:r>
      <w:r w:rsidR="002D62E7" w:rsidRPr="000E3C8C">
        <w:rPr>
          <w:rFonts w:cs="Arial"/>
        </w:rPr>
        <w:fldChar w:fldCharType="end"/>
      </w:r>
      <w:r w:rsidR="005053AD" w:rsidRPr="000E3C8C">
        <w:rPr>
          <w:rFonts w:cs="Arial"/>
        </w:rPr>
        <w:t xml:space="preserve">with </w:t>
      </w:r>
      <w:r w:rsidR="009A69F5" w:rsidRPr="000E3C8C">
        <w:rPr>
          <w:rFonts w:cs="Arial"/>
        </w:rPr>
        <w:t xml:space="preserve">government </w:t>
      </w:r>
      <w:r w:rsidR="005053AD" w:rsidRPr="000E3C8C">
        <w:rPr>
          <w:rFonts w:cs="Arial"/>
        </w:rPr>
        <w:t xml:space="preserve">debt </w:t>
      </w:r>
      <w:r w:rsidR="00F0649A" w:rsidRPr="000E3C8C">
        <w:rPr>
          <w:rFonts w:cs="Arial"/>
        </w:rPr>
        <w:t>also</w:t>
      </w:r>
      <w:r w:rsidR="005053AD" w:rsidRPr="000E3C8C">
        <w:rPr>
          <w:rFonts w:cs="Arial"/>
        </w:rPr>
        <w:t xml:space="preserve"> increasing </w:t>
      </w:r>
      <w:r w:rsidR="007F3A5E" w:rsidRPr="000E3C8C">
        <w:rPr>
          <w:rFonts w:cs="Arial"/>
        </w:rPr>
        <w:t>significantly</w:t>
      </w:r>
      <w:r w:rsidR="00BC154B" w:rsidRPr="000E3C8C">
        <w:rPr>
          <w:rFonts w:cs="Arial"/>
        </w:rPr>
        <w:t>.</w:t>
      </w:r>
      <w:r w:rsidR="00F730F2" w:rsidRPr="000E3C8C">
        <w:rPr>
          <w:rFonts w:cs="Arial"/>
        </w:rPr>
        <w:t xml:space="preserve"> </w:t>
      </w:r>
    </w:p>
    <w:p w14:paraId="4C96E84F" w14:textId="2826D8AA" w:rsidR="000D6E72" w:rsidRPr="000E3C8C" w:rsidRDefault="002D62E7" w:rsidP="00C25F9C">
      <w:pPr>
        <w:rPr>
          <w:rFonts w:cs="Arial"/>
        </w:rPr>
      </w:pPr>
      <w:r w:rsidRPr="000E3C8C">
        <w:rPr>
          <w:rFonts w:cs="Arial"/>
        </w:rPr>
        <w:fldChar w:fldCharType="begin"/>
      </w:r>
      <w:r w:rsidRPr="000E3C8C">
        <w:rPr>
          <w:rFonts w:cs="Arial"/>
        </w:rPr>
        <w:instrText xml:space="preserve"> :End:BPD_JR2 </w:instrText>
      </w:r>
      <w:r w:rsidRPr="000E3C8C">
        <w:rPr>
          <w:rFonts w:cs="Arial"/>
        </w:rPr>
        <w:fldChar w:fldCharType="end"/>
      </w:r>
      <w:r w:rsidRPr="000E3C8C">
        <w:rPr>
          <w:rFonts w:cs="Arial"/>
        </w:rPr>
        <w:fldChar w:fldCharType="begin"/>
      </w:r>
      <w:r w:rsidRPr="000E3C8C">
        <w:rPr>
          <w:rFonts w:cs="Arial"/>
        </w:rPr>
        <w:instrText xml:space="preserve"> :Start:BPD_JR1 </w:instrText>
      </w:r>
      <w:r w:rsidRPr="000E3C8C">
        <w:rPr>
          <w:rFonts w:cs="Arial"/>
        </w:rPr>
        <w:fldChar w:fldCharType="end"/>
      </w:r>
      <w:r w:rsidR="00860308" w:rsidRPr="000E3C8C">
        <w:rPr>
          <w:rFonts w:cs="Arial"/>
        </w:rPr>
        <w:t>The Government</w:t>
      </w:r>
      <w:r w:rsidR="00E834B1">
        <w:rPr>
          <w:rFonts w:cs="Arial"/>
        </w:rPr>
        <w:t>’</w:t>
      </w:r>
      <w:r w:rsidR="00860308" w:rsidRPr="000E3C8C">
        <w:rPr>
          <w:rFonts w:cs="Arial"/>
        </w:rPr>
        <w:t xml:space="preserve">s responsible fiscal management over the </w:t>
      </w:r>
      <w:r w:rsidR="004A4659" w:rsidRPr="000E3C8C">
        <w:rPr>
          <w:rFonts w:cs="Arial"/>
        </w:rPr>
        <w:t>p</w:t>
      </w:r>
      <w:r w:rsidR="00860308" w:rsidRPr="000E3C8C">
        <w:rPr>
          <w:rFonts w:cs="Arial"/>
        </w:rPr>
        <w:t>ast six and a half years has provided the capacity to respond to the unprecedented economic challenges posed by the COVID</w:t>
      </w:r>
      <w:r w:rsidR="00E834B1">
        <w:rPr>
          <w:rFonts w:cs="Arial"/>
        </w:rPr>
        <w:noBreakHyphen/>
      </w:r>
      <w:r w:rsidR="00860308" w:rsidRPr="000E3C8C">
        <w:rPr>
          <w:rFonts w:cs="Arial"/>
        </w:rPr>
        <w:t xml:space="preserve">19 pandemic. </w:t>
      </w:r>
      <w:r w:rsidRPr="000E3C8C">
        <w:rPr>
          <w:rFonts w:cs="Arial"/>
        </w:rPr>
        <w:fldChar w:fldCharType="begin"/>
      </w:r>
      <w:r w:rsidRPr="000E3C8C">
        <w:rPr>
          <w:rFonts w:cs="Arial"/>
        </w:rPr>
        <w:instrText xml:space="preserve"> :End:BPD_JR1 </w:instrText>
      </w:r>
      <w:r w:rsidRPr="000E3C8C">
        <w:rPr>
          <w:rFonts w:cs="Arial"/>
        </w:rPr>
        <w:fldChar w:fldCharType="end"/>
      </w:r>
      <w:r w:rsidRPr="000E3C8C">
        <w:rPr>
          <w:rFonts w:cs="Arial"/>
        </w:rPr>
        <w:fldChar w:fldCharType="begin"/>
      </w:r>
      <w:r w:rsidRPr="000E3C8C">
        <w:rPr>
          <w:rFonts w:cs="Arial"/>
        </w:rPr>
        <w:instrText xml:space="preserve"> :Start:BPD_JR2 </w:instrText>
      </w:r>
      <w:r w:rsidRPr="000E3C8C">
        <w:rPr>
          <w:rFonts w:cs="Arial"/>
        </w:rPr>
        <w:fldChar w:fldCharType="end"/>
      </w:r>
      <w:r w:rsidR="00860308" w:rsidRPr="000E3C8C">
        <w:t>Australia has low levels of debt</w:t>
      </w:r>
      <w:r w:rsidR="00E834B1">
        <w:noBreakHyphen/>
      </w:r>
      <w:r w:rsidR="00860308" w:rsidRPr="000E3C8C">
        <w:t>to</w:t>
      </w:r>
      <w:r w:rsidR="00E834B1">
        <w:noBreakHyphen/>
      </w:r>
      <w:r w:rsidR="00860308" w:rsidRPr="000E3C8C">
        <w:t>GDP compared to many other countries</w:t>
      </w:r>
      <w:r w:rsidR="00DC7DD0" w:rsidRPr="000E3C8C">
        <w:rPr>
          <w:rFonts w:cs="Arial"/>
          <w:szCs w:val="24"/>
        </w:rPr>
        <w:fldChar w:fldCharType="begin"/>
      </w:r>
      <w:r w:rsidR="00DC7DD0" w:rsidRPr="000E3C8C">
        <w:rPr>
          <w:rFonts w:cs="Arial"/>
          <w:szCs w:val="24"/>
        </w:rPr>
        <w:instrText xml:space="preserve"> :End:BPD_JR2 </w:instrText>
      </w:r>
      <w:r w:rsidR="00DC7DD0" w:rsidRPr="000E3C8C">
        <w:rPr>
          <w:rFonts w:cs="Arial"/>
          <w:szCs w:val="24"/>
        </w:rPr>
        <w:fldChar w:fldCharType="end"/>
      </w:r>
      <w:r w:rsidR="00DC7DD0" w:rsidRPr="000E3C8C">
        <w:rPr>
          <w:rFonts w:cs="Arial"/>
          <w:szCs w:val="24"/>
        </w:rPr>
        <w:fldChar w:fldCharType="begin"/>
      </w:r>
      <w:r w:rsidR="00DC7DD0" w:rsidRPr="000E3C8C">
        <w:rPr>
          <w:rFonts w:cs="Arial"/>
          <w:szCs w:val="24"/>
        </w:rPr>
        <w:instrText xml:space="preserve"> :Start:BPD_JR1 </w:instrText>
      </w:r>
      <w:r w:rsidR="00DC7DD0" w:rsidRPr="000E3C8C">
        <w:rPr>
          <w:rFonts w:cs="Arial"/>
          <w:szCs w:val="24"/>
        </w:rPr>
        <w:fldChar w:fldCharType="end"/>
      </w:r>
      <w:r w:rsidR="00B54319" w:rsidRPr="000E3C8C">
        <w:t xml:space="preserve"> and i</w:t>
      </w:r>
      <w:r w:rsidR="00860308" w:rsidRPr="000E3C8C">
        <w:t xml:space="preserve">n </w:t>
      </w:r>
      <w:proofErr w:type="gramStart"/>
      <w:r w:rsidR="00860308" w:rsidRPr="000E3C8C">
        <w:t>2018</w:t>
      </w:r>
      <w:r w:rsidR="00E834B1">
        <w:noBreakHyphen/>
      </w:r>
      <w:r w:rsidR="00860308" w:rsidRPr="000E3C8C">
        <w:t>19</w:t>
      </w:r>
      <w:proofErr w:type="gramEnd"/>
      <w:r w:rsidR="00860308" w:rsidRPr="000E3C8C">
        <w:t xml:space="preserve"> the Government returned the budget to balance for the first time in 11 years</w:t>
      </w:r>
      <w:r w:rsidR="00860308" w:rsidRPr="000E3C8C">
        <w:rPr>
          <w:rFonts w:cs="Arial"/>
        </w:rPr>
        <w:t xml:space="preserve">. </w:t>
      </w:r>
    </w:p>
    <w:p w14:paraId="76A75B08" w14:textId="673C4CC2" w:rsidR="00A06E71" w:rsidRPr="000E3C8C" w:rsidRDefault="002D62E7" w:rsidP="00A06E71">
      <w:pPr>
        <w:rPr>
          <w:rFonts w:cs="Arial"/>
          <w:szCs w:val="24"/>
        </w:rPr>
      </w:pPr>
      <w:r w:rsidRPr="000E3C8C">
        <w:rPr>
          <w:rFonts w:cs="Arial"/>
          <w:szCs w:val="24"/>
        </w:rPr>
        <w:fldChar w:fldCharType="begin"/>
      </w:r>
      <w:r w:rsidRPr="000E3C8C">
        <w:rPr>
          <w:rFonts w:cs="Arial"/>
          <w:szCs w:val="24"/>
        </w:rPr>
        <w:instrText xml:space="preserve"> :End:BPD_JR</w:instrText>
      </w:r>
      <w:r w:rsidR="00DC7DD0" w:rsidRPr="000E3C8C">
        <w:rPr>
          <w:rFonts w:cs="Arial"/>
          <w:szCs w:val="24"/>
        </w:rPr>
        <w:instrText>1</w:instrText>
      </w:r>
      <w:r w:rsidRPr="000E3C8C">
        <w:rPr>
          <w:rFonts w:cs="Arial"/>
          <w:szCs w:val="24"/>
        </w:rPr>
        <w:instrText xml:space="preserve"> </w:instrText>
      </w:r>
      <w:r w:rsidRPr="000E3C8C">
        <w:rPr>
          <w:rFonts w:cs="Arial"/>
          <w:szCs w:val="24"/>
        </w:rPr>
        <w:fldChar w:fldCharType="end"/>
      </w:r>
      <w:r w:rsidR="00056F9B" w:rsidRPr="000E3C8C">
        <w:rPr>
          <w:rFonts w:cs="Arial"/>
          <w:szCs w:val="24"/>
        </w:rPr>
        <w:fldChar w:fldCharType="begin"/>
      </w:r>
      <w:r w:rsidR="00056F9B" w:rsidRPr="000E3C8C">
        <w:rPr>
          <w:rFonts w:cs="Arial"/>
          <w:szCs w:val="24"/>
        </w:rPr>
        <w:instrText xml:space="preserve"> :Start:BPD_JR1 </w:instrText>
      </w:r>
      <w:r w:rsidR="00056F9B" w:rsidRPr="000E3C8C">
        <w:rPr>
          <w:rFonts w:cs="Arial"/>
          <w:szCs w:val="24"/>
        </w:rPr>
        <w:fldChar w:fldCharType="end"/>
      </w:r>
      <w:r w:rsidR="00A06E71" w:rsidRPr="000E3C8C">
        <w:rPr>
          <w:rFonts w:cs="Arial"/>
          <w:szCs w:val="24"/>
        </w:rPr>
        <w:t xml:space="preserve">The </w:t>
      </w:r>
      <w:r w:rsidR="00D63FEF" w:rsidRPr="000E3C8C">
        <w:rPr>
          <w:rFonts w:cs="Arial"/>
          <w:szCs w:val="24"/>
        </w:rPr>
        <w:t>COVID</w:t>
      </w:r>
      <w:r w:rsidR="00E834B1">
        <w:rPr>
          <w:rFonts w:cs="Arial"/>
          <w:szCs w:val="24"/>
        </w:rPr>
        <w:noBreakHyphen/>
      </w:r>
      <w:r w:rsidR="00D63FEF" w:rsidRPr="000E3C8C">
        <w:rPr>
          <w:rFonts w:cs="Arial"/>
          <w:szCs w:val="24"/>
        </w:rPr>
        <w:t>19</w:t>
      </w:r>
      <w:r w:rsidR="00A06E71" w:rsidRPr="000E3C8C">
        <w:rPr>
          <w:rFonts w:cs="Arial"/>
          <w:szCs w:val="24"/>
        </w:rPr>
        <w:t xml:space="preserve"> pandemic is still evolving </w:t>
      </w:r>
      <w:r w:rsidR="00FC39CF" w:rsidRPr="000E3C8C">
        <w:rPr>
          <w:rFonts w:cs="Arial"/>
          <w:szCs w:val="24"/>
        </w:rPr>
        <w:t xml:space="preserve">and </w:t>
      </w:r>
      <w:r w:rsidR="00A06E71" w:rsidRPr="000E3C8C">
        <w:rPr>
          <w:rFonts w:cs="Arial"/>
          <w:szCs w:val="24"/>
        </w:rPr>
        <w:t>the economic and fiscal outlook remains highly uncertain. In light of this uncertainty, this update presents fiscal estimates for 2019</w:t>
      </w:r>
      <w:r w:rsidR="00E834B1">
        <w:rPr>
          <w:rFonts w:cs="Arial"/>
          <w:szCs w:val="24"/>
        </w:rPr>
        <w:noBreakHyphen/>
      </w:r>
      <w:r w:rsidR="00A06E71" w:rsidRPr="000E3C8C">
        <w:rPr>
          <w:rFonts w:cs="Arial"/>
          <w:szCs w:val="24"/>
        </w:rPr>
        <w:t>20 and 2020</w:t>
      </w:r>
      <w:r w:rsidR="00E834B1">
        <w:rPr>
          <w:rFonts w:cs="Arial"/>
          <w:szCs w:val="24"/>
        </w:rPr>
        <w:noBreakHyphen/>
      </w:r>
      <w:r w:rsidR="00A06E71" w:rsidRPr="000E3C8C">
        <w:rPr>
          <w:rFonts w:cs="Arial"/>
          <w:szCs w:val="24"/>
        </w:rPr>
        <w:t>21 only. The Government will present fiscal estimates across the forward estimates and medium</w:t>
      </w:r>
      <w:r w:rsidR="00E834B1">
        <w:rPr>
          <w:rFonts w:cs="Arial"/>
          <w:szCs w:val="24"/>
        </w:rPr>
        <w:noBreakHyphen/>
      </w:r>
      <w:r w:rsidR="00A06E71" w:rsidRPr="000E3C8C">
        <w:rPr>
          <w:rFonts w:cs="Arial"/>
          <w:szCs w:val="24"/>
        </w:rPr>
        <w:t xml:space="preserve">term </w:t>
      </w:r>
      <w:r w:rsidR="00735B65" w:rsidRPr="000E3C8C">
        <w:rPr>
          <w:rFonts w:cs="Arial"/>
          <w:szCs w:val="24"/>
        </w:rPr>
        <w:t xml:space="preserve">projections </w:t>
      </w:r>
      <w:r w:rsidR="00610818" w:rsidRPr="000E3C8C">
        <w:rPr>
          <w:rFonts w:cs="Arial"/>
          <w:szCs w:val="24"/>
        </w:rPr>
        <w:t>in the 2020</w:t>
      </w:r>
      <w:r w:rsidR="00E834B1">
        <w:rPr>
          <w:rFonts w:cs="Arial"/>
          <w:szCs w:val="24"/>
        </w:rPr>
        <w:noBreakHyphen/>
      </w:r>
      <w:r w:rsidR="00A06E71" w:rsidRPr="000E3C8C">
        <w:rPr>
          <w:rFonts w:cs="Arial"/>
          <w:szCs w:val="24"/>
        </w:rPr>
        <w:t>21 Budget</w:t>
      </w:r>
      <w:r w:rsidR="00E730ED" w:rsidRPr="000E3C8C">
        <w:rPr>
          <w:rFonts w:cs="Arial"/>
          <w:szCs w:val="24"/>
        </w:rPr>
        <w:t xml:space="preserve">, to </w:t>
      </w:r>
      <w:proofErr w:type="gramStart"/>
      <w:r w:rsidR="00E730ED" w:rsidRPr="000E3C8C">
        <w:rPr>
          <w:rFonts w:cs="Arial"/>
          <w:szCs w:val="24"/>
        </w:rPr>
        <w:t>be delivered</w:t>
      </w:r>
      <w:proofErr w:type="gramEnd"/>
      <w:r w:rsidR="00E730ED" w:rsidRPr="000E3C8C">
        <w:rPr>
          <w:rFonts w:cs="Arial"/>
          <w:szCs w:val="24"/>
        </w:rPr>
        <w:t xml:space="preserve"> on 6 October 2020</w:t>
      </w:r>
      <w:r w:rsidR="00A06E71" w:rsidRPr="000E3C8C">
        <w:rPr>
          <w:rFonts w:cs="Arial"/>
          <w:szCs w:val="24"/>
        </w:rPr>
        <w:t xml:space="preserve">. </w:t>
      </w:r>
    </w:p>
    <w:p w14:paraId="7683402C" w14:textId="5F603E2A" w:rsidR="003F0CC3" w:rsidRPr="000E3C8C" w:rsidRDefault="00056F9B" w:rsidP="003F0CC3">
      <w:pPr>
        <w:rPr>
          <w:rFonts w:cs="Arial"/>
          <w:szCs w:val="24"/>
        </w:rPr>
      </w:pPr>
      <w:r w:rsidRPr="000E3C8C">
        <w:rPr>
          <w:rFonts w:cs="Arial"/>
          <w:szCs w:val="24"/>
        </w:rPr>
        <w:fldChar w:fldCharType="begin"/>
      </w:r>
      <w:r w:rsidRPr="000E3C8C">
        <w:rPr>
          <w:rFonts w:cs="Arial"/>
          <w:szCs w:val="24"/>
        </w:rPr>
        <w:instrText xml:space="preserve"> :End:BPD_JR1 </w:instrText>
      </w:r>
      <w:r w:rsidRPr="000E3C8C">
        <w:rPr>
          <w:rFonts w:cs="Arial"/>
          <w:szCs w:val="24"/>
        </w:rPr>
        <w:fldChar w:fldCharType="end"/>
      </w:r>
      <w:r w:rsidR="008B7329" w:rsidRPr="000E3C8C">
        <w:rPr>
          <w:rFonts w:cs="Arial"/>
          <w:szCs w:val="24"/>
        </w:rPr>
        <w:fldChar w:fldCharType="begin"/>
      </w:r>
      <w:r w:rsidR="008B7329" w:rsidRPr="000E3C8C">
        <w:rPr>
          <w:rFonts w:cs="Arial"/>
          <w:szCs w:val="24"/>
        </w:rPr>
        <w:instrText xml:space="preserve"> :Start:BPD_JR1 </w:instrText>
      </w:r>
      <w:r w:rsidR="008B7329" w:rsidRPr="000E3C8C">
        <w:rPr>
          <w:rFonts w:cs="Arial"/>
          <w:szCs w:val="24"/>
        </w:rPr>
        <w:fldChar w:fldCharType="end"/>
      </w:r>
      <w:r w:rsidR="00C74F05" w:rsidRPr="000E3C8C">
        <w:rPr>
          <w:rFonts w:cs="Arial"/>
          <w:szCs w:val="24"/>
        </w:rPr>
        <w:t>The</w:t>
      </w:r>
      <w:r w:rsidR="005053AD" w:rsidRPr="000E3C8C">
        <w:rPr>
          <w:rFonts w:cs="Arial"/>
          <w:szCs w:val="24"/>
        </w:rPr>
        <w:t xml:space="preserve"> </w:t>
      </w:r>
      <w:r w:rsidR="003F0CC3" w:rsidRPr="000E3C8C">
        <w:rPr>
          <w:rFonts w:cs="Arial"/>
          <w:szCs w:val="24"/>
        </w:rPr>
        <w:t xml:space="preserve">underlying cash </w:t>
      </w:r>
      <w:r w:rsidR="005053AD" w:rsidRPr="000E3C8C">
        <w:rPr>
          <w:rFonts w:cs="Arial"/>
          <w:szCs w:val="24"/>
        </w:rPr>
        <w:t>deficit</w:t>
      </w:r>
      <w:r w:rsidR="003F0CC3" w:rsidRPr="000E3C8C">
        <w:rPr>
          <w:rFonts w:cs="Arial"/>
          <w:szCs w:val="24"/>
        </w:rPr>
        <w:t xml:space="preserve"> in 2019</w:t>
      </w:r>
      <w:r w:rsidR="00E834B1">
        <w:rPr>
          <w:rFonts w:cs="Arial"/>
          <w:szCs w:val="24"/>
        </w:rPr>
        <w:noBreakHyphen/>
      </w:r>
      <w:r w:rsidR="003F0CC3" w:rsidRPr="000E3C8C">
        <w:rPr>
          <w:rFonts w:cs="Arial"/>
          <w:szCs w:val="24"/>
        </w:rPr>
        <w:t xml:space="preserve">20 </w:t>
      </w:r>
      <w:r w:rsidR="00C74F05" w:rsidRPr="000E3C8C">
        <w:rPr>
          <w:rFonts w:cs="Arial"/>
          <w:szCs w:val="24"/>
        </w:rPr>
        <w:t xml:space="preserve">is expected to be </w:t>
      </w:r>
      <w:r w:rsidR="00C13CF2" w:rsidRPr="000E3C8C">
        <w:rPr>
          <w:rFonts w:cs="Arial"/>
          <w:szCs w:val="24"/>
        </w:rPr>
        <w:t>$85.8</w:t>
      </w:r>
      <w:r w:rsidR="003F0CC3" w:rsidRPr="000E3C8C">
        <w:rPr>
          <w:rFonts w:cs="Arial"/>
          <w:szCs w:val="24"/>
        </w:rPr>
        <w:t xml:space="preserve"> billion (</w:t>
      </w:r>
      <w:r w:rsidR="00C13CF2" w:rsidRPr="000E3C8C">
        <w:rPr>
          <w:rFonts w:cs="Arial"/>
          <w:szCs w:val="24"/>
        </w:rPr>
        <w:t>4.3</w:t>
      </w:r>
      <w:r w:rsidR="00371F59" w:rsidRPr="000E3C8C">
        <w:rPr>
          <w:rFonts w:cs="Arial"/>
          <w:szCs w:val="24"/>
        </w:rPr>
        <w:t> per cent of </w:t>
      </w:r>
      <w:r w:rsidR="003F0CC3" w:rsidRPr="000E3C8C">
        <w:rPr>
          <w:rFonts w:cs="Arial"/>
          <w:szCs w:val="24"/>
        </w:rPr>
        <w:t xml:space="preserve">GDP), a </w:t>
      </w:r>
      <w:r w:rsidR="00A653ED" w:rsidRPr="000E3C8C">
        <w:rPr>
          <w:rFonts w:cs="Arial"/>
          <w:szCs w:val="24"/>
        </w:rPr>
        <w:t>$90.8</w:t>
      </w:r>
      <w:r w:rsidR="003F0CC3" w:rsidRPr="000E3C8C">
        <w:rPr>
          <w:rFonts w:cs="Arial"/>
          <w:szCs w:val="24"/>
        </w:rPr>
        <w:t xml:space="preserve"> billion deterior</w:t>
      </w:r>
      <w:r w:rsidR="008F7019" w:rsidRPr="000E3C8C">
        <w:rPr>
          <w:rFonts w:cs="Arial"/>
          <w:szCs w:val="24"/>
        </w:rPr>
        <w:t>ation since</w:t>
      </w:r>
      <w:r w:rsidR="00A06E71" w:rsidRPr="000E3C8C">
        <w:rPr>
          <w:rFonts w:cs="Arial"/>
          <w:szCs w:val="24"/>
        </w:rPr>
        <w:t xml:space="preserve"> the 2019</w:t>
      </w:r>
      <w:r w:rsidR="00E834B1">
        <w:rPr>
          <w:rFonts w:cs="Arial"/>
          <w:szCs w:val="24"/>
        </w:rPr>
        <w:noBreakHyphen/>
      </w:r>
      <w:r w:rsidR="00A06E71" w:rsidRPr="000E3C8C">
        <w:rPr>
          <w:rFonts w:cs="Arial"/>
          <w:szCs w:val="24"/>
        </w:rPr>
        <w:t>20</w:t>
      </w:r>
      <w:r w:rsidR="008F7019" w:rsidRPr="000E3C8C">
        <w:rPr>
          <w:rFonts w:cs="Arial"/>
          <w:szCs w:val="24"/>
        </w:rPr>
        <w:t xml:space="preserve"> MYEFO.</w:t>
      </w:r>
      <w:r w:rsidR="008B7329" w:rsidRPr="000E3C8C">
        <w:rPr>
          <w:rFonts w:cs="Arial"/>
          <w:szCs w:val="24"/>
        </w:rPr>
        <w:fldChar w:fldCharType="begin"/>
      </w:r>
      <w:r w:rsidR="008B7329" w:rsidRPr="000E3C8C">
        <w:rPr>
          <w:rFonts w:cs="Arial"/>
          <w:szCs w:val="24"/>
        </w:rPr>
        <w:instrText xml:space="preserve"> :End:BPD_JR1 </w:instrText>
      </w:r>
      <w:r w:rsidR="008B7329" w:rsidRPr="000E3C8C">
        <w:rPr>
          <w:rFonts w:cs="Arial"/>
          <w:szCs w:val="24"/>
        </w:rPr>
        <w:fldChar w:fldCharType="end"/>
      </w:r>
      <w:r w:rsidR="008B7329" w:rsidRPr="000E3C8C">
        <w:rPr>
          <w:rFonts w:cs="Arial"/>
          <w:szCs w:val="24"/>
        </w:rPr>
        <w:fldChar w:fldCharType="begin"/>
      </w:r>
      <w:r w:rsidR="008B7329" w:rsidRPr="000E3C8C">
        <w:rPr>
          <w:rFonts w:cs="Arial"/>
          <w:szCs w:val="24"/>
        </w:rPr>
        <w:instrText xml:space="preserve"> :Start:</w:instrText>
      </w:r>
      <w:r w:rsidR="00A01E30" w:rsidRPr="000E3C8C">
        <w:rPr>
          <w:rFonts w:cs="Arial"/>
          <w:szCs w:val="24"/>
        </w:rPr>
        <w:instrText>BPCD_ER2</w:instrText>
      </w:r>
      <w:r w:rsidR="008B7329" w:rsidRPr="000E3C8C">
        <w:rPr>
          <w:rFonts w:cs="Arial"/>
          <w:szCs w:val="24"/>
        </w:rPr>
        <w:instrText xml:space="preserve"> </w:instrText>
      </w:r>
      <w:r w:rsidR="008B7329" w:rsidRPr="000E3C8C">
        <w:rPr>
          <w:rFonts w:cs="Arial"/>
          <w:szCs w:val="24"/>
        </w:rPr>
        <w:fldChar w:fldCharType="end"/>
      </w:r>
      <w:r w:rsidR="003F7FF7" w:rsidRPr="000E3C8C">
        <w:rPr>
          <w:rStyle w:val="FootnoteReference"/>
          <w:rFonts w:cs="Arial"/>
        </w:rPr>
        <w:footnoteReference w:id="1"/>
      </w:r>
      <w:r w:rsidR="00735B65" w:rsidRPr="000E3C8C">
        <w:rPr>
          <w:rFonts w:cs="Arial"/>
        </w:rPr>
        <w:t xml:space="preserve"> </w:t>
      </w:r>
      <w:r w:rsidR="008F7019" w:rsidRPr="000E3C8C">
        <w:rPr>
          <w:rFonts w:cs="Arial"/>
          <w:szCs w:val="24"/>
        </w:rPr>
        <w:t xml:space="preserve">The </w:t>
      </w:r>
      <w:r w:rsidR="008B7329" w:rsidRPr="000E3C8C">
        <w:rPr>
          <w:rFonts w:cs="Arial"/>
          <w:szCs w:val="24"/>
        </w:rPr>
        <w:fldChar w:fldCharType="begin"/>
      </w:r>
      <w:r w:rsidR="008B7329" w:rsidRPr="000E3C8C">
        <w:rPr>
          <w:rFonts w:cs="Arial"/>
          <w:szCs w:val="24"/>
        </w:rPr>
        <w:instrText xml:space="preserve"> :End:</w:instrText>
      </w:r>
      <w:r w:rsidR="00A01E30" w:rsidRPr="000E3C8C">
        <w:rPr>
          <w:rFonts w:cs="Arial"/>
          <w:szCs w:val="24"/>
        </w:rPr>
        <w:instrText>BPCD_ER2</w:instrText>
      </w:r>
      <w:r w:rsidR="008B7329" w:rsidRPr="000E3C8C">
        <w:rPr>
          <w:rFonts w:cs="Arial"/>
          <w:szCs w:val="24"/>
        </w:rPr>
        <w:instrText xml:space="preserve"> </w:instrText>
      </w:r>
      <w:r w:rsidR="008B7329" w:rsidRPr="000E3C8C">
        <w:rPr>
          <w:rFonts w:cs="Arial"/>
          <w:szCs w:val="24"/>
        </w:rPr>
        <w:fldChar w:fldCharType="end"/>
      </w:r>
      <w:r w:rsidR="008B7329" w:rsidRPr="000E3C8C">
        <w:rPr>
          <w:rFonts w:cs="Arial"/>
          <w:szCs w:val="24"/>
        </w:rPr>
        <w:fldChar w:fldCharType="begin"/>
      </w:r>
      <w:r w:rsidR="008B7329" w:rsidRPr="000E3C8C">
        <w:rPr>
          <w:rFonts w:cs="Arial"/>
          <w:szCs w:val="24"/>
        </w:rPr>
        <w:instrText xml:space="preserve"> :Start:BPD_JR1 </w:instrText>
      </w:r>
      <w:r w:rsidR="008B7329" w:rsidRPr="000E3C8C">
        <w:rPr>
          <w:rFonts w:cs="Arial"/>
          <w:szCs w:val="24"/>
        </w:rPr>
        <w:fldChar w:fldCharType="end"/>
      </w:r>
      <w:r w:rsidR="008F7019" w:rsidRPr="000E3C8C">
        <w:rPr>
          <w:rFonts w:cs="Arial"/>
          <w:szCs w:val="24"/>
        </w:rPr>
        <w:t>estimate</w:t>
      </w:r>
      <w:r w:rsidR="003F0CC3" w:rsidRPr="000E3C8C">
        <w:rPr>
          <w:rFonts w:cs="Arial"/>
          <w:szCs w:val="24"/>
        </w:rPr>
        <w:t xml:space="preserve"> for 2020</w:t>
      </w:r>
      <w:r w:rsidR="00E834B1">
        <w:rPr>
          <w:rFonts w:cs="Arial"/>
          <w:szCs w:val="24"/>
        </w:rPr>
        <w:noBreakHyphen/>
      </w:r>
      <w:r w:rsidR="003F0CC3" w:rsidRPr="000E3C8C">
        <w:rPr>
          <w:rFonts w:cs="Arial"/>
          <w:szCs w:val="24"/>
        </w:rPr>
        <w:t xml:space="preserve">21 </w:t>
      </w:r>
      <w:proofErr w:type="gramStart"/>
      <w:r w:rsidR="005053AD" w:rsidRPr="000E3C8C">
        <w:rPr>
          <w:rFonts w:cs="Arial"/>
          <w:szCs w:val="24"/>
        </w:rPr>
        <w:t xml:space="preserve">has </w:t>
      </w:r>
      <w:r w:rsidR="003F0CC3" w:rsidRPr="000E3C8C">
        <w:rPr>
          <w:rFonts w:cs="Arial"/>
          <w:szCs w:val="24"/>
        </w:rPr>
        <w:t>also been revised</w:t>
      </w:r>
      <w:proofErr w:type="gramEnd"/>
      <w:r w:rsidR="003F0CC3" w:rsidRPr="000E3C8C">
        <w:rPr>
          <w:rFonts w:cs="Arial"/>
          <w:szCs w:val="24"/>
        </w:rPr>
        <w:t xml:space="preserve"> down significantly</w:t>
      </w:r>
      <w:r w:rsidR="002478C6" w:rsidRPr="000E3C8C">
        <w:rPr>
          <w:rFonts w:cs="Arial"/>
          <w:szCs w:val="24"/>
        </w:rPr>
        <w:t>, with an expected deficit of $184.5</w:t>
      </w:r>
      <w:r w:rsidR="0079164D" w:rsidRPr="000E3C8C">
        <w:rPr>
          <w:rFonts w:cs="Arial"/>
          <w:szCs w:val="24"/>
        </w:rPr>
        <w:t> </w:t>
      </w:r>
      <w:r w:rsidR="003F0CC3" w:rsidRPr="000E3C8C">
        <w:rPr>
          <w:rFonts w:cs="Arial"/>
          <w:szCs w:val="24"/>
        </w:rPr>
        <w:t>bi</w:t>
      </w:r>
      <w:r w:rsidR="002478C6" w:rsidRPr="000E3C8C">
        <w:rPr>
          <w:rFonts w:cs="Arial"/>
          <w:szCs w:val="24"/>
        </w:rPr>
        <w:t>llion</w:t>
      </w:r>
      <w:r w:rsidR="0027160A" w:rsidRPr="000E3C8C">
        <w:rPr>
          <w:rFonts w:cs="Arial"/>
          <w:szCs w:val="24"/>
        </w:rPr>
        <w:t xml:space="preserve"> </w:t>
      </w:r>
      <w:r w:rsidR="002478C6" w:rsidRPr="000E3C8C">
        <w:rPr>
          <w:rFonts w:cs="Arial"/>
          <w:szCs w:val="24"/>
        </w:rPr>
        <w:t>(9.7</w:t>
      </w:r>
      <w:r w:rsidR="003F0CC3" w:rsidRPr="000E3C8C">
        <w:rPr>
          <w:rFonts w:cs="Arial"/>
          <w:szCs w:val="24"/>
        </w:rPr>
        <w:t> per cent of GDP)</w:t>
      </w:r>
      <w:r w:rsidR="005053AD" w:rsidRPr="000E3C8C">
        <w:rPr>
          <w:rFonts w:cs="Arial"/>
          <w:szCs w:val="24"/>
        </w:rPr>
        <w:t xml:space="preserve">, </w:t>
      </w:r>
      <w:r w:rsidR="00A06E71" w:rsidRPr="000E3C8C">
        <w:rPr>
          <w:rFonts w:cs="Arial"/>
          <w:szCs w:val="24"/>
        </w:rPr>
        <w:t>a</w:t>
      </w:r>
      <w:r w:rsidR="009D571F" w:rsidRPr="000E3C8C">
        <w:rPr>
          <w:rFonts w:cs="Arial"/>
          <w:szCs w:val="24"/>
        </w:rPr>
        <w:t xml:space="preserve"> </w:t>
      </w:r>
      <w:r w:rsidR="00A653ED" w:rsidRPr="000E3C8C">
        <w:rPr>
          <w:rFonts w:cs="Arial"/>
          <w:szCs w:val="24"/>
        </w:rPr>
        <w:t>$190.6</w:t>
      </w:r>
      <w:r w:rsidR="003F0CC3" w:rsidRPr="000E3C8C">
        <w:rPr>
          <w:rFonts w:cs="Arial"/>
          <w:szCs w:val="24"/>
        </w:rPr>
        <w:t xml:space="preserve"> billion</w:t>
      </w:r>
      <w:r w:rsidR="00A06E71" w:rsidRPr="000E3C8C">
        <w:rPr>
          <w:rFonts w:cs="Arial"/>
          <w:szCs w:val="24"/>
        </w:rPr>
        <w:t xml:space="preserve"> deterioration since the 2019</w:t>
      </w:r>
      <w:r w:rsidR="00E834B1">
        <w:rPr>
          <w:rFonts w:cs="Arial"/>
          <w:szCs w:val="24"/>
        </w:rPr>
        <w:noBreakHyphen/>
      </w:r>
      <w:r w:rsidR="006A332B" w:rsidRPr="000E3C8C">
        <w:rPr>
          <w:rFonts w:cs="Arial"/>
          <w:szCs w:val="24"/>
        </w:rPr>
        <w:t>20 </w:t>
      </w:r>
      <w:r w:rsidR="00A06E71" w:rsidRPr="000E3C8C">
        <w:rPr>
          <w:rFonts w:cs="Arial"/>
          <w:szCs w:val="24"/>
        </w:rPr>
        <w:t>MYEFO</w:t>
      </w:r>
      <w:r w:rsidR="003F0CC3" w:rsidRPr="000E3C8C">
        <w:rPr>
          <w:rFonts w:cs="Arial"/>
          <w:szCs w:val="24"/>
        </w:rPr>
        <w:t>.</w:t>
      </w:r>
    </w:p>
    <w:p w14:paraId="26393AC8" w14:textId="50D4A744" w:rsidR="001315D2" w:rsidRPr="000E3C8C" w:rsidRDefault="008B7329" w:rsidP="001315D2">
      <w:pPr>
        <w:rPr>
          <w:rFonts w:cs="Arial"/>
          <w:szCs w:val="24"/>
        </w:rPr>
      </w:pPr>
      <w:r w:rsidRPr="000E3C8C">
        <w:rPr>
          <w:rFonts w:cs="Arial"/>
          <w:szCs w:val="24"/>
        </w:rPr>
        <w:fldChar w:fldCharType="begin"/>
      </w:r>
      <w:r w:rsidRPr="000E3C8C">
        <w:rPr>
          <w:rFonts w:cs="Arial"/>
          <w:szCs w:val="24"/>
        </w:rPr>
        <w:instrText xml:space="preserve"> :End:BPD_JR1 </w:instrText>
      </w:r>
      <w:r w:rsidRPr="000E3C8C">
        <w:rPr>
          <w:rFonts w:cs="Arial"/>
          <w:szCs w:val="24"/>
        </w:rPr>
        <w:fldChar w:fldCharType="end"/>
      </w:r>
      <w:r w:rsidR="001315D2" w:rsidRPr="000E3C8C">
        <w:rPr>
          <w:rFonts w:cs="Arial"/>
          <w:szCs w:val="24"/>
        </w:rPr>
        <w:fldChar w:fldCharType="begin"/>
      </w:r>
      <w:r w:rsidR="001315D2" w:rsidRPr="000E3C8C">
        <w:rPr>
          <w:rFonts w:cs="Arial"/>
          <w:szCs w:val="24"/>
        </w:rPr>
        <w:instrText xml:space="preserve"> :Start:BPD_JR2 </w:instrText>
      </w:r>
      <w:r w:rsidR="001315D2" w:rsidRPr="000E3C8C">
        <w:rPr>
          <w:rFonts w:cs="Arial"/>
          <w:szCs w:val="24"/>
        </w:rPr>
        <w:fldChar w:fldCharType="end"/>
      </w:r>
      <w:r w:rsidR="001315D2" w:rsidRPr="000E3C8C">
        <w:rPr>
          <w:rFonts w:cs="Arial"/>
          <w:szCs w:val="24"/>
        </w:rPr>
        <w:t xml:space="preserve">Gross debt </w:t>
      </w:r>
      <w:r w:rsidR="00F427D0" w:rsidRPr="000E3C8C">
        <w:rPr>
          <w:rFonts w:cs="Arial"/>
          <w:szCs w:val="24"/>
        </w:rPr>
        <w:t>was $684.3 billion (</w:t>
      </w:r>
      <w:r w:rsidR="00311DD0" w:rsidRPr="000E3C8C">
        <w:rPr>
          <w:rFonts w:cs="Arial"/>
          <w:szCs w:val="24"/>
        </w:rPr>
        <w:t>34.4 per cent of GDP</w:t>
      </w:r>
      <w:r w:rsidR="003F7D23" w:rsidRPr="000E3C8C">
        <w:rPr>
          <w:rFonts w:cs="Arial"/>
          <w:szCs w:val="24"/>
        </w:rPr>
        <w:t>) at</w:t>
      </w:r>
      <w:r w:rsidR="00311DD0" w:rsidRPr="000E3C8C">
        <w:rPr>
          <w:rFonts w:cs="Arial"/>
          <w:szCs w:val="24"/>
        </w:rPr>
        <w:t xml:space="preserve"> 30 June 2020</w:t>
      </w:r>
      <w:r w:rsidR="00F427D0" w:rsidRPr="000E3C8C">
        <w:rPr>
          <w:rFonts w:cs="Arial"/>
          <w:szCs w:val="24"/>
        </w:rPr>
        <w:t xml:space="preserve"> and </w:t>
      </w:r>
      <w:proofErr w:type="gramStart"/>
      <w:r w:rsidR="00F427D0" w:rsidRPr="000E3C8C">
        <w:rPr>
          <w:rFonts w:cs="Arial"/>
          <w:szCs w:val="24"/>
        </w:rPr>
        <w:t>is expected</w:t>
      </w:r>
      <w:proofErr w:type="gramEnd"/>
      <w:r w:rsidR="00F427D0" w:rsidRPr="000E3C8C">
        <w:rPr>
          <w:rFonts w:cs="Arial"/>
          <w:szCs w:val="24"/>
        </w:rPr>
        <w:t xml:space="preserve"> to </w:t>
      </w:r>
      <w:r w:rsidR="00D97F1F" w:rsidRPr="000E3C8C">
        <w:rPr>
          <w:rFonts w:cs="Arial"/>
          <w:szCs w:val="24"/>
        </w:rPr>
        <w:t>be</w:t>
      </w:r>
      <w:r w:rsidR="001315D2" w:rsidRPr="000E3C8C">
        <w:rPr>
          <w:rFonts w:cs="Arial"/>
          <w:szCs w:val="24"/>
        </w:rPr>
        <w:t xml:space="preserve"> </w:t>
      </w:r>
      <w:r w:rsidR="00F427D0" w:rsidRPr="000E3C8C">
        <w:rPr>
          <w:rFonts w:cs="Arial"/>
          <w:szCs w:val="24"/>
        </w:rPr>
        <w:t>$851.9 billion (45.0 per cent of GDP)</w:t>
      </w:r>
      <w:r w:rsidR="00F427D0" w:rsidRPr="000E3C8C" w:rsidDel="00995593">
        <w:rPr>
          <w:rFonts w:cs="Arial"/>
          <w:szCs w:val="24"/>
        </w:rPr>
        <w:t xml:space="preserve"> </w:t>
      </w:r>
      <w:r w:rsidR="009C6863" w:rsidRPr="000E3C8C">
        <w:rPr>
          <w:rFonts w:cs="Arial"/>
          <w:szCs w:val="24"/>
        </w:rPr>
        <w:t>at</w:t>
      </w:r>
      <w:r w:rsidR="003F7D23" w:rsidRPr="000E3C8C">
        <w:rPr>
          <w:rFonts w:cs="Arial"/>
          <w:szCs w:val="24"/>
        </w:rPr>
        <w:t xml:space="preserve"> </w:t>
      </w:r>
      <w:r w:rsidR="00311DD0" w:rsidRPr="000E3C8C">
        <w:rPr>
          <w:rFonts w:cs="Arial"/>
          <w:szCs w:val="24"/>
        </w:rPr>
        <w:t>30 June 2021</w:t>
      </w:r>
      <w:r w:rsidR="001315D2" w:rsidRPr="000E3C8C">
        <w:rPr>
          <w:rFonts w:cs="Arial"/>
          <w:szCs w:val="24"/>
        </w:rPr>
        <w:t xml:space="preserve">. Net debt </w:t>
      </w:r>
      <w:proofErr w:type="gramStart"/>
      <w:r w:rsidR="001315D2" w:rsidRPr="000E3C8C">
        <w:rPr>
          <w:rFonts w:cs="Arial"/>
          <w:szCs w:val="24"/>
        </w:rPr>
        <w:t>is expected</w:t>
      </w:r>
      <w:proofErr w:type="gramEnd"/>
      <w:r w:rsidR="001315D2" w:rsidRPr="000E3C8C">
        <w:rPr>
          <w:rFonts w:cs="Arial"/>
          <w:szCs w:val="24"/>
        </w:rPr>
        <w:t xml:space="preserve"> to be </w:t>
      </w:r>
      <w:r w:rsidR="00F427D0" w:rsidRPr="000E3C8C">
        <w:rPr>
          <w:rFonts w:cs="Arial"/>
          <w:szCs w:val="24"/>
        </w:rPr>
        <w:t xml:space="preserve">$488.2 billion (24.6 per cent of GDP) </w:t>
      </w:r>
      <w:r w:rsidR="003F7D23" w:rsidRPr="000E3C8C">
        <w:rPr>
          <w:rFonts w:cs="Arial"/>
          <w:szCs w:val="24"/>
        </w:rPr>
        <w:t>at</w:t>
      </w:r>
      <w:r w:rsidR="00311DD0" w:rsidRPr="000E3C8C">
        <w:rPr>
          <w:rFonts w:cs="Arial"/>
          <w:szCs w:val="24"/>
        </w:rPr>
        <w:t xml:space="preserve"> 30 June 2020 </w:t>
      </w:r>
      <w:r w:rsidR="001315D2" w:rsidRPr="000E3C8C">
        <w:rPr>
          <w:rFonts w:cs="Arial"/>
          <w:szCs w:val="24"/>
        </w:rPr>
        <w:t xml:space="preserve">and increase to $677.1 billion </w:t>
      </w:r>
      <w:r w:rsidR="00F427D0" w:rsidRPr="000E3C8C">
        <w:rPr>
          <w:rFonts w:cs="Arial"/>
          <w:szCs w:val="24"/>
        </w:rPr>
        <w:t>(35.7 per cent of GDP)</w:t>
      </w:r>
      <w:r w:rsidR="00F427D0" w:rsidRPr="000E3C8C" w:rsidDel="00A26454">
        <w:rPr>
          <w:rFonts w:cs="Arial"/>
          <w:szCs w:val="24"/>
        </w:rPr>
        <w:t xml:space="preserve"> </w:t>
      </w:r>
      <w:r w:rsidR="008A57AD" w:rsidRPr="000E3C8C">
        <w:rPr>
          <w:rFonts w:cs="Arial"/>
          <w:szCs w:val="24"/>
        </w:rPr>
        <w:t>at</w:t>
      </w:r>
      <w:r w:rsidR="00311DD0" w:rsidRPr="000E3C8C">
        <w:rPr>
          <w:rFonts w:cs="Arial"/>
          <w:szCs w:val="24"/>
        </w:rPr>
        <w:t xml:space="preserve"> 30 June 2021</w:t>
      </w:r>
      <w:r w:rsidR="001315D2" w:rsidRPr="000E3C8C">
        <w:rPr>
          <w:rFonts w:cs="Arial"/>
          <w:szCs w:val="24"/>
        </w:rPr>
        <w:t xml:space="preserve">. </w:t>
      </w:r>
    </w:p>
    <w:p w14:paraId="086EFDB8" w14:textId="5857325C" w:rsidR="006A332B" w:rsidRPr="000E3C8C" w:rsidRDefault="006A332B" w:rsidP="006A332B">
      <w:pPr>
        <w:rPr>
          <w:rFonts w:cs="Arial"/>
        </w:rPr>
      </w:pPr>
      <w:r w:rsidRPr="000E3C8C">
        <w:rPr>
          <w:rFonts w:cs="Arial"/>
        </w:rPr>
        <w:fldChar w:fldCharType="begin"/>
      </w:r>
      <w:r w:rsidRPr="000E3C8C">
        <w:rPr>
          <w:rFonts w:cs="Arial"/>
        </w:rPr>
        <w:instrText xml:space="preserve"> :End:BPD_JR2 </w:instrText>
      </w:r>
      <w:r w:rsidRPr="000E3C8C">
        <w:rPr>
          <w:rFonts w:cs="Arial"/>
        </w:rPr>
        <w:fldChar w:fldCharType="end"/>
      </w:r>
      <w:r w:rsidRPr="000E3C8C">
        <w:rPr>
          <w:rFonts w:cs="Arial"/>
        </w:rPr>
        <w:fldChar w:fldCharType="begin"/>
      </w:r>
      <w:r w:rsidRPr="000E3C8C">
        <w:rPr>
          <w:rFonts w:cs="Arial"/>
        </w:rPr>
        <w:instrText xml:space="preserve"> :Start:BPD_JR2 </w:instrText>
      </w:r>
      <w:r w:rsidRPr="000E3C8C">
        <w:rPr>
          <w:rFonts w:cs="Arial"/>
        </w:rPr>
        <w:fldChar w:fldCharType="end"/>
      </w:r>
      <w:r w:rsidRPr="000E3C8C">
        <w:rPr>
          <w:rFonts w:cs="Arial"/>
        </w:rPr>
        <w:t xml:space="preserve">While debt levels have increased significantly </w:t>
      </w:r>
      <w:proofErr w:type="gramStart"/>
      <w:r w:rsidRPr="000E3C8C">
        <w:rPr>
          <w:rFonts w:cs="Arial"/>
        </w:rPr>
        <w:t>as a result</w:t>
      </w:r>
      <w:proofErr w:type="gramEnd"/>
      <w:r w:rsidRPr="000E3C8C">
        <w:rPr>
          <w:rFonts w:cs="Arial"/>
        </w:rPr>
        <w:t xml:space="preserve"> of the COVID</w:t>
      </w:r>
      <w:r w:rsidR="00E834B1">
        <w:rPr>
          <w:rFonts w:cs="Arial"/>
        </w:rPr>
        <w:noBreakHyphen/>
      </w:r>
      <w:r w:rsidRPr="000E3C8C">
        <w:rPr>
          <w:rFonts w:cs="Arial"/>
        </w:rPr>
        <w:t>19 pandemic, Australia continues to have a low level of debt</w:t>
      </w:r>
      <w:r w:rsidR="00E834B1">
        <w:rPr>
          <w:rFonts w:cs="Arial"/>
        </w:rPr>
        <w:noBreakHyphen/>
      </w:r>
      <w:r w:rsidRPr="000E3C8C">
        <w:rPr>
          <w:rFonts w:cs="Arial"/>
        </w:rPr>
        <w:t>to</w:t>
      </w:r>
      <w:r w:rsidR="00E834B1">
        <w:rPr>
          <w:rFonts w:cs="Arial"/>
        </w:rPr>
        <w:noBreakHyphen/>
      </w:r>
      <w:r w:rsidRPr="000E3C8C">
        <w:rPr>
          <w:rFonts w:cs="Arial"/>
        </w:rPr>
        <w:t>GDP compared to other countries. Record low interest rates are also reducing the cost of servicing debt</w:t>
      </w:r>
      <w:r w:rsidR="00623BD4" w:rsidRPr="000E3C8C">
        <w:rPr>
          <w:rFonts w:cs="Arial"/>
        </w:rPr>
        <w:t xml:space="preserve"> (B</w:t>
      </w:r>
      <w:r w:rsidRPr="000E3C8C">
        <w:rPr>
          <w:rFonts w:cs="Arial"/>
        </w:rPr>
        <w:t xml:space="preserve">ox 3.4). Once the economic recovery is established, stronger growth and an improvement in the fiscal position will help to stabilise government debt as a share of the economy. </w:t>
      </w:r>
      <w:r w:rsidRPr="000E3C8C">
        <w:rPr>
          <w:rFonts w:cs="Arial"/>
        </w:rPr>
        <w:fldChar w:fldCharType="begin"/>
      </w:r>
      <w:r w:rsidRPr="000E3C8C">
        <w:rPr>
          <w:rFonts w:cs="Arial"/>
        </w:rPr>
        <w:instrText xml:space="preserve"> :End:BPD_JR2 </w:instrText>
      </w:r>
      <w:r w:rsidRPr="000E3C8C">
        <w:rPr>
          <w:rFonts w:cs="Arial"/>
        </w:rPr>
        <w:fldChar w:fldCharType="end"/>
      </w:r>
    </w:p>
    <w:p w14:paraId="53EC5D0F" w14:textId="70ABB82B" w:rsidR="00A06E71" w:rsidRPr="000E3C8C" w:rsidRDefault="001D77E5" w:rsidP="002A115E">
      <w:r w:rsidRPr="000E3C8C">
        <w:lastRenderedPageBreak/>
        <w:fldChar w:fldCharType="begin"/>
      </w:r>
      <w:r w:rsidRPr="000E3C8C">
        <w:instrText xml:space="preserve"> :Start:BPD_JR2 </w:instrText>
      </w:r>
      <w:r w:rsidRPr="000E3C8C">
        <w:fldChar w:fldCharType="end"/>
      </w:r>
      <w:r w:rsidR="00A06E71" w:rsidRPr="000E3C8C">
        <w:t xml:space="preserve">Since the onset of the </w:t>
      </w:r>
      <w:r w:rsidR="00D63FEF" w:rsidRPr="000E3C8C">
        <w:t>COVID</w:t>
      </w:r>
      <w:r w:rsidR="00E834B1">
        <w:noBreakHyphen/>
      </w:r>
      <w:r w:rsidR="00D63FEF" w:rsidRPr="000E3C8C">
        <w:t>19</w:t>
      </w:r>
      <w:r w:rsidR="00A06E71" w:rsidRPr="000E3C8C">
        <w:t xml:space="preserve"> pandemic, each of the thre</w:t>
      </w:r>
      <w:r w:rsidR="00D75150" w:rsidRPr="000E3C8C">
        <w:t xml:space="preserve">e major </w:t>
      </w:r>
      <w:proofErr w:type="gramStart"/>
      <w:r w:rsidR="00D75150" w:rsidRPr="000E3C8C">
        <w:t>ratings</w:t>
      </w:r>
      <w:proofErr w:type="gramEnd"/>
      <w:r w:rsidR="00D75150" w:rsidRPr="000E3C8C">
        <w:t xml:space="preserve"> agencies have </w:t>
      </w:r>
      <w:r w:rsidR="00A06E71" w:rsidRPr="000E3C8C">
        <w:t>affirmed Australia</w:t>
      </w:r>
      <w:r w:rsidR="00E834B1">
        <w:t>’</w:t>
      </w:r>
      <w:r w:rsidR="00A06E71" w:rsidRPr="000E3C8C">
        <w:t xml:space="preserve">s AAA credit rating, noting the underlying </w:t>
      </w:r>
      <w:r w:rsidR="00706F8D" w:rsidRPr="000E3C8C">
        <w:t>resilience</w:t>
      </w:r>
      <w:r w:rsidR="00A06E71" w:rsidRPr="000E3C8C">
        <w:t xml:space="preserve"> of the Australian economy</w:t>
      </w:r>
      <w:r w:rsidR="009D2C43" w:rsidRPr="000E3C8C">
        <w:t xml:space="preserve"> and the Government</w:t>
      </w:r>
      <w:r w:rsidR="00E834B1">
        <w:t>’</w:t>
      </w:r>
      <w:r w:rsidR="009D2C43" w:rsidRPr="000E3C8C">
        <w:t>s response to the pandemic.</w:t>
      </w:r>
    </w:p>
    <w:p w14:paraId="199E454C" w14:textId="24186FF8" w:rsidR="00422566" w:rsidRPr="000E3C8C" w:rsidRDefault="001D77E5" w:rsidP="00C25F9C">
      <w:pPr>
        <w:rPr>
          <w:rFonts w:cs="Arial"/>
          <w:szCs w:val="24"/>
        </w:rPr>
      </w:pPr>
      <w:r w:rsidRPr="000E3C8C">
        <w:rPr>
          <w:rFonts w:cs="Arial"/>
        </w:rPr>
        <w:fldChar w:fldCharType="begin"/>
      </w:r>
      <w:r w:rsidRPr="000E3C8C">
        <w:rPr>
          <w:rFonts w:cs="Arial"/>
        </w:rPr>
        <w:instrText xml:space="preserve"> :End:BPD_JR2 </w:instrText>
      </w:r>
      <w:r w:rsidRPr="000E3C8C">
        <w:rPr>
          <w:rFonts w:cs="Arial"/>
        </w:rPr>
        <w:fldChar w:fldCharType="end"/>
      </w:r>
      <w:r w:rsidR="00F04628" w:rsidRPr="000E3C8C">
        <w:rPr>
          <w:rFonts w:cs="Arial"/>
        </w:rPr>
        <w:fldChar w:fldCharType="begin"/>
      </w:r>
      <w:r w:rsidR="00F04628" w:rsidRPr="000E3C8C">
        <w:rPr>
          <w:rFonts w:cs="Arial"/>
        </w:rPr>
        <w:instrText xml:space="preserve"> :Start:BPD_JR1 </w:instrText>
      </w:r>
      <w:r w:rsidR="00F04628" w:rsidRPr="000E3C8C">
        <w:rPr>
          <w:rFonts w:cs="Arial"/>
        </w:rPr>
        <w:fldChar w:fldCharType="end"/>
      </w:r>
      <w:r w:rsidR="00BE4356" w:rsidRPr="000E3C8C">
        <w:rPr>
          <w:rFonts w:cs="Arial"/>
        </w:rPr>
        <w:t>The Government</w:t>
      </w:r>
      <w:r w:rsidR="00E834B1">
        <w:rPr>
          <w:rFonts w:cs="Arial"/>
        </w:rPr>
        <w:t>’</w:t>
      </w:r>
      <w:r w:rsidR="00BE4356" w:rsidRPr="000E3C8C">
        <w:rPr>
          <w:rFonts w:cs="Arial"/>
        </w:rPr>
        <w:t xml:space="preserve">s </w:t>
      </w:r>
      <w:r w:rsidR="004570E3" w:rsidRPr="000E3C8C">
        <w:rPr>
          <w:rFonts w:cs="Arial"/>
        </w:rPr>
        <w:t xml:space="preserve">economic </w:t>
      </w:r>
      <w:r w:rsidR="00BE4356" w:rsidRPr="000E3C8C">
        <w:rPr>
          <w:rFonts w:cs="Arial"/>
        </w:rPr>
        <w:t xml:space="preserve">response is temporary and targeted with </w:t>
      </w:r>
      <w:r w:rsidR="008E2027" w:rsidRPr="000E3C8C">
        <w:rPr>
          <w:rFonts w:cs="Arial"/>
        </w:rPr>
        <w:t>measures</w:t>
      </w:r>
      <w:r w:rsidR="00BE4356" w:rsidRPr="000E3C8C">
        <w:rPr>
          <w:rFonts w:cs="Arial"/>
        </w:rPr>
        <w:t xml:space="preserve"> designed to </w:t>
      </w:r>
      <w:r w:rsidR="00010C14" w:rsidRPr="000E3C8C">
        <w:rPr>
          <w:rFonts w:cs="Arial"/>
        </w:rPr>
        <w:t xml:space="preserve">support </w:t>
      </w:r>
      <w:r w:rsidR="00EE2554" w:rsidRPr="000E3C8C">
        <w:rPr>
          <w:rFonts w:cs="Arial"/>
        </w:rPr>
        <w:t>the economy</w:t>
      </w:r>
      <w:r w:rsidR="00BE4356" w:rsidRPr="000E3C8C">
        <w:rPr>
          <w:rFonts w:cs="Arial"/>
        </w:rPr>
        <w:t xml:space="preserve"> </w:t>
      </w:r>
      <w:r w:rsidR="00BC154B" w:rsidRPr="000E3C8C">
        <w:rPr>
          <w:rFonts w:cs="Arial"/>
          <w:szCs w:val="24"/>
        </w:rPr>
        <w:t>without undermining the structural integrity of the budget</w:t>
      </w:r>
      <w:r w:rsidR="002A115E" w:rsidRPr="000E3C8C">
        <w:rPr>
          <w:rFonts w:cs="Arial"/>
          <w:szCs w:val="24"/>
        </w:rPr>
        <w:t xml:space="preserve">. </w:t>
      </w:r>
      <w:r w:rsidR="00AF18FF" w:rsidRPr="000E3C8C">
        <w:rPr>
          <w:rFonts w:cs="Arial"/>
          <w:szCs w:val="24"/>
        </w:rPr>
        <w:t>The unwinding of the Government</w:t>
      </w:r>
      <w:r w:rsidR="00E834B1">
        <w:rPr>
          <w:rFonts w:cs="Arial"/>
          <w:szCs w:val="24"/>
        </w:rPr>
        <w:t>’</w:t>
      </w:r>
      <w:r w:rsidR="00AF18FF" w:rsidRPr="000E3C8C">
        <w:rPr>
          <w:rFonts w:cs="Arial"/>
          <w:szCs w:val="24"/>
        </w:rPr>
        <w:t>s economic response</w:t>
      </w:r>
      <w:r w:rsidR="0045091A" w:rsidRPr="000E3C8C">
        <w:rPr>
          <w:rFonts w:cs="Arial"/>
          <w:szCs w:val="24"/>
        </w:rPr>
        <w:t xml:space="preserve"> measures</w:t>
      </w:r>
      <w:r w:rsidR="00AF18FF" w:rsidRPr="000E3C8C">
        <w:rPr>
          <w:rFonts w:cs="Arial"/>
          <w:szCs w:val="24"/>
        </w:rPr>
        <w:t xml:space="preserve"> will ensure that the budget improves as the economy recovers. However, automatic stabilisers</w:t>
      </w:r>
      <w:r w:rsidR="00072E95" w:rsidRPr="000E3C8C">
        <w:rPr>
          <w:rFonts w:cs="Arial"/>
          <w:szCs w:val="24"/>
        </w:rPr>
        <w:t xml:space="preserve"> </w:t>
      </w:r>
      <w:r w:rsidR="004A6474" w:rsidRPr="000E3C8C">
        <w:rPr>
          <w:rFonts w:cs="Arial"/>
          <w:szCs w:val="24"/>
        </w:rPr>
        <w:t>through the tax system</w:t>
      </w:r>
      <w:r w:rsidR="001B2A27" w:rsidRPr="000E3C8C">
        <w:rPr>
          <w:rFonts w:cs="Arial"/>
          <w:szCs w:val="24"/>
        </w:rPr>
        <w:t xml:space="preserve"> and higher </w:t>
      </w:r>
      <w:r w:rsidR="002175CF" w:rsidRPr="000E3C8C">
        <w:rPr>
          <w:rFonts w:cs="Arial"/>
          <w:szCs w:val="24"/>
        </w:rPr>
        <w:t>social security</w:t>
      </w:r>
      <w:r w:rsidR="001B2A27" w:rsidRPr="000E3C8C">
        <w:rPr>
          <w:rFonts w:cs="Arial"/>
          <w:szCs w:val="24"/>
        </w:rPr>
        <w:t xml:space="preserve"> payments</w:t>
      </w:r>
      <w:r w:rsidR="00AF18FF" w:rsidRPr="000E3C8C">
        <w:rPr>
          <w:rFonts w:cs="Arial"/>
          <w:szCs w:val="24"/>
        </w:rPr>
        <w:t xml:space="preserve"> will continue to affect the budget bottom line </w:t>
      </w:r>
      <w:r w:rsidR="00051DF4" w:rsidRPr="000E3C8C">
        <w:rPr>
          <w:rFonts w:cs="Arial"/>
          <w:szCs w:val="24"/>
        </w:rPr>
        <w:t>for some time</w:t>
      </w:r>
      <w:r w:rsidR="00AF18FF" w:rsidRPr="000E3C8C">
        <w:rPr>
          <w:rFonts w:cs="Arial"/>
          <w:szCs w:val="24"/>
        </w:rPr>
        <w:t>.</w:t>
      </w:r>
    </w:p>
    <w:p w14:paraId="3C1C3077" w14:textId="198E5068" w:rsidR="007A12E0" w:rsidRPr="000E3C8C" w:rsidRDefault="007A12E0" w:rsidP="007A12E0">
      <w:pPr>
        <w:rPr>
          <w:rFonts w:cs="Arial"/>
          <w:szCs w:val="24"/>
        </w:rPr>
      </w:pPr>
      <w:r w:rsidRPr="000E3C8C">
        <w:rPr>
          <w:rFonts w:cs="Arial"/>
        </w:rPr>
        <w:t>The Government</w:t>
      </w:r>
      <w:r w:rsidR="00E834B1">
        <w:rPr>
          <w:rFonts w:cs="Arial"/>
        </w:rPr>
        <w:t>’</w:t>
      </w:r>
      <w:r w:rsidRPr="000E3C8C">
        <w:rPr>
          <w:rFonts w:cs="Arial"/>
        </w:rPr>
        <w:t xml:space="preserve">s economic recovery strategy is providing immediate support for business and consumer confidence, employment and growth. </w:t>
      </w:r>
      <w:r w:rsidR="007A2E96" w:rsidRPr="000E3C8C">
        <w:rPr>
          <w:rFonts w:cs="Arial"/>
        </w:rPr>
        <w:t>Over the medium</w:t>
      </w:r>
      <w:r w:rsidR="00575A51" w:rsidRPr="000E3C8C">
        <w:rPr>
          <w:rFonts w:cs="Arial"/>
        </w:rPr>
        <w:t xml:space="preserve"> </w:t>
      </w:r>
      <w:r w:rsidR="007A2E96" w:rsidRPr="000E3C8C">
        <w:rPr>
          <w:rFonts w:cs="Arial"/>
        </w:rPr>
        <w:t xml:space="preserve">term, the Government will strengthen </w:t>
      </w:r>
      <w:r w:rsidR="005028FA" w:rsidRPr="000E3C8C">
        <w:rPr>
          <w:rFonts w:cs="Arial"/>
        </w:rPr>
        <w:t xml:space="preserve">the </w:t>
      </w:r>
      <w:r w:rsidR="003F26F7" w:rsidRPr="000E3C8C">
        <w:rPr>
          <w:rFonts w:cs="Arial"/>
        </w:rPr>
        <w:t>fiscal</w:t>
      </w:r>
      <w:r w:rsidR="007A2E96" w:rsidRPr="000E3C8C">
        <w:rPr>
          <w:rFonts w:cs="Arial"/>
        </w:rPr>
        <w:t xml:space="preserve"> position to ensure</w:t>
      </w:r>
      <w:r w:rsidR="00AE50C8" w:rsidRPr="000E3C8C">
        <w:rPr>
          <w:rFonts w:cs="Arial"/>
        </w:rPr>
        <w:t xml:space="preserve"> Australia continues to be well</w:t>
      </w:r>
      <w:r w:rsidR="00E834B1">
        <w:rPr>
          <w:rFonts w:cs="Arial"/>
        </w:rPr>
        <w:noBreakHyphen/>
      </w:r>
      <w:r w:rsidR="007A2E96" w:rsidRPr="000E3C8C">
        <w:rPr>
          <w:rFonts w:cs="Arial"/>
        </w:rPr>
        <w:t xml:space="preserve">placed to respond to future shocks. </w:t>
      </w:r>
      <w:r w:rsidR="00723E88" w:rsidRPr="000E3C8C">
        <w:rPr>
          <w:rFonts w:cs="Arial"/>
          <w:szCs w:val="24"/>
        </w:rPr>
        <w:fldChar w:fldCharType="begin"/>
      </w:r>
      <w:r w:rsidR="00723E88" w:rsidRPr="000E3C8C">
        <w:rPr>
          <w:rFonts w:cs="Arial"/>
          <w:szCs w:val="24"/>
        </w:rPr>
        <w:instrText xml:space="preserve"> :End:BPD_JR1 </w:instrText>
      </w:r>
      <w:r w:rsidR="00723E88" w:rsidRPr="000E3C8C">
        <w:rPr>
          <w:rFonts w:cs="Arial"/>
          <w:szCs w:val="24"/>
        </w:rPr>
        <w:fldChar w:fldCharType="end"/>
      </w:r>
    </w:p>
    <w:p w14:paraId="264A133C" w14:textId="77777777" w:rsidR="004308F4" w:rsidRPr="000E3C8C" w:rsidRDefault="004308F4" w:rsidP="002A115E">
      <w:r w:rsidRPr="000E3C8C">
        <w:br w:type="page"/>
      </w:r>
    </w:p>
    <w:p w14:paraId="2C389F3F" w14:textId="485F775F" w:rsidR="00682EDD" w:rsidRPr="000E3C8C" w:rsidRDefault="00D728AB" w:rsidP="00682EDD">
      <w:pPr>
        <w:pStyle w:val="Heading2"/>
        <w:rPr>
          <w:rFonts w:ascii="Arial" w:hAnsi="Arial" w:cs="Arial"/>
        </w:rPr>
      </w:pPr>
      <w:r w:rsidRPr="000E3C8C">
        <w:rPr>
          <w:rFonts w:ascii="Arial" w:hAnsi="Arial" w:cs="Arial"/>
        </w:rPr>
        <w:lastRenderedPageBreak/>
        <w:fldChar w:fldCharType="begin"/>
      </w:r>
      <w:r w:rsidRPr="000E3C8C">
        <w:rPr>
          <w:rFonts w:ascii="Arial" w:hAnsi="Arial" w:cs="Arial"/>
        </w:rPr>
        <w:instrText xml:space="preserve"> :Start:BPD_JR1 </w:instrText>
      </w:r>
      <w:r w:rsidRPr="000E3C8C">
        <w:rPr>
          <w:rFonts w:ascii="Arial" w:hAnsi="Arial" w:cs="Arial"/>
        </w:rPr>
        <w:fldChar w:fldCharType="end"/>
      </w:r>
      <w:r w:rsidR="00682EDD" w:rsidRPr="000E3C8C">
        <w:rPr>
          <w:rFonts w:ascii="Arial" w:hAnsi="Arial" w:cs="Arial"/>
        </w:rPr>
        <w:t>Budget aggregates</w:t>
      </w:r>
    </w:p>
    <w:p w14:paraId="0265D6C0" w14:textId="067C4EDC" w:rsidR="00B97BA9" w:rsidRPr="000E3C8C" w:rsidRDefault="009E2D8A" w:rsidP="00F1423C">
      <w:pPr>
        <w:rPr>
          <w:rFonts w:cs="Arial"/>
          <w:szCs w:val="24"/>
        </w:rPr>
      </w:pPr>
      <w:r w:rsidRPr="000E3C8C">
        <w:rPr>
          <w:rFonts w:cs="Arial"/>
          <w:szCs w:val="24"/>
        </w:rPr>
        <w:t xml:space="preserve">Table </w:t>
      </w:r>
      <w:r w:rsidR="001B45BA" w:rsidRPr="000E3C8C">
        <w:rPr>
          <w:rFonts w:cs="Arial"/>
          <w:szCs w:val="24"/>
        </w:rPr>
        <w:t>3.1</w:t>
      </w:r>
      <w:r w:rsidR="00B05821" w:rsidRPr="000E3C8C">
        <w:rPr>
          <w:rFonts w:cs="Arial"/>
          <w:szCs w:val="24"/>
        </w:rPr>
        <w:t xml:space="preserve"> </w:t>
      </w:r>
      <w:r w:rsidR="00B966BD" w:rsidRPr="000E3C8C">
        <w:rPr>
          <w:rFonts w:cs="Arial"/>
          <w:szCs w:val="24"/>
        </w:rPr>
        <w:t>provides the underlying cash balance</w:t>
      </w:r>
      <w:r w:rsidR="00B05821" w:rsidRPr="000E3C8C">
        <w:rPr>
          <w:rFonts w:cs="Arial"/>
          <w:szCs w:val="24"/>
        </w:rPr>
        <w:t>, gross debt and net debt</w:t>
      </w:r>
      <w:r w:rsidRPr="000E3C8C">
        <w:rPr>
          <w:rFonts w:cs="Arial"/>
          <w:szCs w:val="24"/>
        </w:rPr>
        <w:t xml:space="preserve"> </w:t>
      </w:r>
      <w:r w:rsidR="00857FE6" w:rsidRPr="000E3C8C">
        <w:rPr>
          <w:rFonts w:cs="Arial"/>
          <w:szCs w:val="24"/>
        </w:rPr>
        <w:t xml:space="preserve">estimates </w:t>
      </w:r>
      <w:r w:rsidRPr="000E3C8C">
        <w:rPr>
          <w:rFonts w:cs="Arial"/>
          <w:szCs w:val="24"/>
        </w:rPr>
        <w:t>over 2019</w:t>
      </w:r>
      <w:r w:rsidR="00E834B1">
        <w:rPr>
          <w:rFonts w:cs="Arial"/>
          <w:szCs w:val="24"/>
        </w:rPr>
        <w:noBreakHyphen/>
      </w:r>
      <w:r w:rsidRPr="000E3C8C">
        <w:rPr>
          <w:rFonts w:cs="Arial"/>
          <w:szCs w:val="24"/>
        </w:rPr>
        <w:t>20 and 2020</w:t>
      </w:r>
      <w:r w:rsidR="00E834B1">
        <w:rPr>
          <w:rFonts w:cs="Arial"/>
          <w:szCs w:val="24"/>
        </w:rPr>
        <w:noBreakHyphen/>
      </w:r>
      <w:r w:rsidRPr="000E3C8C">
        <w:rPr>
          <w:rFonts w:cs="Arial"/>
          <w:szCs w:val="24"/>
        </w:rPr>
        <w:t>21</w:t>
      </w:r>
      <w:r w:rsidR="00210D7F" w:rsidRPr="000E3C8C">
        <w:rPr>
          <w:rFonts w:cs="Arial"/>
          <w:szCs w:val="24"/>
        </w:rPr>
        <w:t>.</w:t>
      </w:r>
      <w:r w:rsidR="00902F72" w:rsidRPr="000E3C8C">
        <w:t xml:space="preserve"> </w:t>
      </w:r>
      <w:r w:rsidR="00902F72" w:rsidRPr="000E3C8C">
        <w:fldChar w:fldCharType="begin"/>
      </w:r>
      <w:r w:rsidR="00902F72" w:rsidRPr="000E3C8C">
        <w:instrText xml:space="preserve"> :End:BPD_JR1 </w:instrText>
      </w:r>
      <w:r w:rsidR="00902F72" w:rsidRPr="000E3C8C">
        <w:fldChar w:fldCharType="end"/>
      </w:r>
    </w:p>
    <w:p w14:paraId="46C198E6" w14:textId="72CFA254" w:rsidR="00756F68" w:rsidRPr="000E3C8C" w:rsidRDefault="00902F72" w:rsidP="00F261C9">
      <w:pPr>
        <w:pStyle w:val="TableHeading"/>
      </w:pPr>
      <w:r w:rsidRPr="000E3C8C">
        <w:fldChar w:fldCharType="begin"/>
      </w:r>
      <w:r w:rsidRPr="000E3C8C">
        <w:instrText xml:space="preserve"> :Start:BPD_JR2 </w:instrText>
      </w:r>
      <w:r w:rsidRPr="000E3C8C">
        <w:fldChar w:fldCharType="end"/>
      </w:r>
      <w:r w:rsidR="00B97BA9" w:rsidRPr="000E3C8C">
        <w:t xml:space="preserve">Table </w:t>
      </w:r>
      <w:r w:rsidR="0031121C" w:rsidRPr="000E3C8C">
        <w:t>3.1</w:t>
      </w:r>
      <w:r w:rsidR="00B97BA9" w:rsidRPr="000E3C8C">
        <w:t xml:space="preserve">: Budget </w:t>
      </w:r>
      <w:r w:rsidRPr="000E3C8C">
        <w:fldChar w:fldCharType="begin"/>
      </w:r>
      <w:r w:rsidRPr="000E3C8C">
        <w:instrText xml:space="preserve"> :End:BPD_JR2 </w:instrText>
      </w:r>
      <w:r w:rsidRPr="000E3C8C">
        <w:fldChar w:fldCharType="end"/>
      </w:r>
      <w:r w:rsidR="004644B6" w:rsidRPr="000E3C8C">
        <w:fldChar w:fldCharType="begin"/>
      </w:r>
      <w:r w:rsidR="004644B6" w:rsidRPr="000E3C8C">
        <w:instrText xml:space="preserve"> :Start:</w:instrText>
      </w:r>
      <w:r w:rsidR="00B83222" w:rsidRPr="000E3C8C">
        <w:instrText>FARM_AB1</w:instrText>
      </w:r>
      <w:r w:rsidR="004644B6" w:rsidRPr="000E3C8C">
        <w:instrText xml:space="preserve"> </w:instrText>
      </w:r>
      <w:r w:rsidR="004644B6" w:rsidRPr="000E3C8C">
        <w:fldChar w:fldCharType="end"/>
      </w:r>
      <w:r w:rsidR="00B97BA9" w:rsidRPr="000E3C8C">
        <w:t>aggregates</w:t>
      </w:r>
    </w:p>
    <w:tbl>
      <w:tblPr>
        <w:tblW w:w="4987" w:type="pct"/>
        <w:tblLayout w:type="fixed"/>
        <w:tblLook w:val="04A0" w:firstRow="1" w:lastRow="0" w:firstColumn="1" w:lastColumn="0" w:noHBand="0" w:noVBand="1"/>
      </w:tblPr>
      <w:tblGrid>
        <w:gridCol w:w="5710"/>
        <w:gridCol w:w="966"/>
        <w:gridCol w:w="1014"/>
      </w:tblGrid>
      <w:tr w:rsidR="00756F68" w:rsidRPr="000E3C8C" w14:paraId="334C8051" w14:textId="77777777" w:rsidTr="005E1C4D">
        <w:trPr>
          <w:trHeight w:hRule="exact" w:val="225"/>
        </w:trPr>
        <w:tc>
          <w:tcPr>
            <w:tcW w:w="3713" w:type="pct"/>
            <w:tcBorders>
              <w:top w:val="single" w:sz="4" w:space="0" w:color="auto"/>
              <w:left w:val="nil"/>
              <w:bottom w:val="nil"/>
              <w:right w:val="nil"/>
            </w:tcBorders>
            <w:shd w:val="clear" w:color="000000" w:fill="FFFFFF"/>
            <w:noWrap/>
            <w:vAlign w:val="bottom"/>
            <w:hideMark/>
          </w:tcPr>
          <w:p w14:paraId="2C98C547" w14:textId="7EC7818A" w:rsidR="00756F68" w:rsidRPr="000E3C8C" w:rsidRDefault="00756F68" w:rsidP="00E133D8">
            <w:pPr>
              <w:spacing w:after="0" w:line="240" w:lineRule="auto"/>
              <w:jc w:val="left"/>
              <w:rPr>
                <w:rFonts w:ascii="Calibri" w:hAnsi="Calibri" w:cs="Calibri"/>
                <w:color w:val="000000"/>
                <w:sz w:val="22"/>
                <w:szCs w:val="22"/>
              </w:rPr>
            </w:pPr>
            <w:r w:rsidRPr="000E3C8C">
              <w:rPr>
                <w:rFonts w:ascii="Calibri" w:hAnsi="Calibri" w:cs="Calibri"/>
                <w:color w:val="000000"/>
                <w:sz w:val="22"/>
                <w:szCs w:val="22"/>
              </w:rPr>
              <w:t> </w:t>
            </w:r>
          </w:p>
        </w:tc>
        <w:tc>
          <w:tcPr>
            <w:tcW w:w="1287" w:type="pct"/>
            <w:gridSpan w:val="2"/>
            <w:tcBorders>
              <w:top w:val="single" w:sz="4" w:space="0" w:color="auto"/>
              <w:left w:val="nil"/>
              <w:bottom w:val="single" w:sz="4" w:space="0" w:color="auto"/>
              <w:right w:val="nil"/>
            </w:tcBorders>
            <w:shd w:val="clear" w:color="000000" w:fill="FFFFFF"/>
            <w:noWrap/>
            <w:vAlign w:val="center"/>
            <w:hideMark/>
          </w:tcPr>
          <w:p w14:paraId="7BD4F1C8" w14:textId="77777777" w:rsidR="00756F68" w:rsidRPr="000E3C8C" w:rsidRDefault="00756F68" w:rsidP="00E133D8">
            <w:pPr>
              <w:spacing w:after="0" w:line="240" w:lineRule="auto"/>
              <w:jc w:val="center"/>
              <w:rPr>
                <w:rFonts w:ascii="Arial" w:hAnsi="Arial" w:cs="Arial"/>
                <w:sz w:val="16"/>
                <w:szCs w:val="16"/>
              </w:rPr>
            </w:pPr>
            <w:r w:rsidRPr="000E3C8C">
              <w:rPr>
                <w:rFonts w:ascii="Arial" w:hAnsi="Arial" w:cs="Arial"/>
                <w:sz w:val="16"/>
                <w:szCs w:val="16"/>
              </w:rPr>
              <w:t>Estimates</w:t>
            </w:r>
          </w:p>
        </w:tc>
      </w:tr>
      <w:tr w:rsidR="00C501C0" w:rsidRPr="000E3C8C" w14:paraId="2DF72A35" w14:textId="77777777" w:rsidTr="005E1C4D">
        <w:trPr>
          <w:trHeight w:hRule="exact" w:val="225"/>
        </w:trPr>
        <w:tc>
          <w:tcPr>
            <w:tcW w:w="3713" w:type="pct"/>
            <w:tcBorders>
              <w:top w:val="nil"/>
              <w:left w:val="nil"/>
              <w:bottom w:val="nil"/>
              <w:right w:val="nil"/>
            </w:tcBorders>
            <w:shd w:val="clear" w:color="000000" w:fill="FFFFFF"/>
            <w:noWrap/>
            <w:vAlign w:val="bottom"/>
            <w:hideMark/>
          </w:tcPr>
          <w:p w14:paraId="18E3643E" w14:textId="77777777" w:rsidR="00756F68" w:rsidRPr="000E3C8C" w:rsidRDefault="00756F68" w:rsidP="00E133D8">
            <w:pPr>
              <w:spacing w:after="0" w:line="240" w:lineRule="auto"/>
              <w:jc w:val="left"/>
              <w:rPr>
                <w:rFonts w:ascii="Calibri" w:hAnsi="Calibri" w:cs="Calibri"/>
                <w:color w:val="000000"/>
                <w:sz w:val="22"/>
                <w:szCs w:val="22"/>
              </w:rPr>
            </w:pPr>
            <w:r w:rsidRPr="000E3C8C">
              <w:rPr>
                <w:rFonts w:ascii="Calibri" w:hAnsi="Calibri" w:cs="Calibri"/>
                <w:color w:val="000000"/>
                <w:sz w:val="22"/>
                <w:szCs w:val="22"/>
              </w:rPr>
              <w:t> </w:t>
            </w:r>
          </w:p>
        </w:tc>
        <w:tc>
          <w:tcPr>
            <w:tcW w:w="628" w:type="pct"/>
            <w:tcBorders>
              <w:top w:val="nil"/>
              <w:left w:val="nil"/>
              <w:bottom w:val="nil"/>
              <w:right w:val="nil"/>
            </w:tcBorders>
            <w:shd w:val="clear" w:color="000000" w:fill="FFFFFF"/>
            <w:noWrap/>
            <w:vAlign w:val="center"/>
            <w:hideMark/>
          </w:tcPr>
          <w:p w14:paraId="66895691" w14:textId="4F75AC8C" w:rsidR="00756F68" w:rsidRPr="000E3C8C" w:rsidRDefault="00756F68" w:rsidP="00E133D8">
            <w:pPr>
              <w:spacing w:after="0" w:line="240" w:lineRule="auto"/>
              <w:jc w:val="right"/>
              <w:rPr>
                <w:rFonts w:ascii="Arial" w:hAnsi="Arial" w:cs="Arial"/>
                <w:color w:val="000000"/>
                <w:sz w:val="16"/>
                <w:szCs w:val="16"/>
              </w:rPr>
            </w:pPr>
            <w:r w:rsidRPr="000E3C8C">
              <w:rPr>
                <w:rFonts w:ascii="Arial" w:hAnsi="Arial" w:cs="Arial"/>
                <w:color w:val="000000"/>
                <w:sz w:val="16"/>
                <w:szCs w:val="16"/>
              </w:rPr>
              <w:t>2019</w:t>
            </w:r>
            <w:r w:rsidR="00E834B1">
              <w:rPr>
                <w:rFonts w:ascii="Arial" w:hAnsi="Arial" w:cs="Arial"/>
                <w:color w:val="000000"/>
                <w:sz w:val="16"/>
                <w:szCs w:val="16"/>
              </w:rPr>
              <w:noBreakHyphen/>
            </w:r>
            <w:r w:rsidRPr="000E3C8C">
              <w:rPr>
                <w:rFonts w:ascii="Arial" w:hAnsi="Arial" w:cs="Arial"/>
                <w:color w:val="000000"/>
                <w:sz w:val="16"/>
                <w:szCs w:val="16"/>
              </w:rPr>
              <w:t>20</w:t>
            </w:r>
          </w:p>
        </w:tc>
        <w:tc>
          <w:tcPr>
            <w:tcW w:w="659" w:type="pct"/>
            <w:tcBorders>
              <w:top w:val="nil"/>
              <w:left w:val="nil"/>
              <w:bottom w:val="nil"/>
            </w:tcBorders>
            <w:shd w:val="clear" w:color="000000" w:fill="E6E6E6"/>
            <w:noWrap/>
            <w:vAlign w:val="center"/>
            <w:hideMark/>
          </w:tcPr>
          <w:p w14:paraId="3DCAF3C9" w14:textId="14EA81F3" w:rsidR="00756F68" w:rsidRPr="000E3C8C" w:rsidRDefault="00756F68" w:rsidP="00E133D8">
            <w:pPr>
              <w:spacing w:after="0" w:line="240" w:lineRule="auto"/>
              <w:jc w:val="right"/>
              <w:rPr>
                <w:rFonts w:ascii="Arial" w:hAnsi="Arial" w:cs="Arial"/>
                <w:color w:val="000000"/>
                <w:sz w:val="16"/>
                <w:szCs w:val="16"/>
              </w:rPr>
            </w:pPr>
            <w:r w:rsidRPr="000E3C8C">
              <w:rPr>
                <w:rFonts w:ascii="Arial" w:hAnsi="Arial" w:cs="Arial"/>
                <w:color w:val="000000"/>
                <w:sz w:val="16"/>
                <w:szCs w:val="16"/>
              </w:rPr>
              <w:t>2020</w:t>
            </w:r>
            <w:r w:rsidR="00E834B1">
              <w:rPr>
                <w:rFonts w:ascii="Arial" w:hAnsi="Arial" w:cs="Arial"/>
                <w:color w:val="000000"/>
                <w:sz w:val="16"/>
                <w:szCs w:val="16"/>
              </w:rPr>
              <w:noBreakHyphen/>
            </w:r>
            <w:r w:rsidRPr="000E3C8C">
              <w:rPr>
                <w:rFonts w:ascii="Arial" w:hAnsi="Arial" w:cs="Arial"/>
                <w:color w:val="000000"/>
                <w:sz w:val="16"/>
                <w:szCs w:val="16"/>
              </w:rPr>
              <w:t>21</w:t>
            </w:r>
          </w:p>
        </w:tc>
      </w:tr>
      <w:tr w:rsidR="00C501C0" w:rsidRPr="000E3C8C" w14:paraId="2FCDD3AB" w14:textId="77777777" w:rsidTr="005E1C4D">
        <w:trPr>
          <w:trHeight w:hRule="exact" w:val="225"/>
        </w:trPr>
        <w:tc>
          <w:tcPr>
            <w:tcW w:w="3713" w:type="pct"/>
            <w:tcBorders>
              <w:top w:val="nil"/>
              <w:left w:val="nil"/>
              <w:bottom w:val="nil"/>
              <w:right w:val="nil"/>
            </w:tcBorders>
            <w:shd w:val="clear" w:color="000000" w:fill="FFFFFF"/>
            <w:noWrap/>
            <w:vAlign w:val="bottom"/>
            <w:hideMark/>
          </w:tcPr>
          <w:p w14:paraId="7E1AF1F7" w14:textId="77777777" w:rsidR="00756F68" w:rsidRPr="000E3C8C" w:rsidRDefault="00756F68" w:rsidP="00E133D8">
            <w:pPr>
              <w:spacing w:after="0" w:line="240" w:lineRule="auto"/>
              <w:jc w:val="left"/>
              <w:rPr>
                <w:rFonts w:ascii="Calibri" w:hAnsi="Calibri" w:cs="Calibri"/>
                <w:color w:val="000000"/>
                <w:sz w:val="22"/>
                <w:szCs w:val="22"/>
              </w:rPr>
            </w:pPr>
            <w:r w:rsidRPr="000E3C8C">
              <w:rPr>
                <w:rFonts w:ascii="Calibri" w:hAnsi="Calibri" w:cs="Calibri"/>
                <w:color w:val="000000"/>
                <w:sz w:val="22"/>
                <w:szCs w:val="22"/>
              </w:rPr>
              <w:t> </w:t>
            </w:r>
          </w:p>
        </w:tc>
        <w:tc>
          <w:tcPr>
            <w:tcW w:w="628" w:type="pct"/>
            <w:tcBorders>
              <w:top w:val="nil"/>
              <w:left w:val="nil"/>
              <w:bottom w:val="nil"/>
              <w:right w:val="nil"/>
            </w:tcBorders>
            <w:shd w:val="clear" w:color="000000" w:fill="FFFFFF"/>
            <w:noWrap/>
            <w:vAlign w:val="center"/>
            <w:hideMark/>
          </w:tcPr>
          <w:p w14:paraId="6AC19234" w14:textId="77777777" w:rsidR="00756F68" w:rsidRPr="000E3C8C" w:rsidRDefault="00756F68" w:rsidP="00E133D8">
            <w:pPr>
              <w:spacing w:after="0" w:line="240" w:lineRule="auto"/>
              <w:jc w:val="right"/>
              <w:rPr>
                <w:rFonts w:ascii="Arial" w:hAnsi="Arial" w:cs="Arial"/>
                <w:color w:val="000000"/>
                <w:sz w:val="16"/>
                <w:szCs w:val="16"/>
              </w:rPr>
            </w:pPr>
            <w:r w:rsidRPr="000E3C8C">
              <w:rPr>
                <w:rFonts w:ascii="Arial" w:hAnsi="Arial" w:cs="Arial"/>
                <w:color w:val="000000"/>
                <w:sz w:val="16"/>
                <w:szCs w:val="16"/>
              </w:rPr>
              <w:t>$b</w:t>
            </w:r>
          </w:p>
        </w:tc>
        <w:tc>
          <w:tcPr>
            <w:tcW w:w="659" w:type="pct"/>
            <w:tcBorders>
              <w:top w:val="nil"/>
              <w:left w:val="nil"/>
              <w:bottom w:val="nil"/>
            </w:tcBorders>
            <w:shd w:val="clear" w:color="000000" w:fill="E6E6E6"/>
            <w:noWrap/>
            <w:vAlign w:val="center"/>
            <w:hideMark/>
          </w:tcPr>
          <w:p w14:paraId="1F12D04D" w14:textId="77777777" w:rsidR="00756F68" w:rsidRPr="000E3C8C" w:rsidRDefault="00756F68" w:rsidP="00E133D8">
            <w:pPr>
              <w:spacing w:after="0" w:line="240" w:lineRule="auto"/>
              <w:jc w:val="right"/>
              <w:rPr>
                <w:rFonts w:ascii="Arial" w:hAnsi="Arial" w:cs="Arial"/>
                <w:color w:val="000000"/>
                <w:sz w:val="16"/>
                <w:szCs w:val="16"/>
              </w:rPr>
            </w:pPr>
            <w:r w:rsidRPr="000E3C8C">
              <w:rPr>
                <w:rFonts w:ascii="Arial" w:hAnsi="Arial" w:cs="Arial"/>
                <w:color w:val="000000"/>
                <w:sz w:val="16"/>
                <w:szCs w:val="16"/>
              </w:rPr>
              <w:t>$b</w:t>
            </w:r>
          </w:p>
        </w:tc>
      </w:tr>
      <w:tr w:rsidR="00C501C0" w:rsidRPr="000E3C8C" w14:paraId="4B082236" w14:textId="77777777" w:rsidTr="005E1C4D">
        <w:trPr>
          <w:trHeight w:hRule="exact" w:val="225"/>
        </w:trPr>
        <w:tc>
          <w:tcPr>
            <w:tcW w:w="3713" w:type="pct"/>
            <w:tcBorders>
              <w:top w:val="nil"/>
              <w:left w:val="nil"/>
              <w:bottom w:val="nil"/>
              <w:right w:val="nil"/>
            </w:tcBorders>
            <w:shd w:val="clear" w:color="000000" w:fill="FFFFFF"/>
            <w:noWrap/>
            <w:vAlign w:val="center"/>
            <w:hideMark/>
          </w:tcPr>
          <w:p w14:paraId="063E1BB8" w14:textId="7D2A57CF" w:rsidR="00756F68" w:rsidRPr="000E3C8C" w:rsidRDefault="00756F68" w:rsidP="00AC6CD4">
            <w:pPr>
              <w:spacing w:after="0" w:line="240" w:lineRule="auto"/>
              <w:jc w:val="left"/>
              <w:rPr>
                <w:rFonts w:ascii="Arial" w:hAnsi="Arial" w:cs="Arial"/>
                <w:b/>
                <w:bCs/>
                <w:color w:val="000000"/>
                <w:sz w:val="16"/>
                <w:szCs w:val="16"/>
              </w:rPr>
            </w:pPr>
            <w:r w:rsidRPr="000E3C8C">
              <w:rPr>
                <w:rFonts w:ascii="Arial" w:hAnsi="Arial" w:cs="Arial"/>
                <w:b/>
                <w:bCs/>
                <w:color w:val="000000"/>
                <w:sz w:val="16"/>
                <w:szCs w:val="16"/>
              </w:rPr>
              <w:t>Underlying cash balance(a)</w:t>
            </w:r>
          </w:p>
        </w:tc>
        <w:tc>
          <w:tcPr>
            <w:tcW w:w="628" w:type="pct"/>
            <w:tcBorders>
              <w:top w:val="single" w:sz="4" w:space="0" w:color="auto"/>
              <w:left w:val="nil"/>
              <w:bottom w:val="nil"/>
              <w:right w:val="nil"/>
            </w:tcBorders>
            <w:shd w:val="clear" w:color="000000" w:fill="FFFFFF"/>
            <w:noWrap/>
            <w:vAlign w:val="center"/>
            <w:hideMark/>
          </w:tcPr>
          <w:p w14:paraId="17BA1818" w14:textId="150CF45F" w:rsidR="00756F68" w:rsidRPr="000E3C8C" w:rsidRDefault="00E834B1" w:rsidP="00E133D8">
            <w:pPr>
              <w:spacing w:after="0" w:line="240" w:lineRule="auto"/>
              <w:jc w:val="right"/>
              <w:rPr>
                <w:rFonts w:ascii="Arial" w:hAnsi="Arial" w:cs="Arial"/>
                <w:b/>
                <w:bCs/>
                <w:sz w:val="16"/>
                <w:szCs w:val="16"/>
              </w:rPr>
            </w:pPr>
            <w:r>
              <w:rPr>
                <w:rFonts w:ascii="Arial" w:hAnsi="Arial" w:cs="Arial"/>
                <w:b/>
                <w:bCs/>
                <w:sz w:val="16"/>
                <w:szCs w:val="16"/>
              </w:rPr>
              <w:noBreakHyphen/>
            </w:r>
            <w:r w:rsidR="00756F68" w:rsidRPr="000E3C8C">
              <w:rPr>
                <w:rFonts w:ascii="Arial" w:hAnsi="Arial" w:cs="Arial"/>
                <w:b/>
                <w:bCs/>
                <w:sz w:val="16"/>
                <w:szCs w:val="16"/>
              </w:rPr>
              <w:t>85.8</w:t>
            </w:r>
          </w:p>
        </w:tc>
        <w:tc>
          <w:tcPr>
            <w:tcW w:w="659" w:type="pct"/>
            <w:tcBorders>
              <w:top w:val="single" w:sz="4" w:space="0" w:color="auto"/>
              <w:left w:val="nil"/>
              <w:bottom w:val="nil"/>
            </w:tcBorders>
            <w:shd w:val="clear" w:color="000000" w:fill="E6E6E6"/>
            <w:noWrap/>
            <w:vAlign w:val="center"/>
            <w:hideMark/>
          </w:tcPr>
          <w:p w14:paraId="593B17AD" w14:textId="1801545C" w:rsidR="00756F68" w:rsidRPr="000E3C8C" w:rsidRDefault="00E834B1" w:rsidP="00E133D8">
            <w:pPr>
              <w:spacing w:after="0" w:line="240" w:lineRule="auto"/>
              <w:jc w:val="right"/>
              <w:rPr>
                <w:rFonts w:ascii="Arial" w:hAnsi="Arial" w:cs="Arial"/>
                <w:b/>
                <w:bCs/>
                <w:sz w:val="16"/>
                <w:szCs w:val="16"/>
              </w:rPr>
            </w:pPr>
            <w:r>
              <w:rPr>
                <w:rFonts w:ascii="Arial" w:hAnsi="Arial" w:cs="Arial"/>
                <w:b/>
                <w:bCs/>
                <w:sz w:val="16"/>
                <w:szCs w:val="16"/>
              </w:rPr>
              <w:noBreakHyphen/>
            </w:r>
            <w:r w:rsidR="00756F68" w:rsidRPr="000E3C8C">
              <w:rPr>
                <w:rFonts w:ascii="Arial" w:hAnsi="Arial" w:cs="Arial"/>
                <w:b/>
                <w:bCs/>
                <w:sz w:val="16"/>
                <w:szCs w:val="16"/>
              </w:rPr>
              <w:t>184.5</w:t>
            </w:r>
          </w:p>
        </w:tc>
      </w:tr>
      <w:tr w:rsidR="00C501C0" w:rsidRPr="000E3C8C" w14:paraId="63EB82F7" w14:textId="77777777" w:rsidTr="005E1C4D">
        <w:trPr>
          <w:trHeight w:hRule="exact" w:val="225"/>
        </w:trPr>
        <w:tc>
          <w:tcPr>
            <w:tcW w:w="3713" w:type="pct"/>
            <w:tcBorders>
              <w:top w:val="nil"/>
              <w:left w:val="nil"/>
              <w:bottom w:val="nil"/>
              <w:right w:val="nil"/>
            </w:tcBorders>
            <w:shd w:val="clear" w:color="000000" w:fill="FFFFFF"/>
            <w:noWrap/>
            <w:vAlign w:val="center"/>
            <w:hideMark/>
          </w:tcPr>
          <w:p w14:paraId="12154DB5" w14:textId="77777777" w:rsidR="00756F68" w:rsidRPr="000E3C8C" w:rsidRDefault="00756F68" w:rsidP="00E133D8">
            <w:pPr>
              <w:spacing w:after="0" w:line="240" w:lineRule="auto"/>
              <w:jc w:val="left"/>
              <w:rPr>
                <w:rFonts w:ascii="Arial" w:hAnsi="Arial" w:cs="Arial"/>
                <w:sz w:val="16"/>
                <w:szCs w:val="16"/>
              </w:rPr>
            </w:pPr>
            <w:r w:rsidRPr="000E3C8C">
              <w:rPr>
                <w:rFonts w:ascii="Arial" w:hAnsi="Arial" w:cs="Arial"/>
                <w:sz w:val="16"/>
                <w:szCs w:val="16"/>
              </w:rPr>
              <w:t>Per cent of GDP</w:t>
            </w:r>
          </w:p>
        </w:tc>
        <w:tc>
          <w:tcPr>
            <w:tcW w:w="628" w:type="pct"/>
            <w:tcBorders>
              <w:top w:val="nil"/>
              <w:left w:val="nil"/>
              <w:bottom w:val="nil"/>
              <w:right w:val="nil"/>
            </w:tcBorders>
            <w:shd w:val="clear" w:color="000000" w:fill="FFFFFF"/>
            <w:noWrap/>
            <w:vAlign w:val="center"/>
            <w:hideMark/>
          </w:tcPr>
          <w:p w14:paraId="5652D54C" w14:textId="63423DD8" w:rsidR="00756F68" w:rsidRPr="000E3C8C" w:rsidRDefault="00E834B1" w:rsidP="00E133D8">
            <w:pPr>
              <w:spacing w:after="0" w:line="240" w:lineRule="auto"/>
              <w:jc w:val="right"/>
              <w:rPr>
                <w:rFonts w:ascii="Arial" w:hAnsi="Arial" w:cs="Arial"/>
                <w:sz w:val="16"/>
                <w:szCs w:val="16"/>
              </w:rPr>
            </w:pPr>
            <w:r>
              <w:rPr>
                <w:rFonts w:ascii="Arial" w:hAnsi="Arial" w:cs="Arial"/>
                <w:sz w:val="16"/>
                <w:szCs w:val="16"/>
              </w:rPr>
              <w:noBreakHyphen/>
            </w:r>
            <w:r w:rsidR="00756F68" w:rsidRPr="000E3C8C">
              <w:rPr>
                <w:rFonts w:ascii="Arial" w:hAnsi="Arial" w:cs="Arial"/>
                <w:sz w:val="16"/>
                <w:szCs w:val="16"/>
              </w:rPr>
              <w:t>4.3</w:t>
            </w:r>
          </w:p>
        </w:tc>
        <w:tc>
          <w:tcPr>
            <w:tcW w:w="659" w:type="pct"/>
            <w:tcBorders>
              <w:top w:val="nil"/>
              <w:left w:val="nil"/>
              <w:bottom w:val="nil"/>
            </w:tcBorders>
            <w:shd w:val="clear" w:color="000000" w:fill="E6E6E6"/>
            <w:noWrap/>
            <w:vAlign w:val="center"/>
            <w:hideMark/>
          </w:tcPr>
          <w:p w14:paraId="42CD9575" w14:textId="0CF481F0" w:rsidR="00756F68" w:rsidRPr="000E3C8C" w:rsidRDefault="00E834B1" w:rsidP="00E133D8">
            <w:pPr>
              <w:spacing w:after="0" w:line="240" w:lineRule="auto"/>
              <w:jc w:val="right"/>
              <w:rPr>
                <w:rFonts w:ascii="Arial" w:hAnsi="Arial" w:cs="Arial"/>
                <w:sz w:val="16"/>
                <w:szCs w:val="16"/>
              </w:rPr>
            </w:pPr>
            <w:r>
              <w:rPr>
                <w:rFonts w:ascii="Arial" w:hAnsi="Arial" w:cs="Arial"/>
                <w:sz w:val="16"/>
                <w:szCs w:val="16"/>
              </w:rPr>
              <w:noBreakHyphen/>
            </w:r>
            <w:r w:rsidR="00756F68" w:rsidRPr="000E3C8C">
              <w:rPr>
                <w:rFonts w:ascii="Arial" w:hAnsi="Arial" w:cs="Arial"/>
                <w:sz w:val="16"/>
                <w:szCs w:val="16"/>
              </w:rPr>
              <w:t>9.7</w:t>
            </w:r>
          </w:p>
        </w:tc>
      </w:tr>
      <w:tr w:rsidR="00C501C0" w:rsidRPr="000E3C8C" w14:paraId="2B4EBCB3" w14:textId="77777777" w:rsidTr="005E1C4D">
        <w:trPr>
          <w:trHeight w:hRule="exact" w:val="60"/>
        </w:trPr>
        <w:tc>
          <w:tcPr>
            <w:tcW w:w="3713" w:type="pct"/>
            <w:tcBorders>
              <w:top w:val="nil"/>
              <w:left w:val="nil"/>
              <w:bottom w:val="nil"/>
              <w:right w:val="nil"/>
            </w:tcBorders>
            <w:shd w:val="clear" w:color="000000" w:fill="FFFFFF"/>
            <w:noWrap/>
            <w:vAlign w:val="center"/>
            <w:hideMark/>
          </w:tcPr>
          <w:p w14:paraId="5D0C3949" w14:textId="77777777" w:rsidR="00756F68" w:rsidRPr="000E3C8C" w:rsidRDefault="00756F68" w:rsidP="00E133D8">
            <w:pPr>
              <w:spacing w:after="0" w:line="240" w:lineRule="auto"/>
              <w:jc w:val="left"/>
              <w:rPr>
                <w:rFonts w:ascii="Arial" w:hAnsi="Arial" w:cs="Arial"/>
                <w:b/>
                <w:bCs/>
                <w:sz w:val="16"/>
                <w:szCs w:val="16"/>
              </w:rPr>
            </w:pPr>
            <w:r w:rsidRPr="000E3C8C">
              <w:rPr>
                <w:rFonts w:ascii="Arial" w:hAnsi="Arial" w:cs="Arial"/>
                <w:b/>
                <w:bCs/>
                <w:sz w:val="16"/>
                <w:szCs w:val="16"/>
              </w:rPr>
              <w:t> </w:t>
            </w:r>
          </w:p>
        </w:tc>
        <w:tc>
          <w:tcPr>
            <w:tcW w:w="628" w:type="pct"/>
            <w:tcBorders>
              <w:top w:val="nil"/>
              <w:left w:val="nil"/>
              <w:bottom w:val="nil"/>
              <w:right w:val="nil"/>
            </w:tcBorders>
            <w:shd w:val="clear" w:color="000000" w:fill="FFFFFF"/>
            <w:noWrap/>
            <w:vAlign w:val="center"/>
            <w:hideMark/>
          </w:tcPr>
          <w:p w14:paraId="38FE9384" w14:textId="77777777" w:rsidR="00756F68" w:rsidRPr="000E3C8C" w:rsidRDefault="00756F68" w:rsidP="00E133D8">
            <w:pPr>
              <w:spacing w:after="0" w:line="240" w:lineRule="auto"/>
              <w:jc w:val="right"/>
              <w:rPr>
                <w:rFonts w:ascii="Arial" w:hAnsi="Arial" w:cs="Arial"/>
                <w:b/>
                <w:bCs/>
                <w:sz w:val="16"/>
                <w:szCs w:val="16"/>
              </w:rPr>
            </w:pPr>
            <w:r w:rsidRPr="000E3C8C">
              <w:rPr>
                <w:rFonts w:ascii="Arial" w:hAnsi="Arial" w:cs="Arial"/>
                <w:b/>
                <w:bCs/>
                <w:sz w:val="16"/>
                <w:szCs w:val="16"/>
              </w:rPr>
              <w:t> </w:t>
            </w:r>
          </w:p>
        </w:tc>
        <w:tc>
          <w:tcPr>
            <w:tcW w:w="659" w:type="pct"/>
            <w:tcBorders>
              <w:top w:val="nil"/>
              <w:left w:val="nil"/>
              <w:bottom w:val="nil"/>
            </w:tcBorders>
            <w:shd w:val="clear" w:color="000000" w:fill="E6E6E6"/>
            <w:noWrap/>
            <w:vAlign w:val="center"/>
            <w:hideMark/>
          </w:tcPr>
          <w:p w14:paraId="196DFB4F" w14:textId="77777777" w:rsidR="00756F68" w:rsidRPr="000E3C8C" w:rsidRDefault="00756F68" w:rsidP="00E133D8">
            <w:pPr>
              <w:spacing w:after="0" w:line="240" w:lineRule="auto"/>
              <w:jc w:val="right"/>
              <w:rPr>
                <w:rFonts w:ascii="Arial" w:hAnsi="Arial" w:cs="Arial"/>
                <w:b/>
                <w:bCs/>
                <w:sz w:val="16"/>
                <w:szCs w:val="16"/>
              </w:rPr>
            </w:pPr>
            <w:r w:rsidRPr="000E3C8C">
              <w:rPr>
                <w:rFonts w:ascii="Arial" w:hAnsi="Arial" w:cs="Arial"/>
                <w:b/>
                <w:bCs/>
                <w:sz w:val="16"/>
                <w:szCs w:val="16"/>
              </w:rPr>
              <w:t> </w:t>
            </w:r>
          </w:p>
        </w:tc>
      </w:tr>
      <w:tr w:rsidR="00C501C0" w:rsidRPr="000E3C8C" w14:paraId="53C221C7" w14:textId="77777777" w:rsidTr="005E1C4D">
        <w:trPr>
          <w:trHeight w:hRule="exact" w:val="225"/>
        </w:trPr>
        <w:tc>
          <w:tcPr>
            <w:tcW w:w="3713" w:type="pct"/>
            <w:tcBorders>
              <w:top w:val="nil"/>
              <w:left w:val="nil"/>
              <w:bottom w:val="nil"/>
              <w:right w:val="nil"/>
            </w:tcBorders>
            <w:shd w:val="clear" w:color="000000" w:fill="FFFFFF"/>
            <w:noWrap/>
            <w:vAlign w:val="center"/>
            <w:hideMark/>
          </w:tcPr>
          <w:p w14:paraId="06A9DEF2" w14:textId="292FC923" w:rsidR="00756F68" w:rsidRPr="000E3C8C" w:rsidRDefault="00756F68" w:rsidP="00AC6CD4">
            <w:pPr>
              <w:spacing w:after="0" w:line="240" w:lineRule="auto"/>
              <w:jc w:val="left"/>
              <w:rPr>
                <w:rFonts w:ascii="Arial" w:hAnsi="Arial" w:cs="Arial"/>
                <w:b/>
                <w:bCs/>
                <w:sz w:val="16"/>
                <w:szCs w:val="16"/>
              </w:rPr>
            </w:pPr>
            <w:r w:rsidRPr="000E3C8C">
              <w:rPr>
                <w:rFonts w:ascii="Arial" w:hAnsi="Arial" w:cs="Arial"/>
                <w:b/>
                <w:bCs/>
                <w:sz w:val="16"/>
                <w:szCs w:val="16"/>
              </w:rPr>
              <w:t>Gross debt(b)</w:t>
            </w:r>
          </w:p>
        </w:tc>
        <w:tc>
          <w:tcPr>
            <w:tcW w:w="628" w:type="pct"/>
            <w:tcBorders>
              <w:top w:val="nil"/>
              <w:left w:val="nil"/>
              <w:bottom w:val="nil"/>
              <w:right w:val="nil"/>
            </w:tcBorders>
            <w:shd w:val="clear" w:color="000000" w:fill="FFFFFF"/>
            <w:noWrap/>
            <w:vAlign w:val="center"/>
            <w:hideMark/>
          </w:tcPr>
          <w:p w14:paraId="3DDA9B11" w14:textId="77777777" w:rsidR="00756F68" w:rsidRPr="000E3C8C" w:rsidRDefault="00756F68" w:rsidP="00E133D8">
            <w:pPr>
              <w:spacing w:after="0" w:line="240" w:lineRule="auto"/>
              <w:jc w:val="right"/>
              <w:rPr>
                <w:rFonts w:ascii="Arial" w:hAnsi="Arial" w:cs="Arial"/>
                <w:b/>
                <w:bCs/>
                <w:sz w:val="16"/>
                <w:szCs w:val="16"/>
              </w:rPr>
            </w:pPr>
            <w:r w:rsidRPr="000E3C8C">
              <w:rPr>
                <w:rFonts w:ascii="Arial" w:hAnsi="Arial" w:cs="Arial"/>
                <w:b/>
                <w:bCs/>
                <w:sz w:val="16"/>
                <w:szCs w:val="16"/>
              </w:rPr>
              <w:t>684.3</w:t>
            </w:r>
          </w:p>
        </w:tc>
        <w:tc>
          <w:tcPr>
            <w:tcW w:w="659" w:type="pct"/>
            <w:tcBorders>
              <w:top w:val="nil"/>
              <w:left w:val="nil"/>
              <w:bottom w:val="nil"/>
            </w:tcBorders>
            <w:shd w:val="clear" w:color="000000" w:fill="E6E6E6"/>
            <w:noWrap/>
            <w:vAlign w:val="center"/>
            <w:hideMark/>
          </w:tcPr>
          <w:p w14:paraId="067BBB03" w14:textId="77777777" w:rsidR="00756F68" w:rsidRPr="000E3C8C" w:rsidRDefault="00756F68" w:rsidP="00E133D8">
            <w:pPr>
              <w:spacing w:after="0" w:line="240" w:lineRule="auto"/>
              <w:jc w:val="right"/>
              <w:rPr>
                <w:rFonts w:ascii="Arial" w:hAnsi="Arial" w:cs="Arial"/>
                <w:b/>
                <w:bCs/>
                <w:sz w:val="16"/>
                <w:szCs w:val="16"/>
              </w:rPr>
            </w:pPr>
            <w:r w:rsidRPr="000E3C8C">
              <w:rPr>
                <w:rFonts w:ascii="Arial" w:hAnsi="Arial" w:cs="Arial"/>
                <w:b/>
                <w:bCs/>
                <w:sz w:val="16"/>
                <w:szCs w:val="16"/>
              </w:rPr>
              <w:t>851.9</w:t>
            </w:r>
          </w:p>
        </w:tc>
      </w:tr>
      <w:tr w:rsidR="00C501C0" w:rsidRPr="000E3C8C" w14:paraId="637E6239" w14:textId="77777777" w:rsidTr="005E1C4D">
        <w:trPr>
          <w:trHeight w:hRule="exact" w:val="225"/>
        </w:trPr>
        <w:tc>
          <w:tcPr>
            <w:tcW w:w="3713" w:type="pct"/>
            <w:tcBorders>
              <w:top w:val="nil"/>
              <w:left w:val="nil"/>
              <w:bottom w:val="nil"/>
              <w:right w:val="nil"/>
            </w:tcBorders>
            <w:shd w:val="clear" w:color="000000" w:fill="FFFFFF"/>
            <w:noWrap/>
            <w:vAlign w:val="center"/>
            <w:hideMark/>
          </w:tcPr>
          <w:p w14:paraId="5996B844" w14:textId="77777777" w:rsidR="00756F68" w:rsidRPr="000E3C8C" w:rsidRDefault="00756F68" w:rsidP="00E133D8">
            <w:pPr>
              <w:spacing w:after="0" w:line="240" w:lineRule="auto"/>
              <w:jc w:val="left"/>
              <w:rPr>
                <w:rFonts w:ascii="Arial" w:hAnsi="Arial" w:cs="Arial"/>
                <w:sz w:val="16"/>
                <w:szCs w:val="16"/>
              </w:rPr>
            </w:pPr>
            <w:r w:rsidRPr="000E3C8C">
              <w:rPr>
                <w:rFonts w:ascii="Arial" w:hAnsi="Arial" w:cs="Arial"/>
                <w:sz w:val="16"/>
                <w:szCs w:val="16"/>
              </w:rPr>
              <w:t>Per cent of GDP</w:t>
            </w:r>
          </w:p>
        </w:tc>
        <w:tc>
          <w:tcPr>
            <w:tcW w:w="628" w:type="pct"/>
            <w:tcBorders>
              <w:top w:val="nil"/>
              <w:left w:val="nil"/>
              <w:bottom w:val="nil"/>
              <w:right w:val="nil"/>
            </w:tcBorders>
            <w:shd w:val="clear" w:color="000000" w:fill="FFFFFF"/>
            <w:noWrap/>
            <w:vAlign w:val="center"/>
            <w:hideMark/>
          </w:tcPr>
          <w:p w14:paraId="0627F4E7" w14:textId="77777777" w:rsidR="00756F68" w:rsidRPr="000E3C8C" w:rsidRDefault="00756F68" w:rsidP="00E133D8">
            <w:pPr>
              <w:spacing w:after="0" w:line="240" w:lineRule="auto"/>
              <w:jc w:val="right"/>
              <w:rPr>
                <w:rFonts w:ascii="Arial" w:hAnsi="Arial" w:cs="Arial"/>
                <w:color w:val="000000"/>
                <w:sz w:val="16"/>
                <w:szCs w:val="16"/>
              </w:rPr>
            </w:pPr>
            <w:r w:rsidRPr="000E3C8C">
              <w:rPr>
                <w:rFonts w:ascii="Arial" w:hAnsi="Arial" w:cs="Arial"/>
                <w:color w:val="000000"/>
                <w:sz w:val="16"/>
                <w:szCs w:val="16"/>
              </w:rPr>
              <w:t>34.4</w:t>
            </w:r>
          </w:p>
        </w:tc>
        <w:tc>
          <w:tcPr>
            <w:tcW w:w="659" w:type="pct"/>
            <w:tcBorders>
              <w:top w:val="nil"/>
              <w:left w:val="nil"/>
              <w:bottom w:val="nil"/>
            </w:tcBorders>
            <w:shd w:val="clear" w:color="000000" w:fill="E6E6E6"/>
            <w:noWrap/>
            <w:vAlign w:val="center"/>
            <w:hideMark/>
          </w:tcPr>
          <w:p w14:paraId="45EB007C" w14:textId="77777777" w:rsidR="00756F68" w:rsidRPr="000E3C8C" w:rsidRDefault="00756F68" w:rsidP="00E133D8">
            <w:pPr>
              <w:spacing w:after="0" w:line="240" w:lineRule="auto"/>
              <w:jc w:val="right"/>
              <w:rPr>
                <w:rFonts w:ascii="Arial" w:hAnsi="Arial" w:cs="Arial"/>
                <w:color w:val="000000"/>
                <w:sz w:val="16"/>
                <w:szCs w:val="16"/>
              </w:rPr>
            </w:pPr>
            <w:r w:rsidRPr="000E3C8C">
              <w:rPr>
                <w:rFonts w:ascii="Arial" w:hAnsi="Arial" w:cs="Arial"/>
                <w:color w:val="000000"/>
                <w:sz w:val="16"/>
                <w:szCs w:val="16"/>
              </w:rPr>
              <w:t>45.0</w:t>
            </w:r>
          </w:p>
        </w:tc>
      </w:tr>
      <w:tr w:rsidR="00C501C0" w:rsidRPr="000E3C8C" w14:paraId="6EDC14AA" w14:textId="77777777" w:rsidTr="005E1C4D">
        <w:trPr>
          <w:trHeight w:hRule="exact" w:val="60"/>
        </w:trPr>
        <w:tc>
          <w:tcPr>
            <w:tcW w:w="3713" w:type="pct"/>
            <w:tcBorders>
              <w:top w:val="nil"/>
              <w:left w:val="nil"/>
              <w:bottom w:val="nil"/>
              <w:right w:val="nil"/>
            </w:tcBorders>
            <w:shd w:val="clear" w:color="000000" w:fill="FFFFFF"/>
            <w:noWrap/>
            <w:vAlign w:val="center"/>
            <w:hideMark/>
          </w:tcPr>
          <w:p w14:paraId="028B01FF" w14:textId="77777777" w:rsidR="00756F68" w:rsidRPr="000E3C8C" w:rsidRDefault="00756F68" w:rsidP="00E133D8">
            <w:pPr>
              <w:spacing w:after="0" w:line="240" w:lineRule="auto"/>
              <w:jc w:val="left"/>
              <w:rPr>
                <w:rFonts w:ascii="Arial" w:hAnsi="Arial" w:cs="Arial"/>
                <w:b/>
                <w:bCs/>
                <w:sz w:val="16"/>
                <w:szCs w:val="16"/>
              </w:rPr>
            </w:pPr>
            <w:r w:rsidRPr="000E3C8C">
              <w:rPr>
                <w:rFonts w:ascii="Arial" w:hAnsi="Arial" w:cs="Arial"/>
                <w:b/>
                <w:bCs/>
                <w:sz w:val="16"/>
                <w:szCs w:val="16"/>
              </w:rPr>
              <w:t> </w:t>
            </w:r>
          </w:p>
        </w:tc>
        <w:tc>
          <w:tcPr>
            <w:tcW w:w="628" w:type="pct"/>
            <w:tcBorders>
              <w:top w:val="nil"/>
              <w:left w:val="nil"/>
              <w:bottom w:val="nil"/>
              <w:right w:val="nil"/>
            </w:tcBorders>
            <w:shd w:val="clear" w:color="000000" w:fill="FFFFFF"/>
            <w:noWrap/>
            <w:vAlign w:val="center"/>
            <w:hideMark/>
          </w:tcPr>
          <w:p w14:paraId="29D84C95" w14:textId="77777777" w:rsidR="00756F68" w:rsidRPr="000E3C8C" w:rsidRDefault="00756F68" w:rsidP="00E133D8">
            <w:pPr>
              <w:spacing w:after="0" w:line="240" w:lineRule="auto"/>
              <w:jc w:val="right"/>
              <w:rPr>
                <w:rFonts w:ascii="Arial" w:hAnsi="Arial" w:cs="Arial"/>
                <w:b/>
                <w:bCs/>
                <w:sz w:val="16"/>
                <w:szCs w:val="16"/>
              </w:rPr>
            </w:pPr>
            <w:r w:rsidRPr="000E3C8C">
              <w:rPr>
                <w:rFonts w:ascii="Arial" w:hAnsi="Arial" w:cs="Arial"/>
                <w:b/>
                <w:bCs/>
                <w:sz w:val="16"/>
                <w:szCs w:val="16"/>
              </w:rPr>
              <w:t> </w:t>
            </w:r>
          </w:p>
        </w:tc>
        <w:tc>
          <w:tcPr>
            <w:tcW w:w="659" w:type="pct"/>
            <w:tcBorders>
              <w:top w:val="nil"/>
              <w:left w:val="nil"/>
              <w:bottom w:val="nil"/>
            </w:tcBorders>
            <w:shd w:val="clear" w:color="000000" w:fill="E6E6E6"/>
            <w:noWrap/>
            <w:vAlign w:val="center"/>
            <w:hideMark/>
          </w:tcPr>
          <w:p w14:paraId="69FECBC4" w14:textId="77777777" w:rsidR="00756F68" w:rsidRPr="000E3C8C" w:rsidRDefault="00756F68" w:rsidP="00E133D8">
            <w:pPr>
              <w:spacing w:after="0" w:line="240" w:lineRule="auto"/>
              <w:jc w:val="right"/>
              <w:rPr>
                <w:rFonts w:ascii="Arial" w:hAnsi="Arial" w:cs="Arial"/>
                <w:b/>
                <w:bCs/>
                <w:sz w:val="16"/>
                <w:szCs w:val="16"/>
              </w:rPr>
            </w:pPr>
            <w:r w:rsidRPr="000E3C8C">
              <w:rPr>
                <w:rFonts w:ascii="Arial" w:hAnsi="Arial" w:cs="Arial"/>
                <w:b/>
                <w:bCs/>
                <w:sz w:val="16"/>
                <w:szCs w:val="16"/>
              </w:rPr>
              <w:t> </w:t>
            </w:r>
          </w:p>
        </w:tc>
      </w:tr>
      <w:tr w:rsidR="00756F68" w:rsidRPr="000E3C8C" w14:paraId="15979BA3" w14:textId="77777777" w:rsidTr="005E1C4D">
        <w:trPr>
          <w:trHeight w:hRule="exact" w:val="225"/>
        </w:trPr>
        <w:tc>
          <w:tcPr>
            <w:tcW w:w="3713" w:type="pct"/>
            <w:tcBorders>
              <w:top w:val="nil"/>
              <w:left w:val="nil"/>
              <w:bottom w:val="nil"/>
              <w:right w:val="nil"/>
            </w:tcBorders>
            <w:shd w:val="clear" w:color="000000" w:fill="FFFFFF"/>
            <w:noWrap/>
            <w:vAlign w:val="center"/>
            <w:hideMark/>
          </w:tcPr>
          <w:p w14:paraId="0C119E45" w14:textId="00E681B7" w:rsidR="00756F68" w:rsidRPr="000E3C8C" w:rsidRDefault="00756F68" w:rsidP="00AC6CD4">
            <w:pPr>
              <w:spacing w:after="0" w:line="240" w:lineRule="auto"/>
              <w:jc w:val="left"/>
              <w:rPr>
                <w:rFonts w:ascii="Arial" w:hAnsi="Arial" w:cs="Arial"/>
                <w:b/>
                <w:bCs/>
                <w:sz w:val="16"/>
                <w:szCs w:val="16"/>
              </w:rPr>
            </w:pPr>
            <w:r w:rsidRPr="000E3C8C">
              <w:rPr>
                <w:rFonts w:ascii="Arial" w:hAnsi="Arial" w:cs="Arial"/>
                <w:b/>
                <w:bCs/>
                <w:sz w:val="16"/>
                <w:szCs w:val="16"/>
              </w:rPr>
              <w:t>Net debt(c)</w:t>
            </w:r>
          </w:p>
        </w:tc>
        <w:tc>
          <w:tcPr>
            <w:tcW w:w="628" w:type="pct"/>
            <w:tcBorders>
              <w:top w:val="nil"/>
              <w:left w:val="nil"/>
              <w:bottom w:val="nil"/>
              <w:right w:val="nil"/>
            </w:tcBorders>
            <w:shd w:val="clear" w:color="000000" w:fill="FFFFFF"/>
            <w:noWrap/>
            <w:vAlign w:val="center"/>
            <w:hideMark/>
          </w:tcPr>
          <w:p w14:paraId="1AF16EBF" w14:textId="77777777" w:rsidR="00756F68" w:rsidRPr="000E3C8C" w:rsidRDefault="00756F68" w:rsidP="00E133D8">
            <w:pPr>
              <w:spacing w:after="0" w:line="240" w:lineRule="auto"/>
              <w:jc w:val="right"/>
              <w:rPr>
                <w:rFonts w:ascii="Arial" w:hAnsi="Arial" w:cs="Arial"/>
                <w:b/>
                <w:bCs/>
                <w:sz w:val="16"/>
                <w:szCs w:val="16"/>
              </w:rPr>
            </w:pPr>
            <w:r w:rsidRPr="000E3C8C">
              <w:rPr>
                <w:rFonts w:ascii="Arial" w:hAnsi="Arial" w:cs="Arial"/>
                <w:b/>
                <w:bCs/>
                <w:sz w:val="16"/>
                <w:szCs w:val="16"/>
              </w:rPr>
              <w:t>488.2</w:t>
            </w:r>
          </w:p>
        </w:tc>
        <w:tc>
          <w:tcPr>
            <w:tcW w:w="659" w:type="pct"/>
            <w:tcBorders>
              <w:top w:val="nil"/>
              <w:left w:val="nil"/>
              <w:bottom w:val="nil"/>
            </w:tcBorders>
            <w:shd w:val="clear" w:color="000000" w:fill="E6E6E6"/>
            <w:noWrap/>
            <w:vAlign w:val="center"/>
            <w:hideMark/>
          </w:tcPr>
          <w:p w14:paraId="3B325946" w14:textId="77777777" w:rsidR="00756F68" w:rsidRPr="000E3C8C" w:rsidRDefault="00756F68" w:rsidP="00E133D8">
            <w:pPr>
              <w:spacing w:after="0" w:line="240" w:lineRule="auto"/>
              <w:jc w:val="right"/>
              <w:rPr>
                <w:rFonts w:ascii="Arial" w:hAnsi="Arial" w:cs="Arial"/>
                <w:b/>
                <w:bCs/>
                <w:sz w:val="16"/>
                <w:szCs w:val="16"/>
              </w:rPr>
            </w:pPr>
            <w:r w:rsidRPr="000E3C8C">
              <w:rPr>
                <w:rFonts w:ascii="Arial" w:hAnsi="Arial" w:cs="Arial"/>
                <w:b/>
                <w:bCs/>
                <w:sz w:val="16"/>
                <w:szCs w:val="16"/>
              </w:rPr>
              <w:t>677.1</w:t>
            </w:r>
          </w:p>
        </w:tc>
      </w:tr>
      <w:tr w:rsidR="00756F68" w:rsidRPr="000E3C8C" w14:paraId="2B1FD1FC" w14:textId="77777777" w:rsidTr="005E1C4D">
        <w:trPr>
          <w:trHeight w:hRule="exact" w:val="225"/>
        </w:trPr>
        <w:tc>
          <w:tcPr>
            <w:tcW w:w="3713" w:type="pct"/>
            <w:tcBorders>
              <w:top w:val="nil"/>
              <w:left w:val="nil"/>
              <w:bottom w:val="single" w:sz="4" w:space="0" w:color="000000"/>
              <w:right w:val="nil"/>
            </w:tcBorders>
            <w:shd w:val="clear" w:color="000000" w:fill="FFFFFF"/>
            <w:noWrap/>
            <w:vAlign w:val="center"/>
            <w:hideMark/>
          </w:tcPr>
          <w:p w14:paraId="743A8172" w14:textId="77777777" w:rsidR="00756F68" w:rsidRPr="000E3C8C" w:rsidRDefault="00756F68" w:rsidP="00E133D8">
            <w:pPr>
              <w:spacing w:after="0" w:line="240" w:lineRule="auto"/>
              <w:jc w:val="left"/>
              <w:rPr>
                <w:rFonts w:ascii="Arial" w:hAnsi="Arial" w:cs="Arial"/>
                <w:sz w:val="16"/>
                <w:szCs w:val="16"/>
              </w:rPr>
            </w:pPr>
            <w:r w:rsidRPr="000E3C8C">
              <w:rPr>
                <w:rFonts w:ascii="Arial" w:hAnsi="Arial" w:cs="Arial"/>
                <w:sz w:val="16"/>
                <w:szCs w:val="16"/>
              </w:rPr>
              <w:t>Per cent of GDP</w:t>
            </w:r>
          </w:p>
        </w:tc>
        <w:tc>
          <w:tcPr>
            <w:tcW w:w="628" w:type="pct"/>
            <w:tcBorders>
              <w:top w:val="nil"/>
              <w:left w:val="nil"/>
              <w:bottom w:val="single" w:sz="4" w:space="0" w:color="000000"/>
              <w:right w:val="nil"/>
            </w:tcBorders>
            <w:shd w:val="clear" w:color="000000" w:fill="FFFFFF"/>
            <w:noWrap/>
            <w:vAlign w:val="center"/>
            <w:hideMark/>
          </w:tcPr>
          <w:p w14:paraId="0384EC54" w14:textId="77777777" w:rsidR="00756F68" w:rsidRPr="000E3C8C" w:rsidRDefault="00756F68" w:rsidP="00E133D8">
            <w:pPr>
              <w:spacing w:after="0" w:line="240" w:lineRule="auto"/>
              <w:jc w:val="right"/>
              <w:rPr>
                <w:rFonts w:ascii="Arial" w:hAnsi="Arial" w:cs="Arial"/>
                <w:sz w:val="16"/>
                <w:szCs w:val="16"/>
              </w:rPr>
            </w:pPr>
            <w:r w:rsidRPr="000E3C8C">
              <w:rPr>
                <w:rFonts w:ascii="Arial" w:hAnsi="Arial" w:cs="Arial"/>
                <w:sz w:val="16"/>
                <w:szCs w:val="16"/>
              </w:rPr>
              <w:t>24.6</w:t>
            </w:r>
          </w:p>
        </w:tc>
        <w:tc>
          <w:tcPr>
            <w:tcW w:w="659" w:type="pct"/>
            <w:tcBorders>
              <w:top w:val="nil"/>
              <w:left w:val="nil"/>
              <w:bottom w:val="single" w:sz="4" w:space="0" w:color="000000"/>
            </w:tcBorders>
            <w:shd w:val="clear" w:color="000000" w:fill="E6E6E6"/>
            <w:noWrap/>
            <w:vAlign w:val="center"/>
            <w:hideMark/>
          </w:tcPr>
          <w:p w14:paraId="1D6AF403" w14:textId="77777777" w:rsidR="00756F68" w:rsidRPr="000E3C8C" w:rsidRDefault="00756F68" w:rsidP="00E133D8">
            <w:pPr>
              <w:spacing w:after="0" w:line="240" w:lineRule="auto"/>
              <w:jc w:val="right"/>
              <w:rPr>
                <w:rFonts w:ascii="Arial" w:hAnsi="Arial" w:cs="Arial"/>
                <w:sz w:val="16"/>
                <w:szCs w:val="16"/>
              </w:rPr>
            </w:pPr>
            <w:r w:rsidRPr="000E3C8C">
              <w:rPr>
                <w:rFonts w:ascii="Arial" w:hAnsi="Arial" w:cs="Arial"/>
                <w:sz w:val="16"/>
                <w:szCs w:val="16"/>
              </w:rPr>
              <w:t>35.7</w:t>
            </w:r>
          </w:p>
        </w:tc>
      </w:tr>
    </w:tbl>
    <w:p w14:paraId="1016C2F6" w14:textId="691F5A14" w:rsidR="00F1423C" w:rsidRPr="000E3C8C" w:rsidRDefault="000D110F">
      <w:pPr>
        <w:pStyle w:val="ChartandTableFootnoteAlpha"/>
      </w:pPr>
      <w:r w:rsidRPr="000E3C8C">
        <w:t>Excludes expected net Future Fund earnings before 2020</w:t>
      </w:r>
      <w:r w:rsidR="00E834B1">
        <w:noBreakHyphen/>
      </w:r>
      <w:r w:rsidRPr="000E3C8C">
        <w:t>21.</w:t>
      </w:r>
    </w:p>
    <w:p w14:paraId="48712732" w14:textId="41C0AB82" w:rsidR="00AF0B77" w:rsidRPr="000E3C8C" w:rsidRDefault="004644B6" w:rsidP="00AF0B77">
      <w:pPr>
        <w:pStyle w:val="ChartandTableFootnoteAlpha"/>
        <w:rPr>
          <w:rFonts w:cs="Arial"/>
        </w:rPr>
      </w:pPr>
      <w:r w:rsidRPr="000E3C8C">
        <w:rPr>
          <w:rFonts w:cs="Arial"/>
        </w:rPr>
        <w:fldChar w:fldCharType="begin"/>
      </w:r>
      <w:r w:rsidRPr="000E3C8C">
        <w:rPr>
          <w:rFonts w:cs="Arial"/>
        </w:rPr>
        <w:instrText xml:space="preserve"> :End:</w:instrText>
      </w:r>
      <w:r w:rsidR="00B83222" w:rsidRPr="000E3C8C">
        <w:rPr>
          <w:rFonts w:cs="Arial"/>
        </w:rPr>
        <w:instrText>FARM_AB1</w:instrText>
      </w:r>
      <w:r w:rsidRPr="000E3C8C">
        <w:rPr>
          <w:rFonts w:cs="Arial"/>
        </w:rPr>
        <w:instrText xml:space="preserve"> </w:instrText>
      </w:r>
      <w:r w:rsidRPr="000E3C8C">
        <w:rPr>
          <w:rFonts w:cs="Arial"/>
        </w:rPr>
        <w:fldChar w:fldCharType="end"/>
      </w:r>
      <w:r w:rsidRPr="000E3C8C">
        <w:rPr>
          <w:rFonts w:cs="Arial"/>
        </w:rPr>
        <w:fldChar w:fldCharType="begin"/>
      </w:r>
      <w:r w:rsidRPr="000E3C8C">
        <w:rPr>
          <w:rFonts w:cs="Arial"/>
        </w:rPr>
        <w:instrText xml:space="preserve"> :Start:BPD_JR2 </w:instrText>
      </w:r>
      <w:r w:rsidRPr="000E3C8C">
        <w:rPr>
          <w:rFonts w:cs="Arial"/>
        </w:rPr>
        <w:fldChar w:fldCharType="end"/>
      </w:r>
      <w:r w:rsidR="00AF0B77" w:rsidRPr="000E3C8C">
        <w:rPr>
          <w:rFonts w:cs="Arial"/>
        </w:rPr>
        <w:t>Gross debt measures the face value of Australian Government Securities (AGS) on issue.</w:t>
      </w:r>
      <w:r w:rsidR="00962A69" w:rsidRPr="000E3C8C">
        <w:rPr>
          <w:rFonts w:cs="Arial"/>
        </w:rPr>
        <w:t xml:space="preserve"> The 2019</w:t>
      </w:r>
      <w:r w:rsidR="00E834B1">
        <w:rPr>
          <w:rFonts w:cs="Arial"/>
        </w:rPr>
        <w:noBreakHyphen/>
      </w:r>
      <w:r w:rsidR="00962A69" w:rsidRPr="000E3C8C">
        <w:rPr>
          <w:rFonts w:cs="Arial"/>
        </w:rPr>
        <w:t>20 number is the actual face value at 30 June 2020.</w:t>
      </w:r>
    </w:p>
    <w:p w14:paraId="0023BB35" w14:textId="2F4C67B3" w:rsidR="00B05821" w:rsidRPr="000E3C8C" w:rsidRDefault="004644B6" w:rsidP="00F1423C">
      <w:pPr>
        <w:pStyle w:val="ChartandTableFootnoteAlpha"/>
        <w:rPr>
          <w:rFonts w:cs="Arial"/>
        </w:rPr>
      </w:pPr>
      <w:r w:rsidRPr="000E3C8C">
        <w:rPr>
          <w:rFonts w:eastAsia="Calibri" w:cs="Arial"/>
        </w:rPr>
        <w:fldChar w:fldCharType="begin"/>
      </w:r>
      <w:r w:rsidRPr="000E3C8C">
        <w:rPr>
          <w:rFonts w:eastAsia="Calibri" w:cs="Arial"/>
        </w:rPr>
        <w:instrText xml:space="preserve"> :End:BPD_JR2 </w:instrText>
      </w:r>
      <w:r w:rsidRPr="000E3C8C">
        <w:rPr>
          <w:rFonts w:eastAsia="Calibri" w:cs="Arial"/>
        </w:rPr>
        <w:fldChar w:fldCharType="end"/>
      </w:r>
      <w:r w:rsidRPr="000E3C8C">
        <w:rPr>
          <w:rFonts w:eastAsia="Calibri" w:cs="Arial"/>
        </w:rPr>
        <w:fldChar w:fldCharType="begin"/>
      </w:r>
      <w:r w:rsidRPr="000E3C8C">
        <w:rPr>
          <w:rFonts w:eastAsia="Calibri" w:cs="Arial"/>
        </w:rPr>
        <w:instrText xml:space="preserve"> :Start:</w:instrText>
      </w:r>
      <w:r w:rsidR="00B83222" w:rsidRPr="000E3C8C">
        <w:rPr>
          <w:rFonts w:eastAsia="Calibri" w:cs="Arial"/>
        </w:rPr>
        <w:instrText>FARM_AB1</w:instrText>
      </w:r>
      <w:r w:rsidRPr="000E3C8C">
        <w:rPr>
          <w:rFonts w:eastAsia="Calibri" w:cs="Arial"/>
        </w:rPr>
        <w:instrText xml:space="preserve"> </w:instrText>
      </w:r>
      <w:r w:rsidRPr="000E3C8C">
        <w:rPr>
          <w:rFonts w:eastAsia="Calibri" w:cs="Arial"/>
        </w:rPr>
        <w:fldChar w:fldCharType="end"/>
      </w:r>
      <w:r w:rsidR="00B05821" w:rsidRPr="000E3C8C">
        <w:rPr>
          <w:rFonts w:eastAsia="Calibri" w:cs="Arial"/>
        </w:rPr>
        <w:t xml:space="preserve">Net </w:t>
      </w:r>
      <w:r w:rsidR="00AF0B77" w:rsidRPr="000E3C8C">
        <w:rPr>
          <w:rFonts w:eastAsia="Calibri" w:cs="Arial"/>
        </w:rPr>
        <w:t xml:space="preserve">debt equals the sum of interest </w:t>
      </w:r>
      <w:r w:rsidR="00B05821" w:rsidRPr="000E3C8C">
        <w:rPr>
          <w:rFonts w:eastAsia="Calibri" w:cs="Arial"/>
        </w:rPr>
        <w:t xml:space="preserve">bearing liabilities </w:t>
      </w:r>
      <w:r w:rsidR="007B0C19" w:rsidRPr="000E3C8C">
        <w:rPr>
          <w:rFonts w:eastAsia="Calibri" w:cs="Arial"/>
        </w:rPr>
        <w:t xml:space="preserve">(which includes AGS </w:t>
      </w:r>
      <w:r w:rsidR="00886F93" w:rsidRPr="000E3C8C">
        <w:rPr>
          <w:rFonts w:eastAsia="Calibri" w:cs="Arial"/>
        </w:rPr>
        <w:t xml:space="preserve">on issue </w:t>
      </w:r>
      <w:r w:rsidR="007B0C19" w:rsidRPr="000E3C8C">
        <w:rPr>
          <w:rFonts w:eastAsia="Calibri" w:cs="Arial"/>
        </w:rPr>
        <w:t xml:space="preserve">measured at market value) </w:t>
      </w:r>
      <w:r w:rsidR="00B05821" w:rsidRPr="000E3C8C">
        <w:rPr>
          <w:rFonts w:eastAsia="Calibri" w:cs="Arial"/>
        </w:rPr>
        <w:t>minus the sum of cash and deposits, advances paid and investments, loans and placements.</w:t>
      </w:r>
      <w:r w:rsidRPr="000E3C8C">
        <w:rPr>
          <w:rFonts w:eastAsia="Calibri" w:cs="Arial"/>
        </w:rPr>
        <w:fldChar w:fldCharType="begin"/>
      </w:r>
      <w:r w:rsidRPr="000E3C8C">
        <w:rPr>
          <w:rFonts w:eastAsia="Calibri" w:cs="Arial"/>
        </w:rPr>
        <w:instrText xml:space="preserve"> :End:</w:instrText>
      </w:r>
      <w:r w:rsidR="00B83222" w:rsidRPr="000E3C8C">
        <w:rPr>
          <w:rFonts w:eastAsia="Calibri" w:cs="Arial"/>
        </w:rPr>
        <w:instrText>FARM_AB1</w:instrText>
      </w:r>
      <w:r w:rsidRPr="000E3C8C">
        <w:rPr>
          <w:rFonts w:eastAsia="Calibri" w:cs="Arial"/>
        </w:rPr>
        <w:instrText xml:space="preserve"> </w:instrText>
      </w:r>
      <w:r w:rsidRPr="000E3C8C">
        <w:rPr>
          <w:rFonts w:eastAsia="Calibri" w:cs="Arial"/>
        </w:rPr>
        <w:fldChar w:fldCharType="end"/>
      </w:r>
    </w:p>
    <w:p w14:paraId="4DEB35E3" w14:textId="69921347" w:rsidR="00682EDD" w:rsidRPr="000E3C8C" w:rsidRDefault="00682EDD" w:rsidP="00381AB6">
      <w:pPr>
        <w:pStyle w:val="SingleParagraph"/>
      </w:pPr>
    </w:p>
    <w:p w14:paraId="005D7D56" w14:textId="39999A83" w:rsidR="00FD74BA" w:rsidRPr="000E3C8C" w:rsidRDefault="00D1229D" w:rsidP="00B05821">
      <w:pPr>
        <w:rPr>
          <w:rFonts w:cs="Arial"/>
        </w:rPr>
      </w:pPr>
      <w:r w:rsidRPr="000E3C8C">
        <w:rPr>
          <w:rFonts w:cs="Arial"/>
        </w:rPr>
        <w:fldChar w:fldCharType="begin"/>
      </w:r>
      <w:r w:rsidRPr="000E3C8C">
        <w:rPr>
          <w:rFonts w:cs="Arial"/>
        </w:rPr>
        <w:instrText xml:space="preserve"> :Start:BPD_JR1 </w:instrText>
      </w:r>
      <w:r w:rsidRPr="000E3C8C">
        <w:rPr>
          <w:rFonts w:cs="Arial"/>
        </w:rPr>
        <w:fldChar w:fldCharType="end"/>
      </w:r>
      <w:r w:rsidR="001B45BA" w:rsidRPr="000E3C8C">
        <w:rPr>
          <w:rFonts w:cs="Arial"/>
        </w:rPr>
        <w:t>Table 3.2</w:t>
      </w:r>
      <w:r w:rsidR="008712C4" w:rsidRPr="000E3C8C">
        <w:rPr>
          <w:rFonts w:cs="Arial"/>
        </w:rPr>
        <w:t xml:space="preserve"> provides </w:t>
      </w:r>
      <w:r w:rsidR="006D6131" w:rsidRPr="000E3C8C">
        <w:rPr>
          <w:rFonts w:cs="Arial"/>
        </w:rPr>
        <w:t>key</w:t>
      </w:r>
      <w:r w:rsidR="00522B1E" w:rsidRPr="000E3C8C">
        <w:rPr>
          <w:rFonts w:cs="Arial"/>
        </w:rPr>
        <w:t xml:space="preserve"> budget aggregates</w:t>
      </w:r>
      <w:r w:rsidR="008712C4" w:rsidRPr="000E3C8C">
        <w:rPr>
          <w:rFonts w:cs="Arial"/>
        </w:rPr>
        <w:t xml:space="preserve"> </w:t>
      </w:r>
      <w:r w:rsidR="006D6131" w:rsidRPr="000E3C8C">
        <w:rPr>
          <w:rFonts w:cs="Arial"/>
        </w:rPr>
        <w:t xml:space="preserve">for the Australian </w:t>
      </w:r>
      <w:r w:rsidR="00C52439" w:rsidRPr="000E3C8C">
        <w:rPr>
          <w:rFonts w:cs="Arial"/>
        </w:rPr>
        <w:t xml:space="preserve">Government </w:t>
      </w:r>
      <w:r w:rsidR="006D6131" w:rsidRPr="000E3C8C">
        <w:rPr>
          <w:rFonts w:cs="Arial"/>
        </w:rPr>
        <w:t xml:space="preserve">general government sector </w:t>
      </w:r>
      <w:r w:rsidR="008712C4" w:rsidRPr="000E3C8C">
        <w:rPr>
          <w:rFonts w:cs="Arial"/>
        </w:rPr>
        <w:t>over 2019</w:t>
      </w:r>
      <w:r w:rsidR="00E834B1">
        <w:rPr>
          <w:rFonts w:cs="Arial"/>
        </w:rPr>
        <w:noBreakHyphen/>
      </w:r>
      <w:r w:rsidR="008712C4" w:rsidRPr="000E3C8C">
        <w:rPr>
          <w:rFonts w:cs="Arial"/>
        </w:rPr>
        <w:t>20 and 2020</w:t>
      </w:r>
      <w:r w:rsidR="00E834B1">
        <w:rPr>
          <w:rFonts w:cs="Arial"/>
        </w:rPr>
        <w:noBreakHyphen/>
      </w:r>
      <w:r w:rsidR="008712C4" w:rsidRPr="000E3C8C">
        <w:rPr>
          <w:rFonts w:cs="Arial"/>
        </w:rPr>
        <w:t>21</w:t>
      </w:r>
      <w:r w:rsidR="008611D0" w:rsidRPr="000E3C8C">
        <w:rPr>
          <w:rFonts w:cs="Arial"/>
        </w:rPr>
        <w:t>.</w:t>
      </w:r>
    </w:p>
    <w:p w14:paraId="3EB1E626" w14:textId="3AABBA85" w:rsidR="00756F68" w:rsidRPr="000E3C8C" w:rsidRDefault="00D1229D" w:rsidP="0071514F">
      <w:pPr>
        <w:pStyle w:val="TableHeading"/>
      </w:pPr>
      <w:r w:rsidRPr="000E3C8C">
        <w:fldChar w:fldCharType="begin"/>
      </w:r>
      <w:r w:rsidRPr="000E3C8C">
        <w:instrText xml:space="preserve"> :End:BPD_JR1 </w:instrText>
      </w:r>
      <w:r w:rsidRPr="000E3C8C">
        <w:fldChar w:fldCharType="end"/>
      </w:r>
      <w:r w:rsidR="0006622A" w:rsidRPr="000E3C8C">
        <w:fldChar w:fldCharType="begin"/>
      </w:r>
      <w:r w:rsidR="0006622A" w:rsidRPr="000E3C8C">
        <w:instrText xml:space="preserve"> :Start:</w:instrText>
      </w:r>
      <w:r w:rsidR="00B83222" w:rsidRPr="000E3C8C">
        <w:instrText>FARM_AB1</w:instrText>
      </w:r>
      <w:r w:rsidR="0006622A" w:rsidRPr="000E3C8C">
        <w:instrText xml:space="preserve"> </w:instrText>
      </w:r>
      <w:r w:rsidR="0006622A" w:rsidRPr="000E3C8C">
        <w:fldChar w:fldCharType="end"/>
      </w:r>
      <w:r w:rsidR="00CF4EAA" w:rsidRPr="000E3C8C">
        <w:t xml:space="preserve">Table </w:t>
      </w:r>
      <w:r w:rsidR="0031121C" w:rsidRPr="000E3C8C">
        <w:t>3.2</w:t>
      </w:r>
      <w:r w:rsidR="00CF4EAA" w:rsidRPr="000E3C8C">
        <w:t>: Australian Government general government sector budget aggregates</w:t>
      </w:r>
    </w:p>
    <w:tbl>
      <w:tblPr>
        <w:tblW w:w="5000" w:type="pct"/>
        <w:tblLook w:val="04A0" w:firstRow="1" w:lastRow="0" w:firstColumn="1" w:lastColumn="0" w:noHBand="0" w:noVBand="1"/>
      </w:tblPr>
      <w:tblGrid>
        <w:gridCol w:w="5673"/>
        <w:gridCol w:w="1019"/>
        <w:gridCol w:w="1018"/>
      </w:tblGrid>
      <w:tr w:rsidR="00756F68" w:rsidRPr="000E3C8C" w14:paraId="33E5950D" w14:textId="77777777" w:rsidTr="00E133D8">
        <w:trPr>
          <w:trHeight w:hRule="exact" w:val="225"/>
        </w:trPr>
        <w:tc>
          <w:tcPr>
            <w:tcW w:w="3679" w:type="pct"/>
            <w:tcBorders>
              <w:top w:val="single" w:sz="4" w:space="0" w:color="auto"/>
              <w:left w:val="nil"/>
              <w:bottom w:val="nil"/>
              <w:right w:val="nil"/>
            </w:tcBorders>
            <w:shd w:val="clear" w:color="000000" w:fill="FFFFFF"/>
            <w:noWrap/>
            <w:vAlign w:val="center"/>
            <w:hideMark/>
          </w:tcPr>
          <w:p w14:paraId="4D454024" w14:textId="0732B0B6" w:rsidR="00756F68" w:rsidRPr="000E3C8C" w:rsidRDefault="00756F68" w:rsidP="00E133D8">
            <w:pPr>
              <w:spacing w:after="0" w:line="240" w:lineRule="auto"/>
              <w:jc w:val="left"/>
              <w:rPr>
                <w:rFonts w:ascii="Arial" w:hAnsi="Arial" w:cs="Arial"/>
                <w:color w:val="000000"/>
                <w:sz w:val="16"/>
                <w:szCs w:val="16"/>
              </w:rPr>
            </w:pPr>
            <w:r w:rsidRPr="000E3C8C">
              <w:rPr>
                <w:rFonts w:ascii="Arial" w:hAnsi="Arial" w:cs="Arial"/>
                <w:color w:val="000000"/>
                <w:sz w:val="16"/>
                <w:szCs w:val="16"/>
              </w:rPr>
              <w:t> </w:t>
            </w:r>
          </w:p>
        </w:tc>
        <w:tc>
          <w:tcPr>
            <w:tcW w:w="1321" w:type="pct"/>
            <w:gridSpan w:val="2"/>
            <w:tcBorders>
              <w:top w:val="single" w:sz="4" w:space="0" w:color="auto"/>
              <w:left w:val="nil"/>
              <w:bottom w:val="single" w:sz="4" w:space="0" w:color="000000"/>
              <w:right w:val="nil"/>
            </w:tcBorders>
            <w:shd w:val="clear" w:color="000000" w:fill="FFFFFF"/>
            <w:noWrap/>
            <w:vAlign w:val="center"/>
            <w:hideMark/>
          </w:tcPr>
          <w:p w14:paraId="74BA8DFA" w14:textId="77777777" w:rsidR="00756F68" w:rsidRPr="000E3C8C" w:rsidRDefault="00756F68" w:rsidP="00E133D8">
            <w:pPr>
              <w:spacing w:after="0" w:line="240" w:lineRule="auto"/>
              <w:jc w:val="center"/>
              <w:rPr>
                <w:rFonts w:ascii="Arial" w:hAnsi="Arial" w:cs="Arial"/>
                <w:sz w:val="16"/>
                <w:szCs w:val="16"/>
              </w:rPr>
            </w:pPr>
            <w:r w:rsidRPr="000E3C8C">
              <w:rPr>
                <w:rFonts w:ascii="Arial" w:hAnsi="Arial" w:cs="Arial"/>
                <w:sz w:val="16"/>
                <w:szCs w:val="16"/>
              </w:rPr>
              <w:t>Estimates</w:t>
            </w:r>
          </w:p>
        </w:tc>
      </w:tr>
      <w:tr w:rsidR="00756F68" w:rsidRPr="000E3C8C" w14:paraId="2D88E0F6" w14:textId="77777777" w:rsidTr="00E133D8">
        <w:trPr>
          <w:trHeight w:hRule="exact" w:val="225"/>
        </w:trPr>
        <w:tc>
          <w:tcPr>
            <w:tcW w:w="3679" w:type="pct"/>
            <w:tcBorders>
              <w:top w:val="nil"/>
              <w:left w:val="nil"/>
              <w:bottom w:val="nil"/>
              <w:right w:val="nil"/>
            </w:tcBorders>
            <w:shd w:val="clear" w:color="000000" w:fill="FFFFFF"/>
            <w:noWrap/>
            <w:vAlign w:val="center"/>
            <w:hideMark/>
          </w:tcPr>
          <w:p w14:paraId="0993D67D" w14:textId="77777777" w:rsidR="00756F68" w:rsidRPr="000E3C8C" w:rsidRDefault="00756F68" w:rsidP="00E133D8">
            <w:pPr>
              <w:spacing w:after="0" w:line="240" w:lineRule="auto"/>
              <w:jc w:val="left"/>
              <w:rPr>
                <w:rFonts w:ascii="Arial" w:hAnsi="Arial" w:cs="Arial"/>
                <w:color w:val="000000"/>
                <w:sz w:val="16"/>
                <w:szCs w:val="16"/>
              </w:rPr>
            </w:pPr>
            <w:r w:rsidRPr="000E3C8C">
              <w:rPr>
                <w:rFonts w:ascii="Arial" w:hAnsi="Arial" w:cs="Arial"/>
                <w:color w:val="000000"/>
                <w:sz w:val="16"/>
                <w:szCs w:val="16"/>
              </w:rPr>
              <w:t> </w:t>
            </w:r>
          </w:p>
        </w:tc>
        <w:tc>
          <w:tcPr>
            <w:tcW w:w="661" w:type="pct"/>
            <w:tcBorders>
              <w:top w:val="nil"/>
              <w:left w:val="nil"/>
              <w:bottom w:val="nil"/>
              <w:right w:val="nil"/>
            </w:tcBorders>
            <w:shd w:val="clear" w:color="000000" w:fill="FFFFFF"/>
            <w:noWrap/>
            <w:vAlign w:val="center"/>
            <w:hideMark/>
          </w:tcPr>
          <w:p w14:paraId="079826D2" w14:textId="4F9759B3" w:rsidR="00756F68" w:rsidRPr="000E3C8C" w:rsidRDefault="00756F68" w:rsidP="00E133D8">
            <w:pPr>
              <w:spacing w:after="0" w:line="240" w:lineRule="auto"/>
              <w:jc w:val="right"/>
              <w:rPr>
                <w:rFonts w:ascii="Arial" w:hAnsi="Arial" w:cs="Arial"/>
                <w:color w:val="000000"/>
                <w:sz w:val="16"/>
                <w:szCs w:val="16"/>
              </w:rPr>
            </w:pPr>
            <w:r w:rsidRPr="000E3C8C">
              <w:rPr>
                <w:rFonts w:ascii="Arial" w:hAnsi="Arial" w:cs="Arial"/>
                <w:color w:val="000000"/>
                <w:sz w:val="16"/>
                <w:szCs w:val="16"/>
              </w:rPr>
              <w:t>2019</w:t>
            </w:r>
            <w:r w:rsidR="00E834B1">
              <w:rPr>
                <w:rFonts w:ascii="Arial" w:hAnsi="Arial" w:cs="Arial"/>
                <w:color w:val="000000"/>
                <w:sz w:val="16"/>
                <w:szCs w:val="16"/>
              </w:rPr>
              <w:noBreakHyphen/>
            </w:r>
            <w:r w:rsidRPr="000E3C8C">
              <w:rPr>
                <w:rFonts w:ascii="Arial" w:hAnsi="Arial" w:cs="Arial"/>
                <w:color w:val="000000"/>
                <w:sz w:val="16"/>
                <w:szCs w:val="16"/>
              </w:rPr>
              <w:t>20</w:t>
            </w:r>
          </w:p>
        </w:tc>
        <w:tc>
          <w:tcPr>
            <w:tcW w:w="661" w:type="pct"/>
            <w:tcBorders>
              <w:top w:val="nil"/>
              <w:left w:val="nil"/>
              <w:bottom w:val="nil"/>
              <w:right w:val="nil"/>
            </w:tcBorders>
            <w:shd w:val="clear" w:color="000000" w:fill="E6E6E6"/>
            <w:noWrap/>
            <w:vAlign w:val="center"/>
            <w:hideMark/>
          </w:tcPr>
          <w:p w14:paraId="7315FC9C" w14:textId="7F13A306" w:rsidR="00756F68" w:rsidRPr="000E3C8C" w:rsidRDefault="00756F68" w:rsidP="00E133D8">
            <w:pPr>
              <w:spacing w:after="0" w:line="240" w:lineRule="auto"/>
              <w:jc w:val="right"/>
              <w:rPr>
                <w:rFonts w:ascii="Arial" w:hAnsi="Arial" w:cs="Arial"/>
                <w:color w:val="000000"/>
                <w:sz w:val="16"/>
                <w:szCs w:val="16"/>
              </w:rPr>
            </w:pPr>
            <w:r w:rsidRPr="000E3C8C">
              <w:rPr>
                <w:rFonts w:ascii="Arial" w:hAnsi="Arial" w:cs="Arial"/>
                <w:color w:val="000000"/>
                <w:sz w:val="16"/>
                <w:szCs w:val="16"/>
              </w:rPr>
              <w:t>2020</w:t>
            </w:r>
            <w:r w:rsidR="00E834B1">
              <w:rPr>
                <w:rFonts w:ascii="Arial" w:hAnsi="Arial" w:cs="Arial"/>
                <w:color w:val="000000"/>
                <w:sz w:val="16"/>
                <w:szCs w:val="16"/>
              </w:rPr>
              <w:noBreakHyphen/>
            </w:r>
            <w:r w:rsidRPr="000E3C8C">
              <w:rPr>
                <w:rFonts w:ascii="Arial" w:hAnsi="Arial" w:cs="Arial"/>
                <w:color w:val="000000"/>
                <w:sz w:val="16"/>
                <w:szCs w:val="16"/>
              </w:rPr>
              <w:t>21</w:t>
            </w:r>
          </w:p>
        </w:tc>
      </w:tr>
      <w:tr w:rsidR="00756F68" w:rsidRPr="000E3C8C" w14:paraId="528BCDA5" w14:textId="77777777" w:rsidTr="00E133D8">
        <w:trPr>
          <w:trHeight w:hRule="exact" w:val="225"/>
        </w:trPr>
        <w:tc>
          <w:tcPr>
            <w:tcW w:w="3679" w:type="pct"/>
            <w:tcBorders>
              <w:top w:val="nil"/>
              <w:left w:val="nil"/>
              <w:bottom w:val="nil"/>
              <w:right w:val="nil"/>
            </w:tcBorders>
            <w:shd w:val="clear" w:color="000000" w:fill="FFFFFF"/>
            <w:noWrap/>
            <w:vAlign w:val="center"/>
            <w:hideMark/>
          </w:tcPr>
          <w:p w14:paraId="772B139B" w14:textId="77777777" w:rsidR="00756F68" w:rsidRPr="000E3C8C" w:rsidRDefault="00756F68" w:rsidP="00E133D8">
            <w:pPr>
              <w:spacing w:after="0" w:line="240" w:lineRule="auto"/>
              <w:jc w:val="left"/>
              <w:rPr>
                <w:rFonts w:ascii="Arial" w:hAnsi="Arial" w:cs="Arial"/>
                <w:color w:val="000000"/>
                <w:sz w:val="16"/>
                <w:szCs w:val="16"/>
              </w:rPr>
            </w:pPr>
            <w:r w:rsidRPr="000E3C8C">
              <w:rPr>
                <w:rFonts w:ascii="Arial" w:hAnsi="Arial" w:cs="Arial"/>
                <w:color w:val="000000"/>
                <w:sz w:val="16"/>
                <w:szCs w:val="16"/>
              </w:rPr>
              <w:t> </w:t>
            </w:r>
          </w:p>
        </w:tc>
        <w:tc>
          <w:tcPr>
            <w:tcW w:w="661" w:type="pct"/>
            <w:tcBorders>
              <w:top w:val="nil"/>
              <w:left w:val="nil"/>
              <w:bottom w:val="single" w:sz="4" w:space="0" w:color="000000"/>
              <w:right w:val="nil"/>
            </w:tcBorders>
            <w:shd w:val="clear" w:color="000000" w:fill="FFFFFF"/>
            <w:noWrap/>
            <w:vAlign w:val="center"/>
            <w:hideMark/>
          </w:tcPr>
          <w:p w14:paraId="4A9C2422" w14:textId="77777777" w:rsidR="00756F68" w:rsidRPr="000E3C8C" w:rsidRDefault="00756F68" w:rsidP="00E133D8">
            <w:pPr>
              <w:spacing w:after="0" w:line="240" w:lineRule="auto"/>
              <w:jc w:val="right"/>
              <w:rPr>
                <w:rFonts w:ascii="Arial" w:hAnsi="Arial" w:cs="Arial"/>
                <w:color w:val="000000"/>
                <w:sz w:val="16"/>
                <w:szCs w:val="16"/>
              </w:rPr>
            </w:pPr>
            <w:r w:rsidRPr="000E3C8C">
              <w:rPr>
                <w:rFonts w:ascii="Arial" w:hAnsi="Arial" w:cs="Arial"/>
                <w:color w:val="000000"/>
                <w:sz w:val="16"/>
                <w:szCs w:val="16"/>
              </w:rPr>
              <w:t>$b</w:t>
            </w:r>
          </w:p>
        </w:tc>
        <w:tc>
          <w:tcPr>
            <w:tcW w:w="661" w:type="pct"/>
            <w:tcBorders>
              <w:top w:val="nil"/>
              <w:left w:val="nil"/>
              <w:bottom w:val="single" w:sz="4" w:space="0" w:color="000000"/>
              <w:right w:val="nil"/>
            </w:tcBorders>
            <w:shd w:val="clear" w:color="000000" w:fill="E6E6E6"/>
            <w:noWrap/>
            <w:vAlign w:val="center"/>
            <w:hideMark/>
          </w:tcPr>
          <w:p w14:paraId="63230BE2" w14:textId="77777777" w:rsidR="00756F68" w:rsidRPr="000E3C8C" w:rsidRDefault="00756F68" w:rsidP="00E133D8">
            <w:pPr>
              <w:spacing w:after="0" w:line="240" w:lineRule="auto"/>
              <w:jc w:val="right"/>
              <w:rPr>
                <w:rFonts w:ascii="Arial" w:hAnsi="Arial" w:cs="Arial"/>
                <w:color w:val="000000"/>
                <w:sz w:val="16"/>
                <w:szCs w:val="16"/>
              </w:rPr>
            </w:pPr>
            <w:r w:rsidRPr="000E3C8C">
              <w:rPr>
                <w:rFonts w:ascii="Arial" w:hAnsi="Arial" w:cs="Arial"/>
                <w:color w:val="000000"/>
                <w:sz w:val="16"/>
                <w:szCs w:val="16"/>
              </w:rPr>
              <w:t>$b</w:t>
            </w:r>
          </w:p>
        </w:tc>
      </w:tr>
      <w:tr w:rsidR="00756F68" w:rsidRPr="000E3C8C" w14:paraId="01FE8943" w14:textId="77777777" w:rsidTr="00E133D8">
        <w:trPr>
          <w:trHeight w:hRule="exact" w:val="225"/>
        </w:trPr>
        <w:tc>
          <w:tcPr>
            <w:tcW w:w="3679" w:type="pct"/>
            <w:tcBorders>
              <w:top w:val="nil"/>
              <w:left w:val="nil"/>
              <w:bottom w:val="nil"/>
              <w:right w:val="nil"/>
            </w:tcBorders>
            <w:shd w:val="clear" w:color="000000" w:fill="FFFFFF"/>
            <w:noWrap/>
            <w:vAlign w:val="center"/>
            <w:hideMark/>
          </w:tcPr>
          <w:p w14:paraId="585D0609" w14:textId="77777777" w:rsidR="00756F68" w:rsidRPr="000E3C8C" w:rsidRDefault="00756F68" w:rsidP="00E133D8">
            <w:pPr>
              <w:spacing w:after="0" w:line="240" w:lineRule="auto"/>
              <w:jc w:val="left"/>
              <w:rPr>
                <w:rFonts w:ascii="Arial" w:hAnsi="Arial" w:cs="Arial"/>
                <w:b/>
                <w:bCs/>
                <w:color w:val="000000"/>
                <w:sz w:val="16"/>
                <w:szCs w:val="16"/>
              </w:rPr>
            </w:pPr>
            <w:r w:rsidRPr="000E3C8C">
              <w:rPr>
                <w:rFonts w:ascii="Arial" w:hAnsi="Arial" w:cs="Arial"/>
                <w:b/>
                <w:bCs/>
                <w:color w:val="000000"/>
                <w:sz w:val="16"/>
                <w:szCs w:val="16"/>
              </w:rPr>
              <w:t>Receipts</w:t>
            </w:r>
          </w:p>
        </w:tc>
        <w:tc>
          <w:tcPr>
            <w:tcW w:w="661" w:type="pct"/>
            <w:tcBorders>
              <w:top w:val="nil"/>
              <w:left w:val="nil"/>
              <w:bottom w:val="nil"/>
              <w:right w:val="nil"/>
            </w:tcBorders>
            <w:shd w:val="clear" w:color="000000" w:fill="FFFFFF"/>
            <w:noWrap/>
            <w:vAlign w:val="center"/>
            <w:hideMark/>
          </w:tcPr>
          <w:p w14:paraId="03BD71F9" w14:textId="77777777" w:rsidR="00756F68" w:rsidRPr="000E3C8C" w:rsidRDefault="00756F68" w:rsidP="00E133D8">
            <w:pPr>
              <w:spacing w:after="0" w:line="240" w:lineRule="auto"/>
              <w:jc w:val="right"/>
              <w:rPr>
                <w:rFonts w:ascii="Arial" w:hAnsi="Arial" w:cs="Arial"/>
                <w:b/>
                <w:bCs/>
                <w:color w:val="000000"/>
                <w:sz w:val="16"/>
                <w:szCs w:val="16"/>
              </w:rPr>
            </w:pPr>
            <w:r w:rsidRPr="000E3C8C">
              <w:rPr>
                <w:rFonts w:ascii="Arial" w:hAnsi="Arial" w:cs="Arial"/>
                <w:b/>
                <w:bCs/>
                <w:color w:val="000000"/>
                <w:sz w:val="16"/>
                <w:szCs w:val="16"/>
              </w:rPr>
              <w:t>469.5</w:t>
            </w:r>
          </w:p>
        </w:tc>
        <w:tc>
          <w:tcPr>
            <w:tcW w:w="661" w:type="pct"/>
            <w:tcBorders>
              <w:top w:val="nil"/>
              <w:left w:val="nil"/>
              <w:bottom w:val="nil"/>
              <w:right w:val="nil"/>
            </w:tcBorders>
            <w:shd w:val="clear" w:color="000000" w:fill="E6E6E6"/>
            <w:noWrap/>
            <w:vAlign w:val="center"/>
            <w:hideMark/>
          </w:tcPr>
          <w:p w14:paraId="15CA03C0" w14:textId="77777777" w:rsidR="00756F68" w:rsidRPr="000E3C8C" w:rsidRDefault="00756F68" w:rsidP="00E133D8">
            <w:pPr>
              <w:spacing w:after="0" w:line="240" w:lineRule="auto"/>
              <w:jc w:val="right"/>
              <w:rPr>
                <w:rFonts w:ascii="Arial" w:hAnsi="Arial" w:cs="Arial"/>
                <w:b/>
                <w:bCs/>
                <w:color w:val="000000"/>
                <w:sz w:val="16"/>
                <w:szCs w:val="16"/>
              </w:rPr>
            </w:pPr>
            <w:r w:rsidRPr="000E3C8C">
              <w:rPr>
                <w:rFonts w:ascii="Arial" w:hAnsi="Arial" w:cs="Arial"/>
                <w:b/>
                <w:bCs/>
                <w:color w:val="000000"/>
                <w:sz w:val="16"/>
                <w:szCs w:val="16"/>
              </w:rPr>
              <w:t>455.5</w:t>
            </w:r>
          </w:p>
        </w:tc>
      </w:tr>
      <w:tr w:rsidR="00756F68" w:rsidRPr="000E3C8C" w14:paraId="5C739F07" w14:textId="77777777" w:rsidTr="00E133D8">
        <w:trPr>
          <w:trHeight w:hRule="exact" w:val="225"/>
        </w:trPr>
        <w:tc>
          <w:tcPr>
            <w:tcW w:w="3679" w:type="pct"/>
            <w:tcBorders>
              <w:top w:val="nil"/>
              <w:left w:val="nil"/>
              <w:bottom w:val="nil"/>
              <w:right w:val="nil"/>
            </w:tcBorders>
            <w:shd w:val="clear" w:color="000000" w:fill="FFFFFF"/>
            <w:noWrap/>
            <w:vAlign w:val="center"/>
            <w:hideMark/>
          </w:tcPr>
          <w:p w14:paraId="1CE47EC6" w14:textId="77777777" w:rsidR="00756F68" w:rsidRPr="000E3C8C" w:rsidRDefault="00756F68" w:rsidP="00E133D8">
            <w:pPr>
              <w:spacing w:after="0" w:line="240" w:lineRule="auto"/>
              <w:jc w:val="left"/>
              <w:rPr>
                <w:rFonts w:ascii="Arial" w:hAnsi="Arial" w:cs="Arial"/>
                <w:color w:val="000000"/>
                <w:sz w:val="16"/>
                <w:szCs w:val="16"/>
              </w:rPr>
            </w:pPr>
            <w:r w:rsidRPr="000E3C8C">
              <w:rPr>
                <w:rFonts w:ascii="Arial" w:hAnsi="Arial" w:cs="Arial"/>
                <w:color w:val="000000"/>
                <w:sz w:val="16"/>
                <w:szCs w:val="16"/>
              </w:rPr>
              <w:t>Per cent of GDP</w:t>
            </w:r>
          </w:p>
        </w:tc>
        <w:tc>
          <w:tcPr>
            <w:tcW w:w="661" w:type="pct"/>
            <w:tcBorders>
              <w:top w:val="nil"/>
              <w:left w:val="nil"/>
              <w:bottom w:val="nil"/>
              <w:right w:val="nil"/>
            </w:tcBorders>
            <w:shd w:val="clear" w:color="000000" w:fill="FFFFFF"/>
            <w:noWrap/>
            <w:vAlign w:val="center"/>
            <w:hideMark/>
          </w:tcPr>
          <w:p w14:paraId="04E02496" w14:textId="77777777" w:rsidR="00756F68" w:rsidRPr="000E3C8C" w:rsidRDefault="00756F68" w:rsidP="00E133D8">
            <w:pPr>
              <w:spacing w:after="0" w:line="240" w:lineRule="auto"/>
              <w:jc w:val="right"/>
              <w:rPr>
                <w:rFonts w:ascii="Arial" w:hAnsi="Arial" w:cs="Arial"/>
                <w:sz w:val="16"/>
                <w:szCs w:val="16"/>
              </w:rPr>
            </w:pPr>
            <w:r w:rsidRPr="000E3C8C">
              <w:rPr>
                <w:rFonts w:ascii="Arial" w:hAnsi="Arial" w:cs="Arial"/>
                <w:sz w:val="16"/>
                <w:szCs w:val="16"/>
              </w:rPr>
              <w:t>23.6</w:t>
            </w:r>
          </w:p>
        </w:tc>
        <w:tc>
          <w:tcPr>
            <w:tcW w:w="661" w:type="pct"/>
            <w:tcBorders>
              <w:top w:val="nil"/>
              <w:left w:val="nil"/>
              <w:bottom w:val="nil"/>
              <w:right w:val="nil"/>
            </w:tcBorders>
            <w:shd w:val="clear" w:color="000000" w:fill="E6E6E6"/>
            <w:noWrap/>
            <w:vAlign w:val="center"/>
            <w:hideMark/>
          </w:tcPr>
          <w:p w14:paraId="25E850E1" w14:textId="77777777" w:rsidR="00756F68" w:rsidRPr="000E3C8C" w:rsidRDefault="00756F68" w:rsidP="00E133D8">
            <w:pPr>
              <w:spacing w:after="0" w:line="240" w:lineRule="auto"/>
              <w:jc w:val="right"/>
              <w:rPr>
                <w:rFonts w:ascii="Arial" w:hAnsi="Arial" w:cs="Arial"/>
                <w:sz w:val="16"/>
                <w:szCs w:val="16"/>
              </w:rPr>
            </w:pPr>
            <w:r w:rsidRPr="000E3C8C">
              <w:rPr>
                <w:rFonts w:ascii="Arial" w:hAnsi="Arial" w:cs="Arial"/>
                <w:sz w:val="16"/>
                <w:szCs w:val="16"/>
              </w:rPr>
              <w:t>24.0</w:t>
            </w:r>
          </w:p>
        </w:tc>
      </w:tr>
      <w:tr w:rsidR="00756F68" w:rsidRPr="000E3C8C" w14:paraId="1BE129FC" w14:textId="77777777" w:rsidTr="00E133D8">
        <w:trPr>
          <w:trHeight w:hRule="exact" w:val="60"/>
        </w:trPr>
        <w:tc>
          <w:tcPr>
            <w:tcW w:w="3679" w:type="pct"/>
            <w:tcBorders>
              <w:top w:val="nil"/>
              <w:left w:val="nil"/>
              <w:bottom w:val="nil"/>
              <w:right w:val="nil"/>
            </w:tcBorders>
            <w:shd w:val="clear" w:color="000000" w:fill="FFFFFF"/>
            <w:noWrap/>
            <w:vAlign w:val="center"/>
            <w:hideMark/>
          </w:tcPr>
          <w:p w14:paraId="5AA8C0D5" w14:textId="77777777" w:rsidR="00756F68" w:rsidRPr="000E3C8C" w:rsidRDefault="00756F68" w:rsidP="00E133D8">
            <w:pPr>
              <w:spacing w:after="0" w:line="240" w:lineRule="auto"/>
              <w:jc w:val="left"/>
              <w:rPr>
                <w:rFonts w:ascii="Arial" w:hAnsi="Arial" w:cs="Arial"/>
                <w:color w:val="000000"/>
                <w:sz w:val="16"/>
                <w:szCs w:val="16"/>
              </w:rPr>
            </w:pPr>
            <w:r w:rsidRPr="000E3C8C">
              <w:rPr>
                <w:rFonts w:ascii="Arial" w:hAnsi="Arial" w:cs="Arial"/>
                <w:color w:val="000000"/>
                <w:sz w:val="16"/>
                <w:szCs w:val="16"/>
              </w:rPr>
              <w:t> </w:t>
            </w:r>
          </w:p>
        </w:tc>
        <w:tc>
          <w:tcPr>
            <w:tcW w:w="661" w:type="pct"/>
            <w:tcBorders>
              <w:top w:val="nil"/>
              <w:left w:val="nil"/>
              <w:bottom w:val="nil"/>
              <w:right w:val="nil"/>
            </w:tcBorders>
            <w:shd w:val="clear" w:color="000000" w:fill="FFFFFF"/>
            <w:noWrap/>
            <w:vAlign w:val="center"/>
            <w:hideMark/>
          </w:tcPr>
          <w:p w14:paraId="16FA9DCC" w14:textId="77777777" w:rsidR="00756F68" w:rsidRPr="000E3C8C" w:rsidRDefault="00756F68" w:rsidP="00E133D8">
            <w:pPr>
              <w:spacing w:after="0" w:line="240" w:lineRule="auto"/>
              <w:jc w:val="right"/>
              <w:rPr>
                <w:rFonts w:ascii="Arial" w:hAnsi="Arial" w:cs="Arial"/>
                <w:color w:val="000000"/>
                <w:sz w:val="16"/>
                <w:szCs w:val="16"/>
              </w:rPr>
            </w:pPr>
            <w:r w:rsidRPr="000E3C8C">
              <w:rPr>
                <w:rFonts w:ascii="Arial" w:hAnsi="Arial" w:cs="Arial"/>
                <w:color w:val="000000"/>
                <w:sz w:val="16"/>
                <w:szCs w:val="16"/>
              </w:rPr>
              <w:t> </w:t>
            </w:r>
          </w:p>
        </w:tc>
        <w:tc>
          <w:tcPr>
            <w:tcW w:w="661" w:type="pct"/>
            <w:tcBorders>
              <w:top w:val="nil"/>
              <w:left w:val="nil"/>
              <w:bottom w:val="nil"/>
              <w:right w:val="nil"/>
            </w:tcBorders>
            <w:shd w:val="clear" w:color="000000" w:fill="E6E6E6"/>
            <w:noWrap/>
            <w:vAlign w:val="center"/>
            <w:hideMark/>
          </w:tcPr>
          <w:p w14:paraId="27845C99" w14:textId="77777777" w:rsidR="00756F68" w:rsidRPr="000E3C8C" w:rsidRDefault="00756F68" w:rsidP="00E133D8">
            <w:pPr>
              <w:spacing w:after="0" w:line="240" w:lineRule="auto"/>
              <w:jc w:val="right"/>
              <w:rPr>
                <w:rFonts w:ascii="Arial" w:hAnsi="Arial" w:cs="Arial"/>
                <w:color w:val="000000"/>
                <w:sz w:val="16"/>
                <w:szCs w:val="16"/>
              </w:rPr>
            </w:pPr>
            <w:r w:rsidRPr="000E3C8C">
              <w:rPr>
                <w:rFonts w:ascii="Arial" w:hAnsi="Arial" w:cs="Arial"/>
                <w:color w:val="000000"/>
                <w:sz w:val="16"/>
                <w:szCs w:val="16"/>
              </w:rPr>
              <w:t> </w:t>
            </w:r>
          </w:p>
        </w:tc>
      </w:tr>
      <w:tr w:rsidR="00756F68" w:rsidRPr="000E3C8C" w14:paraId="7F35BD5F" w14:textId="77777777" w:rsidTr="00E133D8">
        <w:trPr>
          <w:trHeight w:hRule="exact" w:val="225"/>
        </w:trPr>
        <w:tc>
          <w:tcPr>
            <w:tcW w:w="3679" w:type="pct"/>
            <w:tcBorders>
              <w:top w:val="nil"/>
              <w:left w:val="nil"/>
              <w:bottom w:val="nil"/>
              <w:right w:val="nil"/>
            </w:tcBorders>
            <w:shd w:val="clear" w:color="000000" w:fill="FFFFFF"/>
            <w:noWrap/>
            <w:vAlign w:val="center"/>
            <w:hideMark/>
          </w:tcPr>
          <w:p w14:paraId="28145834" w14:textId="77777777" w:rsidR="00756F68" w:rsidRPr="000E3C8C" w:rsidRDefault="00756F68" w:rsidP="00E133D8">
            <w:pPr>
              <w:spacing w:after="0" w:line="240" w:lineRule="auto"/>
              <w:jc w:val="left"/>
              <w:rPr>
                <w:rFonts w:ascii="Arial" w:hAnsi="Arial" w:cs="Arial"/>
                <w:b/>
                <w:bCs/>
                <w:color w:val="000000"/>
                <w:sz w:val="16"/>
                <w:szCs w:val="16"/>
              </w:rPr>
            </w:pPr>
            <w:r w:rsidRPr="000E3C8C">
              <w:rPr>
                <w:rFonts w:ascii="Arial" w:hAnsi="Arial" w:cs="Arial"/>
                <w:b/>
                <w:bCs/>
                <w:color w:val="000000"/>
                <w:sz w:val="16"/>
                <w:szCs w:val="16"/>
              </w:rPr>
              <w:t>Payments(a)</w:t>
            </w:r>
          </w:p>
        </w:tc>
        <w:tc>
          <w:tcPr>
            <w:tcW w:w="661" w:type="pct"/>
            <w:tcBorders>
              <w:top w:val="nil"/>
              <w:left w:val="nil"/>
              <w:bottom w:val="nil"/>
              <w:right w:val="nil"/>
            </w:tcBorders>
            <w:shd w:val="clear" w:color="000000" w:fill="FFFFFF"/>
            <w:noWrap/>
            <w:vAlign w:val="center"/>
            <w:hideMark/>
          </w:tcPr>
          <w:p w14:paraId="2F888A73" w14:textId="77777777" w:rsidR="00756F68" w:rsidRPr="000E3C8C" w:rsidRDefault="00756F68" w:rsidP="00E133D8">
            <w:pPr>
              <w:spacing w:after="0" w:line="240" w:lineRule="auto"/>
              <w:jc w:val="right"/>
              <w:rPr>
                <w:rFonts w:ascii="Arial" w:hAnsi="Arial" w:cs="Arial"/>
                <w:b/>
                <w:bCs/>
                <w:color w:val="000000"/>
                <w:sz w:val="16"/>
                <w:szCs w:val="16"/>
              </w:rPr>
            </w:pPr>
            <w:r w:rsidRPr="000E3C8C">
              <w:rPr>
                <w:rFonts w:ascii="Arial" w:hAnsi="Arial" w:cs="Arial"/>
                <w:b/>
                <w:bCs/>
                <w:color w:val="000000"/>
                <w:sz w:val="16"/>
                <w:szCs w:val="16"/>
              </w:rPr>
              <w:t>550.0</w:t>
            </w:r>
          </w:p>
        </w:tc>
        <w:tc>
          <w:tcPr>
            <w:tcW w:w="661" w:type="pct"/>
            <w:tcBorders>
              <w:top w:val="nil"/>
              <w:left w:val="nil"/>
              <w:bottom w:val="nil"/>
              <w:right w:val="nil"/>
            </w:tcBorders>
            <w:shd w:val="clear" w:color="000000" w:fill="E6E6E6"/>
            <w:noWrap/>
            <w:vAlign w:val="center"/>
            <w:hideMark/>
          </w:tcPr>
          <w:p w14:paraId="2434232A" w14:textId="77777777" w:rsidR="00756F68" w:rsidRPr="000E3C8C" w:rsidRDefault="00756F68" w:rsidP="00E133D8">
            <w:pPr>
              <w:spacing w:after="0" w:line="240" w:lineRule="auto"/>
              <w:jc w:val="right"/>
              <w:rPr>
                <w:rFonts w:ascii="Arial" w:hAnsi="Arial" w:cs="Arial"/>
                <w:b/>
                <w:bCs/>
                <w:color w:val="000000"/>
                <w:sz w:val="16"/>
                <w:szCs w:val="16"/>
              </w:rPr>
            </w:pPr>
            <w:r w:rsidRPr="000E3C8C">
              <w:rPr>
                <w:rFonts w:ascii="Arial" w:hAnsi="Arial" w:cs="Arial"/>
                <w:b/>
                <w:bCs/>
                <w:color w:val="000000"/>
                <w:sz w:val="16"/>
                <w:szCs w:val="16"/>
              </w:rPr>
              <w:t>640.0</w:t>
            </w:r>
          </w:p>
        </w:tc>
      </w:tr>
      <w:tr w:rsidR="00756F68" w:rsidRPr="000E3C8C" w14:paraId="70E220D1" w14:textId="77777777" w:rsidTr="00E133D8">
        <w:trPr>
          <w:trHeight w:hRule="exact" w:val="225"/>
        </w:trPr>
        <w:tc>
          <w:tcPr>
            <w:tcW w:w="3679" w:type="pct"/>
            <w:tcBorders>
              <w:top w:val="nil"/>
              <w:left w:val="nil"/>
              <w:bottom w:val="nil"/>
              <w:right w:val="nil"/>
            </w:tcBorders>
            <w:shd w:val="clear" w:color="000000" w:fill="FFFFFF"/>
            <w:noWrap/>
            <w:vAlign w:val="center"/>
            <w:hideMark/>
          </w:tcPr>
          <w:p w14:paraId="4BAEF1C7" w14:textId="77777777" w:rsidR="00756F68" w:rsidRPr="000E3C8C" w:rsidRDefault="00756F68" w:rsidP="00E133D8">
            <w:pPr>
              <w:spacing w:after="0" w:line="240" w:lineRule="auto"/>
              <w:jc w:val="left"/>
              <w:rPr>
                <w:rFonts w:ascii="Arial" w:hAnsi="Arial" w:cs="Arial"/>
                <w:color w:val="000000"/>
                <w:sz w:val="16"/>
                <w:szCs w:val="16"/>
              </w:rPr>
            </w:pPr>
            <w:r w:rsidRPr="000E3C8C">
              <w:rPr>
                <w:rFonts w:ascii="Arial" w:hAnsi="Arial" w:cs="Arial"/>
                <w:color w:val="000000"/>
                <w:sz w:val="16"/>
                <w:szCs w:val="16"/>
              </w:rPr>
              <w:t>Per cent of GDP</w:t>
            </w:r>
          </w:p>
        </w:tc>
        <w:tc>
          <w:tcPr>
            <w:tcW w:w="661" w:type="pct"/>
            <w:tcBorders>
              <w:top w:val="nil"/>
              <w:left w:val="nil"/>
              <w:bottom w:val="nil"/>
              <w:right w:val="nil"/>
            </w:tcBorders>
            <w:shd w:val="clear" w:color="000000" w:fill="FFFFFF"/>
            <w:noWrap/>
            <w:vAlign w:val="center"/>
            <w:hideMark/>
          </w:tcPr>
          <w:p w14:paraId="117E3A56" w14:textId="77777777" w:rsidR="00756F68" w:rsidRPr="000E3C8C" w:rsidRDefault="00756F68" w:rsidP="00E133D8">
            <w:pPr>
              <w:spacing w:after="0" w:line="240" w:lineRule="auto"/>
              <w:jc w:val="right"/>
              <w:rPr>
                <w:rFonts w:ascii="Arial" w:hAnsi="Arial" w:cs="Arial"/>
                <w:sz w:val="16"/>
                <w:szCs w:val="16"/>
              </w:rPr>
            </w:pPr>
            <w:r w:rsidRPr="000E3C8C">
              <w:rPr>
                <w:rFonts w:ascii="Arial" w:hAnsi="Arial" w:cs="Arial"/>
                <w:sz w:val="16"/>
                <w:szCs w:val="16"/>
              </w:rPr>
              <w:t>27.7</w:t>
            </w:r>
          </w:p>
        </w:tc>
        <w:tc>
          <w:tcPr>
            <w:tcW w:w="661" w:type="pct"/>
            <w:tcBorders>
              <w:top w:val="nil"/>
              <w:left w:val="nil"/>
              <w:bottom w:val="nil"/>
              <w:right w:val="nil"/>
            </w:tcBorders>
            <w:shd w:val="clear" w:color="000000" w:fill="E6E6E6"/>
            <w:noWrap/>
            <w:vAlign w:val="center"/>
            <w:hideMark/>
          </w:tcPr>
          <w:p w14:paraId="32909CF5" w14:textId="77777777" w:rsidR="00756F68" w:rsidRPr="000E3C8C" w:rsidRDefault="00756F68" w:rsidP="00E133D8">
            <w:pPr>
              <w:spacing w:after="0" w:line="240" w:lineRule="auto"/>
              <w:jc w:val="right"/>
              <w:rPr>
                <w:rFonts w:ascii="Arial" w:hAnsi="Arial" w:cs="Arial"/>
                <w:sz w:val="16"/>
                <w:szCs w:val="16"/>
              </w:rPr>
            </w:pPr>
            <w:r w:rsidRPr="000E3C8C">
              <w:rPr>
                <w:rFonts w:ascii="Arial" w:hAnsi="Arial" w:cs="Arial"/>
                <w:sz w:val="16"/>
                <w:szCs w:val="16"/>
              </w:rPr>
              <w:t>33.8</w:t>
            </w:r>
          </w:p>
        </w:tc>
      </w:tr>
      <w:tr w:rsidR="00756F68" w:rsidRPr="000E3C8C" w14:paraId="67883F09" w14:textId="77777777" w:rsidTr="00E133D8">
        <w:trPr>
          <w:trHeight w:hRule="exact" w:val="60"/>
        </w:trPr>
        <w:tc>
          <w:tcPr>
            <w:tcW w:w="3679" w:type="pct"/>
            <w:tcBorders>
              <w:top w:val="nil"/>
              <w:left w:val="nil"/>
              <w:bottom w:val="nil"/>
              <w:right w:val="nil"/>
            </w:tcBorders>
            <w:shd w:val="clear" w:color="000000" w:fill="FFFFFF"/>
            <w:noWrap/>
            <w:vAlign w:val="center"/>
            <w:hideMark/>
          </w:tcPr>
          <w:p w14:paraId="2E11EC83" w14:textId="77777777" w:rsidR="00756F68" w:rsidRPr="000E3C8C" w:rsidRDefault="00756F68" w:rsidP="00E133D8">
            <w:pPr>
              <w:spacing w:after="0" w:line="240" w:lineRule="auto"/>
              <w:jc w:val="left"/>
              <w:rPr>
                <w:rFonts w:ascii="Arial" w:hAnsi="Arial" w:cs="Arial"/>
                <w:color w:val="000000"/>
                <w:sz w:val="16"/>
                <w:szCs w:val="16"/>
              </w:rPr>
            </w:pPr>
            <w:r w:rsidRPr="000E3C8C">
              <w:rPr>
                <w:rFonts w:ascii="Arial" w:hAnsi="Arial" w:cs="Arial"/>
                <w:color w:val="000000"/>
                <w:sz w:val="16"/>
                <w:szCs w:val="16"/>
              </w:rPr>
              <w:t> </w:t>
            </w:r>
          </w:p>
        </w:tc>
        <w:tc>
          <w:tcPr>
            <w:tcW w:w="661" w:type="pct"/>
            <w:tcBorders>
              <w:top w:val="nil"/>
              <w:left w:val="nil"/>
              <w:bottom w:val="nil"/>
              <w:right w:val="nil"/>
            </w:tcBorders>
            <w:shd w:val="clear" w:color="000000" w:fill="FFFFFF"/>
            <w:noWrap/>
            <w:vAlign w:val="center"/>
            <w:hideMark/>
          </w:tcPr>
          <w:p w14:paraId="00AB175D" w14:textId="77777777" w:rsidR="00756F68" w:rsidRPr="000E3C8C" w:rsidRDefault="00756F68" w:rsidP="00E133D8">
            <w:pPr>
              <w:spacing w:after="0" w:line="240" w:lineRule="auto"/>
              <w:jc w:val="right"/>
              <w:rPr>
                <w:rFonts w:ascii="Arial" w:hAnsi="Arial" w:cs="Arial"/>
                <w:color w:val="000000"/>
                <w:sz w:val="16"/>
                <w:szCs w:val="16"/>
              </w:rPr>
            </w:pPr>
            <w:r w:rsidRPr="000E3C8C">
              <w:rPr>
                <w:rFonts w:ascii="Arial" w:hAnsi="Arial" w:cs="Arial"/>
                <w:color w:val="000000"/>
                <w:sz w:val="16"/>
                <w:szCs w:val="16"/>
              </w:rPr>
              <w:t> </w:t>
            </w:r>
          </w:p>
        </w:tc>
        <w:tc>
          <w:tcPr>
            <w:tcW w:w="661" w:type="pct"/>
            <w:tcBorders>
              <w:top w:val="nil"/>
              <w:left w:val="nil"/>
              <w:bottom w:val="nil"/>
              <w:right w:val="nil"/>
            </w:tcBorders>
            <w:shd w:val="clear" w:color="000000" w:fill="E6E6E6"/>
            <w:noWrap/>
            <w:vAlign w:val="center"/>
            <w:hideMark/>
          </w:tcPr>
          <w:p w14:paraId="3EABFFFC" w14:textId="77777777" w:rsidR="00756F68" w:rsidRPr="000E3C8C" w:rsidRDefault="00756F68" w:rsidP="00E133D8">
            <w:pPr>
              <w:spacing w:after="0" w:line="240" w:lineRule="auto"/>
              <w:jc w:val="right"/>
              <w:rPr>
                <w:rFonts w:ascii="Arial" w:hAnsi="Arial" w:cs="Arial"/>
                <w:color w:val="000000"/>
                <w:sz w:val="16"/>
                <w:szCs w:val="16"/>
              </w:rPr>
            </w:pPr>
            <w:r w:rsidRPr="000E3C8C">
              <w:rPr>
                <w:rFonts w:ascii="Arial" w:hAnsi="Arial" w:cs="Arial"/>
                <w:color w:val="000000"/>
                <w:sz w:val="16"/>
                <w:szCs w:val="16"/>
              </w:rPr>
              <w:t> </w:t>
            </w:r>
          </w:p>
        </w:tc>
      </w:tr>
      <w:tr w:rsidR="00756F68" w:rsidRPr="000E3C8C" w14:paraId="7FA57EFA" w14:textId="77777777" w:rsidTr="00E133D8">
        <w:trPr>
          <w:trHeight w:hRule="exact" w:val="225"/>
        </w:trPr>
        <w:tc>
          <w:tcPr>
            <w:tcW w:w="3679" w:type="pct"/>
            <w:tcBorders>
              <w:top w:val="nil"/>
              <w:left w:val="nil"/>
              <w:bottom w:val="nil"/>
              <w:right w:val="nil"/>
            </w:tcBorders>
            <w:shd w:val="clear" w:color="000000" w:fill="FFFFFF"/>
            <w:noWrap/>
            <w:vAlign w:val="center"/>
            <w:hideMark/>
          </w:tcPr>
          <w:p w14:paraId="70E7356D" w14:textId="77777777" w:rsidR="00756F68" w:rsidRPr="000E3C8C" w:rsidRDefault="00756F68" w:rsidP="00E133D8">
            <w:pPr>
              <w:spacing w:after="0" w:line="240" w:lineRule="auto"/>
              <w:jc w:val="left"/>
              <w:rPr>
                <w:rFonts w:ascii="Arial" w:hAnsi="Arial" w:cs="Arial"/>
                <w:color w:val="000000"/>
                <w:sz w:val="16"/>
                <w:szCs w:val="16"/>
              </w:rPr>
            </w:pPr>
            <w:r w:rsidRPr="000E3C8C">
              <w:rPr>
                <w:rFonts w:ascii="Arial" w:hAnsi="Arial" w:cs="Arial"/>
                <w:color w:val="000000"/>
                <w:sz w:val="16"/>
                <w:szCs w:val="16"/>
              </w:rPr>
              <w:t>Net Future Fund earnings(b)</w:t>
            </w:r>
          </w:p>
        </w:tc>
        <w:tc>
          <w:tcPr>
            <w:tcW w:w="661" w:type="pct"/>
            <w:tcBorders>
              <w:top w:val="nil"/>
              <w:left w:val="nil"/>
              <w:bottom w:val="nil"/>
              <w:right w:val="nil"/>
            </w:tcBorders>
            <w:shd w:val="clear" w:color="000000" w:fill="FFFFFF"/>
            <w:noWrap/>
            <w:vAlign w:val="center"/>
            <w:hideMark/>
          </w:tcPr>
          <w:p w14:paraId="70F98BC8" w14:textId="77777777" w:rsidR="00756F68" w:rsidRPr="000E3C8C" w:rsidRDefault="00756F68" w:rsidP="00E133D8">
            <w:pPr>
              <w:spacing w:after="0" w:line="240" w:lineRule="auto"/>
              <w:jc w:val="right"/>
              <w:rPr>
                <w:rFonts w:ascii="Arial" w:hAnsi="Arial" w:cs="Arial"/>
                <w:color w:val="000000"/>
                <w:sz w:val="16"/>
                <w:szCs w:val="16"/>
              </w:rPr>
            </w:pPr>
            <w:r w:rsidRPr="000E3C8C">
              <w:rPr>
                <w:rFonts w:ascii="Arial" w:hAnsi="Arial" w:cs="Arial"/>
                <w:color w:val="000000"/>
                <w:sz w:val="16"/>
                <w:szCs w:val="16"/>
              </w:rPr>
              <w:t>5.3</w:t>
            </w:r>
          </w:p>
        </w:tc>
        <w:tc>
          <w:tcPr>
            <w:tcW w:w="661" w:type="pct"/>
            <w:tcBorders>
              <w:top w:val="nil"/>
              <w:left w:val="nil"/>
              <w:bottom w:val="nil"/>
              <w:right w:val="nil"/>
            </w:tcBorders>
            <w:shd w:val="clear" w:color="000000" w:fill="E6E6E6"/>
            <w:noWrap/>
            <w:vAlign w:val="center"/>
            <w:hideMark/>
          </w:tcPr>
          <w:p w14:paraId="30747B28" w14:textId="77777777" w:rsidR="00756F68" w:rsidRPr="000E3C8C" w:rsidRDefault="00756F68" w:rsidP="00E133D8">
            <w:pPr>
              <w:spacing w:after="0" w:line="240" w:lineRule="auto"/>
              <w:jc w:val="right"/>
              <w:rPr>
                <w:rFonts w:ascii="Arial" w:hAnsi="Arial" w:cs="Arial"/>
                <w:color w:val="000000"/>
                <w:sz w:val="16"/>
                <w:szCs w:val="16"/>
              </w:rPr>
            </w:pPr>
            <w:proofErr w:type="spellStart"/>
            <w:r w:rsidRPr="000E3C8C">
              <w:rPr>
                <w:rFonts w:ascii="Arial" w:hAnsi="Arial" w:cs="Arial"/>
                <w:color w:val="000000"/>
                <w:sz w:val="16"/>
                <w:szCs w:val="16"/>
              </w:rPr>
              <w:t>na</w:t>
            </w:r>
            <w:proofErr w:type="spellEnd"/>
          </w:p>
        </w:tc>
      </w:tr>
      <w:tr w:rsidR="00756F68" w:rsidRPr="000E3C8C" w14:paraId="697DA6B5" w14:textId="77777777" w:rsidTr="00E133D8">
        <w:trPr>
          <w:trHeight w:hRule="exact" w:val="60"/>
        </w:trPr>
        <w:tc>
          <w:tcPr>
            <w:tcW w:w="3679" w:type="pct"/>
            <w:tcBorders>
              <w:top w:val="nil"/>
              <w:left w:val="nil"/>
              <w:bottom w:val="nil"/>
              <w:right w:val="nil"/>
            </w:tcBorders>
            <w:shd w:val="clear" w:color="000000" w:fill="FFFFFF"/>
            <w:noWrap/>
            <w:vAlign w:val="center"/>
            <w:hideMark/>
          </w:tcPr>
          <w:p w14:paraId="0B0527AC" w14:textId="77777777" w:rsidR="00756F68" w:rsidRPr="000E3C8C" w:rsidRDefault="00756F68" w:rsidP="00E133D8">
            <w:pPr>
              <w:spacing w:after="0" w:line="240" w:lineRule="auto"/>
              <w:jc w:val="left"/>
              <w:rPr>
                <w:rFonts w:ascii="Arial" w:hAnsi="Arial" w:cs="Arial"/>
                <w:color w:val="000000"/>
                <w:sz w:val="16"/>
                <w:szCs w:val="16"/>
              </w:rPr>
            </w:pPr>
            <w:r w:rsidRPr="000E3C8C">
              <w:rPr>
                <w:rFonts w:ascii="Arial" w:hAnsi="Arial" w:cs="Arial"/>
                <w:color w:val="000000"/>
                <w:sz w:val="16"/>
                <w:szCs w:val="16"/>
              </w:rPr>
              <w:t> </w:t>
            </w:r>
          </w:p>
        </w:tc>
        <w:tc>
          <w:tcPr>
            <w:tcW w:w="661" w:type="pct"/>
            <w:tcBorders>
              <w:top w:val="nil"/>
              <w:left w:val="nil"/>
              <w:bottom w:val="nil"/>
              <w:right w:val="nil"/>
            </w:tcBorders>
            <w:shd w:val="clear" w:color="000000" w:fill="FFFFFF"/>
            <w:noWrap/>
            <w:vAlign w:val="center"/>
            <w:hideMark/>
          </w:tcPr>
          <w:p w14:paraId="5FCFA5DC" w14:textId="77777777" w:rsidR="00756F68" w:rsidRPr="000E3C8C" w:rsidRDefault="00756F68" w:rsidP="00E133D8">
            <w:pPr>
              <w:spacing w:after="0" w:line="240" w:lineRule="auto"/>
              <w:jc w:val="right"/>
              <w:rPr>
                <w:rFonts w:ascii="Arial" w:hAnsi="Arial" w:cs="Arial"/>
                <w:color w:val="000000"/>
                <w:sz w:val="16"/>
                <w:szCs w:val="16"/>
              </w:rPr>
            </w:pPr>
            <w:r w:rsidRPr="000E3C8C">
              <w:rPr>
                <w:rFonts w:ascii="Arial" w:hAnsi="Arial" w:cs="Arial"/>
                <w:color w:val="000000"/>
                <w:sz w:val="16"/>
                <w:szCs w:val="16"/>
              </w:rPr>
              <w:t> </w:t>
            </w:r>
          </w:p>
        </w:tc>
        <w:tc>
          <w:tcPr>
            <w:tcW w:w="661" w:type="pct"/>
            <w:tcBorders>
              <w:top w:val="nil"/>
              <w:left w:val="nil"/>
              <w:bottom w:val="nil"/>
              <w:right w:val="nil"/>
            </w:tcBorders>
            <w:shd w:val="clear" w:color="000000" w:fill="E6E6E6"/>
            <w:noWrap/>
            <w:vAlign w:val="center"/>
            <w:hideMark/>
          </w:tcPr>
          <w:p w14:paraId="3C1AC17D" w14:textId="77777777" w:rsidR="00756F68" w:rsidRPr="000E3C8C" w:rsidRDefault="00756F68" w:rsidP="00E133D8">
            <w:pPr>
              <w:spacing w:after="0" w:line="240" w:lineRule="auto"/>
              <w:jc w:val="right"/>
              <w:rPr>
                <w:rFonts w:ascii="Arial" w:hAnsi="Arial" w:cs="Arial"/>
                <w:color w:val="000000"/>
                <w:sz w:val="16"/>
                <w:szCs w:val="16"/>
              </w:rPr>
            </w:pPr>
            <w:r w:rsidRPr="000E3C8C">
              <w:rPr>
                <w:rFonts w:ascii="Arial" w:hAnsi="Arial" w:cs="Arial"/>
                <w:color w:val="000000"/>
                <w:sz w:val="16"/>
                <w:szCs w:val="16"/>
              </w:rPr>
              <w:t> </w:t>
            </w:r>
          </w:p>
        </w:tc>
      </w:tr>
      <w:tr w:rsidR="00756F68" w:rsidRPr="000E3C8C" w14:paraId="3DE9061F" w14:textId="77777777" w:rsidTr="00E133D8">
        <w:trPr>
          <w:trHeight w:hRule="exact" w:val="225"/>
        </w:trPr>
        <w:tc>
          <w:tcPr>
            <w:tcW w:w="3679" w:type="pct"/>
            <w:tcBorders>
              <w:top w:val="nil"/>
              <w:left w:val="nil"/>
              <w:bottom w:val="nil"/>
              <w:right w:val="nil"/>
            </w:tcBorders>
            <w:shd w:val="clear" w:color="000000" w:fill="FFFFFF"/>
            <w:noWrap/>
            <w:vAlign w:val="center"/>
            <w:hideMark/>
          </w:tcPr>
          <w:p w14:paraId="147166D7" w14:textId="77777777" w:rsidR="00756F68" w:rsidRPr="000E3C8C" w:rsidRDefault="00756F68" w:rsidP="00E133D8">
            <w:pPr>
              <w:spacing w:after="0" w:line="240" w:lineRule="auto"/>
              <w:jc w:val="left"/>
              <w:rPr>
                <w:rFonts w:ascii="Arial" w:hAnsi="Arial" w:cs="Arial"/>
                <w:b/>
                <w:bCs/>
                <w:sz w:val="16"/>
                <w:szCs w:val="16"/>
              </w:rPr>
            </w:pPr>
            <w:r w:rsidRPr="000E3C8C">
              <w:rPr>
                <w:rFonts w:ascii="Arial" w:hAnsi="Arial" w:cs="Arial"/>
                <w:b/>
                <w:bCs/>
                <w:sz w:val="16"/>
                <w:szCs w:val="16"/>
              </w:rPr>
              <w:t>Underlying cash balance(c)</w:t>
            </w:r>
          </w:p>
        </w:tc>
        <w:tc>
          <w:tcPr>
            <w:tcW w:w="661" w:type="pct"/>
            <w:tcBorders>
              <w:top w:val="nil"/>
              <w:left w:val="nil"/>
              <w:bottom w:val="nil"/>
              <w:right w:val="nil"/>
            </w:tcBorders>
            <w:shd w:val="clear" w:color="000000" w:fill="FFFFFF"/>
            <w:noWrap/>
            <w:vAlign w:val="center"/>
            <w:hideMark/>
          </w:tcPr>
          <w:p w14:paraId="5D830DF6" w14:textId="5EE92E8F" w:rsidR="00756F68" w:rsidRPr="000E3C8C" w:rsidRDefault="00E834B1" w:rsidP="00E133D8">
            <w:pPr>
              <w:spacing w:after="0" w:line="240" w:lineRule="auto"/>
              <w:jc w:val="right"/>
              <w:rPr>
                <w:rFonts w:ascii="Arial" w:hAnsi="Arial" w:cs="Arial"/>
                <w:b/>
                <w:bCs/>
                <w:sz w:val="16"/>
                <w:szCs w:val="16"/>
              </w:rPr>
            </w:pPr>
            <w:r>
              <w:rPr>
                <w:rFonts w:ascii="Arial" w:hAnsi="Arial" w:cs="Arial"/>
                <w:b/>
                <w:bCs/>
                <w:sz w:val="16"/>
                <w:szCs w:val="16"/>
              </w:rPr>
              <w:noBreakHyphen/>
            </w:r>
            <w:r w:rsidR="00756F68" w:rsidRPr="000E3C8C">
              <w:rPr>
                <w:rFonts w:ascii="Arial" w:hAnsi="Arial" w:cs="Arial"/>
                <w:b/>
                <w:bCs/>
                <w:sz w:val="16"/>
                <w:szCs w:val="16"/>
              </w:rPr>
              <w:t>85.8</w:t>
            </w:r>
          </w:p>
        </w:tc>
        <w:tc>
          <w:tcPr>
            <w:tcW w:w="661" w:type="pct"/>
            <w:tcBorders>
              <w:top w:val="nil"/>
              <w:left w:val="nil"/>
              <w:bottom w:val="nil"/>
              <w:right w:val="nil"/>
            </w:tcBorders>
            <w:shd w:val="clear" w:color="000000" w:fill="E6E6E6"/>
            <w:noWrap/>
            <w:vAlign w:val="center"/>
            <w:hideMark/>
          </w:tcPr>
          <w:p w14:paraId="07BB77A1" w14:textId="0CA10FA2" w:rsidR="00756F68" w:rsidRPr="000E3C8C" w:rsidRDefault="00E834B1" w:rsidP="00E133D8">
            <w:pPr>
              <w:spacing w:after="0" w:line="240" w:lineRule="auto"/>
              <w:jc w:val="right"/>
              <w:rPr>
                <w:rFonts w:ascii="Arial" w:hAnsi="Arial" w:cs="Arial"/>
                <w:b/>
                <w:bCs/>
                <w:sz w:val="16"/>
                <w:szCs w:val="16"/>
              </w:rPr>
            </w:pPr>
            <w:r>
              <w:rPr>
                <w:rFonts w:ascii="Arial" w:hAnsi="Arial" w:cs="Arial"/>
                <w:b/>
                <w:bCs/>
                <w:sz w:val="16"/>
                <w:szCs w:val="16"/>
              </w:rPr>
              <w:noBreakHyphen/>
            </w:r>
            <w:r w:rsidR="00756F68" w:rsidRPr="000E3C8C">
              <w:rPr>
                <w:rFonts w:ascii="Arial" w:hAnsi="Arial" w:cs="Arial"/>
                <w:b/>
                <w:bCs/>
                <w:sz w:val="16"/>
                <w:szCs w:val="16"/>
              </w:rPr>
              <w:t>184.5</w:t>
            </w:r>
          </w:p>
        </w:tc>
      </w:tr>
      <w:tr w:rsidR="00756F68" w:rsidRPr="000E3C8C" w14:paraId="64DBA1CF" w14:textId="77777777" w:rsidTr="00E133D8">
        <w:trPr>
          <w:trHeight w:hRule="exact" w:val="225"/>
        </w:trPr>
        <w:tc>
          <w:tcPr>
            <w:tcW w:w="3679" w:type="pct"/>
            <w:tcBorders>
              <w:top w:val="nil"/>
              <w:left w:val="nil"/>
              <w:bottom w:val="single" w:sz="4" w:space="0" w:color="000000"/>
              <w:right w:val="nil"/>
            </w:tcBorders>
            <w:shd w:val="clear" w:color="000000" w:fill="FFFFFF"/>
            <w:noWrap/>
            <w:vAlign w:val="center"/>
            <w:hideMark/>
          </w:tcPr>
          <w:p w14:paraId="2F9CBAAA" w14:textId="77777777" w:rsidR="00756F68" w:rsidRPr="000E3C8C" w:rsidRDefault="00756F68" w:rsidP="00E133D8">
            <w:pPr>
              <w:spacing w:after="0" w:line="240" w:lineRule="auto"/>
              <w:jc w:val="left"/>
              <w:rPr>
                <w:rFonts w:ascii="Arial" w:hAnsi="Arial" w:cs="Arial"/>
                <w:sz w:val="16"/>
                <w:szCs w:val="16"/>
              </w:rPr>
            </w:pPr>
            <w:r w:rsidRPr="000E3C8C">
              <w:rPr>
                <w:rFonts w:ascii="Arial" w:hAnsi="Arial" w:cs="Arial"/>
                <w:sz w:val="16"/>
                <w:szCs w:val="16"/>
              </w:rPr>
              <w:t>Per cent of GDP</w:t>
            </w:r>
          </w:p>
        </w:tc>
        <w:tc>
          <w:tcPr>
            <w:tcW w:w="661" w:type="pct"/>
            <w:tcBorders>
              <w:top w:val="nil"/>
              <w:left w:val="nil"/>
              <w:bottom w:val="single" w:sz="4" w:space="0" w:color="auto"/>
              <w:right w:val="nil"/>
            </w:tcBorders>
            <w:shd w:val="clear" w:color="000000" w:fill="FFFFFF"/>
            <w:noWrap/>
            <w:vAlign w:val="center"/>
            <w:hideMark/>
          </w:tcPr>
          <w:p w14:paraId="2AB1D8B6" w14:textId="7A28CA4B" w:rsidR="00756F68" w:rsidRPr="000E3C8C" w:rsidRDefault="00E834B1" w:rsidP="00E133D8">
            <w:pPr>
              <w:spacing w:after="0" w:line="240" w:lineRule="auto"/>
              <w:jc w:val="right"/>
              <w:rPr>
                <w:rFonts w:ascii="Arial" w:hAnsi="Arial" w:cs="Arial"/>
                <w:sz w:val="16"/>
                <w:szCs w:val="16"/>
              </w:rPr>
            </w:pPr>
            <w:r>
              <w:rPr>
                <w:rFonts w:ascii="Arial" w:hAnsi="Arial" w:cs="Arial"/>
                <w:sz w:val="16"/>
                <w:szCs w:val="16"/>
              </w:rPr>
              <w:noBreakHyphen/>
            </w:r>
            <w:r w:rsidR="00756F68" w:rsidRPr="000E3C8C">
              <w:rPr>
                <w:rFonts w:ascii="Arial" w:hAnsi="Arial" w:cs="Arial"/>
                <w:sz w:val="16"/>
                <w:szCs w:val="16"/>
              </w:rPr>
              <w:t>4.3</w:t>
            </w:r>
          </w:p>
        </w:tc>
        <w:tc>
          <w:tcPr>
            <w:tcW w:w="661" w:type="pct"/>
            <w:tcBorders>
              <w:top w:val="nil"/>
              <w:left w:val="nil"/>
              <w:bottom w:val="single" w:sz="4" w:space="0" w:color="auto"/>
              <w:right w:val="nil"/>
            </w:tcBorders>
            <w:shd w:val="clear" w:color="000000" w:fill="E6E6E6"/>
            <w:noWrap/>
            <w:vAlign w:val="center"/>
            <w:hideMark/>
          </w:tcPr>
          <w:p w14:paraId="03D38680" w14:textId="48FD7248" w:rsidR="00756F68" w:rsidRPr="000E3C8C" w:rsidRDefault="00E834B1" w:rsidP="00E133D8">
            <w:pPr>
              <w:spacing w:after="0" w:line="240" w:lineRule="auto"/>
              <w:jc w:val="right"/>
              <w:rPr>
                <w:rFonts w:ascii="Arial" w:hAnsi="Arial" w:cs="Arial"/>
                <w:sz w:val="16"/>
                <w:szCs w:val="16"/>
              </w:rPr>
            </w:pPr>
            <w:r>
              <w:rPr>
                <w:rFonts w:ascii="Arial" w:hAnsi="Arial" w:cs="Arial"/>
                <w:sz w:val="16"/>
                <w:szCs w:val="16"/>
              </w:rPr>
              <w:noBreakHyphen/>
            </w:r>
            <w:r w:rsidR="00756F68" w:rsidRPr="000E3C8C">
              <w:rPr>
                <w:rFonts w:ascii="Arial" w:hAnsi="Arial" w:cs="Arial"/>
                <w:sz w:val="16"/>
                <w:szCs w:val="16"/>
              </w:rPr>
              <w:t>9.7</w:t>
            </w:r>
          </w:p>
        </w:tc>
      </w:tr>
      <w:tr w:rsidR="00756F68" w:rsidRPr="000E3C8C" w14:paraId="644AA9C5" w14:textId="77777777" w:rsidTr="00E133D8">
        <w:trPr>
          <w:trHeight w:hRule="exact" w:val="225"/>
        </w:trPr>
        <w:tc>
          <w:tcPr>
            <w:tcW w:w="3679" w:type="pct"/>
            <w:tcBorders>
              <w:top w:val="single" w:sz="4" w:space="0" w:color="auto"/>
              <w:left w:val="nil"/>
              <w:bottom w:val="nil"/>
              <w:right w:val="nil"/>
            </w:tcBorders>
            <w:shd w:val="clear" w:color="000000" w:fill="FFFFFF"/>
            <w:noWrap/>
            <w:vAlign w:val="center"/>
            <w:hideMark/>
          </w:tcPr>
          <w:p w14:paraId="58DB5CB6" w14:textId="77777777" w:rsidR="00756F68" w:rsidRPr="000E3C8C" w:rsidRDefault="00756F68" w:rsidP="00E133D8">
            <w:pPr>
              <w:spacing w:after="0" w:line="240" w:lineRule="auto"/>
              <w:jc w:val="left"/>
              <w:rPr>
                <w:rFonts w:ascii="Arial" w:hAnsi="Arial" w:cs="Arial"/>
                <w:i/>
                <w:iCs/>
                <w:color w:val="000000"/>
                <w:sz w:val="16"/>
                <w:szCs w:val="16"/>
              </w:rPr>
            </w:pPr>
            <w:r w:rsidRPr="000E3C8C">
              <w:rPr>
                <w:rFonts w:ascii="Arial" w:hAnsi="Arial" w:cs="Arial"/>
                <w:i/>
                <w:iCs/>
                <w:color w:val="000000"/>
                <w:sz w:val="16"/>
                <w:szCs w:val="16"/>
              </w:rPr>
              <w:t>Memorandum:</w:t>
            </w:r>
          </w:p>
        </w:tc>
        <w:tc>
          <w:tcPr>
            <w:tcW w:w="661" w:type="pct"/>
            <w:tcBorders>
              <w:top w:val="nil"/>
              <w:left w:val="nil"/>
              <w:bottom w:val="nil"/>
              <w:right w:val="nil"/>
            </w:tcBorders>
            <w:shd w:val="clear" w:color="000000" w:fill="FFFFFF"/>
            <w:noWrap/>
            <w:vAlign w:val="center"/>
            <w:hideMark/>
          </w:tcPr>
          <w:p w14:paraId="72809C23" w14:textId="77777777" w:rsidR="00756F68" w:rsidRPr="000E3C8C" w:rsidRDefault="00756F68" w:rsidP="00E133D8">
            <w:pPr>
              <w:spacing w:after="0" w:line="240" w:lineRule="auto"/>
              <w:jc w:val="right"/>
              <w:rPr>
                <w:rFonts w:ascii="Arial" w:hAnsi="Arial" w:cs="Arial"/>
                <w:color w:val="33CCCC"/>
                <w:sz w:val="16"/>
                <w:szCs w:val="16"/>
              </w:rPr>
            </w:pPr>
            <w:r w:rsidRPr="000E3C8C">
              <w:rPr>
                <w:rFonts w:ascii="Arial" w:hAnsi="Arial" w:cs="Arial"/>
                <w:color w:val="33CCCC"/>
                <w:sz w:val="16"/>
                <w:szCs w:val="16"/>
              </w:rPr>
              <w:t> </w:t>
            </w:r>
          </w:p>
        </w:tc>
        <w:tc>
          <w:tcPr>
            <w:tcW w:w="661" w:type="pct"/>
            <w:tcBorders>
              <w:top w:val="nil"/>
              <w:left w:val="nil"/>
              <w:bottom w:val="nil"/>
              <w:right w:val="nil"/>
            </w:tcBorders>
            <w:shd w:val="clear" w:color="000000" w:fill="E6E6E6"/>
            <w:noWrap/>
            <w:vAlign w:val="center"/>
            <w:hideMark/>
          </w:tcPr>
          <w:p w14:paraId="4AF2EBBE" w14:textId="77777777" w:rsidR="00756F68" w:rsidRPr="000E3C8C" w:rsidRDefault="00756F68" w:rsidP="00E133D8">
            <w:pPr>
              <w:spacing w:after="0" w:line="240" w:lineRule="auto"/>
              <w:jc w:val="right"/>
              <w:rPr>
                <w:rFonts w:ascii="Arial" w:hAnsi="Arial" w:cs="Arial"/>
                <w:color w:val="33CCCC"/>
                <w:sz w:val="16"/>
                <w:szCs w:val="16"/>
              </w:rPr>
            </w:pPr>
            <w:r w:rsidRPr="000E3C8C">
              <w:rPr>
                <w:rFonts w:ascii="Arial" w:hAnsi="Arial" w:cs="Arial"/>
                <w:color w:val="33CCCC"/>
                <w:sz w:val="16"/>
                <w:szCs w:val="16"/>
              </w:rPr>
              <w:t> </w:t>
            </w:r>
          </w:p>
        </w:tc>
      </w:tr>
      <w:tr w:rsidR="00756F68" w:rsidRPr="000E3C8C" w14:paraId="25249346" w14:textId="77777777" w:rsidTr="00E133D8">
        <w:trPr>
          <w:trHeight w:hRule="exact" w:val="225"/>
        </w:trPr>
        <w:tc>
          <w:tcPr>
            <w:tcW w:w="3679" w:type="pct"/>
            <w:tcBorders>
              <w:top w:val="nil"/>
              <w:left w:val="nil"/>
              <w:bottom w:val="single" w:sz="4" w:space="0" w:color="auto"/>
              <w:right w:val="nil"/>
            </w:tcBorders>
            <w:shd w:val="clear" w:color="000000" w:fill="FFFFFF"/>
            <w:noWrap/>
            <w:vAlign w:val="center"/>
            <w:hideMark/>
          </w:tcPr>
          <w:p w14:paraId="1F5FCAED" w14:textId="77777777" w:rsidR="00756F68" w:rsidRPr="000E3C8C" w:rsidRDefault="00756F68" w:rsidP="00E133D8">
            <w:pPr>
              <w:spacing w:after="0" w:line="240" w:lineRule="auto"/>
              <w:jc w:val="left"/>
              <w:rPr>
                <w:rFonts w:ascii="Arial" w:hAnsi="Arial" w:cs="Arial"/>
                <w:color w:val="000000"/>
                <w:sz w:val="16"/>
                <w:szCs w:val="16"/>
              </w:rPr>
            </w:pPr>
            <w:r w:rsidRPr="000E3C8C">
              <w:rPr>
                <w:rFonts w:ascii="Arial" w:hAnsi="Arial" w:cs="Arial"/>
                <w:color w:val="000000"/>
                <w:sz w:val="16"/>
                <w:szCs w:val="16"/>
              </w:rPr>
              <w:t>Net Future Fund earnings(b)</w:t>
            </w:r>
          </w:p>
        </w:tc>
        <w:tc>
          <w:tcPr>
            <w:tcW w:w="661" w:type="pct"/>
            <w:tcBorders>
              <w:top w:val="nil"/>
              <w:left w:val="nil"/>
              <w:bottom w:val="single" w:sz="4" w:space="0" w:color="auto"/>
              <w:right w:val="nil"/>
            </w:tcBorders>
            <w:shd w:val="clear" w:color="000000" w:fill="FFFFFF"/>
            <w:noWrap/>
            <w:vAlign w:val="center"/>
            <w:hideMark/>
          </w:tcPr>
          <w:p w14:paraId="38F8B034" w14:textId="77777777" w:rsidR="00756F68" w:rsidRPr="000E3C8C" w:rsidRDefault="00756F68" w:rsidP="00E133D8">
            <w:pPr>
              <w:spacing w:after="0" w:line="240" w:lineRule="auto"/>
              <w:jc w:val="right"/>
              <w:rPr>
                <w:rFonts w:ascii="Arial" w:hAnsi="Arial" w:cs="Arial"/>
                <w:sz w:val="16"/>
                <w:szCs w:val="16"/>
              </w:rPr>
            </w:pPr>
            <w:r w:rsidRPr="000E3C8C">
              <w:rPr>
                <w:rFonts w:ascii="Arial" w:hAnsi="Arial" w:cs="Arial"/>
                <w:sz w:val="16"/>
                <w:szCs w:val="16"/>
              </w:rPr>
              <w:t>5.3</w:t>
            </w:r>
          </w:p>
        </w:tc>
        <w:tc>
          <w:tcPr>
            <w:tcW w:w="661" w:type="pct"/>
            <w:tcBorders>
              <w:top w:val="nil"/>
              <w:left w:val="nil"/>
              <w:bottom w:val="single" w:sz="4" w:space="0" w:color="auto"/>
              <w:right w:val="nil"/>
            </w:tcBorders>
            <w:shd w:val="clear" w:color="000000" w:fill="E6E6E6"/>
            <w:noWrap/>
            <w:vAlign w:val="center"/>
            <w:hideMark/>
          </w:tcPr>
          <w:p w14:paraId="378C8705" w14:textId="77777777" w:rsidR="00756F68" w:rsidRPr="000E3C8C" w:rsidRDefault="00756F68" w:rsidP="00E133D8">
            <w:pPr>
              <w:spacing w:after="0" w:line="240" w:lineRule="auto"/>
              <w:jc w:val="right"/>
              <w:rPr>
                <w:rFonts w:ascii="Arial" w:hAnsi="Arial" w:cs="Arial"/>
                <w:sz w:val="16"/>
                <w:szCs w:val="16"/>
              </w:rPr>
            </w:pPr>
            <w:r w:rsidRPr="000E3C8C">
              <w:rPr>
                <w:rFonts w:ascii="Arial" w:hAnsi="Arial" w:cs="Arial"/>
                <w:sz w:val="16"/>
                <w:szCs w:val="16"/>
              </w:rPr>
              <w:t>5.4</w:t>
            </w:r>
          </w:p>
        </w:tc>
      </w:tr>
    </w:tbl>
    <w:p w14:paraId="2EBFE365" w14:textId="23A2E158" w:rsidR="00043F1D" w:rsidRPr="000E3C8C" w:rsidRDefault="00043F1D" w:rsidP="00E133D8">
      <w:pPr>
        <w:pStyle w:val="ChartandTableFootnoteAlpha"/>
        <w:numPr>
          <w:ilvl w:val="0"/>
          <w:numId w:val="12"/>
        </w:numPr>
        <w:rPr>
          <w:rFonts w:eastAsia="Calibri"/>
        </w:rPr>
      </w:pPr>
      <w:r w:rsidRPr="000E3C8C">
        <w:rPr>
          <w:rFonts w:eastAsia="Calibri"/>
        </w:rPr>
        <w:t>Equivalent to cash payments for operating activities, purchases of non</w:t>
      </w:r>
      <w:r w:rsidR="00E834B1">
        <w:rPr>
          <w:rFonts w:eastAsia="Calibri"/>
        </w:rPr>
        <w:noBreakHyphen/>
      </w:r>
      <w:r w:rsidRPr="000E3C8C">
        <w:rPr>
          <w:rFonts w:eastAsia="Calibri"/>
        </w:rPr>
        <w:t>financial assets and net cash flows from financing activities for leases.</w:t>
      </w:r>
    </w:p>
    <w:p w14:paraId="4FA8777B" w14:textId="7A281D53" w:rsidR="00F32BD4" w:rsidRPr="000E3C8C" w:rsidRDefault="00F32BD4" w:rsidP="00043F1D">
      <w:pPr>
        <w:pStyle w:val="ChartandTableFootnoteAlpha"/>
        <w:rPr>
          <w:rFonts w:eastAsia="Calibri"/>
        </w:rPr>
      </w:pPr>
      <w:r w:rsidRPr="000E3C8C">
        <w:rPr>
          <w:rFonts w:eastAsia="Calibri"/>
        </w:rPr>
        <w:t xml:space="preserve">Under the </w:t>
      </w:r>
      <w:r w:rsidRPr="000E3C8C">
        <w:rPr>
          <w:rFonts w:eastAsia="Calibri"/>
          <w:i/>
        </w:rPr>
        <w:t>Future Fund Act 2006</w:t>
      </w:r>
      <w:r w:rsidRPr="000E3C8C">
        <w:rPr>
          <w:rFonts w:eastAsia="Calibri"/>
        </w:rPr>
        <w:t>, net Future Fund earnings will be available to meet the Australian Government</w:t>
      </w:r>
      <w:r w:rsidR="00E834B1">
        <w:rPr>
          <w:rFonts w:eastAsia="Calibri"/>
        </w:rPr>
        <w:t>’</w:t>
      </w:r>
      <w:r w:rsidRPr="000E3C8C">
        <w:rPr>
          <w:rFonts w:eastAsia="Calibri"/>
        </w:rPr>
        <w:t>s superannuation liability in 2020</w:t>
      </w:r>
      <w:r w:rsidR="00E834B1">
        <w:rPr>
          <w:rFonts w:eastAsia="Calibri"/>
        </w:rPr>
        <w:noBreakHyphen/>
      </w:r>
      <w:r w:rsidRPr="000E3C8C">
        <w:rPr>
          <w:rFonts w:eastAsia="Calibri"/>
        </w:rPr>
        <w:t>21. From this time, the underlying cash balance includes expected net Future Fund earnings.</w:t>
      </w:r>
    </w:p>
    <w:p w14:paraId="62B99080" w14:textId="50D87726" w:rsidR="00F32BD4" w:rsidRPr="000E3C8C" w:rsidRDefault="00F32BD4" w:rsidP="00F32BD4">
      <w:pPr>
        <w:pStyle w:val="ChartandTableFootnoteAlpha"/>
        <w:rPr>
          <w:rFonts w:eastAsia="Calibri" w:cs="Arial"/>
        </w:rPr>
      </w:pPr>
      <w:r w:rsidRPr="000E3C8C">
        <w:rPr>
          <w:rFonts w:eastAsia="Calibri" w:cs="Arial"/>
        </w:rPr>
        <w:t>Excludes expected net Future Fund earnings before 2020</w:t>
      </w:r>
      <w:r w:rsidR="00E834B1">
        <w:rPr>
          <w:rFonts w:eastAsia="Calibri" w:cs="Arial"/>
        </w:rPr>
        <w:noBreakHyphen/>
      </w:r>
      <w:r w:rsidRPr="000E3C8C">
        <w:rPr>
          <w:rFonts w:eastAsia="Calibri" w:cs="Arial"/>
        </w:rPr>
        <w:t>21.</w:t>
      </w:r>
    </w:p>
    <w:p w14:paraId="7E9E5888" w14:textId="77777777" w:rsidR="002A115E" w:rsidRPr="000E3C8C" w:rsidRDefault="002A115E" w:rsidP="002A115E">
      <w:pPr>
        <w:pStyle w:val="SingleParagraph"/>
        <w:rPr>
          <w:rFonts w:eastAsia="Calibri"/>
        </w:rPr>
      </w:pPr>
    </w:p>
    <w:p w14:paraId="69C9BC82" w14:textId="698BA722" w:rsidR="00E61920" w:rsidRPr="000E3C8C" w:rsidRDefault="00345734" w:rsidP="00E61920">
      <w:r w:rsidRPr="000E3C8C">
        <w:fldChar w:fldCharType="begin"/>
      </w:r>
      <w:r w:rsidRPr="000E3C8C">
        <w:instrText xml:space="preserve"> :End:</w:instrText>
      </w:r>
      <w:r w:rsidR="00B83222" w:rsidRPr="000E3C8C">
        <w:instrText>FARM_AB1</w:instrText>
      </w:r>
      <w:r w:rsidRPr="000E3C8C">
        <w:instrText xml:space="preserve"> </w:instrText>
      </w:r>
      <w:r w:rsidRPr="000E3C8C">
        <w:fldChar w:fldCharType="end"/>
      </w:r>
      <w:r w:rsidRPr="000E3C8C">
        <w:fldChar w:fldCharType="begin"/>
      </w:r>
      <w:r w:rsidRPr="000E3C8C">
        <w:instrText xml:space="preserve"> :Start:BPD_JR1 </w:instrText>
      </w:r>
      <w:r w:rsidRPr="000E3C8C">
        <w:fldChar w:fldCharType="end"/>
      </w:r>
      <w:r w:rsidR="00983195" w:rsidRPr="000E3C8C">
        <w:t xml:space="preserve">Total receipts </w:t>
      </w:r>
      <w:r w:rsidR="002478C6" w:rsidRPr="000E3C8C">
        <w:t>are expected to be $469.</w:t>
      </w:r>
      <w:r w:rsidR="000E4A74" w:rsidRPr="000E3C8C">
        <w:t xml:space="preserve">5 </w:t>
      </w:r>
      <w:r w:rsidR="002478C6" w:rsidRPr="000E3C8C">
        <w:t>billion in 2019</w:t>
      </w:r>
      <w:r w:rsidR="00E834B1">
        <w:noBreakHyphen/>
      </w:r>
      <w:r w:rsidR="002478C6" w:rsidRPr="000E3C8C">
        <w:t>20 (23.6 per cent of GDP), and $455.5</w:t>
      </w:r>
      <w:r w:rsidR="00682EDD" w:rsidRPr="000E3C8C">
        <w:t xml:space="preserve"> billion in 2020</w:t>
      </w:r>
      <w:r w:rsidR="00E834B1">
        <w:noBreakHyphen/>
      </w:r>
      <w:r w:rsidR="00682EDD" w:rsidRPr="000E3C8C">
        <w:t>21 (</w:t>
      </w:r>
      <w:r w:rsidR="002478C6" w:rsidRPr="000E3C8C">
        <w:t>24.0</w:t>
      </w:r>
      <w:r w:rsidR="00682EDD" w:rsidRPr="000E3C8C">
        <w:t xml:space="preserve"> per cent of GDP), a </w:t>
      </w:r>
      <w:r w:rsidR="00A653ED" w:rsidRPr="000E3C8C">
        <w:t>deterioration of $</w:t>
      </w:r>
      <w:r w:rsidR="00A337F9" w:rsidRPr="000E3C8C">
        <w:t>94.1</w:t>
      </w:r>
      <w:r w:rsidR="00FE74F1" w:rsidRPr="000E3C8C">
        <w:t xml:space="preserve"> billion over </w:t>
      </w:r>
      <w:r w:rsidR="00857FE6" w:rsidRPr="000E3C8C">
        <w:t xml:space="preserve">those </w:t>
      </w:r>
      <w:r w:rsidR="00FE74F1" w:rsidRPr="000E3C8C">
        <w:t>two </w:t>
      </w:r>
      <w:r w:rsidR="00682EDD" w:rsidRPr="000E3C8C">
        <w:t xml:space="preserve">years </w:t>
      </w:r>
      <w:r w:rsidR="00FF2F08" w:rsidRPr="000E3C8C">
        <w:t xml:space="preserve">compared </w:t>
      </w:r>
      <w:r w:rsidR="00857FE6" w:rsidRPr="000E3C8C">
        <w:t xml:space="preserve">with </w:t>
      </w:r>
      <w:r w:rsidR="00FF2F08" w:rsidRPr="000E3C8C">
        <w:t>the</w:t>
      </w:r>
      <w:r w:rsidR="00682EDD" w:rsidRPr="000E3C8C">
        <w:t xml:space="preserve"> 2019</w:t>
      </w:r>
      <w:r w:rsidR="00E834B1">
        <w:noBreakHyphen/>
      </w:r>
      <w:r w:rsidR="00682EDD" w:rsidRPr="000E3C8C">
        <w:t xml:space="preserve">20 MYEFO. </w:t>
      </w:r>
      <w:r w:rsidR="00D74DA7" w:rsidRPr="000E3C8C">
        <w:rPr>
          <w:rFonts w:eastAsia="Calibri"/>
        </w:rPr>
        <w:fldChar w:fldCharType="begin"/>
      </w:r>
      <w:r w:rsidR="00D74DA7" w:rsidRPr="000E3C8C">
        <w:rPr>
          <w:rFonts w:eastAsia="Calibri"/>
        </w:rPr>
        <w:instrText xml:space="preserve"> :End:BPD_JR1 </w:instrText>
      </w:r>
      <w:r w:rsidR="00D74DA7" w:rsidRPr="000E3C8C">
        <w:rPr>
          <w:rFonts w:eastAsia="Calibri"/>
        </w:rPr>
        <w:fldChar w:fldCharType="end"/>
      </w:r>
      <w:r w:rsidR="00D74DA7" w:rsidRPr="000E3C8C">
        <w:fldChar w:fldCharType="begin"/>
      </w:r>
      <w:r w:rsidR="00D74DA7" w:rsidRPr="000E3C8C">
        <w:instrText xml:space="preserve"> :Start:TAD_KDM</w:instrText>
      </w:r>
      <w:r w:rsidR="00A96BBC" w:rsidRPr="000E3C8C">
        <w:instrText>2</w:instrText>
      </w:r>
      <w:r w:rsidR="00D74DA7" w:rsidRPr="000E3C8C">
        <w:instrText xml:space="preserve"> </w:instrText>
      </w:r>
      <w:r w:rsidR="00D74DA7" w:rsidRPr="000E3C8C">
        <w:fldChar w:fldCharType="end"/>
      </w:r>
      <w:r w:rsidR="00E61920" w:rsidRPr="000E3C8C">
        <w:t xml:space="preserve"> This deterioration largely reflects lower forecasts across all major tax heads of revenue, consistent with falling average </w:t>
      </w:r>
      <w:r w:rsidR="00661358" w:rsidRPr="000E3C8C">
        <w:t>earnings</w:t>
      </w:r>
      <w:r w:rsidR="00E61920" w:rsidRPr="000E3C8C">
        <w:t>, along with lower forecasts for employment and consumption in 2020</w:t>
      </w:r>
      <w:r w:rsidR="00E834B1">
        <w:noBreakHyphen/>
      </w:r>
      <w:r w:rsidR="00E61920" w:rsidRPr="000E3C8C">
        <w:t>21.</w:t>
      </w:r>
      <w:r w:rsidR="00E61920" w:rsidRPr="000E3C8C">
        <w:fldChar w:fldCharType="begin"/>
      </w:r>
      <w:r w:rsidR="00E61920" w:rsidRPr="000E3C8C">
        <w:instrText xml:space="preserve"> :End:TAD_KDM</w:instrText>
      </w:r>
      <w:r w:rsidR="00A96BBC" w:rsidRPr="000E3C8C">
        <w:instrText>2</w:instrText>
      </w:r>
      <w:r w:rsidR="00E61920" w:rsidRPr="000E3C8C">
        <w:instrText xml:space="preserve"> </w:instrText>
      </w:r>
      <w:r w:rsidR="00E61920" w:rsidRPr="000E3C8C">
        <w:fldChar w:fldCharType="end"/>
      </w:r>
    </w:p>
    <w:p w14:paraId="307E61E4" w14:textId="1A41DA58" w:rsidR="00682EDD" w:rsidRPr="000E3C8C" w:rsidRDefault="00830DEB" w:rsidP="00682EDD">
      <w:pPr>
        <w:rPr>
          <w:rFonts w:cs="Arial"/>
        </w:rPr>
      </w:pPr>
      <w:r w:rsidRPr="000E3C8C">
        <w:rPr>
          <w:rFonts w:cs="Arial"/>
        </w:rPr>
        <w:lastRenderedPageBreak/>
        <w:fldChar w:fldCharType="begin"/>
      </w:r>
      <w:r w:rsidRPr="000E3C8C">
        <w:rPr>
          <w:rFonts w:cs="Arial"/>
        </w:rPr>
        <w:instrText xml:space="preserve"> :Start:BPCD_ER1 </w:instrText>
      </w:r>
      <w:r w:rsidRPr="000E3C8C">
        <w:rPr>
          <w:rFonts w:cs="Arial"/>
        </w:rPr>
        <w:fldChar w:fldCharType="end"/>
      </w:r>
      <w:r w:rsidR="00682EDD" w:rsidRPr="000E3C8C">
        <w:rPr>
          <w:rFonts w:cs="Arial"/>
        </w:rPr>
        <w:t xml:space="preserve">At the same time, </w:t>
      </w:r>
      <w:r w:rsidR="008B560A" w:rsidRPr="000E3C8C">
        <w:rPr>
          <w:rFonts w:cs="Arial"/>
        </w:rPr>
        <w:t>payments have increased by $187.</w:t>
      </w:r>
      <w:r w:rsidR="00746D0D" w:rsidRPr="000E3C8C">
        <w:rPr>
          <w:rFonts w:cs="Arial"/>
        </w:rPr>
        <w:t xml:space="preserve">5 </w:t>
      </w:r>
      <w:r w:rsidR="00682EDD" w:rsidRPr="000E3C8C">
        <w:rPr>
          <w:rFonts w:cs="Arial"/>
        </w:rPr>
        <w:t xml:space="preserve">billion </w:t>
      </w:r>
      <w:r w:rsidR="008B560A" w:rsidRPr="000E3C8C">
        <w:rPr>
          <w:rFonts w:cs="Arial"/>
        </w:rPr>
        <w:t xml:space="preserve">over two years </w:t>
      </w:r>
      <w:r w:rsidR="00682EDD" w:rsidRPr="000E3C8C">
        <w:rPr>
          <w:rFonts w:cs="Arial"/>
        </w:rPr>
        <w:t>from the 2019</w:t>
      </w:r>
      <w:r w:rsidR="00E834B1">
        <w:rPr>
          <w:rFonts w:cs="Arial"/>
        </w:rPr>
        <w:noBreakHyphen/>
      </w:r>
      <w:r w:rsidR="00682EDD" w:rsidRPr="000E3C8C">
        <w:rPr>
          <w:rFonts w:cs="Arial"/>
        </w:rPr>
        <w:t>20 MYEFO estimates.</w:t>
      </w:r>
      <w:r w:rsidR="002478C6" w:rsidRPr="000E3C8C">
        <w:rPr>
          <w:rFonts w:cs="Arial"/>
        </w:rPr>
        <w:t xml:space="preserve"> They are expected to be $550</w:t>
      </w:r>
      <w:r w:rsidR="007E3BBB" w:rsidRPr="000E3C8C">
        <w:rPr>
          <w:rFonts w:cs="Arial"/>
        </w:rPr>
        <w:t>.</w:t>
      </w:r>
      <w:r w:rsidR="000E4A74" w:rsidRPr="000E3C8C">
        <w:rPr>
          <w:rFonts w:cs="Arial"/>
        </w:rPr>
        <w:t xml:space="preserve">0 </w:t>
      </w:r>
      <w:r w:rsidR="007E3BBB" w:rsidRPr="000E3C8C">
        <w:rPr>
          <w:rFonts w:cs="Arial"/>
        </w:rPr>
        <w:t>billion in 2019</w:t>
      </w:r>
      <w:r w:rsidR="00E834B1">
        <w:rPr>
          <w:rFonts w:cs="Arial"/>
        </w:rPr>
        <w:noBreakHyphen/>
      </w:r>
      <w:r w:rsidR="007E3BBB" w:rsidRPr="000E3C8C">
        <w:rPr>
          <w:rFonts w:cs="Arial"/>
        </w:rPr>
        <w:t>20 (27.7 per </w:t>
      </w:r>
      <w:r w:rsidR="002478C6" w:rsidRPr="000E3C8C">
        <w:rPr>
          <w:rFonts w:cs="Arial"/>
        </w:rPr>
        <w:t>cent of GDP), rising to $640.0 billion in 2020</w:t>
      </w:r>
      <w:r w:rsidR="00E834B1">
        <w:rPr>
          <w:rFonts w:cs="Arial"/>
        </w:rPr>
        <w:noBreakHyphen/>
      </w:r>
      <w:r w:rsidR="002478C6" w:rsidRPr="000E3C8C">
        <w:rPr>
          <w:rFonts w:cs="Arial"/>
        </w:rPr>
        <w:t>21 (33.8</w:t>
      </w:r>
      <w:r w:rsidR="00682EDD" w:rsidRPr="000E3C8C">
        <w:rPr>
          <w:rFonts w:cs="Arial"/>
        </w:rPr>
        <w:t xml:space="preserve"> per cent of GDP)</w:t>
      </w:r>
      <w:r w:rsidR="00974A84" w:rsidRPr="000E3C8C">
        <w:rPr>
          <w:rFonts w:cs="Arial"/>
        </w:rPr>
        <w:t xml:space="preserve">. </w:t>
      </w:r>
      <w:r w:rsidR="00682EDD" w:rsidRPr="000E3C8C">
        <w:rPr>
          <w:rFonts w:cs="Arial"/>
        </w:rPr>
        <w:t xml:space="preserve">This increase is </w:t>
      </w:r>
      <w:proofErr w:type="gramStart"/>
      <w:r w:rsidR="00682EDD" w:rsidRPr="000E3C8C">
        <w:rPr>
          <w:rFonts w:cs="Arial"/>
        </w:rPr>
        <w:t>as a result</w:t>
      </w:r>
      <w:proofErr w:type="gramEnd"/>
      <w:r w:rsidR="00682EDD" w:rsidRPr="000E3C8C">
        <w:rPr>
          <w:rFonts w:cs="Arial"/>
        </w:rPr>
        <w:t xml:space="preserve"> of the Government</w:t>
      </w:r>
      <w:r w:rsidR="00E834B1">
        <w:rPr>
          <w:rFonts w:cs="Arial"/>
        </w:rPr>
        <w:t>’</w:t>
      </w:r>
      <w:r w:rsidR="001B2A27" w:rsidRPr="000E3C8C">
        <w:rPr>
          <w:rFonts w:cs="Arial"/>
        </w:rPr>
        <w:t>s</w:t>
      </w:r>
      <w:r w:rsidR="00682EDD" w:rsidRPr="000E3C8C">
        <w:rPr>
          <w:rFonts w:cs="Arial"/>
        </w:rPr>
        <w:t xml:space="preserve"> </w:t>
      </w:r>
      <w:r w:rsidR="001B2A27" w:rsidRPr="000E3C8C">
        <w:rPr>
          <w:rFonts w:cs="Arial"/>
        </w:rPr>
        <w:t>targeted responses</w:t>
      </w:r>
      <w:r w:rsidR="00682EDD" w:rsidRPr="000E3C8C">
        <w:rPr>
          <w:rFonts w:cs="Arial"/>
        </w:rPr>
        <w:t xml:space="preserve"> to the </w:t>
      </w:r>
      <w:r w:rsidR="009A6480" w:rsidRPr="000E3C8C">
        <w:rPr>
          <w:rFonts w:cs="Arial"/>
        </w:rPr>
        <w:t>COVID</w:t>
      </w:r>
      <w:r w:rsidR="00E834B1">
        <w:rPr>
          <w:rFonts w:cs="Arial"/>
        </w:rPr>
        <w:noBreakHyphen/>
      </w:r>
      <w:r w:rsidR="00D63FEF" w:rsidRPr="000E3C8C">
        <w:rPr>
          <w:rFonts w:cs="Arial"/>
        </w:rPr>
        <w:t>19</w:t>
      </w:r>
      <w:r w:rsidR="007E71B5" w:rsidRPr="000E3C8C">
        <w:rPr>
          <w:rFonts w:cs="Arial"/>
        </w:rPr>
        <w:t xml:space="preserve"> </w:t>
      </w:r>
      <w:r w:rsidR="00D63FEF" w:rsidRPr="000E3C8C">
        <w:rPr>
          <w:rFonts w:cs="Arial"/>
        </w:rPr>
        <w:t>pandemic</w:t>
      </w:r>
      <w:r w:rsidR="00682EDD" w:rsidRPr="000E3C8C">
        <w:rPr>
          <w:rFonts w:cs="Arial"/>
        </w:rPr>
        <w:t xml:space="preserve"> to support Australia</w:t>
      </w:r>
      <w:r w:rsidR="00E834B1">
        <w:rPr>
          <w:rFonts w:cs="Arial"/>
        </w:rPr>
        <w:t>’</w:t>
      </w:r>
      <w:r w:rsidR="00682EDD" w:rsidRPr="000E3C8C">
        <w:rPr>
          <w:rFonts w:cs="Arial"/>
        </w:rPr>
        <w:t xml:space="preserve">s </w:t>
      </w:r>
      <w:r w:rsidR="001B2A27" w:rsidRPr="000E3C8C">
        <w:rPr>
          <w:rFonts w:cs="Arial"/>
        </w:rPr>
        <w:t>economy</w:t>
      </w:r>
      <w:r w:rsidR="00682EDD" w:rsidRPr="000E3C8C">
        <w:rPr>
          <w:rFonts w:cs="Arial"/>
        </w:rPr>
        <w:t>, as well as the impact of automatic stabilisers including</w:t>
      </w:r>
      <w:r w:rsidR="009D2C43" w:rsidRPr="000E3C8C">
        <w:rPr>
          <w:rFonts w:cs="Arial"/>
        </w:rPr>
        <w:t xml:space="preserve"> the payment of</w:t>
      </w:r>
      <w:r w:rsidR="00682EDD" w:rsidRPr="000E3C8C">
        <w:rPr>
          <w:rFonts w:cs="Arial"/>
        </w:rPr>
        <w:t xml:space="preserve"> unemployment benefits.</w:t>
      </w:r>
    </w:p>
    <w:p w14:paraId="1B73A5E1" w14:textId="5F2C9C37" w:rsidR="00FD74BA" w:rsidRPr="000E3C8C" w:rsidRDefault="00830DEB" w:rsidP="00987076">
      <w:pPr>
        <w:pStyle w:val="Heading2"/>
        <w:rPr>
          <w:rFonts w:ascii="Arial" w:eastAsia="Calibri" w:hAnsi="Arial" w:cs="Arial"/>
        </w:rPr>
      </w:pPr>
      <w:r w:rsidRPr="000E3C8C">
        <w:rPr>
          <w:rFonts w:cs="Arial"/>
        </w:rPr>
        <w:fldChar w:fldCharType="begin"/>
      </w:r>
      <w:r w:rsidRPr="000E3C8C">
        <w:rPr>
          <w:rFonts w:cs="Arial"/>
        </w:rPr>
        <w:instrText xml:space="preserve"> :End:BPCD_ER1 </w:instrText>
      </w:r>
      <w:r w:rsidRPr="000E3C8C">
        <w:rPr>
          <w:rFonts w:cs="Arial"/>
        </w:rPr>
        <w:fldChar w:fldCharType="end"/>
      </w:r>
      <w:r w:rsidRPr="000E3C8C">
        <w:rPr>
          <w:rFonts w:cs="Arial"/>
        </w:rPr>
        <w:fldChar w:fldCharType="begin"/>
      </w:r>
      <w:r w:rsidRPr="000E3C8C">
        <w:rPr>
          <w:rFonts w:cs="Arial"/>
        </w:rPr>
        <w:instrText xml:space="preserve"> :Start:BPD_JR1 </w:instrText>
      </w:r>
      <w:r w:rsidRPr="000E3C8C">
        <w:rPr>
          <w:rFonts w:cs="Arial"/>
        </w:rPr>
        <w:fldChar w:fldCharType="end"/>
      </w:r>
      <w:r w:rsidR="00987076" w:rsidRPr="000E3C8C">
        <w:rPr>
          <w:rFonts w:ascii="Arial" w:eastAsia="Calibri" w:hAnsi="Arial" w:cs="Arial"/>
        </w:rPr>
        <w:t>Underlying cash balance estimates</w:t>
      </w:r>
    </w:p>
    <w:p w14:paraId="73838E21" w14:textId="7A991868" w:rsidR="001D2642" w:rsidRPr="000E3C8C" w:rsidRDefault="001B45BA" w:rsidP="008A0F69">
      <w:pPr>
        <w:rPr>
          <w:rFonts w:cs="Arial"/>
        </w:rPr>
      </w:pPr>
      <w:r w:rsidRPr="000E3C8C">
        <w:rPr>
          <w:rFonts w:cs="Arial"/>
        </w:rPr>
        <w:t>Table 3.3</w:t>
      </w:r>
      <w:r w:rsidR="00F77F73" w:rsidRPr="000E3C8C">
        <w:rPr>
          <w:rFonts w:cs="Arial"/>
        </w:rPr>
        <w:t xml:space="preserve"> provides a reconciliation of </w:t>
      </w:r>
      <w:r w:rsidR="00E91F40" w:rsidRPr="000E3C8C">
        <w:rPr>
          <w:rFonts w:cs="Arial"/>
        </w:rPr>
        <w:t>the variations in the underlying cash balance estimates</w:t>
      </w:r>
      <w:r w:rsidR="00E22DCC" w:rsidRPr="000E3C8C">
        <w:rPr>
          <w:rFonts w:cs="Arial"/>
        </w:rPr>
        <w:t xml:space="preserve"> since the 2019</w:t>
      </w:r>
      <w:r w:rsidR="00E834B1">
        <w:rPr>
          <w:rFonts w:cs="Arial"/>
        </w:rPr>
        <w:noBreakHyphen/>
      </w:r>
      <w:r w:rsidR="00E22DCC" w:rsidRPr="000E3C8C">
        <w:rPr>
          <w:rFonts w:cs="Arial"/>
        </w:rPr>
        <w:t>20 MYEFO</w:t>
      </w:r>
      <w:r w:rsidR="00E91F40" w:rsidRPr="000E3C8C">
        <w:rPr>
          <w:rFonts w:cs="Arial"/>
        </w:rPr>
        <w:t>.</w:t>
      </w:r>
    </w:p>
    <w:p w14:paraId="18142E89" w14:textId="7643D72D" w:rsidR="00D10DBB" w:rsidRPr="000E3C8C" w:rsidRDefault="00F04628" w:rsidP="00803DA0">
      <w:pPr>
        <w:pStyle w:val="TableHeading"/>
        <w:rPr>
          <w:rFonts w:asciiTheme="minorHAnsi" w:eastAsiaTheme="minorHAnsi" w:hAnsiTheme="minorHAnsi" w:cstheme="minorBidi"/>
          <w:b w:val="0"/>
          <w:sz w:val="22"/>
          <w:szCs w:val="22"/>
          <w:lang w:eastAsia="en-US"/>
        </w:rPr>
      </w:pPr>
      <w:r w:rsidRPr="000E3C8C">
        <w:rPr>
          <w:rFonts w:eastAsia="Calibri"/>
        </w:rPr>
        <w:fldChar w:fldCharType="begin"/>
      </w:r>
      <w:r w:rsidRPr="000E3C8C">
        <w:rPr>
          <w:rFonts w:eastAsia="Calibri"/>
        </w:rPr>
        <w:instrText xml:space="preserve"> :End:BPD_JR1 </w:instrText>
      </w:r>
      <w:r w:rsidRPr="000E3C8C">
        <w:rPr>
          <w:rFonts w:eastAsia="Calibri"/>
        </w:rPr>
        <w:fldChar w:fldCharType="end"/>
      </w:r>
      <w:r w:rsidR="00A164AA" w:rsidRPr="000E3C8C">
        <w:rPr>
          <w:rFonts w:eastAsia="Calibri"/>
        </w:rPr>
        <w:fldChar w:fldCharType="begin"/>
      </w:r>
      <w:r w:rsidR="00A164AA" w:rsidRPr="000E3C8C">
        <w:rPr>
          <w:rFonts w:eastAsia="Calibri"/>
        </w:rPr>
        <w:instrText xml:space="preserve"> :Start:</w:instrText>
      </w:r>
      <w:r w:rsidR="00B83222" w:rsidRPr="000E3C8C">
        <w:rPr>
          <w:rFonts w:eastAsia="Calibri"/>
        </w:rPr>
        <w:instrText>FARM_AB1</w:instrText>
      </w:r>
      <w:r w:rsidR="00A164AA" w:rsidRPr="000E3C8C">
        <w:rPr>
          <w:rFonts w:eastAsia="Calibri"/>
        </w:rPr>
        <w:instrText xml:space="preserve"> </w:instrText>
      </w:r>
      <w:r w:rsidR="00A164AA" w:rsidRPr="000E3C8C">
        <w:rPr>
          <w:rFonts w:eastAsia="Calibri"/>
        </w:rPr>
        <w:fldChar w:fldCharType="end"/>
      </w:r>
      <w:r w:rsidR="00CF4EAA" w:rsidRPr="000E3C8C">
        <w:rPr>
          <w:rFonts w:eastAsia="Calibri"/>
        </w:rPr>
        <w:t xml:space="preserve">Table </w:t>
      </w:r>
      <w:r w:rsidR="0031121C" w:rsidRPr="000E3C8C">
        <w:rPr>
          <w:rFonts w:eastAsia="Calibri"/>
        </w:rPr>
        <w:t>3.</w:t>
      </w:r>
      <w:r w:rsidR="001B45BA" w:rsidRPr="000E3C8C">
        <w:rPr>
          <w:rFonts w:eastAsia="Calibri"/>
        </w:rPr>
        <w:t>3</w:t>
      </w:r>
      <w:r w:rsidR="00CF4EAA" w:rsidRPr="000E3C8C">
        <w:rPr>
          <w:rFonts w:eastAsia="Calibri"/>
        </w:rPr>
        <w:t>: Reconciliation of underlying cash balance estimates</w:t>
      </w:r>
    </w:p>
    <w:tbl>
      <w:tblPr>
        <w:tblW w:w="5000" w:type="pct"/>
        <w:tblLook w:val="04A0" w:firstRow="1" w:lastRow="0" w:firstColumn="1" w:lastColumn="0" w:noHBand="0" w:noVBand="1"/>
      </w:tblPr>
      <w:tblGrid>
        <w:gridCol w:w="5943"/>
        <w:gridCol w:w="862"/>
        <w:gridCol w:w="905"/>
      </w:tblGrid>
      <w:tr w:rsidR="00D10DBB" w:rsidRPr="000E3C8C" w14:paraId="7DD35ACF" w14:textId="77777777" w:rsidTr="00D10DBB">
        <w:trPr>
          <w:trHeight w:hRule="exact" w:val="225"/>
        </w:trPr>
        <w:tc>
          <w:tcPr>
            <w:tcW w:w="3854" w:type="pct"/>
            <w:tcBorders>
              <w:top w:val="single" w:sz="4" w:space="0" w:color="auto"/>
              <w:left w:val="nil"/>
              <w:bottom w:val="nil"/>
              <w:right w:val="nil"/>
            </w:tcBorders>
            <w:shd w:val="clear" w:color="000000" w:fill="FFFFFF"/>
            <w:noWrap/>
            <w:vAlign w:val="center"/>
            <w:hideMark/>
          </w:tcPr>
          <w:p w14:paraId="4D0C6855" w14:textId="0EF6407A" w:rsidR="00D10DBB" w:rsidRPr="000E3C8C" w:rsidRDefault="00D10DBB">
            <w:pPr>
              <w:rPr>
                <w:rFonts w:ascii="Arial" w:hAnsi="Arial" w:cs="Arial"/>
                <w:sz w:val="16"/>
                <w:szCs w:val="16"/>
              </w:rPr>
            </w:pPr>
            <w:r w:rsidRPr="000E3C8C">
              <w:rPr>
                <w:rFonts w:ascii="Arial" w:hAnsi="Arial" w:cs="Arial"/>
                <w:sz w:val="16"/>
                <w:szCs w:val="16"/>
              </w:rPr>
              <w:t> </w:t>
            </w:r>
          </w:p>
        </w:tc>
        <w:tc>
          <w:tcPr>
            <w:tcW w:w="1146" w:type="pct"/>
            <w:gridSpan w:val="2"/>
            <w:tcBorders>
              <w:top w:val="single" w:sz="4" w:space="0" w:color="auto"/>
              <w:left w:val="nil"/>
              <w:bottom w:val="single" w:sz="4" w:space="0" w:color="000000"/>
              <w:right w:val="nil"/>
            </w:tcBorders>
            <w:shd w:val="clear" w:color="000000" w:fill="FFFFFF"/>
            <w:noWrap/>
            <w:vAlign w:val="center"/>
            <w:hideMark/>
          </w:tcPr>
          <w:p w14:paraId="700B5546" w14:textId="77777777" w:rsidR="00D10DBB" w:rsidRPr="000E3C8C" w:rsidRDefault="00D10DBB" w:rsidP="00D10DBB">
            <w:pPr>
              <w:spacing w:after="0" w:line="240" w:lineRule="auto"/>
              <w:jc w:val="center"/>
              <w:rPr>
                <w:rFonts w:ascii="Arial" w:hAnsi="Arial" w:cs="Arial"/>
                <w:sz w:val="16"/>
                <w:szCs w:val="16"/>
              </w:rPr>
            </w:pPr>
            <w:r w:rsidRPr="000E3C8C">
              <w:rPr>
                <w:rFonts w:ascii="Arial" w:hAnsi="Arial" w:cs="Arial"/>
                <w:sz w:val="16"/>
                <w:szCs w:val="16"/>
              </w:rPr>
              <w:t>Estimates</w:t>
            </w:r>
          </w:p>
        </w:tc>
      </w:tr>
      <w:tr w:rsidR="00D10DBB" w:rsidRPr="000E3C8C" w14:paraId="5673412D" w14:textId="77777777" w:rsidTr="00D10DBB">
        <w:trPr>
          <w:trHeight w:hRule="exact" w:val="225"/>
        </w:trPr>
        <w:tc>
          <w:tcPr>
            <w:tcW w:w="3854" w:type="pct"/>
            <w:tcBorders>
              <w:top w:val="nil"/>
              <w:left w:val="nil"/>
              <w:bottom w:val="nil"/>
              <w:right w:val="nil"/>
            </w:tcBorders>
            <w:shd w:val="clear" w:color="000000" w:fill="FFFFFF"/>
            <w:noWrap/>
            <w:vAlign w:val="bottom"/>
            <w:hideMark/>
          </w:tcPr>
          <w:p w14:paraId="304FA51F" w14:textId="77777777" w:rsidR="00D10DBB" w:rsidRPr="000E3C8C" w:rsidRDefault="00D10DBB" w:rsidP="00D10DBB">
            <w:pPr>
              <w:spacing w:after="0" w:line="240" w:lineRule="auto"/>
              <w:jc w:val="left"/>
              <w:rPr>
                <w:rFonts w:ascii="Arial" w:hAnsi="Arial" w:cs="Arial"/>
                <w:sz w:val="16"/>
                <w:szCs w:val="16"/>
              </w:rPr>
            </w:pPr>
            <w:r w:rsidRPr="000E3C8C">
              <w:rPr>
                <w:rFonts w:ascii="Arial" w:hAnsi="Arial" w:cs="Arial"/>
                <w:sz w:val="16"/>
                <w:szCs w:val="16"/>
              </w:rPr>
              <w:t> </w:t>
            </w:r>
          </w:p>
        </w:tc>
        <w:tc>
          <w:tcPr>
            <w:tcW w:w="559" w:type="pct"/>
            <w:tcBorders>
              <w:top w:val="single" w:sz="4" w:space="0" w:color="auto"/>
              <w:left w:val="nil"/>
              <w:bottom w:val="nil"/>
              <w:right w:val="nil"/>
            </w:tcBorders>
            <w:shd w:val="clear" w:color="000000" w:fill="FFFFFF"/>
            <w:noWrap/>
            <w:vAlign w:val="center"/>
            <w:hideMark/>
          </w:tcPr>
          <w:p w14:paraId="7A7E5BB8" w14:textId="610F2BC7" w:rsidR="00D10DBB" w:rsidRPr="000E3C8C" w:rsidRDefault="00D10DBB" w:rsidP="00D10DBB">
            <w:pPr>
              <w:spacing w:after="0" w:line="240" w:lineRule="auto"/>
              <w:jc w:val="right"/>
              <w:rPr>
                <w:rFonts w:ascii="Arial" w:hAnsi="Arial" w:cs="Arial"/>
                <w:sz w:val="16"/>
                <w:szCs w:val="16"/>
              </w:rPr>
            </w:pPr>
            <w:r w:rsidRPr="000E3C8C">
              <w:rPr>
                <w:rFonts w:ascii="Arial" w:hAnsi="Arial" w:cs="Arial"/>
                <w:sz w:val="16"/>
                <w:szCs w:val="16"/>
              </w:rPr>
              <w:t>2019</w:t>
            </w:r>
            <w:r w:rsidR="00E834B1">
              <w:rPr>
                <w:rFonts w:ascii="Arial" w:hAnsi="Arial" w:cs="Arial"/>
                <w:sz w:val="16"/>
                <w:szCs w:val="16"/>
              </w:rPr>
              <w:noBreakHyphen/>
            </w:r>
            <w:r w:rsidRPr="000E3C8C">
              <w:rPr>
                <w:rFonts w:ascii="Arial" w:hAnsi="Arial" w:cs="Arial"/>
                <w:sz w:val="16"/>
                <w:szCs w:val="16"/>
              </w:rPr>
              <w:t>20</w:t>
            </w:r>
          </w:p>
        </w:tc>
        <w:tc>
          <w:tcPr>
            <w:tcW w:w="587" w:type="pct"/>
            <w:tcBorders>
              <w:top w:val="single" w:sz="4" w:space="0" w:color="auto"/>
              <w:left w:val="nil"/>
              <w:bottom w:val="nil"/>
              <w:right w:val="nil"/>
            </w:tcBorders>
            <w:shd w:val="clear" w:color="000000" w:fill="E6E6E6"/>
            <w:noWrap/>
            <w:vAlign w:val="center"/>
            <w:hideMark/>
          </w:tcPr>
          <w:p w14:paraId="5C918A4B" w14:textId="4F909D2E" w:rsidR="00D10DBB" w:rsidRPr="000E3C8C" w:rsidRDefault="00D10DBB" w:rsidP="00D10DBB">
            <w:pPr>
              <w:spacing w:after="0" w:line="240" w:lineRule="auto"/>
              <w:jc w:val="right"/>
              <w:rPr>
                <w:rFonts w:ascii="Arial" w:hAnsi="Arial" w:cs="Arial"/>
                <w:sz w:val="16"/>
                <w:szCs w:val="16"/>
              </w:rPr>
            </w:pPr>
            <w:r w:rsidRPr="000E3C8C">
              <w:rPr>
                <w:rFonts w:ascii="Arial" w:hAnsi="Arial" w:cs="Arial"/>
                <w:sz w:val="16"/>
                <w:szCs w:val="16"/>
              </w:rPr>
              <w:t>2020</w:t>
            </w:r>
            <w:r w:rsidR="00E834B1">
              <w:rPr>
                <w:rFonts w:ascii="Arial" w:hAnsi="Arial" w:cs="Arial"/>
                <w:sz w:val="16"/>
                <w:szCs w:val="16"/>
              </w:rPr>
              <w:noBreakHyphen/>
            </w:r>
            <w:r w:rsidRPr="000E3C8C">
              <w:rPr>
                <w:rFonts w:ascii="Arial" w:hAnsi="Arial" w:cs="Arial"/>
                <w:sz w:val="16"/>
                <w:szCs w:val="16"/>
              </w:rPr>
              <w:t>21</w:t>
            </w:r>
          </w:p>
        </w:tc>
      </w:tr>
      <w:tr w:rsidR="00D10DBB" w:rsidRPr="000E3C8C" w14:paraId="19F89F83" w14:textId="77777777" w:rsidTr="00D10DBB">
        <w:trPr>
          <w:trHeight w:hRule="exact" w:val="225"/>
        </w:trPr>
        <w:tc>
          <w:tcPr>
            <w:tcW w:w="3854" w:type="pct"/>
            <w:tcBorders>
              <w:top w:val="nil"/>
              <w:left w:val="nil"/>
              <w:bottom w:val="nil"/>
              <w:right w:val="nil"/>
            </w:tcBorders>
            <w:shd w:val="clear" w:color="000000" w:fill="FFFFFF"/>
            <w:noWrap/>
            <w:vAlign w:val="center"/>
            <w:hideMark/>
          </w:tcPr>
          <w:p w14:paraId="1E9844B3" w14:textId="77777777" w:rsidR="00D10DBB" w:rsidRPr="000E3C8C" w:rsidRDefault="00D10DBB" w:rsidP="00D10DBB">
            <w:pPr>
              <w:spacing w:after="0" w:line="240" w:lineRule="auto"/>
              <w:jc w:val="left"/>
              <w:rPr>
                <w:rFonts w:ascii="Arial" w:hAnsi="Arial" w:cs="Arial"/>
                <w:sz w:val="16"/>
                <w:szCs w:val="16"/>
              </w:rPr>
            </w:pPr>
            <w:r w:rsidRPr="000E3C8C">
              <w:rPr>
                <w:rFonts w:ascii="Arial" w:hAnsi="Arial" w:cs="Arial"/>
                <w:sz w:val="16"/>
                <w:szCs w:val="16"/>
              </w:rPr>
              <w:t> </w:t>
            </w:r>
          </w:p>
        </w:tc>
        <w:tc>
          <w:tcPr>
            <w:tcW w:w="559" w:type="pct"/>
            <w:tcBorders>
              <w:top w:val="nil"/>
              <w:left w:val="nil"/>
              <w:bottom w:val="single" w:sz="4" w:space="0" w:color="000000"/>
              <w:right w:val="nil"/>
            </w:tcBorders>
            <w:shd w:val="clear" w:color="000000" w:fill="FFFFFF"/>
            <w:noWrap/>
            <w:vAlign w:val="center"/>
            <w:hideMark/>
          </w:tcPr>
          <w:p w14:paraId="52904957" w14:textId="77777777" w:rsidR="00D10DBB" w:rsidRPr="000E3C8C" w:rsidRDefault="00D10DBB" w:rsidP="00D10DBB">
            <w:pPr>
              <w:spacing w:after="0" w:line="240" w:lineRule="auto"/>
              <w:jc w:val="right"/>
              <w:rPr>
                <w:rFonts w:ascii="Arial" w:hAnsi="Arial" w:cs="Arial"/>
                <w:sz w:val="16"/>
                <w:szCs w:val="16"/>
              </w:rPr>
            </w:pPr>
            <w:r w:rsidRPr="000E3C8C">
              <w:rPr>
                <w:rFonts w:ascii="Arial" w:hAnsi="Arial" w:cs="Arial"/>
                <w:sz w:val="16"/>
                <w:szCs w:val="16"/>
              </w:rPr>
              <w:t>$m</w:t>
            </w:r>
          </w:p>
        </w:tc>
        <w:tc>
          <w:tcPr>
            <w:tcW w:w="587" w:type="pct"/>
            <w:tcBorders>
              <w:top w:val="nil"/>
              <w:left w:val="nil"/>
              <w:bottom w:val="single" w:sz="4" w:space="0" w:color="000000"/>
              <w:right w:val="nil"/>
            </w:tcBorders>
            <w:shd w:val="clear" w:color="000000" w:fill="E6E6E6"/>
            <w:noWrap/>
            <w:vAlign w:val="center"/>
            <w:hideMark/>
          </w:tcPr>
          <w:p w14:paraId="045A5EEF" w14:textId="77777777" w:rsidR="00D10DBB" w:rsidRPr="000E3C8C" w:rsidRDefault="00D10DBB" w:rsidP="00D10DBB">
            <w:pPr>
              <w:spacing w:after="0" w:line="240" w:lineRule="auto"/>
              <w:jc w:val="right"/>
              <w:rPr>
                <w:rFonts w:ascii="Arial" w:hAnsi="Arial" w:cs="Arial"/>
                <w:sz w:val="16"/>
                <w:szCs w:val="16"/>
              </w:rPr>
            </w:pPr>
            <w:r w:rsidRPr="000E3C8C">
              <w:rPr>
                <w:rFonts w:ascii="Arial" w:hAnsi="Arial" w:cs="Arial"/>
                <w:sz w:val="16"/>
                <w:szCs w:val="16"/>
              </w:rPr>
              <w:t>$m</w:t>
            </w:r>
          </w:p>
        </w:tc>
      </w:tr>
      <w:tr w:rsidR="00D10DBB" w:rsidRPr="000E3C8C" w14:paraId="4E860D4C" w14:textId="77777777" w:rsidTr="00D10DBB">
        <w:trPr>
          <w:trHeight w:hRule="exact" w:val="225"/>
        </w:trPr>
        <w:tc>
          <w:tcPr>
            <w:tcW w:w="3854" w:type="pct"/>
            <w:tcBorders>
              <w:top w:val="nil"/>
              <w:left w:val="nil"/>
              <w:bottom w:val="nil"/>
              <w:right w:val="nil"/>
            </w:tcBorders>
            <w:shd w:val="clear" w:color="000000" w:fill="FFFFFF"/>
            <w:noWrap/>
            <w:vAlign w:val="center"/>
            <w:hideMark/>
          </w:tcPr>
          <w:p w14:paraId="720C3044" w14:textId="42407801" w:rsidR="00D10DBB" w:rsidRPr="000E3C8C" w:rsidRDefault="00D10DBB" w:rsidP="00D10DBB">
            <w:pPr>
              <w:spacing w:after="0" w:line="240" w:lineRule="auto"/>
              <w:jc w:val="left"/>
              <w:rPr>
                <w:rFonts w:ascii="Arial" w:hAnsi="Arial" w:cs="Arial"/>
                <w:b/>
                <w:bCs/>
                <w:sz w:val="16"/>
                <w:szCs w:val="16"/>
              </w:rPr>
            </w:pPr>
            <w:r w:rsidRPr="000E3C8C">
              <w:rPr>
                <w:rFonts w:ascii="Arial" w:hAnsi="Arial" w:cs="Arial"/>
                <w:b/>
                <w:bCs/>
                <w:sz w:val="16"/>
                <w:szCs w:val="16"/>
              </w:rPr>
              <w:t>2019</w:t>
            </w:r>
            <w:r w:rsidR="00E834B1">
              <w:rPr>
                <w:rFonts w:ascii="Arial" w:hAnsi="Arial" w:cs="Arial"/>
                <w:b/>
                <w:bCs/>
                <w:sz w:val="16"/>
                <w:szCs w:val="16"/>
              </w:rPr>
              <w:noBreakHyphen/>
            </w:r>
            <w:r w:rsidRPr="000E3C8C">
              <w:rPr>
                <w:rFonts w:ascii="Arial" w:hAnsi="Arial" w:cs="Arial"/>
                <w:b/>
                <w:bCs/>
                <w:sz w:val="16"/>
                <w:szCs w:val="16"/>
              </w:rPr>
              <w:t>20 MYEFO underlying cash balance(a)</w:t>
            </w:r>
          </w:p>
        </w:tc>
        <w:tc>
          <w:tcPr>
            <w:tcW w:w="559" w:type="pct"/>
            <w:tcBorders>
              <w:top w:val="nil"/>
              <w:left w:val="nil"/>
              <w:bottom w:val="nil"/>
              <w:right w:val="nil"/>
            </w:tcBorders>
            <w:shd w:val="clear" w:color="000000" w:fill="FFFFFF"/>
            <w:noWrap/>
            <w:vAlign w:val="center"/>
            <w:hideMark/>
          </w:tcPr>
          <w:p w14:paraId="58A48C13" w14:textId="77777777" w:rsidR="00D10DBB" w:rsidRPr="000E3C8C" w:rsidRDefault="00D10DBB" w:rsidP="00D10DBB">
            <w:pPr>
              <w:spacing w:after="0" w:line="240" w:lineRule="auto"/>
              <w:jc w:val="right"/>
              <w:rPr>
                <w:rFonts w:ascii="Arial" w:hAnsi="Arial" w:cs="Arial"/>
                <w:b/>
                <w:bCs/>
                <w:sz w:val="16"/>
                <w:szCs w:val="16"/>
              </w:rPr>
            </w:pPr>
            <w:r w:rsidRPr="000E3C8C">
              <w:rPr>
                <w:rFonts w:ascii="Arial" w:hAnsi="Arial" w:cs="Arial"/>
                <w:b/>
                <w:bCs/>
                <w:sz w:val="16"/>
                <w:szCs w:val="16"/>
              </w:rPr>
              <w:t>5,028</w:t>
            </w:r>
          </w:p>
        </w:tc>
        <w:tc>
          <w:tcPr>
            <w:tcW w:w="587" w:type="pct"/>
            <w:tcBorders>
              <w:top w:val="nil"/>
              <w:left w:val="nil"/>
              <w:bottom w:val="nil"/>
              <w:right w:val="nil"/>
            </w:tcBorders>
            <w:shd w:val="clear" w:color="000000" w:fill="E6E6E6"/>
            <w:noWrap/>
            <w:vAlign w:val="center"/>
            <w:hideMark/>
          </w:tcPr>
          <w:p w14:paraId="3B9E99FB" w14:textId="77777777" w:rsidR="00D10DBB" w:rsidRPr="000E3C8C" w:rsidRDefault="00D10DBB" w:rsidP="00D10DBB">
            <w:pPr>
              <w:spacing w:after="0" w:line="240" w:lineRule="auto"/>
              <w:jc w:val="right"/>
              <w:rPr>
                <w:rFonts w:ascii="Arial" w:hAnsi="Arial" w:cs="Arial"/>
                <w:b/>
                <w:bCs/>
                <w:sz w:val="16"/>
                <w:szCs w:val="16"/>
              </w:rPr>
            </w:pPr>
            <w:r w:rsidRPr="000E3C8C">
              <w:rPr>
                <w:rFonts w:ascii="Arial" w:hAnsi="Arial" w:cs="Arial"/>
                <w:b/>
                <w:bCs/>
                <w:sz w:val="16"/>
                <w:szCs w:val="16"/>
              </w:rPr>
              <w:t>6,054</w:t>
            </w:r>
          </w:p>
        </w:tc>
      </w:tr>
      <w:tr w:rsidR="00D10DBB" w:rsidRPr="000E3C8C" w14:paraId="2F08D6DF" w14:textId="77777777" w:rsidTr="00D10DBB">
        <w:trPr>
          <w:trHeight w:hRule="exact" w:val="225"/>
        </w:trPr>
        <w:tc>
          <w:tcPr>
            <w:tcW w:w="3854" w:type="pct"/>
            <w:tcBorders>
              <w:top w:val="nil"/>
              <w:left w:val="nil"/>
              <w:bottom w:val="nil"/>
              <w:right w:val="nil"/>
            </w:tcBorders>
            <w:shd w:val="clear" w:color="000000" w:fill="FFFFFF"/>
            <w:noWrap/>
            <w:vAlign w:val="center"/>
            <w:hideMark/>
          </w:tcPr>
          <w:p w14:paraId="07B8F1A8" w14:textId="77777777" w:rsidR="00D10DBB" w:rsidRPr="000E3C8C" w:rsidRDefault="00D10DBB" w:rsidP="00D10DBB">
            <w:pPr>
              <w:spacing w:after="0" w:line="240" w:lineRule="auto"/>
              <w:jc w:val="left"/>
              <w:rPr>
                <w:rFonts w:ascii="Arial" w:hAnsi="Arial" w:cs="Arial"/>
                <w:sz w:val="16"/>
                <w:szCs w:val="16"/>
              </w:rPr>
            </w:pPr>
            <w:r w:rsidRPr="000E3C8C">
              <w:rPr>
                <w:rFonts w:ascii="Arial" w:hAnsi="Arial" w:cs="Arial"/>
                <w:sz w:val="16"/>
                <w:szCs w:val="16"/>
              </w:rPr>
              <w:t>Per cent of GDP</w:t>
            </w:r>
          </w:p>
        </w:tc>
        <w:tc>
          <w:tcPr>
            <w:tcW w:w="559" w:type="pct"/>
            <w:tcBorders>
              <w:top w:val="nil"/>
              <w:left w:val="nil"/>
              <w:bottom w:val="nil"/>
              <w:right w:val="nil"/>
            </w:tcBorders>
            <w:shd w:val="clear" w:color="000000" w:fill="FFFFFF"/>
            <w:noWrap/>
            <w:vAlign w:val="center"/>
            <w:hideMark/>
          </w:tcPr>
          <w:p w14:paraId="5D1B73B9" w14:textId="77777777" w:rsidR="00D10DBB" w:rsidRPr="000E3C8C" w:rsidRDefault="00D10DBB" w:rsidP="00D10DBB">
            <w:pPr>
              <w:spacing w:after="0" w:line="240" w:lineRule="auto"/>
              <w:jc w:val="right"/>
              <w:rPr>
                <w:rFonts w:ascii="Arial" w:hAnsi="Arial" w:cs="Arial"/>
                <w:sz w:val="16"/>
                <w:szCs w:val="16"/>
              </w:rPr>
            </w:pPr>
            <w:r w:rsidRPr="000E3C8C">
              <w:rPr>
                <w:rFonts w:ascii="Arial" w:hAnsi="Arial" w:cs="Arial"/>
                <w:sz w:val="16"/>
                <w:szCs w:val="16"/>
              </w:rPr>
              <w:t>0.3</w:t>
            </w:r>
          </w:p>
        </w:tc>
        <w:tc>
          <w:tcPr>
            <w:tcW w:w="587" w:type="pct"/>
            <w:tcBorders>
              <w:top w:val="nil"/>
              <w:left w:val="nil"/>
              <w:bottom w:val="nil"/>
              <w:right w:val="nil"/>
            </w:tcBorders>
            <w:shd w:val="clear" w:color="000000" w:fill="E6E6E6"/>
            <w:noWrap/>
            <w:vAlign w:val="center"/>
            <w:hideMark/>
          </w:tcPr>
          <w:p w14:paraId="01337B2B" w14:textId="77777777" w:rsidR="00D10DBB" w:rsidRPr="000E3C8C" w:rsidRDefault="00D10DBB" w:rsidP="00D10DBB">
            <w:pPr>
              <w:spacing w:after="0" w:line="240" w:lineRule="auto"/>
              <w:jc w:val="right"/>
              <w:rPr>
                <w:rFonts w:ascii="Arial" w:hAnsi="Arial" w:cs="Arial"/>
                <w:sz w:val="16"/>
                <w:szCs w:val="16"/>
              </w:rPr>
            </w:pPr>
            <w:r w:rsidRPr="000E3C8C">
              <w:rPr>
                <w:rFonts w:ascii="Arial" w:hAnsi="Arial" w:cs="Arial"/>
                <w:sz w:val="16"/>
                <w:szCs w:val="16"/>
              </w:rPr>
              <w:t>0.3</w:t>
            </w:r>
          </w:p>
        </w:tc>
      </w:tr>
      <w:tr w:rsidR="00D10DBB" w:rsidRPr="000E3C8C" w14:paraId="0FF7307B" w14:textId="77777777" w:rsidTr="00D10DBB">
        <w:trPr>
          <w:trHeight w:hRule="exact" w:val="60"/>
        </w:trPr>
        <w:tc>
          <w:tcPr>
            <w:tcW w:w="3854" w:type="pct"/>
            <w:tcBorders>
              <w:top w:val="nil"/>
              <w:left w:val="nil"/>
              <w:bottom w:val="nil"/>
              <w:right w:val="nil"/>
            </w:tcBorders>
            <w:shd w:val="clear" w:color="000000" w:fill="FFFFFF"/>
            <w:noWrap/>
            <w:vAlign w:val="center"/>
            <w:hideMark/>
          </w:tcPr>
          <w:p w14:paraId="0127EFF9" w14:textId="77777777" w:rsidR="00D10DBB" w:rsidRPr="000E3C8C" w:rsidRDefault="00D10DBB" w:rsidP="00D10DBB">
            <w:pPr>
              <w:spacing w:after="0" w:line="240" w:lineRule="auto"/>
              <w:jc w:val="left"/>
              <w:rPr>
                <w:rFonts w:ascii="Arial" w:hAnsi="Arial" w:cs="Arial"/>
                <w:sz w:val="16"/>
                <w:szCs w:val="16"/>
              </w:rPr>
            </w:pPr>
            <w:r w:rsidRPr="000E3C8C">
              <w:rPr>
                <w:rFonts w:ascii="Arial" w:hAnsi="Arial" w:cs="Arial"/>
                <w:sz w:val="16"/>
                <w:szCs w:val="16"/>
              </w:rPr>
              <w:t> </w:t>
            </w:r>
          </w:p>
        </w:tc>
        <w:tc>
          <w:tcPr>
            <w:tcW w:w="559" w:type="pct"/>
            <w:tcBorders>
              <w:top w:val="nil"/>
              <w:left w:val="nil"/>
              <w:bottom w:val="nil"/>
              <w:right w:val="nil"/>
            </w:tcBorders>
            <w:shd w:val="clear" w:color="000000" w:fill="FFFFFF"/>
            <w:noWrap/>
            <w:vAlign w:val="center"/>
            <w:hideMark/>
          </w:tcPr>
          <w:p w14:paraId="742DE2F5" w14:textId="77777777" w:rsidR="00D10DBB" w:rsidRPr="000E3C8C" w:rsidRDefault="00D10DBB" w:rsidP="00D10DBB">
            <w:pPr>
              <w:spacing w:after="0" w:line="240" w:lineRule="auto"/>
              <w:jc w:val="right"/>
              <w:rPr>
                <w:rFonts w:ascii="Arial" w:hAnsi="Arial" w:cs="Arial"/>
                <w:sz w:val="16"/>
                <w:szCs w:val="16"/>
              </w:rPr>
            </w:pPr>
            <w:r w:rsidRPr="000E3C8C">
              <w:rPr>
                <w:rFonts w:ascii="Arial" w:hAnsi="Arial" w:cs="Arial"/>
                <w:sz w:val="16"/>
                <w:szCs w:val="16"/>
              </w:rPr>
              <w:t> </w:t>
            </w:r>
          </w:p>
        </w:tc>
        <w:tc>
          <w:tcPr>
            <w:tcW w:w="587" w:type="pct"/>
            <w:tcBorders>
              <w:top w:val="nil"/>
              <w:left w:val="nil"/>
              <w:bottom w:val="nil"/>
              <w:right w:val="nil"/>
            </w:tcBorders>
            <w:shd w:val="clear" w:color="000000" w:fill="E6E6E6"/>
            <w:noWrap/>
            <w:vAlign w:val="center"/>
            <w:hideMark/>
          </w:tcPr>
          <w:p w14:paraId="1F68BBBE" w14:textId="77777777" w:rsidR="00D10DBB" w:rsidRPr="000E3C8C" w:rsidRDefault="00D10DBB" w:rsidP="00D10DBB">
            <w:pPr>
              <w:spacing w:after="0" w:line="240" w:lineRule="auto"/>
              <w:jc w:val="right"/>
              <w:rPr>
                <w:rFonts w:ascii="Arial" w:hAnsi="Arial" w:cs="Arial"/>
                <w:sz w:val="16"/>
                <w:szCs w:val="16"/>
              </w:rPr>
            </w:pPr>
            <w:r w:rsidRPr="000E3C8C">
              <w:rPr>
                <w:rFonts w:ascii="Arial" w:hAnsi="Arial" w:cs="Arial"/>
                <w:sz w:val="16"/>
                <w:szCs w:val="16"/>
              </w:rPr>
              <w:t> </w:t>
            </w:r>
          </w:p>
        </w:tc>
      </w:tr>
      <w:tr w:rsidR="00D10DBB" w:rsidRPr="000E3C8C" w14:paraId="79747DDF" w14:textId="77777777" w:rsidTr="00D10DBB">
        <w:trPr>
          <w:trHeight w:hRule="exact" w:val="225"/>
        </w:trPr>
        <w:tc>
          <w:tcPr>
            <w:tcW w:w="4413" w:type="pct"/>
            <w:gridSpan w:val="2"/>
            <w:tcBorders>
              <w:top w:val="nil"/>
              <w:left w:val="nil"/>
              <w:bottom w:val="nil"/>
              <w:right w:val="nil"/>
            </w:tcBorders>
            <w:shd w:val="clear" w:color="000000" w:fill="FFFFFF"/>
            <w:noWrap/>
            <w:vAlign w:val="center"/>
            <w:hideMark/>
          </w:tcPr>
          <w:p w14:paraId="190BAAF7" w14:textId="7F3AF4A2" w:rsidR="00D10DBB" w:rsidRPr="000E3C8C" w:rsidRDefault="00D10DBB" w:rsidP="00D10DBB">
            <w:pPr>
              <w:spacing w:after="0" w:line="240" w:lineRule="auto"/>
              <w:jc w:val="left"/>
              <w:rPr>
                <w:rFonts w:ascii="Arial" w:hAnsi="Arial" w:cs="Arial"/>
                <w:b/>
                <w:bCs/>
                <w:sz w:val="16"/>
                <w:szCs w:val="16"/>
              </w:rPr>
            </w:pPr>
            <w:r w:rsidRPr="000E3C8C">
              <w:rPr>
                <w:rFonts w:ascii="Arial" w:hAnsi="Arial" w:cs="Arial"/>
                <w:b/>
                <w:bCs/>
                <w:sz w:val="16"/>
                <w:szCs w:val="16"/>
              </w:rPr>
              <w:t>Changes from 2019</w:t>
            </w:r>
            <w:r w:rsidR="00E834B1">
              <w:rPr>
                <w:rFonts w:ascii="Arial" w:hAnsi="Arial" w:cs="Arial"/>
                <w:b/>
                <w:bCs/>
                <w:sz w:val="16"/>
                <w:szCs w:val="16"/>
              </w:rPr>
              <w:noBreakHyphen/>
            </w:r>
            <w:r w:rsidRPr="000E3C8C">
              <w:rPr>
                <w:rFonts w:ascii="Arial" w:hAnsi="Arial" w:cs="Arial"/>
                <w:b/>
                <w:bCs/>
                <w:sz w:val="16"/>
                <w:szCs w:val="16"/>
              </w:rPr>
              <w:t>20 MYEFO to 2020 Economic and Fiscal Update</w:t>
            </w:r>
          </w:p>
        </w:tc>
        <w:tc>
          <w:tcPr>
            <w:tcW w:w="587" w:type="pct"/>
            <w:tcBorders>
              <w:top w:val="nil"/>
              <w:left w:val="nil"/>
              <w:bottom w:val="nil"/>
              <w:right w:val="nil"/>
            </w:tcBorders>
            <w:shd w:val="clear" w:color="000000" w:fill="E6E6E6"/>
            <w:noWrap/>
            <w:vAlign w:val="center"/>
            <w:hideMark/>
          </w:tcPr>
          <w:p w14:paraId="6FAA75C2" w14:textId="77777777" w:rsidR="00D10DBB" w:rsidRPr="000E3C8C" w:rsidRDefault="00D10DBB" w:rsidP="00D10DBB">
            <w:pPr>
              <w:spacing w:after="0" w:line="240" w:lineRule="auto"/>
              <w:jc w:val="right"/>
              <w:rPr>
                <w:rFonts w:ascii="Arial" w:hAnsi="Arial" w:cs="Arial"/>
                <w:sz w:val="16"/>
                <w:szCs w:val="16"/>
              </w:rPr>
            </w:pPr>
            <w:r w:rsidRPr="000E3C8C">
              <w:rPr>
                <w:rFonts w:ascii="Arial" w:hAnsi="Arial" w:cs="Arial"/>
                <w:sz w:val="16"/>
                <w:szCs w:val="16"/>
              </w:rPr>
              <w:t> </w:t>
            </w:r>
          </w:p>
        </w:tc>
      </w:tr>
      <w:tr w:rsidR="00D10DBB" w:rsidRPr="000E3C8C" w14:paraId="321D7B6B" w14:textId="77777777" w:rsidTr="00D10DBB">
        <w:trPr>
          <w:trHeight w:hRule="exact" w:val="225"/>
        </w:trPr>
        <w:tc>
          <w:tcPr>
            <w:tcW w:w="3854" w:type="pct"/>
            <w:tcBorders>
              <w:top w:val="nil"/>
              <w:left w:val="nil"/>
              <w:bottom w:val="nil"/>
              <w:right w:val="nil"/>
            </w:tcBorders>
            <w:shd w:val="clear" w:color="000000" w:fill="FFFFFF"/>
            <w:noWrap/>
            <w:vAlign w:val="center"/>
            <w:hideMark/>
          </w:tcPr>
          <w:p w14:paraId="050DD185" w14:textId="77777777" w:rsidR="00D10DBB" w:rsidRPr="000E3C8C" w:rsidRDefault="00D10DBB" w:rsidP="00D10DBB">
            <w:pPr>
              <w:spacing w:after="0" w:line="240" w:lineRule="auto"/>
              <w:jc w:val="left"/>
              <w:rPr>
                <w:rFonts w:ascii="Arial" w:hAnsi="Arial" w:cs="Arial"/>
                <w:sz w:val="16"/>
                <w:szCs w:val="16"/>
              </w:rPr>
            </w:pPr>
            <w:r w:rsidRPr="000E3C8C">
              <w:rPr>
                <w:rFonts w:ascii="Arial" w:hAnsi="Arial" w:cs="Arial"/>
                <w:sz w:val="16"/>
                <w:szCs w:val="16"/>
              </w:rPr>
              <w:t>Effect of policy decisions(b)(c)</w:t>
            </w:r>
          </w:p>
        </w:tc>
        <w:tc>
          <w:tcPr>
            <w:tcW w:w="559" w:type="pct"/>
            <w:tcBorders>
              <w:top w:val="nil"/>
              <w:left w:val="nil"/>
              <w:bottom w:val="nil"/>
              <w:right w:val="nil"/>
            </w:tcBorders>
            <w:shd w:val="clear" w:color="000000" w:fill="FFFFFF"/>
            <w:noWrap/>
            <w:vAlign w:val="center"/>
            <w:hideMark/>
          </w:tcPr>
          <w:p w14:paraId="7E2B9861" w14:textId="77777777" w:rsidR="00D10DBB" w:rsidRPr="000E3C8C" w:rsidRDefault="00D10DBB" w:rsidP="00D10DBB">
            <w:pPr>
              <w:spacing w:after="0" w:line="240" w:lineRule="auto"/>
              <w:jc w:val="right"/>
              <w:rPr>
                <w:rFonts w:ascii="Arial" w:hAnsi="Arial" w:cs="Arial"/>
                <w:sz w:val="16"/>
                <w:szCs w:val="16"/>
              </w:rPr>
            </w:pPr>
            <w:r w:rsidRPr="000E3C8C">
              <w:rPr>
                <w:rFonts w:ascii="Arial" w:hAnsi="Arial" w:cs="Arial"/>
                <w:sz w:val="16"/>
                <w:szCs w:val="16"/>
              </w:rPr>
              <w:t> </w:t>
            </w:r>
          </w:p>
        </w:tc>
        <w:tc>
          <w:tcPr>
            <w:tcW w:w="587" w:type="pct"/>
            <w:tcBorders>
              <w:top w:val="nil"/>
              <w:left w:val="nil"/>
              <w:bottom w:val="nil"/>
              <w:right w:val="nil"/>
            </w:tcBorders>
            <w:shd w:val="clear" w:color="000000" w:fill="E6E6E6"/>
            <w:noWrap/>
            <w:vAlign w:val="center"/>
            <w:hideMark/>
          </w:tcPr>
          <w:p w14:paraId="6981C2DD" w14:textId="77777777" w:rsidR="00D10DBB" w:rsidRPr="000E3C8C" w:rsidRDefault="00D10DBB" w:rsidP="00D10DBB">
            <w:pPr>
              <w:spacing w:after="0" w:line="240" w:lineRule="auto"/>
              <w:jc w:val="right"/>
              <w:rPr>
                <w:rFonts w:ascii="Arial" w:hAnsi="Arial" w:cs="Arial"/>
                <w:sz w:val="16"/>
                <w:szCs w:val="16"/>
              </w:rPr>
            </w:pPr>
            <w:r w:rsidRPr="000E3C8C">
              <w:rPr>
                <w:rFonts w:ascii="Arial" w:hAnsi="Arial" w:cs="Arial"/>
                <w:sz w:val="16"/>
                <w:szCs w:val="16"/>
              </w:rPr>
              <w:t> </w:t>
            </w:r>
          </w:p>
        </w:tc>
      </w:tr>
      <w:tr w:rsidR="00D10DBB" w:rsidRPr="000E3C8C" w14:paraId="6D31AC93" w14:textId="77777777" w:rsidTr="00D10DBB">
        <w:trPr>
          <w:trHeight w:hRule="exact" w:val="225"/>
        </w:trPr>
        <w:tc>
          <w:tcPr>
            <w:tcW w:w="3854" w:type="pct"/>
            <w:tcBorders>
              <w:top w:val="nil"/>
              <w:left w:val="nil"/>
              <w:bottom w:val="nil"/>
              <w:right w:val="nil"/>
            </w:tcBorders>
            <w:shd w:val="clear" w:color="000000" w:fill="FFFFFF"/>
            <w:noWrap/>
            <w:vAlign w:val="center"/>
            <w:hideMark/>
          </w:tcPr>
          <w:p w14:paraId="30147743" w14:textId="77777777" w:rsidR="00D10DBB" w:rsidRPr="000E3C8C" w:rsidRDefault="00D10DBB" w:rsidP="00D10DBB">
            <w:pPr>
              <w:spacing w:after="0" w:line="240" w:lineRule="auto"/>
              <w:ind w:left="170"/>
              <w:jc w:val="left"/>
              <w:rPr>
                <w:rFonts w:ascii="Arial" w:hAnsi="Arial" w:cs="Arial"/>
                <w:i/>
                <w:iCs/>
                <w:sz w:val="16"/>
                <w:szCs w:val="16"/>
              </w:rPr>
            </w:pPr>
            <w:r w:rsidRPr="000E3C8C">
              <w:rPr>
                <w:rFonts w:ascii="Arial" w:hAnsi="Arial" w:cs="Arial"/>
                <w:i/>
                <w:iCs/>
                <w:sz w:val="16"/>
                <w:szCs w:val="16"/>
              </w:rPr>
              <w:t>Receipts</w:t>
            </w:r>
          </w:p>
        </w:tc>
        <w:tc>
          <w:tcPr>
            <w:tcW w:w="559" w:type="pct"/>
            <w:tcBorders>
              <w:top w:val="nil"/>
              <w:left w:val="nil"/>
              <w:bottom w:val="nil"/>
              <w:right w:val="nil"/>
            </w:tcBorders>
            <w:shd w:val="clear" w:color="000000" w:fill="FFFFFF"/>
            <w:noWrap/>
            <w:vAlign w:val="center"/>
            <w:hideMark/>
          </w:tcPr>
          <w:p w14:paraId="1C301272" w14:textId="756F2267" w:rsidR="00D10DBB" w:rsidRPr="000E3C8C" w:rsidRDefault="00E834B1" w:rsidP="00D10DBB">
            <w:pPr>
              <w:spacing w:after="0" w:line="240" w:lineRule="auto"/>
              <w:jc w:val="right"/>
              <w:rPr>
                <w:rFonts w:ascii="Arial" w:hAnsi="Arial" w:cs="Arial"/>
                <w:i/>
                <w:iCs/>
                <w:sz w:val="16"/>
                <w:szCs w:val="16"/>
              </w:rPr>
            </w:pPr>
            <w:r>
              <w:rPr>
                <w:rFonts w:ascii="Arial" w:hAnsi="Arial" w:cs="Arial"/>
                <w:i/>
                <w:iCs/>
                <w:sz w:val="16"/>
                <w:szCs w:val="16"/>
              </w:rPr>
              <w:noBreakHyphen/>
            </w:r>
            <w:r w:rsidR="00D10DBB" w:rsidRPr="000E3C8C">
              <w:rPr>
                <w:rFonts w:ascii="Arial" w:hAnsi="Arial" w:cs="Arial"/>
                <w:i/>
                <w:iCs/>
                <w:sz w:val="16"/>
                <w:szCs w:val="16"/>
              </w:rPr>
              <w:t>373</w:t>
            </w:r>
          </w:p>
        </w:tc>
        <w:tc>
          <w:tcPr>
            <w:tcW w:w="587" w:type="pct"/>
            <w:tcBorders>
              <w:top w:val="nil"/>
              <w:left w:val="nil"/>
              <w:bottom w:val="nil"/>
              <w:right w:val="nil"/>
            </w:tcBorders>
            <w:shd w:val="clear" w:color="000000" w:fill="E6E6E6"/>
            <w:noWrap/>
            <w:vAlign w:val="center"/>
            <w:hideMark/>
          </w:tcPr>
          <w:p w14:paraId="7B404F5D" w14:textId="48E4A63D" w:rsidR="00D10DBB" w:rsidRPr="000E3C8C" w:rsidRDefault="00E834B1" w:rsidP="00D10DBB">
            <w:pPr>
              <w:spacing w:after="0" w:line="240" w:lineRule="auto"/>
              <w:jc w:val="right"/>
              <w:rPr>
                <w:rFonts w:ascii="Arial" w:hAnsi="Arial" w:cs="Arial"/>
                <w:i/>
                <w:iCs/>
                <w:sz w:val="16"/>
                <w:szCs w:val="16"/>
              </w:rPr>
            </w:pPr>
            <w:r>
              <w:rPr>
                <w:rFonts w:ascii="Arial" w:hAnsi="Arial" w:cs="Arial"/>
                <w:i/>
                <w:iCs/>
                <w:sz w:val="16"/>
                <w:szCs w:val="16"/>
              </w:rPr>
              <w:noBreakHyphen/>
            </w:r>
            <w:r w:rsidR="00D10DBB" w:rsidRPr="000E3C8C">
              <w:rPr>
                <w:rFonts w:ascii="Arial" w:hAnsi="Arial" w:cs="Arial"/>
                <w:i/>
                <w:iCs/>
                <w:sz w:val="16"/>
                <w:szCs w:val="16"/>
              </w:rPr>
              <w:t>4,651</w:t>
            </w:r>
          </w:p>
        </w:tc>
      </w:tr>
      <w:tr w:rsidR="00D10DBB" w:rsidRPr="000E3C8C" w14:paraId="168C9394" w14:textId="77777777" w:rsidTr="00D10DBB">
        <w:trPr>
          <w:trHeight w:hRule="exact" w:val="225"/>
        </w:trPr>
        <w:tc>
          <w:tcPr>
            <w:tcW w:w="3854" w:type="pct"/>
            <w:tcBorders>
              <w:top w:val="nil"/>
              <w:left w:val="nil"/>
              <w:bottom w:val="nil"/>
              <w:right w:val="nil"/>
            </w:tcBorders>
            <w:shd w:val="clear" w:color="000000" w:fill="FFFFFF"/>
            <w:noWrap/>
            <w:vAlign w:val="center"/>
            <w:hideMark/>
          </w:tcPr>
          <w:p w14:paraId="25B6851B" w14:textId="77777777" w:rsidR="00D10DBB" w:rsidRPr="000E3C8C" w:rsidRDefault="00D10DBB" w:rsidP="00D10DBB">
            <w:pPr>
              <w:spacing w:after="0" w:line="240" w:lineRule="auto"/>
              <w:ind w:left="170"/>
              <w:jc w:val="left"/>
              <w:rPr>
                <w:rFonts w:ascii="Arial" w:hAnsi="Arial" w:cs="Arial"/>
                <w:i/>
                <w:iCs/>
                <w:sz w:val="16"/>
                <w:szCs w:val="16"/>
              </w:rPr>
            </w:pPr>
            <w:r w:rsidRPr="000E3C8C">
              <w:rPr>
                <w:rFonts w:ascii="Arial" w:hAnsi="Arial" w:cs="Arial"/>
                <w:i/>
                <w:iCs/>
                <w:sz w:val="16"/>
                <w:szCs w:val="16"/>
              </w:rPr>
              <w:t>Payments</w:t>
            </w:r>
          </w:p>
        </w:tc>
        <w:tc>
          <w:tcPr>
            <w:tcW w:w="559" w:type="pct"/>
            <w:tcBorders>
              <w:top w:val="nil"/>
              <w:left w:val="nil"/>
              <w:bottom w:val="nil"/>
              <w:right w:val="nil"/>
            </w:tcBorders>
            <w:shd w:val="clear" w:color="000000" w:fill="FFFFFF"/>
            <w:noWrap/>
            <w:vAlign w:val="center"/>
            <w:hideMark/>
          </w:tcPr>
          <w:p w14:paraId="661D2078" w14:textId="77777777" w:rsidR="00D10DBB" w:rsidRPr="000E3C8C" w:rsidRDefault="00D10DBB" w:rsidP="00D10DBB">
            <w:pPr>
              <w:spacing w:after="0" w:line="240" w:lineRule="auto"/>
              <w:jc w:val="right"/>
              <w:rPr>
                <w:rFonts w:ascii="Arial" w:hAnsi="Arial" w:cs="Arial"/>
                <w:i/>
                <w:iCs/>
                <w:sz w:val="16"/>
                <w:szCs w:val="16"/>
              </w:rPr>
            </w:pPr>
            <w:r w:rsidRPr="000E3C8C">
              <w:rPr>
                <w:rFonts w:ascii="Arial" w:hAnsi="Arial" w:cs="Arial"/>
                <w:i/>
                <w:iCs/>
                <w:sz w:val="16"/>
                <w:szCs w:val="16"/>
              </w:rPr>
              <w:t>58,026</w:t>
            </w:r>
          </w:p>
        </w:tc>
        <w:tc>
          <w:tcPr>
            <w:tcW w:w="587" w:type="pct"/>
            <w:tcBorders>
              <w:top w:val="nil"/>
              <w:left w:val="nil"/>
              <w:bottom w:val="nil"/>
              <w:right w:val="nil"/>
            </w:tcBorders>
            <w:shd w:val="clear" w:color="000000" w:fill="E6E6E6"/>
            <w:noWrap/>
            <w:vAlign w:val="center"/>
            <w:hideMark/>
          </w:tcPr>
          <w:p w14:paraId="06737643" w14:textId="77777777" w:rsidR="00D10DBB" w:rsidRPr="000E3C8C" w:rsidRDefault="00D10DBB" w:rsidP="00D10DBB">
            <w:pPr>
              <w:spacing w:after="0" w:line="240" w:lineRule="auto"/>
              <w:jc w:val="right"/>
              <w:rPr>
                <w:rFonts w:ascii="Arial" w:hAnsi="Arial" w:cs="Arial"/>
                <w:i/>
                <w:iCs/>
                <w:sz w:val="16"/>
                <w:szCs w:val="16"/>
              </w:rPr>
            </w:pPr>
            <w:r w:rsidRPr="000E3C8C">
              <w:rPr>
                <w:rFonts w:ascii="Arial" w:hAnsi="Arial" w:cs="Arial"/>
                <w:i/>
                <w:iCs/>
                <w:sz w:val="16"/>
                <w:szCs w:val="16"/>
              </w:rPr>
              <w:t>113,726</w:t>
            </w:r>
          </w:p>
        </w:tc>
      </w:tr>
      <w:tr w:rsidR="00D10DBB" w:rsidRPr="000E3C8C" w14:paraId="3D5410BD" w14:textId="77777777" w:rsidTr="00D10DBB">
        <w:trPr>
          <w:trHeight w:hRule="exact" w:val="225"/>
        </w:trPr>
        <w:tc>
          <w:tcPr>
            <w:tcW w:w="3854" w:type="pct"/>
            <w:tcBorders>
              <w:top w:val="nil"/>
              <w:left w:val="nil"/>
              <w:bottom w:val="nil"/>
              <w:right w:val="nil"/>
            </w:tcBorders>
            <w:shd w:val="clear" w:color="000000" w:fill="FFFFFF"/>
            <w:noWrap/>
            <w:vAlign w:val="center"/>
            <w:hideMark/>
          </w:tcPr>
          <w:p w14:paraId="2A0640D3" w14:textId="77777777" w:rsidR="00D10DBB" w:rsidRPr="000E3C8C" w:rsidRDefault="00D10DBB" w:rsidP="00D10DBB">
            <w:pPr>
              <w:spacing w:after="0" w:line="240" w:lineRule="auto"/>
              <w:jc w:val="left"/>
              <w:rPr>
                <w:rFonts w:ascii="Arial" w:hAnsi="Arial" w:cs="Arial"/>
                <w:sz w:val="16"/>
                <w:szCs w:val="16"/>
              </w:rPr>
            </w:pPr>
            <w:r w:rsidRPr="000E3C8C">
              <w:rPr>
                <w:rFonts w:ascii="Arial" w:hAnsi="Arial" w:cs="Arial"/>
                <w:sz w:val="16"/>
                <w:szCs w:val="16"/>
              </w:rPr>
              <w:t>Total policy decisions impact on underlying cash balance</w:t>
            </w:r>
          </w:p>
        </w:tc>
        <w:tc>
          <w:tcPr>
            <w:tcW w:w="559" w:type="pct"/>
            <w:tcBorders>
              <w:top w:val="single" w:sz="4" w:space="0" w:color="auto"/>
              <w:left w:val="nil"/>
              <w:bottom w:val="single" w:sz="4" w:space="0" w:color="000000"/>
              <w:right w:val="nil"/>
            </w:tcBorders>
            <w:shd w:val="clear" w:color="000000" w:fill="FFFFFF"/>
            <w:vAlign w:val="center"/>
            <w:hideMark/>
          </w:tcPr>
          <w:p w14:paraId="4CF1B100" w14:textId="1A4E081D" w:rsidR="00D10DBB" w:rsidRPr="000E3C8C" w:rsidRDefault="00E834B1" w:rsidP="00D10DBB">
            <w:pPr>
              <w:spacing w:after="0" w:line="240" w:lineRule="auto"/>
              <w:jc w:val="right"/>
              <w:rPr>
                <w:rFonts w:ascii="Arial" w:hAnsi="Arial" w:cs="Arial"/>
                <w:sz w:val="16"/>
                <w:szCs w:val="16"/>
              </w:rPr>
            </w:pPr>
            <w:r>
              <w:rPr>
                <w:rFonts w:ascii="Arial" w:hAnsi="Arial" w:cs="Arial"/>
                <w:sz w:val="16"/>
                <w:szCs w:val="16"/>
              </w:rPr>
              <w:noBreakHyphen/>
            </w:r>
            <w:r w:rsidR="00D10DBB" w:rsidRPr="000E3C8C">
              <w:rPr>
                <w:rFonts w:ascii="Arial" w:hAnsi="Arial" w:cs="Arial"/>
                <w:sz w:val="16"/>
                <w:szCs w:val="16"/>
              </w:rPr>
              <w:t>58,399</w:t>
            </w:r>
          </w:p>
        </w:tc>
        <w:tc>
          <w:tcPr>
            <w:tcW w:w="587" w:type="pct"/>
            <w:tcBorders>
              <w:top w:val="single" w:sz="4" w:space="0" w:color="auto"/>
              <w:left w:val="nil"/>
              <w:bottom w:val="single" w:sz="4" w:space="0" w:color="000000"/>
              <w:right w:val="nil"/>
            </w:tcBorders>
            <w:shd w:val="clear" w:color="000000" w:fill="E6E6E6"/>
            <w:vAlign w:val="center"/>
            <w:hideMark/>
          </w:tcPr>
          <w:p w14:paraId="6F201860" w14:textId="35523052" w:rsidR="00D10DBB" w:rsidRPr="000E3C8C" w:rsidRDefault="00E834B1" w:rsidP="00D10DBB">
            <w:pPr>
              <w:spacing w:after="0" w:line="240" w:lineRule="auto"/>
              <w:jc w:val="right"/>
              <w:rPr>
                <w:rFonts w:ascii="Arial" w:hAnsi="Arial" w:cs="Arial"/>
                <w:sz w:val="16"/>
                <w:szCs w:val="16"/>
              </w:rPr>
            </w:pPr>
            <w:r>
              <w:rPr>
                <w:rFonts w:ascii="Arial" w:hAnsi="Arial" w:cs="Arial"/>
                <w:sz w:val="16"/>
                <w:szCs w:val="16"/>
              </w:rPr>
              <w:noBreakHyphen/>
            </w:r>
            <w:r w:rsidR="00D10DBB" w:rsidRPr="000E3C8C">
              <w:rPr>
                <w:rFonts w:ascii="Arial" w:hAnsi="Arial" w:cs="Arial"/>
                <w:sz w:val="16"/>
                <w:szCs w:val="16"/>
              </w:rPr>
              <w:t>118,377</w:t>
            </w:r>
          </w:p>
        </w:tc>
      </w:tr>
      <w:tr w:rsidR="00D10DBB" w:rsidRPr="000E3C8C" w14:paraId="45FBAD4F" w14:textId="77777777" w:rsidTr="00D10DBB">
        <w:trPr>
          <w:trHeight w:hRule="exact" w:val="60"/>
        </w:trPr>
        <w:tc>
          <w:tcPr>
            <w:tcW w:w="3854" w:type="pct"/>
            <w:tcBorders>
              <w:top w:val="nil"/>
              <w:left w:val="nil"/>
              <w:bottom w:val="nil"/>
              <w:right w:val="nil"/>
            </w:tcBorders>
            <w:shd w:val="clear" w:color="000000" w:fill="FFFFFF"/>
            <w:noWrap/>
            <w:vAlign w:val="center"/>
            <w:hideMark/>
          </w:tcPr>
          <w:p w14:paraId="5D12F1DC" w14:textId="77777777" w:rsidR="00D10DBB" w:rsidRPr="000E3C8C" w:rsidRDefault="00D10DBB" w:rsidP="00D10DBB">
            <w:pPr>
              <w:spacing w:after="0" w:line="240" w:lineRule="auto"/>
              <w:ind w:left="170"/>
              <w:jc w:val="left"/>
              <w:rPr>
                <w:rFonts w:ascii="Arial" w:hAnsi="Arial" w:cs="Arial"/>
                <w:i/>
                <w:iCs/>
                <w:sz w:val="16"/>
                <w:szCs w:val="16"/>
              </w:rPr>
            </w:pPr>
            <w:r w:rsidRPr="000E3C8C">
              <w:rPr>
                <w:rFonts w:ascii="Arial" w:hAnsi="Arial" w:cs="Arial"/>
                <w:i/>
                <w:iCs/>
                <w:sz w:val="16"/>
                <w:szCs w:val="16"/>
              </w:rPr>
              <w:t> </w:t>
            </w:r>
          </w:p>
        </w:tc>
        <w:tc>
          <w:tcPr>
            <w:tcW w:w="559" w:type="pct"/>
            <w:tcBorders>
              <w:top w:val="nil"/>
              <w:left w:val="nil"/>
              <w:bottom w:val="nil"/>
              <w:right w:val="nil"/>
            </w:tcBorders>
            <w:shd w:val="clear" w:color="000000" w:fill="FFFFFF"/>
            <w:noWrap/>
            <w:vAlign w:val="center"/>
            <w:hideMark/>
          </w:tcPr>
          <w:p w14:paraId="3AD55E89" w14:textId="77777777" w:rsidR="00D10DBB" w:rsidRPr="000E3C8C" w:rsidRDefault="00D10DBB" w:rsidP="00D10DBB">
            <w:pPr>
              <w:spacing w:after="0" w:line="240" w:lineRule="auto"/>
              <w:jc w:val="right"/>
              <w:rPr>
                <w:rFonts w:ascii="Arial" w:hAnsi="Arial" w:cs="Arial"/>
                <w:i/>
                <w:iCs/>
                <w:sz w:val="16"/>
                <w:szCs w:val="16"/>
              </w:rPr>
            </w:pPr>
            <w:r w:rsidRPr="000E3C8C">
              <w:rPr>
                <w:rFonts w:ascii="Arial" w:hAnsi="Arial" w:cs="Arial"/>
                <w:i/>
                <w:iCs/>
                <w:sz w:val="16"/>
                <w:szCs w:val="16"/>
              </w:rPr>
              <w:t> </w:t>
            </w:r>
          </w:p>
        </w:tc>
        <w:tc>
          <w:tcPr>
            <w:tcW w:w="587" w:type="pct"/>
            <w:tcBorders>
              <w:top w:val="nil"/>
              <w:left w:val="nil"/>
              <w:bottom w:val="nil"/>
              <w:right w:val="nil"/>
            </w:tcBorders>
            <w:shd w:val="clear" w:color="000000" w:fill="E6E6E6"/>
            <w:noWrap/>
            <w:vAlign w:val="center"/>
            <w:hideMark/>
          </w:tcPr>
          <w:p w14:paraId="269890E7" w14:textId="77777777" w:rsidR="00D10DBB" w:rsidRPr="000E3C8C" w:rsidRDefault="00D10DBB" w:rsidP="00D10DBB">
            <w:pPr>
              <w:spacing w:after="0" w:line="240" w:lineRule="auto"/>
              <w:jc w:val="right"/>
              <w:rPr>
                <w:rFonts w:ascii="Arial" w:hAnsi="Arial" w:cs="Arial"/>
                <w:i/>
                <w:iCs/>
                <w:sz w:val="16"/>
                <w:szCs w:val="16"/>
              </w:rPr>
            </w:pPr>
            <w:r w:rsidRPr="000E3C8C">
              <w:rPr>
                <w:rFonts w:ascii="Arial" w:hAnsi="Arial" w:cs="Arial"/>
                <w:i/>
                <w:iCs/>
                <w:sz w:val="16"/>
                <w:szCs w:val="16"/>
              </w:rPr>
              <w:t> </w:t>
            </w:r>
          </w:p>
        </w:tc>
      </w:tr>
      <w:tr w:rsidR="00D10DBB" w:rsidRPr="000E3C8C" w14:paraId="75B878E6" w14:textId="77777777" w:rsidTr="00D10DBB">
        <w:trPr>
          <w:trHeight w:hRule="exact" w:val="225"/>
        </w:trPr>
        <w:tc>
          <w:tcPr>
            <w:tcW w:w="3854" w:type="pct"/>
            <w:tcBorders>
              <w:top w:val="nil"/>
              <w:left w:val="nil"/>
              <w:bottom w:val="nil"/>
              <w:right w:val="nil"/>
            </w:tcBorders>
            <w:shd w:val="clear" w:color="000000" w:fill="FFFFFF"/>
            <w:noWrap/>
            <w:vAlign w:val="bottom"/>
            <w:hideMark/>
          </w:tcPr>
          <w:p w14:paraId="63347CCC" w14:textId="77777777" w:rsidR="00D10DBB" w:rsidRPr="000E3C8C" w:rsidRDefault="00D10DBB" w:rsidP="00D10DBB">
            <w:pPr>
              <w:spacing w:after="0" w:line="240" w:lineRule="auto"/>
              <w:jc w:val="left"/>
              <w:rPr>
                <w:rFonts w:ascii="Arial" w:hAnsi="Arial" w:cs="Arial"/>
                <w:sz w:val="16"/>
                <w:szCs w:val="16"/>
              </w:rPr>
            </w:pPr>
            <w:r w:rsidRPr="000E3C8C">
              <w:rPr>
                <w:rFonts w:ascii="Arial" w:hAnsi="Arial" w:cs="Arial"/>
                <w:sz w:val="16"/>
                <w:szCs w:val="16"/>
              </w:rPr>
              <w:t>Effect of parameter and other variations(c)</w:t>
            </w:r>
          </w:p>
        </w:tc>
        <w:tc>
          <w:tcPr>
            <w:tcW w:w="559" w:type="pct"/>
            <w:tcBorders>
              <w:top w:val="nil"/>
              <w:left w:val="nil"/>
              <w:bottom w:val="nil"/>
              <w:right w:val="nil"/>
            </w:tcBorders>
            <w:shd w:val="clear" w:color="000000" w:fill="FFFFFF"/>
            <w:noWrap/>
            <w:vAlign w:val="center"/>
            <w:hideMark/>
          </w:tcPr>
          <w:p w14:paraId="6FA49ACA" w14:textId="77777777" w:rsidR="00D10DBB" w:rsidRPr="000E3C8C" w:rsidRDefault="00D10DBB" w:rsidP="00D10DBB">
            <w:pPr>
              <w:spacing w:after="0" w:line="240" w:lineRule="auto"/>
              <w:jc w:val="right"/>
              <w:rPr>
                <w:rFonts w:ascii="Arial" w:hAnsi="Arial" w:cs="Arial"/>
                <w:sz w:val="16"/>
                <w:szCs w:val="16"/>
              </w:rPr>
            </w:pPr>
            <w:r w:rsidRPr="000E3C8C">
              <w:rPr>
                <w:rFonts w:ascii="Arial" w:hAnsi="Arial" w:cs="Arial"/>
                <w:sz w:val="16"/>
                <w:szCs w:val="16"/>
              </w:rPr>
              <w:t> </w:t>
            </w:r>
          </w:p>
        </w:tc>
        <w:tc>
          <w:tcPr>
            <w:tcW w:w="587" w:type="pct"/>
            <w:tcBorders>
              <w:top w:val="nil"/>
              <w:left w:val="nil"/>
              <w:bottom w:val="nil"/>
              <w:right w:val="nil"/>
            </w:tcBorders>
            <w:shd w:val="clear" w:color="000000" w:fill="E6E6E6"/>
            <w:noWrap/>
            <w:vAlign w:val="center"/>
            <w:hideMark/>
          </w:tcPr>
          <w:p w14:paraId="18D31AD1" w14:textId="77777777" w:rsidR="00D10DBB" w:rsidRPr="000E3C8C" w:rsidRDefault="00D10DBB" w:rsidP="00D10DBB">
            <w:pPr>
              <w:spacing w:after="0" w:line="240" w:lineRule="auto"/>
              <w:jc w:val="right"/>
              <w:rPr>
                <w:rFonts w:ascii="Arial" w:hAnsi="Arial" w:cs="Arial"/>
                <w:sz w:val="16"/>
                <w:szCs w:val="16"/>
              </w:rPr>
            </w:pPr>
            <w:r w:rsidRPr="000E3C8C">
              <w:rPr>
                <w:rFonts w:ascii="Arial" w:hAnsi="Arial" w:cs="Arial"/>
                <w:sz w:val="16"/>
                <w:szCs w:val="16"/>
              </w:rPr>
              <w:t> </w:t>
            </w:r>
          </w:p>
        </w:tc>
      </w:tr>
      <w:tr w:rsidR="00D10DBB" w:rsidRPr="000E3C8C" w14:paraId="1D75E1F4" w14:textId="77777777" w:rsidTr="00D10DBB">
        <w:trPr>
          <w:trHeight w:hRule="exact" w:val="225"/>
        </w:trPr>
        <w:tc>
          <w:tcPr>
            <w:tcW w:w="3854" w:type="pct"/>
            <w:tcBorders>
              <w:top w:val="nil"/>
              <w:left w:val="nil"/>
              <w:bottom w:val="nil"/>
              <w:right w:val="nil"/>
            </w:tcBorders>
            <w:shd w:val="clear" w:color="000000" w:fill="FFFFFF"/>
            <w:noWrap/>
            <w:vAlign w:val="center"/>
            <w:hideMark/>
          </w:tcPr>
          <w:p w14:paraId="4102F981" w14:textId="77777777" w:rsidR="00D10DBB" w:rsidRPr="000E3C8C" w:rsidRDefault="00D10DBB" w:rsidP="00D10DBB">
            <w:pPr>
              <w:spacing w:after="0" w:line="240" w:lineRule="auto"/>
              <w:ind w:left="170"/>
              <w:jc w:val="left"/>
              <w:rPr>
                <w:rFonts w:ascii="Arial" w:hAnsi="Arial" w:cs="Arial"/>
                <w:i/>
                <w:iCs/>
                <w:sz w:val="16"/>
                <w:szCs w:val="16"/>
              </w:rPr>
            </w:pPr>
            <w:r w:rsidRPr="000E3C8C">
              <w:rPr>
                <w:rFonts w:ascii="Arial" w:hAnsi="Arial" w:cs="Arial"/>
                <w:i/>
                <w:iCs/>
                <w:sz w:val="16"/>
                <w:szCs w:val="16"/>
              </w:rPr>
              <w:t>Receipts</w:t>
            </w:r>
          </w:p>
        </w:tc>
        <w:tc>
          <w:tcPr>
            <w:tcW w:w="559" w:type="pct"/>
            <w:tcBorders>
              <w:top w:val="nil"/>
              <w:left w:val="nil"/>
              <w:bottom w:val="nil"/>
              <w:right w:val="nil"/>
            </w:tcBorders>
            <w:shd w:val="clear" w:color="000000" w:fill="FFFFFF"/>
            <w:noWrap/>
            <w:vAlign w:val="center"/>
            <w:hideMark/>
          </w:tcPr>
          <w:p w14:paraId="2A2A9DB6" w14:textId="07A18DFC" w:rsidR="00D10DBB" w:rsidRPr="000E3C8C" w:rsidRDefault="00E834B1" w:rsidP="00D10DBB">
            <w:pPr>
              <w:spacing w:after="0" w:line="240" w:lineRule="auto"/>
              <w:jc w:val="right"/>
              <w:rPr>
                <w:rFonts w:ascii="Arial" w:hAnsi="Arial" w:cs="Arial"/>
                <w:i/>
                <w:iCs/>
                <w:sz w:val="16"/>
                <w:szCs w:val="16"/>
              </w:rPr>
            </w:pPr>
            <w:r>
              <w:rPr>
                <w:rFonts w:ascii="Arial" w:hAnsi="Arial" w:cs="Arial"/>
                <w:i/>
                <w:iCs/>
                <w:sz w:val="16"/>
                <w:szCs w:val="16"/>
              </w:rPr>
              <w:noBreakHyphen/>
            </w:r>
            <w:r w:rsidR="00D10DBB" w:rsidRPr="000E3C8C">
              <w:rPr>
                <w:rFonts w:ascii="Arial" w:hAnsi="Arial" w:cs="Arial"/>
                <w:i/>
                <w:iCs/>
                <w:sz w:val="16"/>
                <w:szCs w:val="16"/>
              </w:rPr>
              <w:t>32,602</w:t>
            </w:r>
          </w:p>
        </w:tc>
        <w:tc>
          <w:tcPr>
            <w:tcW w:w="587" w:type="pct"/>
            <w:tcBorders>
              <w:top w:val="nil"/>
              <w:left w:val="nil"/>
              <w:bottom w:val="nil"/>
              <w:right w:val="nil"/>
            </w:tcBorders>
            <w:shd w:val="clear" w:color="000000" w:fill="E6E6E6"/>
            <w:noWrap/>
            <w:vAlign w:val="center"/>
            <w:hideMark/>
          </w:tcPr>
          <w:p w14:paraId="3FF10C69" w14:textId="719E7519" w:rsidR="00D10DBB" w:rsidRPr="000E3C8C" w:rsidRDefault="00E834B1" w:rsidP="00D10DBB">
            <w:pPr>
              <w:spacing w:after="0" w:line="240" w:lineRule="auto"/>
              <w:jc w:val="right"/>
              <w:rPr>
                <w:rFonts w:ascii="Arial" w:hAnsi="Arial" w:cs="Arial"/>
                <w:i/>
                <w:iCs/>
                <w:sz w:val="16"/>
                <w:szCs w:val="16"/>
              </w:rPr>
            </w:pPr>
            <w:r>
              <w:rPr>
                <w:rFonts w:ascii="Arial" w:hAnsi="Arial" w:cs="Arial"/>
                <w:i/>
                <w:iCs/>
                <w:sz w:val="16"/>
                <w:szCs w:val="16"/>
              </w:rPr>
              <w:noBreakHyphen/>
            </w:r>
            <w:r w:rsidR="00D10DBB" w:rsidRPr="000E3C8C">
              <w:rPr>
                <w:rFonts w:ascii="Arial" w:hAnsi="Arial" w:cs="Arial"/>
                <w:i/>
                <w:iCs/>
                <w:sz w:val="16"/>
                <w:szCs w:val="16"/>
              </w:rPr>
              <w:t>56,435</w:t>
            </w:r>
          </w:p>
        </w:tc>
      </w:tr>
      <w:tr w:rsidR="00D10DBB" w:rsidRPr="000E3C8C" w14:paraId="75073877" w14:textId="77777777" w:rsidTr="00D10DBB">
        <w:trPr>
          <w:trHeight w:hRule="exact" w:val="225"/>
        </w:trPr>
        <w:tc>
          <w:tcPr>
            <w:tcW w:w="3854" w:type="pct"/>
            <w:tcBorders>
              <w:top w:val="nil"/>
              <w:left w:val="nil"/>
              <w:bottom w:val="nil"/>
              <w:right w:val="nil"/>
            </w:tcBorders>
            <w:shd w:val="clear" w:color="000000" w:fill="FFFFFF"/>
            <w:noWrap/>
            <w:vAlign w:val="center"/>
            <w:hideMark/>
          </w:tcPr>
          <w:p w14:paraId="4E69FDE5" w14:textId="77777777" w:rsidR="00D10DBB" w:rsidRPr="000E3C8C" w:rsidRDefault="00D10DBB" w:rsidP="00D10DBB">
            <w:pPr>
              <w:spacing w:after="0" w:line="240" w:lineRule="auto"/>
              <w:ind w:left="170"/>
              <w:jc w:val="left"/>
              <w:rPr>
                <w:rFonts w:ascii="Arial" w:hAnsi="Arial" w:cs="Arial"/>
                <w:i/>
                <w:iCs/>
                <w:sz w:val="16"/>
                <w:szCs w:val="16"/>
              </w:rPr>
            </w:pPr>
            <w:r w:rsidRPr="000E3C8C">
              <w:rPr>
                <w:rFonts w:ascii="Arial" w:hAnsi="Arial" w:cs="Arial"/>
                <w:i/>
                <w:iCs/>
                <w:sz w:val="16"/>
                <w:szCs w:val="16"/>
              </w:rPr>
              <w:t>Payments</w:t>
            </w:r>
          </w:p>
        </w:tc>
        <w:tc>
          <w:tcPr>
            <w:tcW w:w="559" w:type="pct"/>
            <w:tcBorders>
              <w:top w:val="nil"/>
              <w:left w:val="nil"/>
              <w:bottom w:val="nil"/>
              <w:right w:val="nil"/>
            </w:tcBorders>
            <w:shd w:val="clear" w:color="000000" w:fill="FFFFFF"/>
            <w:noWrap/>
            <w:vAlign w:val="center"/>
            <w:hideMark/>
          </w:tcPr>
          <w:p w14:paraId="533E1321" w14:textId="65F0C944" w:rsidR="00D10DBB" w:rsidRPr="000E3C8C" w:rsidRDefault="00E834B1" w:rsidP="00D10DBB">
            <w:pPr>
              <w:spacing w:after="0" w:line="240" w:lineRule="auto"/>
              <w:jc w:val="right"/>
              <w:rPr>
                <w:rFonts w:ascii="Arial" w:hAnsi="Arial" w:cs="Arial"/>
                <w:i/>
                <w:iCs/>
                <w:sz w:val="16"/>
                <w:szCs w:val="16"/>
              </w:rPr>
            </w:pPr>
            <w:r>
              <w:rPr>
                <w:rFonts w:ascii="Arial" w:hAnsi="Arial" w:cs="Arial"/>
                <w:i/>
                <w:iCs/>
                <w:sz w:val="16"/>
                <w:szCs w:val="16"/>
              </w:rPr>
              <w:noBreakHyphen/>
            </w:r>
            <w:r w:rsidR="00D10DBB" w:rsidRPr="000E3C8C">
              <w:rPr>
                <w:rFonts w:ascii="Arial" w:hAnsi="Arial" w:cs="Arial"/>
                <w:i/>
                <w:iCs/>
                <w:sz w:val="16"/>
                <w:szCs w:val="16"/>
              </w:rPr>
              <w:t>44</w:t>
            </w:r>
          </w:p>
        </w:tc>
        <w:tc>
          <w:tcPr>
            <w:tcW w:w="587" w:type="pct"/>
            <w:tcBorders>
              <w:top w:val="nil"/>
              <w:left w:val="nil"/>
              <w:bottom w:val="nil"/>
              <w:right w:val="nil"/>
            </w:tcBorders>
            <w:shd w:val="clear" w:color="000000" w:fill="E6E6E6"/>
            <w:noWrap/>
            <w:vAlign w:val="center"/>
            <w:hideMark/>
          </w:tcPr>
          <w:p w14:paraId="0F70CA22" w14:textId="77777777" w:rsidR="00D10DBB" w:rsidRPr="000E3C8C" w:rsidRDefault="00D10DBB" w:rsidP="00D10DBB">
            <w:pPr>
              <w:spacing w:after="0" w:line="240" w:lineRule="auto"/>
              <w:jc w:val="right"/>
              <w:rPr>
                <w:rFonts w:ascii="Arial" w:hAnsi="Arial" w:cs="Arial"/>
                <w:i/>
                <w:iCs/>
                <w:sz w:val="16"/>
                <w:szCs w:val="16"/>
              </w:rPr>
            </w:pPr>
            <w:r w:rsidRPr="000E3C8C">
              <w:rPr>
                <w:rFonts w:ascii="Arial" w:hAnsi="Arial" w:cs="Arial"/>
                <w:i/>
                <w:iCs/>
                <w:sz w:val="16"/>
                <w:szCs w:val="16"/>
              </w:rPr>
              <w:t>15,751</w:t>
            </w:r>
          </w:p>
        </w:tc>
      </w:tr>
      <w:tr w:rsidR="00D10DBB" w:rsidRPr="000E3C8C" w14:paraId="40587B2C" w14:textId="77777777" w:rsidTr="00D10DBB">
        <w:trPr>
          <w:trHeight w:hRule="exact" w:val="225"/>
        </w:trPr>
        <w:tc>
          <w:tcPr>
            <w:tcW w:w="3854" w:type="pct"/>
            <w:tcBorders>
              <w:top w:val="nil"/>
              <w:left w:val="nil"/>
              <w:bottom w:val="nil"/>
              <w:right w:val="nil"/>
            </w:tcBorders>
            <w:shd w:val="clear" w:color="000000" w:fill="FFFFFF"/>
            <w:noWrap/>
            <w:vAlign w:val="center"/>
            <w:hideMark/>
          </w:tcPr>
          <w:p w14:paraId="310E1D53" w14:textId="77777777" w:rsidR="00D10DBB" w:rsidRPr="000E3C8C" w:rsidRDefault="00D10DBB" w:rsidP="00D10DBB">
            <w:pPr>
              <w:spacing w:after="0" w:line="240" w:lineRule="auto"/>
              <w:ind w:left="170"/>
              <w:jc w:val="left"/>
              <w:rPr>
                <w:rFonts w:ascii="Arial" w:hAnsi="Arial" w:cs="Arial"/>
                <w:i/>
                <w:iCs/>
                <w:color w:val="000000"/>
                <w:sz w:val="16"/>
                <w:szCs w:val="16"/>
              </w:rPr>
            </w:pPr>
            <w:r w:rsidRPr="000E3C8C">
              <w:rPr>
                <w:rFonts w:ascii="Arial" w:hAnsi="Arial" w:cs="Arial"/>
                <w:i/>
                <w:iCs/>
                <w:color w:val="000000"/>
                <w:sz w:val="16"/>
                <w:szCs w:val="16"/>
              </w:rPr>
              <w:t>less Net Future Fund earnings(d)</w:t>
            </w:r>
          </w:p>
        </w:tc>
        <w:tc>
          <w:tcPr>
            <w:tcW w:w="559" w:type="pct"/>
            <w:tcBorders>
              <w:top w:val="nil"/>
              <w:left w:val="nil"/>
              <w:bottom w:val="nil"/>
              <w:right w:val="nil"/>
            </w:tcBorders>
            <w:shd w:val="clear" w:color="000000" w:fill="FFFFFF"/>
            <w:noWrap/>
            <w:vAlign w:val="center"/>
            <w:hideMark/>
          </w:tcPr>
          <w:p w14:paraId="0587C8CE" w14:textId="27600BC7" w:rsidR="00D10DBB" w:rsidRPr="000E3C8C" w:rsidRDefault="00E834B1" w:rsidP="00D10DBB">
            <w:pPr>
              <w:spacing w:after="0" w:line="240" w:lineRule="auto"/>
              <w:jc w:val="right"/>
              <w:rPr>
                <w:rFonts w:ascii="Arial" w:hAnsi="Arial" w:cs="Arial"/>
                <w:i/>
                <w:iCs/>
                <w:sz w:val="16"/>
                <w:szCs w:val="16"/>
              </w:rPr>
            </w:pPr>
            <w:r>
              <w:rPr>
                <w:rFonts w:ascii="Arial" w:hAnsi="Arial" w:cs="Arial"/>
                <w:i/>
                <w:iCs/>
                <w:sz w:val="16"/>
                <w:szCs w:val="16"/>
              </w:rPr>
              <w:noBreakHyphen/>
            </w:r>
            <w:r w:rsidR="00D10DBB" w:rsidRPr="000E3C8C">
              <w:rPr>
                <w:rFonts w:ascii="Arial" w:hAnsi="Arial" w:cs="Arial"/>
                <w:i/>
                <w:iCs/>
                <w:sz w:val="16"/>
                <w:szCs w:val="16"/>
              </w:rPr>
              <w:t>151</w:t>
            </w:r>
          </w:p>
        </w:tc>
        <w:tc>
          <w:tcPr>
            <w:tcW w:w="587" w:type="pct"/>
            <w:tcBorders>
              <w:top w:val="nil"/>
              <w:left w:val="nil"/>
              <w:bottom w:val="nil"/>
              <w:right w:val="nil"/>
            </w:tcBorders>
            <w:shd w:val="clear" w:color="000000" w:fill="E6E6E6"/>
            <w:noWrap/>
            <w:vAlign w:val="center"/>
            <w:hideMark/>
          </w:tcPr>
          <w:p w14:paraId="452F3D89" w14:textId="77777777" w:rsidR="00D10DBB" w:rsidRPr="000E3C8C" w:rsidRDefault="00D10DBB" w:rsidP="00D10DBB">
            <w:pPr>
              <w:spacing w:after="0" w:line="240" w:lineRule="auto"/>
              <w:jc w:val="right"/>
              <w:rPr>
                <w:rFonts w:ascii="Arial" w:hAnsi="Arial" w:cs="Arial"/>
                <w:i/>
                <w:iCs/>
                <w:sz w:val="16"/>
                <w:szCs w:val="16"/>
              </w:rPr>
            </w:pPr>
            <w:proofErr w:type="spellStart"/>
            <w:r w:rsidRPr="000E3C8C">
              <w:rPr>
                <w:rFonts w:ascii="Arial" w:hAnsi="Arial" w:cs="Arial"/>
                <w:i/>
                <w:iCs/>
                <w:sz w:val="16"/>
                <w:szCs w:val="16"/>
              </w:rPr>
              <w:t>na</w:t>
            </w:r>
            <w:proofErr w:type="spellEnd"/>
          </w:p>
        </w:tc>
      </w:tr>
      <w:tr w:rsidR="00D10DBB" w:rsidRPr="000E3C8C" w14:paraId="3474EE32" w14:textId="77777777" w:rsidTr="00D10DBB">
        <w:trPr>
          <w:trHeight w:hRule="exact" w:val="225"/>
        </w:trPr>
        <w:tc>
          <w:tcPr>
            <w:tcW w:w="3854" w:type="pct"/>
            <w:tcBorders>
              <w:top w:val="nil"/>
              <w:left w:val="nil"/>
              <w:bottom w:val="nil"/>
              <w:right w:val="nil"/>
            </w:tcBorders>
            <w:shd w:val="clear" w:color="000000" w:fill="FFFFFF"/>
            <w:noWrap/>
            <w:vAlign w:val="center"/>
            <w:hideMark/>
          </w:tcPr>
          <w:p w14:paraId="1D7A2EFD" w14:textId="77777777" w:rsidR="00D10DBB" w:rsidRPr="000E3C8C" w:rsidRDefault="00D10DBB" w:rsidP="00D10DBB">
            <w:pPr>
              <w:spacing w:after="0" w:line="240" w:lineRule="auto"/>
              <w:jc w:val="left"/>
              <w:rPr>
                <w:rFonts w:ascii="Arial" w:hAnsi="Arial" w:cs="Arial"/>
                <w:sz w:val="16"/>
                <w:szCs w:val="16"/>
              </w:rPr>
            </w:pPr>
            <w:r w:rsidRPr="000E3C8C">
              <w:rPr>
                <w:rFonts w:ascii="Arial" w:hAnsi="Arial" w:cs="Arial"/>
                <w:sz w:val="16"/>
                <w:szCs w:val="16"/>
              </w:rPr>
              <w:t>Total parameter and other variations impact on</w:t>
            </w:r>
          </w:p>
        </w:tc>
        <w:tc>
          <w:tcPr>
            <w:tcW w:w="559" w:type="pct"/>
            <w:tcBorders>
              <w:top w:val="single" w:sz="4" w:space="0" w:color="auto"/>
              <w:left w:val="nil"/>
              <w:bottom w:val="nil"/>
              <w:right w:val="nil"/>
            </w:tcBorders>
            <w:shd w:val="clear" w:color="000000" w:fill="FFFFFF"/>
            <w:noWrap/>
            <w:vAlign w:val="center"/>
            <w:hideMark/>
          </w:tcPr>
          <w:p w14:paraId="736957E1" w14:textId="77777777" w:rsidR="00D10DBB" w:rsidRPr="000E3C8C" w:rsidRDefault="00D10DBB" w:rsidP="00D10DBB">
            <w:pPr>
              <w:spacing w:after="0" w:line="240" w:lineRule="auto"/>
              <w:jc w:val="right"/>
              <w:rPr>
                <w:rFonts w:ascii="Arial" w:hAnsi="Arial" w:cs="Arial"/>
                <w:sz w:val="16"/>
                <w:szCs w:val="16"/>
              </w:rPr>
            </w:pPr>
            <w:r w:rsidRPr="000E3C8C">
              <w:rPr>
                <w:rFonts w:ascii="Arial" w:hAnsi="Arial" w:cs="Arial"/>
                <w:sz w:val="16"/>
                <w:szCs w:val="16"/>
              </w:rPr>
              <w:t> </w:t>
            </w:r>
          </w:p>
        </w:tc>
        <w:tc>
          <w:tcPr>
            <w:tcW w:w="587" w:type="pct"/>
            <w:tcBorders>
              <w:top w:val="single" w:sz="4" w:space="0" w:color="auto"/>
              <w:left w:val="nil"/>
              <w:bottom w:val="nil"/>
              <w:right w:val="nil"/>
            </w:tcBorders>
            <w:shd w:val="clear" w:color="000000" w:fill="E6E6E6"/>
            <w:noWrap/>
            <w:vAlign w:val="center"/>
            <w:hideMark/>
          </w:tcPr>
          <w:p w14:paraId="2B5D46E1" w14:textId="77777777" w:rsidR="00D10DBB" w:rsidRPr="000E3C8C" w:rsidRDefault="00D10DBB" w:rsidP="00D10DBB">
            <w:pPr>
              <w:spacing w:after="0" w:line="240" w:lineRule="auto"/>
              <w:jc w:val="right"/>
              <w:rPr>
                <w:rFonts w:ascii="Arial" w:hAnsi="Arial" w:cs="Arial"/>
                <w:sz w:val="16"/>
                <w:szCs w:val="16"/>
              </w:rPr>
            </w:pPr>
            <w:r w:rsidRPr="000E3C8C">
              <w:rPr>
                <w:rFonts w:ascii="Arial" w:hAnsi="Arial" w:cs="Arial"/>
                <w:sz w:val="16"/>
                <w:szCs w:val="16"/>
              </w:rPr>
              <w:t> </w:t>
            </w:r>
          </w:p>
        </w:tc>
      </w:tr>
      <w:tr w:rsidR="00D10DBB" w:rsidRPr="000E3C8C" w14:paraId="216A54EC" w14:textId="77777777" w:rsidTr="00D10DBB">
        <w:trPr>
          <w:trHeight w:hRule="exact" w:val="225"/>
        </w:trPr>
        <w:tc>
          <w:tcPr>
            <w:tcW w:w="3854" w:type="pct"/>
            <w:tcBorders>
              <w:top w:val="nil"/>
              <w:left w:val="nil"/>
              <w:bottom w:val="nil"/>
              <w:right w:val="nil"/>
            </w:tcBorders>
            <w:shd w:val="clear" w:color="000000" w:fill="FFFFFF"/>
            <w:noWrap/>
            <w:vAlign w:val="center"/>
            <w:hideMark/>
          </w:tcPr>
          <w:p w14:paraId="04E2C072" w14:textId="77777777" w:rsidR="00D10DBB" w:rsidRPr="000E3C8C" w:rsidRDefault="00D10DBB" w:rsidP="00D10DBB">
            <w:pPr>
              <w:spacing w:after="0" w:line="240" w:lineRule="auto"/>
              <w:ind w:left="170"/>
              <w:jc w:val="left"/>
              <w:rPr>
                <w:rFonts w:ascii="Arial" w:hAnsi="Arial" w:cs="Arial"/>
                <w:sz w:val="16"/>
                <w:szCs w:val="16"/>
              </w:rPr>
            </w:pPr>
            <w:r w:rsidRPr="000E3C8C">
              <w:rPr>
                <w:rFonts w:ascii="Arial" w:hAnsi="Arial" w:cs="Arial"/>
                <w:sz w:val="16"/>
                <w:szCs w:val="16"/>
              </w:rPr>
              <w:t>underlying cash balance</w:t>
            </w:r>
          </w:p>
        </w:tc>
        <w:tc>
          <w:tcPr>
            <w:tcW w:w="559" w:type="pct"/>
            <w:tcBorders>
              <w:top w:val="nil"/>
              <w:left w:val="nil"/>
              <w:bottom w:val="nil"/>
              <w:right w:val="nil"/>
            </w:tcBorders>
            <w:shd w:val="clear" w:color="000000" w:fill="FFFFFF"/>
            <w:noWrap/>
            <w:vAlign w:val="center"/>
            <w:hideMark/>
          </w:tcPr>
          <w:p w14:paraId="09FD8572" w14:textId="5283187C" w:rsidR="00D10DBB" w:rsidRPr="000E3C8C" w:rsidRDefault="00E834B1" w:rsidP="00D10DBB">
            <w:pPr>
              <w:spacing w:after="0" w:line="240" w:lineRule="auto"/>
              <w:jc w:val="right"/>
              <w:rPr>
                <w:rFonts w:ascii="Arial" w:hAnsi="Arial" w:cs="Arial"/>
                <w:sz w:val="16"/>
                <w:szCs w:val="16"/>
              </w:rPr>
            </w:pPr>
            <w:r>
              <w:rPr>
                <w:rFonts w:ascii="Arial" w:hAnsi="Arial" w:cs="Arial"/>
                <w:sz w:val="16"/>
                <w:szCs w:val="16"/>
              </w:rPr>
              <w:noBreakHyphen/>
            </w:r>
            <w:r w:rsidR="00D10DBB" w:rsidRPr="000E3C8C">
              <w:rPr>
                <w:rFonts w:ascii="Arial" w:hAnsi="Arial" w:cs="Arial"/>
                <w:sz w:val="16"/>
                <w:szCs w:val="16"/>
              </w:rPr>
              <w:t>32,406</w:t>
            </w:r>
          </w:p>
        </w:tc>
        <w:tc>
          <w:tcPr>
            <w:tcW w:w="587" w:type="pct"/>
            <w:tcBorders>
              <w:top w:val="nil"/>
              <w:left w:val="nil"/>
              <w:bottom w:val="nil"/>
              <w:right w:val="nil"/>
            </w:tcBorders>
            <w:shd w:val="clear" w:color="000000" w:fill="E6E6E6"/>
            <w:noWrap/>
            <w:vAlign w:val="center"/>
            <w:hideMark/>
          </w:tcPr>
          <w:p w14:paraId="5DF52A73" w14:textId="1BF228DA" w:rsidR="00D10DBB" w:rsidRPr="000E3C8C" w:rsidRDefault="00E834B1" w:rsidP="00D10DBB">
            <w:pPr>
              <w:spacing w:after="0" w:line="240" w:lineRule="auto"/>
              <w:jc w:val="right"/>
              <w:rPr>
                <w:rFonts w:ascii="Arial" w:hAnsi="Arial" w:cs="Arial"/>
                <w:sz w:val="16"/>
                <w:szCs w:val="16"/>
              </w:rPr>
            </w:pPr>
            <w:r>
              <w:rPr>
                <w:rFonts w:ascii="Arial" w:hAnsi="Arial" w:cs="Arial"/>
                <w:sz w:val="16"/>
                <w:szCs w:val="16"/>
              </w:rPr>
              <w:noBreakHyphen/>
            </w:r>
            <w:r w:rsidR="00D10DBB" w:rsidRPr="000E3C8C">
              <w:rPr>
                <w:rFonts w:ascii="Arial" w:hAnsi="Arial" w:cs="Arial"/>
                <w:sz w:val="16"/>
                <w:szCs w:val="16"/>
              </w:rPr>
              <w:t>72,186</w:t>
            </w:r>
          </w:p>
        </w:tc>
      </w:tr>
      <w:tr w:rsidR="00D10DBB" w:rsidRPr="000E3C8C" w14:paraId="55881F68" w14:textId="77777777" w:rsidTr="00D10DBB">
        <w:trPr>
          <w:trHeight w:hRule="exact" w:val="60"/>
        </w:trPr>
        <w:tc>
          <w:tcPr>
            <w:tcW w:w="3854" w:type="pct"/>
            <w:tcBorders>
              <w:top w:val="nil"/>
              <w:left w:val="nil"/>
              <w:bottom w:val="nil"/>
              <w:right w:val="nil"/>
            </w:tcBorders>
            <w:shd w:val="clear" w:color="000000" w:fill="FFFFFF"/>
            <w:noWrap/>
            <w:vAlign w:val="center"/>
            <w:hideMark/>
          </w:tcPr>
          <w:p w14:paraId="07489EBB" w14:textId="77777777" w:rsidR="00D10DBB" w:rsidRPr="000E3C8C" w:rsidRDefault="00D10DBB" w:rsidP="00D10DBB">
            <w:pPr>
              <w:spacing w:after="0" w:line="240" w:lineRule="auto"/>
              <w:jc w:val="left"/>
              <w:rPr>
                <w:rFonts w:ascii="Arial" w:hAnsi="Arial" w:cs="Arial"/>
                <w:sz w:val="16"/>
                <w:szCs w:val="16"/>
              </w:rPr>
            </w:pPr>
            <w:r w:rsidRPr="000E3C8C">
              <w:rPr>
                <w:rFonts w:ascii="Arial" w:hAnsi="Arial" w:cs="Arial"/>
                <w:sz w:val="16"/>
                <w:szCs w:val="16"/>
              </w:rPr>
              <w:t> </w:t>
            </w:r>
          </w:p>
        </w:tc>
        <w:tc>
          <w:tcPr>
            <w:tcW w:w="559" w:type="pct"/>
            <w:tcBorders>
              <w:top w:val="nil"/>
              <w:left w:val="nil"/>
              <w:bottom w:val="single" w:sz="4" w:space="0" w:color="auto"/>
              <w:right w:val="nil"/>
            </w:tcBorders>
            <w:shd w:val="clear" w:color="000000" w:fill="FFFFFF"/>
            <w:noWrap/>
            <w:vAlign w:val="center"/>
            <w:hideMark/>
          </w:tcPr>
          <w:p w14:paraId="07FE19DE" w14:textId="77777777" w:rsidR="00D10DBB" w:rsidRPr="000E3C8C" w:rsidRDefault="00D10DBB" w:rsidP="00D10DBB">
            <w:pPr>
              <w:spacing w:after="0" w:line="240" w:lineRule="auto"/>
              <w:jc w:val="right"/>
              <w:rPr>
                <w:rFonts w:ascii="Arial" w:hAnsi="Arial" w:cs="Arial"/>
                <w:color w:val="0066CC"/>
                <w:sz w:val="16"/>
                <w:szCs w:val="16"/>
              </w:rPr>
            </w:pPr>
            <w:r w:rsidRPr="000E3C8C">
              <w:rPr>
                <w:rFonts w:ascii="Arial" w:hAnsi="Arial" w:cs="Arial"/>
                <w:color w:val="0066CC"/>
                <w:sz w:val="16"/>
                <w:szCs w:val="16"/>
              </w:rPr>
              <w:t> </w:t>
            </w:r>
          </w:p>
        </w:tc>
        <w:tc>
          <w:tcPr>
            <w:tcW w:w="587" w:type="pct"/>
            <w:tcBorders>
              <w:top w:val="nil"/>
              <w:left w:val="nil"/>
              <w:bottom w:val="single" w:sz="4" w:space="0" w:color="auto"/>
              <w:right w:val="nil"/>
            </w:tcBorders>
            <w:shd w:val="clear" w:color="000000" w:fill="E6E6E6"/>
            <w:noWrap/>
            <w:vAlign w:val="center"/>
            <w:hideMark/>
          </w:tcPr>
          <w:p w14:paraId="3A331A63" w14:textId="77777777" w:rsidR="00D10DBB" w:rsidRPr="000E3C8C" w:rsidRDefault="00D10DBB" w:rsidP="00D10DBB">
            <w:pPr>
              <w:spacing w:after="0" w:line="240" w:lineRule="auto"/>
              <w:jc w:val="right"/>
              <w:rPr>
                <w:rFonts w:ascii="Arial" w:hAnsi="Arial" w:cs="Arial"/>
                <w:color w:val="0066CC"/>
                <w:sz w:val="16"/>
                <w:szCs w:val="16"/>
              </w:rPr>
            </w:pPr>
            <w:r w:rsidRPr="000E3C8C">
              <w:rPr>
                <w:rFonts w:ascii="Arial" w:hAnsi="Arial" w:cs="Arial"/>
                <w:color w:val="0066CC"/>
                <w:sz w:val="16"/>
                <w:szCs w:val="16"/>
              </w:rPr>
              <w:t> </w:t>
            </w:r>
          </w:p>
        </w:tc>
      </w:tr>
      <w:tr w:rsidR="00D10DBB" w:rsidRPr="000E3C8C" w14:paraId="56B6DE12" w14:textId="77777777" w:rsidTr="00D10DBB">
        <w:trPr>
          <w:trHeight w:hRule="exact" w:val="225"/>
        </w:trPr>
        <w:tc>
          <w:tcPr>
            <w:tcW w:w="3854" w:type="pct"/>
            <w:tcBorders>
              <w:top w:val="nil"/>
              <w:left w:val="nil"/>
              <w:bottom w:val="nil"/>
              <w:right w:val="nil"/>
            </w:tcBorders>
            <w:shd w:val="clear" w:color="000000" w:fill="FFFFFF"/>
            <w:noWrap/>
            <w:vAlign w:val="center"/>
            <w:hideMark/>
          </w:tcPr>
          <w:p w14:paraId="6229B1A5" w14:textId="77777777" w:rsidR="00D10DBB" w:rsidRPr="000E3C8C" w:rsidRDefault="00D10DBB" w:rsidP="00D10DBB">
            <w:pPr>
              <w:spacing w:after="0" w:line="240" w:lineRule="auto"/>
              <w:jc w:val="left"/>
              <w:rPr>
                <w:rFonts w:ascii="Arial" w:hAnsi="Arial" w:cs="Arial"/>
                <w:b/>
                <w:bCs/>
                <w:sz w:val="16"/>
                <w:szCs w:val="16"/>
              </w:rPr>
            </w:pPr>
            <w:r w:rsidRPr="000E3C8C">
              <w:rPr>
                <w:rFonts w:ascii="Arial" w:hAnsi="Arial" w:cs="Arial"/>
                <w:b/>
                <w:bCs/>
                <w:sz w:val="16"/>
                <w:szCs w:val="16"/>
              </w:rPr>
              <w:t>2020 Economic and Fiscal Update underlying cash balance(a)</w:t>
            </w:r>
          </w:p>
        </w:tc>
        <w:tc>
          <w:tcPr>
            <w:tcW w:w="559" w:type="pct"/>
            <w:tcBorders>
              <w:top w:val="nil"/>
              <w:left w:val="nil"/>
              <w:bottom w:val="nil"/>
              <w:right w:val="nil"/>
            </w:tcBorders>
            <w:shd w:val="clear" w:color="000000" w:fill="FFFFFF"/>
            <w:noWrap/>
            <w:vAlign w:val="center"/>
            <w:hideMark/>
          </w:tcPr>
          <w:p w14:paraId="7490F11D" w14:textId="491970D1" w:rsidR="00D10DBB" w:rsidRPr="000E3C8C" w:rsidRDefault="00E834B1" w:rsidP="00D10DBB">
            <w:pPr>
              <w:spacing w:after="0" w:line="240" w:lineRule="auto"/>
              <w:jc w:val="right"/>
              <w:rPr>
                <w:rFonts w:ascii="Arial" w:hAnsi="Arial" w:cs="Arial"/>
                <w:b/>
                <w:bCs/>
                <w:sz w:val="16"/>
                <w:szCs w:val="16"/>
              </w:rPr>
            </w:pPr>
            <w:r>
              <w:rPr>
                <w:rFonts w:ascii="Arial" w:hAnsi="Arial" w:cs="Arial"/>
                <w:b/>
                <w:bCs/>
                <w:sz w:val="16"/>
                <w:szCs w:val="16"/>
              </w:rPr>
              <w:noBreakHyphen/>
            </w:r>
            <w:r w:rsidR="00D10DBB" w:rsidRPr="000E3C8C">
              <w:rPr>
                <w:rFonts w:ascii="Arial" w:hAnsi="Arial" w:cs="Arial"/>
                <w:b/>
                <w:bCs/>
                <w:sz w:val="16"/>
                <w:szCs w:val="16"/>
              </w:rPr>
              <w:t>85,778</w:t>
            </w:r>
          </w:p>
        </w:tc>
        <w:tc>
          <w:tcPr>
            <w:tcW w:w="587" w:type="pct"/>
            <w:tcBorders>
              <w:top w:val="nil"/>
              <w:left w:val="nil"/>
              <w:bottom w:val="nil"/>
              <w:right w:val="nil"/>
            </w:tcBorders>
            <w:shd w:val="clear" w:color="000000" w:fill="E6E6E6"/>
            <w:noWrap/>
            <w:vAlign w:val="center"/>
            <w:hideMark/>
          </w:tcPr>
          <w:p w14:paraId="777ECE22" w14:textId="46C4CE6A" w:rsidR="00D10DBB" w:rsidRPr="000E3C8C" w:rsidRDefault="00E834B1" w:rsidP="00D10DBB">
            <w:pPr>
              <w:spacing w:after="0" w:line="240" w:lineRule="auto"/>
              <w:jc w:val="right"/>
              <w:rPr>
                <w:rFonts w:ascii="Arial" w:hAnsi="Arial" w:cs="Arial"/>
                <w:b/>
                <w:bCs/>
                <w:sz w:val="16"/>
                <w:szCs w:val="16"/>
              </w:rPr>
            </w:pPr>
            <w:r>
              <w:rPr>
                <w:rFonts w:ascii="Arial" w:hAnsi="Arial" w:cs="Arial"/>
                <w:b/>
                <w:bCs/>
                <w:sz w:val="16"/>
                <w:szCs w:val="16"/>
              </w:rPr>
              <w:noBreakHyphen/>
            </w:r>
            <w:r w:rsidR="00D10DBB" w:rsidRPr="000E3C8C">
              <w:rPr>
                <w:rFonts w:ascii="Arial" w:hAnsi="Arial" w:cs="Arial"/>
                <w:b/>
                <w:bCs/>
                <w:sz w:val="16"/>
                <w:szCs w:val="16"/>
              </w:rPr>
              <w:t>184,509</w:t>
            </w:r>
          </w:p>
        </w:tc>
      </w:tr>
      <w:tr w:rsidR="00D10DBB" w:rsidRPr="000E3C8C" w14:paraId="3F7B6DBA" w14:textId="77777777" w:rsidTr="00D10DBB">
        <w:trPr>
          <w:trHeight w:hRule="exact" w:val="225"/>
        </w:trPr>
        <w:tc>
          <w:tcPr>
            <w:tcW w:w="3854" w:type="pct"/>
            <w:tcBorders>
              <w:top w:val="nil"/>
              <w:left w:val="nil"/>
              <w:bottom w:val="single" w:sz="4" w:space="0" w:color="auto"/>
              <w:right w:val="nil"/>
            </w:tcBorders>
            <w:shd w:val="clear" w:color="000000" w:fill="FFFFFF"/>
            <w:noWrap/>
            <w:vAlign w:val="center"/>
            <w:hideMark/>
          </w:tcPr>
          <w:p w14:paraId="40722BC9" w14:textId="77777777" w:rsidR="00D10DBB" w:rsidRPr="000E3C8C" w:rsidRDefault="00D10DBB" w:rsidP="00D10DBB">
            <w:pPr>
              <w:spacing w:after="0" w:line="240" w:lineRule="auto"/>
              <w:jc w:val="left"/>
              <w:rPr>
                <w:rFonts w:ascii="Arial" w:hAnsi="Arial" w:cs="Arial"/>
                <w:sz w:val="16"/>
                <w:szCs w:val="16"/>
              </w:rPr>
            </w:pPr>
            <w:r w:rsidRPr="000E3C8C">
              <w:rPr>
                <w:rFonts w:ascii="Arial" w:hAnsi="Arial" w:cs="Arial"/>
                <w:sz w:val="16"/>
                <w:szCs w:val="16"/>
              </w:rPr>
              <w:t>Per cent of GDP</w:t>
            </w:r>
          </w:p>
        </w:tc>
        <w:tc>
          <w:tcPr>
            <w:tcW w:w="559" w:type="pct"/>
            <w:tcBorders>
              <w:top w:val="nil"/>
              <w:left w:val="nil"/>
              <w:bottom w:val="single" w:sz="4" w:space="0" w:color="auto"/>
              <w:right w:val="nil"/>
            </w:tcBorders>
            <w:shd w:val="clear" w:color="000000" w:fill="FFFFFF"/>
            <w:noWrap/>
            <w:vAlign w:val="center"/>
            <w:hideMark/>
          </w:tcPr>
          <w:p w14:paraId="7706904A" w14:textId="49DCD1AC" w:rsidR="00D10DBB" w:rsidRPr="000E3C8C" w:rsidRDefault="00E834B1" w:rsidP="00D10DBB">
            <w:pPr>
              <w:spacing w:after="0" w:line="240" w:lineRule="auto"/>
              <w:jc w:val="right"/>
              <w:rPr>
                <w:rFonts w:ascii="Arial" w:hAnsi="Arial" w:cs="Arial"/>
                <w:sz w:val="16"/>
                <w:szCs w:val="16"/>
              </w:rPr>
            </w:pPr>
            <w:r>
              <w:rPr>
                <w:rFonts w:ascii="Arial" w:hAnsi="Arial" w:cs="Arial"/>
                <w:sz w:val="16"/>
                <w:szCs w:val="16"/>
              </w:rPr>
              <w:noBreakHyphen/>
            </w:r>
            <w:r w:rsidR="00D10DBB" w:rsidRPr="000E3C8C">
              <w:rPr>
                <w:rFonts w:ascii="Arial" w:hAnsi="Arial" w:cs="Arial"/>
                <w:sz w:val="16"/>
                <w:szCs w:val="16"/>
              </w:rPr>
              <w:t>4.3</w:t>
            </w:r>
          </w:p>
        </w:tc>
        <w:tc>
          <w:tcPr>
            <w:tcW w:w="587" w:type="pct"/>
            <w:tcBorders>
              <w:top w:val="nil"/>
              <w:left w:val="nil"/>
              <w:bottom w:val="single" w:sz="4" w:space="0" w:color="auto"/>
              <w:right w:val="nil"/>
            </w:tcBorders>
            <w:shd w:val="clear" w:color="000000" w:fill="E6E6E6"/>
            <w:noWrap/>
            <w:vAlign w:val="center"/>
            <w:hideMark/>
          </w:tcPr>
          <w:p w14:paraId="51DA51A8" w14:textId="2851F208" w:rsidR="00D10DBB" w:rsidRPr="000E3C8C" w:rsidRDefault="00E834B1" w:rsidP="00D10DBB">
            <w:pPr>
              <w:spacing w:after="0" w:line="240" w:lineRule="auto"/>
              <w:jc w:val="right"/>
              <w:rPr>
                <w:rFonts w:ascii="Arial" w:hAnsi="Arial" w:cs="Arial"/>
                <w:sz w:val="16"/>
                <w:szCs w:val="16"/>
              </w:rPr>
            </w:pPr>
            <w:r>
              <w:rPr>
                <w:rFonts w:ascii="Arial" w:hAnsi="Arial" w:cs="Arial"/>
                <w:sz w:val="16"/>
                <w:szCs w:val="16"/>
              </w:rPr>
              <w:noBreakHyphen/>
            </w:r>
            <w:r w:rsidR="00D10DBB" w:rsidRPr="000E3C8C">
              <w:rPr>
                <w:rFonts w:ascii="Arial" w:hAnsi="Arial" w:cs="Arial"/>
                <w:sz w:val="16"/>
                <w:szCs w:val="16"/>
              </w:rPr>
              <w:t>9.7</w:t>
            </w:r>
          </w:p>
        </w:tc>
      </w:tr>
      <w:tr w:rsidR="00D10DBB" w:rsidRPr="000E3C8C" w14:paraId="539A845E" w14:textId="77777777" w:rsidTr="00D10DBB">
        <w:trPr>
          <w:trHeight w:hRule="exact" w:val="225"/>
        </w:trPr>
        <w:tc>
          <w:tcPr>
            <w:tcW w:w="3854" w:type="pct"/>
            <w:tcBorders>
              <w:top w:val="nil"/>
              <w:left w:val="nil"/>
              <w:bottom w:val="nil"/>
              <w:right w:val="nil"/>
            </w:tcBorders>
            <w:shd w:val="clear" w:color="000000" w:fill="FFFFFF"/>
            <w:noWrap/>
            <w:vAlign w:val="center"/>
            <w:hideMark/>
          </w:tcPr>
          <w:p w14:paraId="7D2D4E49" w14:textId="77777777" w:rsidR="00D10DBB" w:rsidRPr="000E3C8C" w:rsidRDefault="00D10DBB" w:rsidP="00D10DBB">
            <w:pPr>
              <w:spacing w:after="0" w:line="240" w:lineRule="auto"/>
              <w:jc w:val="left"/>
              <w:rPr>
                <w:rFonts w:ascii="Arial" w:hAnsi="Arial" w:cs="Arial"/>
                <w:i/>
                <w:iCs/>
                <w:sz w:val="16"/>
                <w:szCs w:val="16"/>
              </w:rPr>
            </w:pPr>
            <w:r w:rsidRPr="000E3C8C">
              <w:rPr>
                <w:rFonts w:ascii="Arial" w:hAnsi="Arial" w:cs="Arial"/>
                <w:i/>
                <w:iCs/>
                <w:sz w:val="16"/>
                <w:szCs w:val="16"/>
              </w:rPr>
              <w:t>Memorandum:</w:t>
            </w:r>
          </w:p>
        </w:tc>
        <w:tc>
          <w:tcPr>
            <w:tcW w:w="559" w:type="pct"/>
            <w:tcBorders>
              <w:top w:val="nil"/>
              <w:left w:val="nil"/>
              <w:bottom w:val="nil"/>
              <w:right w:val="nil"/>
            </w:tcBorders>
            <w:shd w:val="clear" w:color="000000" w:fill="FFFFFF"/>
            <w:noWrap/>
            <w:vAlign w:val="center"/>
            <w:hideMark/>
          </w:tcPr>
          <w:p w14:paraId="4E213EEE" w14:textId="77777777" w:rsidR="00D10DBB" w:rsidRPr="000E3C8C" w:rsidRDefault="00D10DBB" w:rsidP="00D10DBB">
            <w:pPr>
              <w:spacing w:after="0" w:line="240" w:lineRule="auto"/>
              <w:jc w:val="right"/>
              <w:rPr>
                <w:rFonts w:ascii="Arial" w:hAnsi="Arial" w:cs="Arial"/>
                <w:sz w:val="16"/>
                <w:szCs w:val="16"/>
              </w:rPr>
            </w:pPr>
            <w:r w:rsidRPr="000E3C8C">
              <w:rPr>
                <w:rFonts w:ascii="Arial" w:hAnsi="Arial" w:cs="Arial"/>
                <w:sz w:val="16"/>
                <w:szCs w:val="16"/>
              </w:rPr>
              <w:t> </w:t>
            </w:r>
          </w:p>
        </w:tc>
        <w:tc>
          <w:tcPr>
            <w:tcW w:w="587" w:type="pct"/>
            <w:tcBorders>
              <w:top w:val="nil"/>
              <w:left w:val="nil"/>
              <w:bottom w:val="nil"/>
              <w:right w:val="nil"/>
            </w:tcBorders>
            <w:shd w:val="clear" w:color="000000" w:fill="E6E6E6"/>
            <w:noWrap/>
            <w:vAlign w:val="center"/>
            <w:hideMark/>
          </w:tcPr>
          <w:p w14:paraId="6C780667" w14:textId="77777777" w:rsidR="00D10DBB" w:rsidRPr="000E3C8C" w:rsidRDefault="00D10DBB" w:rsidP="00D10DBB">
            <w:pPr>
              <w:spacing w:after="0" w:line="240" w:lineRule="auto"/>
              <w:jc w:val="right"/>
              <w:rPr>
                <w:rFonts w:ascii="Arial" w:hAnsi="Arial" w:cs="Arial"/>
                <w:sz w:val="16"/>
                <w:szCs w:val="16"/>
              </w:rPr>
            </w:pPr>
            <w:r w:rsidRPr="000E3C8C">
              <w:rPr>
                <w:rFonts w:ascii="Arial" w:hAnsi="Arial" w:cs="Arial"/>
                <w:sz w:val="16"/>
                <w:szCs w:val="16"/>
              </w:rPr>
              <w:t> </w:t>
            </w:r>
          </w:p>
        </w:tc>
      </w:tr>
      <w:tr w:rsidR="00D10DBB" w:rsidRPr="000E3C8C" w14:paraId="4F37138F" w14:textId="77777777" w:rsidTr="00D10DBB">
        <w:trPr>
          <w:trHeight w:hRule="exact" w:val="225"/>
        </w:trPr>
        <w:tc>
          <w:tcPr>
            <w:tcW w:w="3854" w:type="pct"/>
            <w:tcBorders>
              <w:top w:val="nil"/>
              <w:left w:val="nil"/>
              <w:bottom w:val="single" w:sz="4" w:space="0" w:color="auto"/>
              <w:right w:val="nil"/>
            </w:tcBorders>
            <w:shd w:val="clear" w:color="000000" w:fill="FFFFFF"/>
            <w:noWrap/>
            <w:vAlign w:val="center"/>
            <w:hideMark/>
          </w:tcPr>
          <w:p w14:paraId="69D4FA2A" w14:textId="77777777" w:rsidR="00D10DBB" w:rsidRPr="000E3C8C" w:rsidRDefault="00D10DBB" w:rsidP="00D10DBB">
            <w:pPr>
              <w:spacing w:after="0" w:line="240" w:lineRule="auto"/>
              <w:jc w:val="left"/>
              <w:rPr>
                <w:rFonts w:ascii="Arial" w:hAnsi="Arial" w:cs="Arial"/>
                <w:i/>
                <w:iCs/>
                <w:sz w:val="16"/>
                <w:szCs w:val="16"/>
              </w:rPr>
            </w:pPr>
            <w:r w:rsidRPr="000E3C8C">
              <w:rPr>
                <w:rFonts w:ascii="Arial" w:hAnsi="Arial" w:cs="Arial"/>
                <w:i/>
                <w:iCs/>
                <w:sz w:val="16"/>
                <w:szCs w:val="16"/>
              </w:rPr>
              <w:t>Net Future Fund earnings(d)</w:t>
            </w:r>
          </w:p>
        </w:tc>
        <w:tc>
          <w:tcPr>
            <w:tcW w:w="559" w:type="pct"/>
            <w:tcBorders>
              <w:top w:val="nil"/>
              <w:left w:val="nil"/>
              <w:bottom w:val="single" w:sz="4" w:space="0" w:color="auto"/>
              <w:right w:val="nil"/>
            </w:tcBorders>
            <w:shd w:val="clear" w:color="000000" w:fill="FFFFFF"/>
            <w:noWrap/>
            <w:vAlign w:val="center"/>
            <w:hideMark/>
          </w:tcPr>
          <w:p w14:paraId="2A8E0C4E" w14:textId="77777777" w:rsidR="00D10DBB" w:rsidRPr="000E3C8C" w:rsidRDefault="00D10DBB" w:rsidP="00D10DBB">
            <w:pPr>
              <w:spacing w:after="0" w:line="240" w:lineRule="auto"/>
              <w:jc w:val="right"/>
              <w:rPr>
                <w:rFonts w:ascii="Arial" w:hAnsi="Arial" w:cs="Arial"/>
                <w:i/>
                <w:iCs/>
                <w:sz w:val="16"/>
                <w:szCs w:val="16"/>
              </w:rPr>
            </w:pPr>
            <w:r w:rsidRPr="000E3C8C">
              <w:rPr>
                <w:rFonts w:ascii="Arial" w:hAnsi="Arial" w:cs="Arial"/>
                <w:i/>
                <w:iCs/>
                <w:sz w:val="16"/>
                <w:szCs w:val="16"/>
              </w:rPr>
              <w:t>5,317</w:t>
            </w:r>
          </w:p>
        </w:tc>
        <w:tc>
          <w:tcPr>
            <w:tcW w:w="587" w:type="pct"/>
            <w:tcBorders>
              <w:top w:val="nil"/>
              <w:left w:val="nil"/>
              <w:bottom w:val="single" w:sz="4" w:space="0" w:color="auto"/>
              <w:right w:val="nil"/>
            </w:tcBorders>
            <w:shd w:val="clear" w:color="000000" w:fill="E6E6E6"/>
            <w:noWrap/>
            <w:vAlign w:val="center"/>
            <w:hideMark/>
          </w:tcPr>
          <w:p w14:paraId="267AC728" w14:textId="77777777" w:rsidR="00D10DBB" w:rsidRPr="000E3C8C" w:rsidRDefault="00D10DBB" w:rsidP="00D10DBB">
            <w:pPr>
              <w:spacing w:after="0" w:line="240" w:lineRule="auto"/>
              <w:jc w:val="right"/>
              <w:rPr>
                <w:rFonts w:ascii="Arial" w:hAnsi="Arial" w:cs="Arial"/>
                <w:i/>
                <w:iCs/>
                <w:sz w:val="16"/>
                <w:szCs w:val="16"/>
              </w:rPr>
            </w:pPr>
            <w:r w:rsidRPr="000E3C8C">
              <w:rPr>
                <w:rFonts w:ascii="Arial" w:hAnsi="Arial" w:cs="Arial"/>
                <w:i/>
                <w:iCs/>
                <w:sz w:val="16"/>
                <w:szCs w:val="16"/>
              </w:rPr>
              <w:t>5,410</w:t>
            </w:r>
          </w:p>
        </w:tc>
      </w:tr>
    </w:tbl>
    <w:p w14:paraId="22F7142A" w14:textId="64B10619" w:rsidR="00E050FC" w:rsidRPr="000E3C8C" w:rsidRDefault="00E050FC" w:rsidP="00266390">
      <w:pPr>
        <w:pStyle w:val="ChartandTableFootnoteAlpha"/>
        <w:numPr>
          <w:ilvl w:val="0"/>
          <w:numId w:val="6"/>
        </w:numPr>
      </w:pPr>
      <w:r w:rsidRPr="000E3C8C">
        <w:t>Excludes expected net Future Fund earnings before 2020</w:t>
      </w:r>
      <w:r w:rsidR="00E834B1">
        <w:noBreakHyphen/>
      </w:r>
      <w:r w:rsidRPr="000E3C8C">
        <w:t>21.</w:t>
      </w:r>
    </w:p>
    <w:p w14:paraId="10740AB5" w14:textId="07FA805B" w:rsidR="00E050FC" w:rsidRPr="000E3C8C" w:rsidRDefault="00E050FC" w:rsidP="0047740D">
      <w:pPr>
        <w:pStyle w:val="ChartandTableFootnoteAlpha"/>
      </w:pPr>
      <w:r w:rsidRPr="000E3C8C">
        <w:t>Excludes secondary impacts on public debt interest of policy decisions and offsets from the Contingency Reserve for decisions taken.</w:t>
      </w:r>
    </w:p>
    <w:p w14:paraId="709C103D" w14:textId="386A34E3" w:rsidR="00E050FC" w:rsidRPr="000E3C8C" w:rsidRDefault="00E050FC" w:rsidP="0047740D">
      <w:pPr>
        <w:pStyle w:val="ChartandTableFootnoteAlpha"/>
      </w:pPr>
      <w:r w:rsidRPr="000E3C8C">
        <w:t>A positive number for receipts improves the underlying cash balance, while a positive number for payments worsens the underlying cash balance.</w:t>
      </w:r>
    </w:p>
    <w:p w14:paraId="2955EA5B" w14:textId="2D78C11B" w:rsidR="00987076" w:rsidRPr="000E3C8C" w:rsidRDefault="00E050FC" w:rsidP="0047740D">
      <w:pPr>
        <w:pStyle w:val="ChartandTableFootnoteAlpha"/>
      </w:pPr>
      <w:r w:rsidRPr="000E3C8C">
        <w:t xml:space="preserve">Under the </w:t>
      </w:r>
      <w:r w:rsidRPr="000E3C8C">
        <w:rPr>
          <w:i/>
        </w:rPr>
        <w:t>Future Fund Act 2006</w:t>
      </w:r>
      <w:r w:rsidRPr="000E3C8C">
        <w:t>, net Future Fund earnings will be available to meet the Australian Government</w:t>
      </w:r>
      <w:r w:rsidR="00E834B1">
        <w:t>’</w:t>
      </w:r>
      <w:r w:rsidRPr="000E3C8C">
        <w:t>s superannuation liability in 2020</w:t>
      </w:r>
      <w:r w:rsidR="00E834B1">
        <w:noBreakHyphen/>
      </w:r>
      <w:r w:rsidRPr="000E3C8C">
        <w:t>21. From this time, the underlying cash balance includes expected net Future Fund earnings.</w:t>
      </w:r>
    </w:p>
    <w:p w14:paraId="30685025" w14:textId="77777777" w:rsidR="002A115E" w:rsidRPr="000E3C8C" w:rsidRDefault="002A115E" w:rsidP="002A115E">
      <w:pPr>
        <w:pStyle w:val="SingleParagraph"/>
      </w:pPr>
    </w:p>
    <w:p w14:paraId="5A166DDA" w14:textId="739C67B6" w:rsidR="00987076" w:rsidRPr="000E3C8C" w:rsidRDefault="00A164AA" w:rsidP="002A115E">
      <w:r w:rsidRPr="000E3C8C">
        <w:fldChar w:fldCharType="begin"/>
      </w:r>
      <w:r w:rsidRPr="000E3C8C">
        <w:instrText xml:space="preserve"> :End:</w:instrText>
      </w:r>
      <w:r w:rsidR="00B83222" w:rsidRPr="000E3C8C">
        <w:instrText>FARM_AB1</w:instrText>
      </w:r>
      <w:r w:rsidRPr="000E3C8C">
        <w:instrText xml:space="preserve"> </w:instrText>
      </w:r>
      <w:r w:rsidRPr="000E3C8C">
        <w:fldChar w:fldCharType="end"/>
      </w:r>
      <w:r w:rsidR="00F04628" w:rsidRPr="000E3C8C">
        <w:fldChar w:fldCharType="begin"/>
      </w:r>
      <w:r w:rsidR="00F04628" w:rsidRPr="000E3C8C">
        <w:instrText xml:space="preserve"> :Start:BPD_JR1 </w:instrText>
      </w:r>
      <w:r w:rsidR="00F04628" w:rsidRPr="000E3C8C">
        <w:fldChar w:fldCharType="end"/>
      </w:r>
      <w:r w:rsidR="00987076" w:rsidRPr="000E3C8C">
        <w:t>Policy decisions taken since the 2019</w:t>
      </w:r>
      <w:r w:rsidR="00E834B1">
        <w:noBreakHyphen/>
      </w:r>
      <w:r w:rsidR="00987076" w:rsidRPr="000E3C8C">
        <w:t>20 MYEFO have reduced t</w:t>
      </w:r>
      <w:r w:rsidR="00BA0B73" w:rsidRPr="000E3C8C">
        <w:t>he underlying cash balance by $58.4 billion in 2019</w:t>
      </w:r>
      <w:r w:rsidR="00E834B1">
        <w:noBreakHyphen/>
      </w:r>
      <w:r w:rsidR="00BA0B73" w:rsidRPr="000E3C8C">
        <w:t>20 and $118.4</w:t>
      </w:r>
      <w:r w:rsidR="00987076" w:rsidRPr="000E3C8C">
        <w:t> billion in 2020</w:t>
      </w:r>
      <w:r w:rsidR="00E834B1">
        <w:noBreakHyphen/>
      </w:r>
      <w:r w:rsidR="00987076" w:rsidRPr="000E3C8C">
        <w:t>21.</w:t>
      </w:r>
      <w:r w:rsidR="00C03065" w:rsidRPr="000E3C8C">
        <w:fldChar w:fldCharType="begin"/>
      </w:r>
      <w:r w:rsidR="00C03065" w:rsidRPr="000E3C8C">
        <w:instrText xml:space="preserve"> :End:BPD_JR1 </w:instrText>
      </w:r>
      <w:r w:rsidR="00C03065" w:rsidRPr="000E3C8C">
        <w:fldChar w:fldCharType="end"/>
      </w:r>
      <w:r w:rsidR="00987076" w:rsidRPr="000E3C8C">
        <w:t xml:space="preserve"> </w:t>
      </w:r>
      <w:r w:rsidR="00C03065" w:rsidRPr="000E3C8C">
        <w:fldChar w:fldCharType="begin"/>
      </w:r>
      <w:r w:rsidR="00C03065" w:rsidRPr="000E3C8C">
        <w:instrText xml:space="preserve"> :Start:BPD_JR4 </w:instrText>
      </w:r>
      <w:r w:rsidR="00C03065" w:rsidRPr="000E3C8C">
        <w:fldChar w:fldCharType="end"/>
      </w:r>
      <w:r w:rsidR="009F7E59" w:rsidRPr="000E3C8C">
        <w:t>This</w:t>
      </w:r>
      <w:r w:rsidR="008B560A" w:rsidRPr="000E3C8C">
        <w:t xml:space="preserve"> largely</w:t>
      </w:r>
      <w:r w:rsidR="009F7E59" w:rsidRPr="000E3C8C">
        <w:t xml:space="preserve"> reflects </w:t>
      </w:r>
      <w:r w:rsidR="00987076" w:rsidRPr="000E3C8C">
        <w:t>the Government</w:t>
      </w:r>
      <w:r w:rsidR="00E834B1">
        <w:t>’</w:t>
      </w:r>
      <w:r w:rsidR="00987076" w:rsidRPr="000E3C8C">
        <w:t xml:space="preserve">s response to </w:t>
      </w:r>
      <w:r w:rsidR="006F2833" w:rsidRPr="000E3C8C">
        <w:t xml:space="preserve">the </w:t>
      </w:r>
      <w:r w:rsidR="00D63FEF" w:rsidRPr="000E3C8C">
        <w:t>COVID</w:t>
      </w:r>
      <w:r w:rsidR="00E834B1">
        <w:noBreakHyphen/>
      </w:r>
      <w:r w:rsidR="00D63FEF" w:rsidRPr="000E3C8C">
        <w:t>19</w:t>
      </w:r>
      <w:r w:rsidR="007E71B5" w:rsidRPr="000E3C8C">
        <w:t xml:space="preserve"> </w:t>
      </w:r>
      <w:r w:rsidR="009D2C43" w:rsidRPr="000E3C8C">
        <w:t>pandemic</w:t>
      </w:r>
      <w:r w:rsidR="00987076" w:rsidRPr="000E3C8C">
        <w:t xml:space="preserve">, with </w:t>
      </w:r>
      <w:r w:rsidR="00560FBE" w:rsidRPr="000E3C8C">
        <w:t xml:space="preserve">around </w:t>
      </w:r>
      <w:r w:rsidR="006934D3" w:rsidRPr="000E3C8C">
        <w:t>$17</w:t>
      </w:r>
      <w:r w:rsidR="00711A27" w:rsidRPr="000E3C8C">
        <w:t>2</w:t>
      </w:r>
      <w:r w:rsidR="00FE74F1" w:rsidRPr="000E3C8C">
        <w:t xml:space="preserve"> billion </w:t>
      </w:r>
      <w:r w:rsidR="00C874DD" w:rsidRPr="000E3C8C">
        <w:t xml:space="preserve">in </w:t>
      </w:r>
      <w:r w:rsidR="00F67D73" w:rsidRPr="000E3C8C">
        <w:t xml:space="preserve">spending </w:t>
      </w:r>
      <w:r w:rsidR="00FE74F1" w:rsidRPr="000E3C8C">
        <w:t>over two </w:t>
      </w:r>
      <w:r w:rsidR="00D75150" w:rsidRPr="000E3C8C">
        <w:t>years</w:t>
      </w:r>
      <w:r w:rsidR="00851093" w:rsidRPr="000E3C8C">
        <w:t xml:space="preserve"> in this response</w:t>
      </w:r>
      <w:r w:rsidR="0034038A" w:rsidRPr="000E3C8C">
        <w:t>. In addition,</w:t>
      </w:r>
      <w:r w:rsidR="0099716D" w:rsidRPr="000E3C8C">
        <w:t xml:space="preserve"> </w:t>
      </w:r>
      <w:r w:rsidR="00C73F9E" w:rsidRPr="000E3C8C">
        <w:t>the Government committ</w:t>
      </w:r>
      <w:r w:rsidR="003A22FC">
        <w:t>ed</w:t>
      </w:r>
      <w:r w:rsidR="00D35983">
        <w:t xml:space="preserve"> $2</w:t>
      </w:r>
      <w:r w:rsidR="00C73F9E" w:rsidRPr="000E3C8C">
        <w:t xml:space="preserve"> billion to establish the National Bushfire Recovery Fund </w:t>
      </w:r>
      <w:r w:rsidR="0099716D" w:rsidRPr="000E3C8C">
        <w:t>in response to the bushfires of 2019</w:t>
      </w:r>
      <w:r w:rsidR="00E834B1">
        <w:noBreakHyphen/>
      </w:r>
      <w:r w:rsidR="0099716D" w:rsidRPr="000E3C8C">
        <w:t>20</w:t>
      </w:r>
      <w:r w:rsidR="00790A14" w:rsidRPr="000E3C8C">
        <w:t>.</w:t>
      </w:r>
      <w:r w:rsidR="00C03065" w:rsidRPr="000E3C8C">
        <w:fldChar w:fldCharType="begin"/>
      </w:r>
      <w:r w:rsidR="00C03065" w:rsidRPr="000E3C8C">
        <w:instrText xml:space="preserve"> :End:BPD_JR4 </w:instrText>
      </w:r>
      <w:r w:rsidR="00C03065" w:rsidRPr="000E3C8C">
        <w:fldChar w:fldCharType="end"/>
      </w:r>
    </w:p>
    <w:p w14:paraId="2981375D" w14:textId="58798759" w:rsidR="00987076" w:rsidRPr="000E3C8C" w:rsidRDefault="00061F19" w:rsidP="00987076">
      <w:pPr>
        <w:rPr>
          <w:rFonts w:cs="Arial"/>
        </w:rPr>
      </w:pPr>
      <w:r w:rsidRPr="000E3C8C">
        <w:rPr>
          <w:rFonts w:cs="Arial"/>
        </w:rPr>
        <w:lastRenderedPageBreak/>
        <w:fldChar w:fldCharType="begin"/>
      </w:r>
      <w:r w:rsidRPr="000E3C8C">
        <w:rPr>
          <w:rFonts w:cs="Arial"/>
        </w:rPr>
        <w:instrText xml:space="preserve"> :Start:BPD_JR1 </w:instrText>
      </w:r>
      <w:r w:rsidRPr="000E3C8C">
        <w:rPr>
          <w:rFonts w:cs="Arial"/>
        </w:rPr>
        <w:fldChar w:fldCharType="end"/>
      </w:r>
      <w:r w:rsidR="00864CAD" w:rsidRPr="000E3C8C">
        <w:rPr>
          <w:rFonts w:cs="Arial"/>
        </w:rPr>
        <w:t>Since the 2019</w:t>
      </w:r>
      <w:r w:rsidR="00E834B1">
        <w:rPr>
          <w:rFonts w:cs="Arial"/>
        </w:rPr>
        <w:noBreakHyphen/>
      </w:r>
      <w:r w:rsidR="00864CAD" w:rsidRPr="000E3C8C">
        <w:rPr>
          <w:rFonts w:cs="Arial"/>
        </w:rPr>
        <w:t>20 MYEFO</w:t>
      </w:r>
      <w:r w:rsidR="00987076" w:rsidRPr="000E3C8C">
        <w:rPr>
          <w:rFonts w:cs="Arial"/>
        </w:rPr>
        <w:t>, total parameter and other variations have reduced the underlying cash balance by $</w:t>
      </w:r>
      <w:r w:rsidR="0068194F" w:rsidRPr="000E3C8C">
        <w:rPr>
          <w:rFonts w:cs="Arial"/>
        </w:rPr>
        <w:t>32.4</w:t>
      </w:r>
      <w:r w:rsidR="00987076" w:rsidRPr="000E3C8C">
        <w:rPr>
          <w:rFonts w:cs="Arial"/>
        </w:rPr>
        <w:t xml:space="preserve"> billion in 201</w:t>
      </w:r>
      <w:r w:rsidR="0068194F" w:rsidRPr="000E3C8C">
        <w:rPr>
          <w:rFonts w:cs="Arial"/>
        </w:rPr>
        <w:t>9</w:t>
      </w:r>
      <w:r w:rsidR="00E834B1">
        <w:rPr>
          <w:rFonts w:cs="Arial"/>
        </w:rPr>
        <w:noBreakHyphen/>
      </w:r>
      <w:r w:rsidR="0068194F" w:rsidRPr="000E3C8C">
        <w:rPr>
          <w:rFonts w:cs="Arial"/>
        </w:rPr>
        <w:t>20 and $72.2</w:t>
      </w:r>
      <w:r w:rsidR="00987076" w:rsidRPr="000E3C8C">
        <w:rPr>
          <w:rFonts w:cs="Arial"/>
        </w:rPr>
        <w:t xml:space="preserve"> billion in 2020</w:t>
      </w:r>
      <w:r w:rsidR="00E834B1">
        <w:rPr>
          <w:rFonts w:cs="Arial"/>
        </w:rPr>
        <w:noBreakHyphen/>
      </w:r>
      <w:r w:rsidR="00987076" w:rsidRPr="000E3C8C">
        <w:rPr>
          <w:rFonts w:cs="Arial"/>
        </w:rPr>
        <w:t xml:space="preserve">21. </w:t>
      </w:r>
      <w:r w:rsidR="009D2C43" w:rsidRPr="000E3C8C">
        <w:rPr>
          <w:rFonts w:cs="Arial"/>
        </w:rPr>
        <w:t xml:space="preserve">This </w:t>
      </w:r>
      <w:r w:rsidR="00987076" w:rsidRPr="000E3C8C">
        <w:rPr>
          <w:rFonts w:cs="Arial"/>
        </w:rPr>
        <w:t>primar</w:t>
      </w:r>
      <w:r w:rsidR="009D2C43" w:rsidRPr="000E3C8C">
        <w:rPr>
          <w:rFonts w:cs="Arial"/>
        </w:rPr>
        <w:t>il</w:t>
      </w:r>
      <w:r w:rsidR="00987076" w:rsidRPr="000E3C8C">
        <w:rPr>
          <w:rFonts w:cs="Arial"/>
        </w:rPr>
        <w:t xml:space="preserve">y </w:t>
      </w:r>
      <w:r w:rsidR="009D2C43" w:rsidRPr="000E3C8C">
        <w:rPr>
          <w:rFonts w:cs="Arial"/>
        </w:rPr>
        <w:t>reflects</w:t>
      </w:r>
      <w:r w:rsidR="00987076" w:rsidRPr="000E3C8C">
        <w:rPr>
          <w:rFonts w:cs="Arial"/>
        </w:rPr>
        <w:t xml:space="preserve"> the impact of </w:t>
      </w:r>
      <w:r w:rsidR="009C66BC" w:rsidRPr="000E3C8C">
        <w:rPr>
          <w:rFonts w:cs="Arial"/>
        </w:rPr>
        <w:t xml:space="preserve">the </w:t>
      </w:r>
      <w:r w:rsidR="00D63FEF" w:rsidRPr="000E3C8C">
        <w:rPr>
          <w:rFonts w:cs="Arial"/>
        </w:rPr>
        <w:t>COVID</w:t>
      </w:r>
      <w:r w:rsidR="00E834B1">
        <w:rPr>
          <w:rFonts w:cs="Arial"/>
        </w:rPr>
        <w:noBreakHyphen/>
      </w:r>
      <w:r w:rsidR="00D63FEF" w:rsidRPr="000E3C8C">
        <w:rPr>
          <w:rFonts w:cs="Arial"/>
        </w:rPr>
        <w:t>19</w:t>
      </w:r>
      <w:r w:rsidR="009C66BC" w:rsidRPr="000E3C8C">
        <w:rPr>
          <w:rFonts w:cs="Arial"/>
        </w:rPr>
        <w:t xml:space="preserve"> pandemic</w:t>
      </w:r>
      <w:r w:rsidR="007A12E0" w:rsidRPr="000E3C8C">
        <w:rPr>
          <w:rFonts w:cs="Arial"/>
        </w:rPr>
        <w:t xml:space="preserve"> </w:t>
      </w:r>
      <w:r w:rsidR="00987076" w:rsidRPr="000E3C8C">
        <w:rPr>
          <w:rFonts w:cs="Arial"/>
        </w:rPr>
        <w:t>on the econom</w:t>
      </w:r>
      <w:r w:rsidR="009D2C43" w:rsidRPr="000E3C8C">
        <w:rPr>
          <w:rFonts w:cs="Arial"/>
        </w:rPr>
        <w:t>ic</w:t>
      </w:r>
      <w:r w:rsidR="00987076" w:rsidRPr="000E3C8C">
        <w:rPr>
          <w:rFonts w:cs="Arial"/>
        </w:rPr>
        <w:t xml:space="preserve"> </w:t>
      </w:r>
      <w:r w:rsidR="009D2C43" w:rsidRPr="000E3C8C">
        <w:rPr>
          <w:rFonts w:cs="Arial"/>
        </w:rPr>
        <w:t xml:space="preserve">outlook </w:t>
      </w:r>
      <w:r w:rsidR="00987076" w:rsidRPr="000E3C8C">
        <w:rPr>
          <w:rFonts w:cs="Arial"/>
        </w:rPr>
        <w:t xml:space="preserve">and the </w:t>
      </w:r>
      <w:r w:rsidR="006F2833" w:rsidRPr="000E3C8C">
        <w:rPr>
          <w:rFonts w:cs="Arial"/>
        </w:rPr>
        <w:t>effect of</w:t>
      </w:r>
      <w:r w:rsidR="00987076" w:rsidRPr="000E3C8C">
        <w:rPr>
          <w:rFonts w:cs="Arial"/>
        </w:rPr>
        <w:t xml:space="preserve"> automatic stabilisers </w:t>
      </w:r>
      <w:r w:rsidR="006F2833" w:rsidRPr="000E3C8C">
        <w:rPr>
          <w:rFonts w:cs="Arial"/>
        </w:rPr>
        <w:t>on both tax receipts and payments</w:t>
      </w:r>
      <w:r w:rsidR="00987076" w:rsidRPr="000E3C8C">
        <w:rPr>
          <w:rFonts w:cs="Arial"/>
        </w:rPr>
        <w:t>.</w:t>
      </w:r>
      <w:r w:rsidR="00334240" w:rsidRPr="000E3C8C">
        <w:rPr>
          <w:rFonts w:cs="Arial"/>
        </w:rPr>
        <w:t xml:space="preserve"> </w:t>
      </w:r>
    </w:p>
    <w:tbl>
      <w:tblPr>
        <w:tblW w:w="5000" w:type="pct"/>
        <w:shd w:val="clear" w:color="auto" w:fill="EBEBEB"/>
        <w:tblLook w:val="0000" w:firstRow="0" w:lastRow="0" w:firstColumn="0" w:lastColumn="0" w:noHBand="0" w:noVBand="0"/>
      </w:tblPr>
      <w:tblGrid>
        <w:gridCol w:w="7710"/>
      </w:tblGrid>
      <w:tr w:rsidR="00DC2FBA" w:rsidRPr="000E3C8C" w14:paraId="7DF29E08" w14:textId="77777777" w:rsidTr="00E4306A">
        <w:trPr>
          <w:cantSplit/>
        </w:trPr>
        <w:tc>
          <w:tcPr>
            <w:tcW w:w="7710" w:type="dxa"/>
            <w:shd w:val="clear" w:color="auto" w:fill="EBEBEB"/>
          </w:tcPr>
          <w:p w14:paraId="5717AD3C" w14:textId="04863F7B" w:rsidR="00DC2FBA" w:rsidRPr="000E3C8C" w:rsidRDefault="00061F19" w:rsidP="00DC2FBA">
            <w:pPr>
              <w:pStyle w:val="BoxHeading"/>
            </w:pPr>
            <w:r w:rsidRPr="000E3C8C">
              <w:fldChar w:fldCharType="begin"/>
            </w:r>
            <w:r w:rsidRPr="000E3C8C">
              <w:instrText xml:space="preserve"> :End:BPD_JR1 </w:instrText>
            </w:r>
            <w:r w:rsidRPr="000E3C8C">
              <w:fldChar w:fldCharType="end"/>
            </w:r>
            <w:r w:rsidR="00DC2FBA" w:rsidRPr="000E3C8C">
              <w:br w:type="page"/>
            </w:r>
            <w:r w:rsidRPr="000E3C8C">
              <w:fldChar w:fldCharType="begin"/>
            </w:r>
            <w:r w:rsidRPr="000E3C8C">
              <w:instrText xml:space="preserve"> :Start:BPD_JR1 </w:instrText>
            </w:r>
            <w:r w:rsidRPr="000E3C8C">
              <w:fldChar w:fldCharType="end"/>
            </w:r>
            <w:r w:rsidR="001B45BA" w:rsidRPr="000E3C8C">
              <w:t>Box 3.</w:t>
            </w:r>
            <w:r w:rsidR="001A66BB" w:rsidRPr="000E3C8C">
              <w:t>1</w:t>
            </w:r>
            <w:r w:rsidR="00DC2FBA" w:rsidRPr="000E3C8C">
              <w:t xml:space="preserve">: The role of automatic stabilisers </w:t>
            </w:r>
          </w:p>
          <w:p w14:paraId="4E763134" w14:textId="15EC9EB3" w:rsidR="00914F25" w:rsidRPr="000E3C8C" w:rsidRDefault="00914F25" w:rsidP="00914F25">
            <w:pPr>
              <w:pStyle w:val="BoxText"/>
              <w:rPr>
                <w:b/>
              </w:rPr>
            </w:pPr>
            <w:r w:rsidRPr="000E3C8C">
              <w:t>Automatic stabilisers play an important role in reducing the impact of an economic shock</w:t>
            </w:r>
            <w:r w:rsidRPr="000E3C8C">
              <w:rPr>
                <w:bCs/>
                <w:iCs/>
              </w:rPr>
              <w:t xml:space="preserve">, </w:t>
            </w:r>
            <w:r w:rsidRPr="000E3C8C">
              <w:t>by buffering private sector incomes without direct intervention. This occurs through both decreased receipts (largely through lower taxation r</w:t>
            </w:r>
            <w:r w:rsidR="00391093" w:rsidRPr="000E3C8C">
              <w:t xml:space="preserve">eceipts) and increased payments </w:t>
            </w:r>
            <w:r w:rsidRPr="000E3C8C">
              <w:t xml:space="preserve">(largely through an increase in unemployment benefit payments). </w:t>
            </w:r>
          </w:p>
          <w:p w14:paraId="274A6957" w14:textId="19F7A47F" w:rsidR="00914F25" w:rsidRPr="000E3C8C" w:rsidRDefault="00061F19" w:rsidP="00914F25">
            <w:pPr>
              <w:pStyle w:val="BoxText"/>
            </w:pPr>
            <w:r w:rsidRPr="000E3C8C">
              <w:fldChar w:fldCharType="begin"/>
            </w:r>
            <w:r w:rsidRPr="000E3C8C">
              <w:instrText xml:space="preserve"> :End:BPD_JR1 </w:instrText>
            </w:r>
            <w:r w:rsidRPr="000E3C8C">
              <w:fldChar w:fldCharType="end"/>
            </w:r>
            <w:r w:rsidRPr="000E3C8C">
              <w:fldChar w:fldCharType="begin"/>
            </w:r>
            <w:r w:rsidRPr="000E3C8C">
              <w:instrText xml:space="preserve"> :Start:TAD_KDM2 </w:instrText>
            </w:r>
            <w:r w:rsidRPr="000E3C8C">
              <w:fldChar w:fldCharType="end"/>
            </w:r>
            <w:r w:rsidR="00914F25" w:rsidRPr="000E3C8C">
              <w:t>When an economic shock occurs, the tax and transfer system stabilises household and business income by apportioning some of the income loss to the government. For example, under a progressive personal income tax system, an individual</w:t>
            </w:r>
            <w:r w:rsidR="00E834B1">
              <w:t>’</w:t>
            </w:r>
            <w:r w:rsidR="00914F25" w:rsidRPr="000E3C8C">
              <w:t>s after</w:t>
            </w:r>
            <w:r w:rsidR="00E834B1">
              <w:noBreakHyphen/>
            </w:r>
            <w:r w:rsidR="00914F25" w:rsidRPr="000E3C8C">
              <w:t>tax income falls by less than their before</w:t>
            </w:r>
            <w:r w:rsidR="00E834B1">
              <w:noBreakHyphen/>
            </w:r>
            <w:r w:rsidR="00914F25" w:rsidRPr="000E3C8C">
              <w:t xml:space="preserve">tax income. </w:t>
            </w:r>
          </w:p>
          <w:p w14:paraId="2704E689" w14:textId="15048A3A" w:rsidR="002821DF" w:rsidRPr="000E3C8C" w:rsidRDefault="00061F19" w:rsidP="00884AF0">
            <w:pPr>
              <w:pStyle w:val="Source"/>
              <w:rPr>
                <w:rFonts w:ascii="Book Antiqua" w:hAnsi="Book Antiqua"/>
                <w:sz w:val="20"/>
              </w:rPr>
            </w:pPr>
            <w:r w:rsidRPr="000E3C8C">
              <w:rPr>
                <w:rFonts w:ascii="Book Antiqua" w:hAnsi="Book Antiqua"/>
                <w:sz w:val="20"/>
              </w:rPr>
              <w:fldChar w:fldCharType="begin"/>
            </w:r>
            <w:r w:rsidRPr="000E3C8C">
              <w:rPr>
                <w:rFonts w:ascii="Book Antiqua" w:hAnsi="Book Antiqua"/>
                <w:sz w:val="20"/>
              </w:rPr>
              <w:instrText xml:space="preserve"> :End:TAD_KDM2 </w:instrText>
            </w:r>
            <w:r w:rsidRPr="000E3C8C">
              <w:rPr>
                <w:rFonts w:ascii="Book Antiqua" w:hAnsi="Book Antiqua"/>
                <w:sz w:val="20"/>
              </w:rPr>
              <w:fldChar w:fldCharType="end"/>
            </w:r>
            <w:r w:rsidR="00983105" w:rsidRPr="000E3C8C">
              <w:rPr>
                <w:rFonts w:ascii="Book Antiqua" w:hAnsi="Book Antiqua"/>
                <w:sz w:val="20"/>
              </w:rPr>
              <w:fldChar w:fldCharType="begin"/>
            </w:r>
            <w:r w:rsidR="00983105" w:rsidRPr="000E3C8C">
              <w:rPr>
                <w:rFonts w:ascii="Book Antiqua" w:hAnsi="Book Antiqua"/>
                <w:sz w:val="20"/>
              </w:rPr>
              <w:instrText xml:space="preserve"> :Start:BPD_JR1 </w:instrText>
            </w:r>
            <w:r w:rsidR="00983105" w:rsidRPr="000E3C8C">
              <w:rPr>
                <w:rFonts w:ascii="Book Antiqua" w:hAnsi="Book Antiqua"/>
                <w:sz w:val="20"/>
              </w:rPr>
              <w:fldChar w:fldCharType="end"/>
            </w:r>
            <w:r w:rsidR="001E2730" w:rsidRPr="000E3C8C">
              <w:rPr>
                <w:rFonts w:ascii="Book Antiqua" w:hAnsi="Book Antiqua"/>
                <w:sz w:val="20"/>
              </w:rPr>
              <w:t>Estimates variations reflect the automatic stabilisers, as well as other program specific variations such as demand driven programs. Since the 2019</w:t>
            </w:r>
            <w:r w:rsidR="00E834B1">
              <w:rPr>
                <w:rFonts w:ascii="Book Antiqua" w:hAnsi="Book Antiqua"/>
                <w:sz w:val="20"/>
              </w:rPr>
              <w:noBreakHyphen/>
            </w:r>
            <w:r w:rsidR="001E2730" w:rsidRPr="000E3C8C">
              <w:rPr>
                <w:rFonts w:ascii="Book Antiqua" w:hAnsi="Book Antiqua"/>
                <w:sz w:val="20"/>
              </w:rPr>
              <w:t>20 MYEFO, total parameter and other variations have reduced the underlying cash balance by $32.4</w:t>
            </w:r>
            <w:r w:rsidR="00FB3578" w:rsidRPr="000E3C8C">
              <w:rPr>
                <w:rFonts w:ascii="Book Antiqua" w:hAnsi="Book Antiqua"/>
                <w:sz w:val="20"/>
              </w:rPr>
              <w:t> </w:t>
            </w:r>
            <w:r w:rsidR="001E2730" w:rsidRPr="000E3C8C">
              <w:rPr>
                <w:rFonts w:ascii="Book Antiqua" w:hAnsi="Book Antiqua"/>
                <w:sz w:val="20"/>
              </w:rPr>
              <w:t>billion in 2019</w:t>
            </w:r>
            <w:r w:rsidR="00E834B1">
              <w:rPr>
                <w:rFonts w:ascii="Book Antiqua" w:hAnsi="Book Antiqua"/>
                <w:sz w:val="20"/>
              </w:rPr>
              <w:noBreakHyphen/>
            </w:r>
            <w:r w:rsidR="001E2730" w:rsidRPr="000E3C8C">
              <w:rPr>
                <w:rFonts w:ascii="Book Antiqua" w:hAnsi="Book Antiqua"/>
                <w:sz w:val="20"/>
              </w:rPr>
              <w:t>20 and $72.2 billion in 2020</w:t>
            </w:r>
            <w:r w:rsidR="00E834B1">
              <w:rPr>
                <w:rFonts w:ascii="Book Antiqua" w:hAnsi="Book Antiqua"/>
                <w:sz w:val="20"/>
              </w:rPr>
              <w:noBreakHyphen/>
            </w:r>
            <w:r w:rsidR="001E2730" w:rsidRPr="000E3C8C">
              <w:rPr>
                <w:rFonts w:ascii="Book Antiqua" w:hAnsi="Book Antiqua"/>
                <w:sz w:val="20"/>
              </w:rPr>
              <w:t>21.</w:t>
            </w:r>
          </w:p>
          <w:p w14:paraId="7A7127BC" w14:textId="3DE8979B" w:rsidR="002821DF" w:rsidRPr="000E3C8C" w:rsidRDefault="002821DF" w:rsidP="002821DF">
            <w:pPr>
              <w:pStyle w:val="BoxText"/>
            </w:pPr>
            <w:r w:rsidRPr="000E3C8C">
              <w:t>The Government</w:t>
            </w:r>
            <w:r w:rsidR="00E834B1">
              <w:t>’</w:t>
            </w:r>
            <w:r w:rsidRPr="000E3C8C">
              <w:t>s policy response reflects the significance of the size of the economic shock from COVID</w:t>
            </w:r>
            <w:r w:rsidR="00E834B1">
              <w:noBreakHyphen/>
            </w:r>
            <w:r w:rsidRPr="000E3C8C">
              <w:t xml:space="preserve">19. It </w:t>
            </w:r>
            <w:proofErr w:type="gramStart"/>
            <w:r w:rsidRPr="000E3C8C">
              <w:t>has been designed to be temporary and targeted,</w:t>
            </w:r>
            <w:proofErr w:type="gramEnd"/>
            <w:r w:rsidRPr="000E3C8C">
              <w:t xml:space="preserve"> but the experience from previous shocks suggests that the effect of automatic stabilisers on the budget, particularly a downturn in tax receipts (Box 3.2) and elevated payments of unemployment benefits, will continue for some time after the shock has passed. </w:t>
            </w:r>
          </w:p>
          <w:p w14:paraId="5BB9B21B" w14:textId="4D819F03" w:rsidR="00DC2FBA" w:rsidRPr="000E3C8C" w:rsidRDefault="002821DF" w:rsidP="00063C25">
            <w:pPr>
              <w:pStyle w:val="BoxText"/>
            </w:pPr>
            <w:r w:rsidRPr="000E3C8C">
              <w:t>Chart 3.1 shows the estimated effect of COVID</w:t>
            </w:r>
            <w:r w:rsidR="00E834B1">
              <w:noBreakHyphen/>
            </w:r>
            <w:r w:rsidRPr="000E3C8C">
              <w:t>19 on payments and receipts. The sharp increase in the payments</w:t>
            </w:r>
            <w:r w:rsidR="00E834B1">
              <w:noBreakHyphen/>
            </w:r>
            <w:r w:rsidRPr="000E3C8C">
              <w:t>to</w:t>
            </w:r>
            <w:r w:rsidR="00E834B1">
              <w:noBreakHyphen/>
            </w:r>
            <w:r w:rsidRPr="000E3C8C">
              <w:t>GDP ratio reflects both the Government</w:t>
            </w:r>
            <w:r w:rsidR="00E834B1">
              <w:t>’</w:t>
            </w:r>
            <w:r w:rsidRPr="000E3C8C">
              <w:t xml:space="preserve">s economic response and automatic stabilisers, and the impact of lower GDP. </w:t>
            </w:r>
            <w:r w:rsidR="00983105" w:rsidRPr="000E3C8C">
              <w:fldChar w:fldCharType="begin"/>
            </w:r>
            <w:r w:rsidR="00983105" w:rsidRPr="000E3C8C">
              <w:instrText xml:space="preserve"> :End:BPD_JR1 </w:instrText>
            </w:r>
            <w:r w:rsidR="00983105" w:rsidRPr="000E3C8C">
              <w:fldChar w:fldCharType="end"/>
            </w:r>
            <w:r w:rsidRPr="000E3C8C">
              <w:fldChar w:fldCharType="begin"/>
            </w:r>
            <w:r w:rsidRPr="000E3C8C">
              <w:instrText xml:space="preserve"> :Start:TAD_KDM2 </w:instrText>
            </w:r>
            <w:r w:rsidRPr="000E3C8C">
              <w:fldChar w:fldCharType="end"/>
            </w:r>
            <w:r w:rsidR="00B2349E" w:rsidRPr="000E3C8C">
              <w:fldChar w:fldCharType="begin"/>
            </w:r>
            <w:r w:rsidR="00B2349E" w:rsidRPr="000E3C8C">
              <w:instrText xml:space="preserve"> :End:TAD_KDM2 </w:instrText>
            </w:r>
            <w:r w:rsidR="00B2349E" w:rsidRPr="000E3C8C">
              <w:fldChar w:fldCharType="end"/>
            </w:r>
          </w:p>
        </w:tc>
      </w:tr>
    </w:tbl>
    <w:p w14:paraId="6B94CCF8" w14:textId="77777777" w:rsidR="00844638" w:rsidRPr="000E3C8C" w:rsidRDefault="00844638"/>
    <w:tbl>
      <w:tblPr>
        <w:tblW w:w="5000" w:type="pct"/>
        <w:shd w:val="clear" w:color="auto" w:fill="EBEBEB"/>
        <w:tblLook w:val="0000" w:firstRow="0" w:lastRow="0" w:firstColumn="0" w:lastColumn="0" w:noHBand="0" w:noVBand="0"/>
      </w:tblPr>
      <w:tblGrid>
        <w:gridCol w:w="7710"/>
      </w:tblGrid>
      <w:tr w:rsidR="00884AF0" w:rsidRPr="000E3C8C" w14:paraId="4022DD22" w14:textId="77777777" w:rsidTr="003A22FC">
        <w:trPr>
          <w:cantSplit/>
        </w:trPr>
        <w:tc>
          <w:tcPr>
            <w:tcW w:w="7710" w:type="dxa"/>
            <w:shd w:val="clear" w:color="auto" w:fill="EBEBEB"/>
          </w:tcPr>
          <w:p w14:paraId="7F7A906A" w14:textId="31FC6DC5" w:rsidR="00844638" w:rsidRPr="000E3C8C" w:rsidRDefault="00844638" w:rsidP="00844638">
            <w:pPr>
              <w:pStyle w:val="BoxHeading"/>
            </w:pPr>
            <w:r w:rsidRPr="000E3C8C">
              <w:lastRenderedPageBreak/>
              <w:br w:type="page"/>
            </w:r>
            <w:r w:rsidR="00804C46" w:rsidRPr="000E3C8C">
              <w:fldChar w:fldCharType="begin"/>
            </w:r>
            <w:r w:rsidR="00804C46" w:rsidRPr="000E3C8C">
              <w:instrText xml:space="preserve"> :Start:BPD_JR1 </w:instrText>
            </w:r>
            <w:r w:rsidR="00804C46" w:rsidRPr="000E3C8C">
              <w:fldChar w:fldCharType="end"/>
            </w:r>
            <w:r w:rsidRPr="000E3C8C">
              <w:t>Box 3.1: The role of automatic stabilisers (</w:t>
            </w:r>
            <w:r w:rsidR="00C46DAC" w:rsidRPr="000E3C8C">
              <w:t>continued</w:t>
            </w:r>
            <w:r w:rsidRPr="000E3C8C">
              <w:t>)</w:t>
            </w:r>
          </w:p>
          <w:p w14:paraId="47C62500" w14:textId="6D6B9841" w:rsidR="00884AF0" w:rsidRDefault="00884AF0" w:rsidP="00884AF0">
            <w:pPr>
              <w:pStyle w:val="ChartHeading"/>
            </w:pPr>
            <w:r w:rsidRPr="000E3C8C">
              <w:t>Chart 3.</w:t>
            </w:r>
            <w:r w:rsidR="00426E23" w:rsidRPr="000E3C8C">
              <w:t>1</w:t>
            </w:r>
            <w:r w:rsidRPr="000E3C8C">
              <w:t>: Payments and receipts as a share of GDP</w:t>
            </w:r>
          </w:p>
          <w:p w14:paraId="53BCED59" w14:textId="1AA71938" w:rsidR="00D97FB7" w:rsidRPr="00D97FB7" w:rsidRDefault="00D97FB7" w:rsidP="00D97FB7">
            <w:pPr>
              <w:pStyle w:val="ChartGraphic"/>
            </w:pPr>
            <w:r>
              <w:rPr>
                <w:noProof/>
              </w:rPr>
              <w:drawing>
                <wp:inline distT="0" distB="0" distL="0" distR="0" wp14:anchorId="00563D65" wp14:editId="0FA7FCE0">
                  <wp:extent cx="4669790" cy="2505710"/>
                  <wp:effectExtent l="0" t="0" r="0" b="8890"/>
                  <wp:docPr id="8" name="Picture 8" descr="This chart presents receipts and payments as a percentage of GDP from 2000-01 to 2018-19, and shows the estimated effect of the COVID-19 shock on payments and receipts as a percentage of GDP for 2019-20 and 2020-21. Receipts as a percentage of GDP are expected to fall to 23.6 per cent in 2019-20 before increasing to 24.0 per cent of GDP in 2020-21. At the same time total payments as a percentage of GDP are expected to increase to 27.7 per cent in 2019-20 before increasing to 33.8 per cent of GDP in 202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9790" cy="2505710"/>
                          </a:xfrm>
                          <a:prstGeom prst="rect">
                            <a:avLst/>
                          </a:prstGeom>
                          <a:noFill/>
                        </pic:spPr>
                      </pic:pic>
                    </a:graphicData>
                  </a:graphic>
                </wp:inline>
              </w:drawing>
            </w:r>
          </w:p>
          <w:p w14:paraId="0FF073C8" w14:textId="27E1C45C" w:rsidR="002821DF" w:rsidRPr="000E3C8C" w:rsidRDefault="00884AF0" w:rsidP="00884AF0">
            <w:pPr>
              <w:pStyle w:val="Source"/>
            </w:pPr>
            <w:r w:rsidRPr="000E3C8C">
              <w:t>Source: Treasury estimates</w:t>
            </w:r>
            <w:r w:rsidR="00BF3081">
              <w:t>.</w:t>
            </w:r>
          </w:p>
          <w:p w14:paraId="0FA0E8F1" w14:textId="77777777" w:rsidR="002821DF" w:rsidRPr="000E3C8C" w:rsidRDefault="002821DF" w:rsidP="00884AF0">
            <w:pPr>
              <w:pStyle w:val="Source"/>
            </w:pPr>
          </w:p>
          <w:p w14:paraId="59970699" w14:textId="3A997C04" w:rsidR="002821DF" w:rsidRDefault="002821DF" w:rsidP="002821DF">
            <w:pPr>
              <w:pStyle w:val="ChartHeading"/>
              <w:jc w:val="both"/>
            </w:pPr>
            <w:r w:rsidRPr="000E3C8C">
              <w:t xml:space="preserve">Chart 3.2: Effect of measures and </w:t>
            </w:r>
            <w:r w:rsidRPr="000E3C8C">
              <w:fldChar w:fldCharType="begin"/>
            </w:r>
            <w:r w:rsidRPr="000E3C8C">
              <w:instrText xml:space="preserve"> :End:BPD_JR1 </w:instrText>
            </w:r>
            <w:r w:rsidRPr="000E3C8C">
              <w:fldChar w:fldCharType="end"/>
            </w:r>
            <w:r w:rsidRPr="000E3C8C">
              <w:rPr>
                <w:rFonts w:cstheme="minorHAnsi"/>
              </w:rPr>
              <w:fldChar w:fldCharType="begin"/>
            </w:r>
            <w:r w:rsidRPr="000E3C8C">
              <w:rPr>
                <w:rFonts w:cstheme="minorHAnsi"/>
              </w:rPr>
              <w:instrText xml:space="preserve"> :Start:BPD_JR4 </w:instrText>
            </w:r>
            <w:r w:rsidRPr="000E3C8C">
              <w:rPr>
                <w:rFonts w:cstheme="minorHAnsi"/>
              </w:rPr>
              <w:fldChar w:fldCharType="end"/>
            </w:r>
            <w:r w:rsidRPr="000E3C8C">
              <w:t>estimates variations on the budget position</w:t>
            </w:r>
          </w:p>
          <w:p w14:paraId="2D376884" w14:textId="5A9A0FF1" w:rsidR="005B6A19" w:rsidRPr="005B6A19" w:rsidRDefault="005B6A19" w:rsidP="005B6A19">
            <w:pPr>
              <w:pStyle w:val="ChartGraphic"/>
            </w:pPr>
            <w:r>
              <w:rPr>
                <w:noProof/>
              </w:rPr>
              <w:drawing>
                <wp:inline distT="0" distB="0" distL="0" distR="0" wp14:anchorId="4CB0AA69" wp14:editId="582DADED">
                  <wp:extent cx="4669790" cy="2895600"/>
                  <wp:effectExtent l="0" t="0" r="0" b="0"/>
                  <wp:docPr id="11" name="Picture 11" descr="This chart shows the effect of estimates variations and measures in 2019-20 and 2020-21. The Government’s response to the COVID-19 pandemic accounts for the majority of the expected underlying cash balance deterioration over 2019-20 and 2020-21. The support makes up $56.7 billion of the deterioration of the underlying cash balance in 2019-20, and $115.0 billion of the deterioration in 2020-21. In addition, receipts estimates variations account for a $32.6 billion of the deterioration in 2019-20 and $56.4 billion of the deterioration in 2020-21. At the same time payments estimates variations are expected to improve the underlying cash balance by less than $0.1 billion in 2019-20 and account for $15.8 billion of the deterioration in 202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9790" cy="2895600"/>
                          </a:xfrm>
                          <a:prstGeom prst="rect">
                            <a:avLst/>
                          </a:prstGeom>
                          <a:noFill/>
                        </pic:spPr>
                      </pic:pic>
                    </a:graphicData>
                  </a:graphic>
                </wp:inline>
              </w:drawing>
            </w:r>
          </w:p>
          <w:p w14:paraId="3BE0F4FA" w14:textId="5F277909" w:rsidR="00884AF0" w:rsidRPr="000E3C8C" w:rsidRDefault="002821DF" w:rsidP="00884AF0">
            <w:pPr>
              <w:pStyle w:val="Source"/>
            </w:pPr>
            <w:r w:rsidRPr="000E3C8C">
              <w:t>Source: Treasury estimates</w:t>
            </w:r>
            <w:r w:rsidRPr="000E3C8C">
              <w:rPr>
                <w:rFonts w:cstheme="minorHAnsi"/>
              </w:rPr>
              <w:fldChar w:fldCharType="begin"/>
            </w:r>
            <w:r w:rsidRPr="000E3C8C">
              <w:rPr>
                <w:rFonts w:cstheme="minorHAnsi"/>
              </w:rPr>
              <w:instrText xml:space="preserve"> :End:BPD_JR4 </w:instrText>
            </w:r>
            <w:r w:rsidRPr="000E3C8C">
              <w:rPr>
                <w:rFonts w:cstheme="minorHAnsi"/>
              </w:rPr>
              <w:fldChar w:fldCharType="end"/>
            </w:r>
            <w:r w:rsidR="00BF3081">
              <w:rPr>
                <w:rFonts w:cstheme="minorHAnsi"/>
              </w:rPr>
              <w:t>.</w:t>
            </w:r>
          </w:p>
        </w:tc>
      </w:tr>
    </w:tbl>
    <w:p w14:paraId="3056C2A2" w14:textId="52A93FD3" w:rsidR="00844638" w:rsidRPr="000E3C8C" w:rsidRDefault="00844638"/>
    <w:tbl>
      <w:tblPr>
        <w:tblW w:w="5000" w:type="pct"/>
        <w:shd w:val="clear" w:color="auto" w:fill="EBEBEB"/>
        <w:tblLook w:val="0000" w:firstRow="0" w:lastRow="0" w:firstColumn="0" w:lastColumn="0" w:noHBand="0" w:noVBand="0"/>
      </w:tblPr>
      <w:tblGrid>
        <w:gridCol w:w="7710"/>
      </w:tblGrid>
      <w:tr w:rsidR="00884AF0" w:rsidRPr="000E3C8C" w14:paraId="548D7899" w14:textId="77777777" w:rsidTr="00E4306A">
        <w:trPr>
          <w:cantSplit/>
        </w:trPr>
        <w:tc>
          <w:tcPr>
            <w:tcW w:w="7710" w:type="dxa"/>
            <w:shd w:val="clear" w:color="auto" w:fill="EBEBEB"/>
          </w:tcPr>
          <w:p w14:paraId="1C2C4A35" w14:textId="20BC89CF" w:rsidR="00884AF0" w:rsidRPr="000E3C8C" w:rsidRDefault="00844638" w:rsidP="00AD5779">
            <w:pPr>
              <w:pStyle w:val="BoxHeading"/>
            </w:pPr>
            <w:r w:rsidRPr="000E3C8C">
              <w:lastRenderedPageBreak/>
              <w:br w:type="page"/>
            </w:r>
            <w:r w:rsidRPr="000E3C8C">
              <w:rPr>
                <w:b w:val="0"/>
              </w:rPr>
              <w:fldChar w:fldCharType="begin"/>
            </w:r>
            <w:r w:rsidRPr="000E3C8C">
              <w:instrText xml:space="preserve"> :Start:BPD_JR1 </w:instrText>
            </w:r>
            <w:r w:rsidRPr="000E3C8C">
              <w:rPr>
                <w:b w:val="0"/>
              </w:rPr>
              <w:fldChar w:fldCharType="end"/>
            </w:r>
            <w:r w:rsidRPr="000E3C8C">
              <w:t>Box 3.1: The role of automatic stabilisers (</w:t>
            </w:r>
            <w:r w:rsidR="00C46DAC" w:rsidRPr="000E3C8C">
              <w:t>continued</w:t>
            </w:r>
            <w:r w:rsidRPr="000E3C8C">
              <w:t>)</w:t>
            </w:r>
          </w:p>
          <w:p w14:paraId="0BB8AAF8" w14:textId="7727163F" w:rsidR="00884AF0" w:rsidRPr="000E3C8C" w:rsidRDefault="00884AF0" w:rsidP="00884AF0">
            <w:pPr>
              <w:pStyle w:val="BoxText"/>
              <w:rPr>
                <w:rFonts w:cstheme="minorHAnsi"/>
              </w:rPr>
            </w:pPr>
            <w:r w:rsidRPr="000E3C8C">
              <w:rPr>
                <w:rFonts w:cstheme="minorHAnsi"/>
              </w:rPr>
              <w:t>The Government</w:t>
            </w:r>
            <w:r w:rsidR="00E834B1">
              <w:rPr>
                <w:rFonts w:cstheme="minorHAnsi"/>
              </w:rPr>
              <w:t>’</w:t>
            </w:r>
            <w:r w:rsidRPr="000E3C8C">
              <w:rPr>
                <w:rFonts w:cstheme="minorHAnsi"/>
              </w:rPr>
              <w:t>s response to the COVID</w:t>
            </w:r>
            <w:r w:rsidR="00E834B1">
              <w:rPr>
                <w:rFonts w:cstheme="minorHAnsi"/>
              </w:rPr>
              <w:noBreakHyphen/>
            </w:r>
            <w:r w:rsidRPr="000E3C8C">
              <w:rPr>
                <w:rFonts w:cstheme="minorHAnsi"/>
              </w:rPr>
              <w:t>19 pandemic accounts for the majority of the expected underlying cash balance deterioration over 2019</w:t>
            </w:r>
            <w:r w:rsidR="00E834B1">
              <w:rPr>
                <w:rFonts w:cstheme="minorHAnsi"/>
              </w:rPr>
              <w:noBreakHyphen/>
            </w:r>
            <w:r w:rsidRPr="000E3C8C">
              <w:rPr>
                <w:rFonts w:cstheme="minorHAnsi"/>
              </w:rPr>
              <w:t>20 and 2020</w:t>
            </w:r>
            <w:r w:rsidR="00E834B1">
              <w:rPr>
                <w:rFonts w:cstheme="minorHAnsi"/>
              </w:rPr>
              <w:noBreakHyphen/>
            </w:r>
            <w:r w:rsidRPr="000E3C8C">
              <w:rPr>
                <w:rFonts w:cstheme="minorHAnsi"/>
              </w:rPr>
              <w:t>21 (Chart 3.</w:t>
            </w:r>
            <w:r w:rsidR="00426E23" w:rsidRPr="000E3C8C">
              <w:rPr>
                <w:rFonts w:cstheme="minorHAnsi"/>
              </w:rPr>
              <w:t>2</w:t>
            </w:r>
            <w:r w:rsidRPr="000E3C8C">
              <w:rPr>
                <w:rFonts w:cstheme="minorHAnsi"/>
              </w:rPr>
              <w:t xml:space="preserve">). </w:t>
            </w:r>
            <w:r w:rsidR="00384D99" w:rsidRPr="000E3C8C">
              <w:rPr>
                <w:rFonts w:cstheme="minorHAnsi"/>
              </w:rPr>
              <w:fldChar w:fldCharType="begin"/>
            </w:r>
            <w:r w:rsidR="00384D99" w:rsidRPr="000E3C8C">
              <w:rPr>
                <w:rFonts w:cstheme="minorHAnsi"/>
              </w:rPr>
              <w:instrText xml:space="preserve"> :End:BPD_JR1 </w:instrText>
            </w:r>
            <w:r w:rsidR="00384D99" w:rsidRPr="000E3C8C">
              <w:rPr>
                <w:rFonts w:cstheme="minorHAnsi"/>
              </w:rPr>
              <w:fldChar w:fldCharType="end"/>
            </w:r>
            <w:r w:rsidR="00384D99" w:rsidRPr="000E3C8C">
              <w:rPr>
                <w:rFonts w:cstheme="minorHAnsi"/>
              </w:rPr>
              <w:fldChar w:fldCharType="begin"/>
            </w:r>
            <w:r w:rsidR="00384D99" w:rsidRPr="000E3C8C">
              <w:rPr>
                <w:rFonts w:cstheme="minorHAnsi"/>
              </w:rPr>
              <w:instrText xml:space="preserve"> :Start:BPD_JR4 </w:instrText>
            </w:r>
            <w:r w:rsidR="00384D99" w:rsidRPr="000E3C8C">
              <w:rPr>
                <w:rFonts w:cstheme="minorHAnsi"/>
              </w:rPr>
              <w:fldChar w:fldCharType="end"/>
            </w:r>
            <w:r w:rsidRPr="000E3C8C">
              <w:rPr>
                <w:rFonts w:cstheme="minorHAnsi"/>
              </w:rPr>
              <w:t xml:space="preserve">The support makes up $56.7 billion </w:t>
            </w:r>
            <w:r w:rsidR="00384D99" w:rsidRPr="000E3C8C">
              <w:rPr>
                <w:rFonts w:cstheme="minorHAnsi"/>
              </w:rPr>
              <w:fldChar w:fldCharType="begin"/>
            </w:r>
            <w:r w:rsidR="00384D99" w:rsidRPr="000E3C8C">
              <w:rPr>
                <w:rFonts w:cstheme="minorHAnsi"/>
              </w:rPr>
              <w:instrText xml:space="preserve"> :End:BPD_JR4 </w:instrText>
            </w:r>
            <w:r w:rsidR="00384D99" w:rsidRPr="000E3C8C">
              <w:rPr>
                <w:rFonts w:cstheme="minorHAnsi"/>
              </w:rPr>
              <w:fldChar w:fldCharType="end"/>
            </w:r>
            <w:r w:rsidR="00384D99" w:rsidRPr="000E3C8C">
              <w:rPr>
                <w:rFonts w:cstheme="minorHAnsi"/>
              </w:rPr>
              <w:fldChar w:fldCharType="begin"/>
            </w:r>
            <w:r w:rsidR="00384D99" w:rsidRPr="000E3C8C">
              <w:rPr>
                <w:rFonts w:cstheme="minorHAnsi"/>
              </w:rPr>
              <w:instrText xml:space="preserve"> :Start:BPD_JR1 </w:instrText>
            </w:r>
            <w:r w:rsidR="00384D99" w:rsidRPr="000E3C8C">
              <w:rPr>
                <w:rFonts w:cstheme="minorHAnsi"/>
              </w:rPr>
              <w:fldChar w:fldCharType="end"/>
            </w:r>
            <w:r w:rsidRPr="000E3C8C">
              <w:rPr>
                <w:rFonts w:cstheme="minorHAnsi"/>
              </w:rPr>
              <w:t>of the $90.8 billion deterioration of the underlying cash balance in 2019</w:t>
            </w:r>
            <w:r w:rsidR="00E834B1">
              <w:rPr>
                <w:rFonts w:cstheme="minorHAnsi"/>
              </w:rPr>
              <w:noBreakHyphen/>
            </w:r>
            <w:r w:rsidRPr="000E3C8C">
              <w:rPr>
                <w:rFonts w:cstheme="minorHAnsi"/>
              </w:rPr>
              <w:t xml:space="preserve">20, and </w:t>
            </w:r>
            <w:r w:rsidR="00384D99" w:rsidRPr="000E3C8C">
              <w:rPr>
                <w:rFonts w:cstheme="minorHAnsi"/>
              </w:rPr>
              <w:fldChar w:fldCharType="begin"/>
            </w:r>
            <w:r w:rsidR="00384D99" w:rsidRPr="000E3C8C">
              <w:rPr>
                <w:rFonts w:cstheme="minorHAnsi"/>
              </w:rPr>
              <w:instrText xml:space="preserve"> :End:BPD_JR1 </w:instrText>
            </w:r>
            <w:r w:rsidR="00384D99" w:rsidRPr="000E3C8C">
              <w:rPr>
                <w:rFonts w:cstheme="minorHAnsi"/>
              </w:rPr>
              <w:fldChar w:fldCharType="end"/>
            </w:r>
            <w:r w:rsidR="00384D99" w:rsidRPr="000E3C8C">
              <w:rPr>
                <w:rFonts w:cstheme="minorHAnsi"/>
              </w:rPr>
              <w:fldChar w:fldCharType="begin"/>
            </w:r>
            <w:r w:rsidR="00384D99" w:rsidRPr="000E3C8C">
              <w:rPr>
                <w:rFonts w:cstheme="minorHAnsi"/>
              </w:rPr>
              <w:instrText xml:space="preserve"> :Start:BPD_JR4 </w:instrText>
            </w:r>
            <w:r w:rsidR="00384D99" w:rsidRPr="000E3C8C">
              <w:rPr>
                <w:rFonts w:cstheme="minorHAnsi"/>
              </w:rPr>
              <w:fldChar w:fldCharType="end"/>
            </w:r>
            <w:r w:rsidRPr="000E3C8C">
              <w:rPr>
                <w:rFonts w:cstheme="minorHAnsi"/>
              </w:rPr>
              <w:t>$11</w:t>
            </w:r>
            <w:r w:rsidR="00404DB1" w:rsidRPr="000E3C8C">
              <w:rPr>
                <w:rFonts w:cstheme="minorHAnsi"/>
              </w:rPr>
              <w:t>5</w:t>
            </w:r>
            <w:r w:rsidRPr="000E3C8C">
              <w:rPr>
                <w:rFonts w:cstheme="minorHAnsi"/>
              </w:rPr>
              <w:t>.</w:t>
            </w:r>
            <w:r w:rsidR="003A22FC">
              <w:rPr>
                <w:rFonts w:cstheme="minorHAnsi"/>
              </w:rPr>
              <w:t>0</w:t>
            </w:r>
            <w:r w:rsidRPr="000E3C8C">
              <w:rPr>
                <w:rFonts w:cstheme="minorHAnsi"/>
              </w:rPr>
              <w:t xml:space="preserve"> billion </w:t>
            </w:r>
            <w:r w:rsidR="00384D99" w:rsidRPr="000E3C8C">
              <w:rPr>
                <w:rFonts w:cstheme="minorHAnsi"/>
              </w:rPr>
              <w:fldChar w:fldCharType="begin"/>
            </w:r>
            <w:r w:rsidR="00384D99" w:rsidRPr="000E3C8C">
              <w:rPr>
                <w:rFonts w:cstheme="minorHAnsi"/>
              </w:rPr>
              <w:instrText xml:space="preserve"> :End:BPD_JR4 </w:instrText>
            </w:r>
            <w:r w:rsidR="00384D99" w:rsidRPr="000E3C8C">
              <w:rPr>
                <w:rFonts w:cstheme="minorHAnsi"/>
              </w:rPr>
              <w:fldChar w:fldCharType="end"/>
            </w:r>
            <w:r w:rsidR="00384D99" w:rsidRPr="000E3C8C">
              <w:rPr>
                <w:rFonts w:cstheme="minorHAnsi"/>
              </w:rPr>
              <w:fldChar w:fldCharType="begin"/>
            </w:r>
            <w:r w:rsidR="00384D99" w:rsidRPr="000E3C8C">
              <w:rPr>
                <w:rFonts w:cstheme="minorHAnsi"/>
              </w:rPr>
              <w:instrText xml:space="preserve"> :Start:BPD_JR1 </w:instrText>
            </w:r>
            <w:r w:rsidR="00384D99" w:rsidRPr="000E3C8C">
              <w:rPr>
                <w:rFonts w:cstheme="minorHAnsi"/>
              </w:rPr>
              <w:fldChar w:fldCharType="end"/>
            </w:r>
            <w:r w:rsidRPr="000E3C8C">
              <w:rPr>
                <w:rFonts w:cstheme="minorHAnsi"/>
              </w:rPr>
              <w:t>of the $190.6 billion deterioration in 2020</w:t>
            </w:r>
            <w:r w:rsidR="00E834B1">
              <w:rPr>
                <w:rFonts w:cstheme="minorHAnsi"/>
              </w:rPr>
              <w:noBreakHyphen/>
            </w:r>
            <w:r w:rsidRPr="000E3C8C">
              <w:rPr>
                <w:rFonts w:cstheme="minorHAnsi"/>
              </w:rPr>
              <w:t xml:space="preserve">21. </w:t>
            </w:r>
            <w:r w:rsidR="00384D99" w:rsidRPr="000E3C8C">
              <w:rPr>
                <w:rFonts w:cstheme="minorHAnsi"/>
              </w:rPr>
              <w:fldChar w:fldCharType="begin"/>
            </w:r>
            <w:r w:rsidR="00384D99" w:rsidRPr="000E3C8C">
              <w:rPr>
                <w:rFonts w:cstheme="minorHAnsi"/>
              </w:rPr>
              <w:instrText xml:space="preserve"> :End:BPD_JR1 </w:instrText>
            </w:r>
            <w:r w:rsidR="00384D99" w:rsidRPr="000E3C8C">
              <w:rPr>
                <w:rFonts w:cstheme="minorHAnsi"/>
              </w:rPr>
              <w:fldChar w:fldCharType="end"/>
            </w:r>
          </w:p>
          <w:p w14:paraId="3841A55B" w14:textId="0F10CEC4" w:rsidR="00DC08BC" w:rsidRDefault="00DC08BC" w:rsidP="00884AF0">
            <w:pPr>
              <w:pStyle w:val="BoxText"/>
              <w:rPr>
                <w:rFonts w:cstheme="minorHAnsi"/>
              </w:rPr>
            </w:pPr>
            <w:r w:rsidRPr="00DC08BC">
              <w:rPr>
                <w:rFonts w:cstheme="minorHAnsi"/>
              </w:rPr>
              <w:t>In addition, parameter and other variations have reduced tax receipts by $90.6 billion over 2019</w:t>
            </w:r>
            <w:r w:rsidR="00F8112D">
              <w:rPr>
                <w:rFonts w:cstheme="minorHAnsi"/>
              </w:rPr>
              <w:noBreakHyphen/>
              <w:t>20 and 2020</w:t>
            </w:r>
            <w:r w:rsidR="00F8112D">
              <w:rPr>
                <w:rFonts w:cstheme="minorHAnsi"/>
              </w:rPr>
              <w:noBreakHyphen/>
            </w:r>
            <w:r w:rsidRPr="00DC08BC">
              <w:rPr>
                <w:rFonts w:cstheme="minorHAnsi"/>
              </w:rPr>
              <w:t>21 and increased social security payments, including Job Seeker Income Support by $11.8 billion over 2019</w:t>
            </w:r>
            <w:r w:rsidR="00F8112D">
              <w:rPr>
                <w:rFonts w:cstheme="minorHAnsi"/>
              </w:rPr>
              <w:noBreakHyphen/>
              <w:t>20 and 2020</w:t>
            </w:r>
            <w:r w:rsidR="00F8112D">
              <w:rPr>
                <w:rFonts w:cstheme="minorHAnsi"/>
              </w:rPr>
              <w:noBreakHyphen/>
              <w:t>2</w:t>
            </w:r>
            <w:r w:rsidRPr="00DC08BC">
              <w:rPr>
                <w:rFonts w:cstheme="minorHAnsi"/>
              </w:rPr>
              <w:t>1. These provide significant support to the economy</w:t>
            </w:r>
            <w:r w:rsidR="00DA7F4D">
              <w:rPr>
                <w:rFonts w:cstheme="minorHAnsi"/>
              </w:rPr>
              <w:t>.</w:t>
            </w:r>
          </w:p>
          <w:p w14:paraId="0C091C40" w14:textId="3BFEC7BE" w:rsidR="00884AF0" w:rsidRPr="000E3C8C" w:rsidRDefault="00544686" w:rsidP="00884AF0">
            <w:pPr>
              <w:pStyle w:val="BoxText"/>
            </w:pPr>
            <w:r w:rsidRPr="000E3C8C">
              <w:fldChar w:fldCharType="begin"/>
            </w:r>
            <w:r w:rsidRPr="000E3C8C">
              <w:instrText xml:space="preserve"> :Start:BPD_JR1 </w:instrText>
            </w:r>
            <w:r w:rsidRPr="000E3C8C">
              <w:fldChar w:fldCharType="end"/>
            </w:r>
            <w:r w:rsidR="00884AF0" w:rsidRPr="000E3C8C">
              <w:t xml:space="preserve">While the budget position </w:t>
            </w:r>
            <w:proofErr w:type="gramStart"/>
            <w:r w:rsidR="00884AF0" w:rsidRPr="000E3C8C">
              <w:t>will be significantly affected</w:t>
            </w:r>
            <w:proofErr w:type="gramEnd"/>
            <w:r w:rsidR="00884AF0" w:rsidRPr="000E3C8C">
              <w:t xml:space="preserve"> in 2019</w:t>
            </w:r>
            <w:r w:rsidR="00E834B1">
              <w:noBreakHyphen/>
            </w:r>
            <w:r w:rsidR="00884AF0" w:rsidRPr="000E3C8C">
              <w:t>20 and 2020</w:t>
            </w:r>
            <w:r w:rsidR="00E834B1">
              <w:noBreakHyphen/>
            </w:r>
            <w:r w:rsidR="00884AF0" w:rsidRPr="000E3C8C">
              <w:t>21, the winding down of the temporary and targeted response will assist in improving the budget over time.</w:t>
            </w:r>
            <w:r w:rsidRPr="000E3C8C">
              <w:fldChar w:fldCharType="begin"/>
            </w:r>
            <w:r w:rsidRPr="000E3C8C">
              <w:instrText xml:space="preserve"> :End:BPD_JR1 </w:instrText>
            </w:r>
            <w:r w:rsidRPr="000E3C8C">
              <w:fldChar w:fldCharType="end"/>
            </w:r>
          </w:p>
        </w:tc>
      </w:tr>
    </w:tbl>
    <w:p w14:paraId="27AD6E10" w14:textId="20C0E0F4" w:rsidR="00BE6D34" w:rsidRPr="000E3C8C" w:rsidRDefault="00BE6D34" w:rsidP="00AD5779">
      <w:pPr>
        <w:pStyle w:val="SingleParagraph"/>
        <w:rPr>
          <w:sz w:val="26"/>
        </w:rPr>
      </w:pPr>
    </w:p>
    <w:p w14:paraId="2D9F7811" w14:textId="53F64A79" w:rsidR="003A0B2E" w:rsidRPr="000E3C8C" w:rsidRDefault="00383F16" w:rsidP="00B05821">
      <w:pPr>
        <w:pStyle w:val="Heading2"/>
        <w:rPr>
          <w:rFonts w:ascii="Arial" w:hAnsi="Arial" w:cs="Arial"/>
        </w:rPr>
      </w:pPr>
      <w:r w:rsidRPr="000E3C8C">
        <w:rPr>
          <w:rFonts w:ascii="Arial" w:hAnsi="Arial" w:cs="Arial"/>
        </w:rPr>
        <w:fldChar w:fldCharType="begin"/>
      </w:r>
      <w:r w:rsidRPr="000E3C8C">
        <w:rPr>
          <w:rFonts w:ascii="Arial" w:hAnsi="Arial" w:cs="Arial"/>
        </w:rPr>
        <w:instrText xml:space="preserve"> :Start:BPD_JR1 </w:instrText>
      </w:r>
      <w:r w:rsidRPr="000E3C8C">
        <w:rPr>
          <w:rFonts w:ascii="Arial" w:hAnsi="Arial" w:cs="Arial"/>
        </w:rPr>
        <w:fldChar w:fldCharType="end"/>
      </w:r>
      <w:r w:rsidR="00B05821" w:rsidRPr="000E3C8C">
        <w:rPr>
          <w:rFonts w:ascii="Arial" w:hAnsi="Arial" w:cs="Arial"/>
        </w:rPr>
        <w:t xml:space="preserve">Receipts estimates </w:t>
      </w:r>
    </w:p>
    <w:p w14:paraId="771BD49A" w14:textId="20B6CAF5" w:rsidR="005D29A0" w:rsidRPr="000E3C8C" w:rsidRDefault="003A0B2E" w:rsidP="00531770">
      <w:pPr>
        <w:rPr>
          <w:rFonts w:cs="Arial"/>
        </w:rPr>
      </w:pPr>
      <w:r w:rsidRPr="000E3C8C">
        <w:rPr>
          <w:rFonts w:cs="Arial"/>
        </w:rPr>
        <w:t xml:space="preserve">Table </w:t>
      </w:r>
      <w:r w:rsidR="00876546" w:rsidRPr="000E3C8C">
        <w:rPr>
          <w:rFonts w:cs="Arial"/>
        </w:rPr>
        <w:t>3.4</w:t>
      </w:r>
      <w:r w:rsidR="00F55C2C" w:rsidRPr="000E3C8C">
        <w:rPr>
          <w:rFonts w:cs="Arial"/>
        </w:rPr>
        <w:t xml:space="preserve"> </w:t>
      </w:r>
      <w:r w:rsidRPr="000E3C8C">
        <w:rPr>
          <w:rFonts w:cs="Arial"/>
        </w:rPr>
        <w:t xml:space="preserve">provides a summary of receipts </w:t>
      </w:r>
      <w:r w:rsidR="00981434" w:rsidRPr="000E3C8C">
        <w:rPr>
          <w:rFonts w:cs="Arial"/>
        </w:rPr>
        <w:t xml:space="preserve">estimates </w:t>
      </w:r>
      <w:r w:rsidRPr="000E3C8C">
        <w:rPr>
          <w:rFonts w:cs="Arial"/>
        </w:rPr>
        <w:t>for 2019</w:t>
      </w:r>
      <w:r w:rsidR="00E834B1">
        <w:rPr>
          <w:rFonts w:cs="Arial"/>
        </w:rPr>
        <w:noBreakHyphen/>
      </w:r>
      <w:r w:rsidRPr="000E3C8C">
        <w:rPr>
          <w:rFonts w:cs="Arial"/>
        </w:rPr>
        <w:t>20 and 2020</w:t>
      </w:r>
      <w:r w:rsidR="00E834B1">
        <w:rPr>
          <w:rFonts w:cs="Arial"/>
        </w:rPr>
        <w:noBreakHyphen/>
      </w:r>
      <w:r w:rsidRPr="000E3C8C">
        <w:rPr>
          <w:rFonts w:cs="Arial"/>
        </w:rPr>
        <w:t xml:space="preserve">21. </w:t>
      </w:r>
    </w:p>
    <w:p w14:paraId="0A8A3CDE" w14:textId="47BE257D" w:rsidR="005868B4" w:rsidRPr="000E3C8C" w:rsidRDefault="00F35684" w:rsidP="005868B4">
      <w:pPr>
        <w:pStyle w:val="TableHeading"/>
        <w:rPr>
          <w:szCs w:val="24"/>
          <w:vertAlign w:val="superscript"/>
        </w:rPr>
      </w:pPr>
      <w:r w:rsidRPr="000E3C8C">
        <w:rPr>
          <w:rFonts w:cs="Arial"/>
        </w:rPr>
        <w:fldChar w:fldCharType="begin"/>
      </w:r>
      <w:r w:rsidRPr="000E3C8C">
        <w:rPr>
          <w:rFonts w:cs="Arial"/>
        </w:rPr>
        <w:instrText xml:space="preserve"> :End:BPD_JR1 </w:instrText>
      </w:r>
      <w:r w:rsidRPr="000E3C8C">
        <w:rPr>
          <w:rFonts w:cs="Arial"/>
        </w:rPr>
        <w:fldChar w:fldCharType="end"/>
      </w:r>
      <w:r w:rsidRPr="000E3C8C">
        <w:rPr>
          <w:rFonts w:cs="Arial"/>
        </w:rPr>
        <w:fldChar w:fldCharType="begin"/>
      </w:r>
      <w:r w:rsidRPr="000E3C8C">
        <w:rPr>
          <w:rFonts w:cs="Arial"/>
        </w:rPr>
        <w:instrText xml:space="preserve"> :Start:TAD_KDM2 </w:instrText>
      </w:r>
      <w:r w:rsidRPr="000E3C8C">
        <w:rPr>
          <w:rFonts w:cs="Arial"/>
        </w:rPr>
        <w:fldChar w:fldCharType="end"/>
      </w:r>
      <w:r w:rsidR="001B45BA" w:rsidRPr="000E3C8C">
        <w:rPr>
          <w:rFonts w:eastAsia="Calibri"/>
        </w:rPr>
        <w:t>Table 3.4</w:t>
      </w:r>
      <w:r w:rsidR="00D05A90" w:rsidRPr="000E3C8C">
        <w:rPr>
          <w:rFonts w:eastAsia="Calibri"/>
        </w:rPr>
        <w:t>: Taxation receipts,</w:t>
      </w:r>
      <w:r w:rsidR="00E730ED" w:rsidRPr="000E3C8C">
        <w:rPr>
          <w:rFonts w:cs="Arial"/>
        </w:rPr>
        <w:t xml:space="preserve"> </w:t>
      </w:r>
      <w:r w:rsidRPr="000E3C8C">
        <w:rPr>
          <w:rFonts w:cs="Arial"/>
        </w:rPr>
        <w:fldChar w:fldCharType="begin"/>
      </w:r>
      <w:r w:rsidRPr="000E3C8C">
        <w:rPr>
          <w:rFonts w:cs="Arial"/>
        </w:rPr>
        <w:instrText xml:space="preserve"> :End:TAD_KDM2 </w:instrText>
      </w:r>
      <w:r w:rsidRPr="000E3C8C">
        <w:rPr>
          <w:rFonts w:cs="Arial"/>
        </w:rPr>
        <w:fldChar w:fldCharType="end"/>
      </w:r>
      <w:r w:rsidRPr="000E3C8C">
        <w:rPr>
          <w:rFonts w:cs="Arial"/>
        </w:rPr>
        <w:fldChar w:fldCharType="begin"/>
      </w:r>
      <w:r w:rsidRPr="000E3C8C">
        <w:rPr>
          <w:rFonts w:cs="Arial"/>
        </w:rPr>
        <w:instrText xml:space="preserve"> :Start:BPCD_ER1 </w:instrText>
      </w:r>
      <w:r w:rsidRPr="000E3C8C">
        <w:rPr>
          <w:rFonts w:cs="Arial"/>
        </w:rPr>
        <w:fldChar w:fldCharType="end"/>
      </w:r>
      <w:r w:rsidR="00D05A90" w:rsidRPr="000E3C8C">
        <w:rPr>
          <w:rFonts w:eastAsia="Calibri"/>
        </w:rPr>
        <w:t>non</w:t>
      </w:r>
      <w:r w:rsidR="00E834B1">
        <w:rPr>
          <w:rFonts w:eastAsia="Calibri"/>
        </w:rPr>
        <w:noBreakHyphen/>
      </w:r>
      <w:r w:rsidR="00D05A90" w:rsidRPr="000E3C8C">
        <w:rPr>
          <w:rFonts w:eastAsia="Calibri"/>
        </w:rPr>
        <w:t xml:space="preserve">taxation receipts and total </w:t>
      </w:r>
      <w:proofErr w:type="gramStart"/>
      <w:r w:rsidR="00D05A90" w:rsidRPr="000E3C8C">
        <w:rPr>
          <w:rFonts w:eastAsia="Calibri"/>
        </w:rPr>
        <w:t>receipts</w:t>
      </w:r>
      <w:r w:rsidR="00D05A90" w:rsidRPr="000E3C8C">
        <w:rPr>
          <w:rFonts w:eastAsia="Calibri"/>
          <w:vertAlign w:val="superscript"/>
        </w:rPr>
        <w:t>(</w:t>
      </w:r>
      <w:proofErr w:type="gramEnd"/>
      <w:r w:rsidR="00D05A90" w:rsidRPr="000E3C8C">
        <w:rPr>
          <w:rFonts w:eastAsia="Calibri"/>
          <w:vertAlign w:val="superscript"/>
        </w:rPr>
        <w:t>a)</w:t>
      </w:r>
      <w:r w:rsidR="00D05A90" w:rsidRPr="000E3C8C">
        <w:rPr>
          <w:szCs w:val="24"/>
          <w:vertAlign w:val="superscript"/>
        </w:rPr>
        <w:t xml:space="preserve"> </w:t>
      </w:r>
    </w:p>
    <w:tbl>
      <w:tblPr>
        <w:tblW w:w="5000" w:type="pct"/>
        <w:tblLook w:val="04A0" w:firstRow="1" w:lastRow="0" w:firstColumn="1" w:lastColumn="0" w:noHBand="0" w:noVBand="1"/>
      </w:tblPr>
      <w:tblGrid>
        <w:gridCol w:w="4643"/>
        <w:gridCol w:w="1533"/>
        <w:gridCol w:w="1534"/>
      </w:tblGrid>
      <w:tr w:rsidR="005868B4" w:rsidRPr="000E3C8C" w14:paraId="39303073" w14:textId="77777777" w:rsidTr="005868B4">
        <w:trPr>
          <w:divId w:val="177892677"/>
          <w:trHeight w:hRule="exact" w:val="225"/>
        </w:trPr>
        <w:tc>
          <w:tcPr>
            <w:tcW w:w="3011" w:type="pct"/>
            <w:tcBorders>
              <w:top w:val="single" w:sz="4" w:space="0" w:color="000000"/>
              <w:left w:val="nil"/>
              <w:bottom w:val="nil"/>
              <w:right w:val="nil"/>
            </w:tcBorders>
            <w:shd w:val="clear" w:color="000000" w:fill="FFFFFF"/>
            <w:noWrap/>
            <w:vAlign w:val="bottom"/>
            <w:hideMark/>
          </w:tcPr>
          <w:p w14:paraId="1650DAE0" w14:textId="78525B6C" w:rsidR="005868B4" w:rsidRPr="000E3C8C" w:rsidRDefault="005868B4" w:rsidP="005868B4">
            <w:pPr>
              <w:rPr>
                <w:rFonts w:ascii="Arial" w:hAnsi="Arial" w:cs="Arial"/>
                <w:b/>
                <w:bCs/>
                <w:color w:val="000000"/>
                <w:sz w:val="16"/>
                <w:szCs w:val="16"/>
              </w:rPr>
            </w:pPr>
            <w:r w:rsidRPr="000E3C8C">
              <w:rPr>
                <w:rFonts w:ascii="Arial" w:hAnsi="Arial" w:cs="Arial"/>
                <w:b/>
                <w:bCs/>
                <w:color w:val="000000"/>
                <w:sz w:val="16"/>
                <w:szCs w:val="16"/>
              </w:rPr>
              <w:t> </w:t>
            </w:r>
          </w:p>
        </w:tc>
        <w:tc>
          <w:tcPr>
            <w:tcW w:w="1989" w:type="pct"/>
            <w:gridSpan w:val="2"/>
            <w:tcBorders>
              <w:top w:val="single" w:sz="4" w:space="0" w:color="000000"/>
              <w:left w:val="nil"/>
              <w:bottom w:val="single" w:sz="4" w:space="0" w:color="000000"/>
              <w:right w:val="nil"/>
            </w:tcBorders>
            <w:shd w:val="clear" w:color="000000" w:fill="FFFFFF"/>
            <w:noWrap/>
            <w:vAlign w:val="center"/>
            <w:hideMark/>
          </w:tcPr>
          <w:p w14:paraId="36E98F6E" w14:textId="77777777" w:rsidR="005868B4" w:rsidRPr="000E3C8C" w:rsidRDefault="005868B4" w:rsidP="005868B4">
            <w:pPr>
              <w:spacing w:after="0" w:line="240" w:lineRule="auto"/>
              <w:jc w:val="center"/>
              <w:rPr>
                <w:rFonts w:ascii="Arial" w:hAnsi="Arial" w:cs="Arial"/>
                <w:color w:val="000000"/>
                <w:sz w:val="16"/>
                <w:szCs w:val="16"/>
              </w:rPr>
            </w:pPr>
            <w:r w:rsidRPr="000E3C8C">
              <w:rPr>
                <w:rFonts w:ascii="Arial" w:hAnsi="Arial" w:cs="Arial"/>
                <w:color w:val="000000"/>
                <w:sz w:val="16"/>
                <w:szCs w:val="16"/>
              </w:rPr>
              <w:t>Estimates</w:t>
            </w:r>
          </w:p>
        </w:tc>
      </w:tr>
      <w:tr w:rsidR="005868B4" w:rsidRPr="000E3C8C" w14:paraId="0BF8CE24" w14:textId="77777777" w:rsidTr="005868B4">
        <w:trPr>
          <w:divId w:val="177892677"/>
          <w:trHeight w:hRule="exact" w:val="225"/>
        </w:trPr>
        <w:tc>
          <w:tcPr>
            <w:tcW w:w="3011" w:type="pct"/>
            <w:tcBorders>
              <w:top w:val="nil"/>
              <w:left w:val="nil"/>
              <w:bottom w:val="nil"/>
              <w:right w:val="nil"/>
            </w:tcBorders>
            <w:shd w:val="clear" w:color="000000" w:fill="FFFFFF"/>
            <w:noWrap/>
            <w:vAlign w:val="bottom"/>
            <w:hideMark/>
          </w:tcPr>
          <w:p w14:paraId="08BF7C2E" w14:textId="77777777" w:rsidR="005868B4" w:rsidRPr="000E3C8C" w:rsidRDefault="005868B4" w:rsidP="005868B4">
            <w:pPr>
              <w:spacing w:after="0" w:line="240" w:lineRule="auto"/>
              <w:jc w:val="left"/>
              <w:rPr>
                <w:rFonts w:ascii="Arial" w:hAnsi="Arial" w:cs="Arial"/>
                <w:b/>
                <w:bCs/>
                <w:color w:val="000000"/>
                <w:sz w:val="16"/>
                <w:szCs w:val="16"/>
              </w:rPr>
            </w:pPr>
            <w:r w:rsidRPr="000E3C8C">
              <w:rPr>
                <w:rFonts w:ascii="Arial" w:hAnsi="Arial" w:cs="Arial"/>
                <w:b/>
                <w:bCs/>
                <w:color w:val="000000"/>
                <w:sz w:val="16"/>
                <w:szCs w:val="16"/>
              </w:rPr>
              <w:t> </w:t>
            </w:r>
          </w:p>
        </w:tc>
        <w:tc>
          <w:tcPr>
            <w:tcW w:w="994" w:type="pct"/>
            <w:tcBorders>
              <w:top w:val="nil"/>
              <w:left w:val="nil"/>
              <w:bottom w:val="nil"/>
              <w:right w:val="nil"/>
            </w:tcBorders>
            <w:shd w:val="clear" w:color="000000" w:fill="FFFFFF"/>
            <w:noWrap/>
            <w:vAlign w:val="center"/>
            <w:hideMark/>
          </w:tcPr>
          <w:p w14:paraId="350BA05E" w14:textId="744ED7C5"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2019</w:t>
            </w:r>
            <w:r w:rsidR="00E834B1">
              <w:rPr>
                <w:rFonts w:ascii="Arial" w:hAnsi="Arial" w:cs="Arial"/>
                <w:color w:val="000000"/>
                <w:sz w:val="16"/>
                <w:szCs w:val="16"/>
              </w:rPr>
              <w:noBreakHyphen/>
            </w:r>
            <w:r w:rsidRPr="000E3C8C">
              <w:rPr>
                <w:rFonts w:ascii="Arial" w:hAnsi="Arial" w:cs="Arial"/>
                <w:color w:val="000000"/>
                <w:sz w:val="16"/>
                <w:szCs w:val="16"/>
              </w:rPr>
              <w:t>20</w:t>
            </w:r>
          </w:p>
        </w:tc>
        <w:tc>
          <w:tcPr>
            <w:tcW w:w="994" w:type="pct"/>
            <w:tcBorders>
              <w:top w:val="nil"/>
              <w:left w:val="nil"/>
              <w:bottom w:val="nil"/>
              <w:right w:val="nil"/>
            </w:tcBorders>
            <w:shd w:val="clear" w:color="000000" w:fill="E6E6E6"/>
            <w:noWrap/>
            <w:vAlign w:val="center"/>
            <w:hideMark/>
          </w:tcPr>
          <w:p w14:paraId="1A13FDB5" w14:textId="37DA2473"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2020</w:t>
            </w:r>
            <w:r w:rsidR="00E834B1">
              <w:rPr>
                <w:rFonts w:ascii="Arial" w:hAnsi="Arial" w:cs="Arial"/>
                <w:color w:val="000000"/>
                <w:sz w:val="16"/>
                <w:szCs w:val="16"/>
              </w:rPr>
              <w:noBreakHyphen/>
            </w:r>
            <w:r w:rsidRPr="000E3C8C">
              <w:rPr>
                <w:rFonts w:ascii="Arial" w:hAnsi="Arial" w:cs="Arial"/>
                <w:color w:val="000000"/>
                <w:sz w:val="16"/>
                <w:szCs w:val="16"/>
              </w:rPr>
              <w:t>21</w:t>
            </w:r>
          </w:p>
        </w:tc>
      </w:tr>
      <w:tr w:rsidR="005868B4" w:rsidRPr="000E3C8C" w14:paraId="572AC90E" w14:textId="77777777" w:rsidTr="005868B4">
        <w:trPr>
          <w:divId w:val="177892677"/>
          <w:trHeight w:hRule="exact" w:val="225"/>
        </w:trPr>
        <w:tc>
          <w:tcPr>
            <w:tcW w:w="3011" w:type="pct"/>
            <w:tcBorders>
              <w:top w:val="nil"/>
              <w:left w:val="nil"/>
              <w:bottom w:val="nil"/>
              <w:right w:val="nil"/>
            </w:tcBorders>
            <w:shd w:val="clear" w:color="000000" w:fill="FFFFFF"/>
            <w:vAlign w:val="center"/>
            <w:hideMark/>
          </w:tcPr>
          <w:p w14:paraId="6308F632" w14:textId="77777777" w:rsidR="005868B4" w:rsidRPr="000E3C8C" w:rsidRDefault="005868B4" w:rsidP="005868B4">
            <w:pPr>
              <w:spacing w:after="0" w:line="240" w:lineRule="auto"/>
              <w:jc w:val="left"/>
              <w:rPr>
                <w:rFonts w:ascii="Arial" w:hAnsi="Arial" w:cs="Arial"/>
                <w:color w:val="000000"/>
                <w:sz w:val="16"/>
                <w:szCs w:val="16"/>
              </w:rPr>
            </w:pPr>
            <w:r w:rsidRPr="000E3C8C">
              <w:rPr>
                <w:rFonts w:ascii="Arial" w:hAnsi="Arial" w:cs="Arial"/>
                <w:color w:val="000000"/>
                <w:sz w:val="16"/>
                <w:szCs w:val="16"/>
              </w:rPr>
              <w:t> </w:t>
            </w:r>
          </w:p>
        </w:tc>
        <w:tc>
          <w:tcPr>
            <w:tcW w:w="994" w:type="pct"/>
            <w:tcBorders>
              <w:top w:val="nil"/>
              <w:left w:val="nil"/>
              <w:bottom w:val="single" w:sz="4" w:space="0" w:color="000000"/>
              <w:right w:val="nil"/>
            </w:tcBorders>
            <w:shd w:val="clear" w:color="000000" w:fill="FFFFFF"/>
            <w:noWrap/>
            <w:vAlign w:val="center"/>
            <w:hideMark/>
          </w:tcPr>
          <w:p w14:paraId="69D9C210" w14:textId="77777777"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$m</w:t>
            </w:r>
          </w:p>
        </w:tc>
        <w:tc>
          <w:tcPr>
            <w:tcW w:w="994" w:type="pct"/>
            <w:tcBorders>
              <w:top w:val="nil"/>
              <w:left w:val="nil"/>
              <w:bottom w:val="single" w:sz="4" w:space="0" w:color="000000"/>
              <w:right w:val="nil"/>
            </w:tcBorders>
            <w:shd w:val="clear" w:color="000000" w:fill="E6E6E6"/>
            <w:noWrap/>
            <w:vAlign w:val="center"/>
            <w:hideMark/>
          </w:tcPr>
          <w:p w14:paraId="61F6E136" w14:textId="77777777"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$m</w:t>
            </w:r>
          </w:p>
        </w:tc>
      </w:tr>
      <w:tr w:rsidR="005868B4" w:rsidRPr="000E3C8C" w14:paraId="28887736" w14:textId="77777777" w:rsidTr="005868B4">
        <w:trPr>
          <w:divId w:val="177892677"/>
          <w:trHeight w:hRule="exact" w:val="225"/>
        </w:trPr>
        <w:tc>
          <w:tcPr>
            <w:tcW w:w="3011" w:type="pct"/>
            <w:tcBorders>
              <w:top w:val="nil"/>
              <w:left w:val="nil"/>
              <w:bottom w:val="nil"/>
              <w:right w:val="nil"/>
            </w:tcBorders>
            <w:shd w:val="clear" w:color="000000" w:fill="FFFFFF"/>
            <w:noWrap/>
            <w:vAlign w:val="center"/>
            <w:hideMark/>
          </w:tcPr>
          <w:p w14:paraId="1F700244" w14:textId="77777777" w:rsidR="005868B4" w:rsidRPr="000E3C8C" w:rsidRDefault="005868B4" w:rsidP="005868B4">
            <w:pPr>
              <w:spacing w:after="0" w:line="240" w:lineRule="auto"/>
              <w:jc w:val="left"/>
              <w:rPr>
                <w:rFonts w:ascii="Arial" w:hAnsi="Arial" w:cs="Arial"/>
                <w:color w:val="000000"/>
                <w:sz w:val="16"/>
                <w:szCs w:val="16"/>
              </w:rPr>
            </w:pPr>
            <w:r w:rsidRPr="000E3C8C">
              <w:rPr>
                <w:rFonts w:ascii="Arial" w:hAnsi="Arial" w:cs="Arial"/>
                <w:color w:val="000000"/>
                <w:sz w:val="16"/>
                <w:szCs w:val="16"/>
              </w:rPr>
              <w:t>Total individuals and other withholding tax</w:t>
            </w:r>
          </w:p>
        </w:tc>
        <w:tc>
          <w:tcPr>
            <w:tcW w:w="994" w:type="pct"/>
            <w:tcBorders>
              <w:top w:val="nil"/>
              <w:left w:val="nil"/>
              <w:bottom w:val="nil"/>
              <w:right w:val="nil"/>
            </w:tcBorders>
            <w:shd w:val="clear" w:color="000000" w:fill="FFFFFF"/>
            <w:noWrap/>
            <w:vAlign w:val="center"/>
            <w:hideMark/>
          </w:tcPr>
          <w:p w14:paraId="2713BEED" w14:textId="77777777"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221,656</w:t>
            </w:r>
          </w:p>
        </w:tc>
        <w:tc>
          <w:tcPr>
            <w:tcW w:w="994" w:type="pct"/>
            <w:tcBorders>
              <w:top w:val="nil"/>
              <w:left w:val="nil"/>
              <w:bottom w:val="nil"/>
              <w:right w:val="nil"/>
            </w:tcBorders>
            <w:shd w:val="clear" w:color="000000" w:fill="E6E6E6"/>
            <w:noWrap/>
            <w:vAlign w:val="center"/>
            <w:hideMark/>
          </w:tcPr>
          <w:p w14:paraId="3B9043DE" w14:textId="77777777"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213,600</w:t>
            </w:r>
          </w:p>
        </w:tc>
      </w:tr>
      <w:tr w:rsidR="005868B4" w:rsidRPr="000E3C8C" w14:paraId="5D94DE3C" w14:textId="77777777" w:rsidTr="005868B4">
        <w:trPr>
          <w:divId w:val="177892677"/>
          <w:trHeight w:hRule="exact" w:val="225"/>
        </w:trPr>
        <w:tc>
          <w:tcPr>
            <w:tcW w:w="3011" w:type="pct"/>
            <w:tcBorders>
              <w:top w:val="nil"/>
              <w:left w:val="nil"/>
              <w:bottom w:val="nil"/>
              <w:right w:val="nil"/>
            </w:tcBorders>
            <w:shd w:val="clear" w:color="000000" w:fill="FFFFFF"/>
            <w:noWrap/>
            <w:vAlign w:val="center"/>
            <w:hideMark/>
          </w:tcPr>
          <w:p w14:paraId="16522B1C" w14:textId="77777777" w:rsidR="005868B4" w:rsidRPr="000E3C8C" w:rsidRDefault="005868B4" w:rsidP="005868B4">
            <w:pPr>
              <w:spacing w:after="0" w:line="240" w:lineRule="auto"/>
              <w:jc w:val="left"/>
              <w:rPr>
                <w:rFonts w:ascii="Arial" w:hAnsi="Arial" w:cs="Arial"/>
                <w:color w:val="000000"/>
                <w:sz w:val="16"/>
                <w:szCs w:val="16"/>
              </w:rPr>
            </w:pPr>
            <w:r w:rsidRPr="000E3C8C">
              <w:rPr>
                <w:rFonts w:ascii="Arial" w:hAnsi="Arial" w:cs="Arial"/>
                <w:color w:val="000000"/>
                <w:sz w:val="16"/>
                <w:szCs w:val="16"/>
              </w:rPr>
              <w:t>Company tax</w:t>
            </w:r>
          </w:p>
        </w:tc>
        <w:tc>
          <w:tcPr>
            <w:tcW w:w="994" w:type="pct"/>
            <w:tcBorders>
              <w:top w:val="nil"/>
              <w:left w:val="nil"/>
              <w:bottom w:val="nil"/>
              <w:right w:val="nil"/>
            </w:tcBorders>
            <w:shd w:val="clear" w:color="000000" w:fill="FFFFFF"/>
            <w:noWrap/>
            <w:vAlign w:val="center"/>
            <w:hideMark/>
          </w:tcPr>
          <w:p w14:paraId="694C9880" w14:textId="77777777"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85,002</w:t>
            </w:r>
          </w:p>
        </w:tc>
        <w:tc>
          <w:tcPr>
            <w:tcW w:w="994" w:type="pct"/>
            <w:tcBorders>
              <w:top w:val="nil"/>
              <w:left w:val="nil"/>
              <w:bottom w:val="nil"/>
              <w:right w:val="nil"/>
            </w:tcBorders>
            <w:shd w:val="clear" w:color="000000" w:fill="E6E6E6"/>
            <w:noWrap/>
            <w:vAlign w:val="center"/>
            <w:hideMark/>
          </w:tcPr>
          <w:p w14:paraId="3A8363B5" w14:textId="77777777"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81,600</w:t>
            </w:r>
          </w:p>
        </w:tc>
      </w:tr>
      <w:tr w:rsidR="005868B4" w:rsidRPr="000E3C8C" w14:paraId="3ACBC563" w14:textId="77777777" w:rsidTr="005868B4">
        <w:trPr>
          <w:divId w:val="177892677"/>
          <w:trHeight w:hRule="exact" w:val="225"/>
        </w:trPr>
        <w:tc>
          <w:tcPr>
            <w:tcW w:w="3011" w:type="pct"/>
            <w:tcBorders>
              <w:top w:val="nil"/>
              <w:left w:val="nil"/>
              <w:bottom w:val="nil"/>
              <w:right w:val="nil"/>
            </w:tcBorders>
            <w:shd w:val="clear" w:color="000000" w:fill="FFFFFF"/>
            <w:noWrap/>
            <w:vAlign w:val="center"/>
            <w:hideMark/>
          </w:tcPr>
          <w:p w14:paraId="331E8894" w14:textId="77777777" w:rsidR="005868B4" w:rsidRPr="000E3C8C" w:rsidRDefault="005868B4" w:rsidP="005868B4">
            <w:pPr>
              <w:spacing w:after="0" w:line="240" w:lineRule="auto"/>
              <w:jc w:val="left"/>
              <w:rPr>
                <w:rFonts w:ascii="Arial" w:hAnsi="Arial" w:cs="Arial"/>
                <w:color w:val="000000"/>
                <w:sz w:val="16"/>
                <w:szCs w:val="16"/>
              </w:rPr>
            </w:pPr>
            <w:r w:rsidRPr="000E3C8C">
              <w:rPr>
                <w:rFonts w:ascii="Arial" w:hAnsi="Arial" w:cs="Arial"/>
                <w:color w:val="000000"/>
                <w:sz w:val="16"/>
                <w:szCs w:val="16"/>
              </w:rPr>
              <w:t>Superannuation fund taxes</w:t>
            </w:r>
          </w:p>
        </w:tc>
        <w:tc>
          <w:tcPr>
            <w:tcW w:w="994" w:type="pct"/>
            <w:tcBorders>
              <w:top w:val="nil"/>
              <w:left w:val="nil"/>
              <w:bottom w:val="nil"/>
              <w:right w:val="nil"/>
            </w:tcBorders>
            <w:shd w:val="clear" w:color="000000" w:fill="FFFFFF"/>
            <w:noWrap/>
            <w:vAlign w:val="center"/>
            <w:hideMark/>
          </w:tcPr>
          <w:p w14:paraId="356A5502" w14:textId="77777777"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6,270</w:t>
            </w:r>
          </w:p>
        </w:tc>
        <w:tc>
          <w:tcPr>
            <w:tcW w:w="994" w:type="pct"/>
            <w:tcBorders>
              <w:top w:val="nil"/>
              <w:left w:val="nil"/>
              <w:bottom w:val="nil"/>
              <w:right w:val="nil"/>
            </w:tcBorders>
            <w:shd w:val="clear" w:color="000000" w:fill="E6E6E6"/>
            <w:noWrap/>
            <w:vAlign w:val="center"/>
            <w:hideMark/>
          </w:tcPr>
          <w:p w14:paraId="4B4BECE4" w14:textId="77777777"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6,460</w:t>
            </w:r>
          </w:p>
        </w:tc>
      </w:tr>
      <w:tr w:rsidR="005868B4" w:rsidRPr="000E3C8C" w14:paraId="2FA6678D" w14:textId="77777777" w:rsidTr="005868B4">
        <w:trPr>
          <w:divId w:val="177892677"/>
          <w:trHeight w:hRule="exact" w:val="225"/>
        </w:trPr>
        <w:tc>
          <w:tcPr>
            <w:tcW w:w="3011" w:type="pct"/>
            <w:tcBorders>
              <w:top w:val="nil"/>
              <w:left w:val="nil"/>
              <w:bottom w:val="nil"/>
              <w:right w:val="nil"/>
            </w:tcBorders>
            <w:shd w:val="clear" w:color="000000" w:fill="FFFFFF"/>
            <w:noWrap/>
            <w:vAlign w:val="center"/>
            <w:hideMark/>
          </w:tcPr>
          <w:p w14:paraId="366049A5" w14:textId="77777777" w:rsidR="005868B4" w:rsidRPr="000E3C8C" w:rsidRDefault="005868B4" w:rsidP="005868B4">
            <w:pPr>
              <w:spacing w:after="0" w:line="240" w:lineRule="auto"/>
              <w:jc w:val="left"/>
              <w:rPr>
                <w:rFonts w:ascii="Arial" w:hAnsi="Arial" w:cs="Arial"/>
                <w:color w:val="000000"/>
                <w:sz w:val="16"/>
                <w:szCs w:val="16"/>
              </w:rPr>
            </w:pPr>
            <w:r w:rsidRPr="000E3C8C">
              <w:rPr>
                <w:rFonts w:ascii="Arial" w:hAnsi="Arial" w:cs="Arial"/>
                <w:color w:val="000000"/>
                <w:sz w:val="16"/>
                <w:szCs w:val="16"/>
              </w:rPr>
              <w:t>Other income taxes(b)</w:t>
            </w:r>
          </w:p>
        </w:tc>
        <w:tc>
          <w:tcPr>
            <w:tcW w:w="994" w:type="pct"/>
            <w:tcBorders>
              <w:top w:val="nil"/>
              <w:left w:val="nil"/>
              <w:bottom w:val="nil"/>
              <w:right w:val="nil"/>
            </w:tcBorders>
            <w:shd w:val="clear" w:color="000000" w:fill="FFFFFF"/>
            <w:noWrap/>
            <w:vAlign w:val="center"/>
            <w:hideMark/>
          </w:tcPr>
          <w:p w14:paraId="26F62140" w14:textId="77777777"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4,931</w:t>
            </w:r>
          </w:p>
        </w:tc>
        <w:tc>
          <w:tcPr>
            <w:tcW w:w="994" w:type="pct"/>
            <w:tcBorders>
              <w:top w:val="nil"/>
              <w:left w:val="nil"/>
              <w:bottom w:val="nil"/>
              <w:right w:val="nil"/>
            </w:tcBorders>
            <w:shd w:val="clear" w:color="000000" w:fill="E6E6E6"/>
            <w:noWrap/>
            <w:vAlign w:val="center"/>
            <w:hideMark/>
          </w:tcPr>
          <w:p w14:paraId="4B6653B7" w14:textId="77777777"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4,690</w:t>
            </w:r>
          </w:p>
        </w:tc>
      </w:tr>
      <w:tr w:rsidR="005868B4" w:rsidRPr="000E3C8C" w14:paraId="020EC53C" w14:textId="77777777" w:rsidTr="005868B4">
        <w:trPr>
          <w:divId w:val="177892677"/>
          <w:trHeight w:hRule="exact" w:val="225"/>
        </w:trPr>
        <w:tc>
          <w:tcPr>
            <w:tcW w:w="3011" w:type="pct"/>
            <w:tcBorders>
              <w:top w:val="nil"/>
              <w:left w:val="nil"/>
              <w:bottom w:val="nil"/>
              <w:right w:val="nil"/>
            </w:tcBorders>
            <w:shd w:val="clear" w:color="000000" w:fill="FFFFFF"/>
            <w:noWrap/>
            <w:vAlign w:val="center"/>
            <w:hideMark/>
          </w:tcPr>
          <w:p w14:paraId="1DDF5E6C" w14:textId="77777777" w:rsidR="005868B4" w:rsidRPr="000E3C8C" w:rsidRDefault="005868B4" w:rsidP="005868B4">
            <w:pPr>
              <w:spacing w:after="0" w:line="240" w:lineRule="auto"/>
              <w:jc w:val="left"/>
              <w:rPr>
                <w:rFonts w:ascii="Arial" w:hAnsi="Arial" w:cs="Arial"/>
                <w:b/>
                <w:bCs/>
                <w:color w:val="000000"/>
                <w:sz w:val="16"/>
                <w:szCs w:val="16"/>
              </w:rPr>
            </w:pPr>
            <w:r w:rsidRPr="000E3C8C">
              <w:rPr>
                <w:rFonts w:ascii="Arial" w:hAnsi="Arial" w:cs="Arial"/>
                <w:b/>
                <w:bCs/>
                <w:color w:val="000000"/>
                <w:sz w:val="16"/>
                <w:szCs w:val="16"/>
              </w:rPr>
              <w:t>Income taxation receipts</w:t>
            </w:r>
          </w:p>
        </w:tc>
        <w:tc>
          <w:tcPr>
            <w:tcW w:w="994" w:type="pct"/>
            <w:tcBorders>
              <w:top w:val="single" w:sz="4" w:space="0" w:color="000000"/>
              <w:left w:val="nil"/>
              <w:bottom w:val="single" w:sz="4" w:space="0" w:color="auto"/>
              <w:right w:val="nil"/>
            </w:tcBorders>
            <w:shd w:val="clear" w:color="000000" w:fill="FFFFFF"/>
            <w:noWrap/>
            <w:vAlign w:val="center"/>
            <w:hideMark/>
          </w:tcPr>
          <w:p w14:paraId="1D3612AE" w14:textId="77777777" w:rsidR="005868B4" w:rsidRPr="000E3C8C" w:rsidRDefault="005868B4" w:rsidP="005868B4">
            <w:pPr>
              <w:spacing w:after="0" w:line="240" w:lineRule="auto"/>
              <w:jc w:val="right"/>
              <w:rPr>
                <w:rFonts w:ascii="Arial" w:hAnsi="Arial" w:cs="Arial"/>
                <w:b/>
                <w:bCs/>
                <w:color w:val="000000"/>
                <w:sz w:val="16"/>
                <w:szCs w:val="16"/>
              </w:rPr>
            </w:pPr>
            <w:r w:rsidRPr="000E3C8C">
              <w:rPr>
                <w:rFonts w:ascii="Arial" w:hAnsi="Arial" w:cs="Arial"/>
                <w:b/>
                <w:bCs/>
                <w:color w:val="000000"/>
                <w:sz w:val="16"/>
                <w:szCs w:val="16"/>
              </w:rPr>
              <w:t>317,859</w:t>
            </w:r>
          </w:p>
        </w:tc>
        <w:tc>
          <w:tcPr>
            <w:tcW w:w="994" w:type="pct"/>
            <w:tcBorders>
              <w:top w:val="single" w:sz="4" w:space="0" w:color="000000"/>
              <w:left w:val="nil"/>
              <w:bottom w:val="single" w:sz="4" w:space="0" w:color="auto"/>
              <w:right w:val="nil"/>
            </w:tcBorders>
            <w:shd w:val="clear" w:color="000000" w:fill="E6E6E6"/>
            <w:noWrap/>
            <w:vAlign w:val="center"/>
            <w:hideMark/>
          </w:tcPr>
          <w:p w14:paraId="3E774E97" w14:textId="77777777" w:rsidR="005868B4" w:rsidRPr="000E3C8C" w:rsidRDefault="005868B4" w:rsidP="005868B4">
            <w:pPr>
              <w:spacing w:after="0" w:line="240" w:lineRule="auto"/>
              <w:jc w:val="right"/>
              <w:rPr>
                <w:rFonts w:ascii="Arial" w:hAnsi="Arial" w:cs="Arial"/>
                <w:b/>
                <w:bCs/>
                <w:color w:val="000000"/>
                <w:sz w:val="16"/>
                <w:szCs w:val="16"/>
              </w:rPr>
            </w:pPr>
            <w:r w:rsidRPr="000E3C8C">
              <w:rPr>
                <w:rFonts w:ascii="Arial" w:hAnsi="Arial" w:cs="Arial"/>
                <w:b/>
                <w:bCs/>
                <w:color w:val="000000"/>
                <w:sz w:val="16"/>
                <w:szCs w:val="16"/>
              </w:rPr>
              <w:t>306,350</w:t>
            </w:r>
          </w:p>
        </w:tc>
      </w:tr>
      <w:tr w:rsidR="005868B4" w:rsidRPr="000E3C8C" w14:paraId="70F5B2E2" w14:textId="77777777" w:rsidTr="005868B4">
        <w:trPr>
          <w:divId w:val="177892677"/>
          <w:trHeight w:hRule="exact" w:val="60"/>
        </w:trPr>
        <w:tc>
          <w:tcPr>
            <w:tcW w:w="3011" w:type="pct"/>
            <w:tcBorders>
              <w:top w:val="nil"/>
              <w:left w:val="nil"/>
              <w:bottom w:val="nil"/>
              <w:right w:val="nil"/>
            </w:tcBorders>
            <w:shd w:val="clear" w:color="000000" w:fill="FFFFFF"/>
            <w:noWrap/>
            <w:vAlign w:val="center"/>
            <w:hideMark/>
          </w:tcPr>
          <w:p w14:paraId="0BB14220" w14:textId="77777777" w:rsidR="005868B4" w:rsidRPr="000E3C8C" w:rsidRDefault="005868B4" w:rsidP="005868B4">
            <w:pPr>
              <w:spacing w:after="0" w:line="240" w:lineRule="auto"/>
              <w:jc w:val="left"/>
              <w:rPr>
                <w:rFonts w:ascii="Arial" w:hAnsi="Arial" w:cs="Arial"/>
                <w:b/>
                <w:bCs/>
                <w:color w:val="000000"/>
                <w:sz w:val="16"/>
                <w:szCs w:val="16"/>
              </w:rPr>
            </w:pPr>
            <w:r w:rsidRPr="000E3C8C">
              <w:rPr>
                <w:rFonts w:ascii="Arial" w:hAnsi="Arial" w:cs="Arial"/>
                <w:b/>
                <w:bCs/>
                <w:color w:val="000000"/>
                <w:sz w:val="16"/>
                <w:szCs w:val="16"/>
              </w:rPr>
              <w:t> </w:t>
            </w:r>
          </w:p>
        </w:tc>
        <w:tc>
          <w:tcPr>
            <w:tcW w:w="994" w:type="pct"/>
            <w:tcBorders>
              <w:top w:val="nil"/>
              <w:left w:val="nil"/>
              <w:bottom w:val="nil"/>
              <w:right w:val="nil"/>
            </w:tcBorders>
            <w:shd w:val="clear" w:color="000000" w:fill="FFFFFF"/>
            <w:noWrap/>
            <w:vAlign w:val="center"/>
            <w:hideMark/>
          </w:tcPr>
          <w:p w14:paraId="2A42895D" w14:textId="77777777"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 </w:t>
            </w:r>
          </w:p>
        </w:tc>
        <w:tc>
          <w:tcPr>
            <w:tcW w:w="994" w:type="pct"/>
            <w:tcBorders>
              <w:top w:val="nil"/>
              <w:left w:val="nil"/>
              <w:bottom w:val="nil"/>
              <w:right w:val="nil"/>
            </w:tcBorders>
            <w:shd w:val="clear" w:color="000000" w:fill="E6E6E6"/>
            <w:noWrap/>
            <w:vAlign w:val="center"/>
            <w:hideMark/>
          </w:tcPr>
          <w:p w14:paraId="559C870C" w14:textId="77777777"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 </w:t>
            </w:r>
          </w:p>
        </w:tc>
      </w:tr>
      <w:tr w:rsidR="005868B4" w:rsidRPr="000E3C8C" w14:paraId="6B1F17D1" w14:textId="77777777" w:rsidTr="005868B4">
        <w:trPr>
          <w:divId w:val="177892677"/>
          <w:trHeight w:hRule="exact" w:val="225"/>
        </w:trPr>
        <w:tc>
          <w:tcPr>
            <w:tcW w:w="3011" w:type="pct"/>
            <w:tcBorders>
              <w:top w:val="nil"/>
              <w:left w:val="nil"/>
              <w:bottom w:val="nil"/>
              <w:right w:val="nil"/>
            </w:tcBorders>
            <w:shd w:val="clear" w:color="000000" w:fill="FFFFFF"/>
            <w:noWrap/>
            <w:vAlign w:val="center"/>
            <w:hideMark/>
          </w:tcPr>
          <w:p w14:paraId="1CDC7041" w14:textId="77777777" w:rsidR="005868B4" w:rsidRPr="000E3C8C" w:rsidRDefault="005868B4" w:rsidP="005868B4">
            <w:pPr>
              <w:spacing w:after="0" w:line="240" w:lineRule="auto"/>
              <w:jc w:val="left"/>
              <w:rPr>
                <w:rFonts w:ascii="Arial" w:hAnsi="Arial" w:cs="Arial"/>
                <w:color w:val="000000"/>
                <w:sz w:val="16"/>
                <w:szCs w:val="16"/>
              </w:rPr>
            </w:pPr>
            <w:r w:rsidRPr="000E3C8C">
              <w:rPr>
                <w:rFonts w:ascii="Arial" w:hAnsi="Arial" w:cs="Arial"/>
                <w:color w:val="000000"/>
                <w:sz w:val="16"/>
                <w:szCs w:val="16"/>
              </w:rPr>
              <w:t>Goods and services tax</w:t>
            </w:r>
          </w:p>
        </w:tc>
        <w:tc>
          <w:tcPr>
            <w:tcW w:w="994" w:type="pct"/>
            <w:tcBorders>
              <w:top w:val="nil"/>
              <w:left w:val="nil"/>
              <w:bottom w:val="nil"/>
              <w:right w:val="nil"/>
            </w:tcBorders>
            <w:shd w:val="clear" w:color="000000" w:fill="FFFFFF"/>
            <w:noWrap/>
            <w:vAlign w:val="center"/>
            <w:hideMark/>
          </w:tcPr>
          <w:p w14:paraId="4FCB33AC" w14:textId="77777777"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60,401</w:t>
            </w:r>
          </w:p>
        </w:tc>
        <w:tc>
          <w:tcPr>
            <w:tcW w:w="994" w:type="pct"/>
            <w:tcBorders>
              <w:top w:val="nil"/>
              <w:left w:val="nil"/>
              <w:bottom w:val="nil"/>
              <w:right w:val="nil"/>
            </w:tcBorders>
            <w:shd w:val="clear" w:color="000000" w:fill="E6E6E6"/>
            <w:noWrap/>
            <w:vAlign w:val="center"/>
            <w:hideMark/>
          </w:tcPr>
          <w:p w14:paraId="418A20F4" w14:textId="77777777"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60,064</w:t>
            </w:r>
          </w:p>
        </w:tc>
      </w:tr>
      <w:tr w:rsidR="005868B4" w:rsidRPr="000E3C8C" w14:paraId="429919CC" w14:textId="77777777" w:rsidTr="005868B4">
        <w:trPr>
          <w:divId w:val="177892677"/>
          <w:trHeight w:hRule="exact" w:val="225"/>
        </w:trPr>
        <w:tc>
          <w:tcPr>
            <w:tcW w:w="3011" w:type="pct"/>
            <w:tcBorders>
              <w:top w:val="nil"/>
              <w:left w:val="nil"/>
              <w:bottom w:val="nil"/>
              <w:right w:val="nil"/>
            </w:tcBorders>
            <w:shd w:val="clear" w:color="000000" w:fill="FFFFFF"/>
            <w:noWrap/>
            <w:vAlign w:val="center"/>
            <w:hideMark/>
          </w:tcPr>
          <w:p w14:paraId="22E18B56" w14:textId="77777777" w:rsidR="005868B4" w:rsidRPr="000E3C8C" w:rsidRDefault="005868B4" w:rsidP="005868B4">
            <w:pPr>
              <w:spacing w:after="0" w:line="240" w:lineRule="auto"/>
              <w:jc w:val="left"/>
              <w:rPr>
                <w:rFonts w:ascii="Arial" w:hAnsi="Arial" w:cs="Arial"/>
                <w:color w:val="000000"/>
                <w:sz w:val="16"/>
                <w:szCs w:val="16"/>
              </w:rPr>
            </w:pPr>
            <w:r w:rsidRPr="000E3C8C">
              <w:rPr>
                <w:rFonts w:ascii="Arial" w:hAnsi="Arial" w:cs="Arial"/>
                <w:color w:val="000000"/>
                <w:sz w:val="16"/>
                <w:szCs w:val="16"/>
              </w:rPr>
              <w:t>Total excise and customs duty</w:t>
            </w:r>
          </w:p>
        </w:tc>
        <w:tc>
          <w:tcPr>
            <w:tcW w:w="994" w:type="pct"/>
            <w:tcBorders>
              <w:top w:val="nil"/>
              <w:left w:val="nil"/>
              <w:bottom w:val="nil"/>
              <w:right w:val="nil"/>
            </w:tcBorders>
            <w:shd w:val="clear" w:color="000000" w:fill="FFFFFF"/>
            <w:noWrap/>
            <w:vAlign w:val="center"/>
            <w:hideMark/>
          </w:tcPr>
          <w:p w14:paraId="41AB36FC" w14:textId="77777777"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43,168</w:t>
            </w:r>
          </w:p>
        </w:tc>
        <w:tc>
          <w:tcPr>
            <w:tcW w:w="994" w:type="pct"/>
            <w:tcBorders>
              <w:top w:val="nil"/>
              <w:left w:val="nil"/>
              <w:bottom w:val="nil"/>
              <w:right w:val="nil"/>
            </w:tcBorders>
            <w:shd w:val="clear" w:color="000000" w:fill="E6E6E6"/>
            <w:noWrap/>
            <w:vAlign w:val="center"/>
            <w:hideMark/>
          </w:tcPr>
          <w:p w14:paraId="60694C18" w14:textId="77777777"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40,910</w:t>
            </w:r>
          </w:p>
        </w:tc>
      </w:tr>
      <w:tr w:rsidR="005868B4" w:rsidRPr="000E3C8C" w14:paraId="77C2EBCA" w14:textId="77777777" w:rsidTr="005868B4">
        <w:trPr>
          <w:divId w:val="177892677"/>
          <w:trHeight w:hRule="exact" w:val="225"/>
        </w:trPr>
        <w:tc>
          <w:tcPr>
            <w:tcW w:w="3011" w:type="pct"/>
            <w:tcBorders>
              <w:top w:val="nil"/>
              <w:left w:val="nil"/>
              <w:bottom w:val="nil"/>
              <w:right w:val="nil"/>
            </w:tcBorders>
            <w:shd w:val="clear" w:color="000000" w:fill="FFFFFF"/>
            <w:noWrap/>
            <w:vAlign w:val="center"/>
            <w:hideMark/>
          </w:tcPr>
          <w:p w14:paraId="067F823A" w14:textId="77777777" w:rsidR="005868B4" w:rsidRPr="000E3C8C" w:rsidRDefault="005868B4" w:rsidP="005868B4">
            <w:pPr>
              <w:spacing w:after="0" w:line="240" w:lineRule="auto"/>
              <w:jc w:val="left"/>
              <w:rPr>
                <w:rFonts w:ascii="Arial" w:hAnsi="Arial" w:cs="Arial"/>
                <w:color w:val="000000"/>
                <w:sz w:val="16"/>
                <w:szCs w:val="16"/>
              </w:rPr>
            </w:pPr>
            <w:r w:rsidRPr="000E3C8C">
              <w:rPr>
                <w:rFonts w:ascii="Arial" w:hAnsi="Arial" w:cs="Arial"/>
                <w:color w:val="000000"/>
                <w:sz w:val="16"/>
                <w:szCs w:val="16"/>
              </w:rPr>
              <w:t>Other indirect taxes(c)</w:t>
            </w:r>
          </w:p>
        </w:tc>
        <w:tc>
          <w:tcPr>
            <w:tcW w:w="994" w:type="pct"/>
            <w:tcBorders>
              <w:top w:val="nil"/>
              <w:left w:val="nil"/>
              <w:bottom w:val="nil"/>
              <w:right w:val="nil"/>
            </w:tcBorders>
            <w:shd w:val="clear" w:color="000000" w:fill="FFFFFF"/>
            <w:noWrap/>
            <w:vAlign w:val="center"/>
            <w:hideMark/>
          </w:tcPr>
          <w:p w14:paraId="64B399C0" w14:textId="77777777"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10,618</w:t>
            </w:r>
          </w:p>
        </w:tc>
        <w:tc>
          <w:tcPr>
            <w:tcW w:w="994" w:type="pct"/>
            <w:tcBorders>
              <w:top w:val="nil"/>
              <w:left w:val="nil"/>
              <w:bottom w:val="nil"/>
              <w:right w:val="nil"/>
            </w:tcBorders>
            <w:shd w:val="clear" w:color="000000" w:fill="E6E6E6"/>
            <w:noWrap/>
            <w:vAlign w:val="center"/>
            <w:hideMark/>
          </w:tcPr>
          <w:p w14:paraId="591E3ACF" w14:textId="77777777"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8,606</w:t>
            </w:r>
          </w:p>
        </w:tc>
      </w:tr>
      <w:tr w:rsidR="005868B4" w:rsidRPr="000E3C8C" w14:paraId="1BBB3A09" w14:textId="77777777" w:rsidTr="005868B4">
        <w:trPr>
          <w:divId w:val="177892677"/>
          <w:trHeight w:hRule="exact" w:val="225"/>
        </w:trPr>
        <w:tc>
          <w:tcPr>
            <w:tcW w:w="3011" w:type="pct"/>
            <w:tcBorders>
              <w:top w:val="nil"/>
              <w:left w:val="nil"/>
              <w:bottom w:val="nil"/>
              <w:right w:val="nil"/>
            </w:tcBorders>
            <w:shd w:val="clear" w:color="000000" w:fill="FFFFFF"/>
            <w:noWrap/>
            <w:vAlign w:val="center"/>
            <w:hideMark/>
          </w:tcPr>
          <w:p w14:paraId="0BDCA75C" w14:textId="77777777" w:rsidR="005868B4" w:rsidRPr="000E3C8C" w:rsidRDefault="005868B4" w:rsidP="005868B4">
            <w:pPr>
              <w:spacing w:after="0" w:line="240" w:lineRule="auto"/>
              <w:jc w:val="left"/>
              <w:rPr>
                <w:rFonts w:ascii="Arial" w:hAnsi="Arial" w:cs="Arial"/>
                <w:b/>
                <w:bCs/>
                <w:color w:val="000000"/>
                <w:sz w:val="16"/>
                <w:szCs w:val="16"/>
              </w:rPr>
            </w:pPr>
            <w:r w:rsidRPr="000E3C8C">
              <w:rPr>
                <w:rFonts w:ascii="Arial" w:hAnsi="Arial" w:cs="Arial"/>
                <w:b/>
                <w:bCs/>
                <w:color w:val="000000"/>
                <w:sz w:val="16"/>
                <w:szCs w:val="16"/>
              </w:rPr>
              <w:t>Indirect taxation receipts</w:t>
            </w:r>
          </w:p>
        </w:tc>
        <w:tc>
          <w:tcPr>
            <w:tcW w:w="994" w:type="pct"/>
            <w:tcBorders>
              <w:top w:val="single" w:sz="4" w:space="0" w:color="auto"/>
              <w:left w:val="nil"/>
              <w:bottom w:val="single" w:sz="4" w:space="0" w:color="auto"/>
              <w:right w:val="nil"/>
            </w:tcBorders>
            <w:shd w:val="clear" w:color="000000" w:fill="FFFFFF"/>
            <w:noWrap/>
            <w:vAlign w:val="center"/>
            <w:hideMark/>
          </w:tcPr>
          <w:p w14:paraId="2B0D3B61" w14:textId="77777777" w:rsidR="005868B4" w:rsidRPr="000E3C8C" w:rsidRDefault="005868B4" w:rsidP="005868B4">
            <w:pPr>
              <w:spacing w:after="0" w:line="240" w:lineRule="auto"/>
              <w:jc w:val="right"/>
              <w:rPr>
                <w:rFonts w:ascii="Arial" w:hAnsi="Arial" w:cs="Arial"/>
                <w:b/>
                <w:bCs/>
                <w:color w:val="000000"/>
                <w:sz w:val="16"/>
                <w:szCs w:val="16"/>
              </w:rPr>
            </w:pPr>
            <w:r w:rsidRPr="000E3C8C">
              <w:rPr>
                <w:rFonts w:ascii="Arial" w:hAnsi="Arial" w:cs="Arial"/>
                <w:b/>
                <w:bCs/>
                <w:color w:val="000000"/>
                <w:sz w:val="16"/>
                <w:szCs w:val="16"/>
              </w:rPr>
              <w:t>114,187</w:t>
            </w:r>
          </w:p>
        </w:tc>
        <w:tc>
          <w:tcPr>
            <w:tcW w:w="994" w:type="pct"/>
            <w:tcBorders>
              <w:top w:val="single" w:sz="4" w:space="0" w:color="auto"/>
              <w:left w:val="nil"/>
              <w:bottom w:val="single" w:sz="4" w:space="0" w:color="auto"/>
              <w:right w:val="nil"/>
            </w:tcBorders>
            <w:shd w:val="clear" w:color="000000" w:fill="E6E6E6"/>
            <w:noWrap/>
            <w:vAlign w:val="center"/>
            <w:hideMark/>
          </w:tcPr>
          <w:p w14:paraId="35ABD29A" w14:textId="77777777" w:rsidR="005868B4" w:rsidRPr="000E3C8C" w:rsidRDefault="005868B4" w:rsidP="005868B4">
            <w:pPr>
              <w:spacing w:after="0" w:line="240" w:lineRule="auto"/>
              <w:jc w:val="right"/>
              <w:rPr>
                <w:rFonts w:ascii="Arial" w:hAnsi="Arial" w:cs="Arial"/>
                <w:b/>
                <w:bCs/>
                <w:color w:val="000000"/>
                <w:sz w:val="16"/>
                <w:szCs w:val="16"/>
              </w:rPr>
            </w:pPr>
            <w:r w:rsidRPr="000E3C8C">
              <w:rPr>
                <w:rFonts w:ascii="Arial" w:hAnsi="Arial" w:cs="Arial"/>
                <w:b/>
                <w:bCs/>
                <w:color w:val="000000"/>
                <w:sz w:val="16"/>
                <w:szCs w:val="16"/>
              </w:rPr>
              <w:t>109,579</w:t>
            </w:r>
          </w:p>
        </w:tc>
      </w:tr>
      <w:tr w:rsidR="005868B4" w:rsidRPr="000E3C8C" w14:paraId="141AD5BD" w14:textId="77777777" w:rsidTr="005868B4">
        <w:trPr>
          <w:divId w:val="177892677"/>
          <w:trHeight w:hRule="exact" w:val="60"/>
        </w:trPr>
        <w:tc>
          <w:tcPr>
            <w:tcW w:w="3011" w:type="pct"/>
            <w:tcBorders>
              <w:top w:val="nil"/>
              <w:left w:val="nil"/>
              <w:bottom w:val="nil"/>
              <w:right w:val="nil"/>
            </w:tcBorders>
            <w:shd w:val="clear" w:color="000000" w:fill="FFFFFF"/>
            <w:noWrap/>
            <w:vAlign w:val="center"/>
            <w:hideMark/>
          </w:tcPr>
          <w:p w14:paraId="78AE27CF" w14:textId="77777777" w:rsidR="005868B4" w:rsidRPr="000E3C8C" w:rsidRDefault="005868B4" w:rsidP="005868B4">
            <w:pPr>
              <w:spacing w:after="0" w:line="240" w:lineRule="auto"/>
              <w:jc w:val="left"/>
              <w:rPr>
                <w:rFonts w:ascii="Arial" w:hAnsi="Arial" w:cs="Arial"/>
                <w:b/>
                <w:bCs/>
                <w:color w:val="000000"/>
                <w:sz w:val="16"/>
                <w:szCs w:val="16"/>
              </w:rPr>
            </w:pPr>
            <w:r w:rsidRPr="000E3C8C">
              <w:rPr>
                <w:rFonts w:ascii="Arial" w:hAnsi="Arial" w:cs="Arial"/>
                <w:b/>
                <w:bCs/>
                <w:color w:val="000000"/>
                <w:sz w:val="16"/>
                <w:szCs w:val="16"/>
              </w:rPr>
              <w:t> </w:t>
            </w:r>
          </w:p>
        </w:tc>
        <w:tc>
          <w:tcPr>
            <w:tcW w:w="994" w:type="pct"/>
            <w:tcBorders>
              <w:top w:val="nil"/>
              <w:left w:val="nil"/>
              <w:bottom w:val="nil"/>
              <w:right w:val="nil"/>
            </w:tcBorders>
            <w:shd w:val="clear" w:color="000000" w:fill="FFFFFF"/>
            <w:noWrap/>
            <w:vAlign w:val="center"/>
            <w:hideMark/>
          </w:tcPr>
          <w:p w14:paraId="4C3A2769" w14:textId="77777777" w:rsidR="005868B4" w:rsidRPr="000E3C8C" w:rsidRDefault="005868B4" w:rsidP="005868B4">
            <w:pPr>
              <w:spacing w:after="0" w:line="240" w:lineRule="auto"/>
              <w:jc w:val="right"/>
              <w:rPr>
                <w:rFonts w:ascii="Arial" w:hAnsi="Arial" w:cs="Arial"/>
                <w:b/>
                <w:bCs/>
                <w:color w:val="000000"/>
                <w:sz w:val="16"/>
                <w:szCs w:val="16"/>
              </w:rPr>
            </w:pPr>
            <w:r w:rsidRPr="000E3C8C">
              <w:rPr>
                <w:rFonts w:ascii="Arial" w:hAnsi="Arial" w:cs="Arial"/>
                <w:b/>
                <w:bCs/>
                <w:color w:val="000000"/>
                <w:sz w:val="16"/>
                <w:szCs w:val="16"/>
              </w:rPr>
              <w:t> </w:t>
            </w:r>
          </w:p>
        </w:tc>
        <w:tc>
          <w:tcPr>
            <w:tcW w:w="994" w:type="pct"/>
            <w:tcBorders>
              <w:top w:val="nil"/>
              <w:left w:val="nil"/>
              <w:bottom w:val="nil"/>
              <w:right w:val="nil"/>
            </w:tcBorders>
            <w:shd w:val="clear" w:color="000000" w:fill="E6E6E6"/>
            <w:noWrap/>
            <w:vAlign w:val="center"/>
            <w:hideMark/>
          </w:tcPr>
          <w:p w14:paraId="6E06C0AE" w14:textId="77777777"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 </w:t>
            </w:r>
          </w:p>
        </w:tc>
      </w:tr>
      <w:tr w:rsidR="005868B4" w:rsidRPr="000E3C8C" w14:paraId="3B9D4315" w14:textId="77777777" w:rsidTr="005868B4">
        <w:trPr>
          <w:divId w:val="177892677"/>
          <w:trHeight w:hRule="exact" w:val="225"/>
        </w:trPr>
        <w:tc>
          <w:tcPr>
            <w:tcW w:w="3011" w:type="pct"/>
            <w:tcBorders>
              <w:top w:val="nil"/>
              <w:left w:val="nil"/>
              <w:bottom w:val="nil"/>
              <w:right w:val="nil"/>
            </w:tcBorders>
            <w:shd w:val="clear" w:color="000000" w:fill="FFFFFF"/>
            <w:noWrap/>
            <w:vAlign w:val="center"/>
            <w:hideMark/>
          </w:tcPr>
          <w:p w14:paraId="64867752" w14:textId="77777777" w:rsidR="005868B4" w:rsidRPr="000E3C8C" w:rsidRDefault="005868B4" w:rsidP="005868B4">
            <w:pPr>
              <w:spacing w:after="0" w:line="240" w:lineRule="auto"/>
              <w:jc w:val="left"/>
              <w:rPr>
                <w:rFonts w:ascii="Arial" w:hAnsi="Arial" w:cs="Arial"/>
                <w:b/>
                <w:bCs/>
                <w:color w:val="000000"/>
                <w:sz w:val="16"/>
                <w:szCs w:val="16"/>
              </w:rPr>
            </w:pPr>
            <w:r w:rsidRPr="000E3C8C">
              <w:rPr>
                <w:rFonts w:ascii="Arial" w:hAnsi="Arial" w:cs="Arial"/>
                <w:b/>
                <w:bCs/>
                <w:color w:val="000000"/>
                <w:sz w:val="16"/>
                <w:szCs w:val="16"/>
              </w:rPr>
              <w:t>Taxation receipts</w:t>
            </w:r>
          </w:p>
        </w:tc>
        <w:tc>
          <w:tcPr>
            <w:tcW w:w="994" w:type="pct"/>
            <w:tcBorders>
              <w:top w:val="nil"/>
              <w:left w:val="nil"/>
              <w:bottom w:val="single" w:sz="4" w:space="0" w:color="auto"/>
              <w:right w:val="nil"/>
            </w:tcBorders>
            <w:shd w:val="clear" w:color="000000" w:fill="FFFFFF"/>
            <w:noWrap/>
            <w:vAlign w:val="center"/>
            <w:hideMark/>
          </w:tcPr>
          <w:p w14:paraId="159C5F75" w14:textId="77777777" w:rsidR="005868B4" w:rsidRPr="000E3C8C" w:rsidRDefault="005868B4" w:rsidP="005868B4">
            <w:pPr>
              <w:spacing w:after="0" w:line="240" w:lineRule="auto"/>
              <w:jc w:val="right"/>
              <w:rPr>
                <w:rFonts w:ascii="Arial" w:hAnsi="Arial" w:cs="Arial"/>
                <w:b/>
                <w:bCs/>
                <w:color w:val="000000"/>
                <w:sz w:val="16"/>
                <w:szCs w:val="16"/>
              </w:rPr>
            </w:pPr>
            <w:r w:rsidRPr="000E3C8C">
              <w:rPr>
                <w:rFonts w:ascii="Arial" w:hAnsi="Arial" w:cs="Arial"/>
                <w:b/>
                <w:bCs/>
                <w:color w:val="000000"/>
                <w:sz w:val="16"/>
                <w:szCs w:val="16"/>
              </w:rPr>
              <w:t>432,045</w:t>
            </w:r>
          </w:p>
        </w:tc>
        <w:tc>
          <w:tcPr>
            <w:tcW w:w="994" w:type="pct"/>
            <w:tcBorders>
              <w:top w:val="nil"/>
              <w:left w:val="nil"/>
              <w:bottom w:val="single" w:sz="4" w:space="0" w:color="auto"/>
              <w:right w:val="nil"/>
            </w:tcBorders>
            <w:shd w:val="clear" w:color="000000" w:fill="E6E6E6"/>
            <w:noWrap/>
            <w:vAlign w:val="center"/>
            <w:hideMark/>
          </w:tcPr>
          <w:p w14:paraId="2B06B6BD" w14:textId="77777777" w:rsidR="005868B4" w:rsidRPr="000E3C8C" w:rsidRDefault="005868B4" w:rsidP="005868B4">
            <w:pPr>
              <w:spacing w:after="0" w:line="240" w:lineRule="auto"/>
              <w:jc w:val="right"/>
              <w:rPr>
                <w:rFonts w:ascii="Arial" w:hAnsi="Arial" w:cs="Arial"/>
                <w:b/>
                <w:bCs/>
                <w:color w:val="000000"/>
                <w:sz w:val="16"/>
                <w:szCs w:val="16"/>
              </w:rPr>
            </w:pPr>
            <w:r w:rsidRPr="000E3C8C">
              <w:rPr>
                <w:rFonts w:ascii="Arial" w:hAnsi="Arial" w:cs="Arial"/>
                <w:b/>
                <w:bCs/>
                <w:color w:val="000000"/>
                <w:sz w:val="16"/>
                <w:szCs w:val="16"/>
              </w:rPr>
              <w:t>415,929</w:t>
            </w:r>
          </w:p>
        </w:tc>
      </w:tr>
      <w:tr w:rsidR="005868B4" w:rsidRPr="000E3C8C" w14:paraId="148457AC" w14:textId="77777777" w:rsidTr="005868B4">
        <w:trPr>
          <w:divId w:val="177892677"/>
          <w:trHeight w:hRule="exact" w:val="60"/>
        </w:trPr>
        <w:tc>
          <w:tcPr>
            <w:tcW w:w="3011" w:type="pct"/>
            <w:tcBorders>
              <w:top w:val="nil"/>
              <w:left w:val="nil"/>
              <w:bottom w:val="nil"/>
              <w:right w:val="nil"/>
            </w:tcBorders>
            <w:shd w:val="clear" w:color="auto" w:fill="auto"/>
            <w:noWrap/>
            <w:vAlign w:val="center"/>
            <w:hideMark/>
          </w:tcPr>
          <w:p w14:paraId="1B234EFA" w14:textId="77777777" w:rsidR="005868B4" w:rsidRPr="000E3C8C" w:rsidRDefault="005868B4" w:rsidP="005868B4">
            <w:pPr>
              <w:spacing w:after="0" w:line="240" w:lineRule="auto"/>
              <w:jc w:val="right"/>
              <w:rPr>
                <w:rFonts w:ascii="Arial" w:hAnsi="Arial" w:cs="Arial"/>
                <w:b/>
                <w:bCs/>
                <w:color w:val="000000"/>
                <w:sz w:val="16"/>
                <w:szCs w:val="16"/>
              </w:rPr>
            </w:pPr>
          </w:p>
        </w:tc>
        <w:tc>
          <w:tcPr>
            <w:tcW w:w="994" w:type="pct"/>
            <w:tcBorders>
              <w:top w:val="nil"/>
              <w:left w:val="nil"/>
              <w:bottom w:val="nil"/>
              <w:right w:val="nil"/>
            </w:tcBorders>
            <w:shd w:val="clear" w:color="000000" w:fill="FFFFFF"/>
            <w:noWrap/>
            <w:vAlign w:val="center"/>
            <w:hideMark/>
          </w:tcPr>
          <w:p w14:paraId="34999833" w14:textId="77777777" w:rsidR="005868B4" w:rsidRPr="000E3C8C" w:rsidRDefault="005868B4" w:rsidP="005868B4">
            <w:pPr>
              <w:spacing w:after="0" w:line="240" w:lineRule="auto"/>
              <w:jc w:val="right"/>
              <w:rPr>
                <w:rFonts w:ascii="Arial" w:hAnsi="Arial" w:cs="Arial"/>
                <w:b/>
                <w:bCs/>
                <w:color w:val="000000"/>
                <w:sz w:val="16"/>
                <w:szCs w:val="16"/>
              </w:rPr>
            </w:pPr>
            <w:r w:rsidRPr="000E3C8C">
              <w:rPr>
                <w:rFonts w:ascii="Arial" w:hAnsi="Arial" w:cs="Arial"/>
                <w:b/>
                <w:bCs/>
                <w:color w:val="000000"/>
                <w:sz w:val="16"/>
                <w:szCs w:val="16"/>
              </w:rPr>
              <w:t> </w:t>
            </w:r>
          </w:p>
        </w:tc>
        <w:tc>
          <w:tcPr>
            <w:tcW w:w="994" w:type="pct"/>
            <w:tcBorders>
              <w:top w:val="nil"/>
              <w:left w:val="nil"/>
              <w:bottom w:val="nil"/>
              <w:right w:val="nil"/>
            </w:tcBorders>
            <w:shd w:val="clear" w:color="000000" w:fill="E6E6E6"/>
            <w:noWrap/>
            <w:vAlign w:val="center"/>
            <w:hideMark/>
          </w:tcPr>
          <w:p w14:paraId="0370AC08" w14:textId="77777777"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 </w:t>
            </w:r>
          </w:p>
        </w:tc>
      </w:tr>
      <w:tr w:rsidR="005868B4" w:rsidRPr="000E3C8C" w14:paraId="1D65C0F1" w14:textId="77777777" w:rsidTr="005868B4">
        <w:trPr>
          <w:divId w:val="177892677"/>
          <w:trHeight w:hRule="exact" w:val="225"/>
        </w:trPr>
        <w:tc>
          <w:tcPr>
            <w:tcW w:w="3011" w:type="pct"/>
            <w:tcBorders>
              <w:top w:val="nil"/>
              <w:left w:val="nil"/>
              <w:bottom w:val="nil"/>
              <w:right w:val="nil"/>
            </w:tcBorders>
            <w:shd w:val="clear" w:color="000000" w:fill="FFFFFF"/>
            <w:noWrap/>
            <w:vAlign w:val="center"/>
            <w:hideMark/>
          </w:tcPr>
          <w:p w14:paraId="34240DC5" w14:textId="303276C0" w:rsidR="005868B4" w:rsidRPr="000E3C8C" w:rsidRDefault="005868B4" w:rsidP="005868B4">
            <w:pPr>
              <w:spacing w:after="0" w:line="240" w:lineRule="auto"/>
              <w:jc w:val="left"/>
              <w:rPr>
                <w:rFonts w:ascii="Arial" w:hAnsi="Arial" w:cs="Arial"/>
                <w:b/>
                <w:bCs/>
                <w:color w:val="000000"/>
                <w:sz w:val="16"/>
                <w:szCs w:val="16"/>
              </w:rPr>
            </w:pPr>
            <w:r w:rsidRPr="000E3C8C">
              <w:rPr>
                <w:rFonts w:ascii="Arial" w:hAnsi="Arial" w:cs="Arial"/>
                <w:b/>
                <w:bCs/>
                <w:color w:val="000000"/>
                <w:sz w:val="16"/>
                <w:szCs w:val="16"/>
              </w:rPr>
              <w:t>Non</w:t>
            </w:r>
            <w:r w:rsidR="00E834B1">
              <w:rPr>
                <w:rFonts w:ascii="Arial" w:hAnsi="Arial" w:cs="Arial"/>
                <w:b/>
                <w:bCs/>
                <w:color w:val="000000"/>
                <w:sz w:val="16"/>
                <w:szCs w:val="16"/>
              </w:rPr>
              <w:noBreakHyphen/>
            </w:r>
            <w:r w:rsidRPr="000E3C8C">
              <w:rPr>
                <w:rFonts w:ascii="Arial" w:hAnsi="Arial" w:cs="Arial"/>
                <w:b/>
                <w:bCs/>
                <w:color w:val="000000"/>
                <w:sz w:val="16"/>
                <w:szCs w:val="16"/>
              </w:rPr>
              <w:t>taxation receipts</w:t>
            </w:r>
          </w:p>
        </w:tc>
        <w:tc>
          <w:tcPr>
            <w:tcW w:w="994" w:type="pct"/>
            <w:tcBorders>
              <w:top w:val="single" w:sz="4" w:space="0" w:color="000000"/>
              <w:left w:val="nil"/>
              <w:bottom w:val="single" w:sz="4" w:space="0" w:color="auto"/>
              <w:right w:val="nil"/>
            </w:tcBorders>
            <w:shd w:val="clear" w:color="000000" w:fill="FFFFFF"/>
            <w:noWrap/>
            <w:vAlign w:val="center"/>
            <w:hideMark/>
          </w:tcPr>
          <w:p w14:paraId="6630FF74" w14:textId="77777777" w:rsidR="005868B4" w:rsidRPr="000E3C8C" w:rsidRDefault="005868B4" w:rsidP="005868B4">
            <w:pPr>
              <w:spacing w:after="0" w:line="240" w:lineRule="auto"/>
              <w:jc w:val="right"/>
              <w:rPr>
                <w:rFonts w:ascii="Arial" w:hAnsi="Arial" w:cs="Arial"/>
                <w:b/>
                <w:bCs/>
                <w:color w:val="000000"/>
                <w:sz w:val="16"/>
                <w:szCs w:val="16"/>
              </w:rPr>
            </w:pPr>
            <w:r w:rsidRPr="000E3C8C">
              <w:rPr>
                <w:rFonts w:ascii="Arial" w:hAnsi="Arial" w:cs="Arial"/>
                <w:b/>
                <w:bCs/>
                <w:color w:val="000000"/>
                <w:sz w:val="16"/>
                <w:szCs w:val="16"/>
              </w:rPr>
              <w:t>37,452</w:t>
            </w:r>
          </w:p>
        </w:tc>
        <w:tc>
          <w:tcPr>
            <w:tcW w:w="994" w:type="pct"/>
            <w:tcBorders>
              <w:top w:val="single" w:sz="4" w:space="0" w:color="000000"/>
              <w:left w:val="nil"/>
              <w:bottom w:val="single" w:sz="4" w:space="0" w:color="auto"/>
              <w:right w:val="nil"/>
            </w:tcBorders>
            <w:shd w:val="clear" w:color="000000" w:fill="E6E6E6"/>
            <w:noWrap/>
            <w:vAlign w:val="center"/>
            <w:hideMark/>
          </w:tcPr>
          <w:p w14:paraId="00C4EA86" w14:textId="77777777" w:rsidR="005868B4" w:rsidRPr="000E3C8C" w:rsidRDefault="005868B4" w:rsidP="005868B4">
            <w:pPr>
              <w:spacing w:after="0" w:line="240" w:lineRule="auto"/>
              <w:jc w:val="right"/>
              <w:rPr>
                <w:rFonts w:ascii="Arial" w:hAnsi="Arial" w:cs="Arial"/>
                <w:b/>
                <w:bCs/>
                <w:color w:val="000000"/>
                <w:sz w:val="16"/>
                <w:szCs w:val="16"/>
              </w:rPr>
            </w:pPr>
            <w:r w:rsidRPr="000E3C8C">
              <w:rPr>
                <w:rFonts w:ascii="Arial" w:hAnsi="Arial" w:cs="Arial"/>
                <w:b/>
                <w:bCs/>
                <w:color w:val="000000"/>
                <w:sz w:val="16"/>
                <w:szCs w:val="16"/>
              </w:rPr>
              <w:t>39,582</w:t>
            </w:r>
          </w:p>
        </w:tc>
      </w:tr>
      <w:tr w:rsidR="005868B4" w:rsidRPr="000E3C8C" w14:paraId="1DB40540" w14:textId="77777777" w:rsidTr="005868B4">
        <w:trPr>
          <w:divId w:val="177892677"/>
          <w:trHeight w:hRule="exact" w:val="60"/>
        </w:trPr>
        <w:tc>
          <w:tcPr>
            <w:tcW w:w="3011" w:type="pct"/>
            <w:tcBorders>
              <w:top w:val="nil"/>
              <w:left w:val="nil"/>
              <w:bottom w:val="nil"/>
              <w:right w:val="nil"/>
            </w:tcBorders>
            <w:shd w:val="clear" w:color="000000" w:fill="FFFFFF"/>
            <w:noWrap/>
            <w:vAlign w:val="center"/>
            <w:hideMark/>
          </w:tcPr>
          <w:p w14:paraId="63A7A21C" w14:textId="77777777" w:rsidR="005868B4" w:rsidRPr="000E3C8C" w:rsidRDefault="005868B4" w:rsidP="005868B4">
            <w:pPr>
              <w:spacing w:after="0" w:line="240" w:lineRule="auto"/>
              <w:jc w:val="left"/>
              <w:rPr>
                <w:rFonts w:ascii="Arial" w:hAnsi="Arial" w:cs="Arial"/>
                <w:b/>
                <w:bCs/>
                <w:color w:val="000000"/>
                <w:sz w:val="16"/>
                <w:szCs w:val="16"/>
              </w:rPr>
            </w:pPr>
            <w:r w:rsidRPr="000E3C8C">
              <w:rPr>
                <w:rFonts w:ascii="Arial" w:hAnsi="Arial" w:cs="Arial"/>
                <w:b/>
                <w:bCs/>
                <w:color w:val="000000"/>
                <w:sz w:val="16"/>
                <w:szCs w:val="16"/>
              </w:rPr>
              <w:t> </w:t>
            </w:r>
          </w:p>
        </w:tc>
        <w:tc>
          <w:tcPr>
            <w:tcW w:w="994" w:type="pct"/>
            <w:tcBorders>
              <w:top w:val="nil"/>
              <w:left w:val="nil"/>
              <w:bottom w:val="nil"/>
              <w:right w:val="nil"/>
            </w:tcBorders>
            <w:shd w:val="clear" w:color="000000" w:fill="FFFFFF"/>
            <w:noWrap/>
            <w:vAlign w:val="center"/>
            <w:hideMark/>
          </w:tcPr>
          <w:p w14:paraId="3102F93B" w14:textId="77777777"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 </w:t>
            </w:r>
          </w:p>
        </w:tc>
        <w:tc>
          <w:tcPr>
            <w:tcW w:w="994" w:type="pct"/>
            <w:tcBorders>
              <w:top w:val="nil"/>
              <w:left w:val="nil"/>
              <w:bottom w:val="nil"/>
              <w:right w:val="nil"/>
            </w:tcBorders>
            <w:shd w:val="clear" w:color="000000" w:fill="E6E6E6"/>
            <w:noWrap/>
            <w:vAlign w:val="center"/>
            <w:hideMark/>
          </w:tcPr>
          <w:p w14:paraId="5A20218D" w14:textId="77777777" w:rsidR="005868B4" w:rsidRPr="000E3C8C" w:rsidRDefault="005868B4" w:rsidP="005868B4">
            <w:pPr>
              <w:spacing w:after="0" w:line="240" w:lineRule="auto"/>
              <w:jc w:val="right"/>
              <w:rPr>
                <w:rFonts w:ascii="Arial" w:hAnsi="Arial" w:cs="Arial"/>
                <w:color w:val="000000"/>
                <w:sz w:val="16"/>
                <w:szCs w:val="16"/>
              </w:rPr>
            </w:pPr>
            <w:r w:rsidRPr="000E3C8C">
              <w:rPr>
                <w:rFonts w:ascii="Arial" w:hAnsi="Arial" w:cs="Arial"/>
                <w:color w:val="000000"/>
                <w:sz w:val="16"/>
                <w:szCs w:val="16"/>
              </w:rPr>
              <w:t> </w:t>
            </w:r>
          </w:p>
        </w:tc>
      </w:tr>
      <w:tr w:rsidR="005868B4" w:rsidRPr="000E3C8C" w14:paraId="61A454B4" w14:textId="77777777" w:rsidTr="005868B4">
        <w:trPr>
          <w:divId w:val="177892677"/>
          <w:trHeight w:hRule="exact" w:val="225"/>
        </w:trPr>
        <w:tc>
          <w:tcPr>
            <w:tcW w:w="3011" w:type="pct"/>
            <w:tcBorders>
              <w:top w:val="nil"/>
              <w:left w:val="nil"/>
              <w:bottom w:val="single" w:sz="4" w:space="0" w:color="auto"/>
              <w:right w:val="nil"/>
            </w:tcBorders>
            <w:shd w:val="clear" w:color="000000" w:fill="FFFFFF"/>
            <w:noWrap/>
            <w:vAlign w:val="center"/>
            <w:hideMark/>
          </w:tcPr>
          <w:p w14:paraId="1E3A38BA" w14:textId="77777777" w:rsidR="005868B4" w:rsidRPr="000E3C8C" w:rsidRDefault="005868B4" w:rsidP="005868B4">
            <w:pPr>
              <w:spacing w:after="0" w:line="240" w:lineRule="auto"/>
              <w:jc w:val="left"/>
              <w:rPr>
                <w:rFonts w:ascii="Arial" w:hAnsi="Arial" w:cs="Arial"/>
                <w:b/>
                <w:bCs/>
                <w:color w:val="000000"/>
                <w:sz w:val="16"/>
                <w:szCs w:val="16"/>
              </w:rPr>
            </w:pPr>
            <w:r w:rsidRPr="000E3C8C">
              <w:rPr>
                <w:rFonts w:ascii="Arial" w:hAnsi="Arial" w:cs="Arial"/>
                <w:b/>
                <w:bCs/>
                <w:color w:val="000000"/>
                <w:sz w:val="16"/>
                <w:szCs w:val="16"/>
              </w:rPr>
              <w:t>Total receipts</w:t>
            </w:r>
          </w:p>
        </w:tc>
        <w:tc>
          <w:tcPr>
            <w:tcW w:w="994" w:type="pct"/>
            <w:tcBorders>
              <w:top w:val="nil"/>
              <w:left w:val="nil"/>
              <w:bottom w:val="single" w:sz="4" w:space="0" w:color="000000"/>
              <w:right w:val="nil"/>
            </w:tcBorders>
            <w:shd w:val="clear" w:color="000000" w:fill="FFFFFF"/>
            <w:noWrap/>
            <w:vAlign w:val="center"/>
            <w:hideMark/>
          </w:tcPr>
          <w:p w14:paraId="3A9EEE32" w14:textId="77777777" w:rsidR="005868B4" w:rsidRPr="000E3C8C" w:rsidRDefault="005868B4" w:rsidP="005868B4">
            <w:pPr>
              <w:spacing w:after="0" w:line="240" w:lineRule="auto"/>
              <w:jc w:val="right"/>
              <w:rPr>
                <w:rFonts w:ascii="Arial" w:hAnsi="Arial" w:cs="Arial"/>
                <w:b/>
                <w:bCs/>
                <w:color w:val="000000"/>
                <w:sz w:val="16"/>
                <w:szCs w:val="16"/>
              </w:rPr>
            </w:pPr>
            <w:r w:rsidRPr="000E3C8C">
              <w:rPr>
                <w:rFonts w:ascii="Arial" w:hAnsi="Arial" w:cs="Arial"/>
                <w:b/>
                <w:bCs/>
                <w:color w:val="000000"/>
                <w:sz w:val="16"/>
                <w:szCs w:val="16"/>
              </w:rPr>
              <w:t>469,497</w:t>
            </w:r>
          </w:p>
        </w:tc>
        <w:tc>
          <w:tcPr>
            <w:tcW w:w="994" w:type="pct"/>
            <w:tcBorders>
              <w:top w:val="nil"/>
              <w:left w:val="nil"/>
              <w:bottom w:val="single" w:sz="4" w:space="0" w:color="000000"/>
              <w:right w:val="nil"/>
            </w:tcBorders>
            <w:shd w:val="clear" w:color="000000" w:fill="E6E6E6"/>
            <w:noWrap/>
            <w:vAlign w:val="center"/>
            <w:hideMark/>
          </w:tcPr>
          <w:p w14:paraId="7E24B799" w14:textId="77777777" w:rsidR="005868B4" w:rsidRPr="000E3C8C" w:rsidRDefault="005868B4" w:rsidP="005868B4">
            <w:pPr>
              <w:spacing w:after="0" w:line="240" w:lineRule="auto"/>
              <w:jc w:val="right"/>
              <w:rPr>
                <w:rFonts w:ascii="Arial" w:hAnsi="Arial" w:cs="Arial"/>
                <w:b/>
                <w:bCs/>
                <w:color w:val="000000"/>
                <w:sz w:val="16"/>
                <w:szCs w:val="16"/>
              </w:rPr>
            </w:pPr>
            <w:r w:rsidRPr="000E3C8C">
              <w:rPr>
                <w:rFonts w:ascii="Arial" w:hAnsi="Arial" w:cs="Arial"/>
                <w:b/>
                <w:bCs/>
                <w:color w:val="000000"/>
                <w:sz w:val="16"/>
                <w:szCs w:val="16"/>
              </w:rPr>
              <w:t>455,511</w:t>
            </w:r>
          </w:p>
        </w:tc>
      </w:tr>
    </w:tbl>
    <w:p w14:paraId="5DE4246D" w14:textId="556967C0" w:rsidR="0030426D" w:rsidRPr="000E3C8C" w:rsidRDefault="00F35684" w:rsidP="005868B4">
      <w:pPr>
        <w:pStyle w:val="ChartandTableFootnoteAlpha"/>
        <w:rPr>
          <w:vertAlign w:val="superscript"/>
        </w:rPr>
      </w:pPr>
      <w:r w:rsidRPr="000E3C8C">
        <w:rPr>
          <w:vertAlign w:val="superscript"/>
        </w:rPr>
        <w:fldChar w:fldCharType="begin"/>
      </w:r>
      <w:r w:rsidRPr="000E3C8C">
        <w:rPr>
          <w:vertAlign w:val="superscript"/>
        </w:rPr>
        <w:instrText xml:space="preserve"> :End:BPCD_ER1 </w:instrText>
      </w:r>
      <w:r w:rsidRPr="000E3C8C">
        <w:rPr>
          <w:vertAlign w:val="superscript"/>
        </w:rPr>
        <w:fldChar w:fldCharType="end"/>
      </w:r>
      <w:r w:rsidRPr="000E3C8C">
        <w:rPr>
          <w:vertAlign w:val="superscript"/>
        </w:rPr>
        <w:fldChar w:fldCharType="begin"/>
      </w:r>
      <w:r w:rsidRPr="000E3C8C">
        <w:rPr>
          <w:vertAlign w:val="superscript"/>
        </w:rPr>
        <w:instrText xml:space="preserve"> :Start:TAD_KDM2 </w:instrText>
      </w:r>
      <w:r w:rsidRPr="000E3C8C">
        <w:rPr>
          <w:vertAlign w:val="superscript"/>
        </w:rPr>
        <w:fldChar w:fldCharType="end"/>
      </w:r>
      <w:r w:rsidR="0030426D" w:rsidRPr="000E3C8C">
        <w:rPr>
          <w:vertAlign w:val="superscript"/>
        </w:rPr>
        <w:fldChar w:fldCharType="begin" w:fldLock="1"/>
      </w:r>
      <w:r w:rsidR="0030426D" w:rsidRPr="000E3C8C">
        <w:rPr>
          <w:vertAlign w:val="superscript"/>
        </w:rPr>
        <w:fldChar w:fldCharType="separate"/>
      </w:r>
    </w:p>
    <w:p w14:paraId="40A3D0FF" w14:textId="4B6E2D1B" w:rsidR="00D76739" w:rsidRPr="000E3C8C" w:rsidRDefault="00D76739" w:rsidP="00D76739">
      <w:pPr>
        <w:pStyle w:val="ChartandTableFootnoteAlpha"/>
        <w:numPr>
          <w:ilvl w:val="0"/>
          <w:numId w:val="0"/>
        </w:numPr>
        <w:ind w:left="284" w:hanging="284"/>
        <w:rPr>
          <w:b/>
        </w:rPr>
      </w:pPr>
    </w:p>
    <w:p w14:paraId="14753DF8" w14:textId="4E8B69DF" w:rsidR="00D76739" w:rsidRPr="000E3C8C" w:rsidRDefault="00D76739" w:rsidP="00D76739">
      <w:pPr>
        <w:rPr>
          <w:rFonts w:asciiTheme="minorHAnsi" w:eastAsiaTheme="minorHAnsi" w:hAnsiTheme="minorHAnsi" w:cstheme="minorBidi"/>
          <w:sz w:val="22"/>
          <w:szCs w:val="22"/>
          <w:lang w:eastAsia="en-US"/>
        </w:rPr>
      </w:pPr>
    </w:p>
    <w:p w14:paraId="5CC53701" w14:textId="59C3FB45" w:rsidR="00D76739" w:rsidRPr="000E3C8C" w:rsidRDefault="00D76739" w:rsidP="00D76739"/>
    <w:p w14:paraId="13236D3A" w14:textId="662C6FA4" w:rsidR="00A15FB5" w:rsidRPr="000E3C8C" w:rsidRDefault="0030426D" w:rsidP="00266390">
      <w:pPr>
        <w:pStyle w:val="ChartandTableFootnoteAlpha"/>
        <w:numPr>
          <w:ilvl w:val="0"/>
          <w:numId w:val="8"/>
        </w:numPr>
        <w:rPr>
          <w:b/>
        </w:rPr>
      </w:pPr>
      <w:r w:rsidRPr="000E3C8C">
        <w:rPr>
          <w:szCs w:val="24"/>
          <w:vertAlign w:val="superscript"/>
        </w:rPr>
        <w:fldChar w:fldCharType="end"/>
      </w:r>
      <w:r w:rsidR="00A15FB5" w:rsidRPr="000E3C8C">
        <w:t>2019</w:t>
      </w:r>
      <w:r w:rsidR="00E834B1">
        <w:noBreakHyphen/>
      </w:r>
      <w:r w:rsidR="00A15FB5" w:rsidRPr="000E3C8C">
        <w:t xml:space="preserve">20 figures are unrounded estimates, based on administrative data, which are subject to change prior to the release of the </w:t>
      </w:r>
      <w:r w:rsidR="003614BA" w:rsidRPr="000E3C8C">
        <w:t>2019</w:t>
      </w:r>
      <w:r w:rsidR="00E834B1">
        <w:noBreakHyphen/>
      </w:r>
      <w:r w:rsidR="003614BA" w:rsidRPr="000E3C8C">
        <w:t xml:space="preserve">20 </w:t>
      </w:r>
      <w:r w:rsidR="00A15FB5" w:rsidRPr="000E3C8C">
        <w:t>Final Budget Outcome</w:t>
      </w:r>
      <w:r w:rsidR="00CC1382" w:rsidRPr="000E3C8C">
        <w:t>.</w:t>
      </w:r>
    </w:p>
    <w:p w14:paraId="51221632" w14:textId="1026B527" w:rsidR="00A15FB5" w:rsidRPr="000E3C8C" w:rsidRDefault="00A15FB5" w:rsidP="00A15FB5">
      <w:pPr>
        <w:pStyle w:val="ChartandTableFootnoteAlpha"/>
      </w:pPr>
      <w:r w:rsidRPr="000E3C8C">
        <w:t>This item includes fringe benefits tax and resource rent taxes</w:t>
      </w:r>
      <w:r w:rsidR="00CC1382" w:rsidRPr="000E3C8C">
        <w:t>.</w:t>
      </w:r>
    </w:p>
    <w:p w14:paraId="509A08A7" w14:textId="70A51AAA" w:rsidR="002A115E" w:rsidRPr="000E3C8C" w:rsidRDefault="00A15FB5" w:rsidP="00A15FB5">
      <w:pPr>
        <w:pStyle w:val="ChartandTableFootnoteAlpha"/>
      </w:pPr>
      <w:r w:rsidRPr="000E3C8C">
        <w:t xml:space="preserve">This item includes wine equalisation tax, luxury car tax, major bank levy, agricultural levies and </w:t>
      </w:r>
      <w:proofErr w:type="gramStart"/>
      <w:r w:rsidRPr="000E3C8C">
        <w:t>all other indirect taxes not</w:t>
      </w:r>
      <w:proofErr w:type="gramEnd"/>
      <w:r w:rsidRPr="000E3C8C">
        <w:t xml:space="preserve"> listed above.</w:t>
      </w:r>
    </w:p>
    <w:p w14:paraId="08FCCCCB" w14:textId="77777777" w:rsidR="00C46DAC" w:rsidRPr="000E3C8C" w:rsidRDefault="00C46DAC" w:rsidP="00C46DAC">
      <w:pPr>
        <w:pStyle w:val="SingleParagraph"/>
      </w:pPr>
    </w:p>
    <w:p w14:paraId="107A669A" w14:textId="182828DE" w:rsidR="00781958" w:rsidRPr="000E3C8C" w:rsidRDefault="00F35684" w:rsidP="00736D12">
      <w:r w:rsidRPr="000E3C8C">
        <w:fldChar w:fldCharType="begin"/>
      </w:r>
      <w:r w:rsidRPr="000E3C8C">
        <w:instrText xml:space="preserve"> :End:TAD_KDM2 </w:instrText>
      </w:r>
      <w:r w:rsidRPr="000E3C8C">
        <w:fldChar w:fldCharType="end"/>
      </w:r>
      <w:r w:rsidR="00852A2A" w:rsidRPr="000E3C8C">
        <w:fldChar w:fldCharType="begin"/>
      </w:r>
      <w:r w:rsidR="00852A2A" w:rsidRPr="000E3C8C">
        <w:instrText xml:space="preserve"> :Start:BPD_JR1 </w:instrText>
      </w:r>
      <w:r w:rsidR="00852A2A" w:rsidRPr="000E3C8C">
        <w:fldChar w:fldCharType="end"/>
      </w:r>
      <w:r w:rsidR="00781958" w:rsidRPr="000E3C8C">
        <w:t>Total receipts (including Future Fund earnings) have decreased by $</w:t>
      </w:r>
      <w:r w:rsidR="00746D0D" w:rsidRPr="000E3C8C">
        <w:t>33.0</w:t>
      </w:r>
      <w:r w:rsidR="00781958" w:rsidRPr="000E3C8C">
        <w:t xml:space="preserve"> billio</w:t>
      </w:r>
      <w:r w:rsidR="00A20686" w:rsidRPr="000E3C8C">
        <w:t>n in 2019</w:t>
      </w:r>
      <w:r w:rsidR="00E834B1">
        <w:noBreakHyphen/>
      </w:r>
      <w:r w:rsidR="00430981" w:rsidRPr="000E3C8C">
        <w:t>20 and $61.1</w:t>
      </w:r>
      <w:r w:rsidR="00781958" w:rsidRPr="000E3C8C">
        <w:t xml:space="preserve"> billion in 2020</w:t>
      </w:r>
      <w:r w:rsidR="00E834B1">
        <w:noBreakHyphen/>
      </w:r>
      <w:r w:rsidR="00781958" w:rsidRPr="000E3C8C">
        <w:t>21 since the 2019</w:t>
      </w:r>
      <w:r w:rsidR="00E834B1">
        <w:noBreakHyphen/>
      </w:r>
      <w:r w:rsidR="00781958" w:rsidRPr="000E3C8C">
        <w:t xml:space="preserve">20 MYEFO. </w:t>
      </w:r>
    </w:p>
    <w:p w14:paraId="335F491B" w14:textId="2AB7362B" w:rsidR="001A6F57" w:rsidRPr="000E3C8C" w:rsidRDefault="00C501C0" w:rsidP="001A6F57">
      <w:r w:rsidRPr="000E3C8C">
        <w:fldChar w:fldCharType="begin"/>
      </w:r>
      <w:r w:rsidRPr="000E3C8C">
        <w:instrText xml:space="preserve"> :End:BPD_JR1 </w:instrText>
      </w:r>
      <w:r w:rsidRPr="000E3C8C">
        <w:fldChar w:fldCharType="end"/>
      </w:r>
      <w:r w:rsidRPr="000E3C8C">
        <w:fldChar w:fldCharType="begin"/>
      </w:r>
      <w:r w:rsidRPr="000E3C8C">
        <w:instrText xml:space="preserve"> :Start:TAD_KDM2 </w:instrText>
      </w:r>
      <w:r w:rsidRPr="000E3C8C">
        <w:fldChar w:fldCharType="end"/>
      </w:r>
      <w:r w:rsidR="001A6F57" w:rsidRPr="000E3C8C">
        <w:t>Since the 2019</w:t>
      </w:r>
      <w:r w:rsidR="00E834B1">
        <w:noBreakHyphen/>
      </w:r>
      <w:r w:rsidR="001A6F57" w:rsidRPr="000E3C8C">
        <w:t xml:space="preserve">20 MYEFO, tax receipts </w:t>
      </w:r>
      <w:proofErr w:type="gramStart"/>
      <w:r w:rsidR="001A6F57" w:rsidRPr="000E3C8C">
        <w:t>have been revised</w:t>
      </w:r>
      <w:proofErr w:type="gramEnd"/>
      <w:r w:rsidR="001A6F57" w:rsidRPr="000E3C8C">
        <w:t xml:space="preserve"> down by $31.7 billion in 2019</w:t>
      </w:r>
      <w:r w:rsidR="00E834B1">
        <w:noBreakHyphen/>
      </w:r>
      <w:r w:rsidR="001A6F57" w:rsidRPr="000E3C8C">
        <w:t>20 and $63.9 billion in 2020</w:t>
      </w:r>
      <w:r w:rsidR="00E834B1">
        <w:noBreakHyphen/>
      </w:r>
      <w:r w:rsidR="001A6F57" w:rsidRPr="000E3C8C">
        <w:t>21. The downgrades in 2019</w:t>
      </w:r>
      <w:r w:rsidR="00E834B1">
        <w:noBreakHyphen/>
      </w:r>
      <w:r w:rsidR="001A6F57" w:rsidRPr="000E3C8C">
        <w:t>20 and 2020</w:t>
      </w:r>
      <w:r w:rsidR="00E834B1">
        <w:noBreakHyphen/>
      </w:r>
      <w:r w:rsidR="001A6F57" w:rsidRPr="000E3C8C">
        <w:t xml:space="preserve">21 </w:t>
      </w:r>
      <w:proofErr w:type="gramStart"/>
      <w:r w:rsidR="001A6F57" w:rsidRPr="000E3C8C">
        <w:t>are driven</w:t>
      </w:r>
      <w:proofErr w:type="gramEnd"/>
      <w:r w:rsidR="001A6F57" w:rsidRPr="000E3C8C">
        <w:t xml:space="preserve"> </w:t>
      </w:r>
      <w:r w:rsidR="001A6F57" w:rsidRPr="000E3C8C">
        <w:lastRenderedPageBreak/>
        <w:t>by significant reductions in all major heads of revenue, largely reflecting the impacts of the COVID</w:t>
      </w:r>
      <w:r w:rsidR="00E834B1">
        <w:noBreakHyphen/>
      </w:r>
      <w:r w:rsidR="001A6F57" w:rsidRPr="000E3C8C">
        <w:t xml:space="preserve">19 pandemic, related </w:t>
      </w:r>
      <w:r w:rsidR="001A49CE" w:rsidRPr="000E3C8C">
        <w:t>health</w:t>
      </w:r>
      <w:r w:rsidR="001A6F57" w:rsidRPr="000E3C8C">
        <w:t xml:space="preserve"> restrictions and the Government</w:t>
      </w:r>
      <w:r w:rsidR="00E834B1">
        <w:t>’</w:t>
      </w:r>
      <w:r w:rsidR="001A6F57" w:rsidRPr="000E3C8C">
        <w:t xml:space="preserve">s policy response. Tax policy measures to support businesses such as </w:t>
      </w:r>
      <w:r w:rsidR="00ED702E" w:rsidRPr="00FC1BA5">
        <w:rPr>
          <w:i/>
        </w:rPr>
        <w:t>i</w:t>
      </w:r>
      <w:r w:rsidR="001A6F57" w:rsidRPr="00FC1BA5">
        <w:rPr>
          <w:i/>
        </w:rPr>
        <w:t>ncreasing</w:t>
      </w:r>
      <w:r w:rsidR="001A6F57" w:rsidRPr="000E3C8C">
        <w:rPr>
          <w:i/>
        </w:rPr>
        <w:t xml:space="preserve"> and extending access to the instant asset write</w:t>
      </w:r>
      <w:r w:rsidR="00E834B1">
        <w:rPr>
          <w:i/>
        </w:rPr>
        <w:noBreakHyphen/>
      </w:r>
      <w:r w:rsidR="001A6F57" w:rsidRPr="000E3C8C">
        <w:rPr>
          <w:i/>
        </w:rPr>
        <w:t>off</w:t>
      </w:r>
      <w:r w:rsidR="001A6F57" w:rsidRPr="000E3C8C">
        <w:t xml:space="preserve">, </w:t>
      </w:r>
      <w:r w:rsidR="00ED702E" w:rsidRPr="00ED702E">
        <w:rPr>
          <w:i/>
        </w:rPr>
        <w:t>b</w:t>
      </w:r>
      <w:r w:rsidR="001A6F57" w:rsidRPr="00ED702E">
        <w:rPr>
          <w:i/>
        </w:rPr>
        <w:t>acking</w:t>
      </w:r>
      <w:r w:rsidR="001A6F57" w:rsidRPr="000E3C8C">
        <w:rPr>
          <w:i/>
        </w:rPr>
        <w:t xml:space="preserve"> business investment</w:t>
      </w:r>
      <w:r w:rsidR="001A6F57" w:rsidRPr="000E3C8C">
        <w:t xml:space="preserve">, and </w:t>
      </w:r>
      <w:r w:rsidR="00ED702E" w:rsidRPr="00ED702E">
        <w:rPr>
          <w:i/>
        </w:rPr>
        <w:t>t</w:t>
      </w:r>
      <w:r w:rsidR="001A6F57" w:rsidRPr="000E3C8C">
        <w:rPr>
          <w:i/>
        </w:rPr>
        <w:t>ax instalment GDP adjustment factor</w:t>
      </w:r>
      <w:r w:rsidR="001A6F57" w:rsidRPr="000E3C8C">
        <w:t xml:space="preserve"> </w:t>
      </w:r>
      <w:proofErr w:type="gramStart"/>
      <w:r w:rsidR="001A6F57" w:rsidRPr="000E3C8C">
        <w:t>are expected</w:t>
      </w:r>
      <w:proofErr w:type="gramEnd"/>
      <w:r w:rsidR="001A6F57" w:rsidRPr="000E3C8C">
        <w:t xml:space="preserve"> to reduce tax receipts in 2020</w:t>
      </w:r>
      <w:r w:rsidR="00E834B1">
        <w:noBreakHyphen/>
      </w:r>
      <w:r w:rsidR="001A6F57" w:rsidRPr="000E3C8C">
        <w:t xml:space="preserve">21. </w:t>
      </w:r>
      <w:r w:rsidR="004F5F1D" w:rsidRPr="000E3C8C">
        <w:fldChar w:fldCharType="begin"/>
      </w:r>
      <w:r w:rsidR="004F5F1D" w:rsidRPr="000E3C8C">
        <w:instrText xml:space="preserve"> :End:TAD_KDM2 </w:instrText>
      </w:r>
      <w:r w:rsidR="004F5F1D" w:rsidRPr="000E3C8C">
        <w:fldChar w:fldCharType="end"/>
      </w:r>
    </w:p>
    <w:p w14:paraId="62C3A08F" w14:textId="75CDE0D7" w:rsidR="007838F5" w:rsidRPr="000E3C8C" w:rsidRDefault="00AA419E" w:rsidP="007838F5">
      <w:pPr>
        <w:pStyle w:val="Heading3"/>
      </w:pPr>
      <w:r w:rsidRPr="000E3C8C">
        <w:fldChar w:fldCharType="begin"/>
      </w:r>
      <w:r w:rsidRPr="000E3C8C">
        <w:instrText xml:space="preserve"> :Start:BPD_JR1 </w:instrText>
      </w:r>
      <w:r w:rsidRPr="000E3C8C">
        <w:fldChar w:fldCharType="end"/>
      </w:r>
      <w:r w:rsidR="007838F5" w:rsidRPr="000E3C8C">
        <w:t>Policy decisions</w:t>
      </w:r>
    </w:p>
    <w:p w14:paraId="05F3858A" w14:textId="337CC7E7" w:rsidR="007838F5" w:rsidRPr="000E3C8C" w:rsidRDefault="007F7B74" w:rsidP="007838F5">
      <w:pPr>
        <w:rPr>
          <w:lang w:eastAsia="en-US"/>
        </w:rPr>
      </w:pPr>
      <w:r w:rsidRPr="000E3C8C">
        <w:t>The net impact of policy decisions since the 2019</w:t>
      </w:r>
      <w:r w:rsidR="00E834B1">
        <w:noBreakHyphen/>
      </w:r>
      <w:r w:rsidRPr="000E3C8C">
        <w:t>20 MYEFO has decreased total receipts by $</w:t>
      </w:r>
      <w:r w:rsidR="00C6134E" w:rsidRPr="000E3C8C">
        <w:t>0.4</w:t>
      </w:r>
      <w:r w:rsidRPr="000E3C8C">
        <w:t xml:space="preserve"> </w:t>
      </w:r>
      <w:r w:rsidR="00C6134E" w:rsidRPr="000E3C8C">
        <w:t>b</w:t>
      </w:r>
      <w:r w:rsidRPr="000E3C8C">
        <w:t>illion in 2019</w:t>
      </w:r>
      <w:r w:rsidR="00E834B1">
        <w:noBreakHyphen/>
      </w:r>
      <w:r w:rsidRPr="000E3C8C">
        <w:t>20 and $4</w:t>
      </w:r>
      <w:r w:rsidR="00C6134E" w:rsidRPr="000E3C8C">
        <w:t>.7</w:t>
      </w:r>
      <w:r w:rsidRPr="000E3C8C">
        <w:t xml:space="preserve"> </w:t>
      </w:r>
      <w:r w:rsidR="00C6134E" w:rsidRPr="000E3C8C">
        <w:t>b</w:t>
      </w:r>
      <w:r w:rsidRPr="000E3C8C">
        <w:t>illion in 2020</w:t>
      </w:r>
      <w:r w:rsidR="00E834B1">
        <w:noBreakHyphen/>
      </w:r>
      <w:r w:rsidRPr="000E3C8C">
        <w:t xml:space="preserve">21. </w:t>
      </w:r>
      <w:r w:rsidR="00AA419E" w:rsidRPr="000E3C8C">
        <w:fldChar w:fldCharType="begin"/>
      </w:r>
      <w:r w:rsidR="00AA419E" w:rsidRPr="000E3C8C">
        <w:instrText xml:space="preserve"> :End:BPD_JR1 </w:instrText>
      </w:r>
      <w:r w:rsidR="00AA419E" w:rsidRPr="000E3C8C">
        <w:fldChar w:fldCharType="end"/>
      </w:r>
      <w:r w:rsidR="00852A2A" w:rsidRPr="000E3C8C">
        <w:fldChar w:fldCharType="begin"/>
      </w:r>
      <w:r w:rsidR="00852A2A" w:rsidRPr="000E3C8C">
        <w:instrText xml:space="preserve"> :Start:TAD_KDM3 </w:instrText>
      </w:r>
      <w:r w:rsidR="00852A2A" w:rsidRPr="000E3C8C">
        <w:fldChar w:fldCharType="end"/>
      </w:r>
      <w:r w:rsidR="007838F5" w:rsidRPr="000E3C8C">
        <w:t xml:space="preserve">Key measures include: </w:t>
      </w:r>
    </w:p>
    <w:p w14:paraId="6A56AEB6" w14:textId="0A9C6DAC" w:rsidR="007838F5" w:rsidRPr="000E3C8C" w:rsidRDefault="002E3C0C" w:rsidP="007838F5">
      <w:pPr>
        <w:pStyle w:val="Bullet"/>
      </w:pPr>
      <w:r w:rsidRPr="000E3C8C">
        <w:t>ba</w:t>
      </w:r>
      <w:r w:rsidR="007838F5" w:rsidRPr="000E3C8C">
        <w:t xml:space="preserve">cking business investment by temporarily allowing businesses with aggregated turnover of less than $500 million to deduct capital allowances for eligible depreciating assets at an accelerated rate, which is estimated to decrease receipts by $3.2 billion over the </w:t>
      </w:r>
      <w:r w:rsidR="00A10542" w:rsidRPr="000E3C8C">
        <w:t>five years from 2019</w:t>
      </w:r>
      <w:r w:rsidR="00E834B1">
        <w:noBreakHyphen/>
      </w:r>
      <w:r w:rsidR="00A10542" w:rsidRPr="000E3C8C">
        <w:t>20</w:t>
      </w:r>
    </w:p>
    <w:p w14:paraId="1A796312" w14:textId="22C82152" w:rsidR="007838F5" w:rsidRPr="000E3C8C" w:rsidRDefault="002E3C0C" w:rsidP="007838F5">
      <w:pPr>
        <w:pStyle w:val="Bullet"/>
      </w:pPr>
      <w:r w:rsidRPr="000E3C8C">
        <w:t>t</w:t>
      </w:r>
      <w:r w:rsidR="007838F5" w:rsidRPr="000E3C8C">
        <w:t>emporary early access to superannuation by allowing individuals affected by the financial impacts of the COVID</w:t>
      </w:r>
      <w:r w:rsidR="00E834B1">
        <w:noBreakHyphen/>
      </w:r>
      <w:r w:rsidR="007838F5" w:rsidRPr="000E3C8C">
        <w:t>19 pandemic to access up to $10,000 of their superannuation in 2019</w:t>
      </w:r>
      <w:r w:rsidR="00E834B1">
        <w:noBreakHyphen/>
      </w:r>
      <w:r w:rsidR="007838F5" w:rsidRPr="000E3C8C">
        <w:t>20 and a further $10,000 in 2020</w:t>
      </w:r>
      <w:r w:rsidR="00E834B1">
        <w:noBreakHyphen/>
      </w:r>
      <w:r w:rsidR="007838F5" w:rsidRPr="000E3C8C">
        <w:t>21 to help support them during the COVID</w:t>
      </w:r>
      <w:r w:rsidR="00E834B1">
        <w:noBreakHyphen/>
      </w:r>
      <w:r w:rsidR="007838F5" w:rsidRPr="000E3C8C">
        <w:t xml:space="preserve">19 pandemic. This measure is estimated to decrease receipts by $2.2 billion </w:t>
      </w:r>
      <w:r w:rsidR="00A10542" w:rsidRPr="000E3C8C">
        <w:t>over the five years from 2019</w:t>
      </w:r>
      <w:r w:rsidR="00E834B1">
        <w:noBreakHyphen/>
      </w:r>
      <w:r w:rsidR="00A10542" w:rsidRPr="000E3C8C">
        <w:t>20</w:t>
      </w:r>
    </w:p>
    <w:p w14:paraId="3DDA730B" w14:textId="45615CAE" w:rsidR="007838F5" w:rsidRPr="000E3C8C" w:rsidRDefault="002E3C0C" w:rsidP="007838F5">
      <w:pPr>
        <w:pStyle w:val="Bullet"/>
      </w:pPr>
      <w:proofErr w:type="gramStart"/>
      <w:r w:rsidRPr="000E3C8C">
        <w:t>i</w:t>
      </w:r>
      <w:r w:rsidR="007838F5" w:rsidRPr="000E3C8C">
        <w:t>ncreasing</w:t>
      </w:r>
      <w:proofErr w:type="gramEnd"/>
      <w:r w:rsidR="007838F5" w:rsidRPr="000E3C8C">
        <w:t xml:space="preserve"> and </w:t>
      </w:r>
      <w:r w:rsidR="00426E23" w:rsidRPr="000E3C8C">
        <w:t>extending access</w:t>
      </w:r>
      <w:r w:rsidR="007838F5" w:rsidRPr="000E3C8C">
        <w:t xml:space="preserve"> to the instant asset write</w:t>
      </w:r>
      <w:r w:rsidR="00E834B1">
        <w:noBreakHyphen/>
      </w:r>
      <w:r w:rsidR="007838F5" w:rsidRPr="000E3C8C">
        <w:t xml:space="preserve">off from 12 March 2020 until 31 December 2020 to give eligible businesses additional time to invest, which is estimated to decrease receipts by $1.0 billion </w:t>
      </w:r>
      <w:r w:rsidR="00A10542" w:rsidRPr="000E3C8C">
        <w:t>over the five years from 2019</w:t>
      </w:r>
      <w:r w:rsidR="00E834B1">
        <w:noBreakHyphen/>
      </w:r>
      <w:r w:rsidR="00A10542" w:rsidRPr="000E3C8C">
        <w:t>20.</w:t>
      </w:r>
    </w:p>
    <w:p w14:paraId="007C4E1B" w14:textId="55C71B64" w:rsidR="007838F5" w:rsidRPr="000E3C8C" w:rsidRDefault="007838F5" w:rsidP="007838F5">
      <w:r w:rsidRPr="000E3C8C">
        <w:t xml:space="preserve">Further details of Government policy decisions </w:t>
      </w:r>
      <w:proofErr w:type="gramStart"/>
      <w:r w:rsidRPr="000E3C8C">
        <w:t>are provided</w:t>
      </w:r>
      <w:proofErr w:type="gramEnd"/>
      <w:r w:rsidRPr="000E3C8C">
        <w:t xml:space="preserve"> at </w:t>
      </w:r>
      <w:r w:rsidRPr="000E3C8C">
        <w:rPr>
          <w:i/>
          <w:iCs/>
        </w:rPr>
        <w:t>Appendix A</w:t>
      </w:r>
      <w:r w:rsidRPr="000E3C8C">
        <w:t>.</w:t>
      </w:r>
      <w:r w:rsidR="00852A2A" w:rsidRPr="000E3C8C">
        <w:fldChar w:fldCharType="begin"/>
      </w:r>
      <w:r w:rsidR="00852A2A" w:rsidRPr="000E3C8C">
        <w:instrText xml:space="preserve"> :End:TAD_KDM3 </w:instrText>
      </w:r>
      <w:r w:rsidR="00852A2A" w:rsidRPr="000E3C8C">
        <w:fldChar w:fldCharType="end"/>
      </w:r>
    </w:p>
    <w:p w14:paraId="4FD1B52C" w14:textId="3B85BC4A" w:rsidR="00E11046" w:rsidRPr="000E3C8C" w:rsidRDefault="00AA419E" w:rsidP="00E11046">
      <w:pPr>
        <w:pStyle w:val="Heading3"/>
      </w:pPr>
      <w:r w:rsidRPr="000E3C8C">
        <w:fldChar w:fldCharType="begin"/>
      </w:r>
      <w:r w:rsidRPr="000E3C8C">
        <w:instrText xml:space="preserve"> :Start:BPD_JR1 </w:instrText>
      </w:r>
      <w:r w:rsidRPr="000E3C8C">
        <w:fldChar w:fldCharType="end"/>
      </w:r>
      <w:r w:rsidR="00E11046" w:rsidRPr="000E3C8C">
        <w:t>Parameter and other variations</w:t>
      </w:r>
    </w:p>
    <w:p w14:paraId="1E23A072" w14:textId="5D387829" w:rsidR="00781958" w:rsidRPr="000E3C8C" w:rsidRDefault="00781958" w:rsidP="00781958">
      <w:r w:rsidRPr="000E3C8C">
        <w:t>Parameter and other variations have decreased total receipts (including Future Fund earnings) since the 2019</w:t>
      </w:r>
      <w:r w:rsidR="00E834B1">
        <w:noBreakHyphen/>
      </w:r>
      <w:r w:rsidRPr="000E3C8C">
        <w:t>20 MYEFO by $32.6 billion in 2019</w:t>
      </w:r>
      <w:r w:rsidR="00E834B1">
        <w:noBreakHyphen/>
      </w:r>
      <w:r w:rsidRPr="000E3C8C">
        <w:t>20 and $56.4 billion in</w:t>
      </w:r>
      <w:r w:rsidR="00AC67B3" w:rsidRPr="000E3C8C">
        <w:t> </w:t>
      </w:r>
      <w:r w:rsidRPr="000E3C8C">
        <w:t>2020</w:t>
      </w:r>
      <w:r w:rsidR="00E834B1">
        <w:noBreakHyphen/>
      </w:r>
      <w:r w:rsidRPr="000E3C8C">
        <w:t xml:space="preserve">21. </w:t>
      </w:r>
      <w:r w:rsidRPr="000E3C8C">
        <w:fldChar w:fldCharType="begin"/>
      </w:r>
      <w:r w:rsidRPr="000E3C8C">
        <w:instrText xml:space="preserve"> :End:BPD_JR1 </w:instrText>
      </w:r>
      <w:r w:rsidRPr="000E3C8C">
        <w:fldChar w:fldCharType="end"/>
      </w:r>
    </w:p>
    <w:p w14:paraId="650C3E07" w14:textId="1EC3C81A" w:rsidR="002A6779" w:rsidRPr="000E3C8C" w:rsidRDefault="00852A2A" w:rsidP="002A6779">
      <w:r w:rsidRPr="000E3C8C">
        <w:fldChar w:fldCharType="begin"/>
      </w:r>
      <w:r w:rsidRPr="000E3C8C">
        <w:instrText xml:space="preserve"> :Start:TAD_KDM</w:instrText>
      </w:r>
      <w:r w:rsidR="00AA419E" w:rsidRPr="000E3C8C">
        <w:instrText>2</w:instrText>
      </w:r>
      <w:r w:rsidRPr="000E3C8C">
        <w:instrText xml:space="preserve"> </w:instrText>
      </w:r>
      <w:r w:rsidRPr="000E3C8C">
        <w:fldChar w:fldCharType="end"/>
      </w:r>
      <w:r w:rsidR="002A6779" w:rsidRPr="000E3C8C">
        <w:t>Since the 2019</w:t>
      </w:r>
      <w:r w:rsidR="00E834B1">
        <w:noBreakHyphen/>
      </w:r>
      <w:r w:rsidR="002A6779" w:rsidRPr="000E3C8C">
        <w:t>20 MYEFO, parameter and other variations have reduced tax receipts by $31.7 billion in 2019</w:t>
      </w:r>
      <w:r w:rsidR="00E834B1">
        <w:noBreakHyphen/>
      </w:r>
      <w:r w:rsidR="002A6779" w:rsidRPr="000E3C8C">
        <w:t>20 and $58.9 billion in 2020</w:t>
      </w:r>
      <w:r w:rsidR="00E834B1">
        <w:noBreakHyphen/>
      </w:r>
      <w:r w:rsidR="002A6779" w:rsidRPr="000E3C8C">
        <w:t xml:space="preserve">21. This significant reduction in tax receipts </w:t>
      </w:r>
      <w:proofErr w:type="gramStart"/>
      <w:r w:rsidR="002A6779" w:rsidRPr="000E3C8C">
        <w:t>is largely driven</w:t>
      </w:r>
      <w:proofErr w:type="gramEnd"/>
      <w:r w:rsidR="002A6779" w:rsidRPr="000E3C8C">
        <w:t xml:space="preserve"> by downward revisions to personal income tax, company tax and GST.</w:t>
      </w:r>
    </w:p>
    <w:p w14:paraId="21B478AC" w14:textId="28D6D69E" w:rsidR="002A6779" w:rsidRPr="000E3C8C" w:rsidRDefault="002A6779" w:rsidP="002A6779">
      <w:pPr>
        <w:pStyle w:val="Bullet"/>
        <w:rPr>
          <w:rFonts w:cs="Arial"/>
        </w:rPr>
      </w:pPr>
      <w:r w:rsidRPr="000E3C8C">
        <w:rPr>
          <w:rFonts w:cs="Arial"/>
        </w:rPr>
        <w:t>Parameter and other variations have reduced personal income tax by $9.2 billion in 2019</w:t>
      </w:r>
      <w:r w:rsidR="00E834B1">
        <w:rPr>
          <w:rFonts w:cs="Arial"/>
        </w:rPr>
        <w:noBreakHyphen/>
      </w:r>
      <w:r w:rsidRPr="000E3C8C">
        <w:rPr>
          <w:rFonts w:cs="Arial"/>
        </w:rPr>
        <w:t>20 and $26.9 billion in 2020</w:t>
      </w:r>
      <w:r w:rsidR="00E834B1">
        <w:rPr>
          <w:rFonts w:cs="Arial"/>
        </w:rPr>
        <w:noBreakHyphen/>
      </w:r>
      <w:r w:rsidRPr="000E3C8C">
        <w:rPr>
          <w:rFonts w:cs="Arial"/>
        </w:rPr>
        <w:t>21. The downward revisions reflect lower forecasts for wages and employment, weaker</w:t>
      </w:r>
      <w:r w:rsidR="00E834B1">
        <w:rPr>
          <w:rFonts w:cs="Arial"/>
        </w:rPr>
        <w:noBreakHyphen/>
      </w:r>
      <w:r w:rsidRPr="000E3C8C">
        <w:rPr>
          <w:rFonts w:cs="Arial"/>
        </w:rPr>
        <w:t>than</w:t>
      </w:r>
      <w:r w:rsidR="00E834B1">
        <w:rPr>
          <w:rFonts w:cs="Arial"/>
        </w:rPr>
        <w:noBreakHyphen/>
      </w:r>
      <w:r w:rsidRPr="000E3C8C">
        <w:rPr>
          <w:rFonts w:cs="Arial"/>
        </w:rPr>
        <w:t xml:space="preserve">expected outcomes related to prior income years, and lower growth in unincorporated business income and dividend income. </w:t>
      </w:r>
    </w:p>
    <w:p w14:paraId="5CDC94C4" w14:textId="23113B09" w:rsidR="00706E49" w:rsidRPr="000E3C8C" w:rsidRDefault="00706E49" w:rsidP="00706E49">
      <w:pPr>
        <w:pStyle w:val="Bullet"/>
        <w:rPr>
          <w:rFonts w:cs="Arial"/>
        </w:rPr>
      </w:pPr>
      <w:r w:rsidRPr="000E3C8C">
        <w:rPr>
          <w:rFonts w:cs="Arial"/>
        </w:rPr>
        <w:t>Parameter and other variations have reduced company tax by $13.2 billion in 2019</w:t>
      </w:r>
      <w:r w:rsidR="00E834B1">
        <w:rPr>
          <w:rFonts w:cs="Arial"/>
        </w:rPr>
        <w:noBreakHyphen/>
      </w:r>
      <w:r w:rsidRPr="000E3C8C">
        <w:rPr>
          <w:rFonts w:cs="Arial"/>
        </w:rPr>
        <w:t>20 and $12.1 billion in 2020</w:t>
      </w:r>
      <w:r w:rsidR="00E834B1">
        <w:rPr>
          <w:rFonts w:cs="Arial"/>
        </w:rPr>
        <w:noBreakHyphen/>
      </w:r>
      <w:r w:rsidRPr="000E3C8C">
        <w:rPr>
          <w:rFonts w:cs="Arial"/>
        </w:rPr>
        <w:t xml:space="preserve">21. </w:t>
      </w:r>
      <w:r w:rsidRPr="000E3C8C">
        <w:t>The downward revisions reflect weaker</w:t>
      </w:r>
      <w:r w:rsidR="00E834B1">
        <w:noBreakHyphen/>
      </w:r>
      <w:r w:rsidRPr="000E3C8C">
        <w:t>than</w:t>
      </w:r>
      <w:r w:rsidR="00E834B1">
        <w:noBreakHyphen/>
      </w:r>
      <w:r w:rsidRPr="000E3C8C">
        <w:t>expected collections since the 2019</w:t>
      </w:r>
      <w:r w:rsidR="00E834B1">
        <w:noBreakHyphen/>
      </w:r>
      <w:r w:rsidRPr="000E3C8C">
        <w:t xml:space="preserve">20 MYEFO. This </w:t>
      </w:r>
      <w:proofErr w:type="gramStart"/>
      <w:r w:rsidRPr="000E3C8C">
        <w:t>is partly driven</w:t>
      </w:r>
      <w:proofErr w:type="gramEnd"/>
      <w:r w:rsidRPr="000E3C8C">
        <w:t xml:space="preserve"> by the impact of </w:t>
      </w:r>
      <w:r w:rsidRPr="000E3C8C">
        <w:lastRenderedPageBreak/>
        <w:t>lock</w:t>
      </w:r>
      <w:r w:rsidR="00E834B1">
        <w:noBreakHyphen/>
      </w:r>
      <w:r w:rsidRPr="000E3C8C">
        <w:t>down restrictions, which have reduced taxable incomes, and by weaker</w:t>
      </w:r>
      <w:r w:rsidR="00E834B1">
        <w:noBreakHyphen/>
      </w:r>
      <w:r w:rsidRPr="000E3C8C">
        <w:t>than</w:t>
      </w:r>
      <w:r w:rsidR="00E834B1">
        <w:noBreakHyphen/>
      </w:r>
      <w:r w:rsidRPr="000E3C8C">
        <w:t>expected net on</w:t>
      </w:r>
      <w:r w:rsidR="00E834B1">
        <w:noBreakHyphen/>
      </w:r>
      <w:r w:rsidRPr="000E3C8C">
        <w:t>assessment outcomes related to prior income years. The weakness in 2019</w:t>
      </w:r>
      <w:r w:rsidR="00E834B1">
        <w:noBreakHyphen/>
      </w:r>
      <w:r w:rsidRPr="000E3C8C">
        <w:t xml:space="preserve">20 collections </w:t>
      </w:r>
      <w:proofErr w:type="gramStart"/>
      <w:r w:rsidRPr="000E3C8C">
        <w:t>is expected</w:t>
      </w:r>
      <w:proofErr w:type="gramEnd"/>
      <w:r w:rsidRPr="000E3C8C">
        <w:t xml:space="preserve"> to flow to lower company tax receipts in later years. </w:t>
      </w:r>
    </w:p>
    <w:p w14:paraId="6CBBD5E3" w14:textId="5A51C898" w:rsidR="002A6779" w:rsidRPr="000E3C8C" w:rsidRDefault="002A6779" w:rsidP="002A6779">
      <w:pPr>
        <w:pStyle w:val="Bullet"/>
        <w:rPr>
          <w:rFonts w:cs="Arial"/>
        </w:rPr>
      </w:pPr>
      <w:r w:rsidRPr="000E3C8C">
        <w:rPr>
          <w:rFonts w:cs="Arial"/>
        </w:rPr>
        <w:t>Parameter and other variations have reduced GST by $5.2 billion in 2019</w:t>
      </w:r>
      <w:r w:rsidR="00E834B1">
        <w:rPr>
          <w:rFonts w:cs="Arial"/>
        </w:rPr>
        <w:noBreakHyphen/>
      </w:r>
      <w:r w:rsidRPr="000E3C8C">
        <w:rPr>
          <w:rFonts w:cs="Arial"/>
        </w:rPr>
        <w:t>20 and $7.6 billion in 2020</w:t>
      </w:r>
      <w:r w:rsidR="00E834B1">
        <w:rPr>
          <w:rFonts w:cs="Arial"/>
        </w:rPr>
        <w:noBreakHyphen/>
      </w:r>
      <w:r w:rsidRPr="000E3C8C">
        <w:rPr>
          <w:rFonts w:cs="Arial"/>
        </w:rPr>
        <w:t xml:space="preserve">21. The downward revisions reflect downgrades to the forecasts for household consumption and private dwelling investment. </w:t>
      </w:r>
      <w:r w:rsidRPr="000E3C8C">
        <w:rPr>
          <w:color w:val="000000"/>
        </w:rPr>
        <w:t>There has also been an increase in unpaid debt in 2019</w:t>
      </w:r>
      <w:r w:rsidR="00E834B1">
        <w:rPr>
          <w:color w:val="000000"/>
        </w:rPr>
        <w:noBreakHyphen/>
      </w:r>
      <w:r w:rsidRPr="000E3C8C">
        <w:rPr>
          <w:color w:val="000000"/>
        </w:rPr>
        <w:t xml:space="preserve">20, in part due to payment deferrals offered to businesses experiencing financial hardship. Some of this debt </w:t>
      </w:r>
      <w:proofErr w:type="gramStart"/>
      <w:r w:rsidRPr="000E3C8C">
        <w:rPr>
          <w:color w:val="000000"/>
        </w:rPr>
        <w:t>is expected to be recovered</w:t>
      </w:r>
      <w:proofErr w:type="gramEnd"/>
      <w:r w:rsidRPr="000E3C8C">
        <w:rPr>
          <w:color w:val="000000"/>
        </w:rPr>
        <w:t xml:space="preserve"> in future years.</w:t>
      </w:r>
    </w:p>
    <w:p w14:paraId="7D094AC4" w14:textId="0C443D53" w:rsidR="002A6779" w:rsidRPr="000E3C8C" w:rsidRDefault="002A6779" w:rsidP="002A6779">
      <w:pPr>
        <w:pStyle w:val="Bullet"/>
        <w:rPr>
          <w:rFonts w:cs="Arial"/>
        </w:rPr>
      </w:pPr>
      <w:r w:rsidRPr="000E3C8C">
        <w:rPr>
          <w:rFonts w:cs="Arial"/>
        </w:rPr>
        <w:t>Parameter and other variations have reduced excise and customs duties by $2.1 billion in 2019</w:t>
      </w:r>
      <w:r w:rsidR="00E834B1">
        <w:rPr>
          <w:rFonts w:cs="Arial"/>
        </w:rPr>
        <w:noBreakHyphen/>
      </w:r>
      <w:r w:rsidRPr="000E3C8C">
        <w:rPr>
          <w:rFonts w:cs="Arial"/>
        </w:rPr>
        <w:t>20 and $3.1 billion in 2020</w:t>
      </w:r>
      <w:r w:rsidR="00E834B1">
        <w:rPr>
          <w:rFonts w:cs="Arial"/>
        </w:rPr>
        <w:noBreakHyphen/>
      </w:r>
      <w:r w:rsidRPr="000E3C8C">
        <w:rPr>
          <w:rFonts w:cs="Arial"/>
        </w:rPr>
        <w:t xml:space="preserve">21. The downward revisions reflect lower fuel consumption due to reductions in travel, as well as </w:t>
      </w:r>
      <w:proofErr w:type="gramStart"/>
      <w:r w:rsidRPr="000E3C8C">
        <w:rPr>
          <w:rFonts w:cs="Arial"/>
        </w:rPr>
        <w:t>weaker</w:t>
      </w:r>
      <w:r w:rsidR="00E834B1">
        <w:rPr>
          <w:rFonts w:cs="Arial"/>
        </w:rPr>
        <w:noBreakHyphen/>
      </w:r>
      <w:r w:rsidRPr="000E3C8C">
        <w:rPr>
          <w:rFonts w:cs="Arial"/>
        </w:rPr>
        <w:t>than</w:t>
      </w:r>
      <w:r w:rsidR="00E834B1">
        <w:rPr>
          <w:rFonts w:cs="Arial"/>
        </w:rPr>
        <w:noBreakHyphen/>
      </w:r>
      <w:r w:rsidRPr="000E3C8C">
        <w:rPr>
          <w:rFonts w:cs="Arial"/>
        </w:rPr>
        <w:t>expected tobacco excise collections</w:t>
      </w:r>
      <w:proofErr w:type="gramEnd"/>
      <w:r w:rsidRPr="000E3C8C">
        <w:rPr>
          <w:rFonts w:cs="Arial"/>
        </w:rPr>
        <w:t xml:space="preserve"> in 2019</w:t>
      </w:r>
      <w:r w:rsidR="00E834B1">
        <w:rPr>
          <w:rFonts w:cs="Arial"/>
        </w:rPr>
        <w:noBreakHyphen/>
      </w:r>
      <w:r w:rsidRPr="000E3C8C">
        <w:rPr>
          <w:rFonts w:cs="Arial"/>
        </w:rPr>
        <w:t>20.</w:t>
      </w:r>
    </w:p>
    <w:p w14:paraId="68863138" w14:textId="75A30A06" w:rsidR="002A6779" w:rsidRPr="000E3C8C" w:rsidRDefault="002A6779" w:rsidP="002A6779">
      <w:pPr>
        <w:pStyle w:val="Bullet"/>
        <w:rPr>
          <w:rFonts w:cs="Arial"/>
        </w:rPr>
      </w:pPr>
      <w:r w:rsidRPr="000E3C8C">
        <w:rPr>
          <w:rFonts w:cs="Arial"/>
        </w:rPr>
        <w:t>Falls in equity prices, in Australia and internationally, along with lower</w:t>
      </w:r>
      <w:r w:rsidR="00E834B1">
        <w:rPr>
          <w:rFonts w:cs="Arial"/>
        </w:rPr>
        <w:noBreakHyphen/>
      </w:r>
      <w:r w:rsidRPr="000E3C8C">
        <w:rPr>
          <w:rFonts w:cs="Arial"/>
        </w:rPr>
        <w:t>than</w:t>
      </w:r>
      <w:r w:rsidR="00E834B1">
        <w:rPr>
          <w:rFonts w:cs="Arial"/>
        </w:rPr>
        <w:noBreakHyphen/>
      </w:r>
      <w:r w:rsidRPr="000E3C8C">
        <w:rPr>
          <w:rFonts w:cs="Arial"/>
        </w:rPr>
        <w:t xml:space="preserve">anticipated house prices, </w:t>
      </w:r>
      <w:proofErr w:type="gramStart"/>
      <w:r w:rsidRPr="000E3C8C">
        <w:rPr>
          <w:rFonts w:cs="Arial"/>
        </w:rPr>
        <w:t>are expected</w:t>
      </w:r>
      <w:proofErr w:type="gramEnd"/>
      <w:r w:rsidRPr="000E3C8C">
        <w:rPr>
          <w:rFonts w:cs="Arial"/>
        </w:rPr>
        <w:t xml:space="preserve"> to weigh on capital gains tax, which is a component of income taxes on individuals, companies and superannuation funds.</w:t>
      </w:r>
    </w:p>
    <w:p w14:paraId="7F1B2075" w14:textId="2E46E514" w:rsidR="002A6779" w:rsidRPr="000E3C8C" w:rsidRDefault="002A6779" w:rsidP="002A6779">
      <w:r w:rsidRPr="000E3C8C">
        <w:t>Chart 3.</w:t>
      </w:r>
      <w:r w:rsidR="00C81969" w:rsidRPr="000E3C8C">
        <w:t>3</w:t>
      </w:r>
      <w:r w:rsidRPr="000E3C8C">
        <w:t xml:space="preserve"> shows the revisions to tax receipts since the 2019</w:t>
      </w:r>
      <w:r w:rsidR="00E834B1">
        <w:noBreakHyphen/>
      </w:r>
      <w:r w:rsidRPr="000E3C8C">
        <w:t>20</w:t>
      </w:r>
      <w:r w:rsidR="00437099" w:rsidRPr="000E3C8C">
        <w:t xml:space="preserve"> </w:t>
      </w:r>
      <w:r w:rsidRPr="000E3C8C">
        <w:t xml:space="preserve">MYEFO due to parameter and other variations. </w:t>
      </w:r>
    </w:p>
    <w:p w14:paraId="2374B1E6" w14:textId="4AF282A0" w:rsidR="005B4308" w:rsidRDefault="005B4308" w:rsidP="005B4308">
      <w:pPr>
        <w:pStyle w:val="ChartMainHeading"/>
      </w:pPr>
      <w:r w:rsidRPr="000E3C8C">
        <w:t>Chart 3.</w:t>
      </w:r>
      <w:r w:rsidR="00C81969" w:rsidRPr="000E3C8C">
        <w:t>3</w:t>
      </w:r>
      <w:r w:rsidRPr="000E3C8C">
        <w:t xml:space="preserve">: </w:t>
      </w:r>
      <w:r w:rsidR="009B5C11" w:rsidRPr="000E3C8C">
        <w:t>Parameter and other variations to tax receipts since the 2019</w:t>
      </w:r>
      <w:r w:rsidR="00E834B1">
        <w:noBreakHyphen/>
      </w:r>
      <w:r w:rsidR="00BF4192" w:rsidRPr="000E3C8C">
        <w:t>20 </w:t>
      </w:r>
      <w:r w:rsidR="009B5C11" w:rsidRPr="000E3C8C">
        <w:t>MYEFO</w:t>
      </w:r>
    </w:p>
    <w:p w14:paraId="548A20EC" w14:textId="10B6DE39" w:rsidR="005B6A19" w:rsidRPr="005B6A19" w:rsidRDefault="005B6A19" w:rsidP="005B6A19">
      <w:pPr>
        <w:pStyle w:val="ChartGraphic"/>
      </w:pPr>
      <w:r>
        <w:rPr>
          <w:noProof/>
        </w:rPr>
        <w:drawing>
          <wp:inline distT="0" distB="0" distL="0" distR="0" wp14:anchorId="05F287F3" wp14:editId="46F2BBD5">
            <wp:extent cx="4681855" cy="2621280"/>
            <wp:effectExtent l="0" t="0" r="4445" b="7620"/>
            <wp:docPr id="12" name="Picture 12" descr="&quot;This chart shows the revisions to tax receipts, excluding policy, since the 2019-20 MYEFO by source of revenue and by year. In 2019-20, downgrades to company tax of around $13.2 billion are shown to be the largest contributor to the $31.7 billion downward revisions to tax receipts. Additionally, personal income tax receipts have been revised down $9.2 billion, and goods and services tax receipts have been revised down $5.2 billion. In 2020-21, downgrades to personal income tax of around $26.9 billion are the largest contributor to the $58.9 billion downward revisions to tax receipts. Additionally company tax receipts have been revised down $12.1 billion, and goods and services tax receipts have been revised down $7.6 bill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1855" cy="2621280"/>
                    </a:xfrm>
                    <a:prstGeom prst="rect">
                      <a:avLst/>
                    </a:prstGeom>
                    <a:noFill/>
                  </pic:spPr>
                </pic:pic>
              </a:graphicData>
            </a:graphic>
          </wp:inline>
        </w:drawing>
      </w:r>
    </w:p>
    <w:p w14:paraId="6D9BF552" w14:textId="6D3F0C42" w:rsidR="0070479C" w:rsidRPr="000E3C8C" w:rsidRDefault="00BA3C4C" w:rsidP="006F69AC">
      <w:pPr>
        <w:pStyle w:val="ChartandTableFootnoteSmall"/>
      </w:pPr>
      <w:r w:rsidRPr="000E3C8C">
        <w:t>Source: Treasury estimates</w:t>
      </w:r>
      <w:r w:rsidR="00BD56A5" w:rsidRPr="000E3C8C">
        <w:t>.</w:t>
      </w:r>
      <w:r w:rsidRPr="000E3C8C">
        <w:t xml:space="preserve"> </w:t>
      </w:r>
      <w:r w:rsidR="00815063" w:rsidRPr="000E3C8C">
        <w:fldChar w:fldCharType="begin"/>
      </w:r>
      <w:r w:rsidR="00815063" w:rsidRPr="000E3C8C">
        <w:instrText xml:space="preserve"> :End:TAD_KDM2 </w:instrText>
      </w:r>
      <w:r w:rsidR="00815063" w:rsidRPr="000E3C8C">
        <w:fldChar w:fldCharType="end"/>
      </w:r>
    </w:p>
    <w:tbl>
      <w:tblPr>
        <w:tblW w:w="5000" w:type="pct"/>
        <w:shd w:val="clear" w:color="auto" w:fill="EBEBEB"/>
        <w:tblLook w:val="0000" w:firstRow="0" w:lastRow="0" w:firstColumn="0" w:lastColumn="0" w:noHBand="0" w:noVBand="0"/>
      </w:tblPr>
      <w:tblGrid>
        <w:gridCol w:w="7710"/>
      </w:tblGrid>
      <w:tr w:rsidR="009B498A" w:rsidRPr="000E3C8C" w14:paraId="2A28C820" w14:textId="77777777" w:rsidTr="00684E75">
        <w:trPr>
          <w:cantSplit/>
        </w:trPr>
        <w:tc>
          <w:tcPr>
            <w:tcW w:w="5000" w:type="pct"/>
            <w:shd w:val="clear" w:color="auto" w:fill="EBEBEB"/>
          </w:tcPr>
          <w:p w14:paraId="4A4C7ACD" w14:textId="7032DEB7" w:rsidR="009B498A" w:rsidRPr="000E3C8C" w:rsidRDefault="00640400" w:rsidP="009B498A">
            <w:pPr>
              <w:pStyle w:val="BoxHeading"/>
            </w:pPr>
            <w:r w:rsidRPr="000E3C8C">
              <w:lastRenderedPageBreak/>
              <w:fldChar w:fldCharType="begin"/>
            </w:r>
            <w:r w:rsidRPr="000E3C8C">
              <w:instrText xml:space="preserve"> :Start:TAD_KDM4 </w:instrText>
            </w:r>
            <w:r w:rsidRPr="000E3C8C">
              <w:fldChar w:fldCharType="end"/>
            </w:r>
            <w:r w:rsidR="009B498A" w:rsidRPr="000E3C8C">
              <w:t>Box 3.</w:t>
            </w:r>
            <w:r w:rsidR="00977733" w:rsidRPr="000E3C8C">
              <w:t>2</w:t>
            </w:r>
            <w:r w:rsidR="009B498A" w:rsidRPr="000E3C8C">
              <w:t xml:space="preserve">: </w:t>
            </w:r>
            <w:r w:rsidR="004D39A0" w:rsidRPr="000E3C8C">
              <w:t>The COVID</w:t>
            </w:r>
            <w:r w:rsidR="00E834B1">
              <w:noBreakHyphen/>
            </w:r>
            <w:r w:rsidR="004D39A0" w:rsidRPr="000E3C8C">
              <w:t>19 shock and the timing of tax receipts</w:t>
            </w:r>
          </w:p>
          <w:p w14:paraId="6CBBA2A6" w14:textId="0462AD3B" w:rsidR="006C46AF" w:rsidRPr="000E3C8C" w:rsidRDefault="006C46AF" w:rsidP="002A115E">
            <w:pPr>
              <w:pStyle w:val="BoxText"/>
            </w:pPr>
            <w:r w:rsidRPr="000E3C8C">
              <w:t xml:space="preserve">There is significant uncertainty around the outlook for tax receipts. This is driven by the economic outlook and how it will </w:t>
            </w:r>
            <w:proofErr w:type="gramStart"/>
            <w:r w:rsidRPr="000E3C8C">
              <w:t>impact</w:t>
            </w:r>
            <w:proofErr w:type="gramEnd"/>
            <w:r w:rsidRPr="000E3C8C">
              <w:t xml:space="preserve"> taxpayer behaviour and the timing of when tax is collected. Cyclical and discretionary features of the tax system play an important role in cushioning the economy in a downturn (Box 3.1). As the economy starts to recover, structural features of the tax system mean that growth in tax receipts will tend to lag nominal GDP</w:t>
            </w:r>
            <w:r w:rsidR="00F367AA" w:rsidRPr="000E3C8C">
              <w:t xml:space="preserve">. </w:t>
            </w:r>
          </w:p>
          <w:p w14:paraId="755BA932" w14:textId="5F2C43A6" w:rsidR="006C46AF" w:rsidRPr="000E3C8C" w:rsidRDefault="006C46AF" w:rsidP="002A115E">
            <w:pPr>
              <w:pStyle w:val="BoxText"/>
            </w:pPr>
            <w:r w:rsidRPr="000E3C8C">
              <w:t xml:space="preserve">Personal income </w:t>
            </w:r>
            <w:proofErr w:type="gramStart"/>
            <w:r w:rsidRPr="000E3C8C">
              <w:t>tax,</w:t>
            </w:r>
            <w:proofErr w:type="gramEnd"/>
            <w:r w:rsidRPr="000E3C8C">
              <w:t xml:space="preserve"> and the income and capital gains tax bases for businesses are sensitive to cyclical changes in economic activity. When incomes, profits and asset prices fall so do the associated tax liabilities, helping to stabilise incomes across the economy. This effect is </w:t>
            </w:r>
            <w:proofErr w:type="gramStart"/>
            <w:r w:rsidRPr="000E3C8C">
              <w:t>most contemporaneous</w:t>
            </w:r>
            <w:proofErr w:type="gramEnd"/>
            <w:r w:rsidRPr="000E3C8C">
              <w:t xml:space="preserve"> in personal income tax collections withheld on salary and wages</w:t>
            </w:r>
            <w:r w:rsidR="002A115E" w:rsidRPr="000E3C8C">
              <w:t xml:space="preserve">. </w:t>
            </w:r>
            <w:r w:rsidRPr="000E3C8C">
              <w:t xml:space="preserve">Because of the progressive nature of personal income tax, average tax rates decrease alongside a fall in income, which means that recent and forecast falls in aggregate wages will disproportionately </w:t>
            </w:r>
            <w:proofErr w:type="gramStart"/>
            <w:r w:rsidRPr="000E3C8C">
              <w:t>impact</w:t>
            </w:r>
            <w:proofErr w:type="gramEnd"/>
            <w:r w:rsidRPr="000E3C8C">
              <w:t xml:space="preserve"> tax receipts. </w:t>
            </w:r>
          </w:p>
          <w:p w14:paraId="5876DCC6" w14:textId="24090ABA" w:rsidR="006C46AF" w:rsidRPr="000E3C8C" w:rsidRDefault="006C46AF" w:rsidP="002A115E">
            <w:pPr>
              <w:pStyle w:val="BoxText"/>
            </w:pPr>
            <w:r w:rsidRPr="000E3C8C">
              <w:t xml:space="preserve">Despite the timing between when businesses accrue profits and pay tax becoming </w:t>
            </w:r>
            <w:proofErr w:type="gramStart"/>
            <w:r w:rsidRPr="000E3C8C">
              <w:t>more contemporaneous</w:t>
            </w:r>
            <w:proofErr w:type="gramEnd"/>
            <w:r w:rsidRPr="000E3C8C">
              <w:t xml:space="preserve"> than it was in 1980s and 1990s, there are still significant lags in the tax system for companies, sole traders, partnerships and trusts. This is because while a business will pay instalments through the year, it generally will not finalise its tax liability until the following year. Businesses will also be able to offset losses accrued during the COVID</w:t>
            </w:r>
            <w:r w:rsidR="00E834B1">
              <w:noBreakHyphen/>
            </w:r>
            <w:r w:rsidRPr="000E3C8C">
              <w:t>19 pandemic against tax payable on their profits in coming years (see Box 2, Budget Statement 5, Budget Paper No. 1 of the 2017</w:t>
            </w:r>
            <w:r w:rsidR="00E834B1">
              <w:noBreakHyphen/>
            </w:r>
            <w:r w:rsidRPr="000E3C8C">
              <w:t>18</w:t>
            </w:r>
            <w:r w:rsidR="00167314">
              <w:t> </w:t>
            </w:r>
            <w:r w:rsidRPr="000E3C8C">
              <w:t>Budget for a discussion of losses and company tax timing). These features of the tax system create a lag between when the economic activity occurs and when tax is paid, meaning the effects of economic downturns are often seen in tax collections for several years after the initial shock</w:t>
            </w:r>
            <w:r w:rsidR="002A115E" w:rsidRPr="000E3C8C">
              <w:t xml:space="preserve">. </w:t>
            </w:r>
          </w:p>
          <w:p w14:paraId="0D31066B" w14:textId="36CBC9B1" w:rsidR="008176B3" w:rsidRPr="000E3C8C" w:rsidRDefault="008176B3" w:rsidP="008176B3">
            <w:pPr>
              <w:pStyle w:val="BoxText"/>
            </w:pPr>
            <w:r w:rsidRPr="000E3C8C">
              <w:t xml:space="preserve">Further, the treatment of capital gains can lead to lags in capital gains tax, which is a component of personal, company and superannuation fund taxes. Asset price falls generate capital </w:t>
            </w:r>
            <w:proofErr w:type="gramStart"/>
            <w:r w:rsidRPr="000E3C8C">
              <w:t>losses which</w:t>
            </w:r>
            <w:proofErr w:type="gramEnd"/>
            <w:r w:rsidRPr="000E3C8C">
              <w:t xml:space="preserve"> can be used to offset future capital gains and can significantly </w:t>
            </w:r>
            <w:r w:rsidR="00EA3C1B" w:rsidRPr="000E3C8C">
              <w:t xml:space="preserve">reduce </w:t>
            </w:r>
            <w:r w:rsidRPr="000E3C8C">
              <w:t xml:space="preserve">tax collections. In the wake of the Global Financial Crisis, unapplied net capital losses for superannuation funds grew by over 800 per cent. </w:t>
            </w:r>
            <w:proofErr w:type="gramStart"/>
            <w:r w:rsidRPr="000E3C8C">
              <w:t>It was not until 2016</w:t>
            </w:r>
            <w:r w:rsidR="00E834B1">
              <w:noBreakHyphen/>
            </w:r>
            <w:r w:rsidRPr="000E3C8C">
              <w:t>17 that super</w:t>
            </w:r>
            <w:r w:rsidR="003A22FC">
              <w:t>annuation</w:t>
            </w:r>
            <w:r w:rsidRPr="000E3C8C">
              <w:t xml:space="preserve"> fund capital gains tax </w:t>
            </w:r>
            <w:r w:rsidR="00E86169" w:rsidRPr="000E3C8C">
              <w:t>recovered to pre</w:t>
            </w:r>
            <w:r w:rsidR="00E834B1">
              <w:noBreakHyphen/>
            </w:r>
            <w:r w:rsidR="00E86169" w:rsidRPr="000E3C8C">
              <w:t>crisis levels.</w:t>
            </w:r>
            <w:proofErr w:type="gramEnd"/>
            <w:r w:rsidR="00E86169" w:rsidRPr="000E3C8C">
              <w:t xml:space="preserve"> The </w:t>
            </w:r>
            <w:r w:rsidRPr="000E3C8C">
              <w:t>COVID</w:t>
            </w:r>
            <w:r w:rsidR="00E834B1">
              <w:noBreakHyphen/>
            </w:r>
            <w:r w:rsidRPr="000E3C8C">
              <w:t>19</w:t>
            </w:r>
            <w:r w:rsidR="00E86169" w:rsidRPr="000E3C8C">
              <w:t xml:space="preserve"> pandemic</w:t>
            </w:r>
            <w:r w:rsidRPr="000E3C8C">
              <w:t xml:space="preserve"> has already generated significant falls in asset prices. For example, at the end of June, the ASX</w:t>
            </w:r>
            <w:r w:rsidR="00474B65" w:rsidRPr="000E3C8C">
              <w:t xml:space="preserve"> </w:t>
            </w:r>
            <w:r w:rsidR="007404E6" w:rsidRPr="000E3C8C">
              <w:t>200</w:t>
            </w:r>
            <w:r w:rsidRPr="000E3C8C">
              <w:t xml:space="preserve"> was over 15 per cent lower than it was at the beginning of </w:t>
            </w:r>
            <w:r w:rsidR="00E86169" w:rsidRPr="000E3C8C">
              <w:t xml:space="preserve">the </w:t>
            </w:r>
            <w:r w:rsidRPr="000E3C8C">
              <w:t>COVID</w:t>
            </w:r>
            <w:r w:rsidR="00E834B1">
              <w:noBreakHyphen/>
            </w:r>
            <w:r w:rsidRPr="000E3C8C">
              <w:t>19</w:t>
            </w:r>
            <w:r w:rsidR="00E86169" w:rsidRPr="000E3C8C">
              <w:t xml:space="preserve"> pandemic</w:t>
            </w:r>
            <w:r w:rsidRPr="000E3C8C">
              <w:t>. The extent of these losses, and how taxpayers use them, will be a key source of uncertainty on the outlook for tax receipts.</w:t>
            </w:r>
          </w:p>
          <w:p w14:paraId="78FA01ED" w14:textId="308EF1DC" w:rsidR="009B498A" w:rsidRPr="000E3C8C" w:rsidRDefault="006C46AF" w:rsidP="00ED702E">
            <w:pPr>
              <w:pStyle w:val="BoxText"/>
            </w:pPr>
            <w:r w:rsidRPr="000E3C8C">
              <w:t xml:space="preserve">At the same time, the ATO has administrative </w:t>
            </w:r>
            <w:proofErr w:type="gramStart"/>
            <w:r w:rsidRPr="000E3C8C">
              <w:t>powers which</w:t>
            </w:r>
            <w:proofErr w:type="gramEnd"/>
            <w:r w:rsidRPr="000E3C8C">
              <w:t xml:space="preserve"> can support businesses and individuals during a downturn. This can also </w:t>
            </w:r>
            <w:proofErr w:type="gramStart"/>
            <w:r w:rsidRPr="000E3C8C">
              <w:t>impact</w:t>
            </w:r>
            <w:proofErr w:type="gramEnd"/>
            <w:r w:rsidRPr="000E3C8C">
              <w:t xml:space="preserve"> the timing of tax receipts. Taxpayers have been using administrative support measures to either reduce the amount of tax they have to pay throughout the year to better reflect their income, or defer payment of their tax liabilities to a later date. It </w:t>
            </w:r>
            <w:proofErr w:type="gramStart"/>
            <w:r w:rsidRPr="000E3C8C">
              <w:t>is estimated</w:t>
            </w:r>
            <w:proofErr w:type="gramEnd"/>
            <w:r w:rsidRPr="000E3C8C">
              <w:t xml:space="preserve"> that around $5 billion in tax has been deferred from 2019</w:t>
            </w:r>
            <w:r w:rsidR="00E834B1">
              <w:noBreakHyphen/>
            </w:r>
            <w:r w:rsidRPr="000E3C8C">
              <w:t>20 until 2020</w:t>
            </w:r>
            <w:r w:rsidR="00E834B1">
              <w:noBreakHyphen/>
            </w:r>
            <w:r w:rsidRPr="000E3C8C">
              <w:t xml:space="preserve">21, largely relating to GST, company tax </w:t>
            </w:r>
            <w:r w:rsidR="00ED702E">
              <w:t xml:space="preserve">and </w:t>
            </w:r>
            <w:r w:rsidRPr="000E3C8C">
              <w:t>individuals and other withholding</w:t>
            </w:r>
            <w:r w:rsidR="003A22FC">
              <w:t xml:space="preserve"> tax</w:t>
            </w:r>
            <w:r w:rsidRPr="000E3C8C">
              <w:t>.</w:t>
            </w:r>
            <w:r w:rsidR="00640400" w:rsidRPr="000E3C8C">
              <w:rPr>
                <w:color w:val="FF0000"/>
              </w:rPr>
              <w:fldChar w:fldCharType="begin"/>
            </w:r>
            <w:r w:rsidR="00640400" w:rsidRPr="000E3C8C">
              <w:rPr>
                <w:color w:val="FF0000"/>
              </w:rPr>
              <w:instrText xml:space="preserve"> :End:TAD_KDM4 </w:instrText>
            </w:r>
            <w:r w:rsidR="00640400" w:rsidRPr="000E3C8C">
              <w:rPr>
                <w:color w:val="FF0000"/>
              </w:rPr>
              <w:fldChar w:fldCharType="end"/>
            </w:r>
          </w:p>
        </w:tc>
      </w:tr>
    </w:tbl>
    <w:p w14:paraId="005E31DB" w14:textId="77777777" w:rsidR="00816459" w:rsidRPr="000E3C8C" w:rsidRDefault="00816459" w:rsidP="00587818">
      <w:pPr>
        <w:pStyle w:val="SingleParagraph"/>
      </w:pPr>
    </w:p>
    <w:p w14:paraId="4B865DCA" w14:textId="7285753D" w:rsidR="002E6C70" w:rsidRPr="000E3C8C" w:rsidRDefault="00013A87">
      <w:r w:rsidRPr="000E3C8C">
        <w:lastRenderedPageBreak/>
        <w:fldChar w:fldCharType="begin"/>
      </w:r>
      <w:r w:rsidRPr="000E3C8C">
        <w:instrText xml:space="preserve"> :Start:</w:instrText>
      </w:r>
      <w:r w:rsidR="00A01E30" w:rsidRPr="000E3C8C">
        <w:instrText>BPCD_ER2</w:instrText>
      </w:r>
      <w:r w:rsidRPr="000E3C8C">
        <w:instrText xml:space="preserve"> </w:instrText>
      </w:r>
      <w:r w:rsidRPr="000E3C8C">
        <w:fldChar w:fldCharType="end"/>
      </w:r>
      <w:r w:rsidR="002E6C70" w:rsidRPr="000E3C8C">
        <w:t>Parameter and other variations have decreased non</w:t>
      </w:r>
      <w:r w:rsidR="00E834B1">
        <w:noBreakHyphen/>
      </w:r>
      <w:r w:rsidR="002E6C70" w:rsidRPr="000E3C8C">
        <w:t>taxation receipts, including Future Fund earnings, since the 2019</w:t>
      </w:r>
      <w:r w:rsidR="00E834B1">
        <w:noBreakHyphen/>
      </w:r>
      <w:r w:rsidR="002E6C70" w:rsidRPr="000E3C8C">
        <w:t>20 MYEFO by $0.9 billion in 2019</w:t>
      </w:r>
      <w:r w:rsidR="00E834B1">
        <w:noBreakHyphen/>
      </w:r>
      <w:r w:rsidR="002E6C70" w:rsidRPr="000E3C8C">
        <w:t>20 and increased receipts by $1.6 billion over the two years to 2020</w:t>
      </w:r>
      <w:r w:rsidR="00E834B1">
        <w:noBreakHyphen/>
      </w:r>
      <w:r w:rsidR="002E6C70" w:rsidRPr="000E3C8C">
        <w:t>21. This revision mainly reflects fewer than expected unclaimed superannuation fund balances transferring to the Australian Taxation Office in 2019</w:t>
      </w:r>
      <w:r w:rsidR="00E834B1">
        <w:noBreakHyphen/>
      </w:r>
      <w:r w:rsidR="002E6C70" w:rsidRPr="000E3C8C">
        <w:t>20, lower than expected investment returns across Australian Government Investment Funds, and a higher</w:t>
      </w:r>
      <w:r w:rsidR="001A49CE" w:rsidRPr="000E3C8C">
        <w:t xml:space="preserve"> </w:t>
      </w:r>
      <w:r w:rsidR="002E6C70" w:rsidRPr="000E3C8C">
        <w:t>expected dividend from the Reserve Bank of Australia in 2020</w:t>
      </w:r>
      <w:r w:rsidR="00E834B1">
        <w:noBreakHyphen/>
      </w:r>
      <w:r w:rsidR="002E6C70" w:rsidRPr="000E3C8C">
        <w:t>21.</w:t>
      </w:r>
    </w:p>
    <w:p w14:paraId="3E1560EA" w14:textId="70BE3E71" w:rsidR="00513C88" w:rsidRPr="000E3C8C" w:rsidRDefault="00013A87" w:rsidP="007062BF">
      <w:pPr>
        <w:pStyle w:val="Heading2"/>
      </w:pPr>
      <w:r w:rsidRPr="000E3C8C">
        <w:fldChar w:fldCharType="begin"/>
      </w:r>
      <w:r w:rsidRPr="000E3C8C">
        <w:instrText xml:space="preserve"> :End:</w:instrText>
      </w:r>
      <w:r w:rsidR="00A01E30" w:rsidRPr="000E3C8C">
        <w:instrText>BPCD_ER2</w:instrText>
      </w:r>
      <w:r w:rsidRPr="000E3C8C">
        <w:instrText xml:space="preserve"> </w:instrText>
      </w:r>
      <w:r w:rsidRPr="000E3C8C">
        <w:fldChar w:fldCharType="end"/>
      </w:r>
      <w:r w:rsidR="00C91F14" w:rsidRPr="000E3C8C">
        <w:fldChar w:fldCharType="begin"/>
      </w:r>
      <w:r w:rsidR="00C91F14" w:rsidRPr="000E3C8C">
        <w:instrText xml:space="preserve"> :Start:BPCD_ER1 </w:instrText>
      </w:r>
      <w:r w:rsidR="00C91F14" w:rsidRPr="000E3C8C">
        <w:fldChar w:fldCharType="end"/>
      </w:r>
      <w:r w:rsidR="00513C88" w:rsidRPr="000E3C8C">
        <w:t>Payment estimates</w:t>
      </w:r>
    </w:p>
    <w:p w14:paraId="02F0B47A" w14:textId="5BF3A7FE" w:rsidR="00DE0F73" w:rsidRPr="000E3C8C" w:rsidRDefault="00DE0F73" w:rsidP="00587818">
      <w:pPr>
        <w:keepNext/>
        <w:spacing w:after="120"/>
        <w:outlineLvl w:val="3"/>
        <w:rPr>
          <w:rFonts w:cs="Arial"/>
        </w:rPr>
      </w:pPr>
      <w:r w:rsidRPr="000E3C8C">
        <w:rPr>
          <w:rFonts w:cs="Arial"/>
        </w:rPr>
        <w:t>Since the 2019</w:t>
      </w:r>
      <w:r w:rsidR="00E834B1">
        <w:rPr>
          <w:rFonts w:cs="Arial"/>
        </w:rPr>
        <w:noBreakHyphen/>
      </w:r>
      <w:r w:rsidRPr="000E3C8C">
        <w:rPr>
          <w:rFonts w:cs="Arial"/>
        </w:rPr>
        <w:t>20 MYEFO, total payments have increased by $58.0 billion in 2019</w:t>
      </w:r>
      <w:r w:rsidR="00E834B1">
        <w:rPr>
          <w:rFonts w:cs="Arial"/>
        </w:rPr>
        <w:noBreakHyphen/>
      </w:r>
      <w:r w:rsidRPr="000E3C8C">
        <w:rPr>
          <w:rFonts w:cs="Arial"/>
        </w:rPr>
        <w:t>20 and increased by $187.5 billion over the two years to 2020</w:t>
      </w:r>
      <w:r w:rsidR="00E834B1">
        <w:rPr>
          <w:rFonts w:cs="Arial"/>
        </w:rPr>
        <w:noBreakHyphen/>
      </w:r>
      <w:r w:rsidRPr="000E3C8C">
        <w:rPr>
          <w:rFonts w:cs="Arial"/>
        </w:rPr>
        <w:t>21.</w:t>
      </w:r>
      <w:r w:rsidR="00C91F14" w:rsidRPr="000E3C8C">
        <w:rPr>
          <w:rFonts w:cs="Arial"/>
        </w:rPr>
        <w:fldChar w:fldCharType="begin"/>
      </w:r>
      <w:r w:rsidR="00C91F14" w:rsidRPr="000E3C8C">
        <w:rPr>
          <w:rFonts w:cs="Arial"/>
        </w:rPr>
        <w:instrText xml:space="preserve"> :End:BPCD_ER1 </w:instrText>
      </w:r>
      <w:r w:rsidR="00C91F14" w:rsidRPr="000E3C8C">
        <w:rPr>
          <w:rFonts w:cs="Arial"/>
        </w:rPr>
        <w:fldChar w:fldCharType="end"/>
      </w:r>
      <w:r w:rsidRPr="000E3C8C">
        <w:rPr>
          <w:rFonts w:cs="Arial"/>
        </w:rPr>
        <w:t xml:space="preserve"> </w:t>
      </w:r>
    </w:p>
    <w:p w14:paraId="14583DE8" w14:textId="71DCF663" w:rsidR="00641428" w:rsidRPr="000E3C8C" w:rsidRDefault="000C0E14" w:rsidP="00587818">
      <w:pPr>
        <w:pStyle w:val="Heading3"/>
      </w:pPr>
      <w:r w:rsidRPr="000E3C8C">
        <w:fldChar w:fldCharType="begin"/>
      </w:r>
      <w:r w:rsidRPr="000E3C8C">
        <w:instrText xml:space="preserve"> :Start:</w:instrText>
      </w:r>
      <w:r w:rsidR="00B62B4A" w:rsidRPr="000E3C8C">
        <w:instrText>BPCD_DD1</w:instrText>
      </w:r>
      <w:r w:rsidRPr="000E3C8C">
        <w:instrText xml:space="preserve"> </w:instrText>
      </w:r>
      <w:r w:rsidRPr="000E3C8C">
        <w:fldChar w:fldCharType="end"/>
      </w:r>
      <w:r w:rsidR="00641428" w:rsidRPr="000E3C8C">
        <w:t>Policy decisions</w:t>
      </w:r>
    </w:p>
    <w:p w14:paraId="184BA7E1" w14:textId="7021788F" w:rsidR="00641428" w:rsidRPr="000E3C8C" w:rsidRDefault="00641428" w:rsidP="00641428">
      <w:pPr>
        <w:spacing w:after="200"/>
        <w:rPr>
          <w:rFonts w:cstheme="minorHAnsi"/>
        </w:rPr>
      </w:pPr>
      <w:r w:rsidRPr="000E3C8C">
        <w:rPr>
          <w:rFonts w:cstheme="minorHAnsi"/>
        </w:rPr>
        <w:t>The net impact of policy decisions since the 2019</w:t>
      </w:r>
      <w:r w:rsidR="00E834B1">
        <w:rPr>
          <w:rFonts w:cstheme="minorHAnsi"/>
        </w:rPr>
        <w:noBreakHyphen/>
      </w:r>
      <w:r w:rsidRPr="000E3C8C">
        <w:rPr>
          <w:rFonts w:cstheme="minorHAnsi"/>
        </w:rPr>
        <w:t>20 MYEFO has increased payments by $58.0 billion in 2019</w:t>
      </w:r>
      <w:r w:rsidR="00E834B1">
        <w:rPr>
          <w:rFonts w:cstheme="minorHAnsi"/>
        </w:rPr>
        <w:noBreakHyphen/>
      </w:r>
      <w:r w:rsidRPr="000E3C8C">
        <w:rPr>
          <w:rFonts w:cstheme="minorHAnsi"/>
        </w:rPr>
        <w:t>20 and $113.7 billion in 2020</w:t>
      </w:r>
      <w:r w:rsidR="00E834B1">
        <w:rPr>
          <w:rFonts w:cstheme="minorHAnsi"/>
        </w:rPr>
        <w:noBreakHyphen/>
      </w:r>
      <w:r w:rsidRPr="000E3C8C">
        <w:rPr>
          <w:rFonts w:cstheme="minorHAnsi"/>
        </w:rPr>
        <w:t xml:space="preserve">21. </w:t>
      </w:r>
      <w:r w:rsidR="00DC08BC">
        <w:rPr>
          <w:rFonts w:cstheme="minorHAnsi"/>
        </w:rPr>
        <w:t xml:space="preserve">Policy </w:t>
      </w:r>
      <w:r w:rsidRPr="000E3C8C">
        <w:rPr>
          <w:rFonts w:cstheme="minorHAnsi"/>
        </w:rPr>
        <w:t>decisions largely reflect the Government</w:t>
      </w:r>
      <w:r w:rsidR="00E834B1">
        <w:rPr>
          <w:rFonts w:cstheme="minorHAnsi"/>
        </w:rPr>
        <w:t>’</w:t>
      </w:r>
      <w:r w:rsidRPr="000E3C8C">
        <w:rPr>
          <w:rFonts w:cstheme="minorHAnsi"/>
        </w:rPr>
        <w:t>s response to COVID</w:t>
      </w:r>
      <w:r w:rsidR="00E834B1">
        <w:rPr>
          <w:rFonts w:cstheme="minorHAnsi"/>
        </w:rPr>
        <w:noBreakHyphen/>
      </w:r>
      <w:r w:rsidRPr="000E3C8C">
        <w:rPr>
          <w:rFonts w:cstheme="minorHAnsi"/>
        </w:rPr>
        <w:t>19 and to the bushfires</w:t>
      </w:r>
      <w:r w:rsidR="00924129" w:rsidRPr="000E3C8C">
        <w:rPr>
          <w:rFonts w:cstheme="minorHAnsi"/>
        </w:rPr>
        <w:t xml:space="preserve"> of 2019</w:t>
      </w:r>
      <w:r w:rsidR="00E834B1">
        <w:rPr>
          <w:rFonts w:cstheme="minorHAnsi"/>
        </w:rPr>
        <w:noBreakHyphen/>
      </w:r>
      <w:r w:rsidR="00924129" w:rsidRPr="000E3C8C">
        <w:rPr>
          <w:rFonts w:cstheme="minorHAnsi"/>
        </w:rPr>
        <w:t>20</w:t>
      </w:r>
      <w:r w:rsidRPr="000E3C8C">
        <w:rPr>
          <w:rFonts w:cstheme="minorHAnsi"/>
        </w:rPr>
        <w:t xml:space="preserve"> and include:</w:t>
      </w:r>
    </w:p>
    <w:p w14:paraId="297417DD" w14:textId="0E25810B" w:rsidR="00641428" w:rsidRPr="000E3C8C" w:rsidRDefault="00641428" w:rsidP="00641428">
      <w:pPr>
        <w:pStyle w:val="Bullet"/>
        <w:spacing w:after="200"/>
        <w:rPr>
          <w:rFonts w:eastAsiaTheme="minorHAnsi"/>
        </w:rPr>
      </w:pPr>
      <w:r w:rsidRPr="000E3C8C">
        <w:rPr>
          <w:rFonts w:eastAsiaTheme="minorHAnsi"/>
          <w:lang w:eastAsia="en-US"/>
        </w:rPr>
        <w:t xml:space="preserve">providing </w:t>
      </w:r>
      <w:r w:rsidRPr="000E3C8C">
        <w:rPr>
          <w:rFonts w:eastAsiaTheme="minorHAnsi"/>
        </w:rPr>
        <w:t xml:space="preserve">the </w:t>
      </w:r>
      <w:proofErr w:type="spellStart"/>
      <w:r w:rsidRPr="000E3C8C">
        <w:rPr>
          <w:rFonts w:eastAsiaTheme="minorHAnsi"/>
        </w:rPr>
        <w:t>JobKeeper</w:t>
      </w:r>
      <w:proofErr w:type="spellEnd"/>
      <w:r w:rsidRPr="000E3C8C">
        <w:rPr>
          <w:rFonts w:eastAsiaTheme="minorHAnsi"/>
        </w:rPr>
        <w:t xml:space="preserve"> Payment to help businesses </w:t>
      </w:r>
      <w:r w:rsidR="001A18DE" w:rsidRPr="000E3C8C">
        <w:rPr>
          <w:rFonts w:eastAsiaTheme="minorHAnsi"/>
        </w:rPr>
        <w:t>and not</w:t>
      </w:r>
      <w:r w:rsidR="00E834B1">
        <w:rPr>
          <w:rFonts w:eastAsiaTheme="minorHAnsi"/>
        </w:rPr>
        <w:noBreakHyphen/>
      </w:r>
      <w:r w:rsidR="001A18DE" w:rsidRPr="000E3C8C">
        <w:rPr>
          <w:rFonts w:eastAsiaTheme="minorHAnsi"/>
        </w:rPr>
        <w:t>for</w:t>
      </w:r>
      <w:r w:rsidR="00E834B1">
        <w:rPr>
          <w:rFonts w:eastAsiaTheme="minorHAnsi"/>
        </w:rPr>
        <w:noBreakHyphen/>
      </w:r>
      <w:r w:rsidR="001A18DE" w:rsidRPr="000E3C8C">
        <w:rPr>
          <w:rFonts w:eastAsiaTheme="minorHAnsi"/>
        </w:rPr>
        <w:t xml:space="preserve">profits </w:t>
      </w:r>
      <w:r w:rsidRPr="000E3C8C">
        <w:rPr>
          <w:rFonts w:eastAsiaTheme="minorHAnsi"/>
        </w:rPr>
        <w:t>significantly impacted by COVID</w:t>
      </w:r>
      <w:r w:rsidR="00E834B1">
        <w:rPr>
          <w:rFonts w:eastAsiaTheme="minorHAnsi"/>
        </w:rPr>
        <w:noBreakHyphen/>
      </w:r>
      <w:r w:rsidRPr="000E3C8C">
        <w:rPr>
          <w:rFonts w:eastAsiaTheme="minorHAnsi"/>
        </w:rPr>
        <w:t>19 cover the costs of their employees</w:t>
      </w:r>
      <w:r w:rsidR="00E834B1">
        <w:rPr>
          <w:rFonts w:eastAsiaTheme="minorHAnsi"/>
        </w:rPr>
        <w:t>’</w:t>
      </w:r>
      <w:r w:rsidRPr="000E3C8C">
        <w:rPr>
          <w:rFonts w:eastAsiaTheme="minorHAnsi"/>
        </w:rPr>
        <w:t xml:space="preserve"> wages, </w:t>
      </w:r>
      <w:r w:rsidR="000C0E14" w:rsidRPr="000E3C8C">
        <w:rPr>
          <w:rFonts w:eastAsiaTheme="minorHAnsi"/>
        </w:rPr>
        <w:fldChar w:fldCharType="begin"/>
      </w:r>
      <w:r w:rsidR="000C0E14" w:rsidRPr="000E3C8C">
        <w:rPr>
          <w:rFonts w:eastAsiaTheme="minorHAnsi"/>
        </w:rPr>
        <w:instrText xml:space="preserve"> :End:</w:instrText>
      </w:r>
      <w:r w:rsidR="00B62B4A" w:rsidRPr="000E3C8C">
        <w:rPr>
          <w:rFonts w:eastAsiaTheme="minorHAnsi"/>
        </w:rPr>
        <w:instrText>BPCD_DD1</w:instrText>
      </w:r>
      <w:r w:rsidR="000C0E14" w:rsidRPr="000E3C8C">
        <w:rPr>
          <w:rFonts w:eastAsiaTheme="minorHAnsi"/>
        </w:rPr>
        <w:instrText xml:space="preserve"> </w:instrText>
      </w:r>
      <w:r w:rsidR="000C0E14" w:rsidRPr="000E3C8C">
        <w:rPr>
          <w:rFonts w:eastAsiaTheme="minorHAnsi"/>
        </w:rPr>
        <w:fldChar w:fldCharType="end"/>
      </w:r>
      <w:r w:rsidR="00537E95" w:rsidRPr="000E3C8C">
        <w:rPr>
          <w:rFonts w:eastAsiaTheme="minorHAnsi"/>
        </w:rPr>
        <w:fldChar w:fldCharType="begin"/>
      </w:r>
      <w:r w:rsidR="00537E95" w:rsidRPr="000E3C8C">
        <w:rPr>
          <w:rFonts w:eastAsiaTheme="minorHAnsi"/>
        </w:rPr>
        <w:instrText xml:space="preserve"> :Start:JKD_PB1 </w:instrText>
      </w:r>
      <w:r w:rsidR="00537E95" w:rsidRPr="000E3C8C">
        <w:rPr>
          <w:rFonts w:eastAsiaTheme="minorHAnsi"/>
        </w:rPr>
        <w:fldChar w:fldCharType="end"/>
      </w:r>
      <w:r w:rsidRPr="000E3C8C">
        <w:rPr>
          <w:rFonts w:eastAsiaTheme="minorHAnsi"/>
        </w:rPr>
        <w:t>so more Australians can retain their jobs and continue to earn an income ($8</w:t>
      </w:r>
      <w:r w:rsidR="00A959B2" w:rsidRPr="000E3C8C">
        <w:rPr>
          <w:rFonts w:eastAsiaTheme="minorHAnsi"/>
        </w:rPr>
        <w:t>5.7</w:t>
      </w:r>
      <w:r w:rsidRPr="000E3C8C">
        <w:rPr>
          <w:rFonts w:eastAsiaTheme="minorHAnsi"/>
        </w:rPr>
        <w:t xml:space="preserve"> billion over two years from 2019</w:t>
      </w:r>
      <w:r w:rsidR="00E834B1">
        <w:rPr>
          <w:rFonts w:eastAsiaTheme="minorHAnsi"/>
        </w:rPr>
        <w:noBreakHyphen/>
      </w:r>
      <w:r w:rsidRPr="000E3C8C">
        <w:rPr>
          <w:rFonts w:eastAsiaTheme="minorHAnsi"/>
        </w:rPr>
        <w:t>20)</w:t>
      </w:r>
      <w:r w:rsidR="00537E95" w:rsidRPr="000E3C8C">
        <w:rPr>
          <w:rFonts w:eastAsiaTheme="minorHAnsi"/>
        </w:rPr>
        <w:fldChar w:fldCharType="begin"/>
      </w:r>
      <w:r w:rsidR="00537E95" w:rsidRPr="000E3C8C">
        <w:rPr>
          <w:rFonts w:eastAsiaTheme="minorHAnsi"/>
        </w:rPr>
        <w:instrText xml:space="preserve"> :End:JKD_PB1 </w:instrText>
      </w:r>
      <w:r w:rsidR="00537E95" w:rsidRPr="000E3C8C">
        <w:rPr>
          <w:rFonts w:eastAsiaTheme="minorHAnsi"/>
        </w:rPr>
        <w:fldChar w:fldCharType="end"/>
      </w:r>
    </w:p>
    <w:p w14:paraId="3CAE5154" w14:textId="20DCA37A" w:rsidR="006A65A0" w:rsidRPr="000E3C8C" w:rsidRDefault="00C501C0" w:rsidP="006A65A0">
      <w:pPr>
        <w:pStyle w:val="Bullet"/>
        <w:spacing w:after="200"/>
        <w:rPr>
          <w:rFonts w:eastAsiaTheme="minorHAnsi"/>
        </w:rPr>
      </w:pPr>
      <w:r w:rsidRPr="000E3C8C">
        <w:rPr>
          <w:rFonts w:eastAsiaTheme="minorHAnsi"/>
        </w:rPr>
        <w:fldChar w:fldCharType="begin"/>
      </w:r>
      <w:r w:rsidRPr="000E3C8C">
        <w:rPr>
          <w:rFonts w:eastAsiaTheme="minorHAnsi"/>
        </w:rPr>
        <w:instrText xml:space="preserve"> :Start:IITD_HT1 </w:instrText>
      </w:r>
      <w:r w:rsidRPr="000E3C8C">
        <w:rPr>
          <w:rFonts w:eastAsiaTheme="minorHAnsi"/>
        </w:rPr>
        <w:fldChar w:fldCharType="end"/>
      </w:r>
      <w:r w:rsidR="006A65A0" w:rsidRPr="000E3C8C">
        <w:rPr>
          <w:rFonts w:eastAsiaTheme="minorHAnsi"/>
        </w:rPr>
        <w:t>providing temporary tax</w:t>
      </w:r>
      <w:r w:rsidR="00E834B1">
        <w:rPr>
          <w:rFonts w:eastAsiaTheme="minorHAnsi"/>
        </w:rPr>
        <w:noBreakHyphen/>
      </w:r>
      <w:r w:rsidR="006A65A0" w:rsidRPr="000E3C8C">
        <w:rPr>
          <w:rFonts w:eastAsiaTheme="minorHAnsi"/>
        </w:rPr>
        <w:t>free cash flow boosts of between $20,000 and $100,000 to eligible small and</w:t>
      </w:r>
      <w:r w:rsidRPr="000E3C8C">
        <w:rPr>
          <w:rFonts w:eastAsiaTheme="minorHAnsi"/>
        </w:rPr>
        <w:fldChar w:fldCharType="begin"/>
      </w:r>
      <w:r w:rsidRPr="000E3C8C">
        <w:rPr>
          <w:rFonts w:eastAsiaTheme="minorHAnsi"/>
        </w:rPr>
        <w:instrText xml:space="preserve"> :End:IITD_HT1 </w:instrText>
      </w:r>
      <w:r w:rsidRPr="000E3C8C">
        <w:rPr>
          <w:rFonts w:eastAsiaTheme="minorHAnsi"/>
        </w:rPr>
        <w:fldChar w:fldCharType="end"/>
      </w:r>
      <w:r w:rsidR="006A65A0" w:rsidRPr="000E3C8C">
        <w:rPr>
          <w:rFonts w:eastAsiaTheme="minorHAnsi"/>
        </w:rPr>
        <w:t xml:space="preserve"> </w:t>
      </w:r>
      <w:r w:rsidRPr="000E3C8C">
        <w:rPr>
          <w:rFonts w:eastAsiaTheme="minorHAnsi"/>
        </w:rPr>
        <w:fldChar w:fldCharType="begin"/>
      </w:r>
      <w:r w:rsidRPr="000E3C8C">
        <w:rPr>
          <w:rFonts w:eastAsiaTheme="minorHAnsi"/>
        </w:rPr>
        <w:instrText xml:space="preserve"> :Start:BPCD_</w:instrText>
      </w:r>
      <w:r w:rsidR="00B75C02" w:rsidRPr="000E3C8C">
        <w:rPr>
          <w:rFonts w:eastAsiaTheme="minorHAnsi"/>
        </w:rPr>
        <w:instrText>DD</w:instrText>
      </w:r>
      <w:r w:rsidRPr="000E3C8C">
        <w:rPr>
          <w:rFonts w:eastAsiaTheme="minorHAnsi"/>
        </w:rPr>
        <w:instrText xml:space="preserve">1 </w:instrText>
      </w:r>
      <w:r w:rsidRPr="000E3C8C">
        <w:rPr>
          <w:rFonts w:eastAsiaTheme="minorHAnsi"/>
        </w:rPr>
        <w:fldChar w:fldCharType="end"/>
      </w:r>
      <w:r w:rsidR="006A65A0" w:rsidRPr="000E3C8C">
        <w:rPr>
          <w:rFonts w:eastAsiaTheme="minorHAnsi"/>
        </w:rPr>
        <w:t>medium</w:t>
      </w:r>
      <w:r w:rsidR="00E834B1">
        <w:rPr>
          <w:rFonts w:eastAsiaTheme="minorHAnsi"/>
        </w:rPr>
        <w:noBreakHyphen/>
      </w:r>
      <w:r w:rsidR="006A65A0" w:rsidRPr="000E3C8C">
        <w:rPr>
          <w:rFonts w:eastAsiaTheme="minorHAnsi"/>
        </w:rPr>
        <w:t>sized businesses and not</w:t>
      </w:r>
      <w:r w:rsidR="00E834B1">
        <w:rPr>
          <w:rFonts w:eastAsiaTheme="minorHAnsi"/>
        </w:rPr>
        <w:noBreakHyphen/>
      </w:r>
      <w:r w:rsidR="006A65A0" w:rsidRPr="000E3C8C">
        <w:rPr>
          <w:rFonts w:eastAsiaTheme="minorHAnsi"/>
        </w:rPr>
        <w:t>for</w:t>
      </w:r>
      <w:r w:rsidR="00E834B1">
        <w:rPr>
          <w:rFonts w:eastAsiaTheme="minorHAnsi"/>
        </w:rPr>
        <w:noBreakHyphen/>
      </w:r>
      <w:r w:rsidR="006A65A0" w:rsidRPr="000E3C8C">
        <w:rPr>
          <w:rFonts w:eastAsiaTheme="minorHAnsi"/>
        </w:rPr>
        <w:t>profits ($31.9 billion over two years from 2019</w:t>
      </w:r>
      <w:r w:rsidR="00E834B1">
        <w:rPr>
          <w:rFonts w:eastAsiaTheme="minorHAnsi"/>
        </w:rPr>
        <w:noBreakHyphen/>
      </w:r>
      <w:r w:rsidR="006A65A0" w:rsidRPr="000E3C8C">
        <w:rPr>
          <w:rFonts w:eastAsiaTheme="minorHAnsi"/>
        </w:rPr>
        <w:t>20)</w:t>
      </w:r>
    </w:p>
    <w:p w14:paraId="3676B2A7" w14:textId="695FADE1" w:rsidR="00641428" w:rsidRPr="000E3C8C" w:rsidRDefault="00641428" w:rsidP="00641428">
      <w:pPr>
        <w:pStyle w:val="Bullet"/>
        <w:spacing w:after="200"/>
        <w:rPr>
          <w:rFonts w:eastAsiaTheme="minorHAnsi"/>
        </w:rPr>
      </w:pPr>
      <w:r w:rsidRPr="000E3C8C">
        <w:rPr>
          <w:rFonts w:eastAsiaTheme="minorHAnsi"/>
        </w:rPr>
        <w:t xml:space="preserve">providing a time limited Coronavirus </w:t>
      </w:r>
      <w:r w:rsidR="00E834B1">
        <w:rPr>
          <w:rFonts w:eastAsiaTheme="minorHAnsi"/>
        </w:rPr>
        <w:t>S</w:t>
      </w:r>
      <w:r w:rsidRPr="000E3C8C">
        <w:rPr>
          <w:rFonts w:eastAsiaTheme="minorHAnsi"/>
        </w:rPr>
        <w:t>upplement to new and existing income support recipients and temporarily expanding eligibility to income support payments ($16.8 billion over five years from 2019</w:t>
      </w:r>
      <w:r w:rsidR="00E834B1">
        <w:rPr>
          <w:rFonts w:eastAsiaTheme="minorHAnsi"/>
        </w:rPr>
        <w:noBreakHyphen/>
      </w:r>
      <w:r w:rsidRPr="000E3C8C">
        <w:rPr>
          <w:rFonts w:eastAsiaTheme="minorHAnsi"/>
        </w:rPr>
        <w:t>20)</w:t>
      </w:r>
    </w:p>
    <w:p w14:paraId="02B08724" w14:textId="23EE7D94" w:rsidR="00641428" w:rsidRPr="000E3C8C" w:rsidRDefault="00641428" w:rsidP="00641428">
      <w:pPr>
        <w:pStyle w:val="Bullet"/>
        <w:spacing w:after="200"/>
        <w:rPr>
          <w:rFonts w:eastAsiaTheme="minorHAnsi"/>
        </w:rPr>
      </w:pPr>
      <w:r w:rsidRPr="000E3C8C">
        <w:rPr>
          <w:rFonts w:eastAsiaTheme="minorHAnsi"/>
        </w:rPr>
        <w:t xml:space="preserve">providing eligible pensioners, income support recipients, carers and student payment recipients two separate $750 economic support payments ($9.4 billion over </w:t>
      </w:r>
      <w:r w:rsidR="00DC08BC">
        <w:rPr>
          <w:rFonts w:eastAsiaTheme="minorHAnsi"/>
        </w:rPr>
        <w:t>four</w:t>
      </w:r>
      <w:r w:rsidRPr="000E3C8C">
        <w:rPr>
          <w:rFonts w:eastAsiaTheme="minorHAnsi"/>
        </w:rPr>
        <w:t xml:space="preserve"> years from 2019</w:t>
      </w:r>
      <w:r w:rsidR="00E834B1">
        <w:rPr>
          <w:rFonts w:eastAsiaTheme="minorHAnsi"/>
        </w:rPr>
        <w:noBreakHyphen/>
      </w:r>
      <w:r w:rsidRPr="000E3C8C">
        <w:rPr>
          <w:rFonts w:eastAsiaTheme="minorHAnsi"/>
        </w:rPr>
        <w:t>20)</w:t>
      </w:r>
    </w:p>
    <w:p w14:paraId="493D14B8" w14:textId="20F8CF67" w:rsidR="00641428" w:rsidRPr="000E3C8C" w:rsidRDefault="00641428" w:rsidP="00641428">
      <w:pPr>
        <w:pStyle w:val="Bullet"/>
        <w:spacing w:after="200"/>
        <w:rPr>
          <w:rFonts w:eastAsiaTheme="minorHAnsi"/>
        </w:rPr>
      </w:pPr>
      <w:r w:rsidRPr="000E3C8C">
        <w:rPr>
          <w:rFonts w:eastAsiaTheme="minorHAnsi"/>
        </w:rPr>
        <w:t xml:space="preserve">funding a package of measures to support hospitals </w:t>
      </w:r>
      <w:r w:rsidR="00D415BA" w:rsidRPr="000E3C8C">
        <w:rPr>
          <w:rFonts w:eastAsiaTheme="minorHAnsi"/>
        </w:rPr>
        <w:t xml:space="preserve">to </w:t>
      </w:r>
      <w:r w:rsidRPr="000E3C8C">
        <w:rPr>
          <w:rFonts w:eastAsiaTheme="minorHAnsi"/>
        </w:rPr>
        <w:t>respond to COVID</w:t>
      </w:r>
      <w:r w:rsidR="00E834B1">
        <w:rPr>
          <w:rFonts w:eastAsiaTheme="minorHAnsi"/>
        </w:rPr>
        <w:noBreakHyphen/>
      </w:r>
      <w:r w:rsidRPr="000E3C8C">
        <w:rPr>
          <w:rFonts w:eastAsiaTheme="minorHAnsi"/>
        </w:rPr>
        <w:t>19, including a commitment to pay for half of all additional costs incurred by states and territories in diagnosing and treating patients with COVID</w:t>
      </w:r>
      <w:r w:rsidR="00E834B1">
        <w:rPr>
          <w:rFonts w:eastAsiaTheme="minorHAnsi"/>
        </w:rPr>
        <w:noBreakHyphen/>
      </w:r>
      <w:r w:rsidRPr="000E3C8C">
        <w:rPr>
          <w:rFonts w:eastAsiaTheme="minorHAnsi"/>
        </w:rPr>
        <w:t>19 and a viability guarantee for private hospitals, as a result of reduced elective surgery activity, and to provide surge capacity to assist public hospitals ($3.7 billion over two years from</w:t>
      </w:r>
      <w:r w:rsidR="00BF3081">
        <w:rPr>
          <w:rFonts w:eastAsiaTheme="minorHAnsi"/>
        </w:rPr>
        <w:t> </w:t>
      </w:r>
      <w:r w:rsidRPr="000E3C8C">
        <w:rPr>
          <w:rFonts w:eastAsiaTheme="minorHAnsi"/>
        </w:rPr>
        <w:t>2019</w:t>
      </w:r>
      <w:r w:rsidR="00E834B1">
        <w:rPr>
          <w:rFonts w:eastAsiaTheme="minorHAnsi"/>
        </w:rPr>
        <w:noBreakHyphen/>
      </w:r>
      <w:r w:rsidRPr="000E3C8C">
        <w:rPr>
          <w:rFonts w:eastAsiaTheme="minorHAnsi"/>
        </w:rPr>
        <w:t>20)</w:t>
      </w:r>
    </w:p>
    <w:p w14:paraId="4750A9DE" w14:textId="1DD6C63C" w:rsidR="00641428" w:rsidRPr="000E3C8C" w:rsidRDefault="00641428" w:rsidP="00641428">
      <w:pPr>
        <w:pStyle w:val="Bullet"/>
        <w:rPr>
          <w:rFonts w:eastAsiaTheme="minorHAnsi"/>
          <w:lang w:eastAsia="en-US"/>
        </w:rPr>
      </w:pPr>
      <w:proofErr w:type="gramStart"/>
      <w:r w:rsidRPr="000E3C8C">
        <w:rPr>
          <w:rFonts w:eastAsiaTheme="minorHAnsi"/>
        </w:rPr>
        <w:t>committing</w:t>
      </w:r>
      <w:proofErr w:type="gramEnd"/>
      <w:r w:rsidRPr="000E3C8C">
        <w:rPr>
          <w:rFonts w:eastAsiaTheme="minorHAnsi"/>
        </w:rPr>
        <w:t xml:space="preserve"> $2.0 billion to a National Bushfire Recovery Fund (NBRF) to assist communities and businesses to recover and rebuild following the 2019</w:t>
      </w:r>
      <w:r w:rsidR="00E834B1">
        <w:rPr>
          <w:rFonts w:eastAsiaTheme="minorHAnsi"/>
        </w:rPr>
        <w:noBreakHyphen/>
      </w:r>
      <w:r w:rsidRPr="000E3C8C">
        <w:rPr>
          <w:rFonts w:eastAsiaTheme="minorHAnsi"/>
        </w:rPr>
        <w:t>20 bushfires ($2.0 billion over four years from 2019</w:t>
      </w:r>
      <w:r w:rsidR="00E834B1">
        <w:rPr>
          <w:rFonts w:eastAsiaTheme="minorHAnsi"/>
        </w:rPr>
        <w:noBreakHyphen/>
      </w:r>
      <w:r w:rsidRPr="000E3C8C">
        <w:rPr>
          <w:rFonts w:eastAsiaTheme="minorHAnsi"/>
        </w:rPr>
        <w:t xml:space="preserve">20). The NBRF is in addition to funding provided through existing </w:t>
      </w:r>
      <w:proofErr w:type="gramStart"/>
      <w:r w:rsidRPr="000E3C8C">
        <w:rPr>
          <w:rFonts w:eastAsiaTheme="minorHAnsi"/>
        </w:rPr>
        <w:t>disaster</w:t>
      </w:r>
      <w:r w:rsidRPr="000E3C8C">
        <w:rPr>
          <w:rFonts w:eastAsiaTheme="minorHAnsi"/>
          <w:lang w:eastAsia="en-US"/>
        </w:rPr>
        <w:t xml:space="preserve"> recovery assistance arrangements</w:t>
      </w:r>
      <w:proofErr w:type="gramEnd"/>
      <w:r w:rsidRPr="000E3C8C">
        <w:rPr>
          <w:rFonts w:eastAsiaTheme="minorHAnsi"/>
          <w:lang w:eastAsia="en-US"/>
        </w:rPr>
        <w:t>.</w:t>
      </w:r>
    </w:p>
    <w:p w14:paraId="6B093D26" w14:textId="6227B969" w:rsidR="001854ED" w:rsidRPr="000E3C8C" w:rsidRDefault="00C501C0" w:rsidP="00587818">
      <w:pPr>
        <w:pStyle w:val="Heading3"/>
      </w:pPr>
      <w:r w:rsidRPr="000E3C8C">
        <w:lastRenderedPageBreak/>
        <w:fldChar w:fldCharType="begin"/>
      </w:r>
      <w:r w:rsidRPr="000E3C8C">
        <w:instrText xml:space="preserve"> :End:BPCD_</w:instrText>
      </w:r>
      <w:r w:rsidR="00B75C02" w:rsidRPr="000E3C8C">
        <w:instrText>DD</w:instrText>
      </w:r>
      <w:r w:rsidRPr="000E3C8C">
        <w:instrText xml:space="preserve">1 </w:instrText>
      </w:r>
      <w:r w:rsidRPr="000E3C8C">
        <w:fldChar w:fldCharType="end"/>
      </w:r>
      <w:r w:rsidR="002810AD" w:rsidRPr="000E3C8C">
        <w:fldChar w:fldCharType="begin"/>
      </w:r>
      <w:r w:rsidR="002810AD" w:rsidRPr="000E3C8C">
        <w:instrText xml:space="preserve"> :Start:BPCD_ER1 </w:instrText>
      </w:r>
      <w:r w:rsidR="002810AD" w:rsidRPr="000E3C8C">
        <w:fldChar w:fldCharType="end"/>
      </w:r>
      <w:r w:rsidR="001854ED" w:rsidRPr="000E3C8C">
        <w:t>Parameter and other variations</w:t>
      </w:r>
    </w:p>
    <w:p w14:paraId="04565389" w14:textId="28DF5E78" w:rsidR="00DE0F73" w:rsidRPr="000E3C8C" w:rsidRDefault="00DE0F73" w:rsidP="00DE0F73">
      <w:pPr>
        <w:rPr>
          <w:rFonts w:cs="Arial"/>
        </w:rPr>
      </w:pPr>
      <w:r w:rsidRPr="000E3C8C">
        <w:rPr>
          <w:rFonts w:cs="Arial"/>
        </w:rPr>
        <w:t>Parameter and other variations since the 2019</w:t>
      </w:r>
      <w:r w:rsidR="00E834B1">
        <w:rPr>
          <w:rFonts w:cs="Arial"/>
        </w:rPr>
        <w:noBreakHyphen/>
      </w:r>
      <w:r w:rsidRPr="000E3C8C">
        <w:rPr>
          <w:rFonts w:cs="Arial"/>
        </w:rPr>
        <w:t>20 MYEFO</w:t>
      </w:r>
      <w:r w:rsidRPr="000E3C8C" w:rsidDel="00076D84">
        <w:rPr>
          <w:rFonts w:cs="Arial"/>
        </w:rPr>
        <w:t xml:space="preserve"> </w:t>
      </w:r>
      <w:r w:rsidRPr="000E3C8C">
        <w:rPr>
          <w:rFonts w:cs="Arial"/>
        </w:rPr>
        <w:t>have increased total payments by $15.7 billion over the two years to 2020</w:t>
      </w:r>
      <w:r w:rsidR="00E834B1">
        <w:rPr>
          <w:rFonts w:cs="Arial"/>
        </w:rPr>
        <w:noBreakHyphen/>
      </w:r>
      <w:r w:rsidRPr="000E3C8C">
        <w:rPr>
          <w:rFonts w:cs="Arial"/>
        </w:rPr>
        <w:t xml:space="preserve">21. The increases in payments </w:t>
      </w:r>
      <w:proofErr w:type="gramStart"/>
      <w:r w:rsidRPr="000E3C8C">
        <w:rPr>
          <w:rFonts w:cs="Arial"/>
        </w:rPr>
        <w:t>are primarily driven</w:t>
      </w:r>
      <w:proofErr w:type="gramEnd"/>
      <w:r w:rsidRPr="000E3C8C">
        <w:rPr>
          <w:rFonts w:cs="Arial"/>
        </w:rPr>
        <w:t xml:space="preserve"> by the unprecedented economic impacts of the COVID</w:t>
      </w:r>
      <w:r w:rsidR="00E834B1">
        <w:rPr>
          <w:rFonts w:cs="Arial"/>
        </w:rPr>
        <w:noBreakHyphen/>
      </w:r>
      <w:r w:rsidRPr="000E3C8C">
        <w:rPr>
          <w:rFonts w:cs="Arial"/>
        </w:rPr>
        <w:t>19 pandemic and include:</w:t>
      </w:r>
    </w:p>
    <w:p w14:paraId="7ECF5FEB" w14:textId="0C6F8D53" w:rsidR="00DE0F73" w:rsidRPr="000E3C8C" w:rsidRDefault="00DE0F73">
      <w:pPr>
        <w:pStyle w:val="Bullet"/>
      </w:pPr>
      <w:r w:rsidRPr="000E3C8C">
        <w:t>payments relating to the Job Seeker Income Support program, which are expected to increase by $11.8 billion over the two years to 2020</w:t>
      </w:r>
      <w:r w:rsidR="00E834B1">
        <w:noBreakHyphen/>
      </w:r>
      <w:r w:rsidRPr="000E3C8C">
        <w:t>21, largely reflecting an increase in the forecast recipient numbers as a result of the impact of the COVID</w:t>
      </w:r>
      <w:r w:rsidR="00E834B1">
        <w:noBreakHyphen/>
      </w:r>
      <w:r w:rsidRPr="000E3C8C">
        <w:t>19 pandemic on employment levels</w:t>
      </w:r>
    </w:p>
    <w:p w14:paraId="749FC091" w14:textId="2BBE420C" w:rsidR="00DE0F73" w:rsidRPr="000E3C8C" w:rsidRDefault="00DE0F73">
      <w:pPr>
        <w:pStyle w:val="Bullet"/>
        <w:rPr>
          <w:color w:val="000000" w:themeColor="text1"/>
        </w:rPr>
      </w:pPr>
      <w:r w:rsidRPr="000E3C8C">
        <w:rPr>
          <w:color w:val="000000" w:themeColor="text1"/>
        </w:rPr>
        <w:t xml:space="preserve">payments </w:t>
      </w:r>
      <w:r w:rsidR="00DA7F4D">
        <w:rPr>
          <w:color w:val="000000" w:themeColor="text1"/>
        </w:rPr>
        <w:t>relating</w:t>
      </w:r>
      <w:r w:rsidRPr="000E3C8C">
        <w:rPr>
          <w:color w:val="000000" w:themeColor="text1"/>
        </w:rPr>
        <w:t xml:space="preserve"> to the National Disability Insurance Scheme, which are expected to increase by $2.3 billion over the two years to 2020</w:t>
      </w:r>
      <w:r w:rsidR="00E834B1">
        <w:rPr>
          <w:color w:val="000000" w:themeColor="text1"/>
        </w:rPr>
        <w:noBreakHyphen/>
      </w:r>
      <w:r w:rsidRPr="000E3C8C">
        <w:rPr>
          <w:color w:val="000000" w:themeColor="text1"/>
        </w:rPr>
        <w:t>21, largely reflecting higher than expected average participant costs</w:t>
      </w:r>
    </w:p>
    <w:p w14:paraId="2FAB60CE" w14:textId="534AFE81" w:rsidR="00DE0F73" w:rsidRPr="000E3C8C" w:rsidRDefault="00DE0F73">
      <w:pPr>
        <w:pStyle w:val="Bullet"/>
        <w:rPr>
          <w:color w:val="000000" w:themeColor="text1"/>
        </w:rPr>
      </w:pPr>
      <w:r w:rsidRPr="000E3C8C">
        <w:t>payments relating to Commonwealth Debt Management, which are expected to increase by $1.1 billion over the two years to 2020</w:t>
      </w:r>
      <w:r w:rsidR="00E834B1">
        <w:noBreakHyphen/>
      </w:r>
      <w:r w:rsidRPr="000E3C8C">
        <w:t>21, largely reflecting the higher servicing costs from increased levels of Australian Government Securities on issue</w:t>
      </w:r>
    </w:p>
    <w:p w14:paraId="5CAD887D" w14:textId="6219A21E" w:rsidR="00DE0F73" w:rsidRPr="000E3C8C" w:rsidRDefault="00DE0F73">
      <w:pPr>
        <w:pStyle w:val="Bullet"/>
      </w:pPr>
      <w:r w:rsidRPr="000E3C8C">
        <w:rPr>
          <w:color w:val="000000" w:themeColor="text1"/>
        </w:rPr>
        <w:t>payments relating to the Family Tax Benefit program, which are expected to increase by $591 million over the two years to 2020</w:t>
      </w:r>
      <w:r w:rsidR="00E834B1">
        <w:rPr>
          <w:color w:val="000000" w:themeColor="text1"/>
        </w:rPr>
        <w:noBreakHyphen/>
      </w:r>
      <w:r w:rsidRPr="000E3C8C">
        <w:rPr>
          <w:color w:val="000000" w:themeColor="text1"/>
        </w:rPr>
        <w:t xml:space="preserve">21, largely reflecting an increase to average payment rates and recipient numbers as a result of increased unemployment, reduction in hours worked and reduced </w:t>
      </w:r>
      <w:r w:rsidRPr="000E3C8C">
        <w:t>workforce participation due to the impacts of the COVID</w:t>
      </w:r>
      <w:r w:rsidR="00E834B1">
        <w:noBreakHyphen/>
      </w:r>
      <w:r w:rsidRPr="000E3C8C">
        <w:t>19 pandemic</w:t>
      </w:r>
    </w:p>
    <w:p w14:paraId="7EC914EF" w14:textId="58B85ADC" w:rsidR="009673B0" w:rsidRPr="000E3C8C" w:rsidRDefault="009673B0">
      <w:pPr>
        <w:pStyle w:val="Bullet"/>
      </w:pPr>
      <w:r w:rsidRPr="000E3C8C">
        <w:t>payments relating to the Disability and Carers program, which are expected to increase by $569 million over the two years to 2020</w:t>
      </w:r>
      <w:r w:rsidR="00E834B1">
        <w:noBreakHyphen/>
      </w:r>
      <w:r w:rsidRPr="000E3C8C">
        <w:t>21, largely reflecting an increase in Disability Employment Services client numbers</w:t>
      </w:r>
    </w:p>
    <w:p w14:paraId="6F0BB32E" w14:textId="19CEB7E6" w:rsidR="00DE0F73" w:rsidRPr="000E3C8C" w:rsidRDefault="00DE0F73">
      <w:pPr>
        <w:pStyle w:val="Bullet"/>
      </w:pPr>
      <w:r w:rsidRPr="000E3C8C">
        <w:t>payments relating to the Income Support for People with Disability program, which are expected to increase by $527 million over the two years to 2020</w:t>
      </w:r>
      <w:r w:rsidR="00E834B1">
        <w:noBreakHyphen/>
      </w:r>
      <w:r w:rsidRPr="000E3C8C">
        <w:t>21, largely reflecting</w:t>
      </w:r>
      <w:r w:rsidR="001A49CE" w:rsidRPr="000E3C8C">
        <w:t xml:space="preserve"> a</w:t>
      </w:r>
      <w:r w:rsidRPr="000E3C8C">
        <w:t xml:space="preserve"> higher than projected number of recipients and average payment rates as a result of the impact of the COVID</w:t>
      </w:r>
      <w:r w:rsidR="00E834B1">
        <w:noBreakHyphen/>
      </w:r>
      <w:r w:rsidRPr="000E3C8C">
        <w:t>19 pandemic on employment levels</w:t>
      </w:r>
    </w:p>
    <w:p w14:paraId="69B545E9" w14:textId="77777777" w:rsidR="00DA7F4D" w:rsidRPr="000E3C8C" w:rsidRDefault="00DA7F4D" w:rsidP="00DA7F4D">
      <w:pPr>
        <w:pStyle w:val="Bullet"/>
      </w:pPr>
      <w:r w:rsidRPr="000E3C8C">
        <w:t>payments relating to Services Australia Departmental Funding, which are expected to increase by $5</w:t>
      </w:r>
      <w:r>
        <w:t>12</w:t>
      </w:r>
      <w:r w:rsidRPr="000E3C8C">
        <w:t> million over the two years to 2020</w:t>
      </w:r>
      <w:r>
        <w:noBreakHyphen/>
      </w:r>
      <w:r w:rsidRPr="000E3C8C">
        <w:t>21, largely reflecting</w:t>
      </w:r>
      <w:r>
        <w:t xml:space="preserve"> a</w:t>
      </w:r>
      <w:r w:rsidRPr="000E3C8C">
        <w:t xml:space="preserve"> higher volume of claims to process as a result of the impact of the COVID</w:t>
      </w:r>
      <w:r>
        <w:noBreakHyphen/>
      </w:r>
      <w:r w:rsidRPr="000E3C8C">
        <w:t>19 pandemic on employment levels</w:t>
      </w:r>
    </w:p>
    <w:p w14:paraId="2EE5D73D" w14:textId="1B295268" w:rsidR="00DE0F73" w:rsidRPr="000E3C8C" w:rsidRDefault="00DE0F73" w:rsidP="00E133D8">
      <w:pPr>
        <w:pStyle w:val="Bullet"/>
      </w:pPr>
      <w:proofErr w:type="gramStart"/>
      <w:r w:rsidRPr="000E3C8C">
        <w:t>payments</w:t>
      </w:r>
      <w:proofErr w:type="gramEnd"/>
      <w:r w:rsidRPr="000E3C8C">
        <w:t xml:space="preserve"> relating to the Australian Government Disaster Financial Support Payments program, which are expected to increase by $452 million over the two years to 2020</w:t>
      </w:r>
      <w:r w:rsidR="00E834B1">
        <w:noBreakHyphen/>
      </w:r>
      <w:r w:rsidRPr="000E3C8C">
        <w:t>21, largely reflecting the Government</w:t>
      </w:r>
      <w:r w:rsidR="00E834B1">
        <w:t>’</w:t>
      </w:r>
      <w:r w:rsidRPr="000E3C8C">
        <w:t>s support for recovery in response to natural disaster events such as the Queensland monsoon event, Tropical Cyclone Blake and the bushfires of 2019</w:t>
      </w:r>
      <w:r w:rsidR="00E834B1">
        <w:noBreakHyphen/>
      </w:r>
      <w:r w:rsidRPr="000E3C8C">
        <w:t>20</w:t>
      </w:r>
      <w:r w:rsidR="002A115E" w:rsidRPr="000E3C8C">
        <w:t xml:space="preserve">. </w:t>
      </w:r>
    </w:p>
    <w:p w14:paraId="45A2503E" w14:textId="77777777" w:rsidR="00DD4598" w:rsidRPr="000E3C8C" w:rsidRDefault="00DD4598">
      <w:pPr>
        <w:spacing w:after="160" w:line="259" w:lineRule="auto"/>
        <w:jc w:val="left"/>
        <w:rPr>
          <w:rFonts w:cs="Arial"/>
          <w:color w:val="000000" w:themeColor="text1"/>
        </w:rPr>
      </w:pPr>
      <w:r w:rsidRPr="000E3C8C">
        <w:rPr>
          <w:rFonts w:cs="Arial"/>
          <w:color w:val="000000" w:themeColor="text1"/>
        </w:rPr>
        <w:br w:type="page"/>
      </w:r>
    </w:p>
    <w:p w14:paraId="427EFC60" w14:textId="6BAA7CFE" w:rsidR="00DE0F73" w:rsidRPr="000E3C8C" w:rsidRDefault="00DE0F73" w:rsidP="00DE0F73">
      <w:pPr>
        <w:spacing w:before="240"/>
        <w:jc w:val="left"/>
        <w:rPr>
          <w:rFonts w:cs="Arial"/>
          <w:color w:val="000000" w:themeColor="text1"/>
        </w:rPr>
      </w:pPr>
      <w:r w:rsidRPr="000E3C8C">
        <w:rPr>
          <w:rFonts w:cs="Arial"/>
          <w:color w:val="000000" w:themeColor="text1"/>
        </w:rPr>
        <w:lastRenderedPageBreak/>
        <w:t xml:space="preserve">Major decreases in payments </w:t>
      </w:r>
      <w:proofErr w:type="gramStart"/>
      <w:r w:rsidRPr="000E3C8C">
        <w:rPr>
          <w:rFonts w:cs="Arial"/>
          <w:color w:val="000000" w:themeColor="text1"/>
        </w:rPr>
        <w:t>as a result</w:t>
      </w:r>
      <w:proofErr w:type="gramEnd"/>
      <w:r w:rsidRPr="000E3C8C">
        <w:rPr>
          <w:rFonts w:cs="Arial"/>
          <w:color w:val="000000" w:themeColor="text1"/>
        </w:rPr>
        <w:t xml:space="preserve"> of parameter and other variations since the 2019</w:t>
      </w:r>
      <w:r w:rsidR="00E834B1">
        <w:rPr>
          <w:rFonts w:cs="Arial"/>
          <w:color w:val="000000" w:themeColor="text1"/>
        </w:rPr>
        <w:noBreakHyphen/>
      </w:r>
      <w:r w:rsidRPr="000E3C8C">
        <w:rPr>
          <w:rFonts w:cs="Arial"/>
          <w:color w:val="000000" w:themeColor="text1"/>
        </w:rPr>
        <w:t>20 MYEFO include:</w:t>
      </w:r>
    </w:p>
    <w:p w14:paraId="1CA4D814" w14:textId="76FB3989" w:rsidR="00DE0F73" w:rsidRPr="000E3C8C" w:rsidRDefault="00DE0F73" w:rsidP="00844638">
      <w:pPr>
        <w:pStyle w:val="Bullet"/>
        <w:spacing w:after="200"/>
      </w:pPr>
      <w:r w:rsidRPr="000E3C8C">
        <w:t xml:space="preserve">payments relating to the provision of GST to the </w:t>
      </w:r>
      <w:r w:rsidR="00F87A2F" w:rsidRPr="000E3C8C">
        <w:t>s</w:t>
      </w:r>
      <w:r w:rsidRPr="000E3C8C">
        <w:t xml:space="preserve">tates and </w:t>
      </w:r>
      <w:r w:rsidR="00F87A2F" w:rsidRPr="000E3C8C">
        <w:t>t</w:t>
      </w:r>
      <w:r w:rsidRPr="000E3C8C">
        <w:t>erritories, which are expected to decrease by $12.7 billion over the two years to 2020</w:t>
      </w:r>
      <w:r w:rsidR="00E834B1">
        <w:noBreakHyphen/>
      </w:r>
      <w:r w:rsidRPr="000E3C8C">
        <w:t>21, consistent with a reduction in GST receipts</w:t>
      </w:r>
    </w:p>
    <w:p w14:paraId="7F86E7E2" w14:textId="20A18739" w:rsidR="00F92038" w:rsidRDefault="009D5F1D" w:rsidP="000529FB">
      <w:pPr>
        <w:pStyle w:val="Bullet"/>
        <w:spacing w:after="200"/>
      </w:pPr>
      <w:proofErr w:type="gramStart"/>
      <w:r w:rsidRPr="000E3C8C">
        <w:t>payments</w:t>
      </w:r>
      <w:proofErr w:type="gramEnd"/>
      <w:r w:rsidRPr="000E3C8C">
        <w:t xml:space="preserve"> relating to the Families and Children program, which are expected to decrease by $610 million over the two years to 2020</w:t>
      </w:r>
      <w:r w:rsidR="00E834B1">
        <w:noBreakHyphen/>
      </w:r>
      <w:r w:rsidRPr="000E3C8C">
        <w:t>21. This largely reflects a re</w:t>
      </w:r>
      <w:r w:rsidR="00E834B1">
        <w:noBreakHyphen/>
      </w:r>
      <w:r w:rsidRPr="000E3C8C">
        <w:t>profiling of expenditure due to slower than expected uptake by survivors accessing redress under the National Redress Scheme. There has also been an associated downward re</w:t>
      </w:r>
      <w:r w:rsidR="00E834B1">
        <w:noBreakHyphen/>
      </w:r>
      <w:r w:rsidRPr="000E3C8C">
        <w:t>profiling of the expected receipts received from</w:t>
      </w:r>
      <w:r w:rsidR="00DA7F4D">
        <w:t xml:space="preserve"> the</w:t>
      </w:r>
      <w:r w:rsidRPr="000E3C8C">
        <w:t xml:space="preserve"> institutions liable for the payments. Payments </w:t>
      </w:r>
      <w:proofErr w:type="gramStart"/>
      <w:r w:rsidRPr="000E3C8C">
        <w:t>are generally made</w:t>
      </w:r>
      <w:proofErr w:type="gramEnd"/>
      <w:r w:rsidRPr="000E3C8C">
        <w:t xml:space="preserve"> around a week </w:t>
      </w:r>
      <w:r w:rsidR="000328DE">
        <w:t xml:space="preserve">from </w:t>
      </w:r>
      <w:r w:rsidRPr="000E3C8C">
        <w:t>survivors accepting an offer.</w:t>
      </w:r>
    </w:p>
    <w:tbl>
      <w:tblPr>
        <w:tblW w:w="5000" w:type="pct"/>
        <w:shd w:val="clear" w:color="auto" w:fill="EBEBEB"/>
        <w:tblLook w:val="0000" w:firstRow="0" w:lastRow="0" w:firstColumn="0" w:lastColumn="0" w:noHBand="0" w:noVBand="0"/>
      </w:tblPr>
      <w:tblGrid>
        <w:gridCol w:w="7710"/>
      </w:tblGrid>
      <w:tr w:rsidR="003D5AA2" w:rsidRPr="000E3C8C" w14:paraId="2FE4F623" w14:textId="77777777" w:rsidTr="00587818">
        <w:trPr>
          <w:cantSplit/>
        </w:trPr>
        <w:tc>
          <w:tcPr>
            <w:tcW w:w="5000" w:type="pct"/>
            <w:shd w:val="clear" w:color="auto" w:fill="EBEBEB"/>
          </w:tcPr>
          <w:p w14:paraId="72F66494" w14:textId="7B25FD08" w:rsidR="003D5AA2" w:rsidRPr="000E3C8C" w:rsidRDefault="002810AD" w:rsidP="003D5AA2">
            <w:pPr>
              <w:pStyle w:val="BoxHeading"/>
              <w:spacing w:line="252" w:lineRule="auto"/>
              <w:rPr>
                <w:lang w:eastAsia="en-US"/>
              </w:rPr>
            </w:pPr>
            <w:r w:rsidRPr="000E3C8C">
              <w:rPr>
                <w:lang w:eastAsia="en-US"/>
              </w:rPr>
              <w:lastRenderedPageBreak/>
              <w:fldChar w:fldCharType="begin"/>
            </w:r>
            <w:r w:rsidRPr="000E3C8C">
              <w:rPr>
                <w:lang w:eastAsia="en-US"/>
              </w:rPr>
              <w:instrText xml:space="preserve"> :End:BPCD_ER1 </w:instrText>
            </w:r>
            <w:r w:rsidRPr="000E3C8C">
              <w:rPr>
                <w:lang w:eastAsia="en-US"/>
              </w:rPr>
              <w:fldChar w:fldCharType="end"/>
            </w:r>
            <w:r w:rsidR="008819F3" w:rsidRPr="000E3C8C">
              <w:rPr>
                <w:lang w:eastAsia="en-US"/>
              </w:rPr>
              <w:fldChar w:fldCharType="begin"/>
            </w:r>
            <w:r w:rsidR="008819F3" w:rsidRPr="000E3C8C">
              <w:rPr>
                <w:lang w:eastAsia="en-US"/>
              </w:rPr>
              <w:instrText xml:space="preserve"> :Start:</w:instrText>
            </w:r>
            <w:r w:rsidR="00B62B4A" w:rsidRPr="000E3C8C">
              <w:rPr>
                <w:lang w:eastAsia="en-US"/>
              </w:rPr>
              <w:instrText>BPCD_DD1</w:instrText>
            </w:r>
            <w:r w:rsidR="008819F3" w:rsidRPr="000E3C8C">
              <w:rPr>
                <w:lang w:eastAsia="en-US"/>
              </w:rPr>
              <w:instrText xml:space="preserve"> </w:instrText>
            </w:r>
            <w:r w:rsidR="008819F3" w:rsidRPr="000E3C8C">
              <w:rPr>
                <w:lang w:eastAsia="en-US"/>
              </w:rPr>
              <w:fldChar w:fldCharType="end"/>
            </w:r>
            <w:r w:rsidR="003D5AA2" w:rsidRPr="000E3C8C">
              <w:rPr>
                <w:lang w:eastAsia="en-US"/>
              </w:rPr>
              <w:t>Box 3.</w:t>
            </w:r>
            <w:r w:rsidR="00A14807" w:rsidRPr="000E3C8C">
              <w:rPr>
                <w:lang w:eastAsia="en-US"/>
              </w:rPr>
              <w:t>3</w:t>
            </w:r>
            <w:r w:rsidR="003D5AA2" w:rsidRPr="000E3C8C">
              <w:rPr>
                <w:lang w:eastAsia="en-US"/>
              </w:rPr>
              <w:t>: Advance to the Finance Minister (AFM) in response to COVID</w:t>
            </w:r>
            <w:r w:rsidR="00E834B1">
              <w:rPr>
                <w:lang w:eastAsia="en-US"/>
              </w:rPr>
              <w:noBreakHyphen/>
            </w:r>
            <w:r w:rsidR="003D5AA2" w:rsidRPr="000E3C8C">
              <w:rPr>
                <w:lang w:eastAsia="en-US"/>
              </w:rPr>
              <w:t>19</w:t>
            </w:r>
          </w:p>
          <w:p w14:paraId="717D78AD" w14:textId="77777777" w:rsidR="003D5AA2" w:rsidRPr="000E3C8C" w:rsidRDefault="003D5AA2" w:rsidP="003D5AA2">
            <w:pPr>
              <w:rPr>
                <w:lang w:eastAsia="en-US"/>
              </w:rPr>
            </w:pPr>
            <w:r w:rsidRPr="000E3C8C">
              <w:rPr>
                <w:lang w:eastAsia="en-US"/>
              </w:rPr>
              <w:t xml:space="preserve">AFM provisions under the annual Appropriation Acts enable urgently required allocations to </w:t>
            </w:r>
            <w:proofErr w:type="gramStart"/>
            <w:r w:rsidRPr="000E3C8C">
              <w:rPr>
                <w:lang w:eastAsia="en-US"/>
              </w:rPr>
              <w:t>be issued</w:t>
            </w:r>
            <w:proofErr w:type="gramEnd"/>
            <w:r w:rsidRPr="000E3C8C">
              <w:rPr>
                <w:lang w:eastAsia="en-US"/>
              </w:rPr>
              <w:t xml:space="preserve"> to entities during the year. </w:t>
            </w:r>
            <w:proofErr w:type="gramStart"/>
            <w:r w:rsidRPr="000E3C8C">
              <w:rPr>
                <w:lang w:eastAsia="en-US"/>
              </w:rPr>
              <w:t>Allocations are made through a Determination by the Minister for Finance</w:t>
            </w:r>
            <w:proofErr w:type="gramEnd"/>
            <w:r w:rsidRPr="000E3C8C">
              <w:rPr>
                <w:lang w:eastAsia="en-US"/>
              </w:rPr>
              <w:t xml:space="preserve"> up to a statutory limit in the annual Appropriation Acts.</w:t>
            </w:r>
          </w:p>
          <w:p w14:paraId="758B68E0" w14:textId="2DD1F2C0" w:rsidR="003D5AA2" w:rsidRPr="000E3C8C" w:rsidRDefault="003D5AA2" w:rsidP="003D5AA2">
            <w:pPr>
              <w:rPr>
                <w:lang w:eastAsia="en-US"/>
              </w:rPr>
            </w:pPr>
            <w:r w:rsidRPr="000E3C8C">
              <w:rPr>
                <w:lang w:eastAsia="en-US"/>
              </w:rPr>
              <w:t>Given the unique and evolving nature of the COVID</w:t>
            </w:r>
            <w:r w:rsidR="00E834B1">
              <w:rPr>
                <w:lang w:eastAsia="en-US"/>
              </w:rPr>
              <w:noBreakHyphen/>
            </w:r>
            <w:r w:rsidRPr="000E3C8C">
              <w:rPr>
                <w:lang w:eastAsia="en-US"/>
              </w:rPr>
              <w:t>19 pandemic and the associated uncertainty around the Government</w:t>
            </w:r>
            <w:r w:rsidR="00E834B1">
              <w:rPr>
                <w:lang w:eastAsia="en-US"/>
              </w:rPr>
              <w:t>’</w:t>
            </w:r>
            <w:r w:rsidRPr="000E3C8C">
              <w:rPr>
                <w:lang w:eastAsia="en-US"/>
              </w:rPr>
              <w:t>s necessary response, Parliament supported extraordinary AFM provisions in 2019</w:t>
            </w:r>
            <w:r w:rsidR="00E834B1">
              <w:rPr>
                <w:lang w:eastAsia="en-US"/>
              </w:rPr>
              <w:noBreakHyphen/>
            </w:r>
            <w:r w:rsidRPr="000E3C8C">
              <w:rPr>
                <w:lang w:eastAsia="en-US"/>
              </w:rPr>
              <w:t>20 and in the 2020</w:t>
            </w:r>
            <w:r w:rsidR="00E834B1">
              <w:rPr>
                <w:lang w:eastAsia="en-US"/>
              </w:rPr>
              <w:noBreakHyphen/>
            </w:r>
            <w:r w:rsidRPr="000E3C8C">
              <w:rPr>
                <w:lang w:eastAsia="en-US"/>
              </w:rPr>
              <w:t xml:space="preserve">21 Supply Acts. </w:t>
            </w:r>
          </w:p>
          <w:p w14:paraId="2D1DED72" w14:textId="27D0AD69" w:rsidR="003D5AA2" w:rsidRPr="000E3C8C" w:rsidRDefault="003D5AA2" w:rsidP="003D5AA2">
            <w:pPr>
              <w:rPr>
                <w:lang w:eastAsia="en-US"/>
              </w:rPr>
            </w:pPr>
            <w:r w:rsidRPr="000E3C8C">
              <w:rPr>
                <w:lang w:eastAsia="en-US"/>
              </w:rPr>
              <w:t>In 2019</w:t>
            </w:r>
            <w:r w:rsidR="00E834B1">
              <w:rPr>
                <w:lang w:eastAsia="en-US"/>
              </w:rPr>
              <w:noBreakHyphen/>
            </w:r>
            <w:r w:rsidRPr="000E3C8C">
              <w:rPr>
                <w:lang w:eastAsia="en-US"/>
              </w:rPr>
              <w:t xml:space="preserve">20, $1,974 million was allocated from total AFM provisions of $42,975 million across </w:t>
            </w:r>
            <w:r w:rsidRPr="000E3C8C">
              <w:rPr>
                <w:i/>
                <w:lang w:eastAsia="en-US"/>
              </w:rPr>
              <w:t>Appropriation Acts 2019</w:t>
            </w:r>
            <w:r w:rsidR="00E834B1">
              <w:rPr>
                <w:i/>
                <w:lang w:eastAsia="en-US"/>
              </w:rPr>
              <w:noBreakHyphen/>
            </w:r>
            <w:r w:rsidRPr="000E3C8C">
              <w:rPr>
                <w:i/>
                <w:lang w:eastAsia="en-US"/>
              </w:rPr>
              <w:t>20</w:t>
            </w:r>
            <w:r w:rsidRPr="000E3C8C">
              <w:rPr>
                <w:lang w:eastAsia="en-US"/>
              </w:rPr>
              <w:t xml:space="preserve"> (Nos. 1 to 6) and </w:t>
            </w:r>
            <w:r w:rsidRPr="000E3C8C">
              <w:rPr>
                <w:i/>
                <w:lang w:eastAsia="en-US"/>
              </w:rPr>
              <w:t>Appropriation (Coronavirus Economic Response Package) Acts</w:t>
            </w:r>
            <w:r w:rsidRPr="000E3C8C">
              <w:rPr>
                <w:lang w:eastAsia="en-US"/>
              </w:rPr>
              <w:t xml:space="preserve"> </w:t>
            </w:r>
            <w:r w:rsidRPr="000E3C8C">
              <w:rPr>
                <w:i/>
                <w:lang w:eastAsia="en-US"/>
              </w:rPr>
              <w:t>2019</w:t>
            </w:r>
            <w:r w:rsidR="00E834B1">
              <w:rPr>
                <w:i/>
                <w:lang w:eastAsia="en-US"/>
              </w:rPr>
              <w:noBreakHyphen/>
            </w:r>
            <w:r w:rsidRPr="000E3C8C">
              <w:rPr>
                <w:i/>
                <w:lang w:eastAsia="en-US"/>
              </w:rPr>
              <w:t>20</w:t>
            </w:r>
            <w:r w:rsidRPr="000E3C8C">
              <w:rPr>
                <w:lang w:eastAsia="en-US"/>
              </w:rPr>
              <w:t xml:space="preserve"> (Nos. 1 and 2).</w:t>
            </w:r>
            <w:r w:rsidR="008819F3" w:rsidRPr="000E3C8C">
              <w:rPr>
                <w:lang w:eastAsia="en-US"/>
              </w:rPr>
              <w:fldChar w:fldCharType="begin"/>
            </w:r>
            <w:r w:rsidR="008819F3" w:rsidRPr="000E3C8C">
              <w:rPr>
                <w:lang w:eastAsia="en-US"/>
              </w:rPr>
              <w:instrText xml:space="preserve"> :End:</w:instrText>
            </w:r>
            <w:r w:rsidR="00B62B4A" w:rsidRPr="000E3C8C">
              <w:rPr>
                <w:lang w:eastAsia="en-US"/>
              </w:rPr>
              <w:instrText>BPCD_DD1</w:instrText>
            </w:r>
            <w:r w:rsidR="008819F3" w:rsidRPr="000E3C8C">
              <w:rPr>
                <w:lang w:eastAsia="en-US"/>
              </w:rPr>
              <w:instrText xml:space="preserve"> </w:instrText>
            </w:r>
            <w:r w:rsidR="008819F3" w:rsidRPr="000E3C8C">
              <w:rPr>
                <w:lang w:eastAsia="en-US"/>
              </w:rPr>
              <w:fldChar w:fldCharType="end"/>
            </w:r>
            <w:r w:rsidRPr="000E3C8C">
              <w:rPr>
                <w:lang w:eastAsia="en-US"/>
              </w:rPr>
              <w:t xml:space="preserve"> </w:t>
            </w:r>
          </w:p>
          <w:p w14:paraId="2187D272" w14:textId="17AB3213" w:rsidR="00F12218" w:rsidRPr="000E3C8C" w:rsidRDefault="00F12218" w:rsidP="00F12218">
            <w:pPr>
              <w:pStyle w:val="TableHeading"/>
              <w:rPr>
                <w:lang w:eastAsia="en-US"/>
              </w:rPr>
            </w:pPr>
            <w:r w:rsidRPr="000E3C8C">
              <w:fldChar w:fldCharType="begin"/>
            </w:r>
            <w:r w:rsidRPr="000E3C8C">
              <w:instrText xml:space="preserve"> :Start:</w:instrText>
            </w:r>
            <w:r w:rsidR="00B62B4A" w:rsidRPr="000E3C8C">
              <w:instrText>BPCD_DD1</w:instrText>
            </w:r>
            <w:r w:rsidRPr="000E3C8C">
              <w:instrText xml:space="preserve"> </w:instrText>
            </w:r>
            <w:r w:rsidRPr="000E3C8C">
              <w:fldChar w:fldCharType="end"/>
            </w:r>
            <w:r w:rsidRPr="000E3C8C">
              <w:t>Table 3.5: AFMs issued in 2019</w:t>
            </w:r>
            <w:r w:rsidR="00E834B1">
              <w:noBreakHyphen/>
            </w:r>
            <w:r w:rsidRPr="000E3C8C">
              <w:t>20</w:t>
            </w:r>
          </w:p>
          <w:tbl>
            <w:tblPr>
              <w:tblStyle w:val="TableGrid"/>
              <w:tblW w:w="73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
              <w:gridCol w:w="1519"/>
              <w:gridCol w:w="1052"/>
              <w:gridCol w:w="2207"/>
              <w:gridCol w:w="1159"/>
              <w:gridCol w:w="1017"/>
            </w:tblGrid>
            <w:tr w:rsidR="00F12218" w:rsidRPr="000E3C8C" w14:paraId="18094552" w14:textId="77777777" w:rsidTr="00AD5779">
              <w:trPr>
                <w:trHeight w:val="547"/>
              </w:trPr>
              <w:tc>
                <w:tcPr>
                  <w:tcW w:w="483" w:type="dxa"/>
                  <w:tcBorders>
                    <w:top w:val="single" w:sz="4" w:space="0" w:color="auto"/>
                    <w:bottom w:val="single" w:sz="4" w:space="0" w:color="auto"/>
                  </w:tcBorders>
                  <w:vAlign w:val="bottom"/>
                  <w:hideMark/>
                </w:tcPr>
                <w:p w14:paraId="72A11968" w14:textId="77777777" w:rsidR="00F12218" w:rsidRPr="000E3C8C" w:rsidRDefault="00F12218" w:rsidP="00F12218">
                  <w:pPr>
                    <w:pStyle w:val="TableColumnHeadingLeft"/>
                  </w:pPr>
                  <w:r w:rsidRPr="000E3C8C">
                    <w:t>No.</w:t>
                  </w:r>
                </w:p>
              </w:tc>
              <w:tc>
                <w:tcPr>
                  <w:tcW w:w="1519" w:type="dxa"/>
                  <w:tcBorders>
                    <w:top w:val="single" w:sz="4" w:space="0" w:color="auto"/>
                    <w:bottom w:val="single" w:sz="4" w:space="0" w:color="auto"/>
                  </w:tcBorders>
                  <w:vAlign w:val="bottom"/>
                  <w:hideMark/>
                </w:tcPr>
                <w:p w14:paraId="29589B40" w14:textId="77777777" w:rsidR="00F12218" w:rsidRPr="000E3C8C" w:rsidRDefault="00F12218" w:rsidP="00F12218">
                  <w:pPr>
                    <w:pStyle w:val="TableColumnHeadingLeft"/>
                  </w:pPr>
                  <w:r w:rsidRPr="000E3C8C">
                    <w:t>Appropriation Source</w:t>
                  </w:r>
                </w:p>
              </w:tc>
              <w:tc>
                <w:tcPr>
                  <w:tcW w:w="1049" w:type="dxa"/>
                  <w:tcBorders>
                    <w:top w:val="single" w:sz="4" w:space="0" w:color="auto"/>
                    <w:bottom w:val="single" w:sz="4" w:space="0" w:color="auto"/>
                  </w:tcBorders>
                  <w:vAlign w:val="bottom"/>
                </w:tcPr>
                <w:p w14:paraId="4748B274" w14:textId="77777777" w:rsidR="00F12218" w:rsidRPr="000E3C8C" w:rsidRDefault="00F12218" w:rsidP="00F12218">
                  <w:pPr>
                    <w:pStyle w:val="TableColumnHeadingLeft"/>
                  </w:pPr>
                  <w:r w:rsidRPr="000E3C8C">
                    <w:t>Entity</w:t>
                  </w:r>
                </w:p>
              </w:tc>
              <w:tc>
                <w:tcPr>
                  <w:tcW w:w="2207" w:type="dxa"/>
                  <w:tcBorders>
                    <w:top w:val="single" w:sz="4" w:space="0" w:color="auto"/>
                    <w:bottom w:val="single" w:sz="4" w:space="0" w:color="auto"/>
                  </w:tcBorders>
                  <w:vAlign w:val="bottom"/>
                  <w:hideMark/>
                </w:tcPr>
                <w:p w14:paraId="4AF2DB90" w14:textId="77777777" w:rsidR="00F12218" w:rsidRPr="000E3C8C" w:rsidRDefault="00F12218" w:rsidP="00F12218">
                  <w:pPr>
                    <w:pStyle w:val="TableColumnHeadingLeft"/>
                  </w:pPr>
                  <w:r w:rsidRPr="000E3C8C">
                    <w:t>Purpose</w:t>
                  </w:r>
                </w:p>
              </w:tc>
              <w:tc>
                <w:tcPr>
                  <w:tcW w:w="1098" w:type="dxa"/>
                  <w:tcBorders>
                    <w:top w:val="single" w:sz="4" w:space="0" w:color="auto"/>
                    <w:bottom w:val="single" w:sz="4" w:space="0" w:color="auto"/>
                  </w:tcBorders>
                  <w:vAlign w:val="bottom"/>
                  <w:hideMark/>
                </w:tcPr>
                <w:p w14:paraId="61DE11D4" w14:textId="77777777" w:rsidR="00F12218" w:rsidRPr="000E3C8C" w:rsidRDefault="00F12218" w:rsidP="00F12218">
                  <w:pPr>
                    <w:pStyle w:val="TableColumnHeadingRight"/>
                  </w:pPr>
                  <w:r w:rsidRPr="000E3C8C">
                    <w:t>Amount($m)</w:t>
                  </w:r>
                </w:p>
              </w:tc>
              <w:tc>
                <w:tcPr>
                  <w:tcW w:w="965" w:type="dxa"/>
                  <w:tcBorders>
                    <w:top w:val="single" w:sz="4" w:space="0" w:color="auto"/>
                    <w:bottom w:val="single" w:sz="4" w:space="0" w:color="auto"/>
                  </w:tcBorders>
                  <w:vAlign w:val="bottom"/>
                  <w:hideMark/>
                </w:tcPr>
                <w:p w14:paraId="1F5EEF26" w14:textId="77777777" w:rsidR="00F12218" w:rsidRPr="000E3C8C" w:rsidRDefault="00F12218" w:rsidP="00F12218">
                  <w:pPr>
                    <w:pStyle w:val="TableColumnHeadingRight"/>
                  </w:pPr>
                  <w:r w:rsidRPr="000E3C8C">
                    <w:t>Allocation Date</w:t>
                  </w:r>
                </w:p>
              </w:tc>
            </w:tr>
            <w:tr w:rsidR="00F12218" w:rsidRPr="000E3C8C" w14:paraId="5BB78BEE" w14:textId="77777777" w:rsidTr="00AD5779">
              <w:trPr>
                <w:trHeight w:val="272"/>
              </w:trPr>
              <w:tc>
                <w:tcPr>
                  <w:tcW w:w="483" w:type="dxa"/>
                  <w:tcBorders>
                    <w:top w:val="single" w:sz="4" w:space="0" w:color="auto"/>
                  </w:tcBorders>
                  <w:noWrap/>
                  <w:hideMark/>
                </w:tcPr>
                <w:p w14:paraId="36B51D54" w14:textId="77777777" w:rsidR="00F12218" w:rsidRPr="000E3C8C" w:rsidRDefault="00F12218" w:rsidP="00F12218">
                  <w:pPr>
                    <w:pStyle w:val="TableTextLeft"/>
                  </w:pPr>
                  <w:r w:rsidRPr="000E3C8C">
                    <w:t>1</w:t>
                  </w:r>
                </w:p>
              </w:tc>
              <w:tc>
                <w:tcPr>
                  <w:tcW w:w="1519" w:type="dxa"/>
                  <w:tcBorders>
                    <w:top w:val="single" w:sz="4" w:space="0" w:color="auto"/>
                  </w:tcBorders>
                  <w:noWrap/>
                  <w:hideMark/>
                </w:tcPr>
                <w:p w14:paraId="5D32DE61" w14:textId="09C8ABC7" w:rsidR="00F12218" w:rsidRPr="000E3C8C" w:rsidRDefault="00F12218" w:rsidP="00F12218">
                  <w:pPr>
                    <w:pStyle w:val="TableTextLeft"/>
                    <w:rPr>
                      <w:i/>
                    </w:rPr>
                  </w:pPr>
                  <w:r w:rsidRPr="000E3C8C">
                    <w:rPr>
                      <w:i/>
                    </w:rPr>
                    <w:t>Appropriation Act (No.2) 2019</w:t>
                  </w:r>
                  <w:r w:rsidR="00E834B1">
                    <w:rPr>
                      <w:i/>
                    </w:rPr>
                    <w:noBreakHyphen/>
                  </w:r>
                  <w:r w:rsidRPr="000E3C8C">
                    <w:rPr>
                      <w:i/>
                    </w:rPr>
                    <w:t>2020</w:t>
                  </w:r>
                </w:p>
              </w:tc>
              <w:tc>
                <w:tcPr>
                  <w:tcW w:w="1049" w:type="dxa"/>
                  <w:tcBorders>
                    <w:top w:val="single" w:sz="4" w:space="0" w:color="auto"/>
                  </w:tcBorders>
                </w:tcPr>
                <w:p w14:paraId="038A184B" w14:textId="77777777" w:rsidR="00F12218" w:rsidRPr="000E3C8C" w:rsidRDefault="00F12218" w:rsidP="00F12218">
                  <w:pPr>
                    <w:pStyle w:val="TableTextLeft"/>
                  </w:pPr>
                  <w:r w:rsidRPr="000E3C8C">
                    <w:t>Department of Health</w:t>
                  </w:r>
                </w:p>
              </w:tc>
              <w:tc>
                <w:tcPr>
                  <w:tcW w:w="2207" w:type="dxa"/>
                  <w:tcBorders>
                    <w:top w:val="single" w:sz="4" w:space="0" w:color="auto"/>
                  </w:tcBorders>
                  <w:noWrap/>
                  <w:hideMark/>
                </w:tcPr>
                <w:p w14:paraId="63D29BAF" w14:textId="77777777" w:rsidR="00F12218" w:rsidRPr="000E3C8C" w:rsidRDefault="00F12218" w:rsidP="00F12218">
                  <w:pPr>
                    <w:pStyle w:val="TableTextLeft"/>
                  </w:pPr>
                  <w:r w:rsidRPr="000E3C8C">
                    <w:t>Procurement of masks and other emergency medical or emergency health equipment for the National Medical Stockpile</w:t>
                  </w:r>
                </w:p>
              </w:tc>
              <w:tc>
                <w:tcPr>
                  <w:tcW w:w="1098" w:type="dxa"/>
                  <w:tcBorders>
                    <w:top w:val="single" w:sz="4" w:space="0" w:color="auto"/>
                  </w:tcBorders>
                  <w:noWrap/>
                  <w:hideMark/>
                </w:tcPr>
                <w:p w14:paraId="21AB6962" w14:textId="77777777" w:rsidR="00F12218" w:rsidRPr="000E3C8C" w:rsidRDefault="00F12218" w:rsidP="00F12218">
                  <w:pPr>
                    <w:pStyle w:val="TableTextRight"/>
                  </w:pPr>
                  <w:r w:rsidRPr="000E3C8C">
                    <w:t>100</w:t>
                  </w:r>
                </w:p>
              </w:tc>
              <w:tc>
                <w:tcPr>
                  <w:tcW w:w="965" w:type="dxa"/>
                  <w:tcBorders>
                    <w:top w:val="single" w:sz="4" w:space="0" w:color="auto"/>
                  </w:tcBorders>
                  <w:noWrap/>
                  <w:hideMark/>
                </w:tcPr>
                <w:p w14:paraId="47F6A227" w14:textId="77777777" w:rsidR="00F12218" w:rsidRPr="000E3C8C" w:rsidRDefault="00F12218" w:rsidP="00F12218">
                  <w:pPr>
                    <w:pStyle w:val="TableTextRight"/>
                  </w:pPr>
                  <w:r w:rsidRPr="000E3C8C">
                    <w:t>4/03/2020</w:t>
                  </w:r>
                </w:p>
              </w:tc>
            </w:tr>
            <w:tr w:rsidR="00F12218" w:rsidRPr="000E3C8C" w14:paraId="1128F91C" w14:textId="77777777" w:rsidTr="00AD5779">
              <w:trPr>
                <w:trHeight w:val="272"/>
              </w:trPr>
              <w:tc>
                <w:tcPr>
                  <w:tcW w:w="483" w:type="dxa"/>
                  <w:noWrap/>
                  <w:hideMark/>
                </w:tcPr>
                <w:p w14:paraId="2B801A88" w14:textId="77777777" w:rsidR="00F12218" w:rsidRPr="000E3C8C" w:rsidRDefault="00F12218" w:rsidP="00F12218">
                  <w:pPr>
                    <w:pStyle w:val="TableTextLeft"/>
                  </w:pPr>
                  <w:r w:rsidRPr="000E3C8C">
                    <w:t>2</w:t>
                  </w:r>
                </w:p>
              </w:tc>
              <w:tc>
                <w:tcPr>
                  <w:tcW w:w="1519" w:type="dxa"/>
                  <w:noWrap/>
                  <w:hideMark/>
                </w:tcPr>
                <w:p w14:paraId="6C868A8D" w14:textId="3604EA43" w:rsidR="00F12218" w:rsidRPr="000E3C8C" w:rsidRDefault="00F12218" w:rsidP="00F12218">
                  <w:pPr>
                    <w:pStyle w:val="TableTextLeft"/>
                    <w:rPr>
                      <w:i/>
                    </w:rPr>
                  </w:pPr>
                  <w:r w:rsidRPr="000E3C8C">
                    <w:rPr>
                      <w:i/>
                    </w:rPr>
                    <w:t>Appropriation Act (No.2) 2019</w:t>
                  </w:r>
                  <w:r w:rsidR="00E834B1">
                    <w:rPr>
                      <w:i/>
                    </w:rPr>
                    <w:noBreakHyphen/>
                  </w:r>
                  <w:r w:rsidRPr="000E3C8C">
                    <w:rPr>
                      <w:i/>
                    </w:rPr>
                    <w:t>2020</w:t>
                  </w:r>
                </w:p>
              </w:tc>
              <w:tc>
                <w:tcPr>
                  <w:tcW w:w="1049" w:type="dxa"/>
                </w:tcPr>
                <w:p w14:paraId="007E3771" w14:textId="77777777" w:rsidR="00F12218" w:rsidRPr="000E3C8C" w:rsidRDefault="00F12218" w:rsidP="00F12218">
                  <w:pPr>
                    <w:pStyle w:val="TableTextLeft"/>
                  </w:pPr>
                  <w:r w:rsidRPr="000E3C8C">
                    <w:t>Department of Health</w:t>
                  </w:r>
                </w:p>
              </w:tc>
              <w:tc>
                <w:tcPr>
                  <w:tcW w:w="2207" w:type="dxa"/>
                  <w:noWrap/>
                  <w:hideMark/>
                </w:tcPr>
                <w:p w14:paraId="0521930A" w14:textId="77777777" w:rsidR="00F12218" w:rsidRPr="000E3C8C" w:rsidRDefault="00F12218" w:rsidP="00F12218">
                  <w:pPr>
                    <w:pStyle w:val="TableTextLeft"/>
                  </w:pPr>
                  <w:r w:rsidRPr="000E3C8C">
                    <w:t>Procurement of masks and other emergency medical or emergency health equipment for the National Medical Stockpile</w:t>
                  </w:r>
                </w:p>
              </w:tc>
              <w:tc>
                <w:tcPr>
                  <w:tcW w:w="1098" w:type="dxa"/>
                  <w:noWrap/>
                  <w:hideMark/>
                </w:tcPr>
                <w:p w14:paraId="7412A7D2" w14:textId="77777777" w:rsidR="00F12218" w:rsidRPr="000E3C8C" w:rsidRDefault="00F12218" w:rsidP="00F12218">
                  <w:pPr>
                    <w:pStyle w:val="TableTextRight"/>
                  </w:pPr>
                  <w:r w:rsidRPr="000E3C8C">
                    <w:t>200</w:t>
                  </w:r>
                </w:p>
              </w:tc>
              <w:tc>
                <w:tcPr>
                  <w:tcW w:w="965" w:type="dxa"/>
                  <w:noWrap/>
                  <w:hideMark/>
                </w:tcPr>
                <w:p w14:paraId="0ABD09AD" w14:textId="77777777" w:rsidR="00F12218" w:rsidRPr="000E3C8C" w:rsidRDefault="00F12218" w:rsidP="00F12218">
                  <w:pPr>
                    <w:pStyle w:val="TableTextRight"/>
                  </w:pPr>
                  <w:r w:rsidRPr="000E3C8C">
                    <w:t>9/03/2020</w:t>
                  </w:r>
                </w:p>
              </w:tc>
            </w:tr>
            <w:tr w:rsidR="00F12218" w:rsidRPr="000E3C8C" w14:paraId="35ED7F61" w14:textId="77777777" w:rsidTr="00AD5779">
              <w:trPr>
                <w:trHeight w:val="272"/>
              </w:trPr>
              <w:tc>
                <w:tcPr>
                  <w:tcW w:w="483" w:type="dxa"/>
                  <w:noWrap/>
                </w:tcPr>
                <w:p w14:paraId="6BE950AE" w14:textId="77777777" w:rsidR="00F12218" w:rsidRPr="000E3C8C" w:rsidRDefault="00F12218" w:rsidP="00F12218">
                  <w:pPr>
                    <w:pStyle w:val="TableTextLeft"/>
                  </w:pPr>
                  <w:r w:rsidRPr="000E3C8C">
                    <w:t>3</w:t>
                  </w:r>
                </w:p>
              </w:tc>
              <w:tc>
                <w:tcPr>
                  <w:tcW w:w="1519" w:type="dxa"/>
                  <w:noWrap/>
                </w:tcPr>
                <w:p w14:paraId="70C9152D" w14:textId="768A1F05" w:rsidR="00F12218" w:rsidRPr="000E3C8C" w:rsidRDefault="00F12218" w:rsidP="00F12218">
                  <w:pPr>
                    <w:pStyle w:val="TableTextLeft"/>
                    <w:rPr>
                      <w:i/>
                    </w:rPr>
                  </w:pPr>
                  <w:r w:rsidRPr="000E3C8C">
                    <w:rPr>
                      <w:i/>
                    </w:rPr>
                    <w:t>Appropriation (Coronavirus Economic Response Package) Act (No.2) 2019</w:t>
                  </w:r>
                  <w:r w:rsidR="00E834B1">
                    <w:rPr>
                      <w:i/>
                    </w:rPr>
                    <w:noBreakHyphen/>
                  </w:r>
                  <w:r w:rsidRPr="000E3C8C">
                    <w:rPr>
                      <w:i/>
                    </w:rPr>
                    <w:t>2020</w:t>
                  </w:r>
                </w:p>
              </w:tc>
              <w:tc>
                <w:tcPr>
                  <w:tcW w:w="1049" w:type="dxa"/>
                </w:tcPr>
                <w:p w14:paraId="6D3E43D3" w14:textId="77777777" w:rsidR="00F12218" w:rsidRPr="000E3C8C" w:rsidRDefault="00F12218" w:rsidP="00F12218">
                  <w:pPr>
                    <w:pStyle w:val="TableTextLeft"/>
                  </w:pPr>
                  <w:r w:rsidRPr="000E3C8C">
                    <w:t>Department of Health</w:t>
                  </w:r>
                </w:p>
              </w:tc>
              <w:tc>
                <w:tcPr>
                  <w:tcW w:w="2207" w:type="dxa"/>
                  <w:noWrap/>
                </w:tcPr>
                <w:p w14:paraId="08BCE5D3" w14:textId="77777777" w:rsidR="00F12218" w:rsidRPr="000E3C8C" w:rsidRDefault="00F12218" w:rsidP="00F12218">
                  <w:pPr>
                    <w:pStyle w:val="TableTextLeft"/>
                  </w:pPr>
                  <w:r w:rsidRPr="000E3C8C">
                    <w:t>Procurement of masks and other emergency medical or emergency health equipment</w:t>
                  </w:r>
                </w:p>
              </w:tc>
              <w:tc>
                <w:tcPr>
                  <w:tcW w:w="1098" w:type="dxa"/>
                  <w:noWrap/>
                </w:tcPr>
                <w:p w14:paraId="51C97FFB" w14:textId="77777777" w:rsidR="00F12218" w:rsidRPr="000E3C8C" w:rsidRDefault="00F12218" w:rsidP="00F12218">
                  <w:pPr>
                    <w:pStyle w:val="TableTextRight"/>
                  </w:pPr>
                  <w:r w:rsidRPr="000E3C8C">
                    <w:t>800</w:t>
                  </w:r>
                </w:p>
              </w:tc>
              <w:tc>
                <w:tcPr>
                  <w:tcW w:w="965" w:type="dxa"/>
                  <w:noWrap/>
                </w:tcPr>
                <w:p w14:paraId="3A3FA018" w14:textId="77777777" w:rsidR="00F12218" w:rsidRPr="000E3C8C" w:rsidRDefault="00F12218" w:rsidP="00F12218">
                  <w:pPr>
                    <w:pStyle w:val="TableTextRight"/>
                  </w:pPr>
                  <w:r w:rsidRPr="000E3C8C">
                    <w:t>3/04/2020</w:t>
                  </w:r>
                </w:p>
              </w:tc>
            </w:tr>
            <w:tr w:rsidR="00F12218" w:rsidRPr="000E3C8C" w14:paraId="3F678F65" w14:textId="77777777" w:rsidTr="00AD5779">
              <w:trPr>
                <w:trHeight w:val="272"/>
              </w:trPr>
              <w:tc>
                <w:tcPr>
                  <w:tcW w:w="483" w:type="dxa"/>
                  <w:noWrap/>
                </w:tcPr>
                <w:p w14:paraId="733C6ABA" w14:textId="77777777" w:rsidR="00F12218" w:rsidRPr="000E3C8C" w:rsidRDefault="00F12218" w:rsidP="00F12218">
                  <w:pPr>
                    <w:pStyle w:val="TableTextLeft"/>
                  </w:pPr>
                  <w:r w:rsidRPr="000E3C8C">
                    <w:t>4</w:t>
                  </w:r>
                </w:p>
              </w:tc>
              <w:tc>
                <w:tcPr>
                  <w:tcW w:w="1519" w:type="dxa"/>
                  <w:noWrap/>
                </w:tcPr>
                <w:p w14:paraId="6FD74E24" w14:textId="268E20CE" w:rsidR="00F12218" w:rsidRPr="000E3C8C" w:rsidRDefault="00F12218" w:rsidP="00F12218">
                  <w:pPr>
                    <w:pStyle w:val="TableTextLeft"/>
                    <w:rPr>
                      <w:i/>
                    </w:rPr>
                  </w:pPr>
                  <w:r w:rsidRPr="000E3C8C">
                    <w:rPr>
                      <w:i/>
                    </w:rPr>
                    <w:t>Appropriation (Coronavirus Economic Response Package) Act (No.2) 2019</w:t>
                  </w:r>
                  <w:r w:rsidR="00E834B1">
                    <w:rPr>
                      <w:i/>
                    </w:rPr>
                    <w:noBreakHyphen/>
                  </w:r>
                  <w:r w:rsidRPr="000E3C8C">
                    <w:rPr>
                      <w:i/>
                    </w:rPr>
                    <w:t>2020</w:t>
                  </w:r>
                </w:p>
              </w:tc>
              <w:tc>
                <w:tcPr>
                  <w:tcW w:w="1049" w:type="dxa"/>
                </w:tcPr>
                <w:p w14:paraId="31DD9C90" w14:textId="77777777" w:rsidR="00F12218" w:rsidRPr="000E3C8C" w:rsidRDefault="00F12218" w:rsidP="00F12218">
                  <w:pPr>
                    <w:pStyle w:val="TableTextLeft"/>
                  </w:pPr>
                  <w:r w:rsidRPr="000E3C8C">
                    <w:t>Department of Health</w:t>
                  </w:r>
                </w:p>
              </w:tc>
              <w:tc>
                <w:tcPr>
                  <w:tcW w:w="2207" w:type="dxa"/>
                  <w:noWrap/>
                </w:tcPr>
                <w:p w14:paraId="1DCBFFEE" w14:textId="77777777" w:rsidR="00F12218" w:rsidRPr="000E3C8C" w:rsidRDefault="00F12218" w:rsidP="00F12218">
                  <w:pPr>
                    <w:pStyle w:val="TableTextLeft"/>
                  </w:pPr>
                  <w:r w:rsidRPr="000E3C8C">
                    <w:t>Procurement of masks and other emergency medical or emergency health equipment</w:t>
                  </w:r>
                </w:p>
              </w:tc>
              <w:tc>
                <w:tcPr>
                  <w:tcW w:w="1098" w:type="dxa"/>
                  <w:noWrap/>
                </w:tcPr>
                <w:p w14:paraId="3626091B" w14:textId="77777777" w:rsidR="00F12218" w:rsidRPr="000E3C8C" w:rsidRDefault="00F12218" w:rsidP="00F12218">
                  <w:pPr>
                    <w:pStyle w:val="TableTextRight"/>
                  </w:pPr>
                  <w:r w:rsidRPr="000E3C8C">
                    <w:t>400</w:t>
                  </w:r>
                </w:p>
              </w:tc>
              <w:tc>
                <w:tcPr>
                  <w:tcW w:w="965" w:type="dxa"/>
                  <w:noWrap/>
                </w:tcPr>
                <w:p w14:paraId="6C381AC3" w14:textId="77777777" w:rsidR="00F12218" w:rsidRPr="000E3C8C" w:rsidRDefault="00F12218" w:rsidP="00F12218">
                  <w:pPr>
                    <w:pStyle w:val="TableTextRight"/>
                  </w:pPr>
                  <w:r w:rsidRPr="000E3C8C">
                    <w:t>9/04/2020</w:t>
                  </w:r>
                </w:p>
              </w:tc>
            </w:tr>
            <w:tr w:rsidR="00F12218" w:rsidRPr="000E3C8C" w14:paraId="4A2E5707" w14:textId="77777777" w:rsidTr="00A15D63">
              <w:trPr>
                <w:trHeight w:val="272"/>
              </w:trPr>
              <w:tc>
                <w:tcPr>
                  <w:tcW w:w="483" w:type="dxa"/>
                  <w:noWrap/>
                </w:tcPr>
                <w:p w14:paraId="02F4E68B" w14:textId="77777777" w:rsidR="00F12218" w:rsidRPr="000E3C8C" w:rsidRDefault="00F12218" w:rsidP="00F12218">
                  <w:pPr>
                    <w:pStyle w:val="TableTextLeft"/>
                  </w:pPr>
                  <w:r w:rsidRPr="000E3C8C">
                    <w:t>5</w:t>
                  </w:r>
                </w:p>
              </w:tc>
              <w:tc>
                <w:tcPr>
                  <w:tcW w:w="1519" w:type="dxa"/>
                  <w:noWrap/>
                </w:tcPr>
                <w:p w14:paraId="083D159A" w14:textId="08FA68C2" w:rsidR="00F12218" w:rsidRPr="000E3C8C" w:rsidRDefault="00F12218" w:rsidP="00F12218">
                  <w:pPr>
                    <w:pStyle w:val="TableTextLeft"/>
                    <w:rPr>
                      <w:i/>
                    </w:rPr>
                  </w:pPr>
                  <w:r w:rsidRPr="000E3C8C">
                    <w:rPr>
                      <w:i/>
                    </w:rPr>
                    <w:t>Appropriation Act (No.2) 2019</w:t>
                  </w:r>
                  <w:r w:rsidR="00E834B1">
                    <w:rPr>
                      <w:i/>
                    </w:rPr>
                    <w:noBreakHyphen/>
                  </w:r>
                  <w:r w:rsidRPr="000E3C8C">
                    <w:rPr>
                      <w:i/>
                    </w:rPr>
                    <w:t>2020</w:t>
                  </w:r>
                </w:p>
              </w:tc>
              <w:tc>
                <w:tcPr>
                  <w:tcW w:w="1049" w:type="dxa"/>
                </w:tcPr>
                <w:p w14:paraId="2A7263C8" w14:textId="77777777" w:rsidR="00F12218" w:rsidRPr="000E3C8C" w:rsidRDefault="00F12218" w:rsidP="00F12218">
                  <w:pPr>
                    <w:pStyle w:val="TableTextLeft"/>
                  </w:pPr>
                  <w:r w:rsidRPr="000E3C8C">
                    <w:t>Department of Health</w:t>
                  </w:r>
                </w:p>
              </w:tc>
              <w:tc>
                <w:tcPr>
                  <w:tcW w:w="2207" w:type="dxa"/>
                  <w:noWrap/>
                </w:tcPr>
                <w:p w14:paraId="016AA7EC" w14:textId="77777777" w:rsidR="00F12218" w:rsidRPr="000E3C8C" w:rsidRDefault="00F12218" w:rsidP="00F12218">
                  <w:pPr>
                    <w:pStyle w:val="TableTextLeft"/>
                  </w:pPr>
                  <w:r w:rsidRPr="000E3C8C">
                    <w:t>Procurement of masks and other emergency medical or emergency health equipment</w:t>
                  </w:r>
                </w:p>
              </w:tc>
              <w:tc>
                <w:tcPr>
                  <w:tcW w:w="1098" w:type="dxa"/>
                  <w:noWrap/>
                </w:tcPr>
                <w:p w14:paraId="73B8BCC5" w14:textId="77777777" w:rsidR="00F12218" w:rsidRPr="000E3C8C" w:rsidRDefault="00F12218" w:rsidP="00F12218">
                  <w:pPr>
                    <w:pStyle w:val="TableTextRight"/>
                  </w:pPr>
                  <w:r w:rsidRPr="000E3C8C">
                    <w:t>380</w:t>
                  </w:r>
                </w:p>
              </w:tc>
              <w:tc>
                <w:tcPr>
                  <w:tcW w:w="965" w:type="dxa"/>
                  <w:noWrap/>
                </w:tcPr>
                <w:p w14:paraId="112EC453" w14:textId="77777777" w:rsidR="00F12218" w:rsidRPr="000E3C8C" w:rsidRDefault="00F12218" w:rsidP="00F12218">
                  <w:pPr>
                    <w:pStyle w:val="TableTextRight"/>
                  </w:pPr>
                  <w:r w:rsidRPr="000E3C8C">
                    <w:t>9/04/2020</w:t>
                  </w:r>
                </w:p>
              </w:tc>
            </w:tr>
            <w:tr w:rsidR="00F12218" w:rsidRPr="000E3C8C" w14:paraId="046E5C79" w14:textId="77777777" w:rsidTr="00645740">
              <w:trPr>
                <w:trHeight w:val="272"/>
              </w:trPr>
              <w:tc>
                <w:tcPr>
                  <w:tcW w:w="483" w:type="dxa"/>
                  <w:noWrap/>
                </w:tcPr>
                <w:p w14:paraId="6ECD8E31" w14:textId="77777777" w:rsidR="00F12218" w:rsidRPr="000E3C8C" w:rsidRDefault="00F12218" w:rsidP="00F12218">
                  <w:pPr>
                    <w:pStyle w:val="TableTextLeft"/>
                  </w:pPr>
                  <w:r w:rsidRPr="000E3C8C">
                    <w:rPr>
                      <w:rFonts w:ascii="Times New Roman" w:hAnsi="Times New Roman"/>
                    </w:rPr>
                    <w:t>6</w:t>
                  </w:r>
                </w:p>
              </w:tc>
              <w:tc>
                <w:tcPr>
                  <w:tcW w:w="1519" w:type="dxa"/>
                  <w:noWrap/>
                </w:tcPr>
                <w:p w14:paraId="5ED4E828" w14:textId="30C5F264" w:rsidR="00F12218" w:rsidRPr="000E3C8C" w:rsidRDefault="00F12218" w:rsidP="00F12218">
                  <w:pPr>
                    <w:pStyle w:val="TableTextLeft"/>
                    <w:rPr>
                      <w:i/>
                    </w:rPr>
                  </w:pPr>
                  <w:r w:rsidRPr="000E3C8C">
                    <w:rPr>
                      <w:i/>
                    </w:rPr>
                    <w:t>Appropriation Act (No.1) 2019</w:t>
                  </w:r>
                  <w:r w:rsidR="00E834B1">
                    <w:rPr>
                      <w:i/>
                    </w:rPr>
                    <w:noBreakHyphen/>
                  </w:r>
                  <w:r w:rsidRPr="000E3C8C">
                    <w:rPr>
                      <w:i/>
                    </w:rPr>
                    <w:t xml:space="preserve">2020 </w:t>
                  </w:r>
                </w:p>
              </w:tc>
              <w:tc>
                <w:tcPr>
                  <w:tcW w:w="1049" w:type="dxa"/>
                </w:tcPr>
                <w:p w14:paraId="28DB3833" w14:textId="77777777" w:rsidR="00F12218" w:rsidRPr="000E3C8C" w:rsidRDefault="00F12218" w:rsidP="00F12218">
                  <w:pPr>
                    <w:pStyle w:val="TableTextLeft"/>
                  </w:pPr>
                  <w:r w:rsidRPr="000E3C8C">
                    <w:t>Department of Industry, Science, Energy and Resources</w:t>
                  </w:r>
                </w:p>
              </w:tc>
              <w:tc>
                <w:tcPr>
                  <w:tcW w:w="2207" w:type="dxa"/>
                  <w:noWrap/>
                </w:tcPr>
                <w:p w14:paraId="7D07C50E" w14:textId="77777777" w:rsidR="00F12218" w:rsidRPr="000E3C8C" w:rsidRDefault="00F12218" w:rsidP="00F12218">
                  <w:pPr>
                    <w:pStyle w:val="TableTextLeft"/>
                  </w:pPr>
                  <w:r w:rsidRPr="000E3C8C">
                    <w:t>Lease costs of storage in the United States Strategic Petroleum Reserve for purchases of oil stocks</w:t>
                  </w:r>
                </w:p>
              </w:tc>
              <w:tc>
                <w:tcPr>
                  <w:tcW w:w="1098" w:type="dxa"/>
                  <w:noWrap/>
                </w:tcPr>
                <w:p w14:paraId="2E1FA3B2" w14:textId="77777777" w:rsidR="00F12218" w:rsidRPr="000E3C8C" w:rsidRDefault="00F12218" w:rsidP="00F12218">
                  <w:pPr>
                    <w:pStyle w:val="TableTextRight"/>
                  </w:pPr>
                  <w:r w:rsidRPr="000E3C8C">
                    <w:t>2.5</w:t>
                  </w:r>
                </w:p>
              </w:tc>
              <w:tc>
                <w:tcPr>
                  <w:tcW w:w="965" w:type="dxa"/>
                  <w:noWrap/>
                </w:tcPr>
                <w:p w14:paraId="0ED7B603" w14:textId="77777777" w:rsidR="00F12218" w:rsidRPr="000E3C8C" w:rsidRDefault="00F12218" w:rsidP="00F12218">
                  <w:pPr>
                    <w:pStyle w:val="TableTextRight"/>
                  </w:pPr>
                  <w:r w:rsidRPr="000E3C8C">
                    <w:t>23/04/2020</w:t>
                  </w:r>
                </w:p>
              </w:tc>
            </w:tr>
            <w:tr w:rsidR="00F12218" w:rsidRPr="000E3C8C" w14:paraId="24B9DA8E" w14:textId="77777777" w:rsidTr="00645740">
              <w:trPr>
                <w:trHeight w:val="272"/>
              </w:trPr>
              <w:tc>
                <w:tcPr>
                  <w:tcW w:w="483" w:type="dxa"/>
                  <w:tcBorders>
                    <w:bottom w:val="single" w:sz="4" w:space="0" w:color="auto"/>
                  </w:tcBorders>
                  <w:noWrap/>
                </w:tcPr>
                <w:p w14:paraId="18DE3718" w14:textId="77777777" w:rsidR="00F12218" w:rsidRPr="000E3C8C" w:rsidRDefault="00F12218" w:rsidP="00F12218">
                  <w:pPr>
                    <w:pStyle w:val="TableTextLeft"/>
                    <w:rPr>
                      <w:rFonts w:ascii="Times New Roman" w:hAnsi="Times New Roman"/>
                    </w:rPr>
                  </w:pPr>
                  <w:r w:rsidRPr="000E3C8C">
                    <w:t>7</w:t>
                  </w:r>
                </w:p>
              </w:tc>
              <w:tc>
                <w:tcPr>
                  <w:tcW w:w="1519" w:type="dxa"/>
                  <w:tcBorders>
                    <w:bottom w:val="single" w:sz="4" w:space="0" w:color="auto"/>
                  </w:tcBorders>
                  <w:noWrap/>
                </w:tcPr>
                <w:p w14:paraId="1FF462D8" w14:textId="10993F5C" w:rsidR="00F12218" w:rsidRPr="000E3C8C" w:rsidRDefault="00F12218" w:rsidP="00F12218">
                  <w:pPr>
                    <w:pStyle w:val="TableTextLeft"/>
                    <w:rPr>
                      <w:i/>
                    </w:rPr>
                  </w:pPr>
                  <w:r w:rsidRPr="000E3C8C">
                    <w:rPr>
                      <w:i/>
                    </w:rPr>
                    <w:t>Appropriation Act (No.6) 2019</w:t>
                  </w:r>
                  <w:r w:rsidR="00E834B1">
                    <w:rPr>
                      <w:i/>
                    </w:rPr>
                    <w:noBreakHyphen/>
                  </w:r>
                  <w:r w:rsidRPr="000E3C8C">
                    <w:rPr>
                      <w:i/>
                    </w:rPr>
                    <w:t>2020</w:t>
                  </w:r>
                </w:p>
              </w:tc>
              <w:tc>
                <w:tcPr>
                  <w:tcW w:w="1049" w:type="dxa"/>
                  <w:tcBorders>
                    <w:bottom w:val="single" w:sz="4" w:space="0" w:color="auto"/>
                  </w:tcBorders>
                </w:tcPr>
                <w:p w14:paraId="7D80CB1C" w14:textId="77777777" w:rsidR="00F12218" w:rsidRPr="000E3C8C" w:rsidRDefault="00F12218" w:rsidP="00F12218">
                  <w:pPr>
                    <w:pStyle w:val="TableTextLeft"/>
                  </w:pPr>
                  <w:r w:rsidRPr="000E3C8C">
                    <w:t>Department of Industry, Science, Energy and Resources</w:t>
                  </w:r>
                </w:p>
              </w:tc>
              <w:tc>
                <w:tcPr>
                  <w:tcW w:w="2207" w:type="dxa"/>
                  <w:tcBorders>
                    <w:bottom w:val="single" w:sz="4" w:space="0" w:color="auto"/>
                  </w:tcBorders>
                  <w:noWrap/>
                </w:tcPr>
                <w:p w14:paraId="50FCFEC9" w14:textId="77777777" w:rsidR="00F12218" w:rsidRPr="000E3C8C" w:rsidRDefault="00F12218" w:rsidP="00F12218">
                  <w:pPr>
                    <w:pStyle w:val="TableTextLeft"/>
                  </w:pPr>
                  <w:r w:rsidRPr="000E3C8C">
                    <w:t>Purchase of oil stocks</w:t>
                  </w:r>
                </w:p>
              </w:tc>
              <w:tc>
                <w:tcPr>
                  <w:tcW w:w="1098" w:type="dxa"/>
                  <w:tcBorders>
                    <w:bottom w:val="single" w:sz="4" w:space="0" w:color="auto"/>
                  </w:tcBorders>
                  <w:noWrap/>
                </w:tcPr>
                <w:p w14:paraId="14C74A8D" w14:textId="77777777" w:rsidR="00F12218" w:rsidRPr="000E3C8C" w:rsidRDefault="00F12218" w:rsidP="00F12218">
                  <w:pPr>
                    <w:pStyle w:val="TableTextRight"/>
                  </w:pPr>
                  <w:r w:rsidRPr="000E3C8C">
                    <w:rPr>
                      <w:bCs/>
                    </w:rPr>
                    <w:t>91.5</w:t>
                  </w:r>
                </w:p>
              </w:tc>
              <w:tc>
                <w:tcPr>
                  <w:tcW w:w="965" w:type="dxa"/>
                  <w:tcBorders>
                    <w:bottom w:val="single" w:sz="4" w:space="0" w:color="auto"/>
                  </w:tcBorders>
                  <w:noWrap/>
                </w:tcPr>
                <w:p w14:paraId="3C83BB6B" w14:textId="77777777" w:rsidR="00F12218" w:rsidRPr="000E3C8C" w:rsidRDefault="00F12218" w:rsidP="00F12218">
                  <w:pPr>
                    <w:pStyle w:val="TableTextRight"/>
                  </w:pPr>
                  <w:r w:rsidRPr="000E3C8C">
                    <w:rPr>
                      <w:bCs/>
                    </w:rPr>
                    <w:t>23/04/2020</w:t>
                  </w:r>
                </w:p>
              </w:tc>
            </w:tr>
          </w:tbl>
          <w:p w14:paraId="0043461A" w14:textId="2E0AD821" w:rsidR="00F12218" w:rsidRPr="000E3C8C" w:rsidRDefault="00F12218" w:rsidP="00AC67B3">
            <w:pPr>
              <w:pStyle w:val="SingleParagraph"/>
            </w:pPr>
          </w:p>
        </w:tc>
      </w:tr>
    </w:tbl>
    <w:p w14:paraId="02A27640" w14:textId="77777777" w:rsidR="00F92038" w:rsidRDefault="00F92038"/>
    <w:tbl>
      <w:tblPr>
        <w:tblW w:w="5000" w:type="pct"/>
        <w:shd w:val="clear" w:color="auto" w:fill="EBEBEB"/>
        <w:tblLook w:val="0000" w:firstRow="0" w:lastRow="0" w:firstColumn="0" w:lastColumn="0" w:noHBand="0" w:noVBand="0"/>
      </w:tblPr>
      <w:tblGrid>
        <w:gridCol w:w="7710"/>
      </w:tblGrid>
      <w:tr w:rsidR="00F92038" w:rsidRPr="000E3C8C" w14:paraId="15ADEF5B" w14:textId="77777777" w:rsidTr="00587818">
        <w:trPr>
          <w:cantSplit/>
        </w:trPr>
        <w:tc>
          <w:tcPr>
            <w:tcW w:w="5000" w:type="pct"/>
            <w:shd w:val="clear" w:color="auto" w:fill="EBEBEB"/>
          </w:tcPr>
          <w:p w14:paraId="46D43076" w14:textId="77777777" w:rsidR="00F92038" w:rsidRPr="000E3C8C" w:rsidRDefault="00F92038" w:rsidP="00F92038">
            <w:pPr>
              <w:pStyle w:val="BoxHeading"/>
              <w:spacing w:line="252" w:lineRule="auto"/>
              <w:rPr>
                <w:lang w:eastAsia="en-US"/>
              </w:rPr>
            </w:pPr>
            <w:r w:rsidRPr="000E3C8C">
              <w:rPr>
                <w:lang w:eastAsia="en-US"/>
              </w:rPr>
              <w:lastRenderedPageBreak/>
              <w:fldChar w:fldCharType="begin"/>
            </w:r>
            <w:r w:rsidRPr="000E3C8C">
              <w:rPr>
                <w:lang w:eastAsia="en-US"/>
              </w:rPr>
              <w:instrText xml:space="preserve"> :End:BPCD_DD1 </w:instrText>
            </w:r>
            <w:r w:rsidRPr="000E3C8C">
              <w:rPr>
                <w:lang w:eastAsia="en-US"/>
              </w:rPr>
              <w:fldChar w:fldCharType="end"/>
            </w:r>
            <w:r w:rsidRPr="000E3C8C">
              <w:rPr>
                <w:lang w:eastAsia="en-US"/>
              </w:rPr>
              <w:fldChar w:fldCharType="begin"/>
            </w:r>
            <w:r w:rsidRPr="000E3C8C">
              <w:rPr>
                <w:lang w:eastAsia="en-US"/>
              </w:rPr>
              <w:instrText xml:space="preserve"> :Start:BPCD_DD1 </w:instrText>
            </w:r>
            <w:r w:rsidRPr="000E3C8C">
              <w:rPr>
                <w:lang w:eastAsia="en-US"/>
              </w:rPr>
              <w:fldChar w:fldCharType="end"/>
            </w:r>
            <w:r w:rsidRPr="000E3C8C">
              <w:rPr>
                <w:lang w:eastAsia="en-US"/>
              </w:rPr>
              <w:t>Box 3.3: Advance to the Finance Minister (AFM) in response to COVID</w:t>
            </w:r>
            <w:r>
              <w:rPr>
                <w:lang w:eastAsia="en-US"/>
              </w:rPr>
              <w:noBreakHyphen/>
            </w:r>
            <w:r w:rsidRPr="000E3C8C">
              <w:rPr>
                <w:lang w:eastAsia="en-US"/>
              </w:rPr>
              <w:t>19 (continued)</w:t>
            </w:r>
          </w:p>
          <w:p w14:paraId="5553FBB4" w14:textId="77777777" w:rsidR="00F92038" w:rsidRPr="000E3C8C" w:rsidRDefault="00F92038" w:rsidP="00F92038">
            <w:pPr>
              <w:rPr>
                <w:lang w:eastAsia="en-US"/>
              </w:rPr>
            </w:pPr>
            <w:r w:rsidRPr="000E3C8C">
              <w:rPr>
                <w:lang w:eastAsia="en-US"/>
              </w:rPr>
              <w:t>In 2020</w:t>
            </w:r>
            <w:r>
              <w:rPr>
                <w:lang w:eastAsia="en-US"/>
              </w:rPr>
              <w:noBreakHyphen/>
            </w:r>
            <w:r w:rsidRPr="000E3C8C">
              <w:rPr>
                <w:lang w:eastAsia="en-US"/>
              </w:rPr>
              <w:t xml:space="preserve">21, AFM provisions of $40,000 million </w:t>
            </w:r>
            <w:proofErr w:type="gramStart"/>
            <w:r w:rsidRPr="000E3C8C">
              <w:rPr>
                <w:lang w:eastAsia="en-US"/>
              </w:rPr>
              <w:t>have been enacted</w:t>
            </w:r>
            <w:proofErr w:type="gramEnd"/>
            <w:r w:rsidRPr="000E3C8C">
              <w:rPr>
                <w:lang w:eastAsia="en-US"/>
              </w:rPr>
              <w:t xml:space="preserve"> across </w:t>
            </w:r>
            <w:r w:rsidRPr="000E3C8C">
              <w:rPr>
                <w:i/>
                <w:lang w:eastAsia="en-US"/>
              </w:rPr>
              <w:t>Supply</w:t>
            </w:r>
            <w:r>
              <w:rPr>
                <w:i/>
                <w:lang w:eastAsia="en-US"/>
              </w:rPr>
              <w:t> </w:t>
            </w:r>
            <w:r w:rsidRPr="000E3C8C">
              <w:rPr>
                <w:i/>
                <w:lang w:eastAsia="en-US"/>
              </w:rPr>
              <w:t>Acts</w:t>
            </w:r>
            <w:r>
              <w:rPr>
                <w:i/>
                <w:lang w:eastAsia="en-US"/>
              </w:rPr>
              <w:t> </w:t>
            </w:r>
            <w:r w:rsidRPr="000E3C8C">
              <w:rPr>
                <w:i/>
                <w:lang w:eastAsia="en-US"/>
              </w:rPr>
              <w:t>2020</w:t>
            </w:r>
            <w:r>
              <w:rPr>
                <w:i/>
                <w:lang w:eastAsia="en-US"/>
              </w:rPr>
              <w:noBreakHyphen/>
            </w:r>
            <w:r w:rsidRPr="000E3C8C">
              <w:rPr>
                <w:i/>
                <w:lang w:eastAsia="en-US"/>
              </w:rPr>
              <w:t>21</w:t>
            </w:r>
            <w:r w:rsidRPr="000E3C8C">
              <w:rPr>
                <w:lang w:eastAsia="en-US"/>
              </w:rPr>
              <w:t xml:space="preserve"> (Nos. 1 and 2) reduced by the value of AFMs issued under </w:t>
            </w:r>
            <w:r w:rsidRPr="000E3C8C">
              <w:rPr>
                <w:i/>
                <w:lang w:eastAsia="en-US"/>
              </w:rPr>
              <w:t>Appropriation Acts 2019</w:t>
            </w:r>
            <w:r>
              <w:rPr>
                <w:i/>
                <w:lang w:eastAsia="en-US"/>
              </w:rPr>
              <w:noBreakHyphen/>
            </w:r>
            <w:r w:rsidRPr="000E3C8C">
              <w:rPr>
                <w:i/>
                <w:lang w:eastAsia="en-US"/>
              </w:rPr>
              <w:t>20</w:t>
            </w:r>
            <w:r w:rsidRPr="000E3C8C">
              <w:rPr>
                <w:lang w:eastAsia="en-US"/>
              </w:rPr>
              <w:t> (Nos. 5 and 6) ($91.5 million).</w:t>
            </w:r>
            <w:r w:rsidRPr="000E3C8C">
              <w:rPr>
                <w:sz w:val="22"/>
                <w:szCs w:val="22"/>
              </w:rPr>
              <w:t xml:space="preserve"> </w:t>
            </w:r>
            <w:r w:rsidRPr="000E3C8C">
              <w:rPr>
                <w:lang w:eastAsia="en-US"/>
              </w:rPr>
              <w:t xml:space="preserve">Accordingly, the balance available for allocation from </w:t>
            </w:r>
            <w:r w:rsidRPr="000E3C8C">
              <w:rPr>
                <w:i/>
                <w:lang w:eastAsia="en-US"/>
              </w:rPr>
              <w:t>Supply Acts 2020</w:t>
            </w:r>
            <w:r>
              <w:rPr>
                <w:i/>
                <w:lang w:eastAsia="en-US"/>
              </w:rPr>
              <w:noBreakHyphen/>
            </w:r>
            <w:r w:rsidRPr="000E3C8C">
              <w:rPr>
                <w:i/>
                <w:lang w:eastAsia="en-US"/>
              </w:rPr>
              <w:t>21</w:t>
            </w:r>
            <w:r w:rsidRPr="000E3C8C">
              <w:rPr>
                <w:lang w:eastAsia="en-US"/>
              </w:rPr>
              <w:t xml:space="preserve"> (Nos. 1 and 2) is $39,908.5 million. As at 16 July 2020, $250 million </w:t>
            </w:r>
            <w:proofErr w:type="gramStart"/>
            <w:r w:rsidRPr="000E3C8C">
              <w:rPr>
                <w:lang w:eastAsia="en-US"/>
              </w:rPr>
              <w:t>has been allocated</w:t>
            </w:r>
            <w:proofErr w:type="gramEnd"/>
            <w:r w:rsidRPr="000E3C8C">
              <w:rPr>
                <w:lang w:eastAsia="en-US"/>
              </w:rPr>
              <w:t xml:space="preserve"> from 2020</w:t>
            </w:r>
            <w:r>
              <w:rPr>
                <w:lang w:eastAsia="en-US"/>
              </w:rPr>
              <w:noBreakHyphen/>
            </w:r>
            <w:r w:rsidRPr="000E3C8C">
              <w:rPr>
                <w:lang w:eastAsia="en-US"/>
              </w:rPr>
              <w:t>21 AFM provisions.</w:t>
            </w:r>
          </w:p>
          <w:p w14:paraId="11EC0441" w14:textId="77777777" w:rsidR="00F92038" w:rsidRPr="000E3C8C" w:rsidRDefault="00F92038" w:rsidP="00F92038">
            <w:pPr>
              <w:pStyle w:val="BoxHeading"/>
              <w:spacing w:line="252" w:lineRule="auto"/>
            </w:pPr>
            <w:r w:rsidRPr="000E3C8C">
              <w:t>Table 3.6: AFMs issued in 2020</w:t>
            </w:r>
            <w:r>
              <w:noBreakHyphen/>
            </w:r>
            <w:r w:rsidRPr="000E3C8C">
              <w:t>21 to 16 July 2020</w:t>
            </w:r>
          </w:p>
          <w:tbl>
            <w:tblPr>
              <w:tblStyle w:val="TableGrid"/>
              <w:tblW w:w="4997" w:type="pct"/>
              <w:tblBorders>
                <w:left w:val="none" w:sz="0" w:space="0" w:color="auto"/>
                <w:right w:val="none" w:sz="0" w:space="0" w:color="auto"/>
                <w:insideV w:val="none" w:sz="0" w:space="0" w:color="auto"/>
              </w:tblBorders>
              <w:tblLook w:val="04A0" w:firstRow="1" w:lastRow="0" w:firstColumn="1" w:lastColumn="0" w:noHBand="0" w:noVBand="1"/>
            </w:tblPr>
            <w:tblGrid>
              <w:gridCol w:w="496"/>
              <w:gridCol w:w="1543"/>
              <w:gridCol w:w="1408"/>
              <w:gridCol w:w="2232"/>
              <w:gridCol w:w="821"/>
              <w:gridCol w:w="990"/>
            </w:tblGrid>
            <w:tr w:rsidR="00F92038" w:rsidRPr="000E3C8C" w14:paraId="2223CE2C" w14:textId="77777777" w:rsidTr="00A15D63">
              <w:trPr>
                <w:trHeight w:val="524"/>
              </w:trPr>
              <w:tc>
                <w:tcPr>
                  <w:tcW w:w="495" w:type="dxa"/>
                  <w:vAlign w:val="bottom"/>
                  <w:hideMark/>
                </w:tcPr>
                <w:p w14:paraId="266BFF9E" w14:textId="77777777" w:rsidR="00F92038" w:rsidRPr="000E3C8C" w:rsidRDefault="00F92038" w:rsidP="00F92038">
                  <w:pPr>
                    <w:pStyle w:val="TableColumnHeadingLeft"/>
                  </w:pPr>
                  <w:r w:rsidRPr="000E3C8C">
                    <w:t>No.</w:t>
                  </w:r>
                </w:p>
              </w:tc>
              <w:tc>
                <w:tcPr>
                  <w:tcW w:w="1543" w:type="dxa"/>
                  <w:vAlign w:val="bottom"/>
                  <w:hideMark/>
                </w:tcPr>
                <w:p w14:paraId="183A0740" w14:textId="77777777" w:rsidR="00F92038" w:rsidRPr="000E3C8C" w:rsidRDefault="00F92038" w:rsidP="00F92038">
                  <w:pPr>
                    <w:pStyle w:val="TableColumnHeadingLeft"/>
                  </w:pPr>
                  <w:r w:rsidRPr="000E3C8C">
                    <w:t>Appropriation Source</w:t>
                  </w:r>
                </w:p>
              </w:tc>
              <w:tc>
                <w:tcPr>
                  <w:tcW w:w="1408" w:type="dxa"/>
                  <w:vAlign w:val="bottom"/>
                </w:tcPr>
                <w:p w14:paraId="0534D43B" w14:textId="77777777" w:rsidR="00F92038" w:rsidRPr="000E3C8C" w:rsidRDefault="00F92038" w:rsidP="00F92038">
                  <w:pPr>
                    <w:pStyle w:val="TableColumnHeadingLeft"/>
                  </w:pPr>
                  <w:r w:rsidRPr="000E3C8C">
                    <w:t>Entity</w:t>
                  </w:r>
                </w:p>
              </w:tc>
              <w:tc>
                <w:tcPr>
                  <w:tcW w:w="2232" w:type="dxa"/>
                  <w:vAlign w:val="bottom"/>
                  <w:hideMark/>
                </w:tcPr>
                <w:p w14:paraId="56BE94D4" w14:textId="77777777" w:rsidR="00F92038" w:rsidRPr="000E3C8C" w:rsidRDefault="00F92038" w:rsidP="00F92038">
                  <w:pPr>
                    <w:pStyle w:val="TableColumnHeadingLeft"/>
                  </w:pPr>
                  <w:r w:rsidRPr="000E3C8C">
                    <w:t>Purpose</w:t>
                  </w:r>
                </w:p>
              </w:tc>
              <w:tc>
                <w:tcPr>
                  <w:tcW w:w="821" w:type="dxa"/>
                  <w:vAlign w:val="bottom"/>
                  <w:hideMark/>
                </w:tcPr>
                <w:p w14:paraId="68606819" w14:textId="77777777" w:rsidR="00F92038" w:rsidRPr="000E3C8C" w:rsidRDefault="00F92038" w:rsidP="00F92038">
                  <w:pPr>
                    <w:pStyle w:val="TableColumnHeadingRight"/>
                  </w:pPr>
                  <w:r w:rsidRPr="000E3C8C">
                    <w:t>Amount ($m)</w:t>
                  </w:r>
                </w:p>
              </w:tc>
              <w:tc>
                <w:tcPr>
                  <w:tcW w:w="990" w:type="dxa"/>
                  <w:vAlign w:val="bottom"/>
                  <w:hideMark/>
                </w:tcPr>
                <w:p w14:paraId="5586742D" w14:textId="77777777" w:rsidR="00F92038" w:rsidRPr="000E3C8C" w:rsidRDefault="00F92038" w:rsidP="00F92038">
                  <w:pPr>
                    <w:pStyle w:val="TableColumnHeadingRight"/>
                  </w:pPr>
                  <w:r w:rsidRPr="000E3C8C">
                    <w:t>Allocation Date</w:t>
                  </w:r>
                </w:p>
              </w:tc>
            </w:tr>
            <w:tr w:rsidR="00F92038" w:rsidRPr="000E3C8C" w14:paraId="54A38AE3" w14:textId="77777777" w:rsidTr="00A15D63">
              <w:trPr>
                <w:trHeight w:val="1503"/>
              </w:trPr>
              <w:tc>
                <w:tcPr>
                  <w:tcW w:w="495" w:type="dxa"/>
                  <w:noWrap/>
                  <w:hideMark/>
                </w:tcPr>
                <w:p w14:paraId="52A93012" w14:textId="77777777" w:rsidR="00F92038" w:rsidRPr="000E3C8C" w:rsidRDefault="00F92038" w:rsidP="00F92038">
                  <w:pPr>
                    <w:pStyle w:val="TableTextLeft"/>
                  </w:pPr>
                  <w:r w:rsidRPr="000E3C8C">
                    <w:t>1</w:t>
                  </w:r>
                </w:p>
              </w:tc>
              <w:tc>
                <w:tcPr>
                  <w:tcW w:w="1543" w:type="dxa"/>
                  <w:noWrap/>
                  <w:hideMark/>
                </w:tcPr>
                <w:p w14:paraId="3FA60452" w14:textId="77777777" w:rsidR="00F92038" w:rsidRPr="000E3C8C" w:rsidRDefault="00F92038" w:rsidP="00F92038">
                  <w:pPr>
                    <w:pStyle w:val="TableTextLeft"/>
                    <w:rPr>
                      <w:i/>
                    </w:rPr>
                  </w:pPr>
                  <w:r w:rsidRPr="000E3C8C">
                    <w:rPr>
                      <w:i/>
                    </w:rPr>
                    <w:t>Supply Act (No.2) 2020</w:t>
                  </w:r>
                  <w:r>
                    <w:rPr>
                      <w:i/>
                    </w:rPr>
                    <w:noBreakHyphen/>
                  </w:r>
                  <w:r w:rsidRPr="000E3C8C">
                    <w:rPr>
                      <w:i/>
                    </w:rPr>
                    <w:t>2021</w:t>
                  </w:r>
                </w:p>
              </w:tc>
              <w:tc>
                <w:tcPr>
                  <w:tcW w:w="1408" w:type="dxa"/>
                </w:tcPr>
                <w:p w14:paraId="5F009933" w14:textId="77777777" w:rsidR="00F92038" w:rsidRPr="000E3C8C" w:rsidRDefault="00F92038" w:rsidP="00F92038">
                  <w:pPr>
                    <w:pStyle w:val="TableTextLeft"/>
                  </w:pPr>
                  <w:r w:rsidRPr="000E3C8C">
                    <w:t>Department of Infrastructure, Transport, Regional Development and Communications</w:t>
                  </w:r>
                </w:p>
              </w:tc>
              <w:tc>
                <w:tcPr>
                  <w:tcW w:w="2232" w:type="dxa"/>
                  <w:noWrap/>
                  <w:hideMark/>
                </w:tcPr>
                <w:p w14:paraId="35022A72" w14:textId="77777777" w:rsidR="00F92038" w:rsidRPr="000E3C8C" w:rsidRDefault="00F92038" w:rsidP="00F92038">
                  <w:pPr>
                    <w:pStyle w:val="TableTextLeft"/>
                  </w:pPr>
                  <w:r w:rsidRPr="000E3C8C">
                    <w:t>Provide funding to local governments for delivery of local roads and community infrastructure projects to boost economic activity following the initial impact of COVID</w:t>
                  </w:r>
                  <w:r>
                    <w:noBreakHyphen/>
                  </w:r>
                  <w:r w:rsidRPr="000E3C8C">
                    <w:t>19</w:t>
                  </w:r>
                </w:p>
              </w:tc>
              <w:tc>
                <w:tcPr>
                  <w:tcW w:w="821" w:type="dxa"/>
                  <w:noWrap/>
                  <w:hideMark/>
                </w:tcPr>
                <w:p w14:paraId="2F2326FD" w14:textId="77777777" w:rsidR="00F92038" w:rsidRPr="000E3C8C" w:rsidRDefault="00F92038" w:rsidP="00F92038">
                  <w:pPr>
                    <w:pStyle w:val="TableTextRight"/>
                  </w:pPr>
                  <w:r w:rsidRPr="000E3C8C">
                    <w:t>250.0</w:t>
                  </w:r>
                </w:p>
              </w:tc>
              <w:tc>
                <w:tcPr>
                  <w:tcW w:w="990" w:type="dxa"/>
                  <w:noWrap/>
                  <w:hideMark/>
                </w:tcPr>
                <w:p w14:paraId="729B8E00" w14:textId="77777777" w:rsidR="00F92038" w:rsidRPr="000E3C8C" w:rsidRDefault="00F92038" w:rsidP="00F92038">
                  <w:pPr>
                    <w:pStyle w:val="TableTextRight"/>
                  </w:pPr>
                  <w:r w:rsidRPr="000E3C8C">
                    <w:t>2/07/2020</w:t>
                  </w:r>
                </w:p>
              </w:tc>
            </w:tr>
          </w:tbl>
          <w:p w14:paraId="04A3A998" w14:textId="77777777" w:rsidR="00F92038" w:rsidRPr="000E3C8C" w:rsidRDefault="00F92038" w:rsidP="003D5AA2">
            <w:pPr>
              <w:pStyle w:val="BoxHeading"/>
              <w:spacing w:line="252" w:lineRule="auto"/>
              <w:rPr>
                <w:lang w:eastAsia="en-US"/>
              </w:rPr>
            </w:pPr>
          </w:p>
        </w:tc>
      </w:tr>
    </w:tbl>
    <w:p w14:paraId="5A257299" w14:textId="77777777" w:rsidR="00C46DAC" w:rsidRPr="000E3C8C" w:rsidRDefault="00C46DAC" w:rsidP="00C46DAC">
      <w:pPr>
        <w:pStyle w:val="SingleParagraph"/>
      </w:pPr>
    </w:p>
    <w:p w14:paraId="73628109" w14:textId="158C7343" w:rsidR="00C85235" w:rsidRPr="000E3C8C" w:rsidRDefault="008819F3">
      <w:pPr>
        <w:spacing w:after="160" w:line="259" w:lineRule="auto"/>
        <w:jc w:val="left"/>
        <w:rPr>
          <w:rFonts w:ascii="Arial Bold" w:hAnsi="Arial Bold"/>
          <w:b/>
          <w:sz w:val="26"/>
        </w:rPr>
      </w:pPr>
      <w:r w:rsidRPr="000E3C8C">
        <w:fldChar w:fldCharType="begin"/>
      </w:r>
      <w:r w:rsidRPr="000E3C8C">
        <w:instrText xml:space="preserve"> :End:</w:instrText>
      </w:r>
      <w:r w:rsidR="00B62B4A" w:rsidRPr="000E3C8C">
        <w:instrText>BPCD_DD1</w:instrText>
      </w:r>
      <w:r w:rsidRPr="000E3C8C">
        <w:instrText xml:space="preserve"> </w:instrText>
      </w:r>
      <w:r w:rsidRPr="000E3C8C">
        <w:fldChar w:fldCharType="end"/>
      </w:r>
      <w:r w:rsidR="00C85235" w:rsidRPr="000E3C8C">
        <w:br w:type="page"/>
      </w:r>
    </w:p>
    <w:p w14:paraId="2542E2BB" w14:textId="6D1C57D5" w:rsidR="00B05821" w:rsidRPr="000E3C8C" w:rsidRDefault="00CD7CFC" w:rsidP="002A115E">
      <w:pPr>
        <w:pStyle w:val="Heading2"/>
      </w:pPr>
      <w:r w:rsidRPr="000E3C8C">
        <w:lastRenderedPageBreak/>
        <w:fldChar w:fldCharType="begin"/>
      </w:r>
      <w:r w:rsidRPr="000E3C8C">
        <w:instrText xml:space="preserve"> :Start:BPD_JR2 </w:instrText>
      </w:r>
      <w:r w:rsidRPr="000E3C8C">
        <w:fldChar w:fldCharType="end"/>
      </w:r>
      <w:r w:rsidR="00B05821" w:rsidRPr="000E3C8C">
        <w:t xml:space="preserve">Debt estimates </w:t>
      </w:r>
    </w:p>
    <w:p w14:paraId="777EB24B" w14:textId="29ABAD96" w:rsidR="000016B7" w:rsidRPr="000E3C8C" w:rsidRDefault="00044AB9" w:rsidP="002A115E">
      <w:r w:rsidRPr="000E3C8C">
        <w:t xml:space="preserve">Gross debt, measured as the face value of Australian Government Securities (AGS) on issue, </w:t>
      </w:r>
      <w:r w:rsidR="00F427D0" w:rsidRPr="000E3C8C">
        <w:t>was</w:t>
      </w:r>
      <w:r w:rsidRPr="000E3C8C">
        <w:t xml:space="preserve"> $684.3 billion</w:t>
      </w:r>
      <w:r w:rsidR="00F427D0" w:rsidRPr="000E3C8C">
        <w:t xml:space="preserve"> (34.4 per cent of GDP</w:t>
      </w:r>
      <w:r w:rsidRPr="000E3C8C">
        <w:t xml:space="preserve">) at 30 June 2020 and </w:t>
      </w:r>
      <w:proofErr w:type="gramStart"/>
      <w:r w:rsidR="00F427D0" w:rsidRPr="000E3C8C">
        <w:t>is expected</w:t>
      </w:r>
      <w:proofErr w:type="gramEnd"/>
      <w:r w:rsidR="00F427D0" w:rsidRPr="000E3C8C">
        <w:t xml:space="preserve"> to </w:t>
      </w:r>
      <w:r w:rsidR="002A1C00" w:rsidRPr="000E3C8C">
        <w:t>be</w:t>
      </w:r>
      <w:r w:rsidRPr="000E3C8C">
        <w:t xml:space="preserve"> $851.9 billion</w:t>
      </w:r>
      <w:r w:rsidR="00F427D0" w:rsidRPr="000E3C8C">
        <w:t xml:space="preserve"> (45.0 per cent of GDP</w:t>
      </w:r>
      <w:r w:rsidRPr="000E3C8C">
        <w:t xml:space="preserve">) </w:t>
      </w:r>
      <w:r w:rsidR="00E814D1" w:rsidRPr="000E3C8C">
        <w:t>at</w:t>
      </w:r>
      <w:r w:rsidRPr="000E3C8C">
        <w:t xml:space="preserve"> 30 June 2021. </w:t>
      </w:r>
      <w:r w:rsidR="000016B7" w:rsidRPr="000E3C8C">
        <w:t>The increase in gross debt since the 2019</w:t>
      </w:r>
      <w:r w:rsidR="00E834B1">
        <w:noBreakHyphen/>
      </w:r>
      <w:r w:rsidR="000016B7" w:rsidRPr="000E3C8C">
        <w:t xml:space="preserve">20 MYEFO </w:t>
      </w:r>
      <w:proofErr w:type="gramStart"/>
      <w:r w:rsidR="000016B7" w:rsidRPr="000E3C8C">
        <w:t>is primarily driven</w:t>
      </w:r>
      <w:proofErr w:type="gramEnd"/>
      <w:r w:rsidR="000016B7" w:rsidRPr="000E3C8C">
        <w:t xml:space="preserve"> by increased borrowing for the Government</w:t>
      </w:r>
      <w:r w:rsidR="00E834B1">
        <w:t>’</w:t>
      </w:r>
      <w:r w:rsidR="000016B7" w:rsidRPr="000E3C8C">
        <w:t xml:space="preserve">s response to the </w:t>
      </w:r>
      <w:r w:rsidR="00D63FEF" w:rsidRPr="000E3C8C">
        <w:t>COVID</w:t>
      </w:r>
      <w:r w:rsidR="00E834B1">
        <w:noBreakHyphen/>
      </w:r>
      <w:r w:rsidR="00D63FEF" w:rsidRPr="000E3C8C">
        <w:t>19</w:t>
      </w:r>
      <w:r w:rsidR="000016B7" w:rsidRPr="000E3C8C">
        <w:t xml:space="preserve"> </w:t>
      </w:r>
      <w:r w:rsidR="00D63FEF" w:rsidRPr="000E3C8C">
        <w:t>pandemic</w:t>
      </w:r>
      <w:r w:rsidR="00410AFD" w:rsidRPr="000E3C8C">
        <w:t xml:space="preserve"> and the effect of automatic stabilisers</w:t>
      </w:r>
      <w:r w:rsidR="009D439C" w:rsidRPr="000E3C8C">
        <w:t>.</w:t>
      </w:r>
      <w:r w:rsidR="000016B7" w:rsidRPr="000E3C8C">
        <w:t xml:space="preserve"> </w:t>
      </w:r>
    </w:p>
    <w:p w14:paraId="647EEE8B" w14:textId="6AC616D2" w:rsidR="00522B1E" w:rsidRPr="000E3C8C" w:rsidRDefault="00587818" w:rsidP="002A115E">
      <w:r w:rsidRPr="000E3C8C">
        <w:t>Table 3.7</w:t>
      </w:r>
      <w:r w:rsidR="000016B7" w:rsidRPr="000E3C8C">
        <w:t xml:space="preserve"> provides a summary of the </w:t>
      </w:r>
      <w:r w:rsidR="004B79DD" w:rsidRPr="000E3C8C">
        <w:t xml:space="preserve">estimated </w:t>
      </w:r>
      <w:r w:rsidR="000016B7" w:rsidRPr="000E3C8C">
        <w:t>end</w:t>
      </w:r>
      <w:r w:rsidR="00E834B1">
        <w:noBreakHyphen/>
      </w:r>
      <w:r w:rsidR="000016B7" w:rsidRPr="000E3C8C">
        <w:t>of</w:t>
      </w:r>
      <w:r w:rsidR="00E834B1">
        <w:noBreakHyphen/>
      </w:r>
      <w:r w:rsidR="000016B7" w:rsidRPr="000E3C8C">
        <w:t>year AGS on issue measured at face value and market value.</w:t>
      </w:r>
    </w:p>
    <w:p w14:paraId="34F77364" w14:textId="6672B62E" w:rsidR="00D024E5" w:rsidRPr="000E3C8C" w:rsidRDefault="000016B7" w:rsidP="00D024E5">
      <w:pPr>
        <w:pStyle w:val="TableHeading"/>
        <w:rPr>
          <w:vertAlign w:val="superscript"/>
        </w:rPr>
      </w:pPr>
      <w:r w:rsidRPr="000E3C8C">
        <w:t>Tabl</w:t>
      </w:r>
      <w:r w:rsidR="00587818" w:rsidRPr="000E3C8C">
        <w:t>e 3.7</w:t>
      </w:r>
      <w:r w:rsidRPr="000E3C8C">
        <w:t>: Estimates of AGS on issue subj</w:t>
      </w:r>
      <w:r w:rsidR="00112872" w:rsidRPr="000E3C8C">
        <w:t>ect to the Treasurer</w:t>
      </w:r>
      <w:r w:rsidR="00E834B1">
        <w:t>’</w:t>
      </w:r>
      <w:r w:rsidR="00112872" w:rsidRPr="000E3C8C">
        <w:t xml:space="preserve">s </w:t>
      </w:r>
      <w:proofErr w:type="gramStart"/>
      <w:r w:rsidR="00112872" w:rsidRPr="000E3C8C">
        <w:t>Direction</w:t>
      </w:r>
      <w:r w:rsidR="00112872" w:rsidRPr="000E3C8C">
        <w:rPr>
          <w:vertAlign w:val="superscript"/>
        </w:rPr>
        <w:t>(</w:t>
      </w:r>
      <w:proofErr w:type="gramEnd"/>
      <w:r w:rsidR="00112872" w:rsidRPr="000E3C8C">
        <w:rPr>
          <w:vertAlign w:val="superscript"/>
        </w:rPr>
        <w:t>a)</w:t>
      </w:r>
    </w:p>
    <w:tbl>
      <w:tblPr>
        <w:tblW w:w="5000" w:type="pct"/>
        <w:tblLook w:val="04A0" w:firstRow="1" w:lastRow="0" w:firstColumn="1" w:lastColumn="0" w:noHBand="0" w:noVBand="1"/>
      </w:tblPr>
      <w:tblGrid>
        <w:gridCol w:w="4825"/>
        <w:gridCol w:w="1443"/>
        <w:gridCol w:w="1442"/>
      </w:tblGrid>
      <w:tr w:rsidR="00D024E5" w:rsidRPr="000E3C8C" w14:paraId="3BE6566B" w14:textId="77777777" w:rsidTr="00D024E5">
        <w:trPr>
          <w:divId w:val="1304895073"/>
          <w:trHeight w:hRule="exact" w:val="225"/>
        </w:trPr>
        <w:tc>
          <w:tcPr>
            <w:tcW w:w="3129" w:type="pct"/>
            <w:tcBorders>
              <w:top w:val="single" w:sz="4" w:space="0" w:color="000000"/>
              <w:left w:val="nil"/>
              <w:bottom w:val="nil"/>
              <w:right w:val="nil"/>
            </w:tcBorders>
            <w:shd w:val="clear" w:color="auto" w:fill="auto"/>
            <w:noWrap/>
            <w:vAlign w:val="center"/>
            <w:hideMark/>
          </w:tcPr>
          <w:p w14:paraId="0B8B0758" w14:textId="1D788E4A" w:rsidR="00D024E5" w:rsidRPr="000E3C8C" w:rsidRDefault="00D024E5" w:rsidP="00D024E5">
            <w:pPr>
              <w:rPr>
                <w:rFonts w:ascii="Arial" w:hAnsi="Arial" w:cs="Arial"/>
                <w:color w:val="000000"/>
                <w:sz w:val="16"/>
                <w:szCs w:val="16"/>
              </w:rPr>
            </w:pPr>
            <w:r w:rsidRPr="000E3C8C">
              <w:rPr>
                <w:rFonts w:ascii="Arial" w:hAnsi="Arial" w:cs="Arial"/>
                <w:color w:val="000000"/>
                <w:sz w:val="16"/>
                <w:szCs w:val="16"/>
              </w:rPr>
              <w:t> </w:t>
            </w:r>
          </w:p>
        </w:tc>
        <w:tc>
          <w:tcPr>
            <w:tcW w:w="1871" w:type="pct"/>
            <w:gridSpan w:val="2"/>
            <w:tcBorders>
              <w:top w:val="single" w:sz="4" w:space="0" w:color="000000"/>
              <w:left w:val="nil"/>
              <w:bottom w:val="single" w:sz="4" w:space="0" w:color="000000"/>
              <w:right w:val="nil"/>
            </w:tcBorders>
            <w:shd w:val="clear" w:color="auto" w:fill="auto"/>
            <w:noWrap/>
            <w:vAlign w:val="bottom"/>
            <w:hideMark/>
          </w:tcPr>
          <w:p w14:paraId="6FA584D8" w14:textId="77777777" w:rsidR="00D024E5" w:rsidRPr="000E3C8C" w:rsidRDefault="00D024E5" w:rsidP="00D024E5">
            <w:pPr>
              <w:spacing w:after="0" w:line="240" w:lineRule="auto"/>
              <w:jc w:val="center"/>
              <w:rPr>
                <w:rFonts w:ascii="Arial" w:hAnsi="Arial" w:cs="Arial"/>
                <w:sz w:val="16"/>
                <w:szCs w:val="16"/>
              </w:rPr>
            </w:pPr>
            <w:r w:rsidRPr="000E3C8C">
              <w:rPr>
                <w:rFonts w:ascii="Arial" w:hAnsi="Arial" w:cs="Arial"/>
                <w:sz w:val="16"/>
                <w:szCs w:val="16"/>
              </w:rPr>
              <w:t>Estimates</w:t>
            </w:r>
          </w:p>
        </w:tc>
      </w:tr>
      <w:tr w:rsidR="00D024E5" w:rsidRPr="000E3C8C" w14:paraId="4CD761D9" w14:textId="77777777" w:rsidTr="00D024E5">
        <w:trPr>
          <w:divId w:val="1304895073"/>
          <w:trHeight w:hRule="exact" w:val="225"/>
        </w:trPr>
        <w:tc>
          <w:tcPr>
            <w:tcW w:w="3129" w:type="pct"/>
            <w:tcBorders>
              <w:top w:val="nil"/>
              <w:left w:val="nil"/>
              <w:bottom w:val="nil"/>
              <w:right w:val="nil"/>
            </w:tcBorders>
            <w:shd w:val="clear" w:color="auto" w:fill="auto"/>
            <w:noWrap/>
            <w:vAlign w:val="center"/>
            <w:hideMark/>
          </w:tcPr>
          <w:p w14:paraId="0E8E1BC5" w14:textId="77777777" w:rsidR="00D024E5" w:rsidRPr="000E3C8C" w:rsidRDefault="00D024E5" w:rsidP="00D024E5">
            <w:pPr>
              <w:spacing w:after="0" w:line="240" w:lineRule="auto"/>
              <w:jc w:val="center"/>
              <w:rPr>
                <w:rFonts w:ascii="Arial" w:hAnsi="Arial" w:cs="Arial"/>
                <w:sz w:val="16"/>
                <w:szCs w:val="16"/>
              </w:rPr>
            </w:pPr>
          </w:p>
        </w:tc>
        <w:tc>
          <w:tcPr>
            <w:tcW w:w="936" w:type="pct"/>
            <w:tcBorders>
              <w:top w:val="nil"/>
              <w:left w:val="nil"/>
              <w:bottom w:val="nil"/>
              <w:right w:val="nil"/>
            </w:tcBorders>
            <w:shd w:val="clear" w:color="000000" w:fill="FFFFFF"/>
            <w:noWrap/>
            <w:vAlign w:val="center"/>
            <w:hideMark/>
          </w:tcPr>
          <w:p w14:paraId="7CCC0052" w14:textId="0D6D2488" w:rsidR="00D024E5" w:rsidRPr="000E3C8C" w:rsidRDefault="00D024E5" w:rsidP="00D024E5">
            <w:pPr>
              <w:spacing w:after="0" w:line="240" w:lineRule="auto"/>
              <w:jc w:val="right"/>
              <w:rPr>
                <w:rFonts w:ascii="Arial" w:hAnsi="Arial" w:cs="Arial"/>
                <w:color w:val="000000"/>
                <w:sz w:val="16"/>
                <w:szCs w:val="16"/>
              </w:rPr>
            </w:pPr>
            <w:r w:rsidRPr="000E3C8C">
              <w:rPr>
                <w:rFonts w:ascii="Arial" w:hAnsi="Arial" w:cs="Arial"/>
                <w:color w:val="000000"/>
                <w:sz w:val="16"/>
                <w:szCs w:val="16"/>
              </w:rPr>
              <w:t>2019</w:t>
            </w:r>
            <w:r w:rsidR="00E834B1">
              <w:rPr>
                <w:rFonts w:ascii="Arial" w:hAnsi="Arial" w:cs="Arial"/>
                <w:color w:val="000000"/>
                <w:sz w:val="16"/>
                <w:szCs w:val="16"/>
              </w:rPr>
              <w:noBreakHyphen/>
            </w:r>
            <w:r w:rsidRPr="000E3C8C">
              <w:rPr>
                <w:rFonts w:ascii="Arial" w:hAnsi="Arial" w:cs="Arial"/>
                <w:color w:val="000000"/>
                <w:sz w:val="16"/>
                <w:szCs w:val="16"/>
              </w:rPr>
              <w:t>20</w:t>
            </w:r>
          </w:p>
        </w:tc>
        <w:tc>
          <w:tcPr>
            <w:tcW w:w="936" w:type="pct"/>
            <w:tcBorders>
              <w:top w:val="nil"/>
              <w:left w:val="nil"/>
              <w:bottom w:val="nil"/>
              <w:right w:val="nil"/>
            </w:tcBorders>
            <w:shd w:val="clear" w:color="000000" w:fill="E6E6E6"/>
            <w:noWrap/>
            <w:vAlign w:val="center"/>
            <w:hideMark/>
          </w:tcPr>
          <w:p w14:paraId="39354CFD" w14:textId="5BDA3BF8" w:rsidR="00D024E5" w:rsidRPr="000E3C8C" w:rsidRDefault="00D024E5" w:rsidP="00D024E5">
            <w:pPr>
              <w:spacing w:after="0" w:line="240" w:lineRule="auto"/>
              <w:jc w:val="right"/>
              <w:rPr>
                <w:rFonts w:ascii="Arial" w:hAnsi="Arial" w:cs="Arial"/>
                <w:color w:val="000000"/>
                <w:sz w:val="16"/>
                <w:szCs w:val="16"/>
              </w:rPr>
            </w:pPr>
            <w:r w:rsidRPr="000E3C8C">
              <w:rPr>
                <w:rFonts w:ascii="Arial" w:hAnsi="Arial" w:cs="Arial"/>
                <w:color w:val="000000"/>
                <w:sz w:val="16"/>
                <w:szCs w:val="16"/>
              </w:rPr>
              <w:t>2020</w:t>
            </w:r>
            <w:r w:rsidR="00E834B1">
              <w:rPr>
                <w:rFonts w:ascii="Arial" w:hAnsi="Arial" w:cs="Arial"/>
                <w:color w:val="000000"/>
                <w:sz w:val="16"/>
                <w:szCs w:val="16"/>
              </w:rPr>
              <w:noBreakHyphen/>
            </w:r>
            <w:r w:rsidRPr="000E3C8C">
              <w:rPr>
                <w:rFonts w:ascii="Arial" w:hAnsi="Arial" w:cs="Arial"/>
                <w:color w:val="000000"/>
                <w:sz w:val="16"/>
                <w:szCs w:val="16"/>
              </w:rPr>
              <w:t>21</w:t>
            </w:r>
          </w:p>
        </w:tc>
      </w:tr>
      <w:tr w:rsidR="00D024E5" w:rsidRPr="000E3C8C" w14:paraId="154A28BA" w14:textId="77777777" w:rsidTr="00D024E5">
        <w:trPr>
          <w:divId w:val="1304895073"/>
          <w:trHeight w:hRule="exact" w:val="225"/>
        </w:trPr>
        <w:tc>
          <w:tcPr>
            <w:tcW w:w="3129" w:type="pct"/>
            <w:tcBorders>
              <w:top w:val="nil"/>
              <w:left w:val="nil"/>
              <w:bottom w:val="nil"/>
              <w:right w:val="nil"/>
            </w:tcBorders>
            <w:shd w:val="clear" w:color="auto" w:fill="auto"/>
            <w:noWrap/>
            <w:vAlign w:val="center"/>
            <w:hideMark/>
          </w:tcPr>
          <w:p w14:paraId="7DD196CC" w14:textId="77777777" w:rsidR="00D024E5" w:rsidRPr="000E3C8C" w:rsidRDefault="00D024E5" w:rsidP="00D024E5">
            <w:pPr>
              <w:spacing w:after="0" w:line="240" w:lineRule="auto"/>
              <w:jc w:val="right"/>
              <w:rPr>
                <w:rFonts w:ascii="Arial" w:hAnsi="Arial" w:cs="Arial"/>
                <w:color w:val="000000"/>
                <w:sz w:val="16"/>
                <w:szCs w:val="16"/>
              </w:rPr>
            </w:pPr>
          </w:p>
        </w:tc>
        <w:tc>
          <w:tcPr>
            <w:tcW w:w="936" w:type="pct"/>
            <w:tcBorders>
              <w:top w:val="nil"/>
              <w:left w:val="nil"/>
              <w:bottom w:val="single" w:sz="4" w:space="0" w:color="000000"/>
              <w:right w:val="nil"/>
            </w:tcBorders>
            <w:shd w:val="clear" w:color="000000" w:fill="FFFFFF"/>
            <w:noWrap/>
            <w:vAlign w:val="center"/>
            <w:hideMark/>
          </w:tcPr>
          <w:p w14:paraId="6C930F8F" w14:textId="77777777" w:rsidR="00D024E5" w:rsidRPr="000E3C8C" w:rsidRDefault="00D024E5" w:rsidP="00D024E5">
            <w:pPr>
              <w:spacing w:after="0" w:line="240" w:lineRule="auto"/>
              <w:jc w:val="right"/>
              <w:rPr>
                <w:rFonts w:ascii="Arial" w:hAnsi="Arial" w:cs="Arial"/>
                <w:color w:val="000000"/>
                <w:sz w:val="16"/>
                <w:szCs w:val="16"/>
              </w:rPr>
            </w:pPr>
            <w:r w:rsidRPr="000E3C8C">
              <w:rPr>
                <w:rFonts w:ascii="Arial" w:hAnsi="Arial" w:cs="Arial"/>
                <w:color w:val="000000"/>
                <w:sz w:val="16"/>
                <w:szCs w:val="16"/>
              </w:rPr>
              <w:t>$b</w:t>
            </w:r>
          </w:p>
        </w:tc>
        <w:tc>
          <w:tcPr>
            <w:tcW w:w="936" w:type="pct"/>
            <w:tcBorders>
              <w:top w:val="nil"/>
              <w:left w:val="nil"/>
              <w:bottom w:val="single" w:sz="4" w:space="0" w:color="000000"/>
              <w:right w:val="nil"/>
            </w:tcBorders>
            <w:shd w:val="clear" w:color="000000" w:fill="E6E6E6"/>
            <w:noWrap/>
            <w:vAlign w:val="center"/>
            <w:hideMark/>
          </w:tcPr>
          <w:p w14:paraId="60C8E01A" w14:textId="77777777" w:rsidR="00D024E5" w:rsidRPr="000E3C8C" w:rsidRDefault="00D024E5" w:rsidP="00D024E5">
            <w:pPr>
              <w:spacing w:after="0" w:line="240" w:lineRule="auto"/>
              <w:jc w:val="right"/>
              <w:rPr>
                <w:rFonts w:ascii="Arial" w:hAnsi="Arial" w:cs="Arial"/>
                <w:color w:val="000000"/>
                <w:sz w:val="16"/>
                <w:szCs w:val="16"/>
              </w:rPr>
            </w:pPr>
            <w:r w:rsidRPr="000E3C8C">
              <w:rPr>
                <w:rFonts w:ascii="Arial" w:hAnsi="Arial" w:cs="Arial"/>
                <w:color w:val="000000"/>
                <w:sz w:val="16"/>
                <w:szCs w:val="16"/>
              </w:rPr>
              <w:t>$b</w:t>
            </w:r>
          </w:p>
        </w:tc>
      </w:tr>
      <w:tr w:rsidR="00D024E5" w:rsidRPr="000E3C8C" w14:paraId="7D3838C9" w14:textId="77777777" w:rsidTr="00D024E5">
        <w:trPr>
          <w:divId w:val="1304895073"/>
          <w:trHeight w:hRule="exact" w:val="60"/>
        </w:trPr>
        <w:tc>
          <w:tcPr>
            <w:tcW w:w="3129" w:type="pct"/>
            <w:tcBorders>
              <w:top w:val="nil"/>
              <w:left w:val="nil"/>
              <w:bottom w:val="nil"/>
              <w:right w:val="nil"/>
            </w:tcBorders>
            <w:shd w:val="clear" w:color="auto" w:fill="auto"/>
            <w:noWrap/>
            <w:vAlign w:val="center"/>
            <w:hideMark/>
          </w:tcPr>
          <w:p w14:paraId="590934E5" w14:textId="77777777" w:rsidR="00D024E5" w:rsidRPr="000E3C8C" w:rsidRDefault="00D024E5" w:rsidP="00D024E5">
            <w:pPr>
              <w:spacing w:after="0" w:line="240" w:lineRule="auto"/>
              <w:jc w:val="right"/>
              <w:rPr>
                <w:rFonts w:ascii="Arial" w:hAnsi="Arial" w:cs="Arial"/>
                <w:color w:val="000000"/>
                <w:sz w:val="16"/>
                <w:szCs w:val="16"/>
              </w:rPr>
            </w:pPr>
          </w:p>
        </w:tc>
        <w:tc>
          <w:tcPr>
            <w:tcW w:w="936" w:type="pct"/>
            <w:tcBorders>
              <w:top w:val="nil"/>
              <w:left w:val="nil"/>
              <w:bottom w:val="nil"/>
              <w:right w:val="nil"/>
            </w:tcBorders>
            <w:shd w:val="clear" w:color="000000" w:fill="FFFFFF"/>
            <w:noWrap/>
            <w:vAlign w:val="center"/>
            <w:hideMark/>
          </w:tcPr>
          <w:p w14:paraId="513F206A" w14:textId="77777777" w:rsidR="00D024E5" w:rsidRPr="000E3C8C" w:rsidRDefault="00D024E5" w:rsidP="00D024E5">
            <w:pPr>
              <w:spacing w:after="0" w:line="240" w:lineRule="auto"/>
              <w:jc w:val="right"/>
              <w:rPr>
                <w:rFonts w:ascii="Arial" w:hAnsi="Arial" w:cs="Arial"/>
                <w:color w:val="000000"/>
                <w:sz w:val="16"/>
                <w:szCs w:val="16"/>
              </w:rPr>
            </w:pPr>
            <w:r w:rsidRPr="000E3C8C">
              <w:rPr>
                <w:rFonts w:ascii="Arial" w:hAnsi="Arial" w:cs="Arial"/>
                <w:color w:val="000000"/>
                <w:sz w:val="16"/>
                <w:szCs w:val="16"/>
              </w:rPr>
              <w:t> </w:t>
            </w:r>
          </w:p>
        </w:tc>
        <w:tc>
          <w:tcPr>
            <w:tcW w:w="936" w:type="pct"/>
            <w:tcBorders>
              <w:top w:val="nil"/>
              <w:left w:val="nil"/>
              <w:bottom w:val="nil"/>
              <w:right w:val="nil"/>
            </w:tcBorders>
            <w:shd w:val="clear" w:color="000000" w:fill="E6E6E6"/>
            <w:noWrap/>
            <w:vAlign w:val="center"/>
            <w:hideMark/>
          </w:tcPr>
          <w:p w14:paraId="7DCB5992" w14:textId="77777777" w:rsidR="00D024E5" w:rsidRPr="000E3C8C" w:rsidRDefault="00D024E5" w:rsidP="00D024E5">
            <w:pPr>
              <w:spacing w:after="0" w:line="240" w:lineRule="auto"/>
              <w:jc w:val="right"/>
              <w:rPr>
                <w:rFonts w:ascii="Arial" w:hAnsi="Arial" w:cs="Arial"/>
                <w:color w:val="000000"/>
                <w:sz w:val="16"/>
                <w:szCs w:val="16"/>
              </w:rPr>
            </w:pPr>
            <w:r w:rsidRPr="000E3C8C">
              <w:rPr>
                <w:rFonts w:ascii="Arial" w:hAnsi="Arial" w:cs="Arial"/>
                <w:color w:val="000000"/>
                <w:sz w:val="16"/>
                <w:szCs w:val="16"/>
              </w:rPr>
              <w:t> </w:t>
            </w:r>
          </w:p>
        </w:tc>
      </w:tr>
      <w:tr w:rsidR="00D024E5" w:rsidRPr="000E3C8C" w14:paraId="02BDBDE7" w14:textId="77777777" w:rsidTr="00D024E5">
        <w:trPr>
          <w:divId w:val="1304895073"/>
          <w:trHeight w:hRule="exact" w:val="225"/>
        </w:trPr>
        <w:tc>
          <w:tcPr>
            <w:tcW w:w="3129" w:type="pct"/>
            <w:tcBorders>
              <w:top w:val="nil"/>
              <w:left w:val="nil"/>
              <w:bottom w:val="nil"/>
              <w:right w:val="nil"/>
            </w:tcBorders>
            <w:shd w:val="clear" w:color="auto" w:fill="auto"/>
            <w:noWrap/>
            <w:vAlign w:val="center"/>
            <w:hideMark/>
          </w:tcPr>
          <w:p w14:paraId="70E775DF" w14:textId="3F552644" w:rsidR="00D024E5" w:rsidRPr="000E3C8C" w:rsidRDefault="00D024E5" w:rsidP="00D024E5">
            <w:pPr>
              <w:spacing w:after="0" w:line="240" w:lineRule="auto"/>
              <w:jc w:val="left"/>
              <w:rPr>
                <w:rFonts w:ascii="Arial" w:hAnsi="Arial" w:cs="Arial"/>
                <w:b/>
                <w:bCs/>
                <w:color w:val="000000"/>
                <w:sz w:val="16"/>
                <w:szCs w:val="16"/>
              </w:rPr>
            </w:pPr>
            <w:r w:rsidRPr="000E3C8C">
              <w:rPr>
                <w:rFonts w:ascii="Arial" w:hAnsi="Arial" w:cs="Arial"/>
                <w:b/>
                <w:bCs/>
                <w:color w:val="000000"/>
                <w:sz w:val="16"/>
                <w:szCs w:val="16"/>
              </w:rPr>
              <w:t>Face value</w:t>
            </w:r>
            <w:r w:rsidR="00E834B1">
              <w:rPr>
                <w:rFonts w:ascii="Arial" w:hAnsi="Arial" w:cs="Arial"/>
                <w:b/>
                <w:bCs/>
                <w:color w:val="000000"/>
                <w:sz w:val="16"/>
                <w:szCs w:val="16"/>
              </w:rPr>
              <w:t xml:space="preserve"> — </w:t>
            </w:r>
            <w:r w:rsidRPr="000E3C8C">
              <w:rPr>
                <w:rFonts w:ascii="Arial" w:hAnsi="Arial" w:cs="Arial"/>
                <w:b/>
                <w:bCs/>
                <w:color w:val="000000"/>
                <w:sz w:val="16"/>
                <w:szCs w:val="16"/>
              </w:rPr>
              <w:t>end of year(b)</w:t>
            </w:r>
          </w:p>
        </w:tc>
        <w:tc>
          <w:tcPr>
            <w:tcW w:w="936" w:type="pct"/>
            <w:tcBorders>
              <w:top w:val="nil"/>
              <w:left w:val="nil"/>
              <w:bottom w:val="nil"/>
              <w:right w:val="nil"/>
            </w:tcBorders>
            <w:shd w:val="clear" w:color="000000" w:fill="FFFFFF"/>
            <w:noWrap/>
            <w:vAlign w:val="center"/>
            <w:hideMark/>
          </w:tcPr>
          <w:p w14:paraId="7AA1D9C7" w14:textId="77777777" w:rsidR="00D024E5" w:rsidRPr="000E3C8C" w:rsidRDefault="00D024E5" w:rsidP="00D024E5">
            <w:pPr>
              <w:spacing w:after="0" w:line="240" w:lineRule="auto"/>
              <w:jc w:val="right"/>
              <w:rPr>
                <w:rFonts w:ascii="Arial" w:hAnsi="Arial" w:cs="Arial"/>
                <w:b/>
                <w:bCs/>
                <w:color w:val="000000"/>
                <w:sz w:val="16"/>
                <w:szCs w:val="16"/>
              </w:rPr>
            </w:pPr>
            <w:r w:rsidRPr="000E3C8C">
              <w:rPr>
                <w:rFonts w:ascii="Arial" w:hAnsi="Arial" w:cs="Arial"/>
                <w:b/>
                <w:bCs/>
                <w:color w:val="000000"/>
                <w:sz w:val="16"/>
                <w:szCs w:val="16"/>
              </w:rPr>
              <w:t>684.3</w:t>
            </w:r>
          </w:p>
        </w:tc>
        <w:tc>
          <w:tcPr>
            <w:tcW w:w="936" w:type="pct"/>
            <w:tcBorders>
              <w:top w:val="nil"/>
              <w:left w:val="nil"/>
              <w:bottom w:val="nil"/>
              <w:right w:val="nil"/>
            </w:tcBorders>
            <w:shd w:val="clear" w:color="000000" w:fill="E6E6E6"/>
            <w:noWrap/>
            <w:vAlign w:val="center"/>
            <w:hideMark/>
          </w:tcPr>
          <w:p w14:paraId="2E2CAB8B" w14:textId="77777777" w:rsidR="00D024E5" w:rsidRPr="000E3C8C" w:rsidRDefault="00D024E5" w:rsidP="00D024E5">
            <w:pPr>
              <w:spacing w:after="0" w:line="240" w:lineRule="auto"/>
              <w:jc w:val="right"/>
              <w:rPr>
                <w:rFonts w:ascii="Arial" w:hAnsi="Arial" w:cs="Arial"/>
                <w:b/>
                <w:bCs/>
                <w:color w:val="000000"/>
                <w:sz w:val="16"/>
                <w:szCs w:val="16"/>
              </w:rPr>
            </w:pPr>
            <w:r w:rsidRPr="000E3C8C">
              <w:rPr>
                <w:rFonts w:ascii="Arial" w:hAnsi="Arial" w:cs="Arial"/>
                <w:b/>
                <w:bCs/>
                <w:color w:val="000000"/>
                <w:sz w:val="16"/>
                <w:szCs w:val="16"/>
              </w:rPr>
              <w:t>851.9</w:t>
            </w:r>
          </w:p>
        </w:tc>
      </w:tr>
      <w:tr w:rsidR="00D024E5" w:rsidRPr="000E3C8C" w14:paraId="4EABB631" w14:textId="77777777" w:rsidTr="00D024E5">
        <w:trPr>
          <w:divId w:val="1304895073"/>
          <w:trHeight w:hRule="exact" w:val="225"/>
        </w:trPr>
        <w:tc>
          <w:tcPr>
            <w:tcW w:w="3129" w:type="pct"/>
            <w:tcBorders>
              <w:top w:val="nil"/>
              <w:left w:val="nil"/>
              <w:bottom w:val="nil"/>
              <w:right w:val="nil"/>
            </w:tcBorders>
            <w:shd w:val="clear" w:color="auto" w:fill="auto"/>
            <w:noWrap/>
            <w:vAlign w:val="center"/>
            <w:hideMark/>
          </w:tcPr>
          <w:p w14:paraId="442B088E" w14:textId="77777777" w:rsidR="00D024E5" w:rsidRPr="000E3C8C" w:rsidRDefault="00D024E5" w:rsidP="00D024E5">
            <w:pPr>
              <w:spacing w:after="0" w:line="240" w:lineRule="auto"/>
              <w:jc w:val="left"/>
              <w:rPr>
                <w:rFonts w:ascii="Arial" w:hAnsi="Arial" w:cs="Arial"/>
                <w:color w:val="000000"/>
                <w:sz w:val="16"/>
                <w:szCs w:val="16"/>
              </w:rPr>
            </w:pPr>
            <w:r w:rsidRPr="000E3C8C">
              <w:rPr>
                <w:rFonts w:ascii="Arial" w:hAnsi="Arial" w:cs="Arial"/>
                <w:color w:val="000000"/>
                <w:sz w:val="16"/>
                <w:szCs w:val="16"/>
              </w:rPr>
              <w:t>Per cent of GDP</w:t>
            </w:r>
          </w:p>
        </w:tc>
        <w:tc>
          <w:tcPr>
            <w:tcW w:w="936" w:type="pct"/>
            <w:tcBorders>
              <w:top w:val="nil"/>
              <w:left w:val="nil"/>
              <w:bottom w:val="nil"/>
              <w:right w:val="nil"/>
            </w:tcBorders>
            <w:shd w:val="clear" w:color="000000" w:fill="FFFFFF"/>
            <w:noWrap/>
            <w:vAlign w:val="center"/>
            <w:hideMark/>
          </w:tcPr>
          <w:p w14:paraId="41F40DEC" w14:textId="77777777" w:rsidR="00D024E5" w:rsidRPr="000E3C8C" w:rsidRDefault="00D024E5" w:rsidP="00D024E5">
            <w:pPr>
              <w:spacing w:after="0" w:line="240" w:lineRule="auto"/>
              <w:jc w:val="right"/>
              <w:rPr>
                <w:rFonts w:ascii="Arial" w:hAnsi="Arial" w:cs="Arial"/>
                <w:color w:val="000000"/>
                <w:sz w:val="16"/>
                <w:szCs w:val="16"/>
              </w:rPr>
            </w:pPr>
            <w:r w:rsidRPr="000E3C8C">
              <w:rPr>
                <w:rFonts w:ascii="Arial" w:hAnsi="Arial" w:cs="Arial"/>
                <w:color w:val="000000"/>
                <w:sz w:val="16"/>
                <w:szCs w:val="16"/>
              </w:rPr>
              <w:t>34.4</w:t>
            </w:r>
          </w:p>
        </w:tc>
        <w:tc>
          <w:tcPr>
            <w:tcW w:w="936" w:type="pct"/>
            <w:tcBorders>
              <w:top w:val="nil"/>
              <w:left w:val="nil"/>
              <w:bottom w:val="nil"/>
              <w:right w:val="nil"/>
            </w:tcBorders>
            <w:shd w:val="clear" w:color="000000" w:fill="E6E6E6"/>
            <w:noWrap/>
            <w:vAlign w:val="center"/>
            <w:hideMark/>
          </w:tcPr>
          <w:p w14:paraId="4AC6FB83" w14:textId="77777777" w:rsidR="00D024E5" w:rsidRPr="000E3C8C" w:rsidRDefault="00D024E5" w:rsidP="00D024E5">
            <w:pPr>
              <w:spacing w:after="0" w:line="240" w:lineRule="auto"/>
              <w:jc w:val="right"/>
              <w:rPr>
                <w:rFonts w:ascii="Arial" w:hAnsi="Arial" w:cs="Arial"/>
                <w:color w:val="000000"/>
                <w:sz w:val="16"/>
                <w:szCs w:val="16"/>
              </w:rPr>
            </w:pPr>
            <w:r w:rsidRPr="000E3C8C">
              <w:rPr>
                <w:rFonts w:ascii="Arial" w:hAnsi="Arial" w:cs="Arial"/>
                <w:color w:val="000000"/>
                <w:sz w:val="16"/>
                <w:szCs w:val="16"/>
              </w:rPr>
              <w:t>45.0</w:t>
            </w:r>
          </w:p>
        </w:tc>
      </w:tr>
      <w:tr w:rsidR="00D024E5" w:rsidRPr="000E3C8C" w14:paraId="5170C96F" w14:textId="77777777" w:rsidTr="00D024E5">
        <w:trPr>
          <w:divId w:val="1304895073"/>
          <w:trHeight w:hRule="exact" w:val="60"/>
        </w:trPr>
        <w:tc>
          <w:tcPr>
            <w:tcW w:w="3129" w:type="pct"/>
            <w:tcBorders>
              <w:top w:val="nil"/>
              <w:left w:val="nil"/>
              <w:bottom w:val="nil"/>
              <w:right w:val="nil"/>
            </w:tcBorders>
            <w:shd w:val="clear" w:color="auto" w:fill="auto"/>
            <w:noWrap/>
            <w:vAlign w:val="center"/>
            <w:hideMark/>
          </w:tcPr>
          <w:p w14:paraId="2C795B55" w14:textId="77777777" w:rsidR="00D024E5" w:rsidRPr="000E3C8C" w:rsidRDefault="00D024E5" w:rsidP="00D024E5">
            <w:pPr>
              <w:spacing w:after="0" w:line="240" w:lineRule="auto"/>
              <w:jc w:val="right"/>
              <w:rPr>
                <w:rFonts w:ascii="Arial" w:hAnsi="Arial" w:cs="Arial"/>
                <w:color w:val="000000"/>
                <w:sz w:val="16"/>
                <w:szCs w:val="16"/>
              </w:rPr>
            </w:pPr>
          </w:p>
        </w:tc>
        <w:tc>
          <w:tcPr>
            <w:tcW w:w="936" w:type="pct"/>
            <w:tcBorders>
              <w:top w:val="nil"/>
              <w:left w:val="nil"/>
              <w:bottom w:val="nil"/>
              <w:right w:val="nil"/>
            </w:tcBorders>
            <w:shd w:val="clear" w:color="000000" w:fill="FFFFFF"/>
            <w:noWrap/>
            <w:vAlign w:val="center"/>
            <w:hideMark/>
          </w:tcPr>
          <w:p w14:paraId="46B18413" w14:textId="77777777" w:rsidR="00D024E5" w:rsidRPr="000E3C8C" w:rsidRDefault="00D024E5" w:rsidP="00D024E5">
            <w:pPr>
              <w:spacing w:after="0" w:line="240" w:lineRule="auto"/>
              <w:jc w:val="right"/>
              <w:rPr>
                <w:rFonts w:ascii="Arial" w:hAnsi="Arial" w:cs="Arial"/>
                <w:color w:val="000000"/>
                <w:sz w:val="16"/>
                <w:szCs w:val="16"/>
              </w:rPr>
            </w:pPr>
            <w:r w:rsidRPr="000E3C8C">
              <w:rPr>
                <w:rFonts w:ascii="Arial" w:hAnsi="Arial" w:cs="Arial"/>
                <w:color w:val="000000"/>
                <w:sz w:val="16"/>
                <w:szCs w:val="16"/>
              </w:rPr>
              <w:t> </w:t>
            </w:r>
          </w:p>
        </w:tc>
        <w:tc>
          <w:tcPr>
            <w:tcW w:w="936" w:type="pct"/>
            <w:tcBorders>
              <w:top w:val="nil"/>
              <w:left w:val="nil"/>
              <w:bottom w:val="nil"/>
              <w:right w:val="nil"/>
            </w:tcBorders>
            <w:shd w:val="clear" w:color="000000" w:fill="E6E6E6"/>
            <w:noWrap/>
            <w:vAlign w:val="center"/>
            <w:hideMark/>
          </w:tcPr>
          <w:p w14:paraId="2324AF96" w14:textId="77777777" w:rsidR="00D024E5" w:rsidRPr="000E3C8C" w:rsidRDefault="00D024E5" w:rsidP="00D024E5">
            <w:pPr>
              <w:spacing w:after="0" w:line="240" w:lineRule="auto"/>
              <w:jc w:val="right"/>
              <w:rPr>
                <w:rFonts w:ascii="Arial" w:hAnsi="Arial" w:cs="Arial"/>
                <w:color w:val="000000"/>
                <w:sz w:val="16"/>
                <w:szCs w:val="16"/>
              </w:rPr>
            </w:pPr>
            <w:r w:rsidRPr="000E3C8C">
              <w:rPr>
                <w:rFonts w:ascii="Arial" w:hAnsi="Arial" w:cs="Arial"/>
                <w:color w:val="000000"/>
                <w:sz w:val="16"/>
                <w:szCs w:val="16"/>
              </w:rPr>
              <w:t> </w:t>
            </w:r>
          </w:p>
        </w:tc>
      </w:tr>
      <w:tr w:rsidR="00D024E5" w:rsidRPr="000E3C8C" w14:paraId="430A719B" w14:textId="77777777" w:rsidTr="00D024E5">
        <w:trPr>
          <w:divId w:val="1304895073"/>
          <w:trHeight w:hRule="exact" w:val="225"/>
        </w:trPr>
        <w:tc>
          <w:tcPr>
            <w:tcW w:w="3129" w:type="pct"/>
            <w:tcBorders>
              <w:top w:val="nil"/>
              <w:left w:val="nil"/>
              <w:bottom w:val="nil"/>
              <w:right w:val="nil"/>
            </w:tcBorders>
            <w:shd w:val="clear" w:color="auto" w:fill="auto"/>
            <w:noWrap/>
            <w:vAlign w:val="center"/>
            <w:hideMark/>
          </w:tcPr>
          <w:p w14:paraId="6EEC8D26" w14:textId="4C3EBCB0" w:rsidR="00D024E5" w:rsidRPr="000E3C8C" w:rsidRDefault="00D024E5" w:rsidP="00D024E5">
            <w:pPr>
              <w:spacing w:after="0" w:line="240" w:lineRule="auto"/>
              <w:jc w:val="left"/>
              <w:rPr>
                <w:rFonts w:ascii="Arial" w:hAnsi="Arial" w:cs="Arial"/>
                <w:b/>
                <w:bCs/>
                <w:color w:val="000000"/>
                <w:sz w:val="16"/>
                <w:szCs w:val="16"/>
              </w:rPr>
            </w:pPr>
            <w:r w:rsidRPr="000E3C8C">
              <w:rPr>
                <w:rFonts w:ascii="Arial" w:hAnsi="Arial" w:cs="Arial"/>
                <w:b/>
                <w:bCs/>
                <w:color w:val="000000"/>
                <w:sz w:val="16"/>
                <w:szCs w:val="16"/>
              </w:rPr>
              <w:t>Market value</w:t>
            </w:r>
            <w:r w:rsidR="00E834B1">
              <w:rPr>
                <w:rFonts w:ascii="Arial" w:hAnsi="Arial" w:cs="Arial"/>
                <w:b/>
                <w:bCs/>
                <w:color w:val="000000"/>
                <w:sz w:val="16"/>
                <w:szCs w:val="16"/>
              </w:rPr>
              <w:t xml:space="preserve"> — </w:t>
            </w:r>
            <w:r w:rsidRPr="000E3C8C">
              <w:rPr>
                <w:rFonts w:ascii="Arial" w:hAnsi="Arial" w:cs="Arial"/>
                <w:b/>
                <w:bCs/>
                <w:color w:val="000000"/>
                <w:sz w:val="16"/>
                <w:szCs w:val="16"/>
              </w:rPr>
              <w:t>end of year(c)</w:t>
            </w:r>
          </w:p>
        </w:tc>
        <w:tc>
          <w:tcPr>
            <w:tcW w:w="936" w:type="pct"/>
            <w:tcBorders>
              <w:top w:val="nil"/>
              <w:left w:val="nil"/>
              <w:bottom w:val="nil"/>
              <w:right w:val="nil"/>
            </w:tcBorders>
            <w:shd w:val="clear" w:color="000000" w:fill="FFFFFF"/>
            <w:noWrap/>
            <w:vAlign w:val="center"/>
            <w:hideMark/>
          </w:tcPr>
          <w:p w14:paraId="03EFE53E" w14:textId="77777777" w:rsidR="00D024E5" w:rsidRPr="000E3C8C" w:rsidRDefault="00D024E5" w:rsidP="00D024E5">
            <w:pPr>
              <w:spacing w:after="0" w:line="240" w:lineRule="auto"/>
              <w:jc w:val="right"/>
              <w:rPr>
                <w:rFonts w:ascii="Arial" w:hAnsi="Arial" w:cs="Arial"/>
                <w:b/>
                <w:bCs/>
                <w:sz w:val="16"/>
                <w:szCs w:val="16"/>
              </w:rPr>
            </w:pPr>
            <w:r w:rsidRPr="000E3C8C">
              <w:rPr>
                <w:rFonts w:ascii="Arial" w:hAnsi="Arial" w:cs="Arial"/>
                <w:b/>
                <w:bCs/>
                <w:sz w:val="16"/>
                <w:szCs w:val="16"/>
              </w:rPr>
              <w:t>785.0</w:t>
            </w:r>
          </w:p>
        </w:tc>
        <w:tc>
          <w:tcPr>
            <w:tcW w:w="936" w:type="pct"/>
            <w:tcBorders>
              <w:top w:val="nil"/>
              <w:left w:val="nil"/>
              <w:bottom w:val="nil"/>
              <w:right w:val="nil"/>
            </w:tcBorders>
            <w:shd w:val="clear" w:color="000000" w:fill="E6E6E6"/>
            <w:noWrap/>
            <w:vAlign w:val="center"/>
            <w:hideMark/>
          </w:tcPr>
          <w:p w14:paraId="253A2782" w14:textId="77777777" w:rsidR="00D024E5" w:rsidRPr="000E3C8C" w:rsidRDefault="00D024E5" w:rsidP="00D024E5">
            <w:pPr>
              <w:spacing w:after="0" w:line="240" w:lineRule="auto"/>
              <w:jc w:val="right"/>
              <w:rPr>
                <w:rFonts w:ascii="Arial" w:hAnsi="Arial" w:cs="Arial"/>
                <w:b/>
                <w:bCs/>
                <w:sz w:val="16"/>
                <w:szCs w:val="16"/>
              </w:rPr>
            </w:pPr>
            <w:r w:rsidRPr="000E3C8C">
              <w:rPr>
                <w:rFonts w:ascii="Arial" w:hAnsi="Arial" w:cs="Arial"/>
                <w:b/>
                <w:bCs/>
                <w:sz w:val="16"/>
                <w:szCs w:val="16"/>
              </w:rPr>
              <w:t>952.2</w:t>
            </w:r>
          </w:p>
        </w:tc>
      </w:tr>
      <w:tr w:rsidR="00D024E5" w:rsidRPr="000E3C8C" w14:paraId="38CB6C5D" w14:textId="77777777" w:rsidTr="00D024E5">
        <w:trPr>
          <w:divId w:val="1304895073"/>
          <w:trHeight w:hRule="exact" w:val="225"/>
        </w:trPr>
        <w:tc>
          <w:tcPr>
            <w:tcW w:w="3129" w:type="pct"/>
            <w:tcBorders>
              <w:top w:val="nil"/>
              <w:left w:val="nil"/>
              <w:bottom w:val="single" w:sz="4" w:space="0" w:color="auto"/>
              <w:right w:val="nil"/>
            </w:tcBorders>
            <w:shd w:val="clear" w:color="auto" w:fill="auto"/>
            <w:noWrap/>
            <w:vAlign w:val="center"/>
            <w:hideMark/>
          </w:tcPr>
          <w:p w14:paraId="02B516D0" w14:textId="77777777" w:rsidR="00D024E5" w:rsidRPr="000E3C8C" w:rsidRDefault="00D024E5" w:rsidP="00D024E5">
            <w:pPr>
              <w:spacing w:after="0" w:line="240" w:lineRule="auto"/>
              <w:jc w:val="left"/>
              <w:rPr>
                <w:rFonts w:ascii="Arial" w:hAnsi="Arial" w:cs="Arial"/>
                <w:color w:val="000000"/>
                <w:sz w:val="16"/>
                <w:szCs w:val="16"/>
              </w:rPr>
            </w:pPr>
            <w:r w:rsidRPr="000E3C8C">
              <w:rPr>
                <w:rFonts w:ascii="Arial" w:hAnsi="Arial" w:cs="Arial"/>
                <w:color w:val="000000"/>
                <w:sz w:val="16"/>
                <w:szCs w:val="16"/>
              </w:rPr>
              <w:t>Per cent of GDP</w:t>
            </w:r>
          </w:p>
        </w:tc>
        <w:tc>
          <w:tcPr>
            <w:tcW w:w="936" w:type="pct"/>
            <w:tcBorders>
              <w:top w:val="nil"/>
              <w:left w:val="nil"/>
              <w:bottom w:val="single" w:sz="4" w:space="0" w:color="auto"/>
              <w:right w:val="nil"/>
            </w:tcBorders>
            <w:shd w:val="clear" w:color="000000" w:fill="FFFFFF"/>
            <w:noWrap/>
            <w:vAlign w:val="center"/>
            <w:hideMark/>
          </w:tcPr>
          <w:p w14:paraId="7838D252" w14:textId="77777777" w:rsidR="00D024E5" w:rsidRPr="000E3C8C" w:rsidRDefault="00D024E5" w:rsidP="00D024E5">
            <w:pPr>
              <w:spacing w:after="0" w:line="240" w:lineRule="auto"/>
              <w:jc w:val="right"/>
              <w:rPr>
                <w:rFonts w:ascii="Arial" w:hAnsi="Arial" w:cs="Arial"/>
                <w:color w:val="000000"/>
                <w:sz w:val="16"/>
                <w:szCs w:val="16"/>
              </w:rPr>
            </w:pPr>
            <w:r w:rsidRPr="000E3C8C">
              <w:rPr>
                <w:rFonts w:ascii="Arial" w:hAnsi="Arial" w:cs="Arial"/>
                <w:color w:val="000000"/>
                <w:sz w:val="16"/>
                <w:szCs w:val="16"/>
              </w:rPr>
              <w:t>39.5</w:t>
            </w:r>
          </w:p>
        </w:tc>
        <w:tc>
          <w:tcPr>
            <w:tcW w:w="936" w:type="pct"/>
            <w:tcBorders>
              <w:top w:val="nil"/>
              <w:left w:val="nil"/>
              <w:bottom w:val="single" w:sz="4" w:space="0" w:color="auto"/>
              <w:right w:val="nil"/>
            </w:tcBorders>
            <w:shd w:val="clear" w:color="000000" w:fill="E6E6E6"/>
            <w:noWrap/>
            <w:vAlign w:val="center"/>
            <w:hideMark/>
          </w:tcPr>
          <w:p w14:paraId="36E98CCD" w14:textId="77777777" w:rsidR="00D024E5" w:rsidRPr="000E3C8C" w:rsidRDefault="00D024E5" w:rsidP="00D024E5">
            <w:pPr>
              <w:spacing w:after="0" w:line="240" w:lineRule="auto"/>
              <w:jc w:val="right"/>
              <w:rPr>
                <w:rFonts w:ascii="Arial" w:hAnsi="Arial" w:cs="Arial"/>
                <w:color w:val="000000"/>
                <w:sz w:val="16"/>
                <w:szCs w:val="16"/>
              </w:rPr>
            </w:pPr>
            <w:r w:rsidRPr="000E3C8C">
              <w:rPr>
                <w:rFonts w:ascii="Arial" w:hAnsi="Arial" w:cs="Arial"/>
                <w:color w:val="000000"/>
                <w:sz w:val="16"/>
                <w:szCs w:val="16"/>
              </w:rPr>
              <w:t>50.3</w:t>
            </w:r>
          </w:p>
        </w:tc>
      </w:tr>
    </w:tbl>
    <w:p w14:paraId="7C06F5B0" w14:textId="3F316EC1" w:rsidR="000016B7" w:rsidRPr="000E3C8C" w:rsidRDefault="000016B7" w:rsidP="00D024E5">
      <w:pPr>
        <w:pStyle w:val="ChartandTableFootnoteAlpha"/>
        <w:numPr>
          <w:ilvl w:val="0"/>
          <w:numId w:val="14"/>
        </w:numPr>
      </w:pPr>
      <w:r w:rsidRPr="000E3C8C">
        <w:t>The Treasurer</w:t>
      </w:r>
      <w:r w:rsidR="00E834B1">
        <w:t>’</w:t>
      </w:r>
      <w:r w:rsidRPr="000E3C8C">
        <w:t>s Direction applies only to the face value of AGS on issue.</w:t>
      </w:r>
    </w:p>
    <w:p w14:paraId="320C6BA2" w14:textId="2916F39C" w:rsidR="000016B7" w:rsidRPr="000E3C8C" w:rsidRDefault="000016B7" w:rsidP="00A9321B">
      <w:pPr>
        <w:pStyle w:val="ChartandTableFootnoteAlpha"/>
      </w:pPr>
      <w:r w:rsidRPr="000E3C8C">
        <w:t xml:space="preserve">The face value of AGS on issue is the amount that Government pays back to investors at maturity, independent of fluctuations in market prices. </w:t>
      </w:r>
      <w:r w:rsidR="005F11A0" w:rsidRPr="000E3C8C">
        <w:t>The 2019</w:t>
      </w:r>
      <w:r w:rsidR="00E834B1">
        <w:noBreakHyphen/>
      </w:r>
      <w:r w:rsidR="005F11A0" w:rsidRPr="000E3C8C">
        <w:t>20 value is the actual face value at 30 June 2020.</w:t>
      </w:r>
    </w:p>
    <w:p w14:paraId="2189E1B9" w14:textId="58B8F71D" w:rsidR="000016B7" w:rsidRPr="000E3C8C" w:rsidRDefault="000016B7" w:rsidP="00A9321B">
      <w:pPr>
        <w:pStyle w:val="ChartandTableFootnoteAlpha"/>
      </w:pPr>
      <w:r w:rsidRPr="000E3C8C">
        <w:t>The market value of AGS on issue is the measurement included in net debt and represents the value of securities as traded on the secondary market, which changes continuously with movements in market prices.</w:t>
      </w:r>
      <w:r w:rsidR="005F11A0" w:rsidRPr="000E3C8C">
        <w:t xml:space="preserve"> The 2019</w:t>
      </w:r>
      <w:r w:rsidR="00E834B1">
        <w:noBreakHyphen/>
      </w:r>
      <w:r w:rsidR="005F11A0" w:rsidRPr="000E3C8C">
        <w:t>20 value is the actual market value at 30 June 2020.</w:t>
      </w:r>
    </w:p>
    <w:p w14:paraId="61B7F86C" w14:textId="77777777" w:rsidR="00A9321B" w:rsidRPr="000E3C8C" w:rsidRDefault="00A9321B" w:rsidP="00A9321B">
      <w:pPr>
        <w:pStyle w:val="SingleParagraph"/>
      </w:pPr>
    </w:p>
    <w:p w14:paraId="194AB4B6" w14:textId="6EBAB602" w:rsidR="00D255E8" w:rsidRPr="000E3C8C" w:rsidRDefault="00D255E8" w:rsidP="00D255E8">
      <w:r w:rsidRPr="000E3C8C">
        <w:t xml:space="preserve">The headline cash balance is a good indicator of the </w:t>
      </w:r>
      <w:proofErr w:type="gramStart"/>
      <w:r w:rsidRPr="000E3C8C">
        <w:t>Government</w:t>
      </w:r>
      <w:r w:rsidR="00E834B1">
        <w:t>’</w:t>
      </w:r>
      <w:r w:rsidRPr="000E3C8C">
        <w:t>s</w:t>
      </w:r>
      <w:proofErr w:type="gramEnd"/>
      <w:r w:rsidRPr="000E3C8C">
        <w:t xml:space="preserve"> borrowing requirement. It consists of the underlying cash balance, net cash flows from investments in financial assets for policy purposes (for example, student loans and equity investment in NBN Co Limited) and net Future Fund earnings (included in the underlying cash balance from 2020</w:t>
      </w:r>
      <w:r w:rsidR="00E834B1">
        <w:noBreakHyphen/>
      </w:r>
      <w:r w:rsidRPr="000E3C8C">
        <w:t xml:space="preserve">21). </w:t>
      </w:r>
    </w:p>
    <w:p w14:paraId="620363E3" w14:textId="418FDB01" w:rsidR="00D255E8" w:rsidRPr="000E3C8C" w:rsidRDefault="00D255E8" w:rsidP="00D255E8">
      <w:r w:rsidRPr="000E3C8C">
        <w:t>Since the 2019</w:t>
      </w:r>
      <w:r w:rsidR="00E834B1">
        <w:noBreakHyphen/>
      </w:r>
      <w:r w:rsidRPr="000E3C8C">
        <w:t xml:space="preserve">20 MYEFO, </w:t>
      </w:r>
      <w:r w:rsidR="007C469E" w:rsidRPr="000E3C8C">
        <w:t xml:space="preserve">the </w:t>
      </w:r>
      <w:r w:rsidRPr="000E3C8C">
        <w:t>headline cash deficit es</w:t>
      </w:r>
      <w:r w:rsidR="009F665E" w:rsidRPr="000E3C8C">
        <w:t>timates have increased to $94.0 </w:t>
      </w:r>
      <w:r w:rsidRPr="000E3C8C">
        <w:t>billion (4.7 per cent of GDP) in 2019</w:t>
      </w:r>
      <w:r w:rsidR="00E834B1">
        <w:noBreakHyphen/>
      </w:r>
      <w:r w:rsidRPr="000E3C8C">
        <w:t>20 and $209.2 billion (11.0 per cent of GDP) in 2020</w:t>
      </w:r>
      <w:r w:rsidR="00E834B1">
        <w:noBreakHyphen/>
      </w:r>
      <w:r w:rsidRPr="000E3C8C">
        <w:t xml:space="preserve">21. </w:t>
      </w:r>
      <w:r w:rsidR="00FB591B" w:rsidRPr="000E3C8C">
        <w:t xml:space="preserve">This deterioration </w:t>
      </w:r>
      <w:proofErr w:type="gramStart"/>
      <w:r w:rsidR="00FB591B" w:rsidRPr="000E3C8C">
        <w:t>is primarily driven</w:t>
      </w:r>
      <w:proofErr w:type="gramEnd"/>
      <w:r w:rsidR="00FB591B" w:rsidRPr="000E3C8C">
        <w:t xml:space="preserve"> by the underlying cash deficit for each year.</w:t>
      </w:r>
      <w:r w:rsidRPr="000E3C8C">
        <w:t xml:space="preserve"> Further detail on the headline cash balance estimates </w:t>
      </w:r>
      <w:r w:rsidR="00E000C8" w:rsidRPr="000E3C8C">
        <w:t xml:space="preserve">will be included in the </w:t>
      </w:r>
      <w:r w:rsidR="009C6863" w:rsidRPr="000E3C8C">
        <w:t>2020</w:t>
      </w:r>
      <w:r w:rsidR="00E834B1">
        <w:noBreakHyphen/>
      </w:r>
      <w:r w:rsidR="009C6863" w:rsidRPr="000E3C8C">
        <w:t>21 </w:t>
      </w:r>
      <w:r w:rsidRPr="000E3C8C">
        <w:t>Budget.</w:t>
      </w:r>
    </w:p>
    <w:p w14:paraId="371BD707" w14:textId="6F3BFD66" w:rsidR="00D255E8" w:rsidRPr="000E3C8C" w:rsidRDefault="00D255E8" w:rsidP="00D255E8">
      <w:r w:rsidRPr="000E3C8C">
        <w:t xml:space="preserve">Net debt </w:t>
      </w:r>
      <w:proofErr w:type="gramStart"/>
      <w:r w:rsidRPr="000E3C8C">
        <w:t>is expected</w:t>
      </w:r>
      <w:proofErr w:type="gramEnd"/>
      <w:r w:rsidRPr="000E3C8C">
        <w:t xml:space="preserve"> to be </w:t>
      </w:r>
      <w:r w:rsidR="003C7C2D" w:rsidRPr="000E3C8C">
        <w:t>$488.2 billion (</w:t>
      </w:r>
      <w:r w:rsidRPr="000E3C8C">
        <w:t>24.6 per cent of GDP) at 30 June 2020 and increase to</w:t>
      </w:r>
      <w:r w:rsidR="003C7C2D" w:rsidRPr="000E3C8C">
        <w:t xml:space="preserve"> $677.1 billion</w:t>
      </w:r>
      <w:r w:rsidRPr="000E3C8C">
        <w:t xml:space="preserve"> </w:t>
      </w:r>
      <w:r w:rsidR="003C7C2D" w:rsidRPr="000E3C8C">
        <w:t>(35.7 per cent of GDP</w:t>
      </w:r>
      <w:r w:rsidRPr="000E3C8C">
        <w:t xml:space="preserve">) </w:t>
      </w:r>
      <w:r w:rsidR="009C6863" w:rsidRPr="000E3C8C">
        <w:t>at</w:t>
      </w:r>
      <w:r w:rsidRPr="000E3C8C">
        <w:t xml:space="preserve"> 30 June 2021. The expected increase in net debt since the 2019</w:t>
      </w:r>
      <w:r w:rsidR="00E834B1">
        <w:noBreakHyphen/>
      </w:r>
      <w:r w:rsidRPr="000E3C8C">
        <w:t>20 MYEFO primarily reflects the increased borrowing requirement</w:t>
      </w:r>
      <w:r w:rsidR="002A115E" w:rsidRPr="000E3C8C">
        <w:t xml:space="preserve">. </w:t>
      </w:r>
    </w:p>
    <w:p w14:paraId="1BFF1B53" w14:textId="78C9076D" w:rsidR="00D72F6C" w:rsidRPr="000E3C8C" w:rsidRDefault="00D72F6C" w:rsidP="00A20C8F">
      <w:pPr>
        <w:spacing w:after="160" w:line="259" w:lineRule="auto"/>
        <w:jc w:val="left"/>
      </w:pPr>
      <w:r w:rsidRPr="000E3C8C">
        <w:br w:type="page"/>
      </w:r>
    </w:p>
    <w:tbl>
      <w:tblPr>
        <w:tblpPr w:leftFromText="180" w:rightFromText="180" w:vertAnchor="text" w:tblpY="1"/>
        <w:tblOverlap w:val="never"/>
        <w:tblW w:w="5000" w:type="pct"/>
        <w:shd w:val="clear" w:color="auto" w:fill="EBEBEB"/>
        <w:tblLook w:val="0000" w:firstRow="0" w:lastRow="0" w:firstColumn="0" w:lastColumn="0" w:noHBand="0" w:noVBand="0"/>
      </w:tblPr>
      <w:tblGrid>
        <w:gridCol w:w="7710"/>
      </w:tblGrid>
      <w:tr w:rsidR="00FA662B" w:rsidRPr="000E3C8C" w14:paraId="0F78E0D5" w14:textId="77777777" w:rsidTr="000E663C">
        <w:trPr>
          <w:cantSplit/>
        </w:trPr>
        <w:tc>
          <w:tcPr>
            <w:tcW w:w="7710" w:type="dxa"/>
            <w:shd w:val="clear" w:color="auto" w:fill="EBEBEB"/>
          </w:tcPr>
          <w:p w14:paraId="5BB48DAC" w14:textId="2D243972" w:rsidR="00232A4B" w:rsidRPr="000E3C8C" w:rsidRDefault="00A14807" w:rsidP="00884AF0">
            <w:pPr>
              <w:pStyle w:val="BoxHeading"/>
            </w:pPr>
            <w:r w:rsidRPr="000E3C8C">
              <w:lastRenderedPageBreak/>
              <w:t>Box 3.4</w:t>
            </w:r>
            <w:r w:rsidR="00232A4B" w:rsidRPr="000E3C8C">
              <w:t>: Government bond yields and debt servicing costs</w:t>
            </w:r>
          </w:p>
          <w:p w14:paraId="38ABF14D" w14:textId="640D131B" w:rsidR="00232A4B" w:rsidRPr="000E3C8C" w:rsidRDefault="00232A4B" w:rsidP="00884AF0">
            <w:pPr>
              <w:pStyle w:val="BoxText"/>
            </w:pPr>
            <w:r w:rsidRPr="000E3C8C">
              <w:t xml:space="preserve">Internationally, bond yields are at historical lows (Chart </w:t>
            </w:r>
            <w:r w:rsidR="0086403C" w:rsidRPr="000E3C8C">
              <w:t>3.</w:t>
            </w:r>
            <w:r w:rsidR="006425EE" w:rsidRPr="000E3C8C">
              <w:t>4</w:t>
            </w:r>
            <w:r w:rsidRPr="000E3C8C">
              <w:t xml:space="preserve">). Lower bond yields translate to a lower public debt interest (PDI) </w:t>
            </w:r>
            <w:r w:rsidR="00A73827" w:rsidRPr="000E3C8C">
              <w:t xml:space="preserve">cost </w:t>
            </w:r>
            <w:r w:rsidRPr="000E3C8C">
              <w:t xml:space="preserve">for governments on their borrowings. </w:t>
            </w:r>
          </w:p>
          <w:p w14:paraId="3754ED71" w14:textId="79279685" w:rsidR="00232A4B" w:rsidRPr="000E3C8C" w:rsidRDefault="00232A4B" w:rsidP="00884AF0">
            <w:pPr>
              <w:pStyle w:val="BoxText"/>
            </w:pPr>
            <w:r w:rsidRPr="000E3C8C">
              <w:t>While the unprecedented speed and scale of the Government</w:t>
            </w:r>
            <w:r w:rsidR="00E834B1">
              <w:t>’</w:t>
            </w:r>
            <w:r w:rsidRPr="000E3C8C">
              <w:t>s economic response to the COVID</w:t>
            </w:r>
            <w:r w:rsidR="00E834B1">
              <w:noBreakHyphen/>
            </w:r>
            <w:r w:rsidRPr="000E3C8C">
              <w:t xml:space="preserve">19 pandemic </w:t>
            </w:r>
            <w:r w:rsidR="00466637" w:rsidRPr="000E3C8C">
              <w:t xml:space="preserve">as well as the impact of automatic stabilisers </w:t>
            </w:r>
            <w:r w:rsidR="002519D5" w:rsidRPr="000E3C8C">
              <w:t>have</w:t>
            </w:r>
            <w:r w:rsidRPr="000E3C8C">
              <w:t xml:space="preserve"> resulted in a rapid increase in borrowing, historically low interest rates mean that the cost of servicing this debt is relatively low. The assumed market yields in this update result in a weighted average yield for future issuance of Treasury Bonds of </w:t>
            </w:r>
            <w:r w:rsidR="00084DD4" w:rsidRPr="000E3C8C">
              <w:t xml:space="preserve">around </w:t>
            </w:r>
            <w:r w:rsidR="00FE74F1" w:rsidRPr="000E3C8C">
              <w:t>0.8 </w:t>
            </w:r>
            <w:r w:rsidRPr="000E3C8C">
              <w:t>per</w:t>
            </w:r>
            <w:r w:rsidR="00FE74F1" w:rsidRPr="000E3C8C">
              <w:t> </w:t>
            </w:r>
            <w:r w:rsidRPr="000E3C8C">
              <w:t xml:space="preserve">cent, compared with </w:t>
            </w:r>
            <w:r w:rsidR="00084DD4" w:rsidRPr="000E3C8C">
              <w:t xml:space="preserve">around </w:t>
            </w:r>
            <w:r w:rsidRPr="000E3C8C">
              <w:t>1.1 per cent at the 2019</w:t>
            </w:r>
            <w:r w:rsidR="00E834B1">
              <w:noBreakHyphen/>
            </w:r>
            <w:r w:rsidRPr="000E3C8C">
              <w:t>20</w:t>
            </w:r>
            <w:r w:rsidR="00084DD4" w:rsidRPr="000E3C8C">
              <w:t> </w:t>
            </w:r>
            <w:r w:rsidRPr="000E3C8C">
              <w:t>MYEFO. Low debt servicing costs will assist in reducing the stock of debt as a share of the economy over</w:t>
            </w:r>
            <w:r w:rsidR="00734487" w:rsidRPr="000E3C8C">
              <w:t> </w:t>
            </w:r>
            <w:r w:rsidRPr="000E3C8C">
              <w:t xml:space="preserve">time. </w:t>
            </w:r>
          </w:p>
          <w:p w14:paraId="5025D30E" w14:textId="4DB99DA9" w:rsidR="00232A4B" w:rsidRDefault="001A66BB" w:rsidP="00884AF0">
            <w:pPr>
              <w:pStyle w:val="ChartMainHeading"/>
            </w:pPr>
            <w:r w:rsidRPr="000E3C8C">
              <w:t>Chart 3.</w:t>
            </w:r>
            <w:r w:rsidR="00C81969" w:rsidRPr="000E3C8C">
              <w:t>4</w:t>
            </w:r>
            <w:r w:rsidR="00232A4B" w:rsidRPr="000E3C8C">
              <w:t>: International comparison</w:t>
            </w:r>
            <w:r w:rsidR="00044321" w:rsidRPr="000E3C8C">
              <w:t xml:space="preserve"> </w:t>
            </w:r>
            <w:r w:rsidR="00232A4B" w:rsidRPr="000E3C8C">
              <w:t>o</w:t>
            </w:r>
            <w:r w:rsidR="00DC08BC">
              <w:t>f 10 year government bond yields</w:t>
            </w:r>
          </w:p>
          <w:p w14:paraId="64E24152" w14:textId="257B8FDA" w:rsidR="005B6A19" w:rsidRPr="005B6A19" w:rsidRDefault="005B6A19" w:rsidP="005B6A19">
            <w:pPr>
              <w:pStyle w:val="ChartGraphic"/>
            </w:pPr>
            <w:r>
              <w:rPr>
                <w:noProof/>
              </w:rPr>
              <w:drawing>
                <wp:inline distT="0" distB="0" distL="0" distR="0" wp14:anchorId="4B48E151" wp14:editId="5BE5197E">
                  <wp:extent cx="4816475" cy="2847340"/>
                  <wp:effectExtent l="0" t="0" r="0" b="0"/>
                  <wp:docPr id="13" name="Picture 13" descr="This chart compares 10 year government yields between Australia, United States, United Kingdom and Japan from July 2000 to July 2020. Bond yields have generally trended downwards, with yields now at historical 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6475" cy="2847340"/>
                          </a:xfrm>
                          <a:prstGeom prst="rect">
                            <a:avLst/>
                          </a:prstGeom>
                          <a:noFill/>
                        </pic:spPr>
                      </pic:pic>
                    </a:graphicData>
                  </a:graphic>
                </wp:inline>
              </w:drawing>
            </w:r>
          </w:p>
          <w:p w14:paraId="6DFE5689" w14:textId="5FBB7FEA" w:rsidR="00232A4B" w:rsidRPr="000E3C8C" w:rsidRDefault="00232A4B" w:rsidP="00884AF0">
            <w:pPr>
              <w:pStyle w:val="Source"/>
            </w:pPr>
            <w:r w:rsidRPr="000E3C8C">
              <w:t>Source: Bloomberg</w:t>
            </w:r>
            <w:r w:rsidR="00D35983">
              <w:t>.</w:t>
            </w:r>
          </w:p>
          <w:p w14:paraId="22E6E8AC" w14:textId="1997C62C" w:rsidR="00D37EE7" w:rsidRPr="000E3C8C" w:rsidRDefault="00222E18" w:rsidP="005F1F36">
            <w:pPr>
              <w:pStyle w:val="BoxText"/>
            </w:pPr>
            <w:r w:rsidRPr="000E3C8C">
              <w:t>Chart 3.</w:t>
            </w:r>
            <w:r w:rsidR="006425EE" w:rsidRPr="000E3C8C">
              <w:t>5</w:t>
            </w:r>
            <w:r w:rsidRPr="000E3C8C">
              <w:t xml:space="preserve"> presents the Government</w:t>
            </w:r>
            <w:r w:rsidR="00E834B1">
              <w:t>’</w:t>
            </w:r>
            <w:r w:rsidRPr="000E3C8C">
              <w:t>s PDI costs and gross debt as a share of the economy. PDI costs as a share of the economy have historically trended</w:t>
            </w:r>
            <w:r w:rsidRPr="000E3C8C">
              <w:rPr>
                <w:b/>
              </w:rPr>
              <w:t xml:space="preserve"> </w:t>
            </w:r>
            <w:r w:rsidRPr="000E3C8C">
              <w:t>in line with movements in</w:t>
            </w:r>
            <w:r w:rsidRPr="000E3C8C">
              <w:rPr>
                <w:b/>
              </w:rPr>
              <w:t xml:space="preserve"> </w:t>
            </w:r>
            <w:r w:rsidRPr="000E3C8C">
              <w:t>gross debt</w:t>
            </w:r>
            <w:r w:rsidRPr="000E3C8C">
              <w:rPr>
                <w:b/>
              </w:rPr>
              <w:t xml:space="preserve">, </w:t>
            </w:r>
            <w:r w:rsidRPr="000E3C8C">
              <w:t xml:space="preserve">and </w:t>
            </w:r>
            <w:proofErr w:type="gramStart"/>
            <w:r w:rsidRPr="000E3C8C">
              <w:t>were expected</w:t>
            </w:r>
            <w:proofErr w:type="gramEnd"/>
            <w:r w:rsidRPr="000E3C8C">
              <w:t xml:space="preserve"> to fall over the forward estimates with the projected decline in debt</w:t>
            </w:r>
            <w:r w:rsidR="00E834B1">
              <w:noBreakHyphen/>
            </w:r>
            <w:r w:rsidRPr="000E3C8C">
              <w:t>to</w:t>
            </w:r>
            <w:r w:rsidR="00E834B1">
              <w:noBreakHyphen/>
            </w:r>
            <w:r w:rsidRPr="000E3C8C">
              <w:t>GDP in the 2019</w:t>
            </w:r>
            <w:r w:rsidR="00E834B1">
              <w:noBreakHyphen/>
            </w:r>
            <w:r w:rsidRPr="000E3C8C">
              <w:t>20 MYEFO. While debt</w:t>
            </w:r>
            <w:r w:rsidR="00E834B1">
              <w:noBreakHyphen/>
            </w:r>
            <w:r w:rsidRPr="000E3C8C">
              <w:t>to</w:t>
            </w:r>
            <w:r w:rsidR="00E834B1">
              <w:noBreakHyphen/>
            </w:r>
            <w:r w:rsidRPr="000E3C8C">
              <w:t xml:space="preserve">GDP </w:t>
            </w:r>
            <w:proofErr w:type="gramStart"/>
            <w:r w:rsidRPr="000E3C8C">
              <w:t>is now expected</w:t>
            </w:r>
            <w:proofErr w:type="gramEnd"/>
            <w:r w:rsidRPr="000E3C8C">
              <w:t xml:space="preserve"> to increase in 2019</w:t>
            </w:r>
            <w:r w:rsidR="00E834B1">
              <w:noBreakHyphen/>
            </w:r>
            <w:r w:rsidRPr="000E3C8C">
              <w:t>20 and 2020</w:t>
            </w:r>
            <w:r w:rsidR="00E834B1">
              <w:noBreakHyphen/>
            </w:r>
            <w:r w:rsidRPr="000E3C8C">
              <w:t xml:space="preserve">21, PDI costs as a share of the economy are expected to be relatively </w:t>
            </w:r>
            <w:r w:rsidR="003B6788" w:rsidRPr="000E3C8C">
              <w:t xml:space="preserve">flat </w:t>
            </w:r>
            <w:r w:rsidRPr="000E3C8C">
              <w:t>due to yields falling to historical lows.</w:t>
            </w:r>
          </w:p>
        </w:tc>
      </w:tr>
    </w:tbl>
    <w:p w14:paraId="3B8A3C3A" w14:textId="36C95BC9" w:rsidR="00C46DAC" w:rsidRPr="000E3C8C" w:rsidRDefault="00C46DAC"/>
    <w:p w14:paraId="7E4EF992" w14:textId="4C76EC15" w:rsidR="00C85235" w:rsidRPr="000E3C8C" w:rsidRDefault="00C46DAC" w:rsidP="00C46DAC">
      <w:pPr>
        <w:spacing w:after="160" w:line="259" w:lineRule="auto"/>
        <w:jc w:val="left"/>
      </w:pPr>
      <w:r w:rsidRPr="000E3C8C">
        <w:br w:type="page"/>
      </w:r>
    </w:p>
    <w:tbl>
      <w:tblPr>
        <w:tblpPr w:leftFromText="180" w:rightFromText="180" w:vertAnchor="text" w:tblpY="1"/>
        <w:tblOverlap w:val="never"/>
        <w:tblW w:w="5000" w:type="pct"/>
        <w:shd w:val="clear" w:color="auto" w:fill="EBEBEB"/>
        <w:tblLook w:val="0000" w:firstRow="0" w:lastRow="0" w:firstColumn="0" w:lastColumn="0" w:noHBand="0" w:noVBand="0"/>
      </w:tblPr>
      <w:tblGrid>
        <w:gridCol w:w="7710"/>
      </w:tblGrid>
      <w:tr w:rsidR="00884AF0" w:rsidRPr="000E3C8C" w14:paraId="08B7E45A" w14:textId="77777777" w:rsidTr="000E663C">
        <w:trPr>
          <w:cantSplit/>
        </w:trPr>
        <w:tc>
          <w:tcPr>
            <w:tcW w:w="7710" w:type="dxa"/>
            <w:shd w:val="clear" w:color="auto" w:fill="EBEBEB"/>
          </w:tcPr>
          <w:p w14:paraId="4D0C1144" w14:textId="4F0E861C" w:rsidR="008B1BCA" w:rsidRPr="000E3C8C" w:rsidRDefault="0067640B" w:rsidP="00804E50">
            <w:pPr>
              <w:pStyle w:val="BoxHeading"/>
            </w:pPr>
            <w:r w:rsidRPr="000E3C8C">
              <w:lastRenderedPageBreak/>
              <w:t>Box 3.4</w:t>
            </w:r>
            <w:r w:rsidR="00844638" w:rsidRPr="000E3C8C">
              <w:t>: Government bond yields and debt servicing costs (continued)</w:t>
            </w:r>
          </w:p>
          <w:p w14:paraId="17159807" w14:textId="171ADB4E" w:rsidR="00884AF0" w:rsidRDefault="00884AF0" w:rsidP="00884AF0">
            <w:pPr>
              <w:pStyle w:val="ChartMainHeading"/>
            </w:pPr>
            <w:r w:rsidRPr="000E3C8C">
              <w:t>Chart 3.</w:t>
            </w:r>
            <w:r w:rsidR="00C81969" w:rsidRPr="000E3C8C">
              <w:t>5</w:t>
            </w:r>
            <w:r w:rsidRPr="000E3C8C">
              <w:t xml:space="preserve">: Gross debt and PDI </w:t>
            </w:r>
          </w:p>
          <w:p w14:paraId="7C5C107B" w14:textId="3BA1400F" w:rsidR="005B6A19" w:rsidRPr="005B6A19" w:rsidRDefault="005B6A19" w:rsidP="005B6A19">
            <w:pPr>
              <w:pStyle w:val="ChartGraphic"/>
            </w:pPr>
            <w:r>
              <w:rPr>
                <w:noProof/>
              </w:rPr>
              <w:drawing>
                <wp:inline distT="0" distB="0" distL="0" distR="0" wp14:anchorId="34D6526B" wp14:editId="37C4F00D">
                  <wp:extent cx="4657725" cy="2529840"/>
                  <wp:effectExtent l="0" t="0" r="9525" b="3810"/>
                  <wp:docPr id="14" name="Picture 14" descr="This chart compares gross debt and public debt interest as a percentage of gross domestic product from 1990-91 to 2020-21. In 2019-20, gross debt is projected to be 34.4 per cent of GDP, and PDI is projected to be 0.8 per cent of GDP. In 2020-21 gross debt is expected to be 45.0 per cent of GDP and PDI 0.9 per cent of GDP. While debt-to-GDP is now expected to be higher in 2019-20 and 2020-21 compared to previous years presented in this chart, PDI costs as a share of the economy are expected to be relatively flat due to yields falling to historical 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7725" cy="2529840"/>
                          </a:xfrm>
                          <a:prstGeom prst="rect">
                            <a:avLst/>
                          </a:prstGeom>
                          <a:noFill/>
                        </pic:spPr>
                      </pic:pic>
                    </a:graphicData>
                  </a:graphic>
                </wp:inline>
              </w:drawing>
            </w:r>
          </w:p>
          <w:p w14:paraId="601B0C68" w14:textId="28972527" w:rsidR="00884AF0" w:rsidRPr="000E3C8C" w:rsidRDefault="00884AF0" w:rsidP="00884AF0">
            <w:pPr>
              <w:pStyle w:val="Source"/>
            </w:pPr>
            <w:r w:rsidRPr="000E3C8C">
              <w:t>Source: Treasury estimates</w:t>
            </w:r>
            <w:r w:rsidR="00D35983">
              <w:t>.</w:t>
            </w:r>
          </w:p>
        </w:tc>
      </w:tr>
    </w:tbl>
    <w:p w14:paraId="58BDC24F" w14:textId="77777777" w:rsidR="00E67AD8" w:rsidRPr="000E3C8C" w:rsidRDefault="00E67AD8" w:rsidP="00B40227">
      <w:pPr>
        <w:pStyle w:val="SingleParagraph"/>
      </w:pPr>
    </w:p>
    <w:p w14:paraId="486C63E6" w14:textId="4CCC9286" w:rsidR="00271446" w:rsidRPr="000E3C8C" w:rsidRDefault="00CD7CFC" w:rsidP="007062BF">
      <w:pPr>
        <w:pStyle w:val="Heading2"/>
      </w:pPr>
      <w:r w:rsidRPr="000E3C8C">
        <w:rPr>
          <w:rFonts w:cs="Arial"/>
        </w:rPr>
        <w:fldChar w:fldCharType="begin"/>
      </w:r>
      <w:r w:rsidRPr="000E3C8C">
        <w:rPr>
          <w:rFonts w:cs="Arial"/>
        </w:rPr>
        <w:instrText xml:space="preserve"> :End:BPD_JR2 </w:instrText>
      </w:r>
      <w:r w:rsidRPr="000E3C8C">
        <w:rPr>
          <w:rFonts w:cs="Arial"/>
        </w:rPr>
        <w:fldChar w:fldCharType="end"/>
      </w:r>
      <w:r w:rsidR="00E60C89" w:rsidRPr="000E3C8C">
        <w:rPr>
          <w:rFonts w:cs="Arial"/>
        </w:rPr>
        <w:fldChar w:fldCharType="begin"/>
      </w:r>
      <w:r w:rsidR="00E60C89" w:rsidRPr="000E3C8C">
        <w:rPr>
          <w:rFonts w:cs="Arial"/>
        </w:rPr>
        <w:instrText xml:space="preserve"> :Start:BPD_JR1 </w:instrText>
      </w:r>
      <w:r w:rsidR="00E60C89" w:rsidRPr="000E3C8C">
        <w:rPr>
          <w:rFonts w:cs="Arial"/>
        </w:rPr>
        <w:fldChar w:fldCharType="end"/>
      </w:r>
      <w:r w:rsidR="00A770CF" w:rsidRPr="000E3C8C">
        <w:t>R</w:t>
      </w:r>
      <w:r w:rsidR="000524A5" w:rsidRPr="000E3C8C">
        <w:t xml:space="preserve">isks to the fiscal outlook </w:t>
      </w:r>
    </w:p>
    <w:p w14:paraId="14D76E43" w14:textId="3C62A69F" w:rsidR="00D24CC2" w:rsidRPr="000E3C8C" w:rsidRDefault="00D24CC2" w:rsidP="00D24CC2">
      <w:r w:rsidRPr="000E3C8C">
        <w:rPr>
          <w:rFonts w:cs="Arial"/>
          <w:szCs w:val="24"/>
        </w:rPr>
        <w:t>The COVID</w:t>
      </w:r>
      <w:r w:rsidR="00E834B1">
        <w:rPr>
          <w:rFonts w:cs="Arial"/>
          <w:szCs w:val="24"/>
        </w:rPr>
        <w:noBreakHyphen/>
      </w:r>
      <w:r w:rsidRPr="000E3C8C">
        <w:rPr>
          <w:rFonts w:cs="Arial"/>
          <w:szCs w:val="24"/>
        </w:rPr>
        <w:t xml:space="preserve">19 pandemic is still evolving and the outlook remains highly uncertain. The fiscal outlook </w:t>
      </w:r>
      <w:proofErr w:type="gramStart"/>
      <w:r w:rsidRPr="000E3C8C">
        <w:rPr>
          <w:rFonts w:cs="Arial"/>
          <w:szCs w:val="24"/>
        </w:rPr>
        <w:t>is based</w:t>
      </w:r>
      <w:proofErr w:type="gramEnd"/>
      <w:r w:rsidRPr="000E3C8C">
        <w:rPr>
          <w:rFonts w:cs="Arial"/>
          <w:szCs w:val="24"/>
        </w:rPr>
        <w:t xml:space="preserve"> on the outlook for the domestic and global economies.</w:t>
      </w:r>
      <w:r w:rsidR="00B32903" w:rsidRPr="000E3C8C">
        <w:t xml:space="preserve"> </w:t>
      </w:r>
      <w:r w:rsidR="00B32903" w:rsidRPr="000E3C8C">
        <w:fldChar w:fldCharType="begin"/>
      </w:r>
      <w:r w:rsidR="00B32903" w:rsidRPr="000E3C8C">
        <w:instrText xml:space="preserve"> :End:BPD_JR1 </w:instrText>
      </w:r>
      <w:r w:rsidR="00B32903" w:rsidRPr="000E3C8C">
        <w:fldChar w:fldCharType="end"/>
      </w:r>
      <w:r w:rsidR="00B32903" w:rsidRPr="000E3C8C">
        <w:fldChar w:fldCharType="begin"/>
      </w:r>
      <w:r w:rsidR="00B32903" w:rsidRPr="000E3C8C">
        <w:instrText xml:space="preserve"> :Start:MECD_TP1 </w:instrText>
      </w:r>
      <w:r w:rsidR="00B32903" w:rsidRPr="000E3C8C">
        <w:fldChar w:fldCharType="end"/>
      </w:r>
      <w:r w:rsidRPr="000E3C8C">
        <w:rPr>
          <w:rFonts w:cs="Arial"/>
          <w:szCs w:val="24"/>
        </w:rPr>
        <w:t xml:space="preserve"> </w:t>
      </w:r>
      <w:r w:rsidRPr="000E3C8C">
        <w:t xml:space="preserve">The range of possible outcomes for GDP and unemployment in particular </w:t>
      </w:r>
      <w:r w:rsidR="00F53B5F" w:rsidRPr="000E3C8C">
        <w:t xml:space="preserve">is </w:t>
      </w:r>
      <w:r w:rsidRPr="000E3C8C">
        <w:t xml:space="preserve">substantially wider than normal. </w:t>
      </w:r>
      <w:r w:rsidR="00B32903" w:rsidRPr="000E3C8C">
        <w:fldChar w:fldCharType="begin"/>
      </w:r>
      <w:r w:rsidR="00B32903" w:rsidRPr="000E3C8C">
        <w:instrText xml:space="preserve"> :End:MECD_TP1 </w:instrText>
      </w:r>
      <w:r w:rsidR="00B32903" w:rsidRPr="000E3C8C">
        <w:fldChar w:fldCharType="end"/>
      </w:r>
      <w:r w:rsidR="00B32903" w:rsidRPr="000E3C8C">
        <w:rPr>
          <w:rFonts w:cs="Arial"/>
        </w:rPr>
        <w:fldChar w:fldCharType="begin"/>
      </w:r>
      <w:r w:rsidR="00B32903" w:rsidRPr="000E3C8C">
        <w:rPr>
          <w:rFonts w:cs="Arial"/>
        </w:rPr>
        <w:instrText xml:space="preserve"> :Start:BPD_JR1 </w:instrText>
      </w:r>
      <w:r w:rsidR="00B32903" w:rsidRPr="000E3C8C">
        <w:rPr>
          <w:rFonts w:cs="Arial"/>
        </w:rPr>
        <w:fldChar w:fldCharType="end"/>
      </w:r>
      <w:r w:rsidRPr="000E3C8C">
        <w:t xml:space="preserve">This translates into a higher than usual degree of uncertainty for the forecasts for tax receipts and payments, and as a consequence for the fiscal estimates. </w:t>
      </w:r>
      <w:r w:rsidR="00B32903" w:rsidRPr="000E3C8C">
        <w:fldChar w:fldCharType="begin"/>
      </w:r>
      <w:r w:rsidR="00B32903" w:rsidRPr="000E3C8C">
        <w:instrText xml:space="preserve"> :End:BPD_JR1 </w:instrText>
      </w:r>
      <w:r w:rsidR="00B32903" w:rsidRPr="000E3C8C">
        <w:fldChar w:fldCharType="end"/>
      </w:r>
    </w:p>
    <w:p w14:paraId="27ADCB45" w14:textId="7FA8ACAF" w:rsidR="00D24CC2" w:rsidRPr="000E3C8C" w:rsidRDefault="00B32903" w:rsidP="00D24CC2">
      <w:pPr>
        <w:rPr>
          <w:rFonts w:cs="Arial"/>
          <w:szCs w:val="24"/>
        </w:rPr>
      </w:pPr>
      <w:r w:rsidRPr="000E3C8C">
        <w:fldChar w:fldCharType="begin"/>
      </w:r>
      <w:r w:rsidRPr="000E3C8C">
        <w:instrText xml:space="preserve"> :Start:TAD_KDM2 </w:instrText>
      </w:r>
      <w:r w:rsidRPr="000E3C8C">
        <w:fldChar w:fldCharType="end"/>
      </w:r>
      <w:r w:rsidR="00D24CC2" w:rsidRPr="000E3C8C">
        <w:t>Generally, there is a strong correlation between revisions to nominal GDP and its components and revisions to the forecasts for tax receipts. Alongside uncertainty around the economic forecasts owing to the COVID</w:t>
      </w:r>
      <w:r w:rsidR="00E834B1">
        <w:noBreakHyphen/>
      </w:r>
      <w:r w:rsidR="00D24CC2" w:rsidRPr="000E3C8C">
        <w:t>19 pandemic and associated restrictions, tax receipt forecasts are highly sensitive to the outlook for asset prices and capital gains. These have historically generated significant uncertainty around the revenue outlook. In addition, the take</w:t>
      </w:r>
      <w:r w:rsidR="00E834B1">
        <w:noBreakHyphen/>
      </w:r>
      <w:r w:rsidR="00D24CC2" w:rsidRPr="000E3C8C">
        <w:t xml:space="preserve">up of administrative support measures, such as payment deferrals, is </w:t>
      </w:r>
      <w:proofErr w:type="gramStart"/>
      <w:r w:rsidR="00D24CC2" w:rsidRPr="000E3C8C">
        <w:t>impacting</w:t>
      </w:r>
      <w:proofErr w:type="gramEnd"/>
      <w:r w:rsidR="00D24CC2" w:rsidRPr="000E3C8C">
        <w:t xml:space="preserve"> tax collections. Further, the ability to utilise tax losses to offset future profits </w:t>
      </w:r>
      <w:proofErr w:type="gramStart"/>
      <w:r w:rsidR="00D24CC2" w:rsidRPr="000E3C8C">
        <w:t>is expected</w:t>
      </w:r>
      <w:proofErr w:type="gramEnd"/>
      <w:r w:rsidR="00D24CC2" w:rsidRPr="000E3C8C">
        <w:t xml:space="preserve"> to continue to pose a challenge when estimating the profile for tax receipts over the next few years.</w:t>
      </w:r>
    </w:p>
    <w:p w14:paraId="515BE21E" w14:textId="3C9776A4" w:rsidR="00D24CC2" w:rsidRPr="000E3C8C" w:rsidRDefault="00B32903" w:rsidP="00D24CC2">
      <w:r w:rsidRPr="000E3C8C">
        <w:fldChar w:fldCharType="begin"/>
      </w:r>
      <w:r w:rsidRPr="000E3C8C">
        <w:instrText xml:space="preserve"> :End:TAD_KDM2 </w:instrText>
      </w:r>
      <w:r w:rsidRPr="000E3C8C">
        <w:fldChar w:fldCharType="end"/>
      </w:r>
      <w:r w:rsidR="00D24CC2" w:rsidRPr="000E3C8C">
        <w:fldChar w:fldCharType="begin"/>
      </w:r>
      <w:r w:rsidR="00D24CC2" w:rsidRPr="000E3C8C">
        <w:instrText xml:space="preserve"> :Start:BPD_JR1 </w:instrText>
      </w:r>
      <w:r w:rsidR="00D24CC2" w:rsidRPr="000E3C8C">
        <w:fldChar w:fldCharType="end"/>
      </w:r>
      <w:r w:rsidR="00D24CC2" w:rsidRPr="000E3C8C">
        <w:rPr>
          <w:rFonts w:cs="Arial"/>
          <w:szCs w:val="24"/>
        </w:rPr>
        <w:t>The Government will present fiscal estimates across the forward estimates and medium</w:t>
      </w:r>
      <w:r w:rsidR="00E834B1">
        <w:rPr>
          <w:rFonts w:cs="Arial"/>
          <w:szCs w:val="24"/>
        </w:rPr>
        <w:noBreakHyphen/>
      </w:r>
      <w:r w:rsidR="00D24CC2" w:rsidRPr="000E3C8C">
        <w:rPr>
          <w:rFonts w:cs="Arial"/>
          <w:szCs w:val="24"/>
        </w:rPr>
        <w:t>term projections in the 2020</w:t>
      </w:r>
      <w:r w:rsidR="00E834B1">
        <w:rPr>
          <w:rFonts w:cs="Arial"/>
          <w:szCs w:val="24"/>
        </w:rPr>
        <w:noBreakHyphen/>
      </w:r>
      <w:r w:rsidR="00D24CC2" w:rsidRPr="000E3C8C">
        <w:rPr>
          <w:rFonts w:cs="Arial"/>
          <w:szCs w:val="24"/>
        </w:rPr>
        <w:t xml:space="preserve">21 Budget, to </w:t>
      </w:r>
      <w:proofErr w:type="gramStart"/>
      <w:r w:rsidR="00D24CC2" w:rsidRPr="000E3C8C">
        <w:rPr>
          <w:rFonts w:cs="Arial"/>
          <w:szCs w:val="24"/>
        </w:rPr>
        <w:t>be delivered</w:t>
      </w:r>
      <w:proofErr w:type="gramEnd"/>
      <w:r w:rsidR="00D24CC2" w:rsidRPr="000E3C8C">
        <w:rPr>
          <w:rFonts w:cs="Arial"/>
          <w:szCs w:val="24"/>
        </w:rPr>
        <w:t xml:space="preserve"> on 6 October 2020. </w:t>
      </w:r>
      <w:r w:rsidR="00D24CC2" w:rsidRPr="000E3C8C">
        <w:t>These will reflect updated information about the economic recovery, including the evolution of the COVID</w:t>
      </w:r>
      <w:r w:rsidR="00E834B1">
        <w:noBreakHyphen/>
      </w:r>
      <w:r w:rsidR="00D24CC2" w:rsidRPr="000E3C8C">
        <w:t xml:space="preserve">19 pandemic. </w:t>
      </w:r>
      <w:r w:rsidR="0013086A" w:rsidRPr="000E3C8C">
        <w:fldChar w:fldCharType="begin"/>
      </w:r>
      <w:r w:rsidR="0013086A" w:rsidRPr="000E3C8C">
        <w:instrText xml:space="preserve"> :End:BPD_JR1 </w:instrText>
      </w:r>
      <w:r w:rsidR="0013086A" w:rsidRPr="000E3C8C">
        <w:fldChar w:fldCharType="end"/>
      </w:r>
    </w:p>
    <w:p w14:paraId="6B5FD1E7" w14:textId="2D994852" w:rsidR="00D340F5" w:rsidRPr="000E3C8C" w:rsidRDefault="00D340F5" w:rsidP="00D24CC2"/>
    <w:sectPr w:rsidR="00D340F5" w:rsidRPr="000E3C8C" w:rsidSect="00945F16">
      <w:headerReference w:type="even" r:id="rId13"/>
      <w:headerReference w:type="default" r:id="rId14"/>
      <w:footerReference w:type="even" r:id="rId15"/>
      <w:footerReference w:type="default" r:id="rId16"/>
      <w:headerReference w:type="first" r:id="rId17"/>
      <w:footerReference w:type="first" r:id="rId18"/>
      <w:pgSz w:w="11906" w:h="16838" w:code="9"/>
      <w:pgMar w:top="2466" w:right="2098" w:bottom="2466" w:left="2098" w:header="1899" w:footer="1899" w:gutter="0"/>
      <w:pgNumType w:start="4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D36D3" w14:textId="77777777" w:rsidR="00D97FB7" w:rsidRDefault="00D97FB7" w:rsidP="00E40261">
      <w:pPr>
        <w:spacing w:after="0" w:line="240" w:lineRule="auto"/>
      </w:pPr>
      <w:r>
        <w:separator/>
      </w:r>
    </w:p>
  </w:endnote>
  <w:endnote w:type="continuationSeparator" w:id="0">
    <w:p w14:paraId="58FF0242" w14:textId="77777777" w:rsidR="00D97FB7" w:rsidRDefault="00D97FB7" w:rsidP="00E4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481A1" w14:textId="6A2D10A8" w:rsidR="00D97FB7" w:rsidRDefault="00D97FB7">
    <w:pPr>
      <w:pStyle w:val="Footer"/>
    </w:pPr>
    <w:r>
      <w:fldChar w:fldCharType="begin"/>
    </w:r>
    <w:r>
      <w:instrText xml:space="preserve"> PAGE  \* MERGEFORMAT </w:instrText>
    </w:r>
    <w:r>
      <w:fldChar w:fldCharType="separate"/>
    </w:r>
    <w:r w:rsidR="003E6980">
      <w:rPr>
        <w:noProof/>
      </w:rPr>
      <w:t>58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A21C4" w14:textId="30670749" w:rsidR="00D97FB7" w:rsidRDefault="00D97FB7">
    <w:pPr>
      <w:pStyle w:val="Footer"/>
    </w:pPr>
    <w:r>
      <w:fldChar w:fldCharType="begin"/>
    </w:r>
    <w:r>
      <w:instrText xml:space="preserve"> PAGE  \* MERGEFORMAT </w:instrText>
    </w:r>
    <w:r>
      <w:fldChar w:fldCharType="separate"/>
    </w:r>
    <w:r w:rsidR="003E6980">
      <w:rPr>
        <w:noProof/>
      </w:rPr>
      <w:t>59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72DF2" w14:textId="05F52FEA" w:rsidR="00D97FB7" w:rsidRDefault="00D97FB7" w:rsidP="00F63398">
    <w:pPr>
      <w:pStyle w:val="Footer"/>
    </w:pPr>
    <w:r>
      <w:fldChar w:fldCharType="begin"/>
    </w:r>
    <w:r>
      <w:instrText xml:space="preserve"> PAGE  \* MERGEFORMAT </w:instrText>
    </w:r>
    <w:r>
      <w:fldChar w:fldCharType="separate"/>
    </w:r>
    <w:r w:rsidR="003E6980">
      <w:rPr>
        <w:noProof/>
      </w:rPr>
      <w:t>43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6EC2A" w14:textId="77777777" w:rsidR="00D97FB7" w:rsidRDefault="00D97FB7" w:rsidP="00E40261">
      <w:pPr>
        <w:spacing w:after="0" w:line="240" w:lineRule="auto"/>
      </w:pPr>
      <w:r>
        <w:separator/>
      </w:r>
    </w:p>
  </w:footnote>
  <w:footnote w:type="continuationSeparator" w:id="0">
    <w:p w14:paraId="0298839D" w14:textId="77777777" w:rsidR="00D97FB7" w:rsidRDefault="00D97FB7" w:rsidP="00E40261">
      <w:pPr>
        <w:spacing w:after="0" w:line="240" w:lineRule="auto"/>
      </w:pPr>
      <w:r>
        <w:continuationSeparator/>
      </w:r>
    </w:p>
  </w:footnote>
  <w:footnote w:id="1">
    <w:p w14:paraId="238B3C57" w14:textId="5799E679" w:rsidR="00D97FB7" w:rsidRDefault="00D97FB7" w:rsidP="004A55E7">
      <w:pPr>
        <w:pStyle w:val="FootnoteText"/>
      </w:pPr>
      <w:r w:rsidRPr="008B1295">
        <w:rPr>
          <w:rStyle w:val="FootnoteReference"/>
          <w:vertAlign w:val="baseline"/>
        </w:rPr>
        <w:footnoteRef/>
      </w:r>
      <w:r w:rsidRPr="008B1295">
        <w:t xml:space="preserve"> </w:t>
      </w:r>
      <w:r w:rsidRPr="000E3C8C">
        <w:tab/>
        <w:t xml:space="preserve">The </w:t>
      </w:r>
      <w:r>
        <w:t xml:space="preserve">2019-20 </w:t>
      </w:r>
      <w:r w:rsidRPr="000E3C8C">
        <w:t>estimates in this Economic and Fiscal Update reflec</w:t>
      </w:r>
      <w:r>
        <w:t>t preliminary expected outcom</w:t>
      </w:r>
      <w:bookmarkStart w:id="0" w:name="_GoBack"/>
      <w:bookmarkEnd w:id="0"/>
      <w:r>
        <w:t>es. T</w:t>
      </w:r>
      <w:r w:rsidRPr="000E3C8C">
        <w:t>here may be differences between this update and the</w:t>
      </w:r>
      <w:r>
        <w:t xml:space="preserve"> 2019-20</w:t>
      </w:r>
      <w:r w:rsidRPr="000E3C8C">
        <w:t xml:space="preserve"> Final Budget Outcome to </w:t>
      </w:r>
      <w:proofErr w:type="gramStart"/>
      <w:r w:rsidRPr="000E3C8C">
        <w:t>be released</w:t>
      </w:r>
      <w:proofErr w:type="gramEnd"/>
      <w:r w:rsidRPr="000E3C8C">
        <w:t xml:space="preserve"> in September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A61B3" w14:textId="10928DD1" w:rsidR="00D97FB7" w:rsidRDefault="00D97FB7" w:rsidP="00D82B0F">
    <w:pPr>
      <w:pStyle w:val="HeaderEven"/>
    </w:pPr>
    <w:fldSimple w:instr=" STYLEREF  &quot;Heading 1&quot;  \* MERGEFORMAT ">
      <w:r w:rsidR="003E6980">
        <w:rPr>
          <w:noProof/>
        </w:rPr>
        <w:t>Part 3: Fiscal outlook</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455E5" w14:textId="3477BC9C" w:rsidR="00D97FB7" w:rsidRPr="00E40261" w:rsidRDefault="00D97FB7" w:rsidP="00FC7371">
    <w:pPr>
      <w:pStyle w:val="HeaderOdd"/>
    </w:pPr>
    <w:fldSimple w:instr=" STYLEREF  &quot;Heading 1&quot;  \* MERGEFORMAT ">
      <w:r w:rsidR="003E6980">
        <w:rPr>
          <w:noProof/>
        </w:rPr>
        <w:t>Part 3: Fiscal outlook</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F319C" w14:textId="663E35CD" w:rsidR="00D97FB7" w:rsidRDefault="00D97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A7FFB"/>
    <w:multiLevelType w:val="hybridMultilevel"/>
    <w:tmpl w:val="1A86F074"/>
    <w:lvl w:ilvl="0" w:tplc="1766FE86">
      <w:start w:val="238"/>
      <w:numFmt w:val="bullet"/>
      <w:pStyle w:val="BoxDash"/>
      <w:lvlText w:val="–"/>
      <w:lvlJc w:val="left"/>
      <w:pPr>
        <w:ind w:left="643" w:hanging="360"/>
      </w:pPr>
      <w:rPr>
        <w:rFonts w:ascii="Book Antiqua" w:hAnsi="Book Antiqua"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 w15:restartNumberingAfterBreak="0">
    <w:nsid w:val="0EC42909"/>
    <w:multiLevelType w:val="multilevel"/>
    <w:tmpl w:val="753AC1FE"/>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3"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4"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850"/>
        </w:tabs>
        <w:ind w:left="850" w:hanging="567"/>
      </w:pPr>
      <w:rPr>
        <w:b w:val="0"/>
        <w:i w:val="0"/>
        <w:color w:val="000000"/>
      </w:rPr>
    </w:lvl>
  </w:abstractNum>
  <w:abstractNum w:abstractNumId="5" w15:restartNumberingAfterBreak="0">
    <w:nsid w:val="4B400F83"/>
    <w:multiLevelType w:val="multilevel"/>
    <w:tmpl w:val="746267C6"/>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num w:numId="1">
    <w:abstractNumId w:val="4"/>
  </w:num>
  <w:num w:numId="2">
    <w:abstractNumId w:val="2"/>
  </w:num>
  <w:num w:numId="3">
    <w:abstractNumId w:val="1"/>
  </w:num>
  <w:num w:numId="4">
    <w:abstractNumId w:val="3"/>
  </w:num>
  <w:num w:numId="5">
    <w:abstractNumId w:val="0"/>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1"/>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evenAndOddHeaders/>
  <w:characterSpacingControl w:val="doNotCompress"/>
  <w:hdrShapeDefaults>
    <o:shapedefaults v:ext="edit" spidmax="413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ecurityClassificationInHeader" w:val="False"/>
  </w:docVars>
  <w:rsids>
    <w:rsidRoot w:val="00F63398"/>
    <w:rsid w:val="00000128"/>
    <w:rsid w:val="00000230"/>
    <w:rsid w:val="000016B7"/>
    <w:rsid w:val="000022F8"/>
    <w:rsid w:val="00007621"/>
    <w:rsid w:val="00007974"/>
    <w:rsid w:val="00010C14"/>
    <w:rsid w:val="00013A87"/>
    <w:rsid w:val="00013EA8"/>
    <w:rsid w:val="00014E19"/>
    <w:rsid w:val="00015B65"/>
    <w:rsid w:val="000163AA"/>
    <w:rsid w:val="00016709"/>
    <w:rsid w:val="00020842"/>
    <w:rsid w:val="00021041"/>
    <w:rsid w:val="000265AB"/>
    <w:rsid w:val="000268DC"/>
    <w:rsid w:val="00026E35"/>
    <w:rsid w:val="00027856"/>
    <w:rsid w:val="00027D25"/>
    <w:rsid w:val="00030071"/>
    <w:rsid w:val="00031DF9"/>
    <w:rsid w:val="000328DE"/>
    <w:rsid w:val="00032E70"/>
    <w:rsid w:val="000339A5"/>
    <w:rsid w:val="00035D8D"/>
    <w:rsid w:val="0003667A"/>
    <w:rsid w:val="000368D6"/>
    <w:rsid w:val="00036D09"/>
    <w:rsid w:val="00037713"/>
    <w:rsid w:val="00043F1D"/>
    <w:rsid w:val="00044321"/>
    <w:rsid w:val="0004476E"/>
    <w:rsid w:val="00044AB9"/>
    <w:rsid w:val="00044C2F"/>
    <w:rsid w:val="000454A8"/>
    <w:rsid w:val="00045AAE"/>
    <w:rsid w:val="0004770C"/>
    <w:rsid w:val="00047E2C"/>
    <w:rsid w:val="000502B6"/>
    <w:rsid w:val="00050E95"/>
    <w:rsid w:val="00051DF4"/>
    <w:rsid w:val="000524A5"/>
    <w:rsid w:val="000529FB"/>
    <w:rsid w:val="000536E3"/>
    <w:rsid w:val="00053C36"/>
    <w:rsid w:val="00054071"/>
    <w:rsid w:val="00054645"/>
    <w:rsid w:val="00054E97"/>
    <w:rsid w:val="00055921"/>
    <w:rsid w:val="00055CED"/>
    <w:rsid w:val="00056F9B"/>
    <w:rsid w:val="00061EDA"/>
    <w:rsid w:val="00061F19"/>
    <w:rsid w:val="00062635"/>
    <w:rsid w:val="000634F1"/>
    <w:rsid w:val="00063C25"/>
    <w:rsid w:val="00063D78"/>
    <w:rsid w:val="00065F78"/>
    <w:rsid w:val="0006622A"/>
    <w:rsid w:val="0007276D"/>
    <w:rsid w:val="00072E95"/>
    <w:rsid w:val="000734A5"/>
    <w:rsid w:val="0007686E"/>
    <w:rsid w:val="00080C1A"/>
    <w:rsid w:val="00081881"/>
    <w:rsid w:val="00081D11"/>
    <w:rsid w:val="00082DDD"/>
    <w:rsid w:val="00083E4D"/>
    <w:rsid w:val="000840B9"/>
    <w:rsid w:val="00084DD4"/>
    <w:rsid w:val="00085AE5"/>
    <w:rsid w:val="000867CB"/>
    <w:rsid w:val="00087D0D"/>
    <w:rsid w:val="00092C6B"/>
    <w:rsid w:val="00094AC2"/>
    <w:rsid w:val="000A0B0F"/>
    <w:rsid w:val="000A1B8D"/>
    <w:rsid w:val="000A2712"/>
    <w:rsid w:val="000A634C"/>
    <w:rsid w:val="000A6A8B"/>
    <w:rsid w:val="000A6C82"/>
    <w:rsid w:val="000A7776"/>
    <w:rsid w:val="000A7DF1"/>
    <w:rsid w:val="000B00E8"/>
    <w:rsid w:val="000B367E"/>
    <w:rsid w:val="000B3BA4"/>
    <w:rsid w:val="000B613C"/>
    <w:rsid w:val="000C0E14"/>
    <w:rsid w:val="000C266E"/>
    <w:rsid w:val="000C351B"/>
    <w:rsid w:val="000C5087"/>
    <w:rsid w:val="000C5B31"/>
    <w:rsid w:val="000C70DC"/>
    <w:rsid w:val="000D0424"/>
    <w:rsid w:val="000D0F75"/>
    <w:rsid w:val="000D110F"/>
    <w:rsid w:val="000D30D5"/>
    <w:rsid w:val="000D6E72"/>
    <w:rsid w:val="000E105B"/>
    <w:rsid w:val="000E24D1"/>
    <w:rsid w:val="000E39B2"/>
    <w:rsid w:val="000E3C8C"/>
    <w:rsid w:val="000E3E21"/>
    <w:rsid w:val="000E47FA"/>
    <w:rsid w:val="000E4A74"/>
    <w:rsid w:val="000E5595"/>
    <w:rsid w:val="000E663C"/>
    <w:rsid w:val="000E6D99"/>
    <w:rsid w:val="000F0A9A"/>
    <w:rsid w:val="000F1D19"/>
    <w:rsid w:val="000F20F1"/>
    <w:rsid w:val="000F2FE2"/>
    <w:rsid w:val="000F37B4"/>
    <w:rsid w:val="000F5678"/>
    <w:rsid w:val="000F67B6"/>
    <w:rsid w:val="000F6998"/>
    <w:rsid w:val="00107789"/>
    <w:rsid w:val="00112872"/>
    <w:rsid w:val="0011596A"/>
    <w:rsid w:val="00123AEC"/>
    <w:rsid w:val="001302A5"/>
    <w:rsid w:val="00130593"/>
    <w:rsid w:val="0013086A"/>
    <w:rsid w:val="001315D2"/>
    <w:rsid w:val="00136625"/>
    <w:rsid w:val="001368A6"/>
    <w:rsid w:val="001376A6"/>
    <w:rsid w:val="00140D8E"/>
    <w:rsid w:val="00141C5A"/>
    <w:rsid w:val="00142903"/>
    <w:rsid w:val="00142A25"/>
    <w:rsid w:val="0014473D"/>
    <w:rsid w:val="00152922"/>
    <w:rsid w:val="00152E32"/>
    <w:rsid w:val="00156575"/>
    <w:rsid w:val="0015709A"/>
    <w:rsid w:val="00160D29"/>
    <w:rsid w:val="00161576"/>
    <w:rsid w:val="001616D8"/>
    <w:rsid w:val="00167314"/>
    <w:rsid w:val="00172B17"/>
    <w:rsid w:val="00172CFE"/>
    <w:rsid w:val="00172F15"/>
    <w:rsid w:val="00172F8A"/>
    <w:rsid w:val="00174467"/>
    <w:rsid w:val="0017489A"/>
    <w:rsid w:val="0017525C"/>
    <w:rsid w:val="00176A07"/>
    <w:rsid w:val="00183D02"/>
    <w:rsid w:val="001854ED"/>
    <w:rsid w:val="00186D7B"/>
    <w:rsid w:val="00186F44"/>
    <w:rsid w:val="00190FF2"/>
    <w:rsid w:val="0019115B"/>
    <w:rsid w:val="00191446"/>
    <w:rsid w:val="0019313A"/>
    <w:rsid w:val="001953D5"/>
    <w:rsid w:val="001970E6"/>
    <w:rsid w:val="001A11C5"/>
    <w:rsid w:val="001A139E"/>
    <w:rsid w:val="001A18DE"/>
    <w:rsid w:val="001A49CE"/>
    <w:rsid w:val="001A4C5E"/>
    <w:rsid w:val="001A66BB"/>
    <w:rsid w:val="001A6D9C"/>
    <w:rsid w:val="001A6F57"/>
    <w:rsid w:val="001B2A27"/>
    <w:rsid w:val="001B2E23"/>
    <w:rsid w:val="001B393D"/>
    <w:rsid w:val="001B45BA"/>
    <w:rsid w:val="001B55C7"/>
    <w:rsid w:val="001B564F"/>
    <w:rsid w:val="001B5902"/>
    <w:rsid w:val="001B744B"/>
    <w:rsid w:val="001C00A7"/>
    <w:rsid w:val="001C1DD3"/>
    <w:rsid w:val="001C29BA"/>
    <w:rsid w:val="001C2EDE"/>
    <w:rsid w:val="001C7783"/>
    <w:rsid w:val="001D2642"/>
    <w:rsid w:val="001D430A"/>
    <w:rsid w:val="001D440E"/>
    <w:rsid w:val="001D4587"/>
    <w:rsid w:val="001D4F83"/>
    <w:rsid w:val="001D719E"/>
    <w:rsid w:val="001D77E5"/>
    <w:rsid w:val="001E06DA"/>
    <w:rsid w:val="001E2730"/>
    <w:rsid w:val="001E43F3"/>
    <w:rsid w:val="001F1E88"/>
    <w:rsid w:val="001F235A"/>
    <w:rsid w:val="001F41D4"/>
    <w:rsid w:val="001F638F"/>
    <w:rsid w:val="00200DC8"/>
    <w:rsid w:val="0020112F"/>
    <w:rsid w:val="002013B2"/>
    <w:rsid w:val="00204645"/>
    <w:rsid w:val="00205657"/>
    <w:rsid w:val="00206612"/>
    <w:rsid w:val="00206E58"/>
    <w:rsid w:val="002101A2"/>
    <w:rsid w:val="00210D7F"/>
    <w:rsid w:val="0021127C"/>
    <w:rsid w:val="0021365C"/>
    <w:rsid w:val="002155AE"/>
    <w:rsid w:val="002175CF"/>
    <w:rsid w:val="00222E18"/>
    <w:rsid w:val="00225A1A"/>
    <w:rsid w:val="00230BC0"/>
    <w:rsid w:val="0023212B"/>
    <w:rsid w:val="00232A4B"/>
    <w:rsid w:val="00232D7E"/>
    <w:rsid w:val="00237F04"/>
    <w:rsid w:val="002402F3"/>
    <w:rsid w:val="0024214B"/>
    <w:rsid w:val="0024235B"/>
    <w:rsid w:val="00242CD5"/>
    <w:rsid w:val="002478C6"/>
    <w:rsid w:val="0025190E"/>
    <w:rsid w:val="002519D5"/>
    <w:rsid w:val="00253256"/>
    <w:rsid w:val="002539EC"/>
    <w:rsid w:val="002615EB"/>
    <w:rsid w:val="00261783"/>
    <w:rsid w:val="00263C91"/>
    <w:rsid w:val="00264310"/>
    <w:rsid w:val="00264CE9"/>
    <w:rsid w:val="0026539A"/>
    <w:rsid w:val="00266390"/>
    <w:rsid w:val="00267200"/>
    <w:rsid w:val="002704D5"/>
    <w:rsid w:val="0027065C"/>
    <w:rsid w:val="00271446"/>
    <w:rsid w:val="0027160A"/>
    <w:rsid w:val="00271FF5"/>
    <w:rsid w:val="00274DCA"/>
    <w:rsid w:val="002808E9"/>
    <w:rsid w:val="00280BAD"/>
    <w:rsid w:val="002810AD"/>
    <w:rsid w:val="00281716"/>
    <w:rsid w:val="002821DF"/>
    <w:rsid w:val="00283440"/>
    <w:rsid w:val="00286D55"/>
    <w:rsid w:val="00293D3F"/>
    <w:rsid w:val="00294DA9"/>
    <w:rsid w:val="002A035E"/>
    <w:rsid w:val="002A0511"/>
    <w:rsid w:val="002A110E"/>
    <w:rsid w:val="002A115E"/>
    <w:rsid w:val="002A1C00"/>
    <w:rsid w:val="002A33FE"/>
    <w:rsid w:val="002A50F5"/>
    <w:rsid w:val="002A5670"/>
    <w:rsid w:val="002A6779"/>
    <w:rsid w:val="002B6106"/>
    <w:rsid w:val="002B793C"/>
    <w:rsid w:val="002C5C37"/>
    <w:rsid w:val="002D06EA"/>
    <w:rsid w:val="002D256E"/>
    <w:rsid w:val="002D5ECC"/>
    <w:rsid w:val="002D62E7"/>
    <w:rsid w:val="002D757D"/>
    <w:rsid w:val="002D79DD"/>
    <w:rsid w:val="002E0506"/>
    <w:rsid w:val="002E3C0C"/>
    <w:rsid w:val="002E4444"/>
    <w:rsid w:val="002E638A"/>
    <w:rsid w:val="002E6BE7"/>
    <w:rsid w:val="002E6C70"/>
    <w:rsid w:val="002E7358"/>
    <w:rsid w:val="002E7F7E"/>
    <w:rsid w:val="002F04AE"/>
    <w:rsid w:val="002F0B0C"/>
    <w:rsid w:val="002F421A"/>
    <w:rsid w:val="002F4458"/>
    <w:rsid w:val="002F4BF3"/>
    <w:rsid w:val="002F75C1"/>
    <w:rsid w:val="002F77AE"/>
    <w:rsid w:val="00300432"/>
    <w:rsid w:val="0030229D"/>
    <w:rsid w:val="00302C01"/>
    <w:rsid w:val="00302FAB"/>
    <w:rsid w:val="0030426D"/>
    <w:rsid w:val="00304E44"/>
    <w:rsid w:val="003054CD"/>
    <w:rsid w:val="003075F8"/>
    <w:rsid w:val="00310E27"/>
    <w:rsid w:val="0031121C"/>
    <w:rsid w:val="00311DD0"/>
    <w:rsid w:val="00311EFC"/>
    <w:rsid w:val="00311F43"/>
    <w:rsid w:val="00315A61"/>
    <w:rsid w:val="003168D6"/>
    <w:rsid w:val="0032211F"/>
    <w:rsid w:val="00322577"/>
    <w:rsid w:val="0032691D"/>
    <w:rsid w:val="003306ED"/>
    <w:rsid w:val="00334240"/>
    <w:rsid w:val="00334F87"/>
    <w:rsid w:val="00337371"/>
    <w:rsid w:val="0033784D"/>
    <w:rsid w:val="00337BB0"/>
    <w:rsid w:val="0034038A"/>
    <w:rsid w:val="003421CD"/>
    <w:rsid w:val="00344D43"/>
    <w:rsid w:val="003451F5"/>
    <w:rsid w:val="00345734"/>
    <w:rsid w:val="00347DC9"/>
    <w:rsid w:val="003505A2"/>
    <w:rsid w:val="003506C0"/>
    <w:rsid w:val="00351705"/>
    <w:rsid w:val="00353841"/>
    <w:rsid w:val="0035533F"/>
    <w:rsid w:val="00357A33"/>
    <w:rsid w:val="00361346"/>
    <w:rsid w:val="003613CA"/>
    <w:rsid w:val="003614BA"/>
    <w:rsid w:val="00363A72"/>
    <w:rsid w:val="00364A37"/>
    <w:rsid w:val="00364EA1"/>
    <w:rsid w:val="00365C52"/>
    <w:rsid w:val="0036613F"/>
    <w:rsid w:val="00366F68"/>
    <w:rsid w:val="00370DA2"/>
    <w:rsid w:val="00371F59"/>
    <w:rsid w:val="0037214D"/>
    <w:rsid w:val="003723A2"/>
    <w:rsid w:val="0037785D"/>
    <w:rsid w:val="003809F2"/>
    <w:rsid w:val="0038117A"/>
    <w:rsid w:val="00381AB6"/>
    <w:rsid w:val="00381B0D"/>
    <w:rsid w:val="00382E3D"/>
    <w:rsid w:val="003830CF"/>
    <w:rsid w:val="00383E91"/>
    <w:rsid w:val="00383F16"/>
    <w:rsid w:val="00384D99"/>
    <w:rsid w:val="00386C55"/>
    <w:rsid w:val="00390BD2"/>
    <w:rsid w:val="00391093"/>
    <w:rsid w:val="0039718A"/>
    <w:rsid w:val="003A0B2E"/>
    <w:rsid w:val="003A22FC"/>
    <w:rsid w:val="003A2FC1"/>
    <w:rsid w:val="003A3AC2"/>
    <w:rsid w:val="003A4B3C"/>
    <w:rsid w:val="003A6C8D"/>
    <w:rsid w:val="003A7833"/>
    <w:rsid w:val="003B6788"/>
    <w:rsid w:val="003B78AF"/>
    <w:rsid w:val="003C0495"/>
    <w:rsid w:val="003C07B3"/>
    <w:rsid w:val="003C0BDC"/>
    <w:rsid w:val="003C1C34"/>
    <w:rsid w:val="003C33ED"/>
    <w:rsid w:val="003C5E50"/>
    <w:rsid w:val="003C624D"/>
    <w:rsid w:val="003C7C2D"/>
    <w:rsid w:val="003D0911"/>
    <w:rsid w:val="003D3330"/>
    <w:rsid w:val="003D4451"/>
    <w:rsid w:val="003D5AA2"/>
    <w:rsid w:val="003D643D"/>
    <w:rsid w:val="003E6980"/>
    <w:rsid w:val="003E7BFC"/>
    <w:rsid w:val="003F0CC3"/>
    <w:rsid w:val="003F1934"/>
    <w:rsid w:val="003F26F7"/>
    <w:rsid w:val="003F417B"/>
    <w:rsid w:val="003F4818"/>
    <w:rsid w:val="003F4E68"/>
    <w:rsid w:val="003F5593"/>
    <w:rsid w:val="003F5983"/>
    <w:rsid w:val="003F6191"/>
    <w:rsid w:val="003F66E9"/>
    <w:rsid w:val="003F7D23"/>
    <w:rsid w:val="003F7FF7"/>
    <w:rsid w:val="00404DB1"/>
    <w:rsid w:val="00405BA0"/>
    <w:rsid w:val="0040727D"/>
    <w:rsid w:val="004109BD"/>
    <w:rsid w:val="00410AFD"/>
    <w:rsid w:val="004114AA"/>
    <w:rsid w:val="00411C9C"/>
    <w:rsid w:val="00411E2A"/>
    <w:rsid w:val="00412A0D"/>
    <w:rsid w:val="00414FE6"/>
    <w:rsid w:val="00416EE3"/>
    <w:rsid w:val="00417076"/>
    <w:rsid w:val="00417EBF"/>
    <w:rsid w:val="0042233A"/>
    <w:rsid w:val="004224CF"/>
    <w:rsid w:val="00422566"/>
    <w:rsid w:val="004235B9"/>
    <w:rsid w:val="00424D21"/>
    <w:rsid w:val="0042602F"/>
    <w:rsid w:val="00426E23"/>
    <w:rsid w:val="004308F4"/>
    <w:rsid w:val="00430981"/>
    <w:rsid w:val="00437099"/>
    <w:rsid w:val="00437E27"/>
    <w:rsid w:val="0044109E"/>
    <w:rsid w:val="00441FC4"/>
    <w:rsid w:val="0044257C"/>
    <w:rsid w:val="0044338A"/>
    <w:rsid w:val="0044622D"/>
    <w:rsid w:val="0045091A"/>
    <w:rsid w:val="004541D0"/>
    <w:rsid w:val="004545F0"/>
    <w:rsid w:val="00455518"/>
    <w:rsid w:val="00456414"/>
    <w:rsid w:val="00456EEB"/>
    <w:rsid w:val="004570E3"/>
    <w:rsid w:val="00457805"/>
    <w:rsid w:val="00457FDB"/>
    <w:rsid w:val="0046049C"/>
    <w:rsid w:val="00460697"/>
    <w:rsid w:val="004644B6"/>
    <w:rsid w:val="00464684"/>
    <w:rsid w:val="00464CC3"/>
    <w:rsid w:val="00466637"/>
    <w:rsid w:val="004668AB"/>
    <w:rsid w:val="00467D8D"/>
    <w:rsid w:val="00471959"/>
    <w:rsid w:val="00473701"/>
    <w:rsid w:val="00474B65"/>
    <w:rsid w:val="004756D5"/>
    <w:rsid w:val="00476096"/>
    <w:rsid w:val="0047717B"/>
    <w:rsid w:val="0047740D"/>
    <w:rsid w:val="004779DA"/>
    <w:rsid w:val="00481036"/>
    <w:rsid w:val="004847A2"/>
    <w:rsid w:val="0048563A"/>
    <w:rsid w:val="00485811"/>
    <w:rsid w:val="004964F6"/>
    <w:rsid w:val="004A078B"/>
    <w:rsid w:val="004A4659"/>
    <w:rsid w:val="004A55E7"/>
    <w:rsid w:val="004A5E27"/>
    <w:rsid w:val="004A6474"/>
    <w:rsid w:val="004B0C77"/>
    <w:rsid w:val="004B1281"/>
    <w:rsid w:val="004B2456"/>
    <w:rsid w:val="004B39A8"/>
    <w:rsid w:val="004B59AB"/>
    <w:rsid w:val="004B6BCA"/>
    <w:rsid w:val="004B79DD"/>
    <w:rsid w:val="004B7A94"/>
    <w:rsid w:val="004B7B84"/>
    <w:rsid w:val="004C24DE"/>
    <w:rsid w:val="004C3522"/>
    <w:rsid w:val="004C45C6"/>
    <w:rsid w:val="004C55BF"/>
    <w:rsid w:val="004C66CB"/>
    <w:rsid w:val="004D1D0B"/>
    <w:rsid w:val="004D2CD2"/>
    <w:rsid w:val="004D39A0"/>
    <w:rsid w:val="004D44D6"/>
    <w:rsid w:val="004D6137"/>
    <w:rsid w:val="004D6AC1"/>
    <w:rsid w:val="004E1671"/>
    <w:rsid w:val="004E1AFB"/>
    <w:rsid w:val="004E2488"/>
    <w:rsid w:val="004E55D5"/>
    <w:rsid w:val="004E5DF6"/>
    <w:rsid w:val="004F14D6"/>
    <w:rsid w:val="004F3FD9"/>
    <w:rsid w:val="004F471B"/>
    <w:rsid w:val="004F5F1D"/>
    <w:rsid w:val="004F5F59"/>
    <w:rsid w:val="004F60DD"/>
    <w:rsid w:val="004F7262"/>
    <w:rsid w:val="00500A33"/>
    <w:rsid w:val="00501C42"/>
    <w:rsid w:val="005028FA"/>
    <w:rsid w:val="00502AEC"/>
    <w:rsid w:val="00502F5A"/>
    <w:rsid w:val="005053AD"/>
    <w:rsid w:val="0051052F"/>
    <w:rsid w:val="00510A73"/>
    <w:rsid w:val="00510E21"/>
    <w:rsid w:val="00513C88"/>
    <w:rsid w:val="0051662F"/>
    <w:rsid w:val="005229F8"/>
    <w:rsid w:val="00522B1E"/>
    <w:rsid w:val="005236BD"/>
    <w:rsid w:val="005256DC"/>
    <w:rsid w:val="00531770"/>
    <w:rsid w:val="00537E95"/>
    <w:rsid w:val="00541C84"/>
    <w:rsid w:val="00542849"/>
    <w:rsid w:val="005441F6"/>
    <w:rsid w:val="00544686"/>
    <w:rsid w:val="005448B5"/>
    <w:rsid w:val="00551CAE"/>
    <w:rsid w:val="00554AD6"/>
    <w:rsid w:val="00554CFB"/>
    <w:rsid w:val="005553BE"/>
    <w:rsid w:val="00556772"/>
    <w:rsid w:val="00560FBE"/>
    <w:rsid w:val="00564ED8"/>
    <w:rsid w:val="005651E7"/>
    <w:rsid w:val="00566F72"/>
    <w:rsid w:val="00567A03"/>
    <w:rsid w:val="00567B79"/>
    <w:rsid w:val="005714A7"/>
    <w:rsid w:val="005718FB"/>
    <w:rsid w:val="00571ADB"/>
    <w:rsid w:val="00572A0C"/>
    <w:rsid w:val="00573E47"/>
    <w:rsid w:val="00575A51"/>
    <w:rsid w:val="005778C0"/>
    <w:rsid w:val="0058097E"/>
    <w:rsid w:val="00582250"/>
    <w:rsid w:val="00583591"/>
    <w:rsid w:val="00583C4F"/>
    <w:rsid w:val="00583E55"/>
    <w:rsid w:val="005862E6"/>
    <w:rsid w:val="005868B4"/>
    <w:rsid w:val="00587659"/>
    <w:rsid w:val="00587818"/>
    <w:rsid w:val="00594272"/>
    <w:rsid w:val="00597764"/>
    <w:rsid w:val="005A04FF"/>
    <w:rsid w:val="005A1F7F"/>
    <w:rsid w:val="005A22F0"/>
    <w:rsid w:val="005A29A5"/>
    <w:rsid w:val="005A2DE7"/>
    <w:rsid w:val="005A33AE"/>
    <w:rsid w:val="005A43A4"/>
    <w:rsid w:val="005A4A3A"/>
    <w:rsid w:val="005A6766"/>
    <w:rsid w:val="005A6CF1"/>
    <w:rsid w:val="005A7BEB"/>
    <w:rsid w:val="005B0803"/>
    <w:rsid w:val="005B3010"/>
    <w:rsid w:val="005B39B6"/>
    <w:rsid w:val="005B4308"/>
    <w:rsid w:val="005B46BB"/>
    <w:rsid w:val="005B4F19"/>
    <w:rsid w:val="005B51D4"/>
    <w:rsid w:val="005B69FE"/>
    <w:rsid w:val="005B6A19"/>
    <w:rsid w:val="005B79D9"/>
    <w:rsid w:val="005C13BA"/>
    <w:rsid w:val="005C48B2"/>
    <w:rsid w:val="005C6174"/>
    <w:rsid w:val="005C621C"/>
    <w:rsid w:val="005C777E"/>
    <w:rsid w:val="005D15BB"/>
    <w:rsid w:val="005D1A40"/>
    <w:rsid w:val="005D23CB"/>
    <w:rsid w:val="005D29A0"/>
    <w:rsid w:val="005D6E06"/>
    <w:rsid w:val="005D6EE5"/>
    <w:rsid w:val="005E0F73"/>
    <w:rsid w:val="005E1749"/>
    <w:rsid w:val="005E1C4D"/>
    <w:rsid w:val="005E38EC"/>
    <w:rsid w:val="005E4A63"/>
    <w:rsid w:val="005E6636"/>
    <w:rsid w:val="005F11A0"/>
    <w:rsid w:val="005F1F36"/>
    <w:rsid w:val="005F6476"/>
    <w:rsid w:val="005F6C69"/>
    <w:rsid w:val="0060305C"/>
    <w:rsid w:val="006038E7"/>
    <w:rsid w:val="00604081"/>
    <w:rsid w:val="006078AC"/>
    <w:rsid w:val="00610818"/>
    <w:rsid w:val="00610998"/>
    <w:rsid w:val="00612AA7"/>
    <w:rsid w:val="006136E2"/>
    <w:rsid w:val="00614118"/>
    <w:rsid w:val="00615D03"/>
    <w:rsid w:val="00616795"/>
    <w:rsid w:val="00617296"/>
    <w:rsid w:val="00617A69"/>
    <w:rsid w:val="0062006C"/>
    <w:rsid w:val="0062285D"/>
    <w:rsid w:val="00622CDB"/>
    <w:rsid w:val="00623BD4"/>
    <w:rsid w:val="00626709"/>
    <w:rsid w:val="006308A7"/>
    <w:rsid w:val="00637599"/>
    <w:rsid w:val="00640400"/>
    <w:rsid w:val="00641428"/>
    <w:rsid w:val="00641433"/>
    <w:rsid w:val="0064254C"/>
    <w:rsid w:val="006425EE"/>
    <w:rsid w:val="00645544"/>
    <w:rsid w:val="00645740"/>
    <w:rsid w:val="00647091"/>
    <w:rsid w:val="00651156"/>
    <w:rsid w:val="00654ACD"/>
    <w:rsid w:val="00655306"/>
    <w:rsid w:val="00655DA7"/>
    <w:rsid w:val="006571FF"/>
    <w:rsid w:val="00657AF5"/>
    <w:rsid w:val="00660ED4"/>
    <w:rsid w:val="00661358"/>
    <w:rsid w:val="00663B7A"/>
    <w:rsid w:val="00664F1B"/>
    <w:rsid w:val="0066578D"/>
    <w:rsid w:val="00666689"/>
    <w:rsid w:val="00670455"/>
    <w:rsid w:val="00672EE5"/>
    <w:rsid w:val="00675A3E"/>
    <w:rsid w:val="0067640B"/>
    <w:rsid w:val="00677EBB"/>
    <w:rsid w:val="00681183"/>
    <w:rsid w:val="0068194F"/>
    <w:rsid w:val="006822FC"/>
    <w:rsid w:val="00682D05"/>
    <w:rsid w:val="00682EDD"/>
    <w:rsid w:val="0068348D"/>
    <w:rsid w:val="00683E5C"/>
    <w:rsid w:val="00684E75"/>
    <w:rsid w:val="006860C0"/>
    <w:rsid w:val="006934D3"/>
    <w:rsid w:val="0069413D"/>
    <w:rsid w:val="00694479"/>
    <w:rsid w:val="00694823"/>
    <w:rsid w:val="006951C0"/>
    <w:rsid w:val="00696CFB"/>
    <w:rsid w:val="00697002"/>
    <w:rsid w:val="00697166"/>
    <w:rsid w:val="00697441"/>
    <w:rsid w:val="006A0D89"/>
    <w:rsid w:val="006A332B"/>
    <w:rsid w:val="006A64F4"/>
    <w:rsid w:val="006A65A0"/>
    <w:rsid w:val="006B6846"/>
    <w:rsid w:val="006C1073"/>
    <w:rsid w:val="006C1100"/>
    <w:rsid w:val="006C1253"/>
    <w:rsid w:val="006C16F4"/>
    <w:rsid w:val="006C46AF"/>
    <w:rsid w:val="006C4F1E"/>
    <w:rsid w:val="006D0822"/>
    <w:rsid w:val="006D398F"/>
    <w:rsid w:val="006D3ED3"/>
    <w:rsid w:val="006D6131"/>
    <w:rsid w:val="006D6D6C"/>
    <w:rsid w:val="006D7E80"/>
    <w:rsid w:val="006E1238"/>
    <w:rsid w:val="006E3AC5"/>
    <w:rsid w:val="006E4965"/>
    <w:rsid w:val="006E4AB3"/>
    <w:rsid w:val="006E4EF0"/>
    <w:rsid w:val="006E6BE3"/>
    <w:rsid w:val="006F2833"/>
    <w:rsid w:val="006F2BDC"/>
    <w:rsid w:val="006F69AC"/>
    <w:rsid w:val="006F6ADE"/>
    <w:rsid w:val="006F72F1"/>
    <w:rsid w:val="006F7456"/>
    <w:rsid w:val="007002E2"/>
    <w:rsid w:val="0070049B"/>
    <w:rsid w:val="00701613"/>
    <w:rsid w:val="007016AF"/>
    <w:rsid w:val="00703161"/>
    <w:rsid w:val="0070416C"/>
    <w:rsid w:val="0070479C"/>
    <w:rsid w:val="00704882"/>
    <w:rsid w:val="007062BF"/>
    <w:rsid w:val="00706E49"/>
    <w:rsid w:val="00706F8D"/>
    <w:rsid w:val="00707836"/>
    <w:rsid w:val="00707EE1"/>
    <w:rsid w:val="00711A27"/>
    <w:rsid w:val="00711C5D"/>
    <w:rsid w:val="00713511"/>
    <w:rsid w:val="007137C9"/>
    <w:rsid w:val="0071514F"/>
    <w:rsid w:val="0071555C"/>
    <w:rsid w:val="007179B1"/>
    <w:rsid w:val="0072083E"/>
    <w:rsid w:val="00720DE4"/>
    <w:rsid w:val="00722D3C"/>
    <w:rsid w:val="00723DBD"/>
    <w:rsid w:val="00723E88"/>
    <w:rsid w:val="0072449F"/>
    <w:rsid w:val="00726663"/>
    <w:rsid w:val="00727CC5"/>
    <w:rsid w:val="0073394D"/>
    <w:rsid w:val="00733D87"/>
    <w:rsid w:val="00734487"/>
    <w:rsid w:val="00735B65"/>
    <w:rsid w:val="00736D12"/>
    <w:rsid w:val="00737AB9"/>
    <w:rsid w:val="007404E6"/>
    <w:rsid w:val="00741BB7"/>
    <w:rsid w:val="007466B2"/>
    <w:rsid w:val="00746D0D"/>
    <w:rsid w:val="00751314"/>
    <w:rsid w:val="007515EE"/>
    <w:rsid w:val="007527A2"/>
    <w:rsid w:val="00753DBB"/>
    <w:rsid w:val="007564CF"/>
    <w:rsid w:val="00756F68"/>
    <w:rsid w:val="007606AE"/>
    <w:rsid w:val="00765E85"/>
    <w:rsid w:val="0076640F"/>
    <w:rsid w:val="00766A12"/>
    <w:rsid w:val="007708AD"/>
    <w:rsid w:val="00772BB2"/>
    <w:rsid w:val="00772F84"/>
    <w:rsid w:val="00773A86"/>
    <w:rsid w:val="00774F39"/>
    <w:rsid w:val="00776BEF"/>
    <w:rsid w:val="00776CF0"/>
    <w:rsid w:val="0078177C"/>
    <w:rsid w:val="00781958"/>
    <w:rsid w:val="00782459"/>
    <w:rsid w:val="007838F5"/>
    <w:rsid w:val="007849B1"/>
    <w:rsid w:val="007854C5"/>
    <w:rsid w:val="00785B64"/>
    <w:rsid w:val="007867FD"/>
    <w:rsid w:val="00786EAA"/>
    <w:rsid w:val="00787D31"/>
    <w:rsid w:val="00790A14"/>
    <w:rsid w:val="00791275"/>
    <w:rsid w:val="0079164D"/>
    <w:rsid w:val="007928C5"/>
    <w:rsid w:val="0079600A"/>
    <w:rsid w:val="00796856"/>
    <w:rsid w:val="00797AF6"/>
    <w:rsid w:val="00797C2F"/>
    <w:rsid w:val="007A0029"/>
    <w:rsid w:val="007A023A"/>
    <w:rsid w:val="007A0ED0"/>
    <w:rsid w:val="007A12E0"/>
    <w:rsid w:val="007A2328"/>
    <w:rsid w:val="007A2E96"/>
    <w:rsid w:val="007A31BD"/>
    <w:rsid w:val="007A3366"/>
    <w:rsid w:val="007A3F4B"/>
    <w:rsid w:val="007A42B2"/>
    <w:rsid w:val="007B0C19"/>
    <w:rsid w:val="007B4334"/>
    <w:rsid w:val="007B5905"/>
    <w:rsid w:val="007B69CE"/>
    <w:rsid w:val="007C1536"/>
    <w:rsid w:val="007C1DB7"/>
    <w:rsid w:val="007C1E94"/>
    <w:rsid w:val="007C43D0"/>
    <w:rsid w:val="007C469E"/>
    <w:rsid w:val="007C4ED7"/>
    <w:rsid w:val="007C55A3"/>
    <w:rsid w:val="007C7201"/>
    <w:rsid w:val="007D5467"/>
    <w:rsid w:val="007D5C2D"/>
    <w:rsid w:val="007D6BEC"/>
    <w:rsid w:val="007E222C"/>
    <w:rsid w:val="007E3BBB"/>
    <w:rsid w:val="007E49B7"/>
    <w:rsid w:val="007E71B5"/>
    <w:rsid w:val="007F1D22"/>
    <w:rsid w:val="007F3A5E"/>
    <w:rsid w:val="007F634B"/>
    <w:rsid w:val="007F6664"/>
    <w:rsid w:val="007F7936"/>
    <w:rsid w:val="007F7B74"/>
    <w:rsid w:val="008002D7"/>
    <w:rsid w:val="008003F0"/>
    <w:rsid w:val="0080140B"/>
    <w:rsid w:val="008026E4"/>
    <w:rsid w:val="00803064"/>
    <w:rsid w:val="00803DA0"/>
    <w:rsid w:val="00804195"/>
    <w:rsid w:val="00804213"/>
    <w:rsid w:val="00804C46"/>
    <w:rsid w:val="00804E50"/>
    <w:rsid w:val="00805C50"/>
    <w:rsid w:val="008078C0"/>
    <w:rsid w:val="008138DD"/>
    <w:rsid w:val="00815063"/>
    <w:rsid w:val="00816459"/>
    <w:rsid w:val="008176B3"/>
    <w:rsid w:val="00820AC1"/>
    <w:rsid w:val="008234F1"/>
    <w:rsid w:val="00824E07"/>
    <w:rsid w:val="00830239"/>
    <w:rsid w:val="00830DEB"/>
    <w:rsid w:val="0083544B"/>
    <w:rsid w:val="008357DE"/>
    <w:rsid w:val="0083617A"/>
    <w:rsid w:val="008371A9"/>
    <w:rsid w:val="00837FE6"/>
    <w:rsid w:val="00842A70"/>
    <w:rsid w:val="008431CA"/>
    <w:rsid w:val="00844638"/>
    <w:rsid w:val="00844EAD"/>
    <w:rsid w:val="00845260"/>
    <w:rsid w:val="0084675E"/>
    <w:rsid w:val="00847C19"/>
    <w:rsid w:val="00851093"/>
    <w:rsid w:val="00851B92"/>
    <w:rsid w:val="00851F34"/>
    <w:rsid w:val="0085292D"/>
    <w:rsid w:val="00852A2A"/>
    <w:rsid w:val="0085403D"/>
    <w:rsid w:val="00854BA4"/>
    <w:rsid w:val="00856522"/>
    <w:rsid w:val="0085778B"/>
    <w:rsid w:val="00857FE6"/>
    <w:rsid w:val="00860308"/>
    <w:rsid w:val="008611D0"/>
    <w:rsid w:val="00861CF2"/>
    <w:rsid w:val="00863A66"/>
    <w:rsid w:val="0086403C"/>
    <w:rsid w:val="008641EA"/>
    <w:rsid w:val="00864CAD"/>
    <w:rsid w:val="008661F6"/>
    <w:rsid w:val="00866B1C"/>
    <w:rsid w:val="008712C4"/>
    <w:rsid w:val="00875498"/>
    <w:rsid w:val="00875F85"/>
    <w:rsid w:val="00876546"/>
    <w:rsid w:val="008801AB"/>
    <w:rsid w:val="008819F3"/>
    <w:rsid w:val="00882495"/>
    <w:rsid w:val="008828BD"/>
    <w:rsid w:val="00882A7D"/>
    <w:rsid w:val="00883D82"/>
    <w:rsid w:val="00884AF0"/>
    <w:rsid w:val="00885620"/>
    <w:rsid w:val="00886F93"/>
    <w:rsid w:val="00887D54"/>
    <w:rsid w:val="00892380"/>
    <w:rsid w:val="00893456"/>
    <w:rsid w:val="00893BEA"/>
    <w:rsid w:val="0089621C"/>
    <w:rsid w:val="008A0F69"/>
    <w:rsid w:val="008A17EB"/>
    <w:rsid w:val="008A245B"/>
    <w:rsid w:val="008A572C"/>
    <w:rsid w:val="008A57AD"/>
    <w:rsid w:val="008A6CC6"/>
    <w:rsid w:val="008B03C9"/>
    <w:rsid w:val="008B1295"/>
    <w:rsid w:val="008B1721"/>
    <w:rsid w:val="008B1BCA"/>
    <w:rsid w:val="008B4160"/>
    <w:rsid w:val="008B560A"/>
    <w:rsid w:val="008B6580"/>
    <w:rsid w:val="008B6B42"/>
    <w:rsid w:val="008B7329"/>
    <w:rsid w:val="008C0D25"/>
    <w:rsid w:val="008C1804"/>
    <w:rsid w:val="008C199B"/>
    <w:rsid w:val="008C1DA2"/>
    <w:rsid w:val="008C2E26"/>
    <w:rsid w:val="008C3364"/>
    <w:rsid w:val="008C36F9"/>
    <w:rsid w:val="008C3A72"/>
    <w:rsid w:val="008C58DB"/>
    <w:rsid w:val="008C6213"/>
    <w:rsid w:val="008C72AE"/>
    <w:rsid w:val="008C795F"/>
    <w:rsid w:val="008D0040"/>
    <w:rsid w:val="008D0CA4"/>
    <w:rsid w:val="008D39E7"/>
    <w:rsid w:val="008D4C0B"/>
    <w:rsid w:val="008D5D61"/>
    <w:rsid w:val="008D71E5"/>
    <w:rsid w:val="008E2027"/>
    <w:rsid w:val="008E2868"/>
    <w:rsid w:val="008E7225"/>
    <w:rsid w:val="008F00A0"/>
    <w:rsid w:val="008F26CF"/>
    <w:rsid w:val="008F31D6"/>
    <w:rsid w:val="008F7019"/>
    <w:rsid w:val="009023C8"/>
    <w:rsid w:val="00902D65"/>
    <w:rsid w:val="00902F72"/>
    <w:rsid w:val="009057FB"/>
    <w:rsid w:val="0090600C"/>
    <w:rsid w:val="00907A27"/>
    <w:rsid w:val="009145D5"/>
    <w:rsid w:val="00914F25"/>
    <w:rsid w:val="0091593D"/>
    <w:rsid w:val="009161F7"/>
    <w:rsid w:val="00916C02"/>
    <w:rsid w:val="00922E5C"/>
    <w:rsid w:val="00924129"/>
    <w:rsid w:val="00925C44"/>
    <w:rsid w:val="0092724B"/>
    <w:rsid w:val="0092766E"/>
    <w:rsid w:val="00931197"/>
    <w:rsid w:val="00931CFE"/>
    <w:rsid w:val="0093363A"/>
    <w:rsid w:val="00941082"/>
    <w:rsid w:val="00943C8B"/>
    <w:rsid w:val="00943F73"/>
    <w:rsid w:val="00945F16"/>
    <w:rsid w:val="0094708B"/>
    <w:rsid w:val="0095000E"/>
    <w:rsid w:val="009511F9"/>
    <w:rsid w:val="0095560A"/>
    <w:rsid w:val="009617A7"/>
    <w:rsid w:val="00962979"/>
    <w:rsid w:val="00962A69"/>
    <w:rsid w:val="00962C38"/>
    <w:rsid w:val="009644C8"/>
    <w:rsid w:val="009673B0"/>
    <w:rsid w:val="00972802"/>
    <w:rsid w:val="0097355E"/>
    <w:rsid w:val="00974062"/>
    <w:rsid w:val="00974898"/>
    <w:rsid w:val="00974A84"/>
    <w:rsid w:val="0097569A"/>
    <w:rsid w:val="00976411"/>
    <w:rsid w:val="00977733"/>
    <w:rsid w:val="009804F5"/>
    <w:rsid w:val="009811B8"/>
    <w:rsid w:val="00981434"/>
    <w:rsid w:val="00981C43"/>
    <w:rsid w:val="00983105"/>
    <w:rsid w:val="00983195"/>
    <w:rsid w:val="00987076"/>
    <w:rsid w:val="00987F16"/>
    <w:rsid w:val="00990810"/>
    <w:rsid w:val="00990880"/>
    <w:rsid w:val="009919EC"/>
    <w:rsid w:val="009937C1"/>
    <w:rsid w:val="0099716D"/>
    <w:rsid w:val="009A31B7"/>
    <w:rsid w:val="009A3548"/>
    <w:rsid w:val="009A57C3"/>
    <w:rsid w:val="009A6480"/>
    <w:rsid w:val="009A69F5"/>
    <w:rsid w:val="009A773B"/>
    <w:rsid w:val="009B289B"/>
    <w:rsid w:val="009B37CF"/>
    <w:rsid w:val="009B442B"/>
    <w:rsid w:val="009B46BD"/>
    <w:rsid w:val="009B498A"/>
    <w:rsid w:val="009B4C86"/>
    <w:rsid w:val="009B5B52"/>
    <w:rsid w:val="009B5C11"/>
    <w:rsid w:val="009B72F6"/>
    <w:rsid w:val="009B7653"/>
    <w:rsid w:val="009C22D3"/>
    <w:rsid w:val="009C3B8E"/>
    <w:rsid w:val="009C4272"/>
    <w:rsid w:val="009C4905"/>
    <w:rsid w:val="009C66BC"/>
    <w:rsid w:val="009C6863"/>
    <w:rsid w:val="009C7AB6"/>
    <w:rsid w:val="009D2C43"/>
    <w:rsid w:val="009D35B5"/>
    <w:rsid w:val="009D439C"/>
    <w:rsid w:val="009D4F1E"/>
    <w:rsid w:val="009D571F"/>
    <w:rsid w:val="009D5F1D"/>
    <w:rsid w:val="009D7662"/>
    <w:rsid w:val="009E2D8A"/>
    <w:rsid w:val="009E3687"/>
    <w:rsid w:val="009E6AB7"/>
    <w:rsid w:val="009E766A"/>
    <w:rsid w:val="009F11DF"/>
    <w:rsid w:val="009F1F2D"/>
    <w:rsid w:val="009F513B"/>
    <w:rsid w:val="009F665E"/>
    <w:rsid w:val="009F7E59"/>
    <w:rsid w:val="00A01E30"/>
    <w:rsid w:val="00A02ADA"/>
    <w:rsid w:val="00A02BBA"/>
    <w:rsid w:val="00A02DAE"/>
    <w:rsid w:val="00A02E7B"/>
    <w:rsid w:val="00A05ED5"/>
    <w:rsid w:val="00A06E71"/>
    <w:rsid w:val="00A0750C"/>
    <w:rsid w:val="00A07D08"/>
    <w:rsid w:val="00A10542"/>
    <w:rsid w:val="00A11BA7"/>
    <w:rsid w:val="00A14807"/>
    <w:rsid w:val="00A15D63"/>
    <w:rsid w:val="00A15FB5"/>
    <w:rsid w:val="00A164AA"/>
    <w:rsid w:val="00A173B5"/>
    <w:rsid w:val="00A20686"/>
    <w:rsid w:val="00A20C8F"/>
    <w:rsid w:val="00A22BB3"/>
    <w:rsid w:val="00A238A5"/>
    <w:rsid w:val="00A23DC2"/>
    <w:rsid w:val="00A26B92"/>
    <w:rsid w:val="00A2772F"/>
    <w:rsid w:val="00A27EA0"/>
    <w:rsid w:val="00A30AB6"/>
    <w:rsid w:val="00A30D13"/>
    <w:rsid w:val="00A3113F"/>
    <w:rsid w:val="00A317DB"/>
    <w:rsid w:val="00A337F9"/>
    <w:rsid w:val="00A36115"/>
    <w:rsid w:val="00A36880"/>
    <w:rsid w:val="00A42BAE"/>
    <w:rsid w:val="00A4445E"/>
    <w:rsid w:val="00A46324"/>
    <w:rsid w:val="00A475DE"/>
    <w:rsid w:val="00A51F8D"/>
    <w:rsid w:val="00A528FD"/>
    <w:rsid w:val="00A53D97"/>
    <w:rsid w:val="00A55939"/>
    <w:rsid w:val="00A6293A"/>
    <w:rsid w:val="00A640E9"/>
    <w:rsid w:val="00A653ED"/>
    <w:rsid w:val="00A66BA1"/>
    <w:rsid w:val="00A70724"/>
    <w:rsid w:val="00A72009"/>
    <w:rsid w:val="00A73827"/>
    <w:rsid w:val="00A74DF1"/>
    <w:rsid w:val="00A758D0"/>
    <w:rsid w:val="00A76879"/>
    <w:rsid w:val="00A76F9C"/>
    <w:rsid w:val="00A770CF"/>
    <w:rsid w:val="00A80351"/>
    <w:rsid w:val="00A82A6E"/>
    <w:rsid w:val="00A83FC0"/>
    <w:rsid w:val="00A90E12"/>
    <w:rsid w:val="00A91608"/>
    <w:rsid w:val="00A923AC"/>
    <w:rsid w:val="00A9321B"/>
    <w:rsid w:val="00A959B2"/>
    <w:rsid w:val="00A96BBC"/>
    <w:rsid w:val="00AA177E"/>
    <w:rsid w:val="00AA1935"/>
    <w:rsid w:val="00AA419E"/>
    <w:rsid w:val="00AA5B2B"/>
    <w:rsid w:val="00AA7AE1"/>
    <w:rsid w:val="00AB2DCD"/>
    <w:rsid w:val="00AB3568"/>
    <w:rsid w:val="00AB3963"/>
    <w:rsid w:val="00AB3F80"/>
    <w:rsid w:val="00AB3FD9"/>
    <w:rsid w:val="00AB5C0C"/>
    <w:rsid w:val="00AB7248"/>
    <w:rsid w:val="00AC25B5"/>
    <w:rsid w:val="00AC3A76"/>
    <w:rsid w:val="00AC3ED5"/>
    <w:rsid w:val="00AC43FC"/>
    <w:rsid w:val="00AC67B3"/>
    <w:rsid w:val="00AC6CD4"/>
    <w:rsid w:val="00AC7A24"/>
    <w:rsid w:val="00AD03D9"/>
    <w:rsid w:val="00AD1E48"/>
    <w:rsid w:val="00AD39F7"/>
    <w:rsid w:val="00AD5779"/>
    <w:rsid w:val="00AD6317"/>
    <w:rsid w:val="00AD77D7"/>
    <w:rsid w:val="00AE264D"/>
    <w:rsid w:val="00AE353A"/>
    <w:rsid w:val="00AE50C8"/>
    <w:rsid w:val="00AE5285"/>
    <w:rsid w:val="00AE700C"/>
    <w:rsid w:val="00AF069E"/>
    <w:rsid w:val="00AF0B77"/>
    <w:rsid w:val="00AF0C9E"/>
    <w:rsid w:val="00AF18FF"/>
    <w:rsid w:val="00AF1B6A"/>
    <w:rsid w:val="00AF26D4"/>
    <w:rsid w:val="00AF2E9C"/>
    <w:rsid w:val="00AF3FC1"/>
    <w:rsid w:val="00AF67C9"/>
    <w:rsid w:val="00AF6C99"/>
    <w:rsid w:val="00AF7B36"/>
    <w:rsid w:val="00AF7E7E"/>
    <w:rsid w:val="00B05309"/>
    <w:rsid w:val="00B05821"/>
    <w:rsid w:val="00B11071"/>
    <w:rsid w:val="00B13815"/>
    <w:rsid w:val="00B13ABB"/>
    <w:rsid w:val="00B14EAD"/>
    <w:rsid w:val="00B15AE6"/>
    <w:rsid w:val="00B16E93"/>
    <w:rsid w:val="00B20AF8"/>
    <w:rsid w:val="00B2349E"/>
    <w:rsid w:val="00B303A2"/>
    <w:rsid w:val="00B30556"/>
    <w:rsid w:val="00B3226A"/>
    <w:rsid w:val="00B32903"/>
    <w:rsid w:val="00B3436E"/>
    <w:rsid w:val="00B3495F"/>
    <w:rsid w:val="00B37055"/>
    <w:rsid w:val="00B40227"/>
    <w:rsid w:val="00B4491A"/>
    <w:rsid w:val="00B455AA"/>
    <w:rsid w:val="00B45C9B"/>
    <w:rsid w:val="00B5309D"/>
    <w:rsid w:val="00B5421A"/>
    <w:rsid w:val="00B54319"/>
    <w:rsid w:val="00B56515"/>
    <w:rsid w:val="00B604A2"/>
    <w:rsid w:val="00B617D0"/>
    <w:rsid w:val="00B62187"/>
    <w:rsid w:val="00B62B4A"/>
    <w:rsid w:val="00B63616"/>
    <w:rsid w:val="00B63CE6"/>
    <w:rsid w:val="00B646FA"/>
    <w:rsid w:val="00B718AF"/>
    <w:rsid w:val="00B749AD"/>
    <w:rsid w:val="00B7508F"/>
    <w:rsid w:val="00B751BB"/>
    <w:rsid w:val="00B75C02"/>
    <w:rsid w:val="00B802B1"/>
    <w:rsid w:val="00B8147A"/>
    <w:rsid w:val="00B82449"/>
    <w:rsid w:val="00B8282F"/>
    <w:rsid w:val="00B83222"/>
    <w:rsid w:val="00B838CB"/>
    <w:rsid w:val="00B84012"/>
    <w:rsid w:val="00B855C2"/>
    <w:rsid w:val="00B8711C"/>
    <w:rsid w:val="00B91AED"/>
    <w:rsid w:val="00B92B47"/>
    <w:rsid w:val="00B92C57"/>
    <w:rsid w:val="00B934DD"/>
    <w:rsid w:val="00B95811"/>
    <w:rsid w:val="00B966BD"/>
    <w:rsid w:val="00B96877"/>
    <w:rsid w:val="00B97BA9"/>
    <w:rsid w:val="00BA0B73"/>
    <w:rsid w:val="00BA2F53"/>
    <w:rsid w:val="00BA3C4C"/>
    <w:rsid w:val="00BA3E7B"/>
    <w:rsid w:val="00BA511B"/>
    <w:rsid w:val="00BA51B4"/>
    <w:rsid w:val="00BA7868"/>
    <w:rsid w:val="00BB063A"/>
    <w:rsid w:val="00BB0849"/>
    <w:rsid w:val="00BB1ACD"/>
    <w:rsid w:val="00BB207D"/>
    <w:rsid w:val="00BB2F25"/>
    <w:rsid w:val="00BB33AF"/>
    <w:rsid w:val="00BB3A5D"/>
    <w:rsid w:val="00BB3BFA"/>
    <w:rsid w:val="00BB6889"/>
    <w:rsid w:val="00BC154B"/>
    <w:rsid w:val="00BC184E"/>
    <w:rsid w:val="00BC1DBB"/>
    <w:rsid w:val="00BC258A"/>
    <w:rsid w:val="00BC2A63"/>
    <w:rsid w:val="00BC6874"/>
    <w:rsid w:val="00BC719F"/>
    <w:rsid w:val="00BC79B0"/>
    <w:rsid w:val="00BD137E"/>
    <w:rsid w:val="00BD27AE"/>
    <w:rsid w:val="00BD2E57"/>
    <w:rsid w:val="00BD36AF"/>
    <w:rsid w:val="00BD56A5"/>
    <w:rsid w:val="00BE12C5"/>
    <w:rsid w:val="00BE2101"/>
    <w:rsid w:val="00BE2DCE"/>
    <w:rsid w:val="00BE3838"/>
    <w:rsid w:val="00BE3E93"/>
    <w:rsid w:val="00BE4356"/>
    <w:rsid w:val="00BE5EAD"/>
    <w:rsid w:val="00BE6D34"/>
    <w:rsid w:val="00BF0373"/>
    <w:rsid w:val="00BF0B54"/>
    <w:rsid w:val="00BF0D69"/>
    <w:rsid w:val="00BF1115"/>
    <w:rsid w:val="00BF1FCD"/>
    <w:rsid w:val="00BF3081"/>
    <w:rsid w:val="00BF31AF"/>
    <w:rsid w:val="00BF3360"/>
    <w:rsid w:val="00BF3E8D"/>
    <w:rsid w:val="00BF4192"/>
    <w:rsid w:val="00BF5C96"/>
    <w:rsid w:val="00BF5F19"/>
    <w:rsid w:val="00C0205D"/>
    <w:rsid w:val="00C02106"/>
    <w:rsid w:val="00C03065"/>
    <w:rsid w:val="00C06A69"/>
    <w:rsid w:val="00C121BE"/>
    <w:rsid w:val="00C13CF2"/>
    <w:rsid w:val="00C16EC6"/>
    <w:rsid w:val="00C206FD"/>
    <w:rsid w:val="00C20BF7"/>
    <w:rsid w:val="00C2110E"/>
    <w:rsid w:val="00C23816"/>
    <w:rsid w:val="00C25035"/>
    <w:rsid w:val="00C25F9C"/>
    <w:rsid w:val="00C30DAB"/>
    <w:rsid w:val="00C34043"/>
    <w:rsid w:val="00C34218"/>
    <w:rsid w:val="00C356F0"/>
    <w:rsid w:val="00C369D6"/>
    <w:rsid w:val="00C405A2"/>
    <w:rsid w:val="00C41526"/>
    <w:rsid w:val="00C41677"/>
    <w:rsid w:val="00C41A61"/>
    <w:rsid w:val="00C4293F"/>
    <w:rsid w:val="00C42E35"/>
    <w:rsid w:val="00C43BB5"/>
    <w:rsid w:val="00C44299"/>
    <w:rsid w:val="00C44C75"/>
    <w:rsid w:val="00C454B7"/>
    <w:rsid w:val="00C45A6A"/>
    <w:rsid w:val="00C464B7"/>
    <w:rsid w:val="00C46A15"/>
    <w:rsid w:val="00C46DAC"/>
    <w:rsid w:val="00C46E98"/>
    <w:rsid w:val="00C501C0"/>
    <w:rsid w:val="00C52082"/>
    <w:rsid w:val="00C52439"/>
    <w:rsid w:val="00C53ACA"/>
    <w:rsid w:val="00C571F8"/>
    <w:rsid w:val="00C578FF"/>
    <w:rsid w:val="00C60CC9"/>
    <w:rsid w:val="00C6134E"/>
    <w:rsid w:val="00C61DC2"/>
    <w:rsid w:val="00C626EB"/>
    <w:rsid w:val="00C64CC1"/>
    <w:rsid w:val="00C67B38"/>
    <w:rsid w:val="00C71C66"/>
    <w:rsid w:val="00C72D4A"/>
    <w:rsid w:val="00C73F9E"/>
    <w:rsid w:val="00C74F05"/>
    <w:rsid w:val="00C7508C"/>
    <w:rsid w:val="00C753FB"/>
    <w:rsid w:val="00C7551E"/>
    <w:rsid w:val="00C7612A"/>
    <w:rsid w:val="00C81969"/>
    <w:rsid w:val="00C81D7A"/>
    <w:rsid w:val="00C84341"/>
    <w:rsid w:val="00C84C4C"/>
    <w:rsid w:val="00C85235"/>
    <w:rsid w:val="00C85B93"/>
    <w:rsid w:val="00C872AA"/>
    <w:rsid w:val="00C874DD"/>
    <w:rsid w:val="00C91F14"/>
    <w:rsid w:val="00C91F44"/>
    <w:rsid w:val="00C95A6C"/>
    <w:rsid w:val="00C97106"/>
    <w:rsid w:val="00CA02C1"/>
    <w:rsid w:val="00CA0BC6"/>
    <w:rsid w:val="00CA1C9B"/>
    <w:rsid w:val="00CA5B00"/>
    <w:rsid w:val="00CA7BD1"/>
    <w:rsid w:val="00CB44E7"/>
    <w:rsid w:val="00CB54E8"/>
    <w:rsid w:val="00CB76A4"/>
    <w:rsid w:val="00CB7917"/>
    <w:rsid w:val="00CC0DCE"/>
    <w:rsid w:val="00CC1382"/>
    <w:rsid w:val="00CC163F"/>
    <w:rsid w:val="00CC34E6"/>
    <w:rsid w:val="00CC4109"/>
    <w:rsid w:val="00CC4C9E"/>
    <w:rsid w:val="00CC5820"/>
    <w:rsid w:val="00CC78E9"/>
    <w:rsid w:val="00CD13B0"/>
    <w:rsid w:val="00CD679E"/>
    <w:rsid w:val="00CD7CFC"/>
    <w:rsid w:val="00CE3401"/>
    <w:rsid w:val="00CE3E4B"/>
    <w:rsid w:val="00CE7FCE"/>
    <w:rsid w:val="00CF0C95"/>
    <w:rsid w:val="00CF2765"/>
    <w:rsid w:val="00CF29D0"/>
    <w:rsid w:val="00CF4EAA"/>
    <w:rsid w:val="00CF65F7"/>
    <w:rsid w:val="00CF73EA"/>
    <w:rsid w:val="00CF7ED8"/>
    <w:rsid w:val="00D00457"/>
    <w:rsid w:val="00D024E5"/>
    <w:rsid w:val="00D02F45"/>
    <w:rsid w:val="00D0383A"/>
    <w:rsid w:val="00D04C7E"/>
    <w:rsid w:val="00D05A90"/>
    <w:rsid w:val="00D10DBB"/>
    <w:rsid w:val="00D1229D"/>
    <w:rsid w:val="00D12564"/>
    <w:rsid w:val="00D14492"/>
    <w:rsid w:val="00D1685E"/>
    <w:rsid w:val="00D2029B"/>
    <w:rsid w:val="00D20A38"/>
    <w:rsid w:val="00D22B1F"/>
    <w:rsid w:val="00D23369"/>
    <w:rsid w:val="00D24CC2"/>
    <w:rsid w:val="00D255E8"/>
    <w:rsid w:val="00D256D2"/>
    <w:rsid w:val="00D256E7"/>
    <w:rsid w:val="00D27714"/>
    <w:rsid w:val="00D309D2"/>
    <w:rsid w:val="00D30AA3"/>
    <w:rsid w:val="00D32D5D"/>
    <w:rsid w:val="00D33046"/>
    <w:rsid w:val="00D33603"/>
    <w:rsid w:val="00D340F5"/>
    <w:rsid w:val="00D344A3"/>
    <w:rsid w:val="00D35983"/>
    <w:rsid w:val="00D37C37"/>
    <w:rsid w:val="00D37EE7"/>
    <w:rsid w:val="00D415BA"/>
    <w:rsid w:val="00D4353C"/>
    <w:rsid w:val="00D43A31"/>
    <w:rsid w:val="00D4601C"/>
    <w:rsid w:val="00D47589"/>
    <w:rsid w:val="00D50256"/>
    <w:rsid w:val="00D50AC4"/>
    <w:rsid w:val="00D51492"/>
    <w:rsid w:val="00D5170D"/>
    <w:rsid w:val="00D52724"/>
    <w:rsid w:val="00D52D3C"/>
    <w:rsid w:val="00D554A7"/>
    <w:rsid w:val="00D556B1"/>
    <w:rsid w:val="00D606A6"/>
    <w:rsid w:val="00D61604"/>
    <w:rsid w:val="00D621C3"/>
    <w:rsid w:val="00D63FEF"/>
    <w:rsid w:val="00D653C7"/>
    <w:rsid w:val="00D65403"/>
    <w:rsid w:val="00D6595F"/>
    <w:rsid w:val="00D679A8"/>
    <w:rsid w:val="00D728AB"/>
    <w:rsid w:val="00D72F6C"/>
    <w:rsid w:val="00D7361B"/>
    <w:rsid w:val="00D7399F"/>
    <w:rsid w:val="00D74DA7"/>
    <w:rsid w:val="00D74FEA"/>
    <w:rsid w:val="00D75150"/>
    <w:rsid w:val="00D76739"/>
    <w:rsid w:val="00D77F9D"/>
    <w:rsid w:val="00D82B0F"/>
    <w:rsid w:val="00D83F9F"/>
    <w:rsid w:val="00D87446"/>
    <w:rsid w:val="00D8747D"/>
    <w:rsid w:val="00D9174A"/>
    <w:rsid w:val="00D91BBC"/>
    <w:rsid w:val="00D93212"/>
    <w:rsid w:val="00D93E0C"/>
    <w:rsid w:val="00D95A77"/>
    <w:rsid w:val="00D95CD2"/>
    <w:rsid w:val="00D97F1F"/>
    <w:rsid w:val="00D97FB7"/>
    <w:rsid w:val="00DA07F1"/>
    <w:rsid w:val="00DA12BA"/>
    <w:rsid w:val="00DA42A3"/>
    <w:rsid w:val="00DA4AC5"/>
    <w:rsid w:val="00DA58C6"/>
    <w:rsid w:val="00DA6D7A"/>
    <w:rsid w:val="00DA7C55"/>
    <w:rsid w:val="00DA7F4D"/>
    <w:rsid w:val="00DB12FE"/>
    <w:rsid w:val="00DB19DD"/>
    <w:rsid w:val="00DB2D5C"/>
    <w:rsid w:val="00DB3BDF"/>
    <w:rsid w:val="00DB430C"/>
    <w:rsid w:val="00DB4D40"/>
    <w:rsid w:val="00DC08BC"/>
    <w:rsid w:val="00DC105D"/>
    <w:rsid w:val="00DC2FBA"/>
    <w:rsid w:val="00DC3FB0"/>
    <w:rsid w:val="00DC4661"/>
    <w:rsid w:val="00DC63BC"/>
    <w:rsid w:val="00DC65B1"/>
    <w:rsid w:val="00DC7331"/>
    <w:rsid w:val="00DC7DD0"/>
    <w:rsid w:val="00DD2188"/>
    <w:rsid w:val="00DD2BDB"/>
    <w:rsid w:val="00DD4598"/>
    <w:rsid w:val="00DD5C13"/>
    <w:rsid w:val="00DD633F"/>
    <w:rsid w:val="00DE02B8"/>
    <w:rsid w:val="00DE06E2"/>
    <w:rsid w:val="00DE0F73"/>
    <w:rsid w:val="00DE19F9"/>
    <w:rsid w:val="00DE768E"/>
    <w:rsid w:val="00DF04FE"/>
    <w:rsid w:val="00DF1723"/>
    <w:rsid w:val="00DF1B0E"/>
    <w:rsid w:val="00DF1E9F"/>
    <w:rsid w:val="00DF451E"/>
    <w:rsid w:val="00DF4812"/>
    <w:rsid w:val="00DF6BE7"/>
    <w:rsid w:val="00E000C8"/>
    <w:rsid w:val="00E03F7E"/>
    <w:rsid w:val="00E042AC"/>
    <w:rsid w:val="00E050FC"/>
    <w:rsid w:val="00E05307"/>
    <w:rsid w:val="00E0575C"/>
    <w:rsid w:val="00E11046"/>
    <w:rsid w:val="00E133D8"/>
    <w:rsid w:val="00E17189"/>
    <w:rsid w:val="00E17A87"/>
    <w:rsid w:val="00E21B5D"/>
    <w:rsid w:val="00E22DCC"/>
    <w:rsid w:val="00E24BA0"/>
    <w:rsid w:val="00E31EE3"/>
    <w:rsid w:val="00E33368"/>
    <w:rsid w:val="00E33EB1"/>
    <w:rsid w:val="00E349D8"/>
    <w:rsid w:val="00E34E1F"/>
    <w:rsid w:val="00E37205"/>
    <w:rsid w:val="00E40261"/>
    <w:rsid w:val="00E4306A"/>
    <w:rsid w:val="00E44100"/>
    <w:rsid w:val="00E446D6"/>
    <w:rsid w:val="00E531CC"/>
    <w:rsid w:val="00E5376F"/>
    <w:rsid w:val="00E60C89"/>
    <w:rsid w:val="00E61920"/>
    <w:rsid w:val="00E61984"/>
    <w:rsid w:val="00E6362C"/>
    <w:rsid w:val="00E63C4C"/>
    <w:rsid w:val="00E66821"/>
    <w:rsid w:val="00E67AD8"/>
    <w:rsid w:val="00E70855"/>
    <w:rsid w:val="00E71780"/>
    <w:rsid w:val="00E730ED"/>
    <w:rsid w:val="00E734F3"/>
    <w:rsid w:val="00E73D40"/>
    <w:rsid w:val="00E74D9D"/>
    <w:rsid w:val="00E74EC4"/>
    <w:rsid w:val="00E75130"/>
    <w:rsid w:val="00E75E9D"/>
    <w:rsid w:val="00E776F0"/>
    <w:rsid w:val="00E80210"/>
    <w:rsid w:val="00E80D14"/>
    <w:rsid w:val="00E81324"/>
    <w:rsid w:val="00E814D1"/>
    <w:rsid w:val="00E81DD0"/>
    <w:rsid w:val="00E834B1"/>
    <w:rsid w:val="00E86169"/>
    <w:rsid w:val="00E90A42"/>
    <w:rsid w:val="00E90BE7"/>
    <w:rsid w:val="00E91F40"/>
    <w:rsid w:val="00E94783"/>
    <w:rsid w:val="00E9618A"/>
    <w:rsid w:val="00E96F1A"/>
    <w:rsid w:val="00E97B15"/>
    <w:rsid w:val="00EA3091"/>
    <w:rsid w:val="00EA3C1B"/>
    <w:rsid w:val="00EA42E3"/>
    <w:rsid w:val="00EA6642"/>
    <w:rsid w:val="00EA7E2B"/>
    <w:rsid w:val="00EB246B"/>
    <w:rsid w:val="00EB3756"/>
    <w:rsid w:val="00EB4016"/>
    <w:rsid w:val="00EB71F4"/>
    <w:rsid w:val="00EB7F6D"/>
    <w:rsid w:val="00EC129B"/>
    <w:rsid w:val="00EC2654"/>
    <w:rsid w:val="00EC2E6D"/>
    <w:rsid w:val="00EC33CC"/>
    <w:rsid w:val="00EC6522"/>
    <w:rsid w:val="00EC6A92"/>
    <w:rsid w:val="00EC7B7F"/>
    <w:rsid w:val="00EC7CD7"/>
    <w:rsid w:val="00EC7F2F"/>
    <w:rsid w:val="00ED50A4"/>
    <w:rsid w:val="00ED627E"/>
    <w:rsid w:val="00ED69E0"/>
    <w:rsid w:val="00ED702E"/>
    <w:rsid w:val="00EE0A71"/>
    <w:rsid w:val="00EE1CEE"/>
    <w:rsid w:val="00EE2554"/>
    <w:rsid w:val="00EE35C3"/>
    <w:rsid w:val="00EE3D8B"/>
    <w:rsid w:val="00EE5C34"/>
    <w:rsid w:val="00EE5E40"/>
    <w:rsid w:val="00EF050C"/>
    <w:rsid w:val="00EF0F78"/>
    <w:rsid w:val="00EF1D23"/>
    <w:rsid w:val="00EF200C"/>
    <w:rsid w:val="00EF275C"/>
    <w:rsid w:val="00EF3B4C"/>
    <w:rsid w:val="00EF4C8A"/>
    <w:rsid w:val="00EF5BBE"/>
    <w:rsid w:val="00EF65F7"/>
    <w:rsid w:val="00EF728E"/>
    <w:rsid w:val="00F01404"/>
    <w:rsid w:val="00F02545"/>
    <w:rsid w:val="00F0455F"/>
    <w:rsid w:val="00F04628"/>
    <w:rsid w:val="00F0649A"/>
    <w:rsid w:val="00F10253"/>
    <w:rsid w:val="00F12218"/>
    <w:rsid w:val="00F12FD8"/>
    <w:rsid w:val="00F134C6"/>
    <w:rsid w:val="00F13FFC"/>
    <w:rsid w:val="00F1423C"/>
    <w:rsid w:val="00F178CC"/>
    <w:rsid w:val="00F17C32"/>
    <w:rsid w:val="00F20BEA"/>
    <w:rsid w:val="00F22199"/>
    <w:rsid w:val="00F223C3"/>
    <w:rsid w:val="00F22CEC"/>
    <w:rsid w:val="00F24E53"/>
    <w:rsid w:val="00F25BA2"/>
    <w:rsid w:val="00F261C9"/>
    <w:rsid w:val="00F328CE"/>
    <w:rsid w:val="00F32BD4"/>
    <w:rsid w:val="00F34A1C"/>
    <w:rsid w:val="00F35684"/>
    <w:rsid w:val="00F362DE"/>
    <w:rsid w:val="00F36402"/>
    <w:rsid w:val="00F367AA"/>
    <w:rsid w:val="00F37FF7"/>
    <w:rsid w:val="00F40D09"/>
    <w:rsid w:val="00F412F9"/>
    <w:rsid w:val="00F41653"/>
    <w:rsid w:val="00F427D0"/>
    <w:rsid w:val="00F44828"/>
    <w:rsid w:val="00F44A10"/>
    <w:rsid w:val="00F47A41"/>
    <w:rsid w:val="00F53B5F"/>
    <w:rsid w:val="00F54C63"/>
    <w:rsid w:val="00F55C2C"/>
    <w:rsid w:val="00F57052"/>
    <w:rsid w:val="00F6034E"/>
    <w:rsid w:val="00F6062D"/>
    <w:rsid w:val="00F608C1"/>
    <w:rsid w:val="00F625BF"/>
    <w:rsid w:val="00F6314E"/>
    <w:rsid w:val="00F6319E"/>
    <w:rsid w:val="00F63398"/>
    <w:rsid w:val="00F67D73"/>
    <w:rsid w:val="00F730F2"/>
    <w:rsid w:val="00F74E66"/>
    <w:rsid w:val="00F77F73"/>
    <w:rsid w:val="00F8112D"/>
    <w:rsid w:val="00F812B0"/>
    <w:rsid w:val="00F816AB"/>
    <w:rsid w:val="00F84F40"/>
    <w:rsid w:val="00F87A2F"/>
    <w:rsid w:val="00F913B5"/>
    <w:rsid w:val="00F91BF7"/>
    <w:rsid w:val="00F92038"/>
    <w:rsid w:val="00F93493"/>
    <w:rsid w:val="00F937F0"/>
    <w:rsid w:val="00FA1E6A"/>
    <w:rsid w:val="00FA37C7"/>
    <w:rsid w:val="00FA4E57"/>
    <w:rsid w:val="00FA61CD"/>
    <w:rsid w:val="00FA662B"/>
    <w:rsid w:val="00FA7AAD"/>
    <w:rsid w:val="00FB1213"/>
    <w:rsid w:val="00FB2222"/>
    <w:rsid w:val="00FB3578"/>
    <w:rsid w:val="00FB3EE8"/>
    <w:rsid w:val="00FB591B"/>
    <w:rsid w:val="00FB65A4"/>
    <w:rsid w:val="00FC024A"/>
    <w:rsid w:val="00FC1BA5"/>
    <w:rsid w:val="00FC2129"/>
    <w:rsid w:val="00FC24ED"/>
    <w:rsid w:val="00FC39CF"/>
    <w:rsid w:val="00FC487B"/>
    <w:rsid w:val="00FC7371"/>
    <w:rsid w:val="00FC7A23"/>
    <w:rsid w:val="00FD03F6"/>
    <w:rsid w:val="00FD378B"/>
    <w:rsid w:val="00FD604C"/>
    <w:rsid w:val="00FD74BA"/>
    <w:rsid w:val="00FE1DC0"/>
    <w:rsid w:val="00FE2F5D"/>
    <w:rsid w:val="00FE40F3"/>
    <w:rsid w:val="00FE48A3"/>
    <w:rsid w:val="00FE67E9"/>
    <w:rsid w:val="00FE6F83"/>
    <w:rsid w:val="00FE74F1"/>
    <w:rsid w:val="00FE76D5"/>
    <w:rsid w:val="00FF0B1A"/>
    <w:rsid w:val="00FF1CCE"/>
    <w:rsid w:val="00FF2A8E"/>
    <w:rsid w:val="00FF2F08"/>
    <w:rsid w:val="00FF500D"/>
    <w:rsid w:val="00FF6268"/>
    <w:rsid w:val="00FF7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3697"/>
    <o:shapelayout v:ext="edit">
      <o:idmap v:ext="edit" data="1"/>
    </o:shapelayout>
  </w:shapeDefaults>
  <w:decimalSymbol w:val="."/>
  <w:listSeparator w:val=","/>
  <w14:docId w14:val="5BC11B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2" w:unhideWhenUsed="1"/>
    <w:lsdException w:name="toc 2" w:semiHidden="1" w:uiPriority="2" w:unhideWhenUsed="1"/>
    <w:lsdException w:name="toc 3" w:semiHidden="1" w:uiPriority="2" w:unhideWhenUsed="1"/>
    <w:lsdException w:name="toc 4" w:semiHidden="1" w:uiPriority="2" w:unhideWhenUsed="1"/>
    <w:lsdException w:name="toc 5" w:semiHidden="1" w:uiPriority="2" w:unhideWhenUsed="1"/>
    <w:lsdException w:name="toc 6" w:semiHidden="1" w:uiPriority="2" w:unhideWhenUsed="1"/>
    <w:lsdException w:name="toc 7" w:semiHidden="1" w:uiPriority="2" w:unhideWhenUsed="1"/>
    <w:lsdException w:name="toc 8" w:semiHidden="1" w:uiPriority="2" w:unhideWhenUsed="1"/>
    <w:lsdException w:name="toc 9" w:semiHidden="1" w:uiPriority="2"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B6"/>
    <w:pPr>
      <w:spacing w:after="240" w:line="260" w:lineRule="exact"/>
      <w:jc w:val="both"/>
    </w:pPr>
    <w:rPr>
      <w:rFonts w:ascii="Book Antiqua" w:eastAsia="Times New Roman" w:hAnsi="Book Antiqua" w:cs="Times New Roman"/>
      <w:sz w:val="20"/>
      <w:szCs w:val="20"/>
      <w:lang w:eastAsia="en-AU"/>
    </w:rPr>
  </w:style>
  <w:style w:type="paragraph" w:styleId="Heading1">
    <w:name w:val="heading 1"/>
    <w:basedOn w:val="HeadingBase"/>
    <w:next w:val="Normal"/>
    <w:link w:val="Heading1Char"/>
    <w:qFormat/>
    <w:rsid w:val="00381AB6"/>
    <w:pPr>
      <w:spacing w:after="240"/>
      <w:jc w:val="center"/>
      <w:outlineLvl w:val="0"/>
    </w:pPr>
    <w:rPr>
      <w:rFonts w:ascii="Arial Bold" w:hAnsi="Arial Bold"/>
      <w:b/>
      <w:kern w:val="34"/>
      <w:sz w:val="36"/>
    </w:rPr>
  </w:style>
  <w:style w:type="paragraph" w:styleId="Heading2">
    <w:name w:val="heading 2"/>
    <w:basedOn w:val="HeadingBase"/>
    <w:next w:val="Normal"/>
    <w:link w:val="Heading2Char"/>
    <w:qFormat/>
    <w:rsid w:val="00381AB6"/>
    <w:pPr>
      <w:spacing w:before="240" w:after="240"/>
      <w:outlineLvl w:val="1"/>
    </w:pPr>
    <w:rPr>
      <w:rFonts w:ascii="Arial Bold" w:hAnsi="Arial Bold"/>
      <w:b/>
      <w:sz w:val="26"/>
    </w:rPr>
  </w:style>
  <w:style w:type="paragraph" w:styleId="Heading3">
    <w:name w:val="heading 3"/>
    <w:basedOn w:val="HeadingBase"/>
    <w:next w:val="Normal"/>
    <w:link w:val="Heading3Char"/>
    <w:qFormat/>
    <w:rsid w:val="00381AB6"/>
    <w:pPr>
      <w:spacing w:before="120" w:after="120"/>
      <w:outlineLvl w:val="2"/>
    </w:pPr>
    <w:rPr>
      <w:rFonts w:ascii="Arial Bold" w:hAnsi="Arial Bold"/>
      <w:b/>
      <w:sz w:val="22"/>
    </w:rPr>
  </w:style>
  <w:style w:type="paragraph" w:styleId="Heading4">
    <w:name w:val="heading 4"/>
    <w:basedOn w:val="HeadingBase"/>
    <w:next w:val="Normal"/>
    <w:link w:val="Heading4Char"/>
    <w:qFormat/>
    <w:rsid w:val="00381AB6"/>
    <w:pPr>
      <w:spacing w:after="120"/>
      <w:outlineLvl w:val="3"/>
    </w:pPr>
    <w:rPr>
      <w:rFonts w:ascii="Arial Bold" w:hAnsi="Arial Bold"/>
      <w:b/>
      <w:sz w:val="20"/>
    </w:rPr>
  </w:style>
  <w:style w:type="paragraph" w:styleId="Heading5">
    <w:name w:val="heading 5"/>
    <w:basedOn w:val="HeadingBase"/>
    <w:next w:val="Normal"/>
    <w:link w:val="Heading5Char"/>
    <w:qFormat/>
    <w:rsid w:val="00381AB6"/>
    <w:pPr>
      <w:spacing w:after="120"/>
      <w:outlineLvl w:val="4"/>
    </w:pPr>
    <w:rPr>
      <w:b/>
      <w:bCs/>
      <w:iCs/>
      <w:sz w:val="20"/>
      <w:szCs w:val="26"/>
    </w:rPr>
  </w:style>
  <w:style w:type="paragraph" w:styleId="Heading6">
    <w:name w:val="heading 6"/>
    <w:basedOn w:val="HeadingBase"/>
    <w:next w:val="Normal"/>
    <w:link w:val="Heading6Char"/>
    <w:rsid w:val="00381AB6"/>
    <w:pPr>
      <w:spacing w:after="120"/>
      <w:outlineLvl w:val="5"/>
    </w:pPr>
    <w:rPr>
      <w:bCs/>
      <w:sz w:val="20"/>
      <w:szCs w:val="22"/>
    </w:rPr>
  </w:style>
  <w:style w:type="paragraph" w:styleId="Heading7">
    <w:name w:val="heading 7"/>
    <w:basedOn w:val="HeadingBase"/>
    <w:next w:val="Normal"/>
    <w:link w:val="Heading7Char"/>
    <w:rsid w:val="00381AB6"/>
    <w:pPr>
      <w:spacing w:before="120"/>
      <w:outlineLvl w:val="6"/>
    </w:pPr>
    <w:rPr>
      <w:sz w:val="20"/>
      <w:szCs w:val="24"/>
    </w:rPr>
  </w:style>
  <w:style w:type="paragraph" w:styleId="Heading8">
    <w:name w:val="heading 8"/>
    <w:basedOn w:val="HeadingBase"/>
    <w:next w:val="Normal"/>
    <w:link w:val="Heading8Char"/>
    <w:rsid w:val="00381AB6"/>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HeaderBase"/>
    <w:link w:val="HeaderChar"/>
    <w:rsid w:val="00381AB6"/>
    <w:pPr>
      <w:tabs>
        <w:tab w:val="center" w:pos="4153"/>
        <w:tab w:val="right" w:pos="8306"/>
      </w:tabs>
    </w:pPr>
  </w:style>
  <w:style w:type="character" w:customStyle="1" w:styleId="HeaderChar">
    <w:name w:val="Header Char"/>
    <w:basedOn w:val="DefaultParagraphFont"/>
    <w:link w:val="Header"/>
    <w:rsid w:val="00381AB6"/>
    <w:rPr>
      <w:rFonts w:ascii="Book Antiqua" w:eastAsia="Times New Roman" w:hAnsi="Book Antiqua" w:cs="Times New Roman"/>
      <w:i/>
      <w:sz w:val="20"/>
      <w:szCs w:val="20"/>
      <w:lang w:eastAsia="en-AU"/>
    </w:rPr>
  </w:style>
  <w:style w:type="paragraph" w:styleId="Footer">
    <w:name w:val="footer"/>
    <w:basedOn w:val="FooterBase"/>
    <w:link w:val="FooterChar"/>
    <w:rsid w:val="00381AB6"/>
    <w:pPr>
      <w:tabs>
        <w:tab w:val="center" w:pos="4153"/>
        <w:tab w:val="right" w:pos="8306"/>
      </w:tabs>
    </w:pPr>
  </w:style>
  <w:style w:type="character" w:customStyle="1" w:styleId="FooterChar">
    <w:name w:val="Footer Char"/>
    <w:basedOn w:val="DefaultParagraphFont"/>
    <w:link w:val="Footer"/>
    <w:rsid w:val="00381AB6"/>
    <w:rPr>
      <w:rFonts w:ascii="Arial" w:eastAsia="Times New Roman" w:hAnsi="Arial" w:cs="Times New Roman"/>
      <w:sz w:val="20"/>
      <w:szCs w:val="20"/>
      <w:lang w:eastAsia="en-AU"/>
    </w:rPr>
  </w:style>
  <w:style w:type="paragraph" w:customStyle="1" w:styleId="SecurityClassificationHeader">
    <w:name w:val="Security Classification Header"/>
    <w:link w:val="SecurityClassificationHeaderChar"/>
    <w:rsid w:val="00381AB6"/>
    <w:pPr>
      <w:spacing w:before="240" w:after="60"/>
      <w:jc w:val="center"/>
    </w:pPr>
    <w:rPr>
      <w:rFonts w:ascii="Calibri" w:eastAsia="Times New Roman" w:hAnsi="Calibri" w:cs="Calibri"/>
      <w:b/>
      <w:caps/>
      <w:sz w:val="24"/>
      <w:szCs w:val="20"/>
      <w:lang w:eastAsia="en-AU"/>
    </w:rPr>
  </w:style>
  <w:style w:type="character" w:customStyle="1" w:styleId="SecurityClassificationHeaderChar">
    <w:name w:val="Security Classification Header Char"/>
    <w:basedOn w:val="HeaderChar"/>
    <w:link w:val="SecurityClassificationHeader"/>
    <w:rsid w:val="00381AB6"/>
    <w:rPr>
      <w:rFonts w:ascii="Calibri" w:eastAsia="Times New Roman" w:hAnsi="Calibri" w:cs="Calibri"/>
      <w:b/>
      <w:i w:val="0"/>
      <w:caps/>
      <w:sz w:val="24"/>
      <w:szCs w:val="20"/>
      <w:lang w:eastAsia="en-AU"/>
    </w:rPr>
  </w:style>
  <w:style w:type="paragraph" w:customStyle="1" w:styleId="SecurityClassificationFooter">
    <w:name w:val="Security Classification Footer"/>
    <w:link w:val="SecurityClassificationFooterChar"/>
    <w:rsid w:val="00381AB6"/>
    <w:pPr>
      <w:spacing w:before="60" w:after="240"/>
      <w:jc w:val="center"/>
    </w:pPr>
    <w:rPr>
      <w:rFonts w:ascii="Calibri" w:eastAsia="Times New Roman" w:hAnsi="Calibri" w:cs="Calibri"/>
      <w:b/>
      <w:caps/>
      <w:sz w:val="24"/>
      <w:szCs w:val="20"/>
      <w:lang w:eastAsia="en-AU"/>
    </w:rPr>
  </w:style>
  <w:style w:type="character" w:customStyle="1" w:styleId="SecurityClassificationFooterChar">
    <w:name w:val="Security Classification Footer Char"/>
    <w:basedOn w:val="HeaderChar"/>
    <w:link w:val="SecurityClassificationFooter"/>
    <w:rsid w:val="00381AB6"/>
    <w:rPr>
      <w:rFonts w:ascii="Calibri" w:eastAsia="Times New Roman" w:hAnsi="Calibri" w:cs="Calibri"/>
      <w:b/>
      <w:i w:val="0"/>
      <w:caps/>
      <w:sz w:val="24"/>
      <w:szCs w:val="20"/>
      <w:lang w:eastAsia="en-AU"/>
    </w:rPr>
  </w:style>
  <w:style w:type="paragraph" w:customStyle="1" w:styleId="DLMSecurityHeader">
    <w:name w:val="DLM Security Header"/>
    <w:link w:val="DLMSecurityHeaderChar"/>
    <w:rsid w:val="00381AB6"/>
    <w:pPr>
      <w:spacing w:before="60" w:after="240"/>
      <w:jc w:val="center"/>
    </w:pPr>
    <w:rPr>
      <w:rFonts w:ascii="Calibri" w:eastAsia="Times New Roman" w:hAnsi="Calibri" w:cs="Calibri"/>
      <w:b/>
      <w:caps/>
      <w:sz w:val="24"/>
      <w:szCs w:val="20"/>
      <w:lang w:eastAsia="en-AU"/>
    </w:rPr>
  </w:style>
  <w:style w:type="character" w:customStyle="1" w:styleId="DLMSecurityHeaderChar">
    <w:name w:val="DLM Security Header Char"/>
    <w:basedOn w:val="HeaderChar"/>
    <w:link w:val="DLMSecurityHeader"/>
    <w:rsid w:val="00381AB6"/>
    <w:rPr>
      <w:rFonts w:ascii="Calibri" w:eastAsia="Times New Roman" w:hAnsi="Calibri" w:cs="Calibri"/>
      <w:b/>
      <w:i w:val="0"/>
      <w:caps/>
      <w:sz w:val="24"/>
      <w:szCs w:val="20"/>
      <w:lang w:eastAsia="en-AU"/>
    </w:rPr>
  </w:style>
  <w:style w:type="paragraph" w:customStyle="1" w:styleId="DLMSecurityFooter">
    <w:name w:val="DLM Security Footer"/>
    <w:link w:val="DLMSecurityFooterChar"/>
    <w:rsid w:val="00381AB6"/>
    <w:pPr>
      <w:spacing w:before="240" w:after="60"/>
      <w:jc w:val="center"/>
    </w:pPr>
    <w:rPr>
      <w:rFonts w:ascii="Calibri" w:eastAsia="Times New Roman" w:hAnsi="Calibri" w:cs="Calibri"/>
      <w:b/>
      <w:caps/>
      <w:sz w:val="24"/>
      <w:szCs w:val="20"/>
      <w:lang w:eastAsia="en-AU"/>
    </w:rPr>
  </w:style>
  <w:style w:type="character" w:customStyle="1" w:styleId="DLMSecurityFooterChar">
    <w:name w:val="DLM Security Footer Char"/>
    <w:basedOn w:val="HeaderChar"/>
    <w:link w:val="DLMSecurityFooter"/>
    <w:rsid w:val="00381AB6"/>
    <w:rPr>
      <w:rFonts w:ascii="Calibri" w:eastAsia="Times New Roman" w:hAnsi="Calibri" w:cs="Calibri"/>
      <w:b/>
      <w:i w:val="0"/>
      <w:caps/>
      <w:sz w:val="24"/>
      <w:szCs w:val="20"/>
      <w:lang w:eastAsia="en-AU"/>
    </w:rPr>
  </w:style>
  <w:style w:type="paragraph" w:customStyle="1" w:styleId="Classification">
    <w:name w:val="Classification"/>
    <w:basedOn w:val="HeadingBase"/>
    <w:rsid w:val="00381AB6"/>
    <w:pPr>
      <w:jc w:val="center"/>
    </w:pPr>
    <w:rPr>
      <w:b/>
      <w:smallCaps/>
    </w:rPr>
  </w:style>
  <w:style w:type="paragraph" w:customStyle="1" w:styleId="FileProperties">
    <w:name w:val="File Properties"/>
    <w:basedOn w:val="Normal"/>
    <w:rsid w:val="00381AB6"/>
    <w:rPr>
      <w:i/>
    </w:rPr>
  </w:style>
  <w:style w:type="paragraph" w:customStyle="1" w:styleId="AlphaParagraph">
    <w:name w:val="Alpha Paragraph"/>
    <w:basedOn w:val="Normal"/>
    <w:rsid w:val="00381AB6"/>
    <w:pPr>
      <w:numPr>
        <w:numId w:val="1"/>
      </w:numPr>
      <w:tabs>
        <w:tab w:val="num" w:pos="360"/>
      </w:tabs>
      <w:ind w:left="0" w:firstLine="0"/>
    </w:pPr>
  </w:style>
  <w:style w:type="paragraph" w:customStyle="1" w:styleId="HeadingBase">
    <w:name w:val="Heading Base"/>
    <w:rsid w:val="00381AB6"/>
    <w:pPr>
      <w:keepNext/>
      <w:spacing w:after="0" w:line="240" w:lineRule="auto"/>
    </w:pPr>
    <w:rPr>
      <w:rFonts w:ascii="Arial" w:eastAsia="Times New Roman" w:hAnsi="Arial" w:cs="Times New Roman"/>
      <w:sz w:val="24"/>
      <w:szCs w:val="20"/>
      <w:lang w:eastAsia="en-AU"/>
    </w:rPr>
  </w:style>
  <w:style w:type="paragraph" w:customStyle="1" w:styleId="AppendixHeading">
    <w:name w:val="Appendix Heading"/>
    <w:basedOn w:val="HeadingBase"/>
    <w:rsid w:val="00381AB6"/>
    <w:pPr>
      <w:spacing w:after="240"/>
      <w:jc w:val="center"/>
      <w:outlineLvl w:val="3"/>
    </w:pPr>
    <w:rPr>
      <w:rFonts w:ascii="Arial Bold" w:hAnsi="Arial Bold"/>
      <w:b/>
      <w:sz w:val="30"/>
    </w:rPr>
  </w:style>
  <w:style w:type="paragraph" w:styleId="BalloonText">
    <w:name w:val="Balloon Text"/>
    <w:basedOn w:val="Normal"/>
    <w:link w:val="BalloonTextChar"/>
    <w:rsid w:val="00381AB6"/>
    <w:rPr>
      <w:rFonts w:ascii="Tahoma" w:hAnsi="Tahoma" w:cs="Tahoma"/>
      <w:sz w:val="16"/>
      <w:szCs w:val="16"/>
    </w:rPr>
  </w:style>
  <w:style w:type="character" w:customStyle="1" w:styleId="BalloonTextChar">
    <w:name w:val="Balloon Text Char"/>
    <w:basedOn w:val="DefaultParagraphFont"/>
    <w:link w:val="BalloonText"/>
    <w:rsid w:val="00381AB6"/>
    <w:rPr>
      <w:rFonts w:ascii="Tahoma" w:eastAsia="Times New Roman" w:hAnsi="Tahoma" w:cs="Tahoma"/>
      <w:sz w:val="16"/>
      <w:szCs w:val="16"/>
      <w:lang w:eastAsia="en-AU"/>
    </w:rPr>
  </w:style>
  <w:style w:type="paragraph" w:customStyle="1" w:styleId="BlockedQuotation">
    <w:name w:val="Blocked Quotation"/>
    <w:basedOn w:val="Normal"/>
    <w:rsid w:val="00381AB6"/>
    <w:pPr>
      <w:ind w:left="567"/>
    </w:pPr>
  </w:style>
  <w:style w:type="paragraph" w:customStyle="1" w:styleId="BoxText">
    <w:name w:val="Box Text"/>
    <w:basedOn w:val="Normal"/>
    <w:qFormat/>
    <w:rsid w:val="00381AB6"/>
    <w:pPr>
      <w:spacing w:before="120" w:after="120" w:line="240" w:lineRule="auto"/>
    </w:pPr>
  </w:style>
  <w:style w:type="paragraph" w:customStyle="1" w:styleId="BoxBullet">
    <w:name w:val="Box Bullet"/>
    <w:basedOn w:val="BoxText"/>
    <w:rsid w:val="00381AB6"/>
    <w:pPr>
      <w:numPr>
        <w:numId w:val="2"/>
      </w:numPr>
    </w:pPr>
  </w:style>
  <w:style w:type="paragraph" w:customStyle="1" w:styleId="BoxHeading">
    <w:name w:val="Box Heading"/>
    <w:basedOn w:val="HeadingBase"/>
    <w:next w:val="BoxText"/>
    <w:rsid w:val="00381AB6"/>
    <w:pPr>
      <w:spacing w:before="120" w:after="120"/>
    </w:pPr>
    <w:rPr>
      <w:b/>
      <w:sz w:val="20"/>
    </w:rPr>
  </w:style>
  <w:style w:type="character" w:customStyle="1" w:styleId="Heading6Char">
    <w:name w:val="Heading 6 Char"/>
    <w:basedOn w:val="DefaultParagraphFont"/>
    <w:link w:val="Heading6"/>
    <w:rsid w:val="00381AB6"/>
    <w:rPr>
      <w:rFonts w:ascii="Arial" w:eastAsia="Times New Roman" w:hAnsi="Arial" w:cs="Times New Roman"/>
      <w:bCs/>
      <w:sz w:val="20"/>
      <w:lang w:eastAsia="en-AU"/>
    </w:rPr>
  </w:style>
  <w:style w:type="paragraph" w:customStyle="1" w:styleId="BoxSubHeading">
    <w:name w:val="Box Sub Heading"/>
    <w:basedOn w:val="Heading6"/>
    <w:rsid w:val="00381AB6"/>
    <w:pPr>
      <w:spacing w:before="120" w:after="40"/>
    </w:pPr>
  </w:style>
  <w:style w:type="paragraph" w:customStyle="1" w:styleId="Bullet">
    <w:name w:val="Bullet"/>
    <w:aliases w:val="b,b1,b + line,level 1,Body,Bullet + line"/>
    <w:basedOn w:val="Normal"/>
    <w:link w:val="BulletChar"/>
    <w:qFormat/>
    <w:rsid w:val="00381AB6"/>
    <w:pPr>
      <w:numPr>
        <w:numId w:val="3"/>
      </w:numPr>
    </w:pPr>
  </w:style>
  <w:style w:type="paragraph" w:styleId="Caption">
    <w:name w:val="caption"/>
    <w:basedOn w:val="Normal"/>
    <w:next w:val="Normal"/>
    <w:rsid w:val="00381AB6"/>
    <w:rPr>
      <w:b/>
      <w:bCs/>
    </w:rPr>
  </w:style>
  <w:style w:type="paragraph" w:customStyle="1" w:styleId="ChartandTableFootnote">
    <w:name w:val="Chart and Table Footnote"/>
    <w:basedOn w:val="HeadingBase"/>
    <w:next w:val="Normal"/>
    <w:rsid w:val="00381AB6"/>
    <w:pPr>
      <w:keepNext w:val="0"/>
      <w:tabs>
        <w:tab w:val="left" w:pos="284"/>
      </w:tabs>
      <w:jc w:val="both"/>
    </w:pPr>
    <w:rPr>
      <w:color w:val="000000"/>
      <w:sz w:val="16"/>
    </w:rPr>
  </w:style>
  <w:style w:type="paragraph" w:customStyle="1" w:styleId="ChartandTableFootnoteAlpha">
    <w:name w:val="Chart and Table Footnote Alpha"/>
    <w:basedOn w:val="HeadingBase"/>
    <w:next w:val="Normal"/>
    <w:rsid w:val="00381AB6"/>
    <w:pPr>
      <w:keepNext w:val="0"/>
      <w:numPr>
        <w:numId w:val="4"/>
      </w:numPr>
      <w:jc w:val="both"/>
    </w:pPr>
    <w:rPr>
      <w:color w:val="000000"/>
      <w:sz w:val="16"/>
    </w:rPr>
  </w:style>
  <w:style w:type="paragraph" w:customStyle="1" w:styleId="ChartandTableFootnoteSmall">
    <w:name w:val="Chart and Table Footnote Small"/>
    <w:basedOn w:val="HeadingBase"/>
    <w:next w:val="Normal"/>
    <w:rsid w:val="00381AB6"/>
    <w:pPr>
      <w:keepNext w:val="0"/>
      <w:tabs>
        <w:tab w:val="left" w:pos="284"/>
      </w:tabs>
      <w:jc w:val="both"/>
    </w:pPr>
    <w:rPr>
      <w:color w:val="000000"/>
      <w:sz w:val="15"/>
    </w:rPr>
  </w:style>
  <w:style w:type="paragraph" w:customStyle="1" w:styleId="ChartGraphic">
    <w:name w:val="Chart Graphic"/>
    <w:basedOn w:val="HeadingBase"/>
    <w:rsid w:val="00381AB6"/>
    <w:pPr>
      <w:jc w:val="center"/>
    </w:pPr>
    <w:rPr>
      <w:sz w:val="20"/>
    </w:rPr>
  </w:style>
  <w:style w:type="paragraph" w:customStyle="1" w:styleId="ChartHeading">
    <w:name w:val="Chart Heading"/>
    <w:basedOn w:val="HeadingBase"/>
    <w:next w:val="ChartGraphic"/>
    <w:qFormat/>
    <w:rsid w:val="00381AB6"/>
    <w:pPr>
      <w:spacing w:before="120" w:after="20"/>
      <w:jc w:val="center"/>
    </w:pPr>
    <w:rPr>
      <w:b/>
      <w:sz w:val="20"/>
    </w:rPr>
  </w:style>
  <w:style w:type="paragraph" w:customStyle="1" w:styleId="ChartMainHeading">
    <w:name w:val="Chart Main Heading"/>
    <w:basedOn w:val="Normal"/>
    <w:next w:val="ChartGraphic"/>
    <w:rsid w:val="00381AB6"/>
    <w:pPr>
      <w:keepNext/>
      <w:spacing w:before="120" w:after="20" w:line="240" w:lineRule="auto"/>
      <w:jc w:val="center"/>
    </w:pPr>
    <w:rPr>
      <w:rFonts w:ascii="Arial Bold" w:hAnsi="Arial Bold"/>
      <w:b/>
    </w:rPr>
  </w:style>
  <w:style w:type="paragraph" w:customStyle="1" w:styleId="ChartSecondHeading">
    <w:name w:val="Chart Second Heading"/>
    <w:basedOn w:val="HeadingBase"/>
    <w:next w:val="ChartGraphic"/>
    <w:rsid w:val="00381AB6"/>
    <w:pPr>
      <w:spacing w:before="60"/>
      <w:jc w:val="center"/>
    </w:pPr>
    <w:rPr>
      <w:sz w:val="20"/>
    </w:rPr>
  </w:style>
  <w:style w:type="character" w:styleId="CommentReference">
    <w:name w:val="annotation reference"/>
    <w:basedOn w:val="DefaultParagraphFont"/>
    <w:uiPriority w:val="99"/>
    <w:semiHidden/>
    <w:rsid w:val="00381AB6"/>
    <w:rPr>
      <w:sz w:val="16"/>
      <w:szCs w:val="16"/>
    </w:rPr>
  </w:style>
  <w:style w:type="paragraph" w:styleId="CommentText">
    <w:name w:val="annotation text"/>
    <w:basedOn w:val="Normal"/>
    <w:link w:val="CommentTextChar"/>
    <w:uiPriority w:val="99"/>
    <w:semiHidden/>
    <w:rsid w:val="00381AB6"/>
  </w:style>
  <w:style w:type="character" w:customStyle="1" w:styleId="CommentTextChar">
    <w:name w:val="Comment Text Char"/>
    <w:basedOn w:val="DefaultParagraphFont"/>
    <w:link w:val="CommentText"/>
    <w:uiPriority w:val="99"/>
    <w:semiHidden/>
    <w:rsid w:val="00381AB6"/>
    <w:rPr>
      <w:rFonts w:ascii="Book Antiqua" w:eastAsia="Times New Roman" w:hAnsi="Book Antiqua" w:cs="Times New Roman"/>
      <w:sz w:val="20"/>
      <w:szCs w:val="20"/>
      <w:lang w:eastAsia="en-AU"/>
    </w:rPr>
  </w:style>
  <w:style w:type="paragraph" w:styleId="CommentSubject">
    <w:name w:val="annotation subject"/>
    <w:basedOn w:val="CommentText"/>
    <w:next w:val="CommentText"/>
    <w:link w:val="CommentSubjectChar"/>
    <w:semiHidden/>
    <w:rsid w:val="00381AB6"/>
    <w:rPr>
      <w:b/>
      <w:bCs/>
    </w:rPr>
  </w:style>
  <w:style w:type="character" w:customStyle="1" w:styleId="CommentSubjectChar">
    <w:name w:val="Comment Subject Char"/>
    <w:basedOn w:val="CommentTextChar"/>
    <w:link w:val="CommentSubject"/>
    <w:semiHidden/>
    <w:rsid w:val="00381AB6"/>
    <w:rPr>
      <w:rFonts w:ascii="Book Antiqua" w:eastAsia="Times New Roman" w:hAnsi="Book Antiqua" w:cs="Times New Roman"/>
      <w:b/>
      <w:bCs/>
      <w:sz w:val="20"/>
      <w:szCs w:val="20"/>
      <w:lang w:eastAsia="en-AU"/>
    </w:rPr>
  </w:style>
  <w:style w:type="paragraph" w:customStyle="1" w:styleId="ContentsHeading">
    <w:name w:val="Contents Heading"/>
    <w:basedOn w:val="HeadingBase"/>
    <w:next w:val="Normal"/>
    <w:rsid w:val="00381AB6"/>
    <w:pPr>
      <w:spacing w:after="720"/>
      <w:jc w:val="center"/>
    </w:pPr>
    <w:rPr>
      <w:rFonts w:ascii="Arial Bold" w:hAnsi="Arial Bold"/>
      <w:b/>
      <w:sz w:val="36"/>
    </w:rPr>
  </w:style>
  <w:style w:type="paragraph" w:customStyle="1" w:styleId="ContentsnoToC">
    <w:name w:val="Contents no ToC"/>
    <w:basedOn w:val="ContentsHeading"/>
    <w:rsid w:val="00381AB6"/>
  </w:style>
  <w:style w:type="paragraph" w:customStyle="1" w:styleId="Dash">
    <w:name w:val="Dash"/>
    <w:basedOn w:val="Normal"/>
    <w:link w:val="DashChar"/>
    <w:qFormat/>
    <w:rsid w:val="00381AB6"/>
    <w:pPr>
      <w:numPr>
        <w:ilvl w:val="1"/>
        <w:numId w:val="3"/>
      </w:numPr>
      <w:tabs>
        <w:tab w:val="left" w:pos="567"/>
      </w:tabs>
    </w:pPr>
  </w:style>
  <w:style w:type="paragraph" w:styleId="DocumentMap">
    <w:name w:val="Document Map"/>
    <w:basedOn w:val="Normal"/>
    <w:link w:val="DocumentMapChar"/>
    <w:semiHidden/>
    <w:rsid w:val="00381AB6"/>
    <w:pPr>
      <w:shd w:val="clear" w:color="auto" w:fill="000080"/>
    </w:pPr>
    <w:rPr>
      <w:rFonts w:ascii="Tahoma" w:hAnsi="Tahoma" w:cs="Tahoma"/>
    </w:rPr>
  </w:style>
  <w:style w:type="character" w:customStyle="1" w:styleId="DocumentMapChar">
    <w:name w:val="Document Map Char"/>
    <w:basedOn w:val="DefaultParagraphFont"/>
    <w:link w:val="DocumentMap"/>
    <w:semiHidden/>
    <w:rsid w:val="00381AB6"/>
    <w:rPr>
      <w:rFonts w:ascii="Tahoma" w:eastAsia="Times New Roman" w:hAnsi="Tahoma" w:cs="Tahoma"/>
      <w:sz w:val="20"/>
      <w:szCs w:val="20"/>
      <w:shd w:val="clear" w:color="auto" w:fill="000080"/>
      <w:lang w:eastAsia="en-AU"/>
    </w:rPr>
  </w:style>
  <w:style w:type="paragraph" w:customStyle="1" w:styleId="DoubleDot">
    <w:name w:val="Double Dot"/>
    <w:basedOn w:val="Normal"/>
    <w:qFormat/>
    <w:rsid w:val="00381AB6"/>
    <w:pPr>
      <w:numPr>
        <w:ilvl w:val="2"/>
        <w:numId w:val="3"/>
      </w:numPr>
      <w:tabs>
        <w:tab w:val="clear" w:pos="850"/>
        <w:tab w:val="num" w:pos="360"/>
        <w:tab w:val="left" w:pos="851"/>
      </w:tabs>
    </w:pPr>
  </w:style>
  <w:style w:type="character" w:styleId="EndnoteReference">
    <w:name w:val="endnote reference"/>
    <w:basedOn w:val="DefaultParagraphFont"/>
    <w:unhideWhenUsed/>
    <w:rsid w:val="00381AB6"/>
    <w:rPr>
      <w:vertAlign w:val="superscript"/>
    </w:rPr>
  </w:style>
  <w:style w:type="paragraph" w:styleId="EndnoteText">
    <w:name w:val="endnote text"/>
    <w:basedOn w:val="Normal"/>
    <w:link w:val="EndnoteTextChar"/>
    <w:unhideWhenUsed/>
    <w:rsid w:val="00381AB6"/>
  </w:style>
  <w:style w:type="character" w:customStyle="1" w:styleId="EndnoteTextChar">
    <w:name w:val="Endnote Text Char"/>
    <w:basedOn w:val="DefaultParagraphFont"/>
    <w:link w:val="EndnoteText"/>
    <w:rsid w:val="00381AB6"/>
    <w:rPr>
      <w:rFonts w:ascii="Book Antiqua" w:eastAsia="Times New Roman" w:hAnsi="Book Antiqua" w:cs="Times New Roman"/>
      <w:sz w:val="20"/>
      <w:szCs w:val="20"/>
      <w:lang w:eastAsia="en-AU"/>
    </w:rPr>
  </w:style>
  <w:style w:type="paragraph" w:customStyle="1" w:styleId="FigureHeading">
    <w:name w:val="Figure Heading"/>
    <w:basedOn w:val="HeadingBase"/>
    <w:next w:val="ChartGraphic"/>
    <w:rsid w:val="00381AB6"/>
    <w:pPr>
      <w:spacing w:before="120" w:after="20"/>
    </w:pPr>
    <w:rPr>
      <w:b/>
      <w:sz w:val="20"/>
    </w:rPr>
  </w:style>
  <w:style w:type="paragraph" w:customStyle="1" w:styleId="FooterBase">
    <w:name w:val="Footer Base"/>
    <w:rsid w:val="00381AB6"/>
    <w:pPr>
      <w:spacing w:after="0" w:line="240" w:lineRule="auto"/>
      <w:jc w:val="center"/>
    </w:pPr>
    <w:rPr>
      <w:rFonts w:ascii="Arial" w:eastAsia="Times New Roman" w:hAnsi="Arial" w:cs="Times New Roman"/>
      <w:sz w:val="20"/>
      <w:szCs w:val="20"/>
      <w:lang w:eastAsia="en-AU"/>
    </w:rPr>
  </w:style>
  <w:style w:type="paragraph" w:customStyle="1" w:styleId="FooterEven">
    <w:name w:val="Footer Even"/>
    <w:basedOn w:val="Footer"/>
    <w:rsid w:val="00381AB6"/>
    <w:pPr>
      <w:jc w:val="left"/>
    </w:pPr>
    <w:rPr>
      <w:sz w:val="18"/>
    </w:rPr>
  </w:style>
  <w:style w:type="paragraph" w:customStyle="1" w:styleId="FooterOdd">
    <w:name w:val="Footer Odd"/>
    <w:basedOn w:val="Footer"/>
    <w:rsid w:val="00381AB6"/>
    <w:pPr>
      <w:jc w:val="right"/>
    </w:pPr>
    <w:rPr>
      <w:sz w:val="18"/>
    </w:rPr>
  </w:style>
  <w:style w:type="character" w:styleId="FootnoteReference">
    <w:name w:val="footnote reference"/>
    <w:basedOn w:val="DefaultParagraphFont"/>
    <w:rsid w:val="00381AB6"/>
    <w:rPr>
      <w:vertAlign w:val="superscript"/>
    </w:rPr>
  </w:style>
  <w:style w:type="paragraph" w:styleId="FootnoteText">
    <w:name w:val="footnote text"/>
    <w:basedOn w:val="Normal"/>
    <w:link w:val="FootnoteTextChar"/>
    <w:rsid w:val="00381AB6"/>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rsid w:val="00381AB6"/>
    <w:rPr>
      <w:rFonts w:ascii="Book Antiqua" w:eastAsia="Times New Roman" w:hAnsi="Book Antiqua" w:cs="Times New Roman"/>
      <w:sz w:val="18"/>
      <w:szCs w:val="20"/>
      <w:lang w:eastAsia="en-AU"/>
    </w:rPr>
  </w:style>
  <w:style w:type="character" w:customStyle="1" w:styleId="FramedHeader">
    <w:name w:val="Framed Header"/>
    <w:basedOn w:val="DefaultParagraphFont"/>
    <w:rsid w:val="00381AB6"/>
    <w:rPr>
      <w:rFonts w:ascii="Book Antiqua" w:hAnsi="Book Antiqua"/>
      <w:i/>
      <w:dstrike w:val="0"/>
      <w:color w:val="auto"/>
      <w:sz w:val="20"/>
      <w:vertAlign w:val="baseline"/>
    </w:rPr>
  </w:style>
  <w:style w:type="paragraph" w:customStyle="1" w:styleId="HeaderBase">
    <w:name w:val="Header Base"/>
    <w:rsid w:val="00381AB6"/>
    <w:pPr>
      <w:spacing w:after="0" w:line="240" w:lineRule="auto"/>
    </w:pPr>
    <w:rPr>
      <w:rFonts w:ascii="Book Antiqua" w:eastAsia="Times New Roman" w:hAnsi="Book Antiqua" w:cs="Times New Roman"/>
      <w:i/>
      <w:sz w:val="20"/>
      <w:szCs w:val="20"/>
      <w:lang w:eastAsia="en-AU"/>
    </w:rPr>
  </w:style>
  <w:style w:type="paragraph" w:customStyle="1" w:styleId="HeaderEven">
    <w:name w:val="Header Even"/>
    <w:basedOn w:val="HeaderBase"/>
    <w:rsid w:val="00381AB6"/>
  </w:style>
  <w:style w:type="paragraph" w:customStyle="1" w:styleId="HeaderOdd">
    <w:name w:val="Header Odd"/>
    <w:basedOn w:val="HeaderBase"/>
    <w:rsid w:val="00381AB6"/>
    <w:pPr>
      <w:jc w:val="right"/>
    </w:pPr>
  </w:style>
  <w:style w:type="character" w:customStyle="1" w:styleId="Heading1Char">
    <w:name w:val="Heading 1 Char"/>
    <w:basedOn w:val="DefaultParagraphFont"/>
    <w:link w:val="Heading1"/>
    <w:rsid w:val="00381AB6"/>
    <w:rPr>
      <w:rFonts w:ascii="Arial Bold" w:eastAsia="Times New Roman" w:hAnsi="Arial Bold" w:cs="Times New Roman"/>
      <w:b/>
      <w:kern w:val="34"/>
      <w:sz w:val="36"/>
      <w:szCs w:val="20"/>
      <w:lang w:eastAsia="en-AU"/>
    </w:rPr>
  </w:style>
  <w:style w:type="character" w:customStyle="1" w:styleId="Heading2Char">
    <w:name w:val="Heading 2 Char"/>
    <w:basedOn w:val="DefaultParagraphFont"/>
    <w:link w:val="Heading2"/>
    <w:rsid w:val="00381AB6"/>
    <w:rPr>
      <w:rFonts w:ascii="Arial Bold" w:eastAsia="Times New Roman" w:hAnsi="Arial Bold" w:cs="Times New Roman"/>
      <w:b/>
      <w:sz w:val="26"/>
      <w:szCs w:val="20"/>
      <w:lang w:eastAsia="en-AU"/>
    </w:rPr>
  </w:style>
  <w:style w:type="character" w:customStyle="1" w:styleId="Heading3Char">
    <w:name w:val="Heading 3 Char"/>
    <w:basedOn w:val="DefaultParagraphFont"/>
    <w:link w:val="Heading3"/>
    <w:rsid w:val="00381AB6"/>
    <w:rPr>
      <w:rFonts w:ascii="Arial Bold" w:eastAsia="Times New Roman" w:hAnsi="Arial Bold" w:cs="Times New Roman"/>
      <w:b/>
      <w:szCs w:val="20"/>
      <w:lang w:eastAsia="en-AU"/>
    </w:rPr>
  </w:style>
  <w:style w:type="paragraph" w:customStyle="1" w:styleId="Heading3noTOC">
    <w:name w:val="Heading 3 no TOC"/>
    <w:basedOn w:val="Heading3"/>
    <w:rsid w:val="00381AB6"/>
    <w:pPr>
      <w:outlineLvl w:val="9"/>
    </w:pPr>
  </w:style>
  <w:style w:type="character" w:customStyle="1" w:styleId="Heading4Char">
    <w:name w:val="Heading 4 Char"/>
    <w:basedOn w:val="DefaultParagraphFont"/>
    <w:link w:val="Heading4"/>
    <w:rsid w:val="00381AB6"/>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381AB6"/>
    <w:rPr>
      <w:rFonts w:ascii="Arial" w:eastAsia="Times New Roman" w:hAnsi="Arial" w:cs="Times New Roman"/>
      <w:b/>
      <w:bCs/>
      <w:iCs/>
      <w:sz w:val="20"/>
      <w:szCs w:val="26"/>
      <w:lang w:eastAsia="en-AU"/>
    </w:rPr>
  </w:style>
  <w:style w:type="character" w:customStyle="1" w:styleId="Heading7Char">
    <w:name w:val="Heading 7 Char"/>
    <w:basedOn w:val="DefaultParagraphFont"/>
    <w:link w:val="Heading7"/>
    <w:rsid w:val="00381AB6"/>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381AB6"/>
    <w:rPr>
      <w:rFonts w:ascii="Times New Roman" w:eastAsia="Times New Roman" w:hAnsi="Times New Roman" w:cs="Times New Roman"/>
      <w:i/>
      <w:iCs/>
      <w:sz w:val="16"/>
      <w:szCs w:val="24"/>
      <w:lang w:eastAsia="en-AU"/>
    </w:rPr>
  </w:style>
  <w:style w:type="character" w:customStyle="1" w:styleId="HiddenSequenceCode">
    <w:name w:val="Hidden Sequence Code"/>
    <w:basedOn w:val="DefaultParagraphFont"/>
    <w:rsid w:val="00381AB6"/>
    <w:rPr>
      <w:rFonts w:ascii="Times New Roman" w:hAnsi="Times New Roman"/>
      <w:vanish/>
      <w:sz w:val="16"/>
    </w:rPr>
  </w:style>
  <w:style w:type="character" w:styleId="Hyperlink">
    <w:name w:val="Hyperlink"/>
    <w:basedOn w:val="DefaultParagraphFont"/>
    <w:uiPriority w:val="99"/>
    <w:unhideWhenUsed/>
    <w:rsid w:val="00381AB6"/>
    <w:rPr>
      <w:color w:val="0000FF"/>
      <w:u w:val="single"/>
    </w:rPr>
  </w:style>
  <w:style w:type="paragraph" w:styleId="Index1">
    <w:name w:val="index 1"/>
    <w:basedOn w:val="Normal"/>
    <w:next w:val="Normal"/>
    <w:rsid w:val="00381AB6"/>
    <w:pPr>
      <w:ind w:left="200" w:hanging="200"/>
    </w:pPr>
  </w:style>
  <w:style w:type="paragraph" w:styleId="Index2">
    <w:name w:val="index 2"/>
    <w:basedOn w:val="Normal"/>
    <w:next w:val="Normal"/>
    <w:rsid w:val="00381AB6"/>
    <w:pPr>
      <w:ind w:left="400" w:hanging="200"/>
    </w:pPr>
  </w:style>
  <w:style w:type="paragraph" w:styleId="Index3">
    <w:name w:val="index 3"/>
    <w:basedOn w:val="Normal"/>
    <w:next w:val="Normal"/>
    <w:rsid w:val="00381AB6"/>
    <w:pPr>
      <w:ind w:left="600" w:hanging="200"/>
    </w:pPr>
  </w:style>
  <w:style w:type="paragraph" w:styleId="Index4">
    <w:name w:val="index 4"/>
    <w:basedOn w:val="Normal"/>
    <w:next w:val="Normal"/>
    <w:autoRedefine/>
    <w:semiHidden/>
    <w:rsid w:val="00381AB6"/>
    <w:pPr>
      <w:ind w:left="800" w:hanging="200"/>
    </w:pPr>
  </w:style>
  <w:style w:type="paragraph" w:styleId="Index5">
    <w:name w:val="index 5"/>
    <w:basedOn w:val="Normal"/>
    <w:next w:val="Normal"/>
    <w:autoRedefine/>
    <w:semiHidden/>
    <w:rsid w:val="00381AB6"/>
    <w:pPr>
      <w:ind w:left="1000" w:hanging="200"/>
    </w:pPr>
  </w:style>
  <w:style w:type="paragraph" w:styleId="Index6">
    <w:name w:val="index 6"/>
    <w:basedOn w:val="Normal"/>
    <w:next w:val="Normal"/>
    <w:autoRedefine/>
    <w:semiHidden/>
    <w:rsid w:val="00381AB6"/>
    <w:pPr>
      <w:ind w:left="1200" w:hanging="200"/>
    </w:pPr>
  </w:style>
  <w:style w:type="paragraph" w:styleId="Index7">
    <w:name w:val="index 7"/>
    <w:basedOn w:val="Normal"/>
    <w:next w:val="Normal"/>
    <w:autoRedefine/>
    <w:semiHidden/>
    <w:rsid w:val="00381AB6"/>
    <w:pPr>
      <w:ind w:left="1400" w:hanging="200"/>
    </w:pPr>
  </w:style>
  <w:style w:type="paragraph" w:styleId="Index8">
    <w:name w:val="index 8"/>
    <w:basedOn w:val="Normal"/>
    <w:next w:val="Normal"/>
    <w:autoRedefine/>
    <w:semiHidden/>
    <w:rsid w:val="00381AB6"/>
    <w:pPr>
      <w:ind w:left="1600" w:hanging="200"/>
    </w:pPr>
  </w:style>
  <w:style w:type="paragraph" w:styleId="Index9">
    <w:name w:val="index 9"/>
    <w:basedOn w:val="Normal"/>
    <w:next w:val="Normal"/>
    <w:autoRedefine/>
    <w:semiHidden/>
    <w:rsid w:val="00381AB6"/>
    <w:pPr>
      <w:ind w:left="1800" w:hanging="200"/>
    </w:pPr>
  </w:style>
  <w:style w:type="paragraph" w:styleId="IndexHeading">
    <w:name w:val="index heading"/>
    <w:basedOn w:val="Normal"/>
    <w:next w:val="Index1"/>
    <w:rsid w:val="00381AB6"/>
    <w:rPr>
      <w:rFonts w:ascii="Arial Bold" w:hAnsi="Arial Bold" w:cs="Arial"/>
      <w:b/>
      <w:bCs/>
      <w:color w:val="002B54"/>
    </w:rPr>
  </w:style>
  <w:style w:type="paragraph" w:styleId="MacroText">
    <w:name w:val="macro"/>
    <w:link w:val="MacroTextChar"/>
    <w:unhideWhenUsed/>
    <w:rsid w:val="00381AB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381AB6"/>
    <w:rPr>
      <w:rFonts w:ascii="Courier New" w:eastAsia="Times New Roman" w:hAnsi="Courier New" w:cs="Courier New"/>
      <w:sz w:val="20"/>
      <w:szCs w:val="20"/>
      <w:lang w:eastAsia="en-AU"/>
    </w:rPr>
  </w:style>
  <w:style w:type="paragraph" w:styleId="NormalIndent">
    <w:name w:val="Normal Indent"/>
    <w:basedOn w:val="Normal"/>
    <w:rsid w:val="00381AB6"/>
    <w:pPr>
      <w:ind w:left="567"/>
    </w:pPr>
  </w:style>
  <w:style w:type="paragraph" w:customStyle="1" w:styleId="NoteTableHeading">
    <w:name w:val="Note Table Heading"/>
    <w:basedOn w:val="HeadingBase"/>
    <w:next w:val="Normal"/>
    <w:rsid w:val="00381AB6"/>
    <w:pPr>
      <w:spacing w:before="240"/>
    </w:pPr>
    <w:rPr>
      <w:b/>
      <w:sz w:val="20"/>
    </w:rPr>
  </w:style>
  <w:style w:type="paragraph" w:customStyle="1" w:styleId="OverviewParagraph">
    <w:name w:val="Overview Paragraph"/>
    <w:basedOn w:val="Normal"/>
    <w:rsid w:val="00381AB6"/>
    <w:pPr>
      <w:spacing w:before="120" w:after="120" w:line="240" w:lineRule="auto"/>
    </w:pPr>
  </w:style>
  <w:style w:type="character" w:styleId="PageNumber">
    <w:name w:val="page number"/>
    <w:basedOn w:val="DefaultParagraphFont"/>
    <w:rsid w:val="00381AB6"/>
    <w:rPr>
      <w:rFonts w:ascii="Arial" w:hAnsi="Arial" w:cs="Arial"/>
    </w:rPr>
  </w:style>
  <w:style w:type="paragraph" w:customStyle="1" w:styleId="SingleParagraph">
    <w:name w:val="Single Paragraph"/>
    <w:basedOn w:val="Normal"/>
    <w:rsid w:val="00381AB6"/>
    <w:pPr>
      <w:spacing w:after="0"/>
    </w:pPr>
  </w:style>
  <w:style w:type="paragraph" w:customStyle="1" w:styleId="Source">
    <w:name w:val="Source"/>
    <w:basedOn w:val="Normal"/>
    <w:rsid w:val="00381AB6"/>
    <w:pPr>
      <w:tabs>
        <w:tab w:val="left" w:pos="284"/>
      </w:tabs>
      <w:spacing w:line="240" w:lineRule="auto"/>
    </w:pPr>
    <w:rPr>
      <w:rFonts w:ascii="Arial" w:hAnsi="Arial"/>
      <w:sz w:val="16"/>
    </w:rPr>
  </w:style>
  <w:style w:type="paragraph" w:customStyle="1" w:styleId="SourceBox">
    <w:name w:val="Source Box"/>
    <w:basedOn w:val="Source"/>
    <w:rsid w:val="00381AB6"/>
    <w:pPr>
      <w:spacing w:after="120"/>
    </w:pPr>
  </w:style>
  <w:style w:type="paragraph" w:customStyle="1" w:styleId="TableColumnHeadingBase">
    <w:name w:val="Table Column Heading Base"/>
    <w:basedOn w:val="Normal"/>
    <w:rsid w:val="00381AB6"/>
    <w:pPr>
      <w:spacing w:before="40" w:after="40" w:line="240" w:lineRule="auto"/>
      <w:jc w:val="left"/>
    </w:pPr>
    <w:rPr>
      <w:rFonts w:ascii="Arial Bold" w:hAnsi="Arial Bold"/>
      <w:b/>
      <w:sz w:val="16"/>
    </w:rPr>
  </w:style>
  <w:style w:type="paragraph" w:customStyle="1" w:styleId="TableColumnHeadingCentred">
    <w:name w:val="Table Column Heading Centred"/>
    <w:basedOn w:val="TableColumnHeadingBase"/>
    <w:next w:val="Normal"/>
    <w:rsid w:val="00381AB6"/>
    <w:pPr>
      <w:jc w:val="center"/>
    </w:pPr>
  </w:style>
  <w:style w:type="paragraph" w:customStyle="1" w:styleId="TableColumnHeadingLeft">
    <w:name w:val="Table Column Heading Left"/>
    <w:basedOn w:val="TableColumnHeadingBase"/>
    <w:next w:val="Normal"/>
    <w:rsid w:val="00381AB6"/>
  </w:style>
  <w:style w:type="paragraph" w:customStyle="1" w:styleId="TableColumnHeadingRight">
    <w:name w:val="Table Column Heading Right"/>
    <w:basedOn w:val="TableColumnHeadingBase"/>
    <w:next w:val="Normal"/>
    <w:rsid w:val="00381AB6"/>
    <w:pPr>
      <w:jc w:val="right"/>
    </w:pPr>
  </w:style>
  <w:style w:type="paragraph" w:customStyle="1" w:styleId="TableColumnHeadingS118pt">
    <w:name w:val="Table Column Heading S11 8 pt"/>
    <w:basedOn w:val="TableColumnHeadingBase"/>
    <w:rsid w:val="00381AB6"/>
    <w:pPr>
      <w:spacing w:after="0"/>
    </w:pPr>
    <w:rPr>
      <w:rFonts w:ascii="Arial" w:hAnsi="Arial"/>
    </w:rPr>
  </w:style>
  <w:style w:type="paragraph" w:customStyle="1" w:styleId="TableColumnHeadingS119pt">
    <w:name w:val="Table Column Heading S11 9 pt"/>
    <w:basedOn w:val="TableColumnHeadingBase"/>
    <w:rsid w:val="00381AB6"/>
    <w:pPr>
      <w:spacing w:before="60" w:after="60"/>
    </w:pPr>
    <w:rPr>
      <w:rFonts w:ascii="Arial" w:hAnsi="Arial"/>
      <w:sz w:val="18"/>
    </w:rPr>
  </w:style>
  <w:style w:type="paragraph" w:customStyle="1" w:styleId="TableGraphic">
    <w:name w:val="Table Graphic"/>
    <w:basedOn w:val="Normal"/>
    <w:next w:val="Normal"/>
    <w:rsid w:val="00381AB6"/>
    <w:pPr>
      <w:spacing w:after="0" w:line="240" w:lineRule="auto"/>
      <w:ind w:right="-113"/>
    </w:pPr>
  </w:style>
  <w:style w:type="table" w:styleId="TableGrid">
    <w:name w:val="Table Grid"/>
    <w:basedOn w:val="TableNormal"/>
    <w:uiPriority w:val="39"/>
    <w:rsid w:val="00381AB6"/>
    <w:pPr>
      <w:spacing w:after="240" w:line="260" w:lineRule="exac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HeadingBase"/>
    <w:next w:val="TableGraphic"/>
    <w:link w:val="TableHeadingChar"/>
    <w:qFormat/>
    <w:rsid w:val="00381AB6"/>
    <w:pPr>
      <w:spacing w:before="120" w:after="20"/>
    </w:pPr>
    <w:rPr>
      <w:b/>
      <w:sz w:val="20"/>
    </w:rPr>
  </w:style>
  <w:style w:type="paragraph" w:customStyle="1" w:styleId="TableHeadingcontinued">
    <w:name w:val="Table Heading continued"/>
    <w:basedOn w:val="HeadingBase"/>
    <w:next w:val="TableGraphic"/>
    <w:rsid w:val="00381AB6"/>
    <w:pPr>
      <w:spacing w:before="120" w:after="20"/>
    </w:pPr>
    <w:rPr>
      <w:rFonts w:ascii="Arial Bold" w:hAnsi="Arial Bold"/>
      <w:b/>
      <w:sz w:val="20"/>
    </w:rPr>
  </w:style>
  <w:style w:type="paragraph" w:styleId="TableofAuthorities">
    <w:name w:val="table of authorities"/>
    <w:basedOn w:val="Normal"/>
    <w:next w:val="Normal"/>
    <w:rsid w:val="00381AB6"/>
    <w:pPr>
      <w:ind w:left="200" w:hanging="200"/>
    </w:pPr>
  </w:style>
  <w:style w:type="paragraph" w:styleId="TableofFigures">
    <w:name w:val="table of figures"/>
    <w:basedOn w:val="Normal"/>
    <w:next w:val="Normal"/>
    <w:rsid w:val="00381AB6"/>
  </w:style>
  <w:style w:type="paragraph" w:customStyle="1" w:styleId="TableTextBase">
    <w:name w:val="Table Text Base"/>
    <w:basedOn w:val="Normal"/>
    <w:rsid w:val="00381AB6"/>
    <w:pPr>
      <w:spacing w:before="20" w:after="20" w:line="240" w:lineRule="auto"/>
      <w:jc w:val="left"/>
    </w:pPr>
    <w:rPr>
      <w:rFonts w:ascii="Arial" w:hAnsi="Arial"/>
      <w:sz w:val="16"/>
    </w:rPr>
  </w:style>
  <w:style w:type="paragraph" w:customStyle="1" w:styleId="TableTextCentred">
    <w:name w:val="Table Text Centred"/>
    <w:basedOn w:val="TableTextBase"/>
    <w:rsid w:val="00381AB6"/>
    <w:pPr>
      <w:jc w:val="center"/>
    </w:pPr>
  </w:style>
  <w:style w:type="paragraph" w:customStyle="1" w:styleId="TableTextIndented">
    <w:name w:val="Table Text Indented"/>
    <w:basedOn w:val="TableTextBase"/>
    <w:rsid w:val="00381AB6"/>
    <w:pPr>
      <w:ind w:left="284"/>
    </w:pPr>
  </w:style>
  <w:style w:type="paragraph" w:customStyle="1" w:styleId="TableTextLeft">
    <w:name w:val="Table Text Left"/>
    <w:basedOn w:val="TableTextBase"/>
    <w:rsid w:val="00381AB6"/>
  </w:style>
  <w:style w:type="paragraph" w:customStyle="1" w:styleId="TableTextRight">
    <w:name w:val="Table Text Right"/>
    <w:basedOn w:val="TableTextBase"/>
    <w:rsid w:val="00381AB6"/>
    <w:pPr>
      <w:jc w:val="right"/>
    </w:pPr>
  </w:style>
  <w:style w:type="paragraph" w:styleId="TOAHeading">
    <w:name w:val="toa heading"/>
    <w:basedOn w:val="Normal"/>
    <w:next w:val="Normal"/>
    <w:rsid w:val="00381AB6"/>
    <w:pPr>
      <w:spacing w:before="120"/>
    </w:pPr>
    <w:rPr>
      <w:rFonts w:ascii="Arial" w:hAnsi="Arial" w:cs="Arial"/>
      <w:b/>
      <w:bCs/>
      <w:sz w:val="24"/>
      <w:szCs w:val="24"/>
    </w:rPr>
  </w:style>
  <w:style w:type="paragraph" w:styleId="TOC1">
    <w:name w:val="toc 1"/>
    <w:basedOn w:val="HeaderBase"/>
    <w:next w:val="Normal"/>
    <w:uiPriority w:val="2"/>
    <w:rsid w:val="00381AB6"/>
    <w:pPr>
      <w:tabs>
        <w:tab w:val="left" w:pos="1486"/>
        <w:tab w:val="right" w:leader="dot" w:pos="7700"/>
      </w:tabs>
      <w:spacing w:before="240"/>
      <w:ind w:right="851"/>
    </w:pPr>
    <w:rPr>
      <w:rFonts w:ascii="Arial Bold" w:hAnsi="Arial Bold"/>
      <w:b/>
      <w:i w:val="0"/>
      <w:sz w:val="22"/>
    </w:rPr>
  </w:style>
  <w:style w:type="paragraph" w:styleId="TOC2">
    <w:name w:val="toc 2"/>
    <w:basedOn w:val="HeadingBase"/>
    <w:next w:val="Normal"/>
    <w:uiPriority w:val="2"/>
    <w:rsid w:val="00381AB6"/>
    <w:pPr>
      <w:tabs>
        <w:tab w:val="left" w:pos="992"/>
        <w:tab w:val="right" w:leader="dot" w:pos="7700"/>
      </w:tabs>
      <w:spacing w:before="40"/>
      <w:ind w:left="851" w:right="851" w:hanging="851"/>
    </w:pPr>
    <w:rPr>
      <w:sz w:val="20"/>
    </w:rPr>
  </w:style>
  <w:style w:type="paragraph" w:styleId="TOC3">
    <w:name w:val="toc 3"/>
    <w:basedOn w:val="HeadingBase"/>
    <w:next w:val="Normal"/>
    <w:uiPriority w:val="2"/>
    <w:unhideWhenUsed/>
    <w:rsid w:val="00381AB6"/>
    <w:pPr>
      <w:tabs>
        <w:tab w:val="right" w:leader="dot" w:pos="7700"/>
      </w:tabs>
      <w:spacing w:before="40"/>
      <w:ind w:right="851"/>
    </w:pPr>
    <w:rPr>
      <w:sz w:val="20"/>
    </w:rPr>
  </w:style>
  <w:style w:type="paragraph" w:styleId="TOC4">
    <w:name w:val="toc 4"/>
    <w:basedOn w:val="HeadingBase"/>
    <w:next w:val="Normal"/>
    <w:uiPriority w:val="2"/>
    <w:unhideWhenUsed/>
    <w:rsid w:val="00381AB6"/>
    <w:pPr>
      <w:tabs>
        <w:tab w:val="right" w:leader="dot" w:pos="7700"/>
      </w:tabs>
      <w:spacing w:before="40"/>
      <w:ind w:right="851"/>
    </w:pPr>
    <w:rPr>
      <w:sz w:val="20"/>
    </w:rPr>
  </w:style>
  <w:style w:type="paragraph" w:styleId="TOC5">
    <w:name w:val="toc 5"/>
    <w:basedOn w:val="Normal"/>
    <w:next w:val="Normal"/>
    <w:autoRedefine/>
    <w:uiPriority w:val="2"/>
    <w:semiHidden/>
    <w:rsid w:val="00381AB6"/>
    <w:pPr>
      <w:tabs>
        <w:tab w:val="left" w:pos="851"/>
        <w:tab w:val="right" w:leader="dot" w:pos="7700"/>
      </w:tabs>
      <w:ind w:left="896" w:hanging="896"/>
    </w:pPr>
    <w:rPr>
      <w:rFonts w:ascii="Arial" w:hAnsi="Arial"/>
      <w:noProof/>
      <w:color w:val="002B54"/>
    </w:rPr>
  </w:style>
  <w:style w:type="paragraph" w:styleId="TOC6">
    <w:name w:val="toc 6"/>
    <w:basedOn w:val="TOC4"/>
    <w:next w:val="Normal"/>
    <w:uiPriority w:val="2"/>
    <w:semiHidden/>
    <w:rsid w:val="00381AB6"/>
    <w:pPr>
      <w:tabs>
        <w:tab w:val="left" w:pos="851"/>
      </w:tabs>
      <w:ind w:left="851" w:hanging="851"/>
    </w:pPr>
    <w:rPr>
      <w:color w:val="000000"/>
    </w:rPr>
  </w:style>
  <w:style w:type="paragraph" w:styleId="TOC7">
    <w:name w:val="toc 7"/>
    <w:basedOn w:val="Normal"/>
    <w:next w:val="Normal"/>
    <w:autoRedefine/>
    <w:uiPriority w:val="2"/>
    <w:semiHidden/>
    <w:rsid w:val="00381AB6"/>
    <w:pPr>
      <w:ind w:left="1200"/>
    </w:pPr>
  </w:style>
  <w:style w:type="paragraph" w:styleId="TOC8">
    <w:name w:val="toc 8"/>
    <w:basedOn w:val="Normal"/>
    <w:next w:val="Normal"/>
    <w:autoRedefine/>
    <w:uiPriority w:val="2"/>
    <w:semiHidden/>
    <w:rsid w:val="00381AB6"/>
    <w:pPr>
      <w:ind w:left="1400"/>
    </w:pPr>
  </w:style>
  <w:style w:type="paragraph" w:styleId="TOC9">
    <w:name w:val="toc 9"/>
    <w:basedOn w:val="Normal"/>
    <w:next w:val="Normal"/>
    <w:autoRedefine/>
    <w:uiPriority w:val="2"/>
    <w:semiHidden/>
    <w:rsid w:val="00381AB6"/>
    <w:pPr>
      <w:ind w:left="1600"/>
    </w:pPr>
  </w:style>
  <w:style w:type="paragraph" w:customStyle="1" w:styleId="TPHeading1">
    <w:name w:val="TP Heading 1"/>
    <w:basedOn w:val="HeadingBase"/>
    <w:semiHidden/>
    <w:rsid w:val="00381AB6"/>
    <w:pPr>
      <w:spacing w:before="60" w:after="60"/>
      <w:ind w:left="1134"/>
    </w:pPr>
    <w:rPr>
      <w:rFonts w:ascii="Arial Bold" w:hAnsi="Arial Bold"/>
      <w:b/>
      <w:caps/>
      <w:spacing w:val="-10"/>
      <w:sz w:val="28"/>
    </w:rPr>
  </w:style>
  <w:style w:type="paragraph" w:customStyle="1" w:styleId="TPHeading2">
    <w:name w:val="TP Heading 2"/>
    <w:basedOn w:val="HeadingBase"/>
    <w:semiHidden/>
    <w:rsid w:val="00381AB6"/>
    <w:pPr>
      <w:ind w:left="1134"/>
    </w:pPr>
    <w:rPr>
      <w:caps/>
      <w:spacing w:val="-10"/>
      <w:sz w:val="28"/>
    </w:rPr>
  </w:style>
  <w:style w:type="paragraph" w:customStyle="1" w:styleId="TPHeading3">
    <w:name w:val="TP Heading 3"/>
    <w:basedOn w:val="HeadingBase"/>
    <w:semiHidden/>
    <w:rsid w:val="00381AB6"/>
    <w:pPr>
      <w:ind w:left="1134"/>
    </w:pPr>
    <w:rPr>
      <w:caps/>
      <w:spacing w:val="-10"/>
    </w:rPr>
  </w:style>
  <w:style w:type="paragraph" w:customStyle="1" w:styleId="TPHeading3bold">
    <w:name w:val="TP Heading 3 bold"/>
    <w:basedOn w:val="TPHeading3"/>
    <w:semiHidden/>
    <w:rsid w:val="00381AB6"/>
    <w:rPr>
      <w:rFonts w:cs="Arial"/>
      <w:b/>
      <w:sz w:val="22"/>
      <w:szCs w:val="22"/>
    </w:rPr>
  </w:style>
  <w:style w:type="paragraph" w:customStyle="1" w:styleId="TPHEADING3boldspace">
    <w:name w:val="TP HEADING 3 bold space"/>
    <w:basedOn w:val="TPHeading3bold"/>
    <w:semiHidden/>
    <w:rsid w:val="00381AB6"/>
    <w:pPr>
      <w:spacing w:after="120"/>
    </w:pPr>
  </w:style>
  <w:style w:type="paragraph" w:customStyle="1" w:styleId="TPHEADING3space">
    <w:name w:val="TP HEADING 3 space"/>
    <w:basedOn w:val="TPHeading3"/>
    <w:semiHidden/>
    <w:rsid w:val="00381AB6"/>
    <w:pPr>
      <w:spacing w:before="120" w:after="120"/>
    </w:pPr>
    <w:rPr>
      <w:rFonts w:cs="Arial"/>
      <w:sz w:val="22"/>
      <w:szCs w:val="22"/>
    </w:rPr>
  </w:style>
  <w:style w:type="paragraph" w:customStyle="1" w:styleId="TPHeading4">
    <w:name w:val="TP Heading 4"/>
    <w:basedOn w:val="TPHeading3"/>
    <w:semiHidden/>
    <w:rsid w:val="00381AB6"/>
    <w:rPr>
      <w:sz w:val="20"/>
    </w:rPr>
  </w:style>
  <w:style w:type="paragraph" w:customStyle="1" w:styleId="TPHEADING4space">
    <w:name w:val="TP HEADING 4 space"/>
    <w:basedOn w:val="TPHEADING3space"/>
    <w:semiHidden/>
    <w:rsid w:val="00381AB6"/>
  </w:style>
  <w:style w:type="character" w:customStyle="1" w:styleId="BulletChar">
    <w:name w:val="Bullet Char"/>
    <w:aliases w:val="Body Char,CV text Char,Dot pt Char,F5 List Paragraph Char,L Char,List Paragraph1 Char,List Paragraph11 Char,Number Char,Recommendation Char,b + line Char,b + line Char Char,b Char,b Char Char,b1 Char,level 1 Char,Bullet + line Char"/>
    <w:basedOn w:val="DefaultParagraphFont"/>
    <w:link w:val="Bullet"/>
    <w:rsid w:val="008E2868"/>
    <w:rPr>
      <w:rFonts w:ascii="Book Antiqua" w:eastAsia="Times New Roman" w:hAnsi="Book Antiqua" w:cs="Times New Roman"/>
      <w:sz w:val="20"/>
      <w:szCs w:val="20"/>
      <w:lang w:eastAsia="en-AU"/>
    </w:rPr>
  </w:style>
  <w:style w:type="paragraph" w:styleId="ListParagraph">
    <w:name w:val="List Paragraph"/>
    <w:basedOn w:val="Normal"/>
    <w:uiPriority w:val="34"/>
    <w:qFormat/>
    <w:rsid w:val="00FA7AAD"/>
    <w:pPr>
      <w:spacing w:after="0" w:line="240" w:lineRule="auto"/>
      <w:ind w:left="720"/>
      <w:jc w:val="left"/>
    </w:pPr>
    <w:rPr>
      <w:rFonts w:ascii="Calibri" w:eastAsiaTheme="minorHAnsi" w:hAnsi="Calibri" w:cs="Calibri"/>
      <w:sz w:val="22"/>
      <w:szCs w:val="22"/>
      <w:lang w:eastAsia="en-US"/>
    </w:rPr>
  </w:style>
  <w:style w:type="paragraph" w:styleId="NormalWeb">
    <w:name w:val="Normal (Web)"/>
    <w:basedOn w:val="Normal"/>
    <w:uiPriority w:val="99"/>
    <w:semiHidden/>
    <w:unhideWhenUsed/>
    <w:rsid w:val="00C7612A"/>
    <w:pPr>
      <w:spacing w:after="150" w:line="240" w:lineRule="auto"/>
      <w:jc w:val="left"/>
      <w:textAlignment w:val="baseline"/>
    </w:pPr>
    <w:rPr>
      <w:rFonts w:ascii="Times New Roman" w:hAnsi="Times New Roman"/>
      <w:sz w:val="29"/>
      <w:szCs w:val="29"/>
    </w:rPr>
  </w:style>
  <w:style w:type="paragraph" w:customStyle="1" w:styleId="Default">
    <w:name w:val="Default"/>
    <w:link w:val="DefaultChar"/>
    <w:rsid w:val="00B05821"/>
    <w:pPr>
      <w:autoSpaceDE w:val="0"/>
      <w:autoSpaceDN w:val="0"/>
      <w:adjustRightInd w:val="0"/>
      <w:spacing w:after="0" w:line="240" w:lineRule="auto"/>
    </w:pPr>
    <w:rPr>
      <w:rFonts w:ascii="Book Antiqua" w:hAnsi="Book Antiqua" w:cs="Book Antiqua"/>
      <w:color w:val="000000"/>
      <w:sz w:val="24"/>
      <w:szCs w:val="24"/>
    </w:rPr>
  </w:style>
  <w:style w:type="paragraph" w:styleId="Revision">
    <w:name w:val="Revision"/>
    <w:hidden/>
    <w:uiPriority w:val="99"/>
    <w:semiHidden/>
    <w:rsid w:val="00531770"/>
    <w:pPr>
      <w:spacing w:after="0" w:line="240" w:lineRule="auto"/>
    </w:pPr>
    <w:rPr>
      <w:rFonts w:ascii="Book Antiqua" w:eastAsia="Times New Roman" w:hAnsi="Book Antiqua" w:cs="Times New Roman"/>
      <w:sz w:val="20"/>
      <w:szCs w:val="20"/>
      <w:lang w:eastAsia="en-AU"/>
    </w:rPr>
  </w:style>
  <w:style w:type="character" w:customStyle="1" w:styleId="DashChar">
    <w:name w:val="Dash Char"/>
    <w:link w:val="Dash"/>
    <w:locked/>
    <w:rsid w:val="009A69F5"/>
    <w:rPr>
      <w:rFonts w:ascii="Book Antiqua" w:eastAsia="Times New Roman" w:hAnsi="Book Antiqua" w:cs="Times New Roman"/>
      <w:sz w:val="20"/>
      <w:szCs w:val="20"/>
      <w:lang w:eastAsia="en-AU"/>
    </w:rPr>
  </w:style>
  <w:style w:type="paragraph" w:customStyle="1" w:styleId="BoxDash">
    <w:name w:val="Box Dash"/>
    <w:basedOn w:val="BoxBullet"/>
    <w:qFormat/>
    <w:rsid w:val="00381AB6"/>
    <w:pPr>
      <w:numPr>
        <w:numId w:val="5"/>
      </w:numPr>
    </w:pPr>
  </w:style>
  <w:style w:type="character" w:customStyle="1" w:styleId="DefaultChar">
    <w:name w:val="Default Char"/>
    <w:basedOn w:val="DefaultParagraphFont"/>
    <w:link w:val="Default"/>
    <w:locked/>
    <w:rsid w:val="00E44100"/>
    <w:rPr>
      <w:rFonts w:ascii="Book Antiqua" w:hAnsi="Book Antiqua" w:cs="Book Antiqua"/>
      <w:color w:val="000000"/>
      <w:sz w:val="24"/>
      <w:szCs w:val="24"/>
    </w:rPr>
  </w:style>
  <w:style w:type="character" w:customStyle="1" w:styleId="TableHeadingChar">
    <w:name w:val="Table Heading Char"/>
    <w:basedOn w:val="DefaultParagraphFont"/>
    <w:link w:val="TableHeading"/>
    <w:rsid w:val="005B4308"/>
    <w:rPr>
      <w:rFonts w:ascii="Arial" w:eastAsia="Times New Roman" w:hAnsi="Arial" w:cs="Times New Roman"/>
      <w:b/>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7470">
      <w:bodyDiv w:val="1"/>
      <w:marLeft w:val="0"/>
      <w:marRight w:val="0"/>
      <w:marTop w:val="0"/>
      <w:marBottom w:val="0"/>
      <w:divBdr>
        <w:top w:val="none" w:sz="0" w:space="0" w:color="auto"/>
        <w:left w:val="none" w:sz="0" w:space="0" w:color="auto"/>
        <w:bottom w:val="none" w:sz="0" w:space="0" w:color="auto"/>
        <w:right w:val="none" w:sz="0" w:space="0" w:color="auto"/>
      </w:divBdr>
    </w:div>
    <w:div w:id="24330401">
      <w:bodyDiv w:val="1"/>
      <w:marLeft w:val="0"/>
      <w:marRight w:val="0"/>
      <w:marTop w:val="0"/>
      <w:marBottom w:val="0"/>
      <w:divBdr>
        <w:top w:val="none" w:sz="0" w:space="0" w:color="auto"/>
        <w:left w:val="none" w:sz="0" w:space="0" w:color="auto"/>
        <w:bottom w:val="none" w:sz="0" w:space="0" w:color="auto"/>
        <w:right w:val="none" w:sz="0" w:space="0" w:color="auto"/>
      </w:divBdr>
    </w:div>
    <w:div w:id="30544255">
      <w:bodyDiv w:val="1"/>
      <w:marLeft w:val="0"/>
      <w:marRight w:val="0"/>
      <w:marTop w:val="0"/>
      <w:marBottom w:val="0"/>
      <w:divBdr>
        <w:top w:val="none" w:sz="0" w:space="0" w:color="auto"/>
        <w:left w:val="none" w:sz="0" w:space="0" w:color="auto"/>
        <w:bottom w:val="none" w:sz="0" w:space="0" w:color="auto"/>
        <w:right w:val="none" w:sz="0" w:space="0" w:color="auto"/>
      </w:divBdr>
    </w:div>
    <w:div w:id="32121652">
      <w:bodyDiv w:val="1"/>
      <w:marLeft w:val="0"/>
      <w:marRight w:val="0"/>
      <w:marTop w:val="0"/>
      <w:marBottom w:val="0"/>
      <w:divBdr>
        <w:top w:val="none" w:sz="0" w:space="0" w:color="auto"/>
        <w:left w:val="none" w:sz="0" w:space="0" w:color="auto"/>
        <w:bottom w:val="none" w:sz="0" w:space="0" w:color="auto"/>
        <w:right w:val="none" w:sz="0" w:space="0" w:color="auto"/>
      </w:divBdr>
    </w:div>
    <w:div w:id="33578132">
      <w:bodyDiv w:val="1"/>
      <w:marLeft w:val="0"/>
      <w:marRight w:val="0"/>
      <w:marTop w:val="0"/>
      <w:marBottom w:val="0"/>
      <w:divBdr>
        <w:top w:val="none" w:sz="0" w:space="0" w:color="auto"/>
        <w:left w:val="none" w:sz="0" w:space="0" w:color="auto"/>
        <w:bottom w:val="none" w:sz="0" w:space="0" w:color="auto"/>
        <w:right w:val="none" w:sz="0" w:space="0" w:color="auto"/>
      </w:divBdr>
    </w:div>
    <w:div w:id="38675278">
      <w:bodyDiv w:val="1"/>
      <w:marLeft w:val="0"/>
      <w:marRight w:val="0"/>
      <w:marTop w:val="0"/>
      <w:marBottom w:val="0"/>
      <w:divBdr>
        <w:top w:val="none" w:sz="0" w:space="0" w:color="auto"/>
        <w:left w:val="none" w:sz="0" w:space="0" w:color="auto"/>
        <w:bottom w:val="none" w:sz="0" w:space="0" w:color="auto"/>
        <w:right w:val="none" w:sz="0" w:space="0" w:color="auto"/>
      </w:divBdr>
    </w:div>
    <w:div w:id="39015668">
      <w:bodyDiv w:val="1"/>
      <w:marLeft w:val="0"/>
      <w:marRight w:val="0"/>
      <w:marTop w:val="0"/>
      <w:marBottom w:val="0"/>
      <w:divBdr>
        <w:top w:val="none" w:sz="0" w:space="0" w:color="auto"/>
        <w:left w:val="none" w:sz="0" w:space="0" w:color="auto"/>
        <w:bottom w:val="none" w:sz="0" w:space="0" w:color="auto"/>
        <w:right w:val="none" w:sz="0" w:space="0" w:color="auto"/>
      </w:divBdr>
    </w:div>
    <w:div w:id="53310649">
      <w:bodyDiv w:val="1"/>
      <w:marLeft w:val="0"/>
      <w:marRight w:val="0"/>
      <w:marTop w:val="0"/>
      <w:marBottom w:val="0"/>
      <w:divBdr>
        <w:top w:val="none" w:sz="0" w:space="0" w:color="auto"/>
        <w:left w:val="none" w:sz="0" w:space="0" w:color="auto"/>
        <w:bottom w:val="none" w:sz="0" w:space="0" w:color="auto"/>
        <w:right w:val="none" w:sz="0" w:space="0" w:color="auto"/>
      </w:divBdr>
    </w:div>
    <w:div w:id="67381980">
      <w:bodyDiv w:val="1"/>
      <w:marLeft w:val="0"/>
      <w:marRight w:val="0"/>
      <w:marTop w:val="0"/>
      <w:marBottom w:val="0"/>
      <w:divBdr>
        <w:top w:val="none" w:sz="0" w:space="0" w:color="auto"/>
        <w:left w:val="none" w:sz="0" w:space="0" w:color="auto"/>
        <w:bottom w:val="none" w:sz="0" w:space="0" w:color="auto"/>
        <w:right w:val="none" w:sz="0" w:space="0" w:color="auto"/>
      </w:divBdr>
    </w:div>
    <w:div w:id="105395591">
      <w:bodyDiv w:val="1"/>
      <w:marLeft w:val="0"/>
      <w:marRight w:val="0"/>
      <w:marTop w:val="0"/>
      <w:marBottom w:val="0"/>
      <w:divBdr>
        <w:top w:val="none" w:sz="0" w:space="0" w:color="auto"/>
        <w:left w:val="none" w:sz="0" w:space="0" w:color="auto"/>
        <w:bottom w:val="none" w:sz="0" w:space="0" w:color="auto"/>
        <w:right w:val="none" w:sz="0" w:space="0" w:color="auto"/>
      </w:divBdr>
    </w:div>
    <w:div w:id="106169977">
      <w:bodyDiv w:val="1"/>
      <w:marLeft w:val="0"/>
      <w:marRight w:val="0"/>
      <w:marTop w:val="0"/>
      <w:marBottom w:val="0"/>
      <w:divBdr>
        <w:top w:val="none" w:sz="0" w:space="0" w:color="auto"/>
        <w:left w:val="none" w:sz="0" w:space="0" w:color="auto"/>
        <w:bottom w:val="none" w:sz="0" w:space="0" w:color="auto"/>
        <w:right w:val="none" w:sz="0" w:space="0" w:color="auto"/>
      </w:divBdr>
    </w:div>
    <w:div w:id="151679950">
      <w:bodyDiv w:val="1"/>
      <w:marLeft w:val="0"/>
      <w:marRight w:val="0"/>
      <w:marTop w:val="0"/>
      <w:marBottom w:val="0"/>
      <w:divBdr>
        <w:top w:val="none" w:sz="0" w:space="0" w:color="auto"/>
        <w:left w:val="none" w:sz="0" w:space="0" w:color="auto"/>
        <w:bottom w:val="none" w:sz="0" w:space="0" w:color="auto"/>
        <w:right w:val="none" w:sz="0" w:space="0" w:color="auto"/>
      </w:divBdr>
    </w:div>
    <w:div w:id="156270052">
      <w:bodyDiv w:val="1"/>
      <w:marLeft w:val="0"/>
      <w:marRight w:val="0"/>
      <w:marTop w:val="0"/>
      <w:marBottom w:val="0"/>
      <w:divBdr>
        <w:top w:val="none" w:sz="0" w:space="0" w:color="auto"/>
        <w:left w:val="none" w:sz="0" w:space="0" w:color="auto"/>
        <w:bottom w:val="none" w:sz="0" w:space="0" w:color="auto"/>
        <w:right w:val="none" w:sz="0" w:space="0" w:color="auto"/>
      </w:divBdr>
    </w:div>
    <w:div w:id="167797671">
      <w:bodyDiv w:val="1"/>
      <w:marLeft w:val="0"/>
      <w:marRight w:val="0"/>
      <w:marTop w:val="0"/>
      <w:marBottom w:val="0"/>
      <w:divBdr>
        <w:top w:val="none" w:sz="0" w:space="0" w:color="auto"/>
        <w:left w:val="none" w:sz="0" w:space="0" w:color="auto"/>
        <w:bottom w:val="none" w:sz="0" w:space="0" w:color="auto"/>
        <w:right w:val="none" w:sz="0" w:space="0" w:color="auto"/>
      </w:divBdr>
    </w:div>
    <w:div w:id="177892677">
      <w:bodyDiv w:val="1"/>
      <w:marLeft w:val="0"/>
      <w:marRight w:val="0"/>
      <w:marTop w:val="0"/>
      <w:marBottom w:val="0"/>
      <w:divBdr>
        <w:top w:val="none" w:sz="0" w:space="0" w:color="auto"/>
        <w:left w:val="none" w:sz="0" w:space="0" w:color="auto"/>
        <w:bottom w:val="none" w:sz="0" w:space="0" w:color="auto"/>
        <w:right w:val="none" w:sz="0" w:space="0" w:color="auto"/>
      </w:divBdr>
    </w:div>
    <w:div w:id="212349148">
      <w:bodyDiv w:val="1"/>
      <w:marLeft w:val="0"/>
      <w:marRight w:val="0"/>
      <w:marTop w:val="0"/>
      <w:marBottom w:val="0"/>
      <w:divBdr>
        <w:top w:val="none" w:sz="0" w:space="0" w:color="auto"/>
        <w:left w:val="none" w:sz="0" w:space="0" w:color="auto"/>
        <w:bottom w:val="none" w:sz="0" w:space="0" w:color="auto"/>
        <w:right w:val="none" w:sz="0" w:space="0" w:color="auto"/>
      </w:divBdr>
    </w:div>
    <w:div w:id="229925368">
      <w:bodyDiv w:val="1"/>
      <w:marLeft w:val="0"/>
      <w:marRight w:val="0"/>
      <w:marTop w:val="0"/>
      <w:marBottom w:val="0"/>
      <w:divBdr>
        <w:top w:val="none" w:sz="0" w:space="0" w:color="auto"/>
        <w:left w:val="none" w:sz="0" w:space="0" w:color="auto"/>
        <w:bottom w:val="none" w:sz="0" w:space="0" w:color="auto"/>
        <w:right w:val="none" w:sz="0" w:space="0" w:color="auto"/>
      </w:divBdr>
    </w:div>
    <w:div w:id="237249991">
      <w:bodyDiv w:val="1"/>
      <w:marLeft w:val="0"/>
      <w:marRight w:val="0"/>
      <w:marTop w:val="0"/>
      <w:marBottom w:val="0"/>
      <w:divBdr>
        <w:top w:val="none" w:sz="0" w:space="0" w:color="auto"/>
        <w:left w:val="none" w:sz="0" w:space="0" w:color="auto"/>
        <w:bottom w:val="none" w:sz="0" w:space="0" w:color="auto"/>
        <w:right w:val="none" w:sz="0" w:space="0" w:color="auto"/>
      </w:divBdr>
    </w:div>
    <w:div w:id="252009559">
      <w:bodyDiv w:val="1"/>
      <w:marLeft w:val="0"/>
      <w:marRight w:val="0"/>
      <w:marTop w:val="0"/>
      <w:marBottom w:val="0"/>
      <w:divBdr>
        <w:top w:val="none" w:sz="0" w:space="0" w:color="auto"/>
        <w:left w:val="none" w:sz="0" w:space="0" w:color="auto"/>
        <w:bottom w:val="none" w:sz="0" w:space="0" w:color="auto"/>
        <w:right w:val="none" w:sz="0" w:space="0" w:color="auto"/>
      </w:divBdr>
    </w:div>
    <w:div w:id="258567362">
      <w:bodyDiv w:val="1"/>
      <w:marLeft w:val="0"/>
      <w:marRight w:val="0"/>
      <w:marTop w:val="0"/>
      <w:marBottom w:val="0"/>
      <w:divBdr>
        <w:top w:val="none" w:sz="0" w:space="0" w:color="auto"/>
        <w:left w:val="none" w:sz="0" w:space="0" w:color="auto"/>
        <w:bottom w:val="none" w:sz="0" w:space="0" w:color="auto"/>
        <w:right w:val="none" w:sz="0" w:space="0" w:color="auto"/>
      </w:divBdr>
    </w:div>
    <w:div w:id="266162527">
      <w:bodyDiv w:val="1"/>
      <w:marLeft w:val="0"/>
      <w:marRight w:val="0"/>
      <w:marTop w:val="0"/>
      <w:marBottom w:val="0"/>
      <w:divBdr>
        <w:top w:val="none" w:sz="0" w:space="0" w:color="auto"/>
        <w:left w:val="none" w:sz="0" w:space="0" w:color="auto"/>
        <w:bottom w:val="none" w:sz="0" w:space="0" w:color="auto"/>
        <w:right w:val="none" w:sz="0" w:space="0" w:color="auto"/>
      </w:divBdr>
    </w:div>
    <w:div w:id="271281588">
      <w:bodyDiv w:val="1"/>
      <w:marLeft w:val="0"/>
      <w:marRight w:val="0"/>
      <w:marTop w:val="0"/>
      <w:marBottom w:val="0"/>
      <w:divBdr>
        <w:top w:val="none" w:sz="0" w:space="0" w:color="auto"/>
        <w:left w:val="none" w:sz="0" w:space="0" w:color="auto"/>
        <w:bottom w:val="none" w:sz="0" w:space="0" w:color="auto"/>
        <w:right w:val="none" w:sz="0" w:space="0" w:color="auto"/>
      </w:divBdr>
    </w:div>
    <w:div w:id="280260048">
      <w:bodyDiv w:val="1"/>
      <w:marLeft w:val="0"/>
      <w:marRight w:val="0"/>
      <w:marTop w:val="0"/>
      <w:marBottom w:val="0"/>
      <w:divBdr>
        <w:top w:val="none" w:sz="0" w:space="0" w:color="auto"/>
        <w:left w:val="none" w:sz="0" w:space="0" w:color="auto"/>
        <w:bottom w:val="none" w:sz="0" w:space="0" w:color="auto"/>
        <w:right w:val="none" w:sz="0" w:space="0" w:color="auto"/>
      </w:divBdr>
    </w:div>
    <w:div w:id="292760677">
      <w:bodyDiv w:val="1"/>
      <w:marLeft w:val="0"/>
      <w:marRight w:val="0"/>
      <w:marTop w:val="0"/>
      <w:marBottom w:val="0"/>
      <w:divBdr>
        <w:top w:val="none" w:sz="0" w:space="0" w:color="auto"/>
        <w:left w:val="none" w:sz="0" w:space="0" w:color="auto"/>
        <w:bottom w:val="none" w:sz="0" w:space="0" w:color="auto"/>
        <w:right w:val="none" w:sz="0" w:space="0" w:color="auto"/>
      </w:divBdr>
    </w:div>
    <w:div w:id="295376641">
      <w:bodyDiv w:val="1"/>
      <w:marLeft w:val="0"/>
      <w:marRight w:val="0"/>
      <w:marTop w:val="0"/>
      <w:marBottom w:val="0"/>
      <w:divBdr>
        <w:top w:val="none" w:sz="0" w:space="0" w:color="auto"/>
        <w:left w:val="none" w:sz="0" w:space="0" w:color="auto"/>
        <w:bottom w:val="none" w:sz="0" w:space="0" w:color="auto"/>
        <w:right w:val="none" w:sz="0" w:space="0" w:color="auto"/>
      </w:divBdr>
    </w:div>
    <w:div w:id="325211560">
      <w:bodyDiv w:val="1"/>
      <w:marLeft w:val="0"/>
      <w:marRight w:val="0"/>
      <w:marTop w:val="0"/>
      <w:marBottom w:val="0"/>
      <w:divBdr>
        <w:top w:val="none" w:sz="0" w:space="0" w:color="auto"/>
        <w:left w:val="none" w:sz="0" w:space="0" w:color="auto"/>
        <w:bottom w:val="none" w:sz="0" w:space="0" w:color="auto"/>
        <w:right w:val="none" w:sz="0" w:space="0" w:color="auto"/>
      </w:divBdr>
    </w:div>
    <w:div w:id="362558961">
      <w:bodyDiv w:val="1"/>
      <w:marLeft w:val="0"/>
      <w:marRight w:val="0"/>
      <w:marTop w:val="0"/>
      <w:marBottom w:val="0"/>
      <w:divBdr>
        <w:top w:val="none" w:sz="0" w:space="0" w:color="auto"/>
        <w:left w:val="none" w:sz="0" w:space="0" w:color="auto"/>
        <w:bottom w:val="none" w:sz="0" w:space="0" w:color="auto"/>
        <w:right w:val="none" w:sz="0" w:space="0" w:color="auto"/>
      </w:divBdr>
    </w:div>
    <w:div w:id="386804663">
      <w:bodyDiv w:val="1"/>
      <w:marLeft w:val="0"/>
      <w:marRight w:val="0"/>
      <w:marTop w:val="0"/>
      <w:marBottom w:val="0"/>
      <w:divBdr>
        <w:top w:val="none" w:sz="0" w:space="0" w:color="auto"/>
        <w:left w:val="none" w:sz="0" w:space="0" w:color="auto"/>
        <w:bottom w:val="none" w:sz="0" w:space="0" w:color="auto"/>
        <w:right w:val="none" w:sz="0" w:space="0" w:color="auto"/>
      </w:divBdr>
    </w:div>
    <w:div w:id="391346887">
      <w:bodyDiv w:val="1"/>
      <w:marLeft w:val="0"/>
      <w:marRight w:val="0"/>
      <w:marTop w:val="0"/>
      <w:marBottom w:val="0"/>
      <w:divBdr>
        <w:top w:val="none" w:sz="0" w:space="0" w:color="auto"/>
        <w:left w:val="none" w:sz="0" w:space="0" w:color="auto"/>
        <w:bottom w:val="none" w:sz="0" w:space="0" w:color="auto"/>
        <w:right w:val="none" w:sz="0" w:space="0" w:color="auto"/>
      </w:divBdr>
    </w:div>
    <w:div w:id="414283666">
      <w:bodyDiv w:val="1"/>
      <w:marLeft w:val="0"/>
      <w:marRight w:val="0"/>
      <w:marTop w:val="0"/>
      <w:marBottom w:val="0"/>
      <w:divBdr>
        <w:top w:val="none" w:sz="0" w:space="0" w:color="auto"/>
        <w:left w:val="none" w:sz="0" w:space="0" w:color="auto"/>
        <w:bottom w:val="none" w:sz="0" w:space="0" w:color="auto"/>
        <w:right w:val="none" w:sz="0" w:space="0" w:color="auto"/>
      </w:divBdr>
    </w:div>
    <w:div w:id="434591770">
      <w:bodyDiv w:val="1"/>
      <w:marLeft w:val="0"/>
      <w:marRight w:val="0"/>
      <w:marTop w:val="0"/>
      <w:marBottom w:val="0"/>
      <w:divBdr>
        <w:top w:val="none" w:sz="0" w:space="0" w:color="auto"/>
        <w:left w:val="none" w:sz="0" w:space="0" w:color="auto"/>
        <w:bottom w:val="none" w:sz="0" w:space="0" w:color="auto"/>
        <w:right w:val="none" w:sz="0" w:space="0" w:color="auto"/>
      </w:divBdr>
    </w:div>
    <w:div w:id="442113018">
      <w:bodyDiv w:val="1"/>
      <w:marLeft w:val="0"/>
      <w:marRight w:val="0"/>
      <w:marTop w:val="0"/>
      <w:marBottom w:val="0"/>
      <w:divBdr>
        <w:top w:val="none" w:sz="0" w:space="0" w:color="auto"/>
        <w:left w:val="none" w:sz="0" w:space="0" w:color="auto"/>
        <w:bottom w:val="none" w:sz="0" w:space="0" w:color="auto"/>
        <w:right w:val="none" w:sz="0" w:space="0" w:color="auto"/>
      </w:divBdr>
    </w:div>
    <w:div w:id="445732341">
      <w:bodyDiv w:val="1"/>
      <w:marLeft w:val="0"/>
      <w:marRight w:val="0"/>
      <w:marTop w:val="0"/>
      <w:marBottom w:val="0"/>
      <w:divBdr>
        <w:top w:val="none" w:sz="0" w:space="0" w:color="auto"/>
        <w:left w:val="none" w:sz="0" w:space="0" w:color="auto"/>
        <w:bottom w:val="none" w:sz="0" w:space="0" w:color="auto"/>
        <w:right w:val="none" w:sz="0" w:space="0" w:color="auto"/>
      </w:divBdr>
    </w:div>
    <w:div w:id="446587811">
      <w:bodyDiv w:val="1"/>
      <w:marLeft w:val="0"/>
      <w:marRight w:val="0"/>
      <w:marTop w:val="0"/>
      <w:marBottom w:val="0"/>
      <w:divBdr>
        <w:top w:val="none" w:sz="0" w:space="0" w:color="auto"/>
        <w:left w:val="none" w:sz="0" w:space="0" w:color="auto"/>
        <w:bottom w:val="none" w:sz="0" w:space="0" w:color="auto"/>
        <w:right w:val="none" w:sz="0" w:space="0" w:color="auto"/>
      </w:divBdr>
    </w:div>
    <w:div w:id="446891762">
      <w:bodyDiv w:val="1"/>
      <w:marLeft w:val="0"/>
      <w:marRight w:val="0"/>
      <w:marTop w:val="0"/>
      <w:marBottom w:val="0"/>
      <w:divBdr>
        <w:top w:val="none" w:sz="0" w:space="0" w:color="auto"/>
        <w:left w:val="none" w:sz="0" w:space="0" w:color="auto"/>
        <w:bottom w:val="none" w:sz="0" w:space="0" w:color="auto"/>
        <w:right w:val="none" w:sz="0" w:space="0" w:color="auto"/>
      </w:divBdr>
    </w:div>
    <w:div w:id="449477190">
      <w:bodyDiv w:val="1"/>
      <w:marLeft w:val="0"/>
      <w:marRight w:val="0"/>
      <w:marTop w:val="0"/>
      <w:marBottom w:val="0"/>
      <w:divBdr>
        <w:top w:val="none" w:sz="0" w:space="0" w:color="auto"/>
        <w:left w:val="none" w:sz="0" w:space="0" w:color="auto"/>
        <w:bottom w:val="none" w:sz="0" w:space="0" w:color="auto"/>
        <w:right w:val="none" w:sz="0" w:space="0" w:color="auto"/>
      </w:divBdr>
    </w:div>
    <w:div w:id="451632160">
      <w:bodyDiv w:val="1"/>
      <w:marLeft w:val="0"/>
      <w:marRight w:val="0"/>
      <w:marTop w:val="0"/>
      <w:marBottom w:val="0"/>
      <w:divBdr>
        <w:top w:val="none" w:sz="0" w:space="0" w:color="auto"/>
        <w:left w:val="none" w:sz="0" w:space="0" w:color="auto"/>
        <w:bottom w:val="none" w:sz="0" w:space="0" w:color="auto"/>
        <w:right w:val="none" w:sz="0" w:space="0" w:color="auto"/>
      </w:divBdr>
    </w:div>
    <w:div w:id="492844319">
      <w:bodyDiv w:val="1"/>
      <w:marLeft w:val="0"/>
      <w:marRight w:val="0"/>
      <w:marTop w:val="0"/>
      <w:marBottom w:val="0"/>
      <w:divBdr>
        <w:top w:val="none" w:sz="0" w:space="0" w:color="auto"/>
        <w:left w:val="none" w:sz="0" w:space="0" w:color="auto"/>
        <w:bottom w:val="none" w:sz="0" w:space="0" w:color="auto"/>
        <w:right w:val="none" w:sz="0" w:space="0" w:color="auto"/>
      </w:divBdr>
    </w:div>
    <w:div w:id="496262903">
      <w:bodyDiv w:val="1"/>
      <w:marLeft w:val="0"/>
      <w:marRight w:val="0"/>
      <w:marTop w:val="0"/>
      <w:marBottom w:val="0"/>
      <w:divBdr>
        <w:top w:val="none" w:sz="0" w:space="0" w:color="auto"/>
        <w:left w:val="none" w:sz="0" w:space="0" w:color="auto"/>
        <w:bottom w:val="none" w:sz="0" w:space="0" w:color="auto"/>
        <w:right w:val="none" w:sz="0" w:space="0" w:color="auto"/>
      </w:divBdr>
    </w:div>
    <w:div w:id="497310332">
      <w:bodyDiv w:val="1"/>
      <w:marLeft w:val="0"/>
      <w:marRight w:val="0"/>
      <w:marTop w:val="0"/>
      <w:marBottom w:val="0"/>
      <w:divBdr>
        <w:top w:val="none" w:sz="0" w:space="0" w:color="auto"/>
        <w:left w:val="none" w:sz="0" w:space="0" w:color="auto"/>
        <w:bottom w:val="none" w:sz="0" w:space="0" w:color="auto"/>
        <w:right w:val="none" w:sz="0" w:space="0" w:color="auto"/>
      </w:divBdr>
    </w:div>
    <w:div w:id="498540225">
      <w:bodyDiv w:val="1"/>
      <w:marLeft w:val="0"/>
      <w:marRight w:val="0"/>
      <w:marTop w:val="0"/>
      <w:marBottom w:val="0"/>
      <w:divBdr>
        <w:top w:val="none" w:sz="0" w:space="0" w:color="auto"/>
        <w:left w:val="none" w:sz="0" w:space="0" w:color="auto"/>
        <w:bottom w:val="none" w:sz="0" w:space="0" w:color="auto"/>
        <w:right w:val="none" w:sz="0" w:space="0" w:color="auto"/>
      </w:divBdr>
    </w:div>
    <w:div w:id="523053892">
      <w:bodyDiv w:val="1"/>
      <w:marLeft w:val="0"/>
      <w:marRight w:val="0"/>
      <w:marTop w:val="0"/>
      <w:marBottom w:val="0"/>
      <w:divBdr>
        <w:top w:val="none" w:sz="0" w:space="0" w:color="auto"/>
        <w:left w:val="none" w:sz="0" w:space="0" w:color="auto"/>
        <w:bottom w:val="none" w:sz="0" w:space="0" w:color="auto"/>
        <w:right w:val="none" w:sz="0" w:space="0" w:color="auto"/>
      </w:divBdr>
    </w:div>
    <w:div w:id="535509507">
      <w:bodyDiv w:val="1"/>
      <w:marLeft w:val="0"/>
      <w:marRight w:val="0"/>
      <w:marTop w:val="0"/>
      <w:marBottom w:val="0"/>
      <w:divBdr>
        <w:top w:val="none" w:sz="0" w:space="0" w:color="auto"/>
        <w:left w:val="none" w:sz="0" w:space="0" w:color="auto"/>
        <w:bottom w:val="none" w:sz="0" w:space="0" w:color="auto"/>
        <w:right w:val="none" w:sz="0" w:space="0" w:color="auto"/>
      </w:divBdr>
    </w:div>
    <w:div w:id="565258870">
      <w:bodyDiv w:val="1"/>
      <w:marLeft w:val="0"/>
      <w:marRight w:val="0"/>
      <w:marTop w:val="0"/>
      <w:marBottom w:val="0"/>
      <w:divBdr>
        <w:top w:val="none" w:sz="0" w:space="0" w:color="auto"/>
        <w:left w:val="none" w:sz="0" w:space="0" w:color="auto"/>
        <w:bottom w:val="none" w:sz="0" w:space="0" w:color="auto"/>
        <w:right w:val="none" w:sz="0" w:space="0" w:color="auto"/>
      </w:divBdr>
    </w:div>
    <w:div w:id="581334172">
      <w:bodyDiv w:val="1"/>
      <w:marLeft w:val="0"/>
      <w:marRight w:val="0"/>
      <w:marTop w:val="0"/>
      <w:marBottom w:val="0"/>
      <w:divBdr>
        <w:top w:val="none" w:sz="0" w:space="0" w:color="auto"/>
        <w:left w:val="none" w:sz="0" w:space="0" w:color="auto"/>
        <w:bottom w:val="none" w:sz="0" w:space="0" w:color="auto"/>
        <w:right w:val="none" w:sz="0" w:space="0" w:color="auto"/>
      </w:divBdr>
    </w:div>
    <w:div w:id="609706614">
      <w:bodyDiv w:val="1"/>
      <w:marLeft w:val="0"/>
      <w:marRight w:val="0"/>
      <w:marTop w:val="0"/>
      <w:marBottom w:val="0"/>
      <w:divBdr>
        <w:top w:val="none" w:sz="0" w:space="0" w:color="auto"/>
        <w:left w:val="none" w:sz="0" w:space="0" w:color="auto"/>
        <w:bottom w:val="none" w:sz="0" w:space="0" w:color="auto"/>
        <w:right w:val="none" w:sz="0" w:space="0" w:color="auto"/>
      </w:divBdr>
    </w:div>
    <w:div w:id="614413053">
      <w:bodyDiv w:val="1"/>
      <w:marLeft w:val="0"/>
      <w:marRight w:val="0"/>
      <w:marTop w:val="0"/>
      <w:marBottom w:val="0"/>
      <w:divBdr>
        <w:top w:val="none" w:sz="0" w:space="0" w:color="auto"/>
        <w:left w:val="none" w:sz="0" w:space="0" w:color="auto"/>
        <w:bottom w:val="none" w:sz="0" w:space="0" w:color="auto"/>
        <w:right w:val="none" w:sz="0" w:space="0" w:color="auto"/>
      </w:divBdr>
    </w:div>
    <w:div w:id="618074164">
      <w:bodyDiv w:val="1"/>
      <w:marLeft w:val="0"/>
      <w:marRight w:val="0"/>
      <w:marTop w:val="0"/>
      <w:marBottom w:val="0"/>
      <w:divBdr>
        <w:top w:val="none" w:sz="0" w:space="0" w:color="auto"/>
        <w:left w:val="none" w:sz="0" w:space="0" w:color="auto"/>
        <w:bottom w:val="none" w:sz="0" w:space="0" w:color="auto"/>
        <w:right w:val="none" w:sz="0" w:space="0" w:color="auto"/>
      </w:divBdr>
    </w:div>
    <w:div w:id="620114179">
      <w:bodyDiv w:val="1"/>
      <w:marLeft w:val="0"/>
      <w:marRight w:val="0"/>
      <w:marTop w:val="0"/>
      <w:marBottom w:val="0"/>
      <w:divBdr>
        <w:top w:val="none" w:sz="0" w:space="0" w:color="auto"/>
        <w:left w:val="none" w:sz="0" w:space="0" w:color="auto"/>
        <w:bottom w:val="none" w:sz="0" w:space="0" w:color="auto"/>
        <w:right w:val="none" w:sz="0" w:space="0" w:color="auto"/>
      </w:divBdr>
    </w:div>
    <w:div w:id="626274222">
      <w:bodyDiv w:val="1"/>
      <w:marLeft w:val="0"/>
      <w:marRight w:val="0"/>
      <w:marTop w:val="0"/>
      <w:marBottom w:val="0"/>
      <w:divBdr>
        <w:top w:val="none" w:sz="0" w:space="0" w:color="auto"/>
        <w:left w:val="none" w:sz="0" w:space="0" w:color="auto"/>
        <w:bottom w:val="none" w:sz="0" w:space="0" w:color="auto"/>
        <w:right w:val="none" w:sz="0" w:space="0" w:color="auto"/>
      </w:divBdr>
    </w:div>
    <w:div w:id="635110560">
      <w:bodyDiv w:val="1"/>
      <w:marLeft w:val="0"/>
      <w:marRight w:val="0"/>
      <w:marTop w:val="0"/>
      <w:marBottom w:val="0"/>
      <w:divBdr>
        <w:top w:val="none" w:sz="0" w:space="0" w:color="auto"/>
        <w:left w:val="none" w:sz="0" w:space="0" w:color="auto"/>
        <w:bottom w:val="none" w:sz="0" w:space="0" w:color="auto"/>
        <w:right w:val="none" w:sz="0" w:space="0" w:color="auto"/>
      </w:divBdr>
    </w:div>
    <w:div w:id="636371527">
      <w:bodyDiv w:val="1"/>
      <w:marLeft w:val="0"/>
      <w:marRight w:val="0"/>
      <w:marTop w:val="0"/>
      <w:marBottom w:val="0"/>
      <w:divBdr>
        <w:top w:val="none" w:sz="0" w:space="0" w:color="auto"/>
        <w:left w:val="none" w:sz="0" w:space="0" w:color="auto"/>
        <w:bottom w:val="none" w:sz="0" w:space="0" w:color="auto"/>
        <w:right w:val="none" w:sz="0" w:space="0" w:color="auto"/>
      </w:divBdr>
    </w:div>
    <w:div w:id="653991047">
      <w:bodyDiv w:val="1"/>
      <w:marLeft w:val="0"/>
      <w:marRight w:val="0"/>
      <w:marTop w:val="0"/>
      <w:marBottom w:val="0"/>
      <w:divBdr>
        <w:top w:val="none" w:sz="0" w:space="0" w:color="auto"/>
        <w:left w:val="none" w:sz="0" w:space="0" w:color="auto"/>
        <w:bottom w:val="none" w:sz="0" w:space="0" w:color="auto"/>
        <w:right w:val="none" w:sz="0" w:space="0" w:color="auto"/>
      </w:divBdr>
    </w:div>
    <w:div w:id="670908365">
      <w:bodyDiv w:val="1"/>
      <w:marLeft w:val="0"/>
      <w:marRight w:val="0"/>
      <w:marTop w:val="0"/>
      <w:marBottom w:val="0"/>
      <w:divBdr>
        <w:top w:val="none" w:sz="0" w:space="0" w:color="auto"/>
        <w:left w:val="none" w:sz="0" w:space="0" w:color="auto"/>
        <w:bottom w:val="none" w:sz="0" w:space="0" w:color="auto"/>
        <w:right w:val="none" w:sz="0" w:space="0" w:color="auto"/>
      </w:divBdr>
    </w:div>
    <w:div w:id="680736536">
      <w:bodyDiv w:val="1"/>
      <w:marLeft w:val="0"/>
      <w:marRight w:val="0"/>
      <w:marTop w:val="0"/>
      <w:marBottom w:val="0"/>
      <w:divBdr>
        <w:top w:val="none" w:sz="0" w:space="0" w:color="auto"/>
        <w:left w:val="none" w:sz="0" w:space="0" w:color="auto"/>
        <w:bottom w:val="none" w:sz="0" w:space="0" w:color="auto"/>
        <w:right w:val="none" w:sz="0" w:space="0" w:color="auto"/>
      </w:divBdr>
    </w:div>
    <w:div w:id="703823758">
      <w:bodyDiv w:val="1"/>
      <w:marLeft w:val="0"/>
      <w:marRight w:val="0"/>
      <w:marTop w:val="0"/>
      <w:marBottom w:val="0"/>
      <w:divBdr>
        <w:top w:val="none" w:sz="0" w:space="0" w:color="auto"/>
        <w:left w:val="none" w:sz="0" w:space="0" w:color="auto"/>
        <w:bottom w:val="none" w:sz="0" w:space="0" w:color="auto"/>
        <w:right w:val="none" w:sz="0" w:space="0" w:color="auto"/>
      </w:divBdr>
    </w:div>
    <w:div w:id="711349297">
      <w:bodyDiv w:val="1"/>
      <w:marLeft w:val="0"/>
      <w:marRight w:val="0"/>
      <w:marTop w:val="0"/>
      <w:marBottom w:val="0"/>
      <w:divBdr>
        <w:top w:val="none" w:sz="0" w:space="0" w:color="auto"/>
        <w:left w:val="none" w:sz="0" w:space="0" w:color="auto"/>
        <w:bottom w:val="none" w:sz="0" w:space="0" w:color="auto"/>
        <w:right w:val="none" w:sz="0" w:space="0" w:color="auto"/>
      </w:divBdr>
    </w:div>
    <w:div w:id="716399120">
      <w:bodyDiv w:val="1"/>
      <w:marLeft w:val="0"/>
      <w:marRight w:val="0"/>
      <w:marTop w:val="0"/>
      <w:marBottom w:val="0"/>
      <w:divBdr>
        <w:top w:val="none" w:sz="0" w:space="0" w:color="auto"/>
        <w:left w:val="none" w:sz="0" w:space="0" w:color="auto"/>
        <w:bottom w:val="none" w:sz="0" w:space="0" w:color="auto"/>
        <w:right w:val="none" w:sz="0" w:space="0" w:color="auto"/>
      </w:divBdr>
    </w:div>
    <w:div w:id="732195528">
      <w:bodyDiv w:val="1"/>
      <w:marLeft w:val="0"/>
      <w:marRight w:val="0"/>
      <w:marTop w:val="0"/>
      <w:marBottom w:val="0"/>
      <w:divBdr>
        <w:top w:val="none" w:sz="0" w:space="0" w:color="auto"/>
        <w:left w:val="none" w:sz="0" w:space="0" w:color="auto"/>
        <w:bottom w:val="none" w:sz="0" w:space="0" w:color="auto"/>
        <w:right w:val="none" w:sz="0" w:space="0" w:color="auto"/>
      </w:divBdr>
    </w:div>
    <w:div w:id="744575870">
      <w:bodyDiv w:val="1"/>
      <w:marLeft w:val="0"/>
      <w:marRight w:val="0"/>
      <w:marTop w:val="0"/>
      <w:marBottom w:val="0"/>
      <w:divBdr>
        <w:top w:val="none" w:sz="0" w:space="0" w:color="auto"/>
        <w:left w:val="none" w:sz="0" w:space="0" w:color="auto"/>
        <w:bottom w:val="none" w:sz="0" w:space="0" w:color="auto"/>
        <w:right w:val="none" w:sz="0" w:space="0" w:color="auto"/>
      </w:divBdr>
    </w:div>
    <w:div w:id="747310690">
      <w:bodyDiv w:val="1"/>
      <w:marLeft w:val="0"/>
      <w:marRight w:val="0"/>
      <w:marTop w:val="0"/>
      <w:marBottom w:val="0"/>
      <w:divBdr>
        <w:top w:val="none" w:sz="0" w:space="0" w:color="auto"/>
        <w:left w:val="none" w:sz="0" w:space="0" w:color="auto"/>
        <w:bottom w:val="none" w:sz="0" w:space="0" w:color="auto"/>
        <w:right w:val="none" w:sz="0" w:space="0" w:color="auto"/>
      </w:divBdr>
    </w:div>
    <w:div w:id="748693208">
      <w:bodyDiv w:val="1"/>
      <w:marLeft w:val="0"/>
      <w:marRight w:val="0"/>
      <w:marTop w:val="0"/>
      <w:marBottom w:val="0"/>
      <w:divBdr>
        <w:top w:val="none" w:sz="0" w:space="0" w:color="auto"/>
        <w:left w:val="none" w:sz="0" w:space="0" w:color="auto"/>
        <w:bottom w:val="none" w:sz="0" w:space="0" w:color="auto"/>
        <w:right w:val="none" w:sz="0" w:space="0" w:color="auto"/>
      </w:divBdr>
    </w:div>
    <w:div w:id="753281421">
      <w:bodyDiv w:val="1"/>
      <w:marLeft w:val="0"/>
      <w:marRight w:val="0"/>
      <w:marTop w:val="0"/>
      <w:marBottom w:val="0"/>
      <w:divBdr>
        <w:top w:val="none" w:sz="0" w:space="0" w:color="auto"/>
        <w:left w:val="none" w:sz="0" w:space="0" w:color="auto"/>
        <w:bottom w:val="none" w:sz="0" w:space="0" w:color="auto"/>
        <w:right w:val="none" w:sz="0" w:space="0" w:color="auto"/>
      </w:divBdr>
    </w:div>
    <w:div w:id="764687108">
      <w:bodyDiv w:val="1"/>
      <w:marLeft w:val="0"/>
      <w:marRight w:val="0"/>
      <w:marTop w:val="0"/>
      <w:marBottom w:val="0"/>
      <w:divBdr>
        <w:top w:val="none" w:sz="0" w:space="0" w:color="auto"/>
        <w:left w:val="none" w:sz="0" w:space="0" w:color="auto"/>
        <w:bottom w:val="none" w:sz="0" w:space="0" w:color="auto"/>
        <w:right w:val="none" w:sz="0" w:space="0" w:color="auto"/>
      </w:divBdr>
    </w:div>
    <w:div w:id="782068340">
      <w:bodyDiv w:val="1"/>
      <w:marLeft w:val="0"/>
      <w:marRight w:val="0"/>
      <w:marTop w:val="0"/>
      <w:marBottom w:val="0"/>
      <w:divBdr>
        <w:top w:val="none" w:sz="0" w:space="0" w:color="auto"/>
        <w:left w:val="none" w:sz="0" w:space="0" w:color="auto"/>
        <w:bottom w:val="none" w:sz="0" w:space="0" w:color="auto"/>
        <w:right w:val="none" w:sz="0" w:space="0" w:color="auto"/>
      </w:divBdr>
    </w:div>
    <w:div w:id="782922211">
      <w:bodyDiv w:val="1"/>
      <w:marLeft w:val="0"/>
      <w:marRight w:val="0"/>
      <w:marTop w:val="0"/>
      <w:marBottom w:val="0"/>
      <w:divBdr>
        <w:top w:val="none" w:sz="0" w:space="0" w:color="auto"/>
        <w:left w:val="none" w:sz="0" w:space="0" w:color="auto"/>
        <w:bottom w:val="none" w:sz="0" w:space="0" w:color="auto"/>
        <w:right w:val="none" w:sz="0" w:space="0" w:color="auto"/>
      </w:divBdr>
    </w:div>
    <w:div w:id="783310658">
      <w:bodyDiv w:val="1"/>
      <w:marLeft w:val="0"/>
      <w:marRight w:val="0"/>
      <w:marTop w:val="0"/>
      <w:marBottom w:val="0"/>
      <w:divBdr>
        <w:top w:val="none" w:sz="0" w:space="0" w:color="auto"/>
        <w:left w:val="none" w:sz="0" w:space="0" w:color="auto"/>
        <w:bottom w:val="none" w:sz="0" w:space="0" w:color="auto"/>
        <w:right w:val="none" w:sz="0" w:space="0" w:color="auto"/>
      </w:divBdr>
    </w:div>
    <w:div w:id="793183534">
      <w:bodyDiv w:val="1"/>
      <w:marLeft w:val="0"/>
      <w:marRight w:val="0"/>
      <w:marTop w:val="0"/>
      <w:marBottom w:val="0"/>
      <w:divBdr>
        <w:top w:val="none" w:sz="0" w:space="0" w:color="auto"/>
        <w:left w:val="none" w:sz="0" w:space="0" w:color="auto"/>
        <w:bottom w:val="none" w:sz="0" w:space="0" w:color="auto"/>
        <w:right w:val="none" w:sz="0" w:space="0" w:color="auto"/>
      </w:divBdr>
    </w:div>
    <w:div w:id="798768938">
      <w:bodyDiv w:val="1"/>
      <w:marLeft w:val="0"/>
      <w:marRight w:val="0"/>
      <w:marTop w:val="0"/>
      <w:marBottom w:val="0"/>
      <w:divBdr>
        <w:top w:val="none" w:sz="0" w:space="0" w:color="auto"/>
        <w:left w:val="none" w:sz="0" w:space="0" w:color="auto"/>
        <w:bottom w:val="none" w:sz="0" w:space="0" w:color="auto"/>
        <w:right w:val="none" w:sz="0" w:space="0" w:color="auto"/>
      </w:divBdr>
    </w:div>
    <w:div w:id="822239415">
      <w:bodyDiv w:val="1"/>
      <w:marLeft w:val="0"/>
      <w:marRight w:val="0"/>
      <w:marTop w:val="0"/>
      <w:marBottom w:val="0"/>
      <w:divBdr>
        <w:top w:val="none" w:sz="0" w:space="0" w:color="auto"/>
        <w:left w:val="none" w:sz="0" w:space="0" w:color="auto"/>
        <w:bottom w:val="none" w:sz="0" w:space="0" w:color="auto"/>
        <w:right w:val="none" w:sz="0" w:space="0" w:color="auto"/>
      </w:divBdr>
    </w:div>
    <w:div w:id="853035856">
      <w:bodyDiv w:val="1"/>
      <w:marLeft w:val="0"/>
      <w:marRight w:val="0"/>
      <w:marTop w:val="0"/>
      <w:marBottom w:val="0"/>
      <w:divBdr>
        <w:top w:val="none" w:sz="0" w:space="0" w:color="auto"/>
        <w:left w:val="none" w:sz="0" w:space="0" w:color="auto"/>
        <w:bottom w:val="none" w:sz="0" w:space="0" w:color="auto"/>
        <w:right w:val="none" w:sz="0" w:space="0" w:color="auto"/>
      </w:divBdr>
    </w:div>
    <w:div w:id="865874233">
      <w:bodyDiv w:val="1"/>
      <w:marLeft w:val="0"/>
      <w:marRight w:val="0"/>
      <w:marTop w:val="0"/>
      <w:marBottom w:val="0"/>
      <w:divBdr>
        <w:top w:val="none" w:sz="0" w:space="0" w:color="auto"/>
        <w:left w:val="none" w:sz="0" w:space="0" w:color="auto"/>
        <w:bottom w:val="none" w:sz="0" w:space="0" w:color="auto"/>
        <w:right w:val="none" w:sz="0" w:space="0" w:color="auto"/>
      </w:divBdr>
    </w:div>
    <w:div w:id="901017108">
      <w:bodyDiv w:val="1"/>
      <w:marLeft w:val="0"/>
      <w:marRight w:val="0"/>
      <w:marTop w:val="0"/>
      <w:marBottom w:val="0"/>
      <w:divBdr>
        <w:top w:val="none" w:sz="0" w:space="0" w:color="auto"/>
        <w:left w:val="none" w:sz="0" w:space="0" w:color="auto"/>
        <w:bottom w:val="none" w:sz="0" w:space="0" w:color="auto"/>
        <w:right w:val="none" w:sz="0" w:space="0" w:color="auto"/>
      </w:divBdr>
    </w:div>
    <w:div w:id="913857890">
      <w:bodyDiv w:val="1"/>
      <w:marLeft w:val="0"/>
      <w:marRight w:val="0"/>
      <w:marTop w:val="0"/>
      <w:marBottom w:val="0"/>
      <w:divBdr>
        <w:top w:val="none" w:sz="0" w:space="0" w:color="auto"/>
        <w:left w:val="none" w:sz="0" w:space="0" w:color="auto"/>
        <w:bottom w:val="none" w:sz="0" w:space="0" w:color="auto"/>
        <w:right w:val="none" w:sz="0" w:space="0" w:color="auto"/>
      </w:divBdr>
    </w:div>
    <w:div w:id="933319639">
      <w:bodyDiv w:val="1"/>
      <w:marLeft w:val="0"/>
      <w:marRight w:val="0"/>
      <w:marTop w:val="0"/>
      <w:marBottom w:val="0"/>
      <w:divBdr>
        <w:top w:val="none" w:sz="0" w:space="0" w:color="auto"/>
        <w:left w:val="none" w:sz="0" w:space="0" w:color="auto"/>
        <w:bottom w:val="none" w:sz="0" w:space="0" w:color="auto"/>
        <w:right w:val="none" w:sz="0" w:space="0" w:color="auto"/>
      </w:divBdr>
    </w:div>
    <w:div w:id="942808143">
      <w:bodyDiv w:val="1"/>
      <w:marLeft w:val="0"/>
      <w:marRight w:val="0"/>
      <w:marTop w:val="0"/>
      <w:marBottom w:val="0"/>
      <w:divBdr>
        <w:top w:val="none" w:sz="0" w:space="0" w:color="auto"/>
        <w:left w:val="none" w:sz="0" w:space="0" w:color="auto"/>
        <w:bottom w:val="none" w:sz="0" w:space="0" w:color="auto"/>
        <w:right w:val="none" w:sz="0" w:space="0" w:color="auto"/>
      </w:divBdr>
    </w:div>
    <w:div w:id="945847963">
      <w:bodyDiv w:val="1"/>
      <w:marLeft w:val="0"/>
      <w:marRight w:val="0"/>
      <w:marTop w:val="0"/>
      <w:marBottom w:val="0"/>
      <w:divBdr>
        <w:top w:val="none" w:sz="0" w:space="0" w:color="auto"/>
        <w:left w:val="none" w:sz="0" w:space="0" w:color="auto"/>
        <w:bottom w:val="none" w:sz="0" w:space="0" w:color="auto"/>
        <w:right w:val="none" w:sz="0" w:space="0" w:color="auto"/>
      </w:divBdr>
    </w:div>
    <w:div w:id="947348504">
      <w:bodyDiv w:val="1"/>
      <w:marLeft w:val="0"/>
      <w:marRight w:val="0"/>
      <w:marTop w:val="0"/>
      <w:marBottom w:val="0"/>
      <w:divBdr>
        <w:top w:val="none" w:sz="0" w:space="0" w:color="auto"/>
        <w:left w:val="none" w:sz="0" w:space="0" w:color="auto"/>
        <w:bottom w:val="none" w:sz="0" w:space="0" w:color="auto"/>
        <w:right w:val="none" w:sz="0" w:space="0" w:color="auto"/>
      </w:divBdr>
    </w:div>
    <w:div w:id="955986380">
      <w:bodyDiv w:val="1"/>
      <w:marLeft w:val="0"/>
      <w:marRight w:val="0"/>
      <w:marTop w:val="0"/>
      <w:marBottom w:val="0"/>
      <w:divBdr>
        <w:top w:val="none" w:sz="0" w:space="0" w:color="auto"/>
        <w:left w:val="none" w:sz="0" w:space="0" w:color="auto"/>
        <w:bottom w:val="none" w:sz="0" w:space="0" w:color="auto"/>
        <w:right w:val="none" w:sz="0" w:space="0" w:color="auto"/>
      </w:divBdr>
    </w:div>
    <w:div w:id="957298105">
      <w:bodyDiv w:val="1"/>
      <w:marLeft w:val="0"/>
      <w:marRight w:val="0"/>
      <w:marTop w:val="0"/>
      <w:marBottom w:val="0"/>
      <w:divBdr>
        <w:top w:val="none" w:sz="0" w:space="0" w:color="auto"/>
        <w:left w:val="none" w:sz="0" w:space="0" w:color="auto"/>
        <w:bottom w:val="none" w:sz="0" w:space="0" w:color="auto"/>
        <w:right w:val="none" w:sz="0" w:space="0" w:color="auto"/>
      </w:divBdr>
    </w:div>
    <w:div w:id="963847631">
      <w:bodyDiv w:val="1"/>
      <w:marLeft w:val="0"/>
      <w:marRight w:val="0"/>
      <w:marTop w:val="0"/>
      <w:marBottom w:val="0"/>
      <w:divBdr>
        <w:top w:val="none" w:sz="0" w:space="0" w:color="auto"/>
        <w:left w:val="none" w:sz="0" w:space="0" w:color="auto"/>
        <w:bottom w:val="none" w:sz="0" w:space="0" w:color="auto"/>
        <w:right w:val="none" w:sz="0" w:space="0" w:color="auto"/>
      </w:divBdr>
    </w:div>
    <w:div w:id="977145903">
      <w:bodyDiv w:val="1"/>
      <w:marLeft w:val="0"/>
      <w:marRight w:val="0"/>
      <w:marTop w:val="0"/>
      <w:marBottom w:val="0"/>
      <w:divBdr>
        <w:top w:val="none" w:sz="0" w:space="0" w:color="auto"/>
        <w:left w:val="none" w:sz="0" w:space="0" w:color="auto"/>
        <w:bottom w:val="none" w:sz="0" w:space="0" w:color="auto"/>
        <w:right w:val="none" w:sz="0" w:space="0" w:color="auto"/>
      </w:divBdr>
    </w:div>
    <w:div w:id="998194373">
      <w:bodyDiv w:val="1"/>
      <w:marLeft w:val="0"/>
      <w:marRight w:val="0"/>
      <w:marTop w:val="0"/>
      <w:marBottom w:val="0"/>
      <w:divBdr>
        <w:top w:val="none" w:sz="0" w:space="0" w:color="auto"/>
        <w:left w:val="none" w:sz="0" w:space="0" w:color="auto"/>
        <w:bottom w:val="none" w:sz="0" w:space="0" w:color="auto"/>
        <w:right w:val="none" w:sz="0" w:space="0" w:color="auto"/>
      </w:divBdr>
    </w:div>
    <w:div w:id="1001422194">
      <w:bodyDiv w:val="1"/>
      <w:marLeft w:val="0"/>
      <w:marRight w:val="0"/>
      <w:marTop w:val="0"/>
      <w:marBottom w:val="0"/>
      <w:divBdr>
        <w:top w:val="none" w:sz="0" w:space="0" w:color="auto"/>
        <w:left w:val="none" w:sz="0" w:space="0" w:color="auto"/>
        <w:bottom w:val="none" w:sz="0" w:space="0" w:color="auto"/>
        <w:right w:val="none" w:sz="0" w:space="0" w:color="auto"/>
      </w:divBdr>
    </w:div>
    <w:div w:id="1005597612">
      <w:bodyDiv w:val="1"/>
      <w:marLeft w:val="0"/>
      <w:marRight w:val="0"/>
      <w:marTop w:val="0"/>
      <w:marBottom w:val="0"/>
      <w:divBdr>
        <w:top w:val="none" w:sz="0" w:space="0" w:color="auto"/>
        <w:left w:val="none" w:sz="0" w:space="0" w:color="auto"/>
        <w:bottom w:val="none" w:sz="0" w:space="0" w:color="auto"/>
        <w:right w:val="none" w:sz="0" w:space="0" w:color="auto"/>
      </w:divBdr>
    </w:div>
    <w:div w:id="1011220976">
      <w:bodyDiv w:val="1"/>
      <w:marLeft w:val="0"/>
      <w:marRight w:val="0"/>
      <w:marTop w:val="0"/>
      <w:marBottom w:val="0"/>
      <w:divBdr>
        <w:top w:val="none" w:sz="0" w:space="0" w:color="auto"/>
        <w:left w:val="none" w:sz="0" w:space="0" w:color="auto"/>
        <w:bottom w:val="none" w:sz="0" w:space="0" w:color="auto"/>
        <w:right w:val="none" w:sz="0" w:space="0" w:color="auto"/>
      </w:divBdr>
    </w:div>
    <w:div w:id="1011444329">
      <w:bodyDiv w:val="1"/>
      <w:marLeft w:val="0"/>
      <w:marRight w:val="0"/>
      <w:marTop w:val="0"/>
      <w:marBottom w:val="0"/>
      <w:divBdr>
        <w:top w:val="none" w:sz="0" w:space="0" w:color="auto"/>
        <w:left w:val="none" w:sz="0" w:space="0" w:color="auto"/>
        <w:bottom w:val="none" w:sz="0" w:space="0" w:color="auto"/>
        <w:right w:val="none" w:sz="0" w:space="0" w:color="auto"/>
      </w:divBdr>
    </w:div>
    <w:div w:id="1017081309">
      <w:bodyDiv w:val="1"/>
      <w:marLeft w:val="0"/>
      <w:marRight w:val="0"/>
      <w:marTop w:val="0"/>
      <w:marBottom w:val="0"/>
      <w:divBdr>
        <w:top w:val="none" w:sz="0" w:space="0" w:color="auto"/>
        <w:left w:val="none" w:sz="0" w:space="0" w:color="auto"/>
        <w:bottom w:val="none" w:sz="0" w:space="0" w:color="auto"/>
        <w:right w:val="none" w:sz="0" w:space="0" w:color="auto"/>
      </w:divBdr>
    </w:div>
    <w:div w:id="1043290211">
      <w:bodyDiv w:val="1"/>
      <w:marLeft w:val="0"/>
      <w:marRight w:val="0"/>
      <w:marTop w:val="0"/>
      <w:marBottom w:val="0"/>
      <w:divBdr>
        <w:top w:val="none" w:sz="0" w:space="0" w:color="auto"/>
        <w:left w:val="none" w:sz="0" w:space="0" w:color="auto"/>
        <w:bottom w:val="none" w:sz="0" w:space="0" w:color="auto"/>
        <w:right w:val="none" w:sz="0" w:space="0" w:color="auto"/>
      </w:divBdr>
    </w:div>
    <w:div w:id="1043674099">
      <w:bodyDiv w:val="1"/>
      <w:marLeft w:val="0"/>
      <w:marRight w:val="0"/>
      <w:marTop w:val="0"/>
      <w:marBottom w:val="0"/>
      <w:divBdr>
        <w:top w:val="none" w:sz="0" w:space="0" w:color="auto"/>
        <w:left w:val="none" w:sz="0" w:space="0" w:color="auto"/>
        <w:bottom w:val="none" w:sz="0" w:space="0" w:color="auto"/>
        <w:right w:val="none" w:sz="0" w:space="0" w:color="auto"/>
      </w:divBdr>
    </w:div>
    <w:div w:id="1048650336">
      <w:bodyDiv w:val="1"/>
      <w:marLeft w:val="0"/>
      <w:marRight w:val="0"/>
      <w:marTop w:val="0"/>
      <w:marBottom w:val="0"/>
      <w:divBdr>
        <w:top w:val="none" w:sz="0" w:space="0" w:color="auto"/>
        <w:left w:val="none" w:sz="0" w:space="0" w:color="auto"/>
        <w:bottom w:val="none" w:sz="0" w:space="0" w:color="auto"/>
        <w:right w:val="none" w:sz="0" w:space="0" w:color="auto"/>
      </w:divBdr>
    </w:div>
    <w:div w:id="1051267991">
      <w:bodyDiv w:val="1"/>
      <w:marLeft w:val="0"/>
      <w:marRight w:val="0"/>
      <w:marTop w:val="0"/>
      <w:marBottom w:val="0"/>
      <w:divBdr>
        <w:top w:val="none" w:sz="0" w:space="0" w:color="auto"/>
        <w:left w:val="none" w:sz="0" w:space="0" w:color="auto"/>
        <w:bottom w:val="none" w:sz="0" w:space="0" w:color="auto"/>
        <w:right w:val="none" w:sz="0" w:space="0" w:color="auto"/>
      </w:divBdr>
    </w:div>
    <w:div w:id="1056003039">
      <w:bodyDiv w:val="1"/>
      <w:marLeft w:val="0"/>
      <w:marRight w:val="0"/>
      <w:marTop w:val="0"/>
      <w:marBottom w:val="0"/>
      <w:divBdr>
        <w:top w:val="none" w:sz="0" w:space="0" w:color="auto"/>
        <w:left w:val="none" w:sz="0" w:space="0" w:color="auto"/>
        <w:bottom w:val="none" w:sz="0" w:space="0" w:color="auto"/>
        <w:right w:val="none" w:sz="0" w:space="0" w:color="auto"/>
      </w:divBdr>
    </w:div>
    <w:div w:id="1088618626">
      <w:bodyDiv w:val="1"/>
      <w:marLeft w:val="0"/>
      <w:marRight w:val="0"/>
      <w:marTop w:val="0"/>
      <w:marBottom w:val="0"/>
      <w:divBdr>
        <w:top w:val="none" w:sz="0" w:space="0" w:color="auto"/>
        <w:left w:val="none" w:sz="0" w:space="0" w:color="auto"/>
        <w:bottom w:val="none" w:sz="0" w:space="0" w:color="auto"/>
        <w:right w:val="none" w:sz="0" w:space="0" w:color="auto"/>
      </w:divBdr>
    </w:div>
    <w:div w:id="1107041488">
      <w:bodyDiv w:val="1"/>
      <w:marLeft w:val="0"/>
      <w:marRight w:val="0"/>
      <w:marTop w:val="0"/>
      <w:marBottom w:val="0"/>
      <w:divBdr>
        <w:top w:val="none" w:sz="0" w:space="0" w:color="auto"/>
        <w:left w:val="none" w:sz="0" w:space="0" w:color="auto"/>
        <w:bottom w:val="none" w:sz="0" w:space="0" w:color="auto"/>
        <w:right w:val="none" w:sz="0" w:space="0" w:color="auto"/>
      </w:divBdr>
    </w:div>
    <w:div w:id="1115709509">
      <w:bodyDiv w:val="1"/>
      <w:marLeft w:val="0"/>
      <w:marRight w:val="0"/>
      <w:marTop w:val="0"/>
      <w:marBottom w:val="0"/>
      <w:divBdr>
        <w:top w:val="none" w:sz="0" w:space="0" w:color="auto"/>
        <w:left w:val="none" w:sz="0" w:space="0" w:color="auto"/>
        <w:bottom w:val="none" w:sz="0" w:space="0" w:color="auto"/>
        <w:right w:val="none" w:sz="0" w:space="0" w:color="auto"/>
      </w:divBdr>
    </w:div>
    <w:div w:id="1117914604">
      <w:bodyDiv w:val="1"/>
      <w:marLeft w:val="0"/>
      <w:marRight w:val="0"/>
      <w:marTop w:val="0"/>
      <w:marBottom w:val="0"/>
      <w:divBdr>
        <w:top w:val="none" w:sz="0" w:space="0" w:color="auto"/>
        <w:left w:val="none" w:sz="0" w:space="0" w:color="auto"/>
        <w:bottom w:val="none" w:sz="0" w:space="0" w:color="auto"/>
        <w:right w:val="none" w:sz="0" w:space="0" w:color="auto"/>
      </w:divBdr>
    </w:div>
    <w:div w:id="1126847884">
      <w:bodyDiv w:val="1"/>
      <w:marLeft w:val="0"/>
      <w:marRight w:val="0"/>
      <w:marTop w:val="0"/>
      <w:marBottom w:val="0"/>
      <w:divBdr>
        <w:top w:val="none" w:sz="0" w:space="0" w:color="auto"/>
        <w:left w:val="none" w:sz="0" w:space="0" w:color="auto"/>
        <w:bottom w:val="none" w:sz="0" w:space="0" w:color="auto"/>
        <w:right w:val="none" w:sz="0" w:space="0" w:color="auto"/>
      </w:divBdr>
    </w:div>
    <w:div w:id="1138033477">
      <w:bodyDiv w:val="1"/>
      <w:marLeft w:val="0"/>
      <w:marRight w:val="0"/>
      <w:marTop w:val="0"/>
      <w:marBottom w:val="0"/>
      <w:divBdr>
        <w:top w:val="none" w:sz="0" w:space="0" w:color="auto"/>
        <w:left w:val="none" w:sz="0" w:space="0" w:color="auto"/>
        <w:bottom w:val="none" w:sz="0" w:space="0" w:color="auto"/>
        <w:right w:val="none" w:sz="0" w:space="0" w:color="auto"/>
      </w:divBdr>
    </w:div>
    <w:div w:id="1150712092">
      <w:bodyDiv w:val="1"/>
      <w:marLeft w:val="0"/>
      <w:marRight w:val="0"/>
      <w:marTop w:val="0"/>
      <w:marBottom w:val="0"/>
      <w:divBdr>
        <w:top w:val="none" w:sz="0" w:space="0" w:color="auto"/>
        <w:left w:val="none" w:sz="0" w:space="0" w:color="auto"/>
        <w:bottom w:val="none" w:sz="0" w:space="0" w:color="auto"/>
        <w:right w:val="none" w:sz="0" w:space="0" w:color="auto"/>
      </w:divBdr>
    </w:div>
    <w:div w:id="1167403099">
      <w:bodyDiv w:val="1"/>
      <w:marLeft w:val="0"/>
      <w:marRight w:val="0"/>
      <w:marTop w:val="0"/>
      <w:marBottom w:val="0"/>
      <w:divBdr>
        <w:top w:val="none" w:sz="0" w:space="0" w:color="auto"/>
        <w:left w:val="none" w:sz="0" w:space="0" w:color="auto"/>
        <w:bottom w:val="none" w:sz="0" w:space="0" w:color="auto"/>
        <w:right w:val="none" w:sz="0" w:space="0" w:color="auto"/>
      </w:divBdr>
    </w:div>
    <w:div w:id="1167943524">
      <w:bodyDiv w:val="1"/>
      <w:marLeft w:val="0"/>
      <w:marRight w:val="0"/>
      <w:marTop w:val="0"/>
      <w:marBottom w:val="0"/>
      <w:divBdr>
        <w:top w:val="none" w:sz="0" w:space="0" w:color="auto"/>
        <w:left w:val="none" w:sz="0" w:space="0" w:color="auto"/>
        <w:bottom w:val="none" w:sz="0" w:space="0" w:color="auto"/>
        <w:right w:val="none" w:sz="0" w:space="0" w:color="auto"/>
      </w:divBdr>
    </w:div>
    <w:div w:id="1170604482">
      <w:bodyDiv w:val="1"/>
      <w:marLeft w:val="0"/>
      <w:marRight w:val="0"/>
      <w:marTop w:val="0"/>
      <w:marBottom w:val="0"/>
      <w:divBdr>
        <w:top w:val="none" w:sz="0" w:space="0" w:color="auto"/>
        <w:left w:val="none" w:sz="0" w:space="0" w:color="auto"/>
        <w:bottom w:val="none" w:sz="0" w:space="0" w:color="auto"/>
        <w:right w:val="none" w:sz="0" w:space="0" w:color="auto"/>
      </w:divBdr>
    </w:div>
    <w:div w:id="1196386617">
      <w:bodyDiv w:val="1"/>
      <w:marLeft w:val="0"/>
      <w:marRight w:val="0"/>
      <w:marTop w:val="0"/>
      <w:marBottom w:val="0"/>
      <w:divBdr>
        <w:top w:val="none" w:sz="0" w:space="0" w:color="auto"/>
        <w:left w:val="none" w:sz="0" w:space="0" w:color="auto"/>
        <w:bottom w:val="none" w:sz="0" w:space="0" w:color="auto"/>
        <w:right w:val="none" w:sz="0" w:space="0" w:color="auto"/>
      </w:divBdr>
    </w:div>
    <w:div w:id="1216814831">
      <w:bodyDiv w:val="1"/>
      <w:marLeft w:val="0"/>
      <w:marRight w:val="0"/>
      <w:marTop w:val="0"/>
      <w:marBottom w:val="0"/>
      <w:divBdr>
        <w:top w:val="none" w:sz="0" w:space="0" w:color="auto"/>
        <w:left w:val="none" w:sz="0" w:space="0" w:color="auto"/>
        <w:bottom w:val="none" w:sz="0" w:space="0" w:color="auto"/>
        <w:right w:val="none" w:sz="0" w:space="0" w:color="auto"/>
      </w:divBdr>
    </w:div>
    <w:div w:id="1220634976">
      <w:bodyDiv w:val="1"/>
      <w:marLeft w:val="0"/>
      <w:marRight w:val="0"/>
      <w:marTop w:val="0"/>
      <w:marBottom w:val="0"/>
      <w:divBdr>
        <w:top w:val="none" w:sz="0" w:space="0" w:color="auto"/>
        <w:left w:val="none" w:sz="0" w:space="0" w:color="auto"/>
        <w:bottom w:val="none" w:sz="0" w:space="0" w:color="auto"/>
        <w:right w:val="none" w:sz="0" w:space="0" w:color="auto"/>
      </w:divBdr>
    </w:div>
    <w:div w:id="1237084587">
      <w:bodyDiv w:val="1"/>
      <w:marLeft w:val="0"/>
      <w:marRight w:val="0"/>
      <w:marTop w:val="0"/>
      <w:marBottom w:val="0"/>
      <w:divBdr>
        <w:top w:val="none" w:sz="0" w:space="0" w:color="auto"/>
        <w:left w:val="none" w:sz="0" w:space="0" w:color="auto"/>
        <w:bottom w:val="none" w:sz="0" w:space="0" w:color="auto"/>
        <w:right w:val="none" w:sz="0" w:space="0" w:color="auto"/>
      </w:divBdr>
    </w:div>
    <w:div w:id="1239444781">
      <w:bodyDiv w:val="1"/>
      <w:marLeft w:val="0"/>
      <w:marRight w:val="0"/>
      <w:marTop w:val="0"/>
      <w:marBottom w:val="0"/>
      <w:divBdr>
        <w:top w:val="none" w:sz="0" w:space="0" w:color="auto"/>
        <w:left w:val="none" w:sz="0" w:space="0" w:color="auto"/>
        <w:bottom w:val="none" w:sz="0" w:space="0" w:color="auto"/>
        <w:right w:val="none" w:sz="0" w:space="0" w:color="auto"/>
      </w:divBdr>
    </w:div>
    <w:div w:id="1243250063">
      <w:bodyDiv w:val="1"/>
      <w:marLeft w:val="0"/>
      <w:marRight w:val="0"/>
      <w:marTop w:val="0"/>
      <w:marBottom w:val="0"/>
      <w:divBdr>
        <w:top w:val="none" w:sz="0" w:space="0" w:color="auto"/>
        <w:left w:val="none" w:sz="0" w:space="0" w:color="auto"/>
        <w:bottom w:val="none" w:sz="0" w:space="0" w:color="auto"/>
        <w:right w:val="none" w:sz="0" w:space="0" w:color="auto"/>
      </w:divBdr>
    </w:div>
    <w:div w:id="1256785550">
      <w:bodyDiv w:val="1"/>
      <w:marLeft w:val="0"/>
      <w:marRight w:val="0"/>
      <w:marTop w:val="0"/>
      <w:marBottom w:val="0"/>
      <w:divBdr>
        <w:top w:val="none" w:sz="0" w:space="0" w:color="auto"/>
        <w:left w:val="none" w:sz="0" w:space="0" w:color="auto"/>
        <w:bottom w:val="none" w:sz="0" w:space="0" w:color="auto"/>
        <w:right w:val="none" w:sz="0" w:space="0" w:color="auto"/>
      </w:divBdr>
    </w:div>
    <w:div w:id="1262373226">
      <w:bodyDiv w:val="1"/>
      <w:marLeft w:val="0"/>
      <w:marRight w:val="0"/>
      <w:marTop w:val="0"/>
      <w:marBottom w:val="0"/>
      <w:divBdr>
        <w:top w:val="none" w:sz="0" w:space="0" w:color="auto"/>
        <w:left w:val="none" w:sz="0" w:space="0" w:color="auto"/>
        <w:bottom w:val="none" w:sz="0" w:space="0" w:color="auto"/>
        <w:right w:val="none" w:sz="0" w:space="0" w:color="auto"/>
      </w:divBdr>
    </w:div>
    <w:div w:id="1301807752">
      <w:bodyDiv w:val="1"/>
      <w:marLeft w:val="0"/>
      <w:marRight w:val="0"/>
      <w:marTop w:val="0"/>
      <w:marBottom w:val="0"/>
      <w:divBdr>
        <w:top w:val="none" w:sz="0" w:space="0" w:color="auto"/>
        <w:left w:val="none" w:sz="0" w:space="0" w:color="auto"/>
        <w:bottom w:val="none" w:sz="0" w:space="0" w:color="auto"/>
        <w:right w:val="none" w:sz="0" w:space="0" w:color="auto"/>
      </w:divBdr>
    </w:div>
    <w:div w:id="1304895073">
      <w:bodyDiv w:val="1"/>
      <w:marLeft w:val="0"/>
      <w:marRight w:val="0"/>
      <w:marTop w:val="0"/>
      <w:marBottom w:val="0"/>
      <w:divBdr>
        <w:top w:val="none" w:sz="0" w:space="0" w:color="auto"/>
        <w:left w:val="none" w:sz="0" w:space="0" w:color="auto"/>
        <w:bottom w:val="none" w:sz="0" w:space="0" w:color="auto"/>
        <w:right w:val="none" w:sz="0" w:space="0" w:color="auto"/>
      </w:divBdr>
    </w:div>
    <w:div w:id="1307931757">
      <w:bodyDiv w:val="1"/>
      <w:marLeft w:val="0"/>
      <w:marRight w:val="0"/>
      <w:marTop w:val="0"/>
      <w:marBottom w:val="0"/>
      <w:divBdr>
        <w:top w:val="none" w:sz="0" w:space="0" w:color="auto"/>
        <w:left w:val="none" w:sz="0" w:space="0" w:color="auto"/>
        <w:bottom w:val="none" w:sz="0" w:space="0" w:color="auto"/>
        <w:right w:val="none" w:sz="0" w:space="0" w:color="auto"/>
      </w:divBdr>
    </w:div>
    <w:div w:id="1308432472">
      <w:bodyDiv w:val="1"/>
      <w:marLeft w:val="0"/>
      <w:marRight w:val="0"/>
      <w:marTop w:val="0"/>
      <w:marBottom w:val="0"/>
      <w:divBdr>
        <w:top w:val="none" w:sz="0" w:space="0" w:color="auto"/>
        <w:left w:val="none" w:sz="0" w:space="0" w:color="auto"/>
        <w:bottom w:val="none" w:sz="0" w:space="0" w:color="auto"/>
        <w:right w:val="none" w:sz="0" w:space="0" w:color="auto"/>
      </w:divBdr>
    </w:div>
    <w:div w:id="1312565499">
      <w:bodyDiv w:val="1"/>
      <w:marLeft w:val="0"/>
      <w:marRight w:val="0"/>
      <w:marTop w:val="0"/>
      <w:marBottom w:val="0"/>
      <w:divBdr>
        <w:top w:val="none" w:sz="0" w:space="0" w:color="auto"/>
        <w:left w:val="none" w:sz="0" w:space="0" w:color="auto"/>
        <w:bottom w:val="none" w:sz="0" w:space="0" w:color="auto"/>
        <w:right w:val="none" w:sz="0" w:space="0" w:color="auto"/>
      </w:divBdr>
    </w:div>
    <w:div w:id="1319310707">
      <w:bodyDiv w:val="1"/>
      <w:marLeft w:val="0"/>
      <w:marRight w:val="0"/>
      <w:marTop w:val="0"/>
      <w:marBottom w:val="0"/>
      <w:divBdr>
        <w:top w:val="none" w:sz="0" w:space="0" w:color="auto"/>
        <w:left w:val="none" w:sz="0" w:space="0" w:color="auto"/>
        <w:bottom w:val="none" w:sz="0" w:space="0" w:color="auto"/>
        <w:right w:val="none" w:sz="0" w:space="0" w:color="auto"/>
      </w:divBdr>
    </w:div>
    <w:div w:id="1327170465">
      <w:bodyDiv w:val="1"/>
      <w:marLeft w:val="0"/>
      <w:marRight w:val="0"/>
      <w:marTop w:val="0"/>
      <w:marBottom w:val="0"/>
      <w:divBdr>
        <w:top w:val="none" w:sz="0" w:space="0" w:color="auto"/>
        <w:left w:val="none" w:sz="0" w:space="0" w:color="auto"/>
        <w:bottom w:val="none" w:sz="0" w:space="0" w:color="auto"/>
        <w:right w:val="none" w:sz="0" w:space="0" w:color="auto"/>
      </w:divBdr>
    </w:div>
    <w:div w:id="1344434950">
      <w:bodyDiv w:val="1"/>
      <w:marLeft w:val="0"/>
      <w:marRight w:val="0"/>
      <w:marTop w:val="0"/>
      <w:marBottom w:val="0"/>
      <w:divBdr>
        <w:top w:val="none" w:sz="0" w:space="0" w:color="auto"/>
        <w:left w:val="none" w:sz="0" w:space="0" w:color="auto"/>
        <w:bottom w:val="none" w:sz="0" w:space="0" w:color="auto"/>
        <w:right w:val="none" w:sz="0" w:space="0" w:color="auto"/>
      </w:divBdr>
    </w:div>
    <w:div w:id="1359162620">
      <w:bodyDiv w:val="1"/>
      <w:marLeft w:val="0"/>
      <w:marRight w:val="0"/>
      <w:marTop w:val="0"/>
      <w:marBottom w:val="0"/>
      <w:divBdr>
        <w:top w:val="none" w:sz="0" w:space="0" w:color="auto"/>
        <w:left w:val="none" w:sz="0" w:space="0" w:color="auto"/>
        <w:bottom w:val="none" w:sz="0" w:space="0" w:color="auto"/>
        <w:right w:val="none" w:sz="0" w:space="0" w:color="auto"/>
      </w:divBdr>
    </w:div>
    <w:div w:id="1373382154">
      <w:bodyDiv w:val="1"/>
      <w:marLeft w:val="0"/>
      <w:marRight w:val="0"/>
      <w:marTop w:val="0"/>
      <w:marBottom w:val="0"/>
      <w:divBdr>
        <w:top w:val="none" w:sz="0" w:space="0" w:color="auto"/>
        <w:left w:val="none" w:sz="0" w:space="0" w:color="auto"/>
        <w:bottom w:val="none" w:sz="0" w:space="0" w:color="auto"/>
        <w:right w:val="none" w:sz="0" w:space="0" w:color="auto"/>
      </w:divBdr>
    </w:div>
    <w:div w:id="1405251599">
      <w:bodyDiv w:val="1"/>
      <w:marLeft w:val="0"/>
      <w:marRight w:val="0"/>
      <w:marTop w:val="0"/>
      <w:marBottom w:val="0"/>
      <w:divBdr>
        <w:top w:val="none" w:sz="0" w:space="0" w:color="auto"/>
        <w:left w:val="none" w:sz="0" w:space="0" w:color="auto"/>
        <w:bottom w:val="none" w:sz="0" w:space="0" w:color="auto"/>
        <w:right w:val="none" w:sz="0" w:space="0" w:color="auto"/>
      </w:divBdr>
    </w:div>
    <w:div w:id="1423914433">
      <w:bodyDiv w:val="1"/>
      <w:marLeft w:val="0"/>
      <w:marRight w:val="0"/>
      <w:marTop w:val="0"/>
      <w:marBottom w:val="0"/>
      <w:divBdr>
        <w:top w:val="none" w:sz="0" w:space="0" w:color="auto"/>
        <w:left w:val="none" w:sz="0" w:space="0" w:color="auto"/>
        <w:bottom w:val="none" w:sz="0" w:space="0" w:color="auto"/>
        <w:right w:val="none" w:sz="0" w:space="0" w:color="auto"/>
      </w:divBdr>
    </w:div>
    <w:div w:id="1426002602">
      <w:bodyDiv w:val="1"/>
      <w:marLeft w:val="0"/>
      <w:marRight w:val="0"/>
      <w:marTop w:val="0"/>
      <w:marBottom w:val="0"/>
      <w:divBdr>
        <w:top w:val="none" w:sz="0" w:space="0" w:color="auto"/>
        <w:left w:val="none" w:sz="0" w:space="0" w:color="auto"/>
        <w:bottom w:val="none" w:sz="0" w:space="0" w:color="auto"/>
        <w:right w:val="none" w:sz="0" w:space="0" w:color="auto"/>
      </w:divBdr>
    </w:div>
    <w:div w:id="1427580946">
      <w:bodyDiv w:val="1"/>
      <w:marLeft w:val="0"/>
      <w:marRight w:val="0"/>
      <w:marTop w:val="0"/>
      <w:marBottom w:val="0"/>
      <w:divBdr>
        <w:top w:val="none" w:sz="0" w:space="0" w:color="auto"/>
        <w:left w:val="none" w:sz="0" w:space="0" w:color="auto"/>
        <w:bottom w:val="none" w:sz="0" w:space="0" w:color="auto"/>
        <w:right w:val="none" w:sz="0" w:space="0" w:color="auto"/>
      </w:divBdr>
    </w:div>
    <w:div w:id="1429236352">
      <w:bodyDiv w:val="1"/>
      <w:marLeft w:val="0"/>
      <w:marRight w:val="0"/>
      <w:marTop w:val="0"/>
      <w:marBottom w:val="0"/>
      <w:divBdr>
        <w:top w:val="none" w:sz="0" w:space="0" w:color="auto"/>
        <w:left w:val="none" w:sz="0" w:space="0" w:color="auto"/>
        <w:bottom w:val="none" w:sz="0" w:space="0" w:color="auto"/>
        <w:right w:val="none" w:sz="0" w:space="0" w:color="auto"/>
      </w:divBdr>
    </w:div>
    <w:div w:id="1453817018">
      <w:bodyDiv w:val="1"/>
      <w:marLeft w:val="0"/>
      <w:marRight w:val="0"/>
      <w:marTop w:val="0"/>
      <w:marBottom w:val="0"/>
      <w:divBdr>
        <w:top w:val="none" w:sz="0" w:space="0" w:color="auto"/>
        <w:left w:val="none" w:sz="0" w:space="0" w:color="auto"/>
        <w:bottom w:val="none" w:sz="0" w:space="0" w:color="auto"/>
        <w:right w:val="none" w:sz="0" w:space="0" w:color="auto"/>
      </w:divBdr>
    </w:div>
    <w:div w:id="1474181259">
      <w:bodyDiv w:val="1"/>
      <w:marLeft w:val="0"/>
      <w:marRight w:val="0"/>
      <w:marTop w:val="0"/>
      <w:marBottom w:val="0"/>
      <w:divBdr>
        <w:top w:val="none" w:sz="0" w:space="0" w:color="auto"/>
        <w:left w:val="none" w:sz="0" w:space="0" w:color="auto"/>
        <w:bottom w:val="none" w:sz="0" w:space="0" w:color="auto"/>
        <w:right w:val="none" w:sz="0" w:space="0" w:color="auto"/>
      </w:divBdr>
    </w:div>
    <w:div w:id="1515534874">
      <w:bodyDiv w:val="1"/>
      <w:marLeft w:val="0"/>
      <w:marRight w:val="0"/>
      <w:marTop w:val="0"/>
      <w:marBottom w:val="0"/>
      <w:divBdr>
        <w:top w:val="none" w:sz="0" w:space="0" w:color="auto"/>
        <w:left w:val="none" w:sz="0" w:space="0" w:color="auto"/>
        <w:bottom w:val="none" w:sz="0" w:space="0" w:color="auto"/>
        <w:right w:val="none" w:sz="0" w:space="0" w:color="auto"/>
      </w:divBdr>
    </w:div>
    <w:div w:id="1533302263">
      <w:bodyDiv w:val="1"/>
      <w:marLeft w:val="0"/>
      <w:marRight w:val="0"/>
      <w:marTop w:val="0"/>
      <w:marBottom w:val="0"/>
      <w:divBdr>
        <w:top w:val="none" w:sz="0" w:space="0" w:color="auto"/>
        <w:left w:val="none" w:sz="0" w:space="0" w:color="auto"/>
        <w:bottom w:val="none" w:sz="0" w:space="0" w:color="auto"/>
        <w:right w:val="none" w:sz="0" w:space="0" w:color="auto"/>
      </w:divBdr>
    </w:div>
    <w:div w:id="1533420221">
      <w:bodyDiv w:val="1"/>
      <w:marLeft w:val="0"/>
      <w:marRight w:val="0"/>
      <w:marTop w:val="0"/>
      <w:marBottom w:val="0"/>
      <w:divBdr>
        <w:top w:val="none" w:sz="0" w:space="0" w:color="auto"/>
        <w:left w:val="none" w:sz="0" w:space="0" w:color="auto"/>
        <w:bottom w:val="none" w:sz="0" w:space="0" w:color="auto"/>
        <w:right w:val="none" w:sz="0" w:space="0" w:color="auto"/>
      </w:divBdr>
    </w:div>
    <w:div w:id="1534539729">
      <w:bodyDiv w:val="1"/>
      <w:marLeft w:val="0"/>
      <w:marRight w:val="0"/>
      <w:marTop w:val="0"/>
      <w:marBottom w:val="0"/>
      <w:divBdr>
        <w:top w:val="none" w:sz="0" w:space="0" w:color="auto"/>
        <w:left w:val="none" w:sz="0" w:space="0" w:color="auto"/>
        <w:bottom w:val="none" w:sz="0" w:space="0" w:color="auto"/>
        <w:right w:val="none" w:sz="0" w:space="0" w:color="auto"/>
      </w:divBdr>
    </w:div>
    <w:div w:id="1540891859">
      <w:bodyDiv w:val="1"/>
      <w:marLeft w:val="0"/>
      <w:marRight w:val="0"/>
      <w:marTop w:val="0"/>
      <w:marBottom w:val="0"/>
      <w:divBdr>
        <w:top w:val="none" w:sz="0" w:space="0" w:color="auto"/>
        <w:left w:val="none" w:sz="0" w:space="0" w:color="auto"/>
        <w:bottom w:val="none" w:sz="0" w:space="0" w:color="auto"/>
        <w:right w:val="none" w:sz="0" w:space="0" w:color="auto"/>
      </w:divBdr>
    </w:div>
    <w:div w:id="1544177817">
      <w:bodyDiv w:val="1"/>
      <w:marLeft w:val="0"/>
      <w:marRight w:val="0"/>
      <w:marTop w:val="0"/>
      <w:marBottom w:val="0"/>
      <w:divBdr>
        <w:top w:val="none" w:sz="0" w:space="0" w:color="auto"/>
        <w:left w:val="none" w:sz="0" w:space="0" w:color="auto"/>
        <w:bottom w:val="none" w:sz="0" w:space="0" w:color="auto"/>
        <w:right w:val="none" w:sz="0" w:space="0" w:color="auto"/>
      </w:divBdr>
    </w:div>
    <w:div w:id="1553610738">
      <w:bodyDiv w:val="1"/>
      <w:marLeft w:val="0"/>
      <w:marRight w:val="0"/>
      <w:marTop w:val="0"/>
      <w:marBottom w:val="0"/>
      <w:divBdr>
        <w:top w:val="none" w:sz="0" w:space="0" w:color="auto"/>
        <w:left w:val="none" w:sz="0" w:space="0" w:color="auto"/>
        <w:bottom w:val="none" w:sz="0" w:space="0" w:color="auto"/>
        <w:right w:val="none" w:sz="0" w:space="0" w:color="auto"/>
      </w:divBdr>
    </w:div>
    <w:div w:id="1561478038">
      <w:bodyDiv w:val="1"/>
      <w:marLeft w:val="0"/>
      <w:marRight w:val="0"/>
      <w:marTop w:val="0"/>
      <w:marBottom w:val="0"/>
      <w:divBdr>
        <w:top w:val="none" w:sz="0" w:space="0" w:color="auto"/>
        <w:left w:val="none" w:sz="0" w:space="0" w:color="auto"/>
        <w:bottom w:val="none" w:sz="0" w:space="0" w:color="auto"/>
        <w:right w:val="none" w:sz="0" w:space="0" w:color="auto"/>
      </w:divBdr>
    </w:div>
    <w:div w:id="1569002237">
      <w:bodyDiv w:val="1"/>
      <w:marLeft w:val="0"/>
      <w:marRight w:val="0"/>
      <w:marTop w:val="0"/>
      <w:marBottom w:val="0"/>
      <w:divBdr>
        <w:top w:val="none" w:sz="0" w:space="0" w:color="auto"/>
        <w:left w:val="none" w:sz="0" w:space="0" w:color="auto"/>
        <w:bottom w:val="none" w:sz="0" w:space="0" w:color="auto"/>
        <w:right w:val="none" w:sz="0" w:space="0" w:color="auto"/>
      </w:divBdr>
    </w:div>
    <w:div w:id="1579827134">
      <w:bodyDiv w:val="1"/>
      <w:marLeft w:val="0"/>
      <w:marRight w:val="0"/>
      <w:marTop w:val="0"/>
      <w:marBottom w:val="0"/>
      <w:divBdr>
        <w:top w:val="none" w:sz="0" w:space="0" w:color="auto"/>
        <w:left w:val="none" w:sz="0" w:space="0" w:color="auto"/>
        <w:bottom w:val="none" w:sz="0" w:space="0" w:color="auto"/>
        <w:right w:val="none" w:sz="0" w:space="0" w:color="auto"/>
      </w:divBdr>
    </w:div>
    <w:div w:id="1581981759">
      <w:bodyDiv w:val="1"/>
      <w:marLeft w:val="0"/>
      <w:marRight w:val="0"/>
      <w:marTop w:val="0"/>
      <w:marBottom w:val="0"/>
      <w:divBdr>
        <w:top w:val="none" w:sz="0" w:space="0" w:color="auto"/>
        <w:left w:val="none" w:sz="0" w:space="0" w:color="auto"/>
        <w:bottom w:val="none" w:sz="0" w:space="0" w:color="auto"/>
        <w:right w:val="none" w:sz="0" w:space="0" w:color="auto"/>
      </w:divBdr>
    </w:div>
    <w:div w:id="1587109977">
      <w:bodyDiv w:val="1"/>
      <w:marLeft w:val="0"/>
      <w:marRight w:val="0"/>
      <w:marTop w:val="0"/>
      <w:marBottom w:val="0"/>
      <w:divBdr>
        <w:top w:val="none" w:sz="0" w:space="0" w:color="auto"/>
        <w:left w:val="none" w:sz="0" w:space="0" w:color="auto"/>
        <w:bottom w:val="none" w:sz="0" w:space="0" w:color="auto"/>
        <w:right w:val="none" w:sz="0" w:space="0" w:color="auto"/>
      </w:divBdr>
    </w:div>
    <w:div w:id="1619529008">
      <w:bodyDiv w:val="1"/>
      <w:marLeft w:val="0"/>
      <w:marRight w:val="0"/>
      <w:marTop w:val="0"/>
      <w:marBottom w:val="0"/>
      <w:divBdr>
        <w:top w:val="none" w:sz="0" w:space="0" w:color="auto"/>
        <w:left w:val="none" w:sz="0" w:space="0" w:color="auto"/>
        <w:bottom w:val="none" w:sz="0" w:space="0" w:color="auto"/>
        <w:right w:val="none" w:sz="0" w:space="0" w:color="auto"/>
      </w:divBdr>
    </w:div>
    <w:div w:id="1629700989">
      <w:bodyDiv w:val="1"/>
      <w:marLeft w:val="0"/>
      <w:marRight w:val="0"/>
      <w:marTop w:val="0"/>
      <w:marBottom w:val="0"/>
      <w:divBdr>
        <w:top w:val="none" w:sz="0" w:space="0" w:color="auto"/>
        <w:left w:val="none" w:sz="0" w:space="0" w:color="auto"/>
        <w:bottom w:val="none" w:sz="0" w:space="0" w:color="auto"/>
        <w:right w:val="none" w:sz="0" w:space="0" w:color="auto"/>
      </w:divBdr>
    </w:div>
    <w:div w:id="1637753582">
      <w:bodyDiv w:val="1"/>
      <w:marLeft w:val="0"/>
      <w:marRight w:val="0"/>
      <w:marTop w:val="0"/>
      <w:marBottom w:val="0"/>
      <w:divBdr>
        <w:top w:val="none" w:sz="0" w:space="0" w:color="auto"/>
        <w:left w:val="none" w:sz="0" w:space="0" w:color="auto"/>
        <w:bottom w:val="none" w:sz="0" w:space="0" w:color="auto"/>
        <w:right w:val="none" w:sz="0" w:space="0" w:color="auto"/>
      </w:divBdr>
    </w:div>
    <w:div w:id="1643658730">
      <w:bodyDiv w:val="1"/>
      <w:marLeft w:val="0"/>
      <w:marRight w:val="0"/>
      <w:marTop w:val="0"/>
      <w:marBottom w:val="0"/>
      <w:divBdr>
        <w:top w:val="none" w:sz="0" w:space="0" w:color="auto"/>
        <w:left w:val="none" w:sz="0" w:space="0" w:color="auto"/>
        <w:bottom w:val="none" w:sz="0" w:space="0" w:color="auto"/>
        <w:right w:val="none" w:sz="0" w:space="0" w:color="auto"/>
      </w:divBdr>
    </w:div>
    <w:div w:id="1661157275">
      <w:bodyDiv w:val="1"/>
      <w:marLeft w:val="0"/>
      <w:marRight w:val="0"/>
      <w:marTop w:val="0"/>
      <w:marBottom w:val="0"/>
      <w:divBdr>
        <w:top w:val="none" w:sz="0" w:space="0" w:color="auto"/>
        <w:left w:val="none" w:sz="0" w:space="0" w:color="auto"/>
        <w:bottom w:val="none" w:sz="0" w:space="0" w:color="auto"/>
        <w:right w:val="none" w:sz="0" w:space="0" w:color="auto"/>
      </w:divBdr>
    </w:div>
    <w:div w:id="1683043498">
      <w:bodyDiv w:val="1"/>
      <w:marLeft w:val="0"/>
      <w:marRight w:val="0"/>
      <w:marTop w:val="0"/>
      <w:marBottom w:val="0"/>
      <w:divBdr>
        <w:top w:val="none" w:sz="0" w:space="0" w:color="auto"/>
        <w:left w:val="none" w:sz="0" w:space="0" w:color="auto"/>
        <w:bottom w:val="none" w:sz="0" w:space="0" w:color="auto"/>
        <w:right w:val="none" w:sz="0" w:space="0" w:color="auto"/>
      </w:divBdr>
    </w:div>
    <w:div w:id="1692415268">
      <w:bodyDiv w:val="1"/>
      <w:marLeft w:val="0"/>
      <w:marRight w:val="0"/>
      <w:marTop w:val="0"/>
      <w:marBottom w:val="0"/>
      <w:divBdr>
        <w:top w:val="none" w:sz="0" w:space="0" w:color="auto"/>
        <w:left w:val="none" w:sz="0" w:space="0" w:color="auto"/>
        <w:bottom w:val="none" w:sz="0" w:space="0" w:color="auto"/>
        <w:right w:val="none" w:sz="0" w:space="0" w:color="auto"/>
      </w:divBdr>
    </w:div>
    <w:div w:id="1693526775">
      <w:bodyDiv w:val="1"/>
      <w:marLeft w:val="0"/>
      <w:marRight w:val="0"/>
      <w:marTop w:val="0"/>
      <w:marBottom w:val="0"/>
      <w:divBdr>
        <w:top w:val="none" w:sz="0" w:space="0" w:color="auto"/>
        <w:left w:val="none" w:sz="0" w:space="0" w:color="auto"/>
        <w:bottom w:val="none" w:sz="0" w:space="0" w:color="auto"/>
        <w:right w:val="none" w:sz="0" w:space="0" w:color="auto"/>
      </w:divBdr>
    </w:div>
    <w:div w:id="1735350939">
      <w:bodyDiv w:val="1"/>
      <w:marLeft w:val="0"/>
      <w:marRight w:val="0"/>
      <w:marTop w:val="0"/>
      <w:marBottom w:val="0"/>
      <w:divBdr>
        <w:top w:val="none" w:sz="0" w:space="0" w:color="auto"/>
        <w:left w:val="none" w:sz="0" w:space="0" w:color="auto"/>
        <w:bottom w:val="none" w:sz="0" w:space="0" w:color="auto"/>
        <w:right w:val="none" w:sz="0" w:space="0" w:color="auto"/>
      </w:divBdr>
    </w:div>
    <w:div w:id="1741558279">
      <w:bodyDiv w:val="1"/>
      <w:marLeft w:val="0"/>
      <w:marRight w:val="0"/>
      <w:marTop w:val="0"/>
      <w:marBottom w:val="0"/>
      <w:divBdr>
        <w:top w:val="none" w:sz="0" w:space="0" w:color="auto"/>
        <w:left w:val="none" w:sz="0" w:space="0" w:color="auto"/>
        <w:bottom w:val="none" w:sz="0" w:space="0" w:color="auto"/>
        <w:right w:val="none" w:sz="0" w:space="0" w:color="auto"/>
      </w:divBdr>
    </w:div>
    <w:div w:id="1743485307">
      <w:bodyDiv w:val="1"/>
      <w:marLeft w:val="0"/>
      <w:marRight w:val="0"/>
      <w:marTop w:val="0"/>
      <w:marBottom w:val="0"/>
      <w:divBdr>
        <w:top w:val="none" w:sz="0" w:space="0" w:color="auto"/>
        <w:left w:val="none" w:sz="0" w:space="0" w:color="auto"/>
        <w:bottom w:val="none" w:sz="0" w:space="0" w:color="auto"/>
        <w:right w:val="none" w:sz="0" w:space="0" w:color="auto"/>
      </w:divBdr>
    </w:div>
    <w:div w:id="1756129930">
      <w:bodyDiv w:val="1"/>
      <w:marLeft w:val="0"/>
      <w:marRight w:val="0"/>
      <w:marTop w:val="0"/>
      <w:marBottom w:val="0"/>
      <w:divBdr>
        <w:top w:val="none" w:sz="0" w:space="0" w:color="auto"/>
        <w:left w:val="none" w:sz="0" w:space="0" w:color="auto"/>
        <w:bottom w:val="none" w:sz="0" w:space="0" w:color="auto"/>
        <w:right w:val="none" w:sz="0" w:space="0" w:color="auto"/>
      </w:divBdr>
    </w:div>
    <w:div w:id="1780830027">
      <w:bodyDiv w:val="1"/>
      <w:marLeft w:val="0"/>
      <w:marRight w:val="0"/>
      <w:marTop w:val="0"/>
      <w:marBottom w:val="0"/>
      <w:divBdr>
        <w:top w:val="none" w:sz="0" w:space="0" w:color="auto"/>
        <w:left w:val="none" w:sz="0" w:space="0" w:color="auto"/>
        <w:bottom w:val="none" w:sz="0" w:space="0" w:color="auto"/>
        <w:right w:val="none" w:sz="0" w:space="0" w:color="auto"/>
      </w:divBdr>
    </w:div>
    <w:div w:id="1795172490">
      <w:bodyDiv w:val="1"/>
      <w:marLeft w:val="0"/>
      <w:marRight w:val="0"/>
      <w:marTop w:val="0"/>
      <w:marBottom w:val="0"/>
      <w:divBdr>
        <w:top w:val="none" w:sz="0" w:space="0" w:color="auto"/>
        <w:left w:val="none" w:sz="0" w:space="0" w:color="auto"/>
        <w:bottom w:val="none" w:sz="0" w:space="0" w:color="auto"/>
        <w:right w:val="none" w:sz="0" w:space="0" w:color="auto"/>
      </w:divBdr>
    </w:div>
    <w:div w:id="1822887211">
      <w:bodyDiv w:val="1"/>
      <w:marLeft w:val="0"/>
      <w:marRight w:val="0"/>
      <w:marTop w:val="0"/>
      <w:marBottom w:val="0"/>
      <w:divBdr>
        <w:top w:val="none" w:sz="0" w:space="0" w:color="auto"/>
        <w:left w:val="none" w:sz="0" w:space="0" w:color="auto"/>
        <w:bottom w:val="none" w:sz="0" w:space="0" w:color="auto"/>
        <w:right w:val="none" w:sz="0" w:space="0" w:color="auto"/>
      </w:divBdr>
    </w:div>
    <w:div w:id="1823696405">
      <w:bodyDiv w:val="1"/>
      <w:marLeft w:val="0"/>
      <w:marRight w:val="0"/>
      <w:marTop w:val="0"/>
      <w:marBottom w:val="0"/>
      <w:divBdr>
        <w:top w:val="none" w:sz="0" w:space="0" w:color="auto"/>
        <w:left w:val="none" w:sz="0" w:space="0" w:color="auto"/>
        <w:bottom w:val="none" w:sz="0" w:space="0" w:color="auto"/>
        <w:right w:val="none" w:sz="0" w:space="0" w:color="auto"/>
      </w:divBdr>
    </w:div>
    <w:div w:id="1842504587">
      <w:bodyDiv w:val="1"/>
      <w:marLeft w:val="0"/>
      <w:marRight w:val="0"/>
      <w:marTop w:val="0"/>
      <w:marBottom w:val="0"/>
      <w:divBdr>
        <w:top w:val="none" w:sz="0" w:space="0" w:color="auto"/>
        <w:left w:val="none" w:sz="0" w:space="0" w:color="auto"/>
        <w:bottom w:val="none" w:sz="0" w:space="0" w:color="auto"/>
        <w:right w:val="none" w:sz="0" w:space="0" w:color="auto"/>
      </w:divBdr>
      <w:divsChild>
        <w:div w:id="1239825889">
          <w:marLeft w:val="0"/>
          <w:marRight w:val="0"/>
          <w:marTop w:val="0"/>
          <w:marBottom w:val="0"/>
          <w:divBdr>
            <w:top w:val="none" w:sz="0" w:space="0" w:color="auto"/>
            <w:left w:val="none" w:sz="0" w:space="0" w:color="auto"/>
            <w:bottom w:val="none" w:sz="0" w:space="0" w:color="auto"/>
            <w:right w:val="none" w:sz="0" w:space="0" w:color="auto"/>
          </w:divBdr>
          <w:divsChild>
            <w:div w:id="1479489809">
              <w:marLeft w:val="0"/>
              <w:marRight w:val="0"/>
              <w:marTop w:val="0"/>
              <w:marBottom w:val="0"/>
              <w:divBdr>
                <w:top w:val="none" w:sz="0" w:space="0" w:color="auto"/>
                <w:left w:val="none" w:sz="0" w:space="0" w:color="auto"/>
                <w:bottom w:val="none" w:sz="0" w:space="0" w:color="auto"/>
                <w:right w:val="none" w:sz="0" w:space="0" w:color="auto"/>
              </w:divBdr>
              <w:divsChild>
                <w:div w:id="839200770">
                  <w:marLeft w:val="0"/>
                  <w:marRight w:val="0"/>
                  <w:marTop w:val="0"/>
                  <w:marBottom w:val="0"/>
                  <w:divBdr>
                    <w:top w:val="none" w:sz="0" w:space="0" w:color="auto"/>
                    <w:left w:val="none" w:sz="0" w:space="0" w:color="auto"/>
                    <w:bottom w:val="none" w:sz="0" w:space="0" w:color="auto"/>
                    <w:right w:val="none" w:sz="0" w:space="0" w:color="auto"/>
                  </w:divBdr>
                  <w:divsChild>
                    <w:div w:id="1467772270">
                      <w:marLeft w:val="150"/>
                      <w:marRight w:val="150"/>
                      <w:marTop w:val="0"/>
                      <w:marBottom w:val="0"/>
                      <w:divBdr>
                        <w:top w:val="none" w:sz="0" w:space="0" w:color="auto"/>
                        <w:left w:val="none" w:sz="0" w:space="0" w:color="auto"/>
                        <w:bottom w:val="none" w:sz="0" w:space="0" w:color="auto"/>
                        <w:right w:val="none" w:sz="0" w:space="0" w:color="auto"/>
                      </w:divBdr>
                      <w:divsChild>
                        <w:div w:id="1498879854">
                          <w:marLeft w:val="0"/>
                          <w:marRight w:val="0"/>
                          <w:marTop w:val="0"/>
                          <w:marBottom w:val="0"/>
                          <w:divBdr>
                            <w:top w:val="none" w:sz="0" w:space="0" w:color="auto"/>
                            <w:left w:val="none" w:sz="0" w:space="0" w:color="auto"/>
                            <w:bottom w:val="none" w:sz="0" w:space="0" w:color="auto"/>
                            <w:right w:val="none" w:sz="0" w:space="0" w:color="auto"/>
                          </w:divBdr>
                          <w:divsChild>
                            <w:div w:id="1488087497">
                              <w:marLeft w:val="0"/>
                              <w:marRight w:val="0"/>
                              <w:marTop w:val="0"/>
                              <w:marBottom w:val="0"/>
                              <w:divBdr>
                                <w:top w:val="none" w:sz="0" w:space="0" w:color="auto"/>
                                <w:left w:val="none" w:sz="0" w:space="0" w:color="auto"/>
                                <w:bottom w:val="none" w:sz="0" w:space="0" w:color="auto"/>
                                <w:right w:val="none" w:sz="0" w:space="0" w:color="auto"/>
                              </w:divBdr>
                              <w:divsChild>
                                <w:div w:id="675033851">
                                  <w:marLeft w:val="0"/>
                                  <w:marRight w:val="0"/>
                                  <w:marTop w:val="0"/>
                                  <w:marBottom w:val="0"/>
                                  <w:divBdr>
                                    <w:top w:val="none" w:sz="0" w:space="0" w:color="auto"/>
                                    <w:left w:val="none" w:sz="0" w:space="0" w:color="auto"/>
                                    <w:bottom w:val="none" w:sz="0" w:space="0" w:color="auto"/>
                                    <w:right w:val="none" w:sz="0" w:space="0" w:color="auto"/>
                                  </w:divBdr>
                                  <w:divsChild>
                                    <w:div w:id="2101632831">
                                      <w:marLeft w:val="0"/>
                                      <w:marRight w:val="0"/>
                                      <w:marTop w:val="0"/>
                                      <w:marBottom w:val="0"/>
                                      <w:divBdr>
                                        <w:top w:val="none" w:sz="0" w:space="0" w:color="auto"/>
                                        <w:left w:val="none" w:sz="0" w:space="0" w:color="auto"/>
                                        <w:bottom w:val="none" w:sz="0" w:space="0" w:color="auto"/>
                                        <w:right w:val="none" w:sz="0" w:space="0" w:color="auto"/>
                                      </w:divBdr>
                                      <w:divsChild>
                                        <w:div w:id="1622420086">
                                          <w:marLeft w:val="0"/>
                                          <w:marRight w:val="0"/>
                                          <w:marTop w:val="0"/>
                                          <w:marBottom w:val="0"/>
                                          <w:divBdr>
                                            <w:top w:val="none" w:sz="0" w:space="0" w:color="auto"/>
                                            <w:left w:val="none" w:sz="0" w:space="0" w:color="auto"/>
                                            <w:bottom w:val="none" w:sz="0" w:space="0" w:color="auto"/>
                                            <w:right w:val="none" w:sz="0" w:space="0" w:color="auto"/>
                                          </w:divBdr>
                                          <w:divsChild>
                                            <w:div w:id="1851799451">
                                              <w:marLeft w:val="0"/>
                                              <w:marRight w:val="0"/>
                                              <w:marTop w:val="0"/>
                                              <w:marBottom w:val="0"/>
                                              <w:divBdr>
                                                <w:top w:val="none" w:sz="0" w:space="0" w:color="auto"/>
                                                <w:left w:val="none" w:sz="0" w:space="0" w:color="auto"/>
                                                <w:bottom w:val="none" w:sz="0" w:space="0" w:color="auto"/>
                                                <w:right w:val="none" w:sz="0" w:space="0" w:color="auto"/>
                                              </w:divBdr>
                                              <w:divsChild>
                                                <w:div w:id="1849561369">
                                                  <w:marLeft w:val="0"/>
                                                  <w:marRight w:val="0"/>
                                                  <w:marTop w:val="0"/>
                                                  <w:marBottom w:val="0"/>
                                                  <w:divBdr>
                                                    <w:top w:val="none" w:sz="0" w:space="0" w:color="auto"/>
                                                    <w:left w:val="none" w:sz="0" w:space="0" w:color="auto"/>
                                                    <w:bottom w:val="none" w:sz="0" w:space="0" w:color="auto"/>
                                                    <w:right w:val="none" w:sz="0" w:space="0" w:color="auto"/>
                                                  </w:divBdr>
                                                  <w:divsChild>
                                                    <w:div w:id="3351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758824">
      <w:bodyDiv w:val="1"/>
      <w:marLeft w:val="0"/>
      <w:marRight w:val="0"/>
      <w:marTop w:val="0"/>
      <w:marBottom w:val="0"/>
      <w:divBdr>
        <w:top w:val="none" w:sz="0" w:space="0" w:color="auto"/>
        <w:left w:val="none" w:sz="0" w:space="0" w:color="auto"/>
        <w:bottom w:val="none" w:sz="0" w:space="0" w:color="auto"/>
        <w:right w:val="none" w:sz="0" w:space="0" w:color="auto"/>
      </w:divBdr>
    </w:div>
    <w:div w:id="1882594940">
      <w:bodyDiv w:val="1"/>
      <w:marLeft w:val="0"/>
      <w:marRight w:val="0"/>
      <w:marTop w:val="0"/>
      <w:marBottom w:val="0"/>
      <w:divBdr>
        <w:top w:val="none" w:sz="0" w:space="0" w:color="auto"/>
        <w:left w:val="none" w:sz="0" w:space="0" w:color="auto"/>
        <w:bottom w:val="none" w:sz="0" w:space="0" w:color="auto"/>
        <w:right w:val="none" w:sz="0" w:space="0" w:color="auto"/>
      </w:divBdr>
    </w:div>
    <w:div w:id="1908998385">
      <w:bodyDiv w:val="1"/>
      <w:marLeft w:val="0"/>
      <w:marRight w:val="0"/>
      <w:marTop w:val="0"/>
      <w:marBottom w:val="0"/>
      <w:divBdr>
        <w:top w:val="none" w:sz="0" w:space="0" w:color="auto"/>
        <w:left w:val="none" w:sz="0" w:space="0" w:color="auto"/>
        <w:bottom w:val="none" w:sz="0" w:space="0" w:color="auto"/>
        <w:right w:val="none" w:sz="0" w:space="0" w:color="auto"/>
      </w:divBdr>
    </w:div>
    <w:div w:id="1932009453">
      <w:bodyDiv w:val="1"/>
      <w:marLeft w:val="0"/>
      <w:marRight w:val="0"/>
      <w:marTop w:val="0"/>
      <w:marBottom w:val="0"/>
      <w:divBdr>
        <w:top w:val="none" w:sz="0" w:space="0" w:color="auto"/>
        <w:left w:val="none" w:sz="0" w:space="0" w:color="auto"/>
        <w:bottom w:val="none" w:sz="0" w:space="0" w:color="auto"/>
        <w:right w:val="none" w:sz="0" w:space="0" w:color="auto"/>
      </w:divBdr>
    </w:div>
    <w:div w:id="1938517873">
      <w:bodyDiv w:val="1"/>
      <w:marLeft w:val="0"/>
      <w:marRight w:val="0"/>
      <w:marTop w:val="0"/>
      <w:marBottom w:val="0"/>
      <w:divBdr>
        <w:top w:val="none" w:sz="0" w:space="0" w:color="auto"/>
        <w:left w:val="none" w:sz="0" w:space="0" w:color="auto"/>
        <w:bottom w:val="none" w:sz="0" w:space="0" w:color="auto"/>
        <w:right w:val="none" w:sz="0" w:space="0" w:color="auto"/>
      </w:divBdr>
    </w:div>
    <w:div w:id="1945917330">
      <w:bodyDiv w:val="1"/>
      <w:marLeft w:val="0"/>
      <w:marRight w:val="0"/>
      <w:marTop w:val="0"/>
      <w:marBottom w:val="0"/>
      <w:divBdr>
        <w:top w:val="none" w:sz="0" w:space="0" w:color="auto"/>
        <w:left w:val="none" w:sz="0" w:space="0" w:color="auto"/>
        <w:bottom w:val="none" w:sz="0" w:space="0" w:color="auto"/>
        <w:right w:val="none" w:sz="0" w:space="0" w:color="auto"/>
      </w:divBdr>
    </w:div>
    <w:div w:id="1966621396">
      <w:bodyDiv w:val="1"/>
      <w:marLeft w:val="0"/>
      <w:marRight w:val="0"/>
      <w:marTop w:val="0"/>
      <w:marBottom w:val="0"/>
      <w:divBdr>
        <w:top w:val="none" w:sz="0" w:space="0" w:color="auto"/>
        <w:left w:val="none" w:sz="0" w:space="0" w:color="auto"/>
        <w:bottom w:val="none" w:sz="0" w:space="0" w:color="auto"/>
        <w:right w:val="none" w:sz="0" w:space="0" w:color="auto"/>
      </w:divBdr>
    </w:div>
    <w:div w:id="1994330651">
      <w:bodyDiv w:val="1"/>
      <w:marLeft w:val="0"/>
      <w:marRight w:val="0"/>
      <w:marTop w:val="0"/>
      <w:marBottom w:val="0"/>
      <w:divBdr>
        <w:top w:val="none" w:sz="0" w:space="0" w:color="auto"/>
        <w:left w:val="none" w:sz="0" w:space="0" w:color="auto"/>
        <w:bottom w:val="none" w:sz="0" w:space="0" w:color="auto"/>
        <w:right w:val="none" w:sz="0" w:space="0" w:color="auto"/>
      </w:divBdr>
    </w:div>
    <w:div w:id="1994522766">
      <w:bodyDiv w:val="1"/>
      <w:marLeft w:val="0"/>
      <w:marRight w:val="0"/>
      <w:marTop w:val="0"/>
      <w:marBottom w:val="0"/>
      <w:divBdr>
        <w:top w:val="none" w:sz="0" w:space="0" w:color="auto"/>
        <w:left w:val="none" w:sz="0" w:space="0" w:color="auto"/>
        <w:bottom w:val="none" w:sz="0" w:space="0" w:color="auto"/>
        <w:right w:val="none" w:sz="0" w:space="0" w:color="auto"/>
      </w:divBdr>
    </w:div>
    <w:div w:id="1998728701">
      <w:bodyDiv w:val="1"/>
      <w:marLeft w:val="0"/>
      <w:marRight w:val="0"/>
      <w:marTop w:val="0"/>
      <w:marBottom w:val="0"/>
      <w:divBdr>
        <w:top w:val="none" w:sz="0" w:space="0" w:color="auto"/>
        <w:left w:val="none" w:sz="0" w:space="0" w:color="auto"/>
        <w:bottom w:val="none" w:sz="0" w:space="0" w:color="auto"/>
        <w:right w:val="none" w:sz="0" w:space="0" w:color="auto"/>
      </w:divBdr>
    </w:div>
    <w:div w:id="2000573087">
      <w:bodyDiv w:val="1"/>
      <w:marLeft w:val="0"/>
      <w:marRight w:val="0"/>
      <w:marTop w:val="0"/>
      <w:marBottom w:val="0"/>
      <w:divBdr>
        <w:top w:val="none" w:sz="0" w:space="0" w:color="auto"/>
        <w:left w:val="none" w:sz="0" w:space="0" w:color="auto"/>
        <w:bottom w:val="none" w:sz="0" w:space="0" w:color="auto"/>
        <w:right w:val="none" w:sz="0" w:space="0" w:color="auto"/>
      </w:divBdr>
    </w:div>
    <w:div w:id="2019232986">
      <w:bodyDiv w:val="1"/>
      <w:marLeft w:val="0"/>
      <w:marRight w:val="0"/>
      <w:marTop w:val="0"/>
      <w:marBottom w:val="0"/>
      <w:divBdr>
        <w:top w:val="none" w:sz="0" w:space="0" w:color="auto"/>
        <w:left w:val="none" w:sz="0" w:space="0" w:color="auto"/>
        <w:bottom w:val="none" w:sz="0" w:space="0" w:color="auto"/>
        <w:right w:val="none" w:sz="0" w:space="0" w:color="auto"/>
      </w:divBdr>
    </w:div>
    <w:div w:id="2026402627">
      <w:bodyDiv w:val="1"/>
      <w:marLeft w:val="0"/>
      <w:marRight w:val="0"/>
      <w:marTop w:val="0"/>
      <w:marBottom w:val="0"/>
      <w:divBdr>
        <w:top w:val="none" w:sz="0" w:space="0" w:color="auto"/>
        <w:left w:val="none" w:sz="0" w:space="0" w:color="auto"/>
        <w:bottom w:val="none" w:sz="0" w:space="0" w:color="auto"/>
        <w:right w:val="none" w:sz="0" w:space="0" w:color="auto"/>
      </w:divBdr>
    </w:div>
    <w:div w:id="2067095941">
      <w:bodyDiv w:val="1"/>
      <w:marLeft w:val="0"/>
      <w:marRight w:val="0"/>
      <w:marTop w:val="0"/>
      <w:marBottom w:val="0"/>
      <w:divBdr>
        <w:top w:val="none" w:sz="0" w:space="0" w:color="auto"/>
        <w:left w:val="none" w:sz="0" w:space="0" w:color="auto"/>
        <w:bottom w:val="none" w:sz="0" w:space="0" w:color="auto"/>
        <w:right w:val="none" w:sz="0" w:space="0" w:color="auto"/>
      </w:divBdr>
    </w:div>
    <w:div w:id="2086561889">
      <w:bodyDiv w:val="1"/>
      <w:marLeft w:val="0"/>
      <w:marRight w:val="0"/>
      <w:marTop w:val="0"/>
      <w:marBottom w:val="0"/>
      <w:divBdr>
        <w:top w:val="none" w:sz="0" w:space="0" w:color="auto"/>
        <w:left w:val="none" w:sz="0" w:space="0" w:color="auto"/>
        <w:bottom w:val="none" w:sz="0" w:space="0" w:color="auto"/>
        <w:right w:val="none" w:sz="0" w:space="0" w:color="auto"/>
      </w:divBdr>
    </w:div>
    <w:div w:id="2094430027">
      <w:bodyDiv w:val="1"/>
      <w:marLeft w:val="0"/>
      <w:marRight w:val="0"/>
      <w:marTop w:val="0"/>
      <w:marBottom w:val="0"/>
      <w:divBdr>
        <w:top w:val="none" w:sz="0" w:space="0" w:color="auto"/>
        <w:left w:val="none" w:sz="0" w:space="0" w:color="auto"/>
        <w:bottom w:val="none" w:sz="0" w:space="0" w:color="auto"/>
        <w:right w:val="none" w:sz="0" w:space="0" w:color="auto"/>
      </w:divBdr>
    </w:div>
    <w:div w:id="2102605859">
      <w:bodyDiv w:val="1"/>
      <w:marLeft w:val="0"/>
      <w:marRight w:val="0"/>
      <w:marTop w:val="0"/>
      <w:marBottom w:val="0"/>
      <w:divBdr>
        <w:top w:val="none" w:sz="0" w:space="0" w:color="auto"/>
        <w:left w:val="none" w:sz="0" w:space="0" w:color="auto"/>
        <w:bottom w:val="none" w:sz="0" w:space="0" w:color="auto"/>
        <w:right w:val="none" w:sz="0" w:space="0" w:color="auto"/>
      </w:divBdr>
    </w:div>
    <w:div w:id="2137215899">
      <w:bodyDiv w:val="1"/>
      <w:marLeft w:val="0"/>
      <w:marRight w:val="0"/>
      <w:marTop w:val="0"/>
      <w:marBottom w:val="0"/>
      <w:divBdr>
        <w:top w:val="none" w:sz="0" w:space="0" w:color="auto"/>
        <w:left w:val="none" w:sz="0" w:space="0" w:color="auto"/>
        <w:bottom w:val="none" w:sz="0" w:space="0" w:color="auto"/>
        <w:right w:val="none" w:sz="0" w:space="0" w:color="auto"/>
      </w:divBdr>
    </w:div>
    <w:div w:id="213957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292B7-87CF-4C54-97A4-E9A39F3F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5209</Words>
  <Characters>28644</Characters>
  <Application>Microsoft Office Word</Application>
  <DocSecurity>0</DocSecurity>
  <Lines>803</Lines>
  <Paragraphs>353</Paragraphs>
  <ScaleCrop>false</ScaleCrop>
  <HeadingPairs>
    <vt:vector size="2" baseType="variant">
      <vt:variant>
        <vt:lpstr>Title</vt:lpstr>
      </vt:variant>
      <vt:variant>
        <vt:i4>1</vt:i4>
      </vt:variant>
    </vt:vector>
  </HeadingPairs>
  <TitlesOfParts>
    <vt:vector size="1" baseType="lpstr">
      <vt:lpstr>Economic and Fiscal Update July 2020</vt:lpstr>
    </vt:vector>
  </TitlesOfParts>
  <Company/>
  <LinksUpToDate>false</LinksUpToDate>
  <CharactersWithSpaces>33635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and Fiscal Update July 2020</dc:title>
  <dc:subject>Budget</dc:subject>
  <dc:creator/>
  <cp:keywords/>
  <dc:description/>
  <cp:lastModifiedBy/>
  <cp:revision>1</cp:revision>
  <dcterms:created xsi:type="dcterms:W3CDTF">2020-07-24T02:15:00Z</dcterms:created>
  <dcterms:modified xsi:type="dcterms:W3CDTF">2020-07-27T06:57:00Z</dcterms:modified>
  <cp:category/>
</cp:coreProperties>
</file>