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B17F" w14:textId="4C174E94" w:rsidR="002959E6" w:rsidRPr="00677D80" w:rsidRDefault="002959E6" w:rsidP="00677D80">
      <w:pPr>
        <w:pStyle w:val="Heading1"/>
      </w:pPr>
      <w:r w:rsidRPr="00677D80">
        <w:t>Part 1: Australian Government Budget Outcome 202</w:t>
      </w:r>
      <w:r w:rsidR="000D046E" w:rsidRPr="00677D80">
        <w:t>2</w:t>
      </w:r>
      <w:r w:rsidR="00E654B6" w:rsidRPr="00677D80">
        <w:t>–</w:t>
      </w:r>
      <w:r w:rsidRPr="00677D80">
        <w:t>2</w:t>
      </w:r>
      <w:r w:rsidR="000D046E" w:rsidRPr="00677D80">
        <w:t>3</w:t>
      </w:r>
    </w:p>
    <w:p w14:paraId="3DC81AE5" w14:textId="5033DE72" w:rsidR="002959E6" w:rsidRPr="00BA13EF" w:rsidRDefault="002959E6" w:rsidP="002959E6">
      <w:pPr>
        <w:pStyle w:val="Heading2"/>
      </w:pPr>
      <w:r w:rsidRPr="00BA13EF">
        <w:t>Overview</w:t>
      </w:r>
    </w:p>
    <w:p w14:paraId="27159C77" w14:textId="39A4AD93" w:rsidR="008D2DF3" w:rsidRPr="00390B7D" w:rsidRDefault="008D2DF3" w:rsidP="008D2DF3">
      <w:r w:rsidRPr="00390B7D">
        <w:t>In 2022</w:t>
      </w:r>
      <w:r w:rsidR="0083530B" w:rsidRPr="00390B7D">
        <w:t>–</w:t>
      </w:r>
      <w:r w:rsidRPr="00390B7D">
        <w:t>23, the Australian Government general government sector recorded an underlying cash surplus of $2</w:t>
      </w:r>
      <w:r w:rsidR="00B0005C" w:rsidRPr="00390B7D">
        <w:t>2.1</w:t>
      </w:r>
      <w:r w:rsidR="002E328D" w:rsidRPr="00390B7D">
        <w:t> billion</w:t>
      </w:r>
      <w:r w:rsidRPr="00390B7D">
        <w:t xml:space="preserve"> (</w:t>
      </w:r>
      <w:r w:rsidR="00F76578" w:rsidRPr="00390B7D">
        <w:t>0.9</w:t>
      </w:r>
      <w:r w:rsidR="002E328D" w:rsidRPr="00390B7D">
        <w:t> per </w:t>
      </w:r>
      <w:r w:rsidRPr="00390B7D">
        <w:t>cent of GDP)</w:t>
      </w:r>
      <w:r w:rsidR="003C11DB" w:rsidRPr="00390B7D">
        <w:t xml:space="preserve">. </w:t>
      </w:r>
      <w:r w:rsidR="00EE172A" w:rsidRPr="00390B7D">
        <w:t>T</w:t>
      </w:r>
      <w:r w:rsidR="003C11DB" w:rsidRPr="00390B7D">
        <w:t>his</w:t>
      </w:r>
      <w:r w:rsidR="006D4FA5" w:rsidRPr="00390B7D">
        <w:t xml:space="preserve"> Final Budget Outcome (FBO)</w:t>
      </w:r>
      <w:r w:rsidR="003C11DB" w:rsidRPr="00390B7D">
        <w:t xml:space="preserve"> </w:t>
      </w:r>
      <w:r w:rsidR="000538CA" w:rsidRPr="00390B7D">
        <w:t>reflect</w:t>
      </w:r>
      <w:r w:rsidR="00B62358" w:rsidRPr="00390B7D">
        <w:t>s</w:t>
      </w:r>
      <w:r w:rsidRPr="00390B7D" w:rsidDel="00FF0880">
        <w:t xml:space="preserve"> Australia</w:t>
      </w:r>
      <w:r w:rsidR="006B57C6" w:rsidRPr="00390B7D">
        <w:t>’</w:t>
      </w:r>
      <w:r w:rsidRPr="00390B7D" w:rsidDel="00FF0880">
        <w:t xml:space="preserve">s </w:t>
      </w:r>
      <w:r w:rsidR="00F17388" w:rsidRPr="00390B7D">
        <w:t>highest</w:t>
      </w:r>
      <w:r w:rsidR="00F17388" w:rsidRPr="00390B7D" w:rsidDel="00FF0880">
        <w:t xml:space="preserve"> </w:t>
      </w:r>
      <w:r w:rsidRPr="00390B7D" w:rsidDel="00FF0880">
        <w:t>ever surplus</w:t>
      </w:r>
      <w:r w:rsidR="00F20E24" w:rsidRPr="00390B7D">
        <w:t xml:space="preserve"> in nominal terms</w:t>
      </w:r>
      <w:r w:rsidR="00A069CD" w:rsidRPr="00390B7D">
        <w:t xml:space="preserve"> and the first since 2007-08.</w:t>
      </w:r>
    </w:p>
    <w:p w14:paraId="5FDC5C54" w14:textId="77777777" w:rsidR="005425FA" w:rsidRDefault="00557A98" w:rsidP="00FA105D">
      <w:r w:rsidRPr="00390B7D">
        <w:t xml:space="preserve">Since </w:t>
      </w:r>
      <w:r w:rsidR="005C185D" w:rsidRPr="00390B7D">
        <w:t>the 2022 Pre</w:t>
      </w:r>
      <w:r w:rsidR="006B57C6" w:rsidRPr="00390B7D">
        <w:noBreakHyphen/>
      </w:r>
      <w:r w:rsidR="00033C32" w:rsidRPr="00390B7D">
        <w:t>e</w:t>
      </w:r>
      <w:r w:rsidR="005C185D" w:rsidRPr="00390B7D">
        <w:t>lection Economic and Fiscal Outlook</w:t>
      </w:r>
      <w:r w:rsidR="00101D5A" w:rsidRPr="00390B7D">
        <w:t xml:space="preserve"> (PEFO)</w:t>
      </w:r>
      <w:r w:rsidR="005C185D" w:rsidRPr="00390B7D">
        <w:t>,</w:t>
      </w:r>
      <w:r w:rsidR="00DD1CA8" w:rsidRPr="00390B7D">
        <w:t xml:space="preserve"> </w:t>
      </w:r>
      <w:r w:rsidR="004960EE" w:rsidRPr="00390B7D">
        <w:t>the underlying cash balance for 2022</w:t>
      </w:r>
      <w:r w:rsidR="0083530B" w:rsidRPr="00390B7D">
        <w:t>–</w:t>
      </w:r>
      <w:r w:rsidR="004960EE" w:rsidRPr="00390B7D">
        <w:t>23 has improved by $</w:t>
      </w:r>
      <w:r w:rsidR="00BF6929" w:rsidRPr="00390B7D">
        <w:t>100.0</w:t>
      </w:r>
      <w:r w:rsidR="002E328D" w:rsidRPr="00390B7D">
        <w:t> billion</w:t>
      </w:r>
      <w:r w:rsidR="00667D4D" w:rsidRPr="00390B7D">
        <w:t xml:space="preserve"> (</w:t>
      </w:r>
      <w:r w:rsidR="009377C1" w:rsidRPr="00390B7D">
        <w:t>4.0</w:t>
      </w:r>
      <w:r w:rsidR="00667D4D" w:rsidRPr="00390B7D">
        <w:t xml:space="preserve"> per cent of GDP)</w:t>
      </w:r>
      <w:r w:rsidR="004960EE" w:rsidRPr="00390B7D">
        <w:t>.</w:t>
      </w:r>
      <w:r w:rsidR="00465751" w:rsidRPr="00390B7D">
        <w:t xml:space="preserve"> </w:t>
      </w:r>
      <w:r w:rsidR="00D42F6B" w:rsidRPr="00390B7D">
        <w:t>This is the largest turnaround in the fiscal position on record between estimate year and outcome</w:t>
      </w:r>
      <w:r w:rsidR="003F55B5" w:rsidRPr="00390B7D">
        <w:t xml:space="preserve"> in nominal terms</w:t>
      </w:r>
      <w:r w:rsidR="00D42F6B" w:rsidRPr="00390B7D">
        <w:t>.</w:t>
      </w:r>
      <w:r w:rsidR="00D66D92">
        <w:t xml:space="preserve"> </w:t>
      </w:r>
    </w:p>
    <w:p w14:paraId="1604164C" w14:textId="3A9FCFBB" w:rsidR="004E547E" w:rsidRDefault="00465751" w:rsidP="00FA105D">
      <w:r w:rsidRPr="00390B7D">
        <w:t>Th</w:t>
      </w:r>
      <w:r w:rsidR="00F97CB7">
        <w:t>e</w:t>
      </w:r>
      <w:r>
        <w:t xml:space="preserve"> </w:t>
      </w:r>
      <w:r w:rsidR="008D6C22" w:rsidRPr="00390B7D">
        <w:t>improvement</w:t>
      </w:r>
      <w:r>
        <w:t xml:space="preserve"> </w:t>
      </w:r>
      <w:r w:rsidR="00F97CB7">
        <w:t xml:space="preserve">in the </w:t>
      </w:r>
      <w:r w:rsidR="00E25CAA">
        <w:t>underlying cash balance</w:t>
      </w:r>
      <w:r w:rsidR="00F97CB7">
        <w:t xml:space="preserve"> has h</w:t>
      </w:r>
      <w:r w:rsidR="00F97CB7" w:rsidRPr="00390B7D">
        <w:t>elped ease inflation when it was at its highest.</w:t>
      </w:r>
      <w:r w:rsidRPr="00390B7D">
        <w:t xml:space="preserve"> </w:t>
      </w:r>
      <w:r w:rsidR="00F97CB7">
        <w:t xml:space="preserve">This </w:t>
      </w:r>
      <w:r w:rsidR="00C924BF" w:rsidRPr="00390B7D">
        <w:t xml:space="preserve">is a direct outcome of </w:t>
      </w:r>
      <w:r w:rsidR="00714A8E" w:rsidRPr="00390B7D">
        <w:t>the Government</w:t>
      </w:r>
      <w:r w:rsidR="00F74E8C" w:rsidRPr="00390B7D">
        <w:t xml:space="preserve"> returning</w:t>
      </w:r>
      <w:r w:rsidR="00B11EC8" w:rsidRPr="00390B7D">
        <w:t xml:space="preserve"> 95</w:t>
      </w:r>
      <w:r w:rsidR="002E328D" w:rsidRPr="00390B7D">
        <w:t> per </w:t>
      </w:r>
      <w:r w:rsidR="00B11EC8" w:rsidRPr="00390B7D">
        <w:t xml:space="preserve">cent of </w:t>
      </w:r>
      <w:r w:rsidR="00C20452" w:rsidRPr="00390B7D">
        <w:t xml:space="preserve">tax receipt </w:t>
      </w:r>
      <w:r w:rsidR="00B11EC8" w:rsidRPr="00390B7D">
        <w:t>u</w:t>
      </w:r>
      <w:r w:rsidR="0075085D" w:rsidRPr="00390B7D">
        <w:t xml:space="preserve">pgrades to the </w:t>
      </w:r>
      <w:r w:rsidR="003D3E52" w:rsidRPr="00390B7D">
        <w:t>B</w:t>
      </w:r>
      <w:r w:rsidR="0075085D" w:rsidRPr="00390B7D">
        <w:t>udget</w:t>
      </w:r>
      <w:r w:rsidR="00C7405F">
        <w:t>.</w:t>
      </w:r>
      <w:r w:rsidR="0073431A" w:rsidRPr="00390B7D">
        <w:t xml:space="preserve"> </w:t>
      </w:r>
      <w:r w:rsidR="009E695C">
        <w:t>The h</w:t>
      </w:r>
      <w:r w:rsidR="007A6157" w:rsidRPr="00390B7D">
        <w:t>igher</w:t>
      </w:r>
      <w:r w:rsidR="00812069">
        <w:t>-</w:t>
      </w:r>
      <w:r w:rsidR="007A6157" w:rsidRPr="00390B7D">
        <w:t>than</w:t>
      </w:r>
      <w:r w:rsidR="00812069">
        <w:t>-</w:t>
      </w:r>
      <w:r w:rsidR="007A6157" w:rsidRPr="00390B7D">
        <w:t>expected tax receipts</w:t>
      </w:r>
      <w:r w:rsidR="001B3B88" w:rsidRPr="00390B7D">
        <w:t xml:space="preserve"> </w:t>
      </w:r>
      <w:r w:rsidR="002762C6" w:rsidRPr="00390B7D">
        <w:t>reflect</w:t>
      </w:r>
      <w:r w:rsidR="004E547E" w:rsidRPr="00390B7D">
        <w:t xml:space="preserve"> </w:t>
      </w:r>
      <w:r w:rsidR="006D634B">
        <w:t>elevated</w:t>
      </w:r>
      <w:r w:rsidR="006D634B" w:rsidRPr="00390B7D">
        <w:t xml:space="preserve"> </w:t>
      </w:r>
      <w:r w:rsidR="004E547E" w:rsidRPr="00390B7D">
        <w:t>commodity prices and a strong</w:t>
      </w:r>
      <w:r w:rsidR="007E2F99" w:rsidRPr="00390B7D">
        <w:t>er</w:t>
      </w:r>
      <w:r w:rsidR="004E547E" w:rsidRPr="00390B7D">
        <w:t xml:space="preserve"> labour market</w:t>
      </w:r>
      <w:r w:rsidR="006D634B">
        <w:t>.</w:t>
      </w:r>
      <w:r w:rsidR="004E547E" w:rsidRPr="00BA13EF">
        <w:t xml:space="preserve">  </w:t>
      </w:r>
    </w:p>
    <w:p w14:paraId="78853E4B" w14:textId="2670E881" w:rsidR="00BC36EF" w:rsidRDefault="00C3737D" w:rsidP="00FA105D">
      <w:r w:rsidRPr="00390B7D">
        <w:t xml:space="preserve">The labour market strengthened in 2022-23. There were more than 14 million Australians with a job, the unemployment rate was </w:t>
      </w:r>
      <w:r w:rsidR="55EBA69A" w:rsidRPr="00390B7D">
        <w:t xml:space="preserve">at </w:t>
      </w:r>
      <w:r w:rsidRPr="00390B7D">
        <w:t>near</w:t>
      </w:r>
      <w:r w:rsidR="37374D60" w:rsidRPr="00390B7D">
        <w:t>-</w:t>
      </w:r>
      <w:r w:rsidRPr="00390B7D">
        <w:t>50</w:t>
      </w:r>
      <w:r w:rsidR="56C86C3F" w:rsidRPr="00390B7D">
        <w:t>-</w:t>
      </w:r>
      <w:r w:rsidRPr="00390B7D">
        <w:t>year lows, participation was near record highs and wage growth picked up to its fastest rate in around a decade. This resilience meant total wage and salary income (compensation of employees) grew by more than 10</w:t>
      </w:r>
      <w:r w:rsidR="00F2728B" w:rsidRPr="00390B7D">
        <w:t> </w:t>
      </w:r>
      <w:r w:rsidRPr="00390B7D">
        <w:t xml:space="preserve">per cent – the highest annual increase in </w:t>
      </w:r>
      <w:r w:rsidR="00B77F99" w:rsidRPr="00390B7D">
        <w:t>3</w:t>
      </w:r>
      <w:r w:rsidRPr="00390B7D">
        <w:t xml:space="preserve">0 years. </w:t>
      </w:r>
    </w:p>
    <w:p w14:paraId="7C51E620" w14:textId="596D9956" w:rsidR="00EA73A3" w:rsidRPr="00390B7D" w:rsidRDefault="007F0ECA" w:rsidP="00FA105D">
      <w:r w:rsidRPr="00390B7D">
        <w:t>T</w:t>
      </w:r>
      <w:r w:rsidR="00C26A3A" w:rsidRPr="00390B7D">
        <w:t>he</w:t>
      </w:r>
      <w:r w:rsidR="00FA105D" w:rsidRPr="00390B7D">
        <w:t xml:space="preserve"> Government</w:t>
      </w:r>
      <w:r w:rsidR="006B57C6" w:rsidRPr="00390B7D">
        <w:t>’</w:t>
      </w:r>
      <w:r w:rsidR="00C26A3A" w:rsidRPr="00390B7D">
        <w:t>s</w:t>
      </w:r>
      <w:r w:rsidR="00C244C5" w:rsidRPr="00390B7D">
        <w:t xml:space="preserve"> </w:t>
      </w:r>
      <w:r w:rsidR="006C5EA4" w:rsidRPr="00390B7D">
        <w:t>responsible</w:t>
      </w:r>
      <w:r w:rsidR="00245D1A" w:rsidRPr="00390B7D">
        <w:t xml:space="preserve"> </w:t>
      </w:r>
      <w:r w:rsidR="00B85888" w:rsidRPr="00390B7D">
        <w:t xml:space="preserve">fiscal </w:t>
      </w:r>
      <w:r w:rsidR="00245D1A" w:rsidRPr="00390B7D">
        <w:t>management</w:t>
      </w:r>
      <w:r w:rsidRPr="00390B7D">
        <w:t xml:space="preserve"> </w:t>
      </w:r>
      <w:r w:rsidR="001D7B9A" w:rsidRPr="00390B7D">
        <w:t>has</w:t>
      </w:r>
      <w:r w:rsidR="001461E5" w:rsidRPr="00390B7D">
        <w:t xml:space="preserve"> resulted in lower debt.</w:t>
      </w:r>
      <w:r w:rsidR="00B143AE" w:rsidRPr="00390B7D">
        <w:t xml:space="preserve"> </w:t>
      </w:r>
      <w:r w:rsidR="007405F0" w:rsidRPr="00390B7D">
        <w:t>Gross debt</w:t>
      </w:r>
      <w:r w:rsidR="007405F0" w:rsidRPr="007405F0">
        <w:t xml:space="preserve"> </w:t>
      </w:r>
      <w:r w:rsidR="007405F0" w:rsidRPr="00390B7D">
        <w:t>was $</w:t>
      </w:r>
      <w:r w:rsidR="000506CA" w:rsidRPr="00390B7D">
        <w:t>889.8</w:t>
      </w:r>
      <w:r w:rsidR="002E328D" w:rsidRPr="00390B7D">
        <w:t> billion</w:t>
      </w:r>
      <w:r w:rsidR="007405F0" w:rsidRPr="00390B7D">
        <w:t xml:space="preserve"> (</w:t>
      </w:r>
      <w:r w:rsidR="006066D3" w:rsidRPr="00390B7D">
        <w:t>35.2</w:t>
      </w:r>
      <w:r w:rsidR="002E328D" w:rsidRPr="00390B7D">
        <w:t> per </w:t>
      </w:r>
      <w:r w:rsidR="006066D3" w:rsidRPr="00390B7D">
        <w:t>cent</w:t>
      </w:r>
      <w:r w:rsidR="007405F0" w:rsidRPr="00390B7D">
        <w:t xml:space="preserve"> of GDP) </w:t>
      </w:r>
      <w:r w:rsidR="00AC5036" w:rsidRPr="00390B7D">
        <w:t>at the end of</w:t>
      </w:r>
      <w:r w:rsidR="007405F0" w:rsidRPr="00390B7D">
        <w:t xml:space="preserve"> 2022</w:t>
      </w:r>
      <w:r w:rsidR="00590D77" w:rsidRPr="00390B7D">
        <w:t>–</w:t>
      </w:r>
      <w:r w:rsidR="007405F0" w:rsidRPr="00390B7D">
        <w:t>23, $</w:t>
      </w:r>
      <w:r w:rsidR="002C416F" w:rsidRPr="00390B7D">
        <w:t>87.2</w:t>
      </w:r>
      <w:r w:rsidR="002E328D" w:rsidRPr="00390B7D">
        <w:t> billion</w:t>
      </w:r>
      <w:r w:rsidR="007405F0" w:rsidRPr="00390B7D">
        <w:t xml:space="preserve"> lower than</w:t>
      </w:r>
      <w:r w:rsidR="00FB7CF2" w:rsidRPr="00390B7D">
        <w:t xml:space="preserve"> </w:t>
      </w:r>
      <w:r w:rsidR="0042377F" w:rsidRPr="00390B7D">
        <w:t xml:space="preserve">expected </w:t>
      </w:r>
      <w:r w:rsidR="00FB7CF2" w:rsidRPr="00390B7D">
        <w:t>at</w:t>
      </w:r>
      <w:r w:rsidR="007405F0" w:rsidRPr="00390B7D">
        <w:t xml:space="preserve"> PEFO.</w:t>
      </w:r>
      <w:r w:rsidR="00E958CE" w:rsidRPr="00390B7D">
        <w:t xml:space="preserve"> Net debt was $491.0 billion (19.4 per cent of GDP), $</w:t>
      </w:r>
      <w:r w:rsidR="00886F10" w:rsidRPr="00390B7D">
        <w:t>223.9</w:t>
      </w:r>
      <w:r w:rsidR="00E958CE" w:rsidRPr="00390B7D">
        <w:t xml:space="preserve"> billion lower than </w:t>
      </w:r>
      <w:r w:rsidR="00F62537" w:rsidRPr="00390B7D">
        <w:t>expected</w:t>
      </w:r>
      <w:r w:rsidR="00E958CE" w:rsidRPr="00390B7D">
        <w:t xml:space="preserve"> </w:t>
      </w:r>
      <w:r w:rsidR="004569D8" w:rsidRPr="00390B7D">
        <w:t>at PEFO</w:t>
      </w:r>
      <w:r w:rsidR="009400B6" w:rsidRPr="00390B7D">
        <w:t>.</w:t>
      </w:r>
      <w:r w:rsidR="0042377F" w:rsidRPr="00390B7D">
        <w:t xml:space="preserve"> Lower debt today will </w:t>
      </w:r>
      <w:r w:rsidR="00F3087B" w:rsidRPr="00390B7D">
        <w:t>result in lower interest payments over the medium term.</w:t>
      </w:r>
    </w:p>
    <w:p w14:paraId="117ED9BF" w14:textId="3C5A0248" w:rsidR="008D2DF3" w:rsidRDefault="008D2DF3" w:rsidP="008D2DF3">
      <w:r w:rsidRPr="00390B7D">
        <w:t>The 2022</w:t>
      </w:r>
      <w:r w:rsidR="0083530B" w:rsidRPr="00390B7D">
        <w:t>–</w:t>
      </w:r>
      <w:r w:rsidRPr="00390B7D">
        <w:t xml:space="preserve">23 </w:t>
      </w:r>
      <w:r w:rsidR="008E1842" w:rsidRPr="00390B7D">
        <w:t>outcome</w:t>
      </w:r>
      <w:r w:rsidRPr="00390B7D">
        <w:t xml:space="preserve"> </w:t>
      </w:r>
      <w:r w:rsidR="007C63BA" w:rsidRPr="00390B7D">
        <w:t xml:space="preserve">represents an improvement in the </w:t>
      </w:r>
      <w:r w:rsidR="003F4E00" w:rsidRPr="00390B7D">
        <w:t xml:space="preserve">underlying cash surplus of </w:t>
      </w:r>
      <w:r w:rsidRPr="00390B7D">
        <w:t>$17.</w:t>
      </w:r>
      <w:r w:rsidR="0008729B" w:rsidRPr="00390B7D">
        <w:t>9</w:t>
      </w:r>
      <w:r w:rsidR="002E328D" w:rsidRPr="00390B7D">
        <w:t> billion</w:t>
      </w:r>
      <w:r w:rsidRPr="00390B7D">
        <w:t xml:space="preserve"> compared with the surplus estimated </w:t>
      </w:r>
      <w:r w:rsidR="00646033" w:rsidRPr="00390B7D">
        <w:t xml:space="preserve">in </w:t>
      </w:r>
      <w:r w:rsidRPr="00390B7D">
        <w:t>the 2023</w:t>
      </w:r>
      <w:r w:rsidR="0083530B" w:rsidRPr="00390B7D">
        <w:t>–</w:t>
      </w:r>
      <w:r w:rsidRPr="00390B7D">
        <w:t>24 Budget. Receipt</w:t>
      </w:r>
      <w:r w:rsidR="00A46F67" w:rsidRPr="00390B7D">
        <w:t>s</w:t>
      </w:r>
      <w:r w:rsidRPr="00390B7D">
        <w:t xml:space="preserve"> were $13.</w:t>
      </w:r>
      <w:r w:rsidR="001F10BE" w:rsidRPr="00390B7D">
        <w:t>9</w:t>
      </w:r>
      <w:r w:rsidR="002E328D" w:rsidRPr="00390B7D">
        <w:t> billion</w:t>
      </w:r>
      <w:r w:rsidRPr="00390B7D">
        <w:t xml:space="preserve"> higher than expected, </w:t>
      </w:r>
      <w:r w:rsidR="00231BAB" w:rsidRPr="00390B7D">
        <w:t xml:space="preserve">primarily </w:t>
      </w:r>
      <w:r w:rsidR="009333B5" w:rsidRPr="00390B7D">
        <w:t>driven by</w:t>
      </w:r>
      <w:r w:rsidR="009243EA" w:rsidRPr="00390B7D">
        <w:t xml:space="preserve"> strong company tax</w:t>
      </w:r>
      <w:r w:rsidR="00B21A9E" w:rsidRPr="00390B7D">
        <w:t xml:space="preserve"> returns</w:t>
      </w:r>
      <w:r w:rsidR="000D17C1" w:rsidRPr="00390B7D">
        <w:t>.</w:t>
      </w:r>
      <w:r w:rsidR="008E2BD4" w:rsidRPr="00390B7D">
        <w:t xml:space="preserve"> </w:t>
      </w:r>
      <w:r w:rsidRPr="00390B7D">
        <w:t>Payments were $4.</w:t>
      </w:r>
      <w:r w:rsidR="000241F1" w:rsidRPr="00390B7D">
        <w:t>0</w:t>
      </w:r>
      <w:r w:rsidR="002E328D" w:rsidRPr="00390B7D">
        <w:t> billion</w:t>
      </w:r>
      <w:r w:rsidRPr="00390B7D">
        <w:t xml:space="preserve"> lower</w:t>
      </w:r>
      <w:r w:rsidR="00A60327" w:rsidRPr="00390B7D">
        <w:t xml:space="preserve"> </w:t>
      </w:r>
      <w:r w:rsidRPr="00390B7D">
        <w:t>than</w:t>
      </w:r>
      <w:r w:rsidR="00A60327" w:rsidRPr="00390B7D">
        <w:t xml:space="preserve"> </w:t>
      </w:r>
      <w:r w:rsidR="00DB59B2" w:rsidRPr="00390B7D">
        <w:t>estimated in the Budget</w:t>
      </w:r>
      <w:r w:rsidR="00BA2AA5" w:rsidRPr="00390B7D">
        <w:t xml:space="preserve">, reducing </w:t>
      </w:r>
      <w:r w:rsidR="00324D0B" w:rsidRPr="00390B7D">
        <w:t>real growth</w:t>
      </w:r>
      <w:r w:rsidR="00472F26" w:rsidRPr="00390B7D">
        <w:t xml:space="preserve"> in payments</w:t>
      </w:r>
      <w:r w:rsidR="00324D0B" w:rsidRPr="00390B7D">
        <w:t xml:space="preserve"> </w:t>
      </w:r>
      <w:r w:rsidR="00B92ED7" w:rsidRPr="00390B7D">
        <w:t>to</w:t>
      </w:r>
      <w:r w:rsidR="00324D0B" w:rsidRPr="00390B7D">
        <w:t xml:space="preserve"> </w:t>
      </w:r>
      <w:r w:rsidR="006B57C6" w:rsidRPr="00390B7D">
        <w:noBreakHyphen/>
      </w:r>
      <w:r w:rsidR="00324D0B" w:rsidRPr="00390B7D">
        <w:t>4.9</w:t>
      </w:r>
      <w:r w:rsidR="002E328D" w:rsidRPr="00390B7D">
        <w:t> per </w:t>
      </w:r>
      <w:r w:rsidR="00324D0B" w:rsidRPr="00390B7D">
        <w:t>cent</w:t>
      </w:r>
      <w:r w:rsidR="006829C7" w:rsidRPr="00390B7D">
        <w:t xml:space="preserve"> in 2022</w:t>
      </w:r>
      <w:r w:rsidR="00590D77" w:rsidRPr="00390B7D">
        <w:t>–</w:t>
      </w:r>
      <w:r w:rsidR="006829C7" w:rsidRPr="00390B7D">
        <w:t>23</w:t>
      </w:r>
      <w:r w:rsidR="00085778" w:rsidRPr="00390B7D">
        <w:t>.</w:t>
      </w:r>
      <w:r w:rsidR="00324D0B" w:rsidRPr="00390B7D">
        <w:t xml:space="preserve"> </w:t>
      </w:r>
      <w:r w:rsidR="001A7C3B" w:rsidRPr="00390B7D">
        <w:t xml:space="preserve">The </w:t>
      </w:r>
      <w:r w:rsidR="00D35F5C" w:rsidRPr="00390B7D">
        <w:t xml:space="preserve">outcome for payments is largely </w:t>
      </w:r>
      <w:r w:rsidRPr="00390B7D">
        <w:t xml:space="preserve">driven by lower demand </w:t>
      </w:r>
      <w:r w:rsidR="007C10CE" w:rsidRPr="00390B7D">
        <w:t xml:space="preserve">for some programs </w:t>
      </w:r>
      <w:r w:rsidR="0065039F" w:rsidRPr="00390B7D">
        <w:t>and</w:t>
      </w:r>
      <w:r w:rsidRPr="00390B7D">
        <w:t xml:space="preserve"> </w:t>
      </w:r>
      <w:r w:rsidR="0070302A" w:rsidRPr="00390B7D">
        <w:t>reflect</w:t>
      </w:r>
      <w:r w:rsidR="00F07B99" w:rsidRPr="00390B7D">
        <w:t>s</w:t>
      </w:r>
      <w:r w:rsidRPr="00390B7D">
        <w:t xml:space="preserve"> </w:t>
      </w:r>
      <w:r w:rsidR="00031AF7" w:rsidRPr="00390B7D">
        <w:t xml:space="preserve">delays in </w:t>
      </w:r>
      <w:r w:rsidR="00FF31F7" w:rsidRPr="00390B7D">
        <w:t>some payments</w:t>
      </w:r>
      <w:r w:rsidRPr="00390B7D">
        <w:t>,</w:t>
      </w:r>
      <w:r w:rsidR="008F4937" w:rsidRPr="00390B7D">
        <w:t xml:space="preserve"> due to ongoing market capacity constraints</w:t>
      </w:r>
      <w:r w:rsidRPr="00390B7D">
        <w:t xml:space="preserve">. </w:t>
      </w:r>
      <w:r w:rsidR="007946B8" w:rsidRPr="00390B7D">
        <w:t>Payments</w:t>
      </w:r>
      <w:r w:rsidR="00361B0C" w:rsidRPr="00390B7D">
        <w:t xml:space="preserve"> for </w:t>
      </w:r>
      <w:r w:rsidR="00EA7240" w:rsidRPr="00390B7D">
        <w:t xml:space="preserve">a number </w:t>
      </w:r>
      <w:r w:rsidR="00E01BB2" w:rsidRPr="00390B7D">
        <w:t xml:space="preserve">of </w:t>
      </w:r>
      <w:r w:rsidR="00D266FC" w:rsidRPr="00390B7D">
        <w:t>a</w:t>
      </w:r>
      <w:r w:rsidR="00361B0C" w:rsidRPr="00390B7D">
        <w:t>ffected</w:t>
      </w:r>
      <w:r w:rsidR="00103F4F" w:rsidRPr="00390B7D">
        <w:t xml:space="preserve"> </w:t>
      </w:r>
      <w:r w:rsidR="00AC2C4E" w:rsidRPr="00390B7D">
        <w:t xml:space="preserve">programs </w:t>
      </w:r>
      <w:r w:rsidR="00E87A6C" w:rsidRPr="00390B7D">
        <w:t xml:space="preserve">are </w:t>
      </w:r>
      <w:r w:rsidRPr="00390B7D">
        <w:t xml:space="preserve">expected to </w:t>
      </w:r>
      <w:r w:rsidR="00383A32" w:rsidRPr="00390B7D">
        <w:t xml:space="preserve">occur, instead, </w:t>
      </w:r>
      <w:r w:rsidRPr="00390B7D">
        <w:t xml:space="preserve">in </w:t>
      </w:r>
      <w:r w:rsidR="002E10F5" w:rsidRPr="00390B7D">
        <w:t>2023</w:t>
      </w:r>
      <w:r w:rsidR="0083530B" w:rsidRPr="00390B7D">
        <w:t>–</w:t>
      </w:r>
      <w:r w:rsidR="002E10F5" w:rsidRPr="00390B7D">
        <w:t>24 and</w:t>
      </w:r>
      <w:r w:rsidR="00E75652" w:rsidRPr="00390B7D">
        <w:t xml:space="preserve"> </w:t>
      </w:r>
      <w:r w:rsidR="000176D3" w:rsidRPr="00390B7D">
        <w:t>beyond</w:t>
      </w:r>
      <w:r w:rsidR="00D02596" w:rsidRPr="00390B7D">
        <w:t>.</w:t>
      </w:r>
    </w:p>
    <w:p w14:paraId="6CAFDE8C" w14:textId="69C9FC32" w:rsidR="00176907" w:rsidRDefault="00120EE8" w:rsidP="00C04064">
      <w:r>
        <w:t xml:space="preserve"> </w:t>
      </w:r>
    </w:p>
    <w:p w14:paraId="04DCFBAF" w14:textId="77777777" w:rsidR="0083530B" w:rsidRDefault="0083530B">
      <w:pPr>
        <w:spacing w:before="0" w:after="160" w:line="259" w:lineRule="auto"/>
      </w:pPr>
      <w:r>
        <w:br w:type="page"/>
      </w:r>
    </w:p>
    <w:p w14:paraId="35466CD5" w14:textId="77777777" w:rsidR="0083530B" w:rsidRDefault="0083530B" w:rsidP="00C04064"/>
    <w:p w14:paraId="48E8C45A" w14:textId="6D1AC965" w:rsidR="000036D2" w:rsidRPr="00390B7D" w:rsidRDefault="002959E6" w:rsidP="000036D2">
      <w:pPr>
        <w:pStyle w:val="TableHeading"/>
        <w:rPr>
          <w:rFonts w:asciiTheme="minorHAnsi" w:eastAsiaTheme="minorHAnsi" w:hAnsiTheme="minorHAnsi" w:cstheme="minorBidi"/>
          <w:sz w:val="22"/>
          <w:szCs w:val="22"/>
          <w:lang w:eastAsia="en-US"/>
        </w:rPr>
      </w:pPr>
      <w:r w:rsidRPr="00390B7D">
        <w:t xml:space="preserve">Table 1.1: Overview of key Australian Government general government sector budget aggregates </w:t>
      </w:r>
      <w:bookmarkStart w:id="0" w:name="_1756716086"/>
      <w:bookmarkEnd w:id="0"/>
    </w:p>
    <w:tbl>
      <w:tblPr>
        <w:tblW w:w="5000" w:type="pct"/>
        <w:tblCellMar>
          <w:left w:w="0" w:type="dxa"/>
          <w:right w:w="28" w:type="dxa"/>
        </w:tblCellMar>
        <w:tblLook w:val="04A0" w:firstRow="1" w:lastRow="0" w:firstColumn="1" w:lastColumn="0" w:noHBand="0" w:noVBand="1"/>
      </w:tblPr>
      <w:tblGrid>
        <w:gridCol w:w="2409"/>
        <w:gridCol w:w="1294"/>
        <w:gridCol w:w="1351"/>
        <w:gridCol w:w="990"/>
        <w:gridCol w:w="793"/>
        <w:gridCol w:w="873"/>
      </w:tblGrid>
      <w:tr w:rsidR="000036D2" w:rsidRPr="00390B7D" w14:paraId="6ED91C79" w14:textId="77777777" w:rsidTr="00F832FC">
        <w:trPr>
          <w:divId w:val="1225023726"/>
          <w:trHeight w:hRule="exact" w:val="225"/>
        </w:trPr>
        <w:tc>
          <w:tcPr>
            <w:tcW w:w="1563" w:type="pct"/>
            <w:tcBorders>
              <w:top w:val="single" w:sz="4" w:space="0" w:color="293F5B"/>
              <w:left w:val="nil"/>
              <w:bottom w:val="nil"/>
              <w:right w:val="nil"/>
            </w:tcBorders>
            <w:shd w:val="clear" w:color="000000" w:fill="FFFFFF"/>
            <w:noWrap/>
            <w:vAlign w:val="center"/>
            <w:hideMark/>
          </w:tcPr>
          <w:p w14:paraId="3FCD359A" w14:textId="27642B95" w:rsidR="000036D2" w:rsidRPr="00390B7D" w:rsidRDefault="000036D2" w:rsidP="000036D2">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839" w:type="pct"/>
            <w:tcBorders>
              <w:top w:val="single" w:sz="4" w:space="0" w:color="293F5B"/>
              <w:left w:val="nil"/>
              <w:bottom w:val="nil"/>
              <w:right w:val="nil"/>
            </w:tcBorders>
            <w:shd w:val="clear" w:color="000000" w:fill="FFFFFF"/>
            <w:noWrap/>
            <w:vAlign w:val="center"/>
            <w:hideMark/>
          </w:tcPr>
          <w:p w14:paraId="3E8E2D96"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2022-23</w:t>
            </w:r>
          </w:p>
        </w:tc>
        <w:tc>
          <w:tcPr>
            <w:tcW w:w="876" w:type="pct"/>
            <w:tcBorders>
              <w:top w:val="single" w:sz="4" w:space="0" w:color="293F5B"/>
              <w:left w:val="nil"/>
              <w:bottom w:val="nil"/>
              <w:right w:val="nil"/>
            </w:tcBorders>
            <w:shd w:val="clear" w:color="000000" w:fill="FFFFFF"/>
            <w:noWrap/>
            <w:vAlign w:val="center"/>
            <w:hideMark/>
          </w:tcPr>
          <w:p w14:paraId="6F77A8C2"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2022-23</w:t>
            </w:r>
          </w:p>
        </w:tc>
        <w:tc>
          <w:tcPr>
            <w:tcW w:w="642" w:type="pct"/>
            <w:tcBorders>
              <w:top w:val="single" w:sz="4" w:space="0" w:color="293F5B"/>
              <w:left w:val="nil"/>
              <w:bottom w:val="nil"/>
              <w:right w:val="nil"/>
            </w:tcBorders>
            <w:shd w:val="clear" w:color="000000" w:fill="FFFFFF"/>
            <w:noWrap/>
            <w:vAlign w:val="center"/>
            <w:hideMark/>
          </w:tcPr>
          <w:p w14:paraId="5C920F70"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2022-23</w:t>
            </w:r>
          </w:p>
        </w:tc>
        <w:tc>
          <w:tcPr>
            <w:tcW w:w="514" w:type="pct"/>
            <w:tcBorders>
              <w:top w:val="single" w:sz="4" w:space="0" w:color="293F5B"/>
              <w:left w:val="nil"/>
              <w:bottom w:val="nil"/>
              <w:right w:val="nil"/>
            </w:tcBorders>
            <w:shd w:val="clear" w:color="000000" w:fill="E6F2FF"/>
            <w:noWrap/>
            <w:vAlign w:val="center"/>
            <w:hideMark/>
          </w:tcPr>
          <w:p w14:paraId="6A672A5B"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2022-23</w:t>
            </w:r>
          </w:p>
        </w:tc>
        <w:tc>
          <w:tcPr>
            <w:tcW w:w="566" w:type="pct"/>
            <w:tcBorders>
              <w:top w:val="single" w:sz="4" w:space="0" w:color="293F5B"/>
              <w:left w:val="nil"/>
              <w:bottom w:val="nil"/>
              <w:right w:val="nil"/>
            </w:tcBorders>
            <w:shd w:val="clear" w:color="000000" w:fill="FFFFFF"/>
            <w:noWrap/>
            <w:vAlign w:val="center"/>
            <w:hideMark/>
          </w:tcPr>
          <w:p w14:paraId="12D0C9C4"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Change on</w:t>
            </w:r>
          </w:p>
        </w:tc>
      </w:tr>
      <w:tr w:rsidR="000036D2" w:rsidRPr="00390B7D" w14:paraId="79C59191" w14:textId="77777777" w:rsidTr="00F832FC">
        <w:trPr>
          <w:divId w:val="1225023726"/>
          <w:trHeight w:hRule="exact" w:val="225"/>
        </w:trPr>
        <w:tc>
          <w:tcPr>
            <w:tcW w:w="1563" w:type="pct"/>
            <w:tcBorders>
              <w:top w:val="nil"/>
              <w:left w:val="nil"/>
              <w:bottom w:val="nil"/>
              <w:right w:val="nil"/>
            </w:tcBorders>
            <w:shd w:val="clear" w:color="000000" w:fill="FFFFFF"/>
            <w:noWrap/>
            <w:vAlign w:val="center"/>
            <w:hideMark/>
          </w:tcPr>
          <w:p w14:paraId="1A26379C" w14:textId="77777777" w:rsidR="000036D2" w:rsidRPr="00390B7D" w:rsidRDefault="000036D2" w:rsidP="000036D2">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839" w:type="pct"/>
            <w:tcBorders>
              <w:top w:val="nil"/>
              <w:left w:val="nil"/>
              <w:bottom w:val="nil"/>
              <w:right w:val="nil"/>
            </w:tcBorders>
            <w:shd w:val="clear" w:color="000000" w:fill="FFFFFF"/>
            <w:noWrap/>
            <w:vAlign w:val="center"/>
            <w:hideMark/>
          </w:tcPr>
          <w:p w14:paraId="473013A5"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Estimate at</w:t>
            </w:r>
          </w:p>
        </w:tc>
        <w:tc>
          <w:tcPr>
            <w:tcW w:w="876" w:type="pct"/>
            <w:tcBorders>
              <w:top w:val="nil"/>
              <w:left w:val="nil"/>
              <w:bottom w:val="nil"/>
              <w:right w:val="nil"/>
            </w:tcBorders>
            <w:shd w:val="clear" w:color="000000" w:fill="FFFFFF"/>
            <w:noWrap/>
            <w:vAlign w:val="center"/>
            <w:hideMark/>
          </w:tcPr>
          <w:p w14:paraId="1A6E6EB8"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xml:space="preserve">Estimate at </w:t>
            </w:r>
          </w:p>
        </w:tc>
        <w:tc>
          <w:tcPr>
            <w:tcW w:w="642" w:type="pct"/>
            <w:tcBorders>
              <w:top w:val="nil"/>
              <w:left w:val="nil"/>
              <w:bottom w:val="nil"/>
              <w:right w:val="nil"/>
            </w:tcBorders>
            <w:shd w:val="clear" w:color="000000" w:fill="FFFFFF"/>
            <w:noWrap/>
            <w:vAlign w:val="center"/>
            <w:hideMark/>
          </w:tcPr>
          <w:p w14:paraId="199A5127"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Estimate at</w:t>
            </w:r>
          </w:p>
        </w:tc>
        <w:tc>
          <w:tcPr>
            <w:tcW w:w="514" w:type="pct"/>
            <w:tcBorders>
              <w:top w:val="nil"/>
              <w:left w:val="nil"/>
              <w:bottom w:val="nil"/>
              <w:right w:val="nil"/>
            </w:tcBorders>
            <w:shd w:val="clear" w:color="000000" w:fill="E6F2FF"/>
            <w:noWrap/>
            <w:vAlign w:val="center"/>
            <w:hideMark/>
          </w:tcPr>
          <w:p w14:paraId="50280382"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Outcome</w:t>
            </w:r>
          </w:p>
        </w:tc>
        <w:tc>
          <w:tcPr>
            <w:tcW w:w="566" w:type="pct"/>
            <w:tcBorders>
              <w:top w:val="nil"/>
              <w:left w:val="nil"/>
              <w:bottom w:val="nil"/>
              <w:right w:val="nil"/>
            </w:tcBorders>
            <w:shd w:val="clear" w:color="000000" w:fill="FFFFFF"/>
            <w:noWrap/>
            <w:vAlign w:val="center"/>
            <w:hideMark/>
          </w:tcPr>
          <w:p w14:paraId="2A1B70DD"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2023-24</w:t>
            </w:r>
          </w:p>
        </w:tc>
      </w:tr>
      <w:tr w:rsidR="000036D2" w:rsidRPr="00390B7D" w14:paraId="0D00C916" w14:textId="77777777" w:rsidTr="00F832FC">
        <w:trPr>
          <w:divId w:val="1225023726"/>
          <w:trHeight w:hRule="exact" w:val="225"/>
        </w:trPr>
        <w:tc>
          <w:tcPr>
            <w:tcW w:w="1563" w:type="pct"/>
            <w:tcBorders>
              <w:top w:val="nil"/>
              <w:left w:val="nil"/>
              <w:bottom w:val="nil"/>
              <w:right w:val="nil"/>
            </w:tcBorders>
            <w:shd w:val="clear" w:color="000000" w:fill="FFFFFF"/>
            <w:noWrap/>
            <w:vAlign w:val="center"/>
            <w:hideMark/>
          </w:tcPr>
          <w:p w14:paraId="2B6E6C3A" w14:textId="77777777" w:rsidR="000036D2" w:rsidRPr="00390B7D" w:rsidRDefault="000036D2" w:rsidP="000036D2">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839" w:type="pct"/>
            <w:tcBorders>
              <w:top w:val="nil"/>
              <w:left w:val="nil"/>
              <w:bottom w:val="nil"/>
              <w:right w:val="nil"/>
            </w:tcBorders>
            <w:shd w:val="clear" w:color="000000" w:fill="FFFFFF"/>
            <w:noWrap/>
            <w:vAlign w:val="center"/>
            <w:hideMark/>
          </w:tcPr>
          <w:p w14:paraId="463AACFC"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2022 PEFO</w:t>
            </w:r>
          </w:p>
        </w:tc>
        <w:tc>
          <w:tcPr>
            <w:tcW w:w="876" w:type="pct"/>
            <w:tcBorders>
              <w:top w:val="nil"/>
              <w:left w:val="nil"/>
              <w:bottom w:val="nil"/>
              <w:right w:val="nil"/>
            </w:tcBorders>
            <w:shd w:val="clear" w:color="000000" w:fill="FFFFFF"/>
            <w:noWrap/>
            <w:vAlign w:val="center"/>
            <w:hideMark/>
          </w:tcPr>
          <w:p w14:paraId="540B1710"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xml:space="preserve">2022-23 October </w:t>
            </w:r>
          </w:p>
        </w:tc>
        <w:tc>
          <w:tcPr>
            <w:tcW w:w="642" w:type="pct"/>
            <w:tcBorders>
              <w:top w:val="nil"/>
              <w:left w:val="nil"/>
              <w:bottom w:val="nil"/>
              <w:right w:val="nil"/>
            </w:tcBorders>
            <w:shd w:val="clear" w:color="000000" w:fill="FFFFFF"/>
            <w:noWrap/>
            <w:vAlign w:val="center"/>
            <w:hideMark/>
          </w:tcPr>
          <w:p w14:paraId="4880A0A5"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2023-24</w:t>
            </w:r>
          </w:p>
        </w:tc>
        <w:tc>
          <w:tcPr>
            <w:tcW w:w="514" w:type="pct"/>
            <w:tcBorders>
              <w:top w:val="nil"/>
              <w:left w:val="nil"/>
              <w:bottom w:val="nil"/>
              <w:right w:val="nil"/>
            </w:tcBorders>
            <w:shd w:val="clear" w:color="000000" w:fill="E6F2FF"/>
            <w:noWrap/>
            <w:vAlign w:val="center"/>
            <w:hideMark/>
          </w:tcPr>
          <w:p w14:paraId="099FBFFF"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c>
          <w:tcPr>
            <w:tcW w:w="566" w:type="pct"/>
            <w:tcBorders>
              <w:top w:val="nil"/>
              <w:left w:val="nil"/>
              <w:bottom w:val="nil"/>
              <w:right w:val="nil"/>
            </w:tcBorders>
            <w:shd w:val="clear" w:color="000000" w:fill="FFFFFF"/>
            <w:noWrap/>
            <w:vAlign w:val="center"/>
            <w:hideMark/>
          </w:tcPr>
          <w:p w14:paraId="50955C3F"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xml:space="preserve"> Budget</w:t>
            </w:r>
          </w:p>
        </w:tc>
      </w:tr>
      <w:tr w:rsidR="000036D2" w:rsidRPr="00390B7D" w14:paraId="2DA4BD91" w14:textId="77777777" w:rsidTr="00F832FC">
        <w:trPr>
          <w:divId w:val="1225023726"/>
          <w:trHeight w:hRule="exact" w:val="225"/>
        </w:trPr>
        <w:tc>
          <w:tcPr>
            <w:tcW w:w="1563" w:type="pct"/>
            <w:tcBorders>
              <w:top w:val="nil"/>
              <w:left w:val="nil"/>
              <w:bottom w:val="nil"/>
              <w:right w:val="nil"/>
            </w:tcBorders>
            <w:shd w:val="clear" w:color="000000" w:fill="FFFFFF"/>
            <w:noWrap/>
            <w:vAlign w:val="center"/>
            <w:hideMark/>
          </w:tcPr>
          <w:p w14:paraId="722F0F8E" w14:textId="77777777" w:rsidR="000036D2" w:rsidRPr="00390B7D" w:rsidRDefault="000036D2" w:rsidP="000036D2">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839" w:type="pct"/>
            <w:tcBorders>
              <w:top w:val="nil"/>
              <w:left w:val="nil"/>
              <w:bottom w:val="nil"/>
              <w:right w:val="nil"/>
            </w:tcBorders>
            <w:shd w:val="clear" w:color="000000" w:fill="FFFFFF"/>
            <w:noWrap/>
            <w:vAlign w:val="center"/>
            <w:hideMark/>
          </w:tcPr>
          <w:p w14:paraId="1274AE21"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c>
          <w:tcPr>
            <w:tcW w:w="876" w:type="pct"/>
            <w:tcBorders>
              <w:top w:val="nil"/>
              <w:left w:val="nil"/>
              <w:bottom w:val="nil"/>
              <w:right w:val="nil"/>
            </w:tcBorders>
            <w:shd w:val="clear" w:color="000000" w:fill="FFFFFF"/>
            <w:noWrap/>
            <w:vAlign w:val="center"/>
            <w:hideMark/>
          </w:tcPr>
          <w:p w14:paraId="2148DF10"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Budget</w:t>
            </w:r>
          </w:p>
        </w:tc>
        <w:tc>
          <w:tcPr>
            <w:tcW w:w="642" w:type="pct"/>
            <w:tcBorders>
              <w:top w:val="nil"/>
              <w:left w:val="nil"/>
              <w:bottom w:val="nil"/>
              <w:right w:val="nil"/>
            </w:tcBorders>
            <w:shd w:val="clear" w:color="000000" w:fill="FFFFFF"/>
            <w:noWrap/>
            <w:vAlign w:val="center"/>
            <w:hideMark/>
          </w:tcPr>
          <w:p w14:paraId="03A22FB3"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xml:space="preserve"> Budget</w:t>
            </w:r>
          </w:p>
        </w:tc>
        <w:tc>
          <w:tcPr>
            <w:tcW w:w="514" w:type="pct"/>
            <w:tcBorders>
              <w:top w:val="nil"/>
              <w:left w:val="nil"/>
              <w:bottom w:val="nil"/>
              <w:right w:val="nil"/>
            </w:tcBorders>
            <w:shd w:val="clear" w:color="000000" w:fill="E6F2FF"/>
            <w:noWrap/>
            <w:vAlign w:val="center"/>
            <w:hideMark/>
          </w:tcPr>
          <w:p w14:paraId="000C9310"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c>
          <w:tcPr>
            <w:tcW w:w="566" w:type="pct"/>
            <w:tcBorders>
              <w:top w:val="nil"/>
              <w:left w:val="nil"/>
              <w:bottom w:val="nil"/>
              <w:right w:val="nil"/>
            </w:tcBorders>
            <w:shd w:val="clear" w:color="000000" w:fill="FFFFFF"/>
            <w:noWrap/>
            <w:vAlign w:val="center"/>
            <w:hideMark/>
          </w:tcPr>
          <w:p w14:paraId="7D7286A7"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r>
      <w:tr w:rsidR="000036D2" w:rsidRPr="00390B7D" w14:paraId="11B66BEB" w14:textId="77777777" w:rsidTr="00F832FC">
        <w:trPr>
          <w:divId w:val="1225023726"/>
          <w:trHeight w:hRule="exact" w:val="225"/>
        </w:trPr>
        <w:tc>
          <w:tcPr>
            <w:tcW w:w="1563" w:type="pct"/>
            <w:tcBorders>
              <w:top w:val="nil"/>
              <w:left w:val="nil"/>
              <w:bottom w:val="nil"/>
              <w:right w:val="nil"/>
            </w:tcBorders>
            <w:shd w:val="clear" w:color="000000" w:fill="FFFFFF"/>
            <w:noWrap/>
            <w:vAlign w:val="center"/>
            <w:hideMark/>
          </w:tcPr>
          <w:p w14:paraId="24091F65" w14:textId="77777777" w:rsidR="000036D2" w:rsidRPr="00390B7D" w:rsidRDefault="000036D2" w:rsidP="000036D2">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839" w:type="pct"/>
            <w:tcBorders>
              <w:top w:val="nil"/>
              <w:left w:val="nil"/>
              <w:bottom w:val="single" w:sz="4" w:space="0" w:color="000000"/>
              <w:right w:val="nil"/>
            </w:tcBorders>
            <w:shd w:val="clear" w:color="000000" w:fill="FFFFFF"/>
            <w:noWrap/>
            <w:vAlign w:val="center"/>
            <w:hideMark/>
          </w:tcPr>
          <w:p w14:paraId="0D06369E" w14:textId="77777777" w:rsidR="000036D2" w:rsidRPr="00390B7D" w:rsidRDefault="000036D2" w:rsidP="000036D2">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$b</w:t>
            </w:r>
          </w:p>
        </w:tc>
        <w:tc>
          <w:tcPr>
            <w:tcW w:w="876" w:type="pct"/>
            <w:tcBorders>
              <w:top w:val="nil"/>
              <w:left w:val="nil"/>
              <w:bottom w:val="single" w:sz="4" w:space="0" w:color="000000"/>
              <w:right w:val="nil"/>
            </w:tcBorders>
            <w:shd w:val="clear" w:color="000000" w:fill="FFFFFF"/>
            <w:noWrap/>
            <w:vAlign w:val="center"/>
            <w:hideMark/>
          </w:tcPr>
          <w:p w14:paraId="426A0578" w14:textId="77777777" w:rsidR="000036D2" w:rsidRPr="00390B7D" w:rsidRDefault="000036D2" w:rsidP="000036D2">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$b</w:t>
            </w:r>
          </w:p>
        </w:tc>
        <w:tc>
          <w:tcPr>
            <w:tcW w:w="642" w:type="pct"/>
            <w:tcBorders>
              <w:top w:val="nil"/>
              <w:left w:val="nil"/>
              <w:bottom w:val="single" w:sz="4" w:space="0" w:color="000000"/>
              <w:right w:val="nil"/>
            </w:tcBorders>
            <w:shd w:val="clear" w:color="000000" w:fill="FFFFFF"/>
            <w:noWrap/>
            <w:vAlign w:val="center"/>
            <w:hideMark/>
          </w:tcPr>
          <w:p w14:paraId="78609DAA" w14:textId="77777777" w:rsidR="000036D2" w:rsidRPr="00390B7D" w:rsidRDefault="000036D2" w:rsidP="000036D2">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$b</w:t>
            </w:r>
          </w:p>
        </w:tc>
        <w:tc>
          <w:tcPr>
            <w:tcW w:w="514" w:type="pct"/>
            <w:tcBorders>
              <w:top w:val="nil"/>
              <w:left w:val="nil"/>
              <w:bottom w:val="single" w:sz="4" w:space="0" w:color="000000"/>
              <w:right w:val="nil"/>
            </w:tcBorders>
            <w:shd w:val="clear" w:color="000000" w:fill="E6F2FF"/>
            <w:noWrap/>
            <w:vAlign w:val="center"/>
            <w:hideMark/>
          </w:tcPr>
          <w:p w14:paraId="2D8D7121" w14:textId="77777777" w:rsidR="000036D2" w:rsidRPr="00390B7D" w:rsidRDefault="000036D2" w:rsidP="000036D2">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$b</w:t>
            </w:r>
          </w:p>
        </w:tc>
        <w:tc>
          <w:tcPr>
            <w:tcW w:w="566" w:type="pct"/>
            <w:tcBorders>
              <w:top w:val="nil"/>
              <w:left w:val="nil"/>
              <w:bottom w:val="single" w:sz="4" w:space="0" w:color="000000"/>
              <w:right w:val="nil"/>
            </w:tcBorders>
            <w:shd w:val="clear" w:color="000000" w:fill="FFFFFF"/>
            <w:noWrap/>
            <w:vAlign w:val="center"/>
            <w:hideMark/>
          </w:tcPr>
          <w:p w14:paraId="2639C7E5" w14:textId="77777777" w:rsidR="000036D2" w:rsidRPr="00390B7D" w:rsidRDefault="000036D2" w:rsidP="000036D2">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$b</w:t>
            </w:r>
          </w:p>
        </w:tc>
      </w:tr>
      <w:tr w:rsidR="000036D2" w:rsidRPr="00390B7D" w14:paraId="53102371" w14:textId="77777777" w:rsidTr="00F832FC">
        <w:trPr>
          <w:divId w:val="1225023726"/>
          <w:trHeight w:hRule="exact" w:val="225"/>
        </w:trPr>
        <w:tc>
          <w:tcPr>
            <w:tcW w:w="1563" w:type="pct"/>
            <w:tcBorders>
              <w:top w:val="nil"/>
              <w:left w:val="nil"/>
              <w:bottom w:val="nil"/>
              <w:right w:val="nil"/>
            </w:tcBorders>
            <w:shd w:val="clear" w:color="000000" w:fill="FFFFFF"/>
            <w:noWrap/>
            <w:vAlign w:val="center"/>
            <w:hideMark/>
          </w:tcPr>
          <w:p w14:paraId="1E56D40A" w14:textId="77777777" w:rsidR="000036D2" w:rsidRPr="00390B7D" w:rsidRDefault="000036D2" w:rsidP="000036D2">
            <w:pPr>
              <w:spacing w:before="0" w:after="0" w:line="240" w:lineRule="auto"/>
              <w:rPr>
                <w:rFonts w:ascii="Arial" w:hAnsi="Arial" w:cs="Arial"/>
                <w:b/>
                <w:bCs/>
                <w:sz w:val="16"/>
                <w:szCs w:val="16"/>
              </w:rPr>
            </w:pPr>
            <w:r w:rsidRPr="00390B7D">
              <w:rPr>
                <w:rFonts w:ascii="Arial" w:hAnsi="Arial" w:cs="Arial"/>
                <w:b/>
                <w:bCs/>
                <w:sz w:val="16"/>
                <w:szCs w:val="16"/>
              </w:rPr>
              <w:t>Underlying cash balance</w:t>
            </w:r>
          </w:p>
        </w:tc>
        <w:tc>
          <w:tcPr>
            <w:tcW w:w="839" w:type="pct"/>
            <w:tcBorders>
              <w:top w:val="single" w:sz="4" w:space="0" w:color="293F5B"/>
              <w:left w:val="nil"/>
              <w:bottom w:val="nil"/>
              <w:right w:val="nil"/>
            </w:tcBorders>
            <w:shd w:val="clear" w:color="000000" w:fill="FFFFFF"/>
            <w:noWrap/>
            <w:vAlign w:val="center"/>
            <w:hideMark/>
          </w:tcPr>
          <w:p w14:paraId="041149EB"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-77.9</w:t>
            </w:r>
          </w:p>
        </w:tc>
        <w:tc>
          <w:tcPr>
            <w:tcW w:w="876" w:type="pct"/>
            <w:tcBorders>
              <w:top w:val="single" w:sz="4" w:space="0" w:color="293F5B"/>
              <w:left w:val="nil"/>
              <w:bottom w:val="nil"/>
              <w:right w:val="nil"/>
            </w:tcBorders>
            <w:shd w:val="clear" w:color="000000" w:fill="FFFFFF"/>
            <w:noWrap/>
            <w:vAlign w:val="center"/>
            <w:hideMark/>
          </w:tcPr>
          <w:p w14:paraId="264D7E63"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-36.9</w:t>
            </w:r>
          </w:p>
        </w:tc>
        <w:tc>
          <w:tcPr>
            <w:tcW w:w="642" w:type="pct"/>
            <w:tcBorders>
              <w:top w:val="single" w:sz="4" w:space="0" w:color="293F5B"/>
              <w:left w:val="nil"/>
              <w:bottom w:val="nil"/>
              <w:right w:val="nil"/>
            </w:tcBorders>
            <w:shd w:val="clear" w:color="000000" w:fill="FFFFFF"/>
            <w:noWrap/>
            <w:vAlign w:val="center"/>
            <w:hideMark/>
          </w:tcPr>
          <w:p w14:paraId="05F6506B"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4.2</w:t>
            </w:r>
          </w:p>
        </w:tc>
        <w:tc>
          <w:tcPr>
            <w:tcW w:w="514" w:type="pct"/>
            <w:tcBorders>
              <w:top w:val="single" w:sz="4" w:space="0" w:color="293F5B"/>
              <w:left w:val="nil"/>
              <w:bottom w:val="nil"/>
              <w:right w:val="nil"/>
            </w:tcBorders>
            <w:shd w:val="clear" w:color="000000" w:fill="E6F2FF"/>
            <w:noWrap/>
            <w:vAlign w:val="center"/>
            <w:hideMark/>
          </w:tcPr>
          <w:p w14:paraId="5577D20A"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22.1</w:t>
            </w:r>
          </w:p>
        </w:tc>
        <w:tc>
          <w:tcPr>
            <w:tcW w:w="566" w:type="pct"/>
            <w:tcBorders>
              <w:top w:val="single" w:sz="4" w:space="0" w:color="293F5B"/>
              <w:left w:val="nil"/>
              <w:bottom w:val="nil"/>
              <w:right w:val="nil"/>
            </w:tcBorders>
            <w:shd w:val="clear" w:color="000000" w:fill="FFFFFF"/>
            <w:noWrap/>
            <w:vAlign w:val="center"/>
            <w:hideMark/>
          </w:tcPr>
          <w:p w14:paraId="70C1BA2C" w14:textId="77777777" w:rsidR="000036D2" w:rsidRPr="00390B7D" w:rsidRDefault="000036D2" w:rsidP="000036D2">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17.9</w:t>
            </w:r>
          </w:p>
        </w:tc>
      </w:tr>
      <w:tr w:rsidR="000036D2" w:rsidRPr="00390B7D" w14:paraId="06DD484B" w14:textId="77777777" w:rsidTr="00F832FC">
        <w:trPr>
          <w:divId w:val="1225023726"/>
          <w:trHeight w:hRule="exact" w:val="225"/>
        </w:trPr>
        <w:tc>
          <w:tcPr>
            <w:tcW w:w="1563" w:type="pct"/>
            <w:tcBorders>
              <w:top w:val="nil"/>
              <w:left w:val="nil"/>
              <w:bottom w:val="nil"/>
              <w:right w:val="nil"/>
            </w:tcBorders>
            <w:shd w:val="clear" w:color="000000" w:fill="FFFFFF"/>
            <w:noWrap/>
            <w:vAlign w:val="center"/>
            <w:hideMark/>
          </w:tcPr>
          <w:p w14:paraId="2D2C90D3" w14:textId="77777777" w:rsidR="000036D2" w:rsidRPr="00390B7D" w:rsidRDefault="000036D2" w:rsidP="000036D2">
            <w:pPr>
              <w:spacing w:before="0" w:after="0" w:line="240" w:lineRule="auto"/>
              <w:rPr>
                <w:rFonts w:ascii="Arial" w:hAnsi="Arial" w:cs="Arial"/>
                <w:sz w:val="16"/>
                <w:szCs w:val="16"/>
              </w:rPr>
            </w:pPr>
            <w:r w:rsidRPr="00390B7D">
              <w:rPr>
                <w:rFonts w:ascii="Arial" w:hAnsi="Arial" w:cs="Arial"/>
                <w:sz w:val="16"/>
                <w:szCs w:val="16"/>
              </w:rPr>
              <w:t>Per cent of GDP</w:t>
            </w:r>
          </w:p>
        </w:tc>
        <w:tc>
          <w:tcPr>
            <w:tcW w:w="839" w:type="pct"/>
            <w:tcBorders>
              <w:top w:val="nil"/>
              <w:left w:val="nil"/>
              <w:bottom w:val="nil"/>
              <w:right w:val="nil"/>
            </w:tcBorders>
            <w:shd w:val="clear" w:color="000000" w:fill="FFFFFF"/>
            <w:noWrap/>
            <w:vAlign w:val="center"/>
            <w:hideMark/>
          </w:tcPr>
          <w:p w14:paraId="21BCC246"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-3.4</w:t>
            </w:r>
          </w:p>
        </w:tc>
        <w:tc>
          <w:tcPr>
            <w:tcW w:w="876" w:type="pct"/>
            <w:tcBorders>
              <w:top w:val="nil"/>
              <w:left w:val="nil"/>
              <w:bottom w:val="nil"/>
              <w:right w:val="nil"/>
            </w:tcBorders>
            <w:shd w:val="clear" w:color="000000" w:fill="FFFFFF"/>
            <w:noWrap/>
            <w:vAlign w:val="center"/>
            <w:hideMark/>
          </w:tcPr>
          <w:p w14:paraId="6175C62D"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-1.5</w:t>
            </w:r>
          </w:p>
        </w:tc>
        <w:tc>
          <w:tcPr>
            <w:tcW w:w="642" w:type="pct"/>
            <w:tcBorders>
              <w:top w:val="nil"/>
              <w:left w:val="nil"/>
              <w:bottom w:val="nil"/>
              <w:right w:val="nil"/>
            </w:tcBorders>
            <w:shd w:val="clear" w:color="000000" w:fill="FFFFFF"/>
            <w:noWrap/>
            <w:vAlign w:val="center"/>
            <w:hideMark/>
          </w:tcPr>
          <w:p w14:paraId="7E40A8E0"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0.2</w:t>
            </w:r>
          </w:p>
        </w:tc>
        <w:tc>
          <w:tcPr>
            <w:tcW w:w="514" w:type="pct"/>
            <w:tcBorders>
              <w:top w:val="nil"/>
              <w:left w:val="nil"/>
              <w:bottom w:val="nil"/>
              <w:right w:val="nil"/>
            </w:tcBorders>
            <w:shd w:val="clear" w:color="000000" w:fill="E6F2FF"/>
            <w:noWrap/>
            <w:vAlign w:val="center"/>
            <w:hideMark/>
          </w:tcPr>
          <w:p w14:paraId="119B953C"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0.9</w:t>
            </w:r>
          </w:p>
        </w:tc>
        <w:tc>
          <w:tcPr>
            <w:tcW w:w="566" w:type="pct"/>
            <w:tcBorders>
              <w:top w:val="nil"/>
              <w:left w:val="nil"/>
              <w:bottom w:val="nil"/>
              <w:right w:val="nil"/>
            </w:tcBorders>
            <w:shd w:val="clear" w:color="000000" w:fill="FFFFFF"/>
            <w:noWrap/>
            <w:vAlign w:val="center"/>
            <w:hideMark/>
          </w:tcPr>
          <w:p w14:paraId="18B8DC04"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r>
      <w:tr w:rsidR="000036D2" w:rsidRPr="00390B7D" w14:paraId="6FC882D8" w14:textId="77777777" w:rsidTr="00F832FC">
        <w:trPr>
          <w:divId w:val="1225023726"/>
          <w:trHeight w:hRule="exact" w:val="60"/>
        </w:trPr>
        <w:tc>
          <w:tcPr>
            <w:tcW w:w="1563" w:type="pct"/>
            <w:tcBorders>
              <w:top w:val="nil"/>
              <w:left w:val="nil"/>
              <w:bottom w:val="nil"/>
              <w:right w:val="nil"/>
            </w:tcBorders>
            <w:shd w:val="clear" w:color="000000" w:fill="FFFFFF"/>
            <w:noWrap/>
            <w:vAlign w:val="center"/>
            <w:hideMark/>
          </w:tcPr>
          <w:p w14:paraId="722B199E" w14:textId="77777777" w:rsidR="000036D2" w:rsidRPr="00390B7D" w:rsidRDefault="000036D2" w:rsidP="000036D2">
            <w:pPr>
              <w:spacing w:before="0" w:after="0" w:line="240" w:lineRule="auto"/>
              <w:rPr>
                <w:rFonts w:ascii="Arial" w:hAnsi="Arial" w:cs="Arial"/>
                <w:sz w:val="16"/>
                <w:szCs w:val="16"/>
              </w:rPr>
            </w:pPr>
            <w:r w:rsidRPr="00390B7D">
              <w:rPr>
                <w:rFonts w:ascii="Arial" w:hAnsi="Arial" w:cs="Arial"/>
                <w:sz w:val="16"/>
                <w:szCs w:val="16"/>
              </w:rPr>
              <w:t> </w:t>
            </w:r>
          </w:p>
        </w:tc>
        <w:tc>
          <w:tcPr>
            <w:tcW w:w="839" w:type="pct"/>
            <w:tcBorders>
              <w:top w:val="nil"/>
              <w:left w:val="nil"/>
              <w:bottom w:val="nil"/>
              <w:right w:val="nil"/>
            </w:tcBorders>
            <w:shd w:val="clear" w:color="000000" w:fill="FFFFFF"/>
            <w:noWrap/>
            <w:vAlign w:val="center"/>
            <w:hideMark/>
          </w:tcPr>
          <w:p w14:paraId="7A82C153"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c>
          <w:tcPr>
            <w:tcW w:w="876" w:type="pct"/>
            <w:tcBorders>
              <w:top w:val="nil"/>
              <w:left w:val="nil"/>
              <w:bottom w:val="nil"/>
              <w:right w:val="nil"/>
            </w:tcBorders>
            <w:shd w:val="clear" w:color="000000" w:fill="FFFFFF"/>
            <w:noWrap/>
            <w:vAlign w:val="center"/>
            <w:hideMark/>
          </w:tcPr>
          <w:p w14:paraId="053F81F8"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c>
          <w:tcPr>
            <w:tcW w:w="642" w:type="pct"/>
            <w:tcBorders>
              <w:top w:val="nil"/>
              <w:left w:val="nil"/>
              <w:bottom w:val="nil"/>
              <w:right w:val="nil"/>
            </w:tcBorders>
            <w:shd w:val="clear" w:color="000000" w:fill="FFFFFF"/>
            <w:noWrap/>
            <w:vAlign w:val="center"/>
            <w:hideMark/>
          </w:tcPr>
          <w:p w14:paraId="7069C176"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c>
          <w:tcPr>
            <w:tcW w:w="514" w:type="pct"/>
            <w:tcBorders>
              <w:top w:val="nil"/>
              <w:left w:val="nil"/>
              <w:bottom w:val="nil"/>
              <w:right w:val="nil"/>
            </w:tcBorders>
            <w:shd w:val="clear" w:color="000000" w:fill="E6F2FF"/>
            <w:noWrap/>
            <w:vAlign w:val="center"/>
            <w:hideMark/>
          </w:tcPr>
          <w:p w14:paraId="242FB8D1"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c>
          <w:tcPr>
            <w:tcW w:w="566" w:type="pct"/>
            <w:tcBorders>
              <w:top w:val="nil"/>
              <w:left w:val="nil"/>
              <w:bottom w:val="nil"/>
              <w:right w:val="nil"/>
            </w:tcBorders>
            <w:shd w:val="clear" w:color="000000" w:fill="FFFFFF"/>
            <w:noWrap/>
            <w:vAlign w:val="center"/>
            <w:hideMark/>
          </w:tcPr>
          <w:p w14:paraId="55D1E199"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r>
      <w:tr w:rsidR="000036D2" w:rsidRPr="00390B7D" w14:paraId="2E38374F" w14:textId="77777777" w:rsidTr="00F832FC">
        <w:trPr>
          <w:divId w:val="1225023726"/>
          <w:trHeight w:hRule="exact" w:val="200"/>
        </w:trPr>
        <w:tc>
          <w:tcPr>
            <w:tcW w:w="1563" w:type="pct"/>
            <w:tcBorders>
              <w:top w:val="nil"/>
              <w:left w:val="nil"/>
              <w:bottom w:val="nil"/>
              <w:right w:val="nil"/>
            </w:tcBorders>
            <w:shd w:val="clear" w:color="000000" w:fill="FFFFFF"/>
            <w:noWrap/>
            <w:vAlign w:val="center"/>
            <w:hideMark/>
          </w:tcPr>
          <w:p w14:paraId="7A50979E" w14:textId="77777777" w:rsidR="000036D2" w:rsidRPr="00390B7D" w:rsidRDefault="000036D2" w:rsidP="000036D2">
            <w:pPr>
              <w:spacing w:before="0" w:after="0" w:line="240" w:lineRule="auto"/>
              <w:rPr>
                <w:rFonts w:ascii="Arial" w:hAnsi="Arial" w:cs="Arial"/>
                <w:b/>
                <w:bCs/>
                <w:sz w:val="16"/>
                <w:szCs w:val="16"/>
              </w:rPr>
            </w:pPr>
            <w:r w:rsidRPr="00390B7D">
              <w:rPr>
                <w:rFonts w:ascii="Arial" w:hAnsi="Arial" w:cs="Arial"/>
                <w:b/>
                <w:bCs/>
                <w:sz w:val="16"/>
                <w:szCs w:val="16"/>
              </w:rPr>
              <w:t>Gross debt(a)</w:t>
            </w:r>
          </w:p>
        </w:tc>
        <w:tc>
          <w:tcPr>
            <w:tcW w:w="839" w:type="pct"/>
            <w:tcBorders>
              <w:top w:val="nil"/>
              <w:left w:val="nil"/>
              <w:bottom w:val="nil"/>
              <w:right w:val="nil"/>
            </w:tcBorders>
            <w:shd w:val="clear" w:color="000000" w:fill="FFFFFF"/>
            <w:noWrap/>
            <w:vAlign w:val="center"/>
            <w:hideMark/>
          </w:tcPr>
          <w:p w14:paraId="00D5920C"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977.0</w:t>
            </w:r>
          </w:p>
        </w:tc>
        <w:tc>
          <w:tcPr>
            <w:tcW w:w="876" w:type="pct"/>
            <w:tcBorders>
              <w:top w:val="nil"/>
              <w:left w:val="nil"/>
              <w:bottom w:val="nil"/>
              <w:right w:val="nil"/>
            </w:tcBorders>
            <w:shd w:val="clear" w:color="000000" w:fill="FFFFFF"/>
            <w:noWrap/>
            <w:vAlign w:val="center"/>
            <w:hideMark/>
          </w:tcPr>
          <w:p w14:paraId="1C507D66"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927.0</w:t>
            </w:r>
          </w:p>
        </w:tc>
        <w:tc>
          <w:tcPr>
            <w:tcW w:w="642" w:type="pct"/>
            <w:tcBorders>
              <w:top w:val="nil"/>
              <w:left w:val="nil"/>
              <w:bottom w:val="nil"/>
              <w:right w:val="nil"/>
            </w:tcBorders>
            <w:shd w:val="clear" w:color="000000" w:fill="FFFFFF"/>
            <w:noWrap/>
            <w:vAlign w:val="center"/>
            <w:hideMark/>
          </w:tcPr>
          <w:p w14:paraId="56E77DE2"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887.0</w:t>
            </w:r>
          </w:p>
        </w:tc>
        <w:tc>
          <w:tcPr>
            <w:tcW w:w="514" w:type="pct"/>
            <w:tcBorders>
              <w:top w:val="nil"/>
              <w:left w:val="nil"/>
              <w:bottom w:val="nil"/>
              <w:right w:val="nil"/>
            </w:tcBorders>
            <w:shd w:val="clear" w:color="000000" w:fill="E6F2FF"/>
            <w:noWrap/>
            <w:vAlign w:val="center"/>
            <w:hideMark/>
          </w:tcPr>
          <w:p w14:paraId="09D5258D"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889.8</w:t>
            </w:r>
          </w:p>
        </w:tc>
        <w:tc>
          <w:tcPr>
            <w:tcW w:w="566" w:type="pct"/>
            <w:tcBorders>
              <w:top w:val="nil"/>
              <w:left w:val="nil"/>
              <w:bottom w:val="nil"/>
              <w:right w:val="nil"/>
            </w:tcBorders>
            <w:shd w:val="clear" w:color="000000" w:fill="FFFFFF"/>
            <w:noWrap/>
            <w:vAlign w:val="center"/>
            <w:hideMark/>
          </w:tcPr>
          <w:p w14:paraId="510E574E" w14:textId="77777777" w:rsidR="000036D2" w:rsidRPr="00390B7D" w:rsidRDefault="000036D2" w:rsidP="000036D2">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2.8</w:t>
            </w:r>
          </w:p>
        </w:tc>
      </w:tr>
      <w:tr w:rsidR="000036D2" w:rsidRPr="00390B7D" w14:paraId="2D349EC9" w14:textId="77777777" w:rsidTr="00F832FC">
        <w:trPr>
          <w:divId w:val="1225023726"/>
          <w:trHeight w:hRule="exact" w:val="200"/>
        </w:trPr>
        <w:tc>
          <w:tcPr>
            <w:tcW w:w="1563" w:type="pct"/>
            <w:tcBorders>
              <w:top w:val="nil"/>
              <w:left w:val="nil"/>
              <w:bottom w:val="nil"/>
              <w:right w:val="nil"/>
            </w:tcBorders>
            <w:shd w:val="clear" w:color="000000" w:fill="FFFFFF"/>
            <w:noWrap/>
            <w:vAlign w:val="center"/>
            <w:hideMark/>
          </w:tcPr>
          <w:p w14:paraId="3DAEA1B9" w14:textId="77777777" w:rsidR="000036D2" w:rsidRPr="00390B7D" w:rsidRDefault="000036D2" w:rsidP="000036D2">
            <w:pPr>
              <w:spacing w:before="0" w:after="0" w:line="240" w:lineRule="auto"/>
              <w:rPr>
                <w:rFonts w:ascii="Arial" w:hAnsi="Arial" w:cs="Arial"/>
                <w:sz w:val="16"/>
                <w:szCs w:val="16"/>
              </w:rPr>
            </w:pPr>
            <w:r w:rsidRPr="00390B7D">
              <w:rPr>
                <w:rFonts w:ascii="Arial" w:hAnsi="Arial" w:cs="Arial"/>
                <w:sz w:val="16"/>
                <w:szCs w:val="16"/>
              </w:rPr>
              <w:t>Per cent of GDP</w:t>
            </w:r>
          </w:p>
        </w:tc>
        <w:tc>
          <w:tcPr>
            <w:tcW w:w="839" w:type="pct"/>
            <w:tcBorders>
              <w:top w:val="nil"/>
              <w:left w:val="nil"/>
              <w:bottom w:val="nil"/>
              <w:right w:val="nil"/>
            </w:tcBorders>
            <w:shd w:val="clear" w:color="000000" w:fill="FFFFFF"/>
            <w:noWrap/>
            <w:vAlign w:val="center"/>
            <w:hideMark/>
          </w:tcPr>
          <w:p w14:paraId="6F7F0FBE"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42.5</w:t>
            </w:r>
          </w:p>
        </w:tc>
        <w:tc>
          <w:tcPr>
            <w:tcW w:w="876" w:type="pct"/>
            <w:tcBorders>
              <w:top w:val="nil"/>
              <w:left w:val="nil"/>
              <w:bottom w:val="nil"/>
              <w:right w:val="nil"/>
            </w:tcBorders>
            <w:shd w:val="clear" w:color="000000" w:fill="FFFFFF"/>
            <w:noWrap/>
            <w:vAlign w:val="center"/>
            <w:hideMark/>
          </w:tcPr>
          <w:p w14:paraId="788BEE8C"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37.3</w:t>
            </w:r>
          </w:p>
        </w:tc>
        <w:tc>
          <w:tcPr>
            <w:tcW w:w="642" w:type="pct"/>
            <w:tcBorders>
              <w:top w:val="nil"/>
              <w:left w:val="nil"/>
              <w:bottom w:val="nil"/>
              <w:right w:val="nil"/>
            </w:tcBorders>
            <w:shd w:val="clear" w:color="000000" w:fill="FFFFFF"/>
            <w:noWrap/>
            <w:vAlign w:val="center"/>
            <w:hideMark/>
          </w:tcPr>
          <w:p w14:paraId="2B4B5AE2"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34.9</w:t>
            </w:r>
          </w:p>
        </w:tc>
        <w:tc>
          <w:tcPr>
            <w:tcW w:w="514" w:type="pct"/>
            <w:tcBorders>
              <w:top w:val="nil"/>
              <w:left w:val="nil"/>
              <w:bottom w:val="nil"/>
              <w:right w:val="nil"/>
            </w:tcBorders>
            <w:shd w:val="clear" w:color="000000" w:fill="E6F2FF"/>
            <w:noWrap/>
            <w:vAlign w:val="center"/>
            <w:hideMark/>
          </w:tcPr>
          <w:p w14:paraId="04EA6AD8"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35.2</w:t>
            </w:r>
          </w:p>
        </w:tc>
        <w:tc>
          <w:tcPr>
            <w:tcW w:w="566" w:type="pct"/>
            <w:tcBorders>
              <w:top w:val="nil"/>
              <w:left w:val="nil"/>
              <w:bottom w:val="nil"/>
              <w:right w:val="nil"/>
            </w:tcBorders>
            <w:shd w:val="clear" w:color="000000" w:fill="FFFFFF"/>
            <w:noWrap/>
            <w:vAlign w:val="center"/>
            <w:hideMark/>
          </w:tcPr>
          <w:p w14:paraId="301192AC" w14:textId="77777777" w:rsidR="000036D2" w:rsidRPr="00390B7D" w:rsidRDefault="000036D2" w:rsidP="000036D2">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0036D2" w:rsidRPr="00390B7D" w14:paraId="1CE3BD0F" w14:textId="77777777" w:rsidTr="00F832FC">
        <w:trPr>
          <w:divId w:val="1225023726"/>
          <w:trHeight w:hRule="exact" w:val="60"/>
        </w:trPr>
        <w:tc>
          <w:tcPr>
            <w:tcW w:w="1563" w:type="pct"/>
            <w:tcBorders>
              <w:top w:val="nil"/>
              <w:left w:val="nil"/>
              <w:bottom w:val="nil"/>
              <w:right w:val="nil"/>
            </w:tcBorders>
            <w:shd w:val="clear" w:color="000000" w:fill="FFFFFF"/>
            <w:noWrap/>
            <w:vAlign w:val="center"/>
            <w:hideMark/>
          </w:tcPr>
          <w:p w14:paraId="56BC57BD" w14:textId="77777777" w:rsidR="000036D2" w:rsidRPr="00390B7D" w:rsidRDefault="000036D2" w:rsidP="000036D2">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839" w:type="pct"/>
            <w:tcBorders>
              <w:top w:val="nil"/>
              <w:left w:val="nil"/>
              <w:bottom w:val="nil"/>
              <w:right w:val="nil"/>
            </w:tcBorders>
            <w:shd w:val="clear" w:color="000000" w:fill="FFFFFF"/>
            <w:noWrap/>
            <w:vAlign w:val="center"/>
            <w:hideMark/>
          </w:tcPr>
          <w:p w14:paraId="127EDBE2"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c>
          <w:tcPr>
            <w:tcW w:w="876" w:type="pct"/>
            <w:tcBorders>
              <w:top w:val="nil"/>
              <w:left w:val="nil"/>
              <w:bottom w:val="nil"/>
              <w:right w:val="nil"/>
            </w:tcBorders>
            <w:shd w:val="clear" w:color="000000" w:fill="FFFFFF"/>
            <w:noWrap/>
            <w:vAlign w:val="center"/>
            <w:hideMark/>
          </w:tcPr>
          <w:p w14:paraId="27C627FF"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c>
          <w:tcPr>
            <w:tcW w:w="642" w:type="pct"/>
            <w:tcBorders>
              <w:top w:val="nil"/>
              <w:left w:val="nil"/>
              <w:bottom w:val="nil"/>
              <w:right w:val="nil"/>
            </w:tcBorders>
            <w:shd w:val="clear" w:color="000000" w:fill="FFFFFF"/>
            <w:noWrap/>
            <w:vAlign w:val="center"/>
            <w:hideMark/>
          </w:tcPr>
          <w:p w14:paraId="77F932A2"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c>
          <w:tcPr>
            <w:tcW w:w="514" w:type="pct"/>
            <w:tcBorders>
              <w:top w:val="nil"/>
              <w:left w:val="nil"/>
              <w:bottom w:val="nil"/>
              <w:right w:val="nil"/>
            </w:tcBorders>
            <w:shd w:val="clear" w:color="000000" w:fill="E6F2FF"/>
            <w:noWrap/>
            <w:vAlign w:val="center"/>
            <w:hideMark/>
          </w:tcPr>
          <w:p w14:paraId="2E185841"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 </w:t>
            </w:r>
          </w:p>
        </w:tc>
        <w:tc>
          <w:tcPr>
            <w:tcW w:w="566" w:type="pct"/>
            <w:tcBorders>
              <w:top w:val="nil"/>
              <w:left w:val="nil"/>
              <w:bottom w:val="nil"/>
              <w:right w:val="nil"/>
            </w:tcBorders>
            <w:shd w:val="clear" w:color="000000" w:fill="FFFFFF"/>
            <w:noWrap/>
            <w:vAlign w:val="center"/>
            <w:hideMark/>
          </w:tcPr>
          <w:p w14:paraId="76FE8290"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r>
      <w:tr w:rsidR="000036D2" w:rsidRPr="00390B7D" w14:paraId="138C47BE" w14:textId="77777777" w:rsidTr="00F832FC">
        <w:trPr>
          <w:divId w:val="1225023726"/>
          <w:trHeight w:hRule="exact" w:val="200"/>
        </w:trPr>
        <w:tc>
          <w:tcPr>
            <w:tcW w:w="1563" w:type="pct"/>
            <w:tcBorders>
              <w:top w:val="nil"/>
              <w:left w:val="nil"/>
              <w:bottom w:val="nil"/>
              <w:right w:val="nil"/>
            </w:tcBorders>
            <w:shd w:val="clear" w:color="000000" w:fill="FFFFFF"/>
            <w:noWrap/>
            <w:vAlign w:val="center"/>
            <w:hideMark/>
          </w:tcPr>
          <w:p w14:paraId="67D8ADE8" w14:textId="77777777" w:rsidR="000036D2" w:rsidRPr="00390B7D" w:rsidRDefault="000036D2" w:rsidP="000036D2">
            <w:pPr>
              <w:spacing w:before="0" w:after="0" w:line="240" w:lineRule="auto"/>
              <w:rPr>
                <w:rFonts w:ascii="Arial" w:hAnsi="Arial" w:cs="Arial"/>
                <w:b/>
                <w:bCs/>
                <w:sz w:val="16"/>
                <w:szCs w:val="16"/>
              </w:rPr>
            </w:pPr>
            <w:r w:rsidRPr="00390B7D">
              <w:rPr>
                <w:rFonts w:ascii="Arial" w:hAnsi="Arial" w:cs="Arial"/>
                <w:b/>
                <w:bCs/>
                <w:sz w:val="16"/>
                <w:szCs w:val="16"/>
              </w:rPr>
              <w:t>Net debt(b)</w:t>
            </w:r>
          </w:p>
        </w:tc>
        <w:tc>
          <w:tcPr>
            <w:tcW w:w="839" w:type="pct"/>
            <w:tcBorders>
              <w:top w:val="nil"/>
              <w:left w:val="nil"/>
              <w:bottom w:val="nil"/>
              <w:right w:val="nil"/>
            </w:tcBorders>
            <w:shd w:val="clear" w:color="000000" w:fill="FFFFFF"/>
            <w:noWrap/>
            <w:vAlign w:val="center"/>
            <w:hideMark/>
          </w:tcPr>
          <w:p w14:paraId="7E9485BA"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714.9</w:t>
            </w:r>
          </w:p>
        </w:tc>
        <w:tc>
          <w:tcPr>
            <w:tcW w:w="876" w:type="pct"/>
            <w:tcBorders>
              <w:top w:val="nil"/>
              <w:left w:val="nil"/>
              <w:bottom w:val="nil"/>
              <w:right w:val="nil"/>
            </w:tcBorders>
            <w:shd w:val="clear" w:color="000000" w:fill="FFFFFF"/>
            <w:noWrap/>
            <w:vAlign w:val="center"/>
            <w:hideMark/>
          </w:tcPr>
          <w:p w14:paraId="22DB38B8"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572.2</w:t>
            </w:r>
          </w:p>
        </w:tc>
        <w:tc>
          <w:tcPr>
            <w:tcW w:w="642" w:type="pct"/>
            <w:tcBorders>
              <w:top w:val="nil"/>
              <w:left w:val="nil"/>
              <w:bottom w:val="nil"/>
              <w:right w:val="nil"/>
            </w:tcBorders>
            <w:shd w:val="clear" w:color="000000" w:fill="FFFFFF"/>
            <w:noWrap/>
            <w:vAlign w:val="center"/>
            <w:hideMark/>
          </w:tcPr>
          <w:p w14:paraId="4F1B9FF8"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548.6</w:t>
            </w:r>
          </w:p>
        </w:tc>
        <w:tc>
          <w:tcPr>
            <w:tcW w:w="514" w:type="pct"/>
            <w:tcBorders>
              <w:top w:val="nil"/>
              <w:left w:val="nil"/>
              <w:bottom w:val="nil"/>
              <w:right w:val="nil"/>
            </w:tcBorders>
            <w:shd w:val="clear" w:color="000000" w:fill="E6F2FF"/>
            <w:noWrap/>
            <w:vAlign w:val="center"/>
            <w:hideMark/>
          </w:tcPr>
          <w:p w14:paraId="71D4BE9D" w14:textId="77777777" w:rsidR="000036D2" w:rsidRPr="00390B7D" w:rsidRDefault="000036D2" w:rsidP="000036D2">
            <w:pPr>
              <w:spacing w:before="0" w:after="0" w:line="240" w:lineRule="auto"/>
              <w:jc w:val="right"/>
              <w:rPr>
                <w:rFonts w:ascii="Arial" w:hAnsi="Arial" w:cs="Arial"/>
                <w:b/>
                <w:bCs/>
                <w:sz w:val="16"/>
                <w:szCs w:val="16"/>
              </w:rPr>
            </w:pPr>
            <w:r w:rsidRPr="00390B7D">
              <w:rPr>
                <w:rFonts w:ascii="Arial" w:hAnsi="Arial" w:cs="Arial"/>
                <w:b/>
                <w:bCs/>
                <w:sz w:val="16"/>
                <w:szCs w:val="16"/>
              </w:rPr>
              <w:t>491.0</w:t>
            </w:r>
          </w:p>
        </w:tc>
        <w:tc>
          <w:tcPr>
            <w:tcW w:w="566" w:type="pct"/>
            <w:tcBorders>
              <w:top w:val="nil"/>
              <w:left w:val="nil"/>
              <w:bottom w:val="nil"/>
              <w:right w:val="nil"/>
            </w:tcBorders>
            <w:shd w:val="clear" w:color="000000" w:fill="FFFFFF"/>
            <w:noWrap/>
            <w:vAlign w:val="center"/>
            <w:hideMark/>
          </w:tcPr>
          <w:p w14:paraId="09A17EDB" w14:textId="77777777" w:rsidR="000036D2" w:rsidRPr="00390B7D" w:rsidRDefault="000036D2" w:rsidP="000036D2">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-57.6</w:t>
            </w:r>
          </w:p>
        </w:tc>
      </w:tr>
      <w:tr w:rsidR="000036D2" w:rsidRPr="00390B7D" w14:paraId="4E686387" w14:textId="77777777" w:rsidTr="00F832FC">
        <w:trPr>
          <w:divId w:val="1225023726"/>
          <w:trHeight w:hRule="exact" w:val="200"/>
        </w:trPr>
        <w:tc>
          <w:tcPr>
            <w:tcW w:w="1563" w:type="pct"/>
            <w:tcBorders>
              <w:top w:val="nil"/>
              <w:left w:val="nil"/>
              <w:bottom w:val="single" w:sz="4" w:space="0" w:color="293F5B"/>
              <w:right w:val="nil"/>
            </w:tcBorders>
            <w:shd w:val="clear" w:color="000000" w:fill="FFFFFF"/>
            <w:noWrap/>
            <w:vAlign w:val="center"/>
            <w:hideMark/>
          </w:tcPr>
          <w:p w14:paraId="07A8EFA3" w14:textId="77777777" w:rsidR="000036D2" w:rsidRPr="00390B7D" w:rsidRDefault="000036D2" w:rsidP="000036D2">
            <w:pPr>
              <w:spacing w:before="0" w:after="0" w:line="240" w:lineRule="auto"/>
              <w:rPr>
                <w:rFonts w:ascii="Arial" w:hAnsi="Arial" w:cs="Arial"/>
                <w:sz w:val="16"/>
                <w:szCs w:val="16"/>
              </w:rPr>
            </w:pPr>
            <w:r w:rsidRPr="00390B7D">
              <w:rPr>
                <w:rFonts w:ascii="Arial" w:hAnsi="Arial" w:cs="Arial"/>
                <w:sz w:val="16"/>
                <w:szCs w:val="16"/>
              </w:rPr>
              <w:t>Per cent of GDP</w:t>
            </w:r>
          </w:p>
        </w:tc>
        <w:tc>
          <w:tcPr>
            <w:tcW w:w="839" w:type="pct"/>
            <w:tcBorders>
              <w:top w:val="nil"/>
              <w:left w:val="nil"/>
              <w:bottom w:val="single" w:sz="4" w:space="0" w:color="293F5B"/>
              <w:right w:val="nil"/>
            </w:tcBorders>
            <w:shd w:val="clear" w:color="000000" w:fill="FFFFFF"/>
            <w:noWrap/>
            <w:vAlign w:val="center"/>
            <w:hideMark/>
          </w:tcPr>
          <w:p w14:paraId="76FDE8BF"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31.1</w:t>
            </w:r>
          </w:p>
        </w:tc>
        <w:tc>
          <w:tcPr>
            <w:tcW w:w="876" w:type="pct"/>
            <w:tcBorders>
              <w:top w:val="nil"/>
              <w:left w:val="nil"/>
              <w:bottom w:val="single" w:sz="4" w:space="0" w:color="293F5B"/>
              <w:right w:val="nil"/>
            </w:tcBorders>
            <w:shd w:val="clear" w:color="000000" w:fill="FFFFFF"/>
            <w:noWrap/>
            <w:vAlign w:val="center"/>
            <w:hideMark/>
          </w:tcPr>
          <w:p w14:paraId="05D6F1DC"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23.0</w:t>
            </w:r>
          </w:p>
        </w:tc>
        <w:tc>
          <w:tcPr>
            <w:tcW w:w="642" w:type="pct"/>
            <w:tcBorders>
              <w:top w:val="nil"/>
              <w:left w:val="nil"/>
              <w:bottom w:val="single" w:sz="4" w:space="0" w:color="293F5B"/>
              <w:right w:val="nil"/>
            </w:tcBorders>
            <w:shd w:val="clear" w:color="000000" w:fill="FFFFFF"/>
            <w:noWrap/>
            <w:vAlign w:val="center"/>
            <w:hideMark/>
          </w:tcPr>
          <w:p w14:paraId="22092BD0"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21.6</w:t>
            </w:r>
          </w:p>
        </w:tc>
        <w:tc>
          <w:tcPr>
            <w:tcW w:w="514" w:type="pct"/>
            <w:tcBorders>
              <w:top w:val="nil"/>
              <w:left w:val="nil"/>
              <w:bottom w:val="single" w:sz="4" w:space="0" w:color="293F5B"/>
              <w:right w:val="nil"/>
            </w:tcBorders>
            <w:shd w:val="clear" w:color="000000" w:fill="E6F2FF"/>
            <w:noWrap/>
            <w:vAlign w:val="center"/>
            <w:hideMark/>
          </w:tcPr>
          <w:p w14:paraId="54E28874"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19.4</w:t>
            </w:r>
          </w:p>
        </w:tc>
        <w:tc>
          <w:tcPr>
            <w:tcW w:w="566" w:type="pct"/>
            <w:tcBorders>
              <w:top w:val="nil"/>
              <w:left w:val="nil"/>
              <w:bottom w:val="single" w:sz="4" w:space="0" w:color="293F5B"/>
              <w:right w:val="nil"/>
            </w:tcBorders>
            <w:shd w:val="clear" w:color="000000" w:fill="FFFFFF"/>
            <w:noWrap/>
            <w:vAlign w:val="center"/>
            <w:hideMark/>
          </w:tcPr>
          <w:p w14:paraId="1199A555" w14:textId="77777777" w:rsidR="000036D2" w:rsidRPr="00390B7D" w:rsidRDefault="000036D2" w:rsidP="000036D2">
            <w:pPr>
              <w:spacing w:before="0" w:after="0" w:line="240" w:lineRule="auto"/>
              <w:jc w:val="right"/>
              <w:rPr>
                <w:rFonts w:ascii="Arial" w:hAnsi="Arial" w:cs="Arial"/>
                <w:sz w:val="16"/>
                <w:szCs w:val="16"/>
              </w:rPr>
            </w:pPr>
            <w:r w:rsidRPr="00390B7D">
              <w:rPr>
                <w:rFonts w:ascii="Arial" w:hAnsi="Arial" w:cs="Arial"/>
                <w:sz w:val="16"/>
                <w:szCs w:val="16"/>
              </w:rPr>
              <w:t> </w:t>
            </w:r>
          </w:p>
        </w:tc>
      </w:tr>
    </w:tbl>
    <w:p w14:paraId="0FB522F1" w14:textId="58772030" w:rsidR="002959E6" w:rsidRPr="0050059C" w:rsidRDefault="002959E6" w:rsidP="002D7FEB">
      <w:pPr>
        <w:pStyle w:val="ChartandTableFootnoteAlpha"/>
      </w:pPr>
      <w:r w:rsidRPr="0050059C">
        <w:t xml:space="preserve">Gross debt measures </w:t>
      </w:r>
      <w:r w:rsidRPr="00176907">
        <w:t>the</w:t>
      </w:r>
      <w:r w:rsidRPr="0050059C">
        <w:t xml:space="preserve"> face value of Australian Government Securities (AGS) on issue. </w:t>
      </w:r>
    </w:p>
    <w:p w14:paraId="330A299B" w14:textId="6B591EC0" w:rsidR="002959E6" w:rsidRDefault="002959E6" w:rsidP="002D7FEB">
      <w:pPr>
        <w:pStyle w:val="ChartandTableFootnoteAlpha"/>
      </w:pPr>
      <w:r w:rsidRPr="0050059C">
        <w:t>Net debt is the sum of interest bearing liabilities (which includes AGS on issue measured at market value) less the sum of selected financial assets (cash and deposits, advances paid and investments, loans and</w:t>
      </w:r>
      <w:r w:rsidR="0076449A" w:rsidRPr="0050059C">
        <w:t> </w:t>
      </w:r>
      <w:r w:rsidRPr="0050059C">
        <w:t>placements).</w:t>
      </w:r>
    </w:p>
    <w:p w14:paraId="7E45E802" w14:textId="22387492" w:rsidR="0047075F" w:rsidRPr="00390B7D" w:rsidRDefault="002959E6" w:rsidP="002959E6">
      <w:r w:rsidRPr="00390B7D">
        <w:t>Real GDP grew by 3.</w:t>
      </w:r>
      <w:r w:rsidR="007C2F39" w:rsidRPr="00390B7D">
        <w:t>4</w:t>
      </w:r>
      <w:r w:rsidR="002E328D" w:rsidRPr="00390B7D">
        <w:t> per </w:t>
      </w:r>
      <w:r w:rsidRPr="00390B7D">
        <w:t>cent in 202</w:t>
      </w:r>
      <w:r w:rsidR="007C2F39" w:rsidRPr="00390B7D">
        <w:t>2</w:t>
      </w:r>
      <w:r w:rsidR="0083530B" w:rsidRPr="00390B7D">
        <w:t>–</w:t>
      </w:r>
      <w:r w:rsidRPr="00390B7D">
        <w:t>2</w:t>
      </w:r>
      <w:r w:rsidR="007C2F39" w:rsidRPr="00390B7D">
        <w:t>3</w:t>
      </w:r>
      <w:r w:rsidRPr="00390B7D">
        <w:t xml:space="preserve">, </w:t>
      </w:r>
      <w:r w:rsidR="007C2F39" w:rsidRPr="00390B7D">
        <w:t xml:space="preserve">stronger </w:t>
      </w:r>
      <w:r w:rsidRPr="00390B7D">
        <w:t xml:space="preserve">than the </w:t>
      </w:r>
      <w:r w:rsidR="007C2F39" w:rsidRPr="00390B7D">
        <w:t>3</w:t>
      </w:r>
      <w:r w:rsidRPr="00390B7D">
        <w:t>¼</w:t>
      </w:r>
      <w:r w:rsidR="002E328D" w:rsidRPr="00390B7D">
        <w:t> per </w:t>
      </w:r>
      <w:r w:rsidRPr="00390B7D">
        <w:t xml:space="preserve">cent forecast </w:t>
      </w:r>
      <w:r w:rsidR="00E26DC2" w:rsidRPr="00390B7D">
        <w:t>in</w:t>
      </w:r>
      <w:r w:rsidRPr="00390B7D">
        <w:t xml:space="preserve"> the Budget. </w:t>
      </w:r>
      <w:r w:rsidR="00A55CD1" w:rsidRPr="00390B7D">
        <w:t>However, growth slowed over the year as c</w:t>
      </w:r>
      <w:r w:rsidR="003B1F62" w:rsidRPr="00390B7D">
        <w:t>ontinued c</w:t>
      </w:r>
      <w:r w:rsidR="00A45B14" w:rsidRPr="00390B7D">
        <w:t>ost</w:t>
      </w:r>
      <w:r w:rsidR="006B57C6" w:rsidRPr="00390B7D">
        <w:noBreakHyphen/>
      </w:r>
      <w:r w:rsidR="00A45B14" w:rsidRPr="00390B7D">
        <w:t>of</w:t>
      </w:r>
      <w:r w:rsidR="006B57C6" w:rsidRPr="00390B7D">
        <w:noBreakHyphen/>
      </w:r>
      <w:r w:rsidR="00A45B14" w:rsidRPr="00390B7D">
        <w:t xml:space="preserve">living pressures and the rise in interest rates </w:t>
      </w:r>
      <w:r w:rsidR="007E0346" w:rsidRPr="00390B7D">
        <w:t xml:space="preserve">led to </w:t>
      </w:r>
      <w:r w:rsidR="00D04C24" w:rsidRPr="00390B7D">
        <w:t xml:space="preserve">weakness in </w:t>
      </w:r>
      <w:r w:rsidR="00D04BF5" w:rsidRPr="00390B7D">
        <w:t xml:space="preserve">consumption and </w:t>
      </w:r>
      <w:r w:rsidR="006A1DA7" w:rsidRPr="00390B7D">
        <w:t>dwelling investment</w:t>
      </w:r>
      <w:r w:rsidR="00966458" w:rsidRPr="00390B7D">
        <w:t xml:space="preserve">. </w:t>
      </w:r>
      <w:r w:rsidR="00D04C24" w:rsidRPr="00390B7D">
        <w:t xml:space="preserve">The Australian economy was also impacted by </w:t>
      </w:r>
      <w:r w:rsidR="007D52BE" w:rsidRPr="00390B7D">
        <w:t xml:space="preserve">uncertainty in the global economy which faced elevated inflation, sharp rises in interest rates and tighter financial conditions. </w:t>
      </w:r>
    </w:p>
    <w:p w14:paraId="252612E3" w14:textId="1532BE81" w:rsidR="002959E6" w:rsidRPr="00390B7D" w:rsidRDefault="00D762FB" w:rsidP="002959E6">
      <w:r w:rsidRPr="00390B7D">
        <w:t xml:space="preserve">Net exports </w:t>
      </w:r>
      <w:r w:rsidR="003648A6" w:rsidRPr="00390B7D">
        <w:t xml:space="preserve">were </w:t>
      </w:r>
      <w:r w:rsidR="00C55B87" w:rsidRPr="00390B7D">
        <w:t>consistent with the Budget forecast</w:t>
      </w:r>
      <w:r w:rsidR="006835C5" w:rsidRPr="00390B7D">
        <w:t>,</w:t>
      </w:r>
      <w:r w:rsidR="00065EE3" w:rsidRPr="00390B7D">
        <w:t xml:space="preserve"> with </w:t>
      </w:r>
      <w:r w:rsidR="004212E6" w:rsidRPr="00390B7D">
        <w:t xml:space="preserve">a strong </w:t>
      </w:r>
      <w:r w:rsidR="00354896" w:rsidRPr="00390B7D">
        <w:t xml:space="preserve">recovery from </w:t>
      </w:r>
      <w:r w:rsidR="00D11DF1" w:rsidRPr="00390B7D">
        <w:t>tourism and education</w:t>
      </w:r>
      <w:r w:rsidR="000210FE" w:rsidRPr="00390B7D">
        <w:t xml:space="preserve"> </w:t>
      </w:r>
      <w:r w:rsidR="00C55B87" w:rsidRPr="00390B7D">
        <w:t xml:space="preserve">exports </w:t>
      </w:r>
      <w:r w:rsidR="000210FE" w:rsidRPr="00390B7D">
        <w:t xml:space="preserve">offset by </w:t>
      </w:r>
      <w:r w:rsidR="0037404F" w:rsidRPr="00390B7D">
        <w:t>Australians travel</w:t>
      </w:r>
      <w:r w:rsidR="00064269" w:rsidRPr="00390B7D">
        <w:t>ling</w:t>
      </w:r>
      <w:r w:rsidR="0037404F" w:rsidRPr="00390B7D">
        <w:t xml:space="preserve"> overseas in high numbers</w:t>
      </w:r>
      <w:r w:rsidR="00784AE2" w:rsidRPr="00390B7D">
        <w:t xml:space="preserve">. </w:t>
      </w:r>
    </w:p>
    <w:p w14:paraId="2C4B111A" w14:textId="6ADCC4BA" w:rsidR="003C6CA3" w:rsidRPr="00390B7D" w:rsidRDefault="002959E6" w:rsidP="00530FF4">
      <w:r w:rsidRPr="00390B7D">
        <w:t xml:space="preserve">Labour market conditions </w:t>
      </w:r>
      <w:r w:rsidR="008C3E1D" w:rsidRPr="00390B7D">
        <w:t xml:space="preserve">were strong and resilient </w:t>
      </w:r>
      <w:r w:rsidRPr="00390B7D">
        <w:t>in 202</w:t>
      </w:r>
      <w:r w:rsidR="00B859FC" w:rsidRPr="00390B7D">
        <w:t>2</w:t>
      </w:r>
      <w:r w:rsidR="0083530B" w:rsidRPr="00390B7D">
        <w:t>–</w:t>
      </w:r>
      <w:r w:rsidRPr="00390B7D">
        <w:t>2</w:t>
      </w:r>
      <w:r w:rsidR="00B859FC" w:rsidRPr="00390B7D">
        <w:t>3</w:t>
      </w:r>
      <w:r w:rsidR="004259A2" w:rsidRPr="00390B7D">
        <w:t>.</w:t>
      </w:r>
      <w:r w:rsidRPr="00390B7D">
        <w:t xml:space="preserve"> </w:t>
      </w:r>
      <w:r w:rsidR="004259A2" w:rsidRPr="00390B7D">
        <w:t>T</w:t>
      </w:r>
      <w:r w:rsidRPr="00390B7D">
        <w:t xml:space="preserve">he unemployment rate </w:t>
      </w:r>
      <w:r w:rsidR="007D1936" w:rsidRPr="00390B7D">
        <w:t xml:space="preserve">fell </w:t>
      </w:r>
      <w:r w:rsidR="008F51DB" w:rsidRPr="00390B7D">
        <w:t>to 3.6</w:t>
      </w:r>
      <w:r w:rsidR="002E328D" w:rsidRPr="00390B7D">
        <w:t> per </w:t>
      </w:r>
      <w:r w:rsidR="008F51DB" w:rsidRPr="00390B7D">
        <w:t xml:space="preserve">cent in the June quarter </w:t>
      </w:r>
      <w:r w:rsidRPr="00390B7D">
        <w:t xml:space="preserve">and employment </w:t>
      </w:r>
      <w:r w:rsidR="004F2D14" w:rsidRPr="00390B7D">
        <w:t xml:space="preserve">grew </w:t>
      </w:r>
      <w:r w:rsidRPr="00390B7D">
        <w:t>by 3.</w:t>
      </w:r>
      <w:r w:rsidR="008F51DB" w:rsidRPr="00390B7D">
        <w:t>2</w:t>
      </w:r>
      <w:r w:rsidR="002E328D" w:rsidRPr="00390B7D">
        <w:t> per </w:t>
      </w:r>
      <w:r w:rsidRPr="00390B7D">
        <w:t>cent through the year to the June quarter</w:t>
      </w:r>
      <w:r w:rsidR="004F2D14" w:rsidRPr="00390B7D">
        <w:t>,</w:t>
      </w:r>
      <w:r w:rsidR="00214B78" w:rsidRPr="00390B7D">
        <w:t xml:space="preserve"> higher than the </w:t>
      </w:r>
      <w:r w:rsidR="00E60FB0" w:rsidRPr="00390B7D">
        <w:t xml:space="preserve">Budget </w:t>
      </w:r>
      <w:r w:rsidR="00214B78" w:rsidRPr="00390B7D">
        <w:t>forecast</w:t>
      </w:r>
      <w:r w:rsidR="00E60FB0" w:rsidRPr="00390B7D">
        <w:t xml:space="preserve"> of 2</w:t>
      </w:r>
      <w:r w:rsidR="00585292" w:rsidRPr="00390B7D">
        <w:t>½</w:t>
      </w:r>
      <w:r w:rsidR="002E328D" w:rsidRPr="00390B7D">
        <w:t> per </w:t>
      </w:r>
      <w:r w:rsidR="00E60FB0" w:rsidRPr="00390B7D">
        <w:t>cent</w:t>
      </w:r>
      <w:r w:rsidRPr="00390B7D">
        <w:t xml:space="preserve">. </w:t>
      </w:r>
      <w:r w:rsidR="00D17DE9" w:rsidRPr="00390B7D">
        <w:t>T</w:t>
      </w:r>
      <w:r w:rsidRPr="00390B7D">
        <w:t>he Wage Price Index increase</w:t>
      </w:r>
      <w:r w:rsidR="00F52B6E" w:rsidRPr="00390B7D">
        <w:t>d</w:t>
      </w:r>
      <w:r w:rsidRPr="00390B7D">
        <w:t xml:space="preserve"> </w:t>
      </w:r>
      <w:r w:rsidR="00A86D86" w:rsidRPr="00390B7D">
        <w:t>by</w:t>
      </w:r>
      <w:r w:rsidRPr="00390B7D">
        <w:t xml:space="preserve"> </w:t>
      </w:r>
      <w:r w:rsidR="00E1530C" w:rsidRPr="00390B7D">
        <w:t>3</w:t>
      </w:r>
      <w:r w:rsidRPr="00390B7D">
        <w:t>.6</w:t>
      </w:r>
      <w:r w:rsidR="002E328D" w:rsidRPr="00390B7D">
        <w:t> per </w:t>
      </w:r>
      <w:r w:rsidRPr="00390B7D">
        <w:t>cent through the year to the June quarter of 202</w:t>
      </w:r>
      <w:r w:rsidR="00E1530C" w:rsidRPr="00390B7D">
        <w:t>3</w:t>
      </w:r>
      <w:r w:rsidR="00376B8C" w:rsidRPr="00390B7D">
        <w:t>, around the fastest rate in a decade</w:t>
      </w:r>
      <w:r w:rsidRPr="00390B7D">
        <w:t>.</w:t>
      </w:r>
      <w:r w:rsidR="006B43B3" w:rsidRPr="00390B7D">
        <w:t xml:space="preserve"> </w:t>
      </w:r>
    </w:p>
    <w:p w14:paraId="608C3BD0" w14:textId="0436258C" w:rsidR="00530FF4" w:rsidRPr="00390B7D" w:rsidRDefault="00530FF4" w:rsidP="00530FF4">
      <w:r w:rsidRPr="00390B7D">
        <w:t xml:space="preserve">Inflation is moderating in the Australian economy, but it remains too high. Global price shocks and supply constraints are unwinding largely as expected. This is </w:t>
      </w:r>
      <w:r w:rsidR="00BB49DF" w:rsidRPr="00390B7D">
        <w:t>leading to</w:t>
      </w:r>
      <w:r w:rsidRPr="00390B7D">
        <w:t xml:space="preserve"> an easing in some price pressures, particularly for dwelling construction and traded goods. Inflation was 6.0 per cent through the year to the June quarter, consistent with the Budget forecast. </w:t>
      </w:r>
    </w:p>
    <w:p w14:paraId="56C72719" w14:textId="074A58D9" w:rsidR="00252E58" w:rsidRPr="008A0341" w:rsidRDefault="00530FF4" w:rsidP="00530FF4">
      <w:r w:rsidRPr="00390B7D">
        <w:t xml:space="preserve">Nominal GDP grew by a strong 9.7 per cent in 2022–23, slightly lower than the forecast 10¼ per cent at Budget. </w:t>
      </w:r>
      <w:r w:rsidR="00252E58" w:rsidRPr="00390B7D" w:rsidDel="00CB7E77">
        <w:t>This reflects lower</w:t>
      </w:r>
      <w:r w:rsidR="00252E58" w:rsidRPr="00390B7D" w:rsidDel="00CB7E77">
        <w:noBreakHyphen/>
        <w:t>than</w:t>
      </w:r>
      <w:r w:rsidR="00252E58" w:rsidRPr="00390B7D" w:rsidDel="00CB7E77">
        <w:noBreakHyphen/>
        <w:t xml:space="preserve">expected terms of trade as commodity prices </w:t>
      </w:r>
      <w:r w:rsidR="00252E58" w:rsidRPr="00390B7D">
        <w:t>eased. The Budget assumes these prices unwind to levels consistent with long-term fundamentals</w:t>
      </w:r>
      <w:r w:rsidR="00AF174F" w:rsidRPr="00390B7D">
        <w:t>,</w:t>
      </w:r>
      <w:r w:rsidR="00252E58" w:rsidRPr="00390B7D">
        <w:t xml:space="preserve"> however they remain volatile.</w:t>
      </w:r>
    </w:p>
    <w:p w14:paraId="079CD160" w14:textId="77777777" w:rsidR="00E35BE2" w:rsidRPr="008A0341" w:rsidRDefault="00E35BE2" w:rsidP="00AD5AF6"/>
    <w:p w14:paraId="704494F7" w14:textId="45E42F75" w:rsidR="002959E6" w:rsidRPr="006354EB" w:rsidRDefault="002959E6" w:rsidP="002959E6">
      <w:pPr>
        <w:pStyle w:val="Heading2"/>
      </w:pPr>
      <w:r w:rsidRPr="006354EB">
        <w:lastRenderedPageBreak/>
        <w:t>Budget aggregates</w:t>
      </w:r>
    </w:p>
    <w:p w14:paraId="46124846" w14:textId="65611533" w:rsidR="00DC0C24" w:rsidRPr="00390B7D" w:rsidRDefault="002959E6" w:rsidP="00F51F26">
      <w:pPr>
        <w:pStyle w:val="TableHeading"/>
        <w:rPr>
          <w:rFonts w:asciiTheme="minorHAnsi" w:eastAsiaTheme="minorHAnsi" w:hAnsiTheme="minorHAnsi" w:cstheme="minorBidi"/>
          <w:b w:val="0"/>
          <w:sz w:val="22"/>
          <w:szCs w:val="22"/>
          <w:lang w:eastAsia="en-US"/>
        </w:rPr>
      </w:pPr>
      <w:r w:rsidRPr="00390B7D">
        <w:t>Table 1.2: Australian Government general government sector budget aggregates</w:t>
      </w:r>
      <w:bookmarkStart w:id="1" w:name="_1724850822"/>
      <w:bookmarkStart w:id="2" w:name="_1724240244"/>
      <w:bookmarkStart w:id="3" w:name="_1724833659"/>
      <w:bookmarkStart w:id="4" w:name="_1724859253"/>
      <w:bookmarkStart w:id="5" w:name="_1725097174"/>
      <w:bookmarkEnd w:id="1"/>
      <w:bookmarkEnd w:id="2"/>
      <w:bookmarkEnd w:id="3"/>
      <w:bookmarkEnd w:id="4"/>
      <w:bookmarkEnd w:id="5"/>
      <w:r w:rsidR="00B76F0F" w:rsidRPr="00390B7D">
        <w:t xml:space="preserve"> </w:t>
      </w:r>
    </w:p>
    <w:tbl>
      <w:tblPr>
        <w:tblW w:w="5000" w:type="pct"/>
        <w:tblCellMar>
          <w:left w:w="0" w:type="dxa"/>
          <w:right w:w="28" w:type="dxa"/>
        </w:tblCellMar>
        <w:tblLook w:val="04A0" w:firstRow="1" w:lastRow="0" w:firstColumn="1" w:lastColumn="0" w:noHBand="0" w:noVBand="1"/>
      </w:tblPr>
      <w:tblGrid>
        <w:gridCol w:w="3920"/>
        <w:gridCol w:w="1172"/>
        <w:gridCol w:w="1172"/>
        <w:gridCol w:w="1446"/>
      </w:tblGrid>
      <w:tr w:rsidR="00DC0C24" w:rsidRPr="00390B7D" w14:paraId="345A66E8" w14:textId="77777777" w:rsidTr="00DC0C24">
        <w:trPr>
          <w:trHeight w:hRule="exact" w:val="225"/>
        </w:trPr>
        <w:tc>
          <w:tcPr>
            <w:tcW w:w="2542" w:type="pct"/>
            <w:tcBorders>
              <w:top w:val="single" w:sz="4" w:space="0" w:color="293F5B"/>
              <w:left w:val="nil"/>
              <w:bottom w:val="nil"/>
              <w:right w:val="nil"/>
            </w:tcBorders>
            <w:shd w:val="clear" w:color="000000" w:fill="FFFFFF"/>
            <w:noWrap/>
            <w:vAlign w:val="center"/>
            <w:hideMark/>
          </w:tcPr>
          <w:p w14:paraId="2F797E5D" w14:textId="53AA447D"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single" w:sz="4" w:space="0" w:color="293F5B"/>
              <w:left w:val="nil"/>
              <w:bottom w:val="nil"/>
              <w:right w:val="nil"/>
            </w:tcBorders>
            <w:shd w:val="clear" w:color="000000" w:fill="FFFFFF"/>
            <w:noWrap/>
            <w:vAlign w:val="center"/>
            <w:hideMark/>
          </w:tcPr>
          <w:p w14:paraId="62F1947E"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2022-23</w:t>
            </w:r>
          </w:p>
        </w:tc>
        <w:tc>
          <w:tcPr>
            <w:tcW w:w="760" w:type="pct"/>
            <w:tcBorders>
              <w:top w:val="single" w:sz="4" w:space="0" w:color="293F5B"/>
              <w:left w:val="nil"/>
              <w:bottom w:val="nil"/>
              <w:right w:val="nil"/>
            </w:tcBorders>
            <w:shd w:val="clear" w:color="000000" w:fill="E6F2FF"/>
            <w:noWrap/>
            <w:vAlign w:val="center"/>
            <w:hideMark/>
          </w:tcPr>
          <w:p w14:paraId="68DA9663"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2022-23</w:t>
            </w:r>
          </w:p>
        </w:tc>
        <w:tc>
          <w:tcPr>
            <w:tcW w:w="938" w:type="pct"/>
            <w:tcBorders>
              <w:top w:val="single" w:sz="4" w:space="0" w:color="293F5B"/>
              <w:left w:val="nil"/>
              <w:bottom w:val="nil"/>
              <w:right w:val="nil"/>
            </w:tcBorders>
            <w:shd w:val="clear" w:color="000000" w:fill="FFFFFF"/>
            <w:noWrap/>
            <w:vAlign w:val="center"/>
            <w:hideMark/>
          </w:tcPr>
          <w:p w14:paraId="24C85465"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Change on</w:t>
            </w:r>
          </w:p>
        </w:tc>
      </w:tr>
      <w:tr w:rsidR="00DC0C24" w:rsidRPr="00390B7D" w14:paraId="776130B9"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0B2A9F50"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7D2E690B"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Estimate at</w:t>
            </w:r>
          </w:p>
        </w:tc>
        <w:tc>
          <w:tcPr>
            <w:tcW w:w="760" w:type="pct"/>
            <w:tcBorders>
              <w:top w:val="nil"/>
              <w:left w:val="nil"/>
              <w:bottom w:val="nil"/>
              <w:right w:val="nil"/>
            </w:tcBorders>
            <w:shd w:val="clear" w:color="000000" w:fill="E6F2FF"/>
            <w:noWrap/>
            <w:vAlign w:val="center"/>
            <w:hideMark/>
          </w:tcPr>
          <w:p w14:paraId="7880D8E8"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Outcome</w:t>
            </w:r>
          </w:p>
        </w:tc>
        <w:tc>
          <w:tcPr>
            <w:tcW w:w="938" w:type="pct"/>
            <w:tcBorders>
              <w:top w:val="nil"/>
              <w:left w:val="nil"/>
              <w:bottom w:val="nil"/>
              <w:right w:val="nil"/>
            </w:tcBorders>
            <w:shd w:val="clear" w:color="000000" w:fill="FFFFFF"/>
            <w:noWrap/>
            <w:vAlign w:val="center"/>
            <w:hideMark/>
          </w:tcPr>
          <w:p w14:paraId="020E3DB0"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2023-24</w:t>
            </w:r>
          </w:p>
        </w:tc>
      </w:tr>
      <w:tr w:rsidR="00DC0C24" w:rsidRPr="00390B7D" w14:paraId="1E4A7430"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6697145B"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4CF4CE3C"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2023-24</w:t>
            </w:r>
          </w:p>
        </w:tc>
        <w:tc>
          <w:tcPr>
            <w:tcW w:w="760" w:type="pct"/>
            <w:tcBorders>
              <w:top w:val="nil"/>
              <w:left w:val="nil"/>
              <w:bottom w:val="nil"/>
              <w:right w:val="nil"/>
            </w:tcBorders>
            <w:shd w:val="clear" w:color="000000" w:fill="E6F2FF"/>
            <w:noWrap/>
            <w:vAlign w:val="center"/>
            <w:hideMark/>
          </w:tcPr>
          <w:p w14:paraId="6698B234"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 </w:t>
            </w:r>
          </w:p>
        </w:tc>
        <w:tc>
          <w:tcPr>
            <w:tcW w:w="938" w:type="pct"/>
            <w:tcBorders>
              <w:top w:val="nil"/>
              <w:left w:val="nil"/>
              <w:bottom w:val="nil"/>
              <w:right w:val="nil"/>
            </w:tcBorders>
            <w:shd w:val="clear" w:color="000000" w:fill="FFFFFF"/>
            <w:noWrap/>
            <w:vAlign w:val="center"/>
            <w:hideMark/>
          </w:tcPr>
          <w:p w14:paraId="0AF97000"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 xml:space="preserve"> Budget</w:t>
            </w:r>
          </w:p>
        </w:tc>
      </w:tr>
      <w:tr w:rsidR="00DC0C24" w:rsidRPr="00390B7D" w14:paraId="3147ED16"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29581427"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3309F748"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 xml:space="preserve"> Budget</w:t>
            </w:r>
          </w:p>
        </w:tc>
        <w:tc>
          <w:tcPr>
            <w:tcW w:w="760" w:type="pct"/>
            <w:tcBorders>
              <w:top w:val="nil"/>
              <w:left w:val="nil"/>
              <w:bottom w:val="nil"/>
              <w:right w:val="nil"/>
            </w:tcBorders>
            <w:shd w:val="clear" w:color="000000" w:fill="E6F2FF"/>
            <w:noWrap/>
            <w:vAlign w:val="center"/>
            <w:hideMark/>
          </w:tcPr>
          <w:p w14:paraId="20605A34"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 </w:t>
            </w:r>
          </w:p>
        </w:tc>
        <w:tc>
          <w:tcPr>
            <w:tcW w:w="938" w:type="pct"/>
            <w:tcBorders>
              <w:top w:val="nil"/>
              <w:left w:val="nil"/>
              <w:bottom w:val="nil"/>
              <w:right w:val="nil"/>
            </w:tcBorders>
            <w:shd w:val="clear" w:color="000000" w:fill="FFFFFF"/>
            <w:noWrap/>
            <w:vAlign w:val="center"/>
            <w:hideMark/>
          </w:tcPr>
          <w:p w14:paraId="2B713696"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 </w:t>
            </w:r>
          </w:p>
        </w:tc>
      </w:tr>
      <w:tr w:rsidR="00DC0C24" w:rsidRPr="00390B7D" w14:paraId="51C32DFC"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2F5F419B"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74649E43"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$b</w:t>
            </w:r>
          </w:p>
        </w:tc>
        <w:tc>
          <w:tcPr>
            <w:tcW w:w="760" w:type="pct"/>
            <w:tcBorders>
              <w:top w:val="nil"/>
              <w:left w:val="nil"/>
              <w:bottom w:val="nil"/>
              <w:right w:val="nil"/>
            </w:tcBorders>
            <w:shd w:val="clear" w:color="000000" w:fill="E6F2FF"/>
            <w:noWrap/>
            <w:vAlign w:val="center"/>
            <w:hideMark/>
          </w:tcPr>
          <w:p w14:paraId="53187111"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$b</w:t>
            </w:r>
          </w:p>
        </w:tc>
        <w:tc>
          <w:tcPr>
            <w:tcW w:w="938" w:type="pct"/>
            <w:tcBorders>
              <w:top w:val="nil"/>
              <w:left w:val="nil"/>
              <w:bottom w:val="nil"/>
              <w:right w:val="nil"/>
            </w:tcBorders>
            <w:shd w:val="clear" w:color="000000" w:fill="FFFFFF"/>
            <w:noWrap/>
            <w:vAlign w:val="center"/>
            <w:hideMark/>
          </w:tcPr>
          <w:p w14:paraId="6BB67569"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$b</w:t>
            </w:r>
          </w:p>
        </w:tc>
      </w:tr>
      <w:tr w:rsidR="00DC0C24" w:rsidRPr="00390B7D" w14:paraId="4F053751"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47C80BAA" w14:textId="77777777" w:rsidR="00DC0C24" w:rsidRPr="00390B7D" w:rsidRDefault="00DC0C24" w:rsidP="00DC0C24">
            <w:pPr>
              <w:spacing w:before="0" w:after="0" w:line="240" w:lineRule="auto"/>
              <w:rPr>
                <w:rFonts w:ascii="Arial" w:hAnsi="Arial" w:cs="Arial"/>
                <w:b/>
                <w:bCs/>
                <w:sz w:val="16"/>
                <w:szCs w:val="16"/>
              </w:rPr>
            </w:pPr>
            <w:r w:rsidRPr="00390B7D">
              <w:rPr>
                <w:rFonts w:ascii="Arial" w:hAnsi="Arial" w:cs="Arial"/>
                <w:b/>
                <w:bCs/>
                <w:sz w:val="16"/>
                <w:szCs w:val="16"/>
              </w:rPr>
              <w:t>Underlying cash balance</w:t>
            </w:r>
          </w:p>
        </w:tc>
        <w:tc>
          <w:tcPr>
            <w:tcW w:w="760" w:type="pct"/>
            <w:tcBorders>
              <w:top w:val="single" w:sz="4" w:space="0" w:color="293F5B"/>
              <w:left w:val="nil"/>
              <w:bottom w:val="nil"/>
              <w:right w:val="nil"/>
            </w:tcBorders>
            <w:shd w:val="clear" w:color="000000" w:fill="FFFFFF"/>
            <w:noWrap/>
            <w:vAlign w:val="center"/>
            <w:hideMark/>
          </w:tcPr>
          <w:p w14:paraId="607460E8"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4.2</w:t>
            </w:r>
          </w:p>
        </w:tc>
        <w:tc>
          <w:tcPr>
            <w:tcW w:w="760" w:type="pct"/>
            <w:tcBorders>
              <w:top w:val="single" w:sz="4" w:space="0" w:color="293F5B"/>
              <w:left w:val="nil"/>
              <w:bottom w:val="nil"/>
              <w:right w:val="nil"/>
            </w:tcBorders>
            <w:shd w:val="clear" w:color="000000" w:fill="E6F2FF"/>
            <w:noWrap/>
            <w:vAlign w:val="center"/>
            <w:hideMark/>
          </w:tcPr>
          <w:p w14:paraId="6BB6908D" w14:textId="77777777" w:rsidR="00DC0C24" w:rsidRPr="00390B7D" w:rsidRDefault="00DC0C24" w:rsidP="00DC0C24">
            <w:pPr>
              <w:spacing w:before="0" w:after="0" w:line="240" w:lineRule="auto"/>
              <w:jc w:val="right"/>
              <w:rPr>
                <w:rFonts w:ascii="Arial" w:hAnsi="Arial" w:cs="Arial"/>
                <w:b/>
                <w:bCs/>
                <w:sz w:val="16"/>
                <w:szCs w:val="16"/>
              </w:rPr>
            </w:pPr>
            <w:r w:rsidRPr="00390B7D">
              <w:rPr>
                <w:rFonts w:ascii="Arial" w:hAnsi="Arial" w:cs="Arial"/>
                <w:b/>
                <w:bCs/>
                <w:sz w:val="16"/>
                <w:szCs w:val="16"/>
              </w:rPr>
              <w:t>22.1</w:t>
            </w:r>
          </w:p>
        </w:tc>
        <w:tc>
          <w:tcPr>
            <w:tcW w:w="938" w:type="pct"/>
            <w:tcBorders>
              <w:top w:val="single" w:sz="4" w:space="0" w:color="293F5B"/>
              <w:left w:val="nil"/>
              <w:bottom w:val="nil"/>
              <w:right w:val="nil"/>
            </w:tcBorders>
            <w:shd w:val="clear" w:color="000000" w:fill="FFFFFF"/>
            <w:noWrap/>
            <w:vAlign w:val="center"/>
            <w:hideMark/>
          </w:tcPr>
          <w:p w14:paraId="55D45D1E"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17.9</w:t>
            </w:r>
          </w:p>
        </w:tc>
      </w:tr>
      <w:tr w:rsidR="00DC0C24" w:rsidRPr="00390B7D" w14:paraId="28644209"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1627FC17" w14:textId="77777777" w:rsidR="00DC0C24" w:rsidRPr="00390B7D" w:rsidRDefault="00DC0C24" w:rsidP="00DC0C24">
            <w:pPr>
              <w:spacing w:before="0" w:after="0" w:line="240" w:lineRule="auto"/>
              <w:rPr>
                <w:rFonts w:ascii="Arial" w:hAnsi="Arial" w:cs="Arial"/>
                <w:sz w:val="16"/>
                <w:szCs w:val="16"/>
              </w:rPr>
            </w:pPr>
            <w:r w:rsidRPr="00390B7D">
              <w:rPr>
                <w:rFonts w:ascii="Arial" w:hAnsi="Arial" w:cs="Arial"/>
                <w:sz w:val="16"/>
                <w:szCs w:val="16"/>
              </w:rPr>
              <w:t>Per cent of GDP</w:t>
            </w:r>
          </w:p>
        </w:tc>
        <w:tc>
          <w:tcPr>
            <w:tcW w:w="760" w:type="pct"/>
            <w:tcBorders>
              <w:top w:val="nil"/>
              <w:left w:val="nil"/>
              <w:bottom w:val="nil"/>
              <w:right w:val="nil"/>
            </w:tcBorders>
            <w:shd w:val="clear" w:color="000000" w:fill="FFFFFF"/>
            <w:noWrap/>
            <w:vAlign w:val="center"/>
            <w:hideMark/>
          </w:tcPr>
          <w:p w14:paraId="16FEB3C8"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0.2</w:t>
            </w:r>
          </w:p>
        </w:tc>
        <w:tc>
          <w:tcPr>
            <w:tcW w:w="760" w:type="pct"/>
            <w:tcBorders>
              <w:top w:val="nil"/>
              <w:left w:val="nil"/>
              <w:bottom w:val="nil"/>
              <w:right w:val="nil"/>
            </w:tcBorders>
            <w:shd w:val="clear" w:color="000000" w:fill="E6F2FF"/>
            <w:noWrap/>
            <w:vAlign w:val="center"/>
            <w:hideMark/>
          </w:tcPr>
          <w:p w14:paraId="4443C6B0"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0.9</w:t>
            </w:r>
          </w:p>
        </w:tc>
        <w:tc>
          <w:tcPr>
            <w:tcW w:w="938" w:type="pct"/>
            <w:tcBorders>
              <w:top w:val="nil"/>
              <w:left w:val="nil"/>
              <w:bottom w:val="nil"/>
              <w:right w:val="nil"/>
            </w:tcBorders>
            <w:shd w:val="clear" w:color="000000" w:fill="FFFFFF"/>
            <w:noWrap/>
            <w:vAlign w:val="center"/>
            <w:hideMark/>
          </w:tcPr>
          <w:p w14:paraId="772A2F44"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6F0538BB"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29461056" w14:textId="77777777" w:rsidR="00DC0C24" w:rsidRPr="00390B7D" w:rsidRDefault="00DC0C24" w:rsidP="00DC0C24">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Receipts</w:t>
            </w:r>
          </w:p>
        </w:tc>
        <w:tc>
          <w:tcPr>
            <w:tcW w:w="760" w:type="pct"/>
            <w:tcBorders>
              <w:top w:val="nil"/>
              <w:left w:val="nil"/>
              <w:bottom w:val="nil"/>
              <w:right w:val="nil"/>
            </w:tcBorders>
            <w:shd w:val="clear" w:color="000000" w:fill="FFFFFF"/>
            <w:noWrap/>
            <w:vAlign w:val="center"/>
            <w:hideMark/>
          </w:tcPr>
          <w:p w14:paraId="7FED8E80"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635.6</w:t>
            </w:r>
          </w:p>
        </w:tc>
        <w:tc>
          <w:tcPr>
            <w:tcW w:w="760" w:type="pct"/>
            <w:tcBorders>
              <w:top w:val="nil"/>
              <w:left w:val="nil"/>
              <w:bottom w:val="nil"/>
              <w:right w:val="nil"/>
            </w:tcBorders>
            <w:shd w:val="clear" w:color="000000" w:fill="E6F2FF"/>
            <w:noWrap/>
            <w:vAlign w:val="center"/>
            <w:hideMark/>
          </w:tcPr>
          <w:p w14:paraId="5780CDD8" w14:textId="77777777" w:rsidR="00DC0C24" w:rsidRPr="00390B7D" w:rsidRDefault="00DC0C24" w:rsidP="00DC0C24">
            <w:pPr>
              <w:spacing w:before="0" w:after="0" w:line="240" w:lineRule="auto"/>
              <w:jc w:val="right"/>
              <w:rPr>
                <w:rFonts w:ascii="Arial" w:hAnsi="Arial" w:cs="Arial"/>
                <w:b/>
                <w:bCs/>
                <w:sz w:val="16"/>
                <w:szCs w:val="16"/>
              </w:rPr>
            </w:pPr>
            <w:r w:rsidRPr="00390B7D">
              <w:rPr>
                <w:rFonts w:ascii="Arial" w:hAnsi="Arial" w:cs="Arial"/>
                <w:b/>
                <w:bCs/>
                <w:sz w:val="16"/>
                <w:szCs w:val="16"/>
              </w:rPr>
              <w:t>649.5</w:t>
            </w:r>
          </w:p>
        </w:tc>
        <w:tc>
          <w:tcPr>
            <w:tcW w:w="938" w:type="pct"/>
            <w:tcBorders>
              <w:top w:val="nil"/>
              <w:left w:val="nil"/>
              <w:bottom w:val="nil"/>
              <w:right w:val="nil"/>
            </w:tcBorders>
            <w:shd w:val="clear" w:color="000000" w:fill="FFFFFF"/>
            <w:noWrap/>
            <w:vAlign w:val="center"/>
            <w:hideMark/>
          </w:tcPr>
          <w:p w14:paraId="0365AF5D"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13.9</w:t>
            </w:r>
          </w:p>
        </w:tc>
      </w:tr>
      <w:tr w:rsidR="00DC0C24" w:rsidRPr="00390B7D" w14:paraId="360D5526"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365E55BF"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Per cent of GDP</w:t>
            </w:r>
          </w:p>
        </w:tc>
        <w:tc>
          <w:tcPr>
            <w:tcW w:w="760" w:type="pct"/>
            <w:tcBorders>
              <w:top w:val="nil"/>
              <w:left w:val="nil"/>
              <w:bottom w:val="nil"/>
              <w:right w:val="nil"/>
            </w:tcBorders>
            <w:shd w:val="clear" w:color="000000" w:fill="FFFFFF"/>
            <w:noWrap/>
            <w:vAlign w:val="center"/>
            <w:hideMark/>
          </w:tcPr>
          <w:p w14:paraId="5C0C44F2"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25.0</w:t>
            </w:r>
          </w:p>
        </w:tc>
        <w:tc>
          <w:tcPr>
            <w:tcW w:w="760" w:type="pct"/>
            <w:tcBorders>
              <w:top w:val="nil"/>
              <w:left w:val="nil"/>
              <w:bottom w:val="nil"/>
              <w:right w:val="nil"/>
            </w:tcBorders>
            <w:shd w:val="clear" w:color="000000" w:fill="E6F2FF"/>
            <w:noWrap/>
            <w:vAlign w:val="center"/>
            <w:hideMark/>
          </w:tcPr>
          <w:p w14:paraId="5DBDD978"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25.7</w:t>
            </w:r>
          </w:p>
        </w:tc>
        <w:tc>
          <w:tcPr>
            <w:tcW w:w="938" w:type="pct"/>
            <w:tcBorders>
              <w:top w:val="nil"/>
              <w:left w:val="nil"/>
              <w:bottom w:val="nil"/>
              <w:right w:val="nil"/>
            </w:tcBorders>
            <w:shd w:val="clear" w:color="000000" w:fill="FFFFFF"/>
            <w:noWrap/>
            <w:vAlign w:val="center"/>
            <w:hideMark/>
          </w:tcPr>
          <w:p w14:paraId="574CBD77"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1B0B8452" w14:textId="77777777" w:rsidTr="00DC0C24">
        <w:trPr>
          <w:trHeight w:hRule="exact" w:val="60"/>
        </w:trPr>
        <w:tc>
          <w:tcPr>
            <w:tcW w:w="2542" w:type="pct"/>
            <w:tcBorders>
              <w:top w:val="nil"/>
              <w:left w:val="nil"/>
              <w:bottom w:val="nil"/>
              <w:right w:val="nil"/>
            </w:tcBorders>
            <w:shd w:val="clear" w:color="000000" w:fill="FFFFFF"/>
            <w:noWrap/>
            <w:vAlign w:val="center"/>
            <w:hideMark/>
          </w:tcPr>
          <w:p w14:paraId="38886141"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6307DB45"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760" w:type="pct"/>
            <w:tcBorders>
              <w:top w:val="nil"/>
              <w:left w:val="nil"/>
              <w:bottom w:val="nil"/>
              <w:right w:val="nil"/>
            </w:tcBorders>
            <w:shd w:val="clear" w:color="000000" w:fill="E6F2FF"/>
            <w:noWrap/>
            <w:vAlign w:val="center"/>
            <w:hideMark/>
          </w:tcPr>
          <w:p w14:paraId="3F73CC0B" w14:textId="77777777" w:rsidR="00DC0C24" w:rsidRPr="00390B7D" w:rsidRDefault="00DC0C24" w:rsidP="00DC0C24">
            <w:pPr>
              <w:spacing w:before="0" w:after="0" w:line="240" w:lineRule="auto"/>
              <w:jc w:val="right"/>
              <w:rPr>
                <w:rFonts w:ascii="Arial" w:hAnsi="Arial" w:cs="Arial"/>
                <w:b/>
                <w:bCs/>
                <w:sz w:val="16"/>
                <w:szCs w:val="16"/>
              </w:rPr>
            </w:pPr>
            <w:r w:rsidRPr="00390B7D">
              <w:rPr>
                <w:rFonts w:ascii="Arial" w:hAnsi="Arial" w:cs="Arial"/>
                <w:b/>
                <w:bCs/>
                <w:sz w:val="16"/>
                <w:szCs w:val="16"/>
              </w:rPr>
              <w:t> </w:t>
            </w:r>
          </w:p>
        </w:tc>
        <w:tc>
          <w:tcPr>
            <w:tcW w:w="938" w:type="pct"/>
            <w:tcBorders>
              <w:top w:val="nil"/>
              <w:left w:val="nil"/>
              <w:bottom w:val="nil"/>
              <w:right w:val="nil"/>
            </w:tcBorders>
            <w:shd w:val="clear" w:color="000000" w:fill="FFFFFF"/>
            <w:noWrap/>
            <w:vAlign w:val="center"/>
            <w:hideMark/>
          </w:tcPr>
          <w:p w14:paraId="5867A400"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6292F0FA"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23DFFBFB" w14:textId="77777777" w:rsidR="00DC0C24" w:rsidRPr="00390B7D" w:rsidRDefault="00DC0C24" w:rsidP="00DC0C24">
            <w:pPr>
              <w:spacing w:before="0" w:after="0" w:line="240" w:lineRule="auto"/>
              <w:ind w:left="170"/>
              <w:rPr>
                <w:rFonts w:ascii="Arial" w:hAnsi="Arial" w:cs="Arial"/>
                <w:b/>
                <w:bCs/>
                <w:color w:val="000000"/>
                <w:sz w:val="16"/>
                <w:szCs w:val="16"/>
              </w:rPr>
            </w:pPr>
            <w:r w:rsidRPr="00390B7D">
              <w:rPr>
                <w:rFonts w:ascii="Arial" w:hAnsi="Arial" w:cs="Arial"/>
                <w:b/>
                <w:bCs/>
                <w:color w:val="000000"/>
                <w:sz w:val="16"/>
                <w:szCs w:val="16"/>
              </w:rPr>
              <w:t>Tax receipts</w:t>
            </w:r>
          </w:p>
        </w:tc>
        <w:tc>
          <w:tcPr>
            <w:tcW w:w="760" w:type="pct"/>
            <w:tcBorders>
              <w:top w:val="nil"/>
              <w:left w:val="nil"/>
              <w:bottom w:val="nil"/>
              <w:right w:val="nil"/>
            </w:tcBorders>
            <w:shd w:val="clear" w:color="000000" w:fill="FFFFFF"/>
            <w:noWrap/>
            <w:vAlign w:val="center"/>
            <w:hideMark/>
          </w:tcPr>
          <w:p w14:paraId="62D29CE1"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588.1</w:t>
            </w:r>
          </w:p>
        </w:tc>
        <w:tc>
          <w:tcPr>
            <w:tcW w:w="760" w:type="pct"/>
            <w:tcBorders>
              <w:top w:val="nil"/>
              <w:left w:val="nil"/>
              <w:bottom w:val="nil"/>
              <w:right w:val="nil"/>
            </w:tcBorders>
            <w:shd w:val="clear" w:color="000000" w:fill="E6F2FF"/>
            <w:noWrap/>
            <w:vAlign w:val="center"/>
            <w:hideMark/>
          </w:tcPr>
          <w:p w14:paraId="44D955A1" w14:textId="77777777" w:rsidR="00DC0C24" w:rsidRPr="00390B7D" w:rsidRDefault="00DC0C24" w:rsidP="00DC0C24">
            <w:pPr>
              <w:spacing w:before="0" w:after="0" w:line="240" w:lineRule="auto"/>
              <w:jc w:val="right"/>
              <w:rPr>
                <w:rFonts w:ascii="Arial" w:hAnsi="Arial" w:cs="Arial"/>
                <w:b/>
                <w:bCs/>
                <w:sz w:val="16"/>
                <w:szCs w:val="16"/>
              </w:rPr>
            </w:pPr>
            <w:r w:rsidRPr="00390B7D">
              <w:rPr>
                <w:rFonts w:ascii="Arial" w:hAnsi="Arial" w:cs="Arial"/>
                <w:b/>
                <w:bCs/>
                <w:sz w:val="16"/>
                <w:szCs w:val="16"/>
              </w:rPr>
              <w:t>601.3</w:t>
            </w:r>
          </w:p>
        </w:tc>
        <w:tc>
          <w:tcPr>
            <w:tcW w:w="938" w:type="pct"/>
            <w:tcBorders>
              <w:top w:val="nil"/>
              <w:left w:val="nil"/>
              <w:bottom w:val="nil"/>
              <w:right w:val="nil"/>
            </w:tcBorders>
            <w:shd w:val="clear" w:color="000000" w:fill="FFFFFF"/>
            <w:noWrap/>
            <w:vAlign w:val="center"/>
            <w:hideMark/>
          </w:tcPr>
          <w:p w14:paraId="60B6DEEC"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13.2</w:t>
            </w:r>
          </w:p>
        </w:tc>
      </w:tr>
      <w:tr w:rsidR="00DC0C24" w:rsidRPr="00390B7D" w14:paraId="266ABADD"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3A33A094" w14:textId="77777777" w:rsidR="00DC0C24" w:rsidRPr="00390B7D" w:rsidRDefault="00DC0C24" w:rsidP="00DC0C24">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Per cent of GDP</w:t>
            </w:r>
          </w:p>
        </w:tc>
        <w:tc>
          <w:tcPr>
            <w:tcW w:w="760" w:type="pct"/>
            <w:tcBorders>
              <w:top w:val="nil"/>
              <w:left w:val="nil"/>
              <w:bottom w:val="nil"/>
              <w:right w:val="nil"/>
            </w:tcBorders>
            <w:shd w:val="clear" w:color="000000" w:fill="FFFFFF"/>
            <w:noWrap/>
            <w:vAlign w:val="center"/>
            <w:hideMark/>
          </w:tcPr>
          <w:p w14:paraId="69A42DF9"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23.1</w:t>
            </w:r>
          </w:p>
        </w:tc>
        <w:tc>
          <w:tcPr>
            <w:tcW w:w="760" w:type="pct"/>
            <w:tcBorders>
              <w:top w:val="nil"/>
              <w:left w:val="nil"/>
              <w:bottom w:val="nil"/>
              <w:right w:val="nil"/>
            </w:tcBorders>
            <w:shd w:val="clear" w:color="000000" w:fill="E6F2FF"/>
            <w:noWrap/>
            <w:vAlign w:val="center"/>
            <w:hideMark/>
          </w:tcPr>
          <w:p w14:paraId="5A848BFD"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23.8</w:t>
            </w:r>
          </w:p>
        </w:tc>
        <w:tc>
          <w:tcPr>
            <w:tcW w:w="938" w:type="pct"/>
            <w:tcBorders>
              <w:top w:val="nil"/>
              <w:left w:val="nil"/>
              <w:bottom w:val="nil"/>
              <w:right w:val="nil"/>
            </w:tcBorders>
            <w:shd w:val="clear" w:color="000000" w:fill="FFFFFF"/>
            <w:noWrap/>
            <w:vAlign w:val="center"/>
            <w:hideMark/>
          </w:tcPr>
          <w:p w14:paraId="29FB3D48"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006DC1B9" w14:textId="77777777" w:rsidTr="00DC0C24">
        <w:trPr>
          <w:trHeight w:hRule="exact" w:val="60"/>
        </w:trPr>
        <w:tc>
          <w:tcPr>
            <w:tcW w:w="2542" w:type="pct"/>
            <w:tcBorders>
              <w:top w:val="nil"/>
              <w:left w:val="nil"/>
              <w:bottom w:val="nil"/>
              <w:right w:val="nil"/>
            </w:tcBorders>
            <w:shd w:val="clear" w:color="000000" w:fill="FFFFFF"/>
            <w:noWrap/>
            <w:vAlign w:val="center"/>
            <w:hideMark/>
          </w:tcPr>
          <w:p w14:paraId="678F839A"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07B8AA8D"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760" w:type="pct"/>
            <w:tcBorders>
              <w:top w:val="nil"/>
              <w:left w:val="nil"/>
              <w:bottom w:val="nil"/>
              <w:right w:val="nil"/>
            </w:tcBorders>
            <w:shd w:val="clear" w:color="000000" w:fill="E6F2FF"/>
            <w:noWrap/>
            <w:vAlign w:val="center"/>
            <w:hideMark/>
          </w:tcPr>
          <w:p w14:paraId="5273A383" w14:textId="77777777" w:rsidR="00DC0C24" w:rsidRPr="00390B7D" w:rsidRDefault="00DC0C24" w:rsidP="00DC0C24">
            <w:pPr>
              <w:spacing w:before="0" w:after="0" w:line="240" w:lineRule="auto"/>
              <w:jc w:val="right"/>
              <w:rPr>
                <w:rFonts w:ascii="Arial" w:hAnsi="Arial" w:cs="Arial"/>
                <w:b/>
                <w:bCs/>
                <w:sz w:val="16"/>
                <w:szCs w:val="16"/>
              </w:rPr>
            </w:pPr>
            <w:r w:rsidRPr="00390B7D">
              <w:rPr>
                <w:rFonts w:ascii="Arial" w:hAnsi="Arial" w:cs="Arial"/>
                <w:b/>
                <w:bCs/>
                <w:sz w:val="16"/>
                <w:szCs w:val="16"/>
              </w:rPr>
              <w:t> </w:t>
            </w:r>
          </w:p>
        </w:tc>
        <w:tc>
          <w:tcPr>
            <w:tcW w:w="938" w:type="pct"/>
            <w:tcBorders>
              <w:top w:val="nil"/>
              <w:left w:val="nil"/>
              <w:bottom w:val="nil"/>
              <w:right w:val="nil"/>
            </w:tcBorders>
            <w:shd w:val="clear" w:color="000000" w:fill="FFFFFF"/>
            <w:noWrap/>
            <w:vAlign w:val="center"/>
            <w:hideMark/>
          </w:tcPr>
          <w:p w14:paraId="3954AC96"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101F3718"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0DAD97C6" w14:textId="77777777" w:rsidR="00DC0C24" w:rsidRPr="00390B7D" w:rsidRDefault="00DC0C24" w:rsidP="00DC0C24">
            <w:pPr>
              <w:spacing w:before="0" w:after="0" w:line="240" w:lineRule="auto"/>
              <w:ind w:left="170"/>
              <w:rPr>
                <w:rFonts w:ascii="Arial" w:hAnsi="Arial" w:cs="Arial"/>
                <w:b/>
                <w:bCs/>
                <w:color w:val="000000"/>
                <w:sz w:val="16"/>
                <w:szCs w:val="16"/>
              </w:rPr>
            </w:pPr>
            <w:r w:rsidRPr="00390B7D">
              <w:rPr>
                <w:rFonts w:ascii="Arial" w:hAnsi="Arial" w:cs="Arial"/>
                <w:b/>
                <w:bCs/>
                <w:color w:val="000000"/>
                <w:sz w:val="16"/>
                <w:szCs w:val="16"/>
              </w:rPr>
              <w:t>Non-tax receipts</w:t>
            </w:r>
          </w:p>
        </w:tc>
        <w:tc>
          <w:tcPr>
            <w:tcW w:w="760" w:type="pct"/>
            <w:tcBorders>
              <w:top w:val="nil"/>
              <w:left w:val="nil"/>
              <w:bottom w:val="nil"/>
              <w:right w:val="nil"/>
            </w:tcBorders>
            <w:shd w:val="clear" w:color="000000" w:fill="FFFFFF"/>
            <w:noWrap/>
            <w:vAlign w:val="center"/>
            <w:hideMark/>
          </w:tcPr>
          <w:p w14:paraId="57A437EF"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47.5</w:t>
            </w:r>
          </w:p>
        </w:tc>
        <w:tc>
          <w:tcPr>
            <w:tcW w:w="760" w:type="pct"/>
            <w:tcBorders>
              <w:top w:val="nil"/>
              <w:left w:val="nil"/>
              <w:bottom w:val="nil"/>
              <w:right w:val="nil"/>
            </w:tcBorders>
            <w:shd w:val="clear" w:color="000000" w:fill="E6F2FF"/>
            <w:noWrap/>
            <w:vAlign w:val="center"/>
            <w:hideMark/>
          </w:tcPr>
          <w:p w14:paraId="5202A939" w14:textId="77777777" w:rsidR="00DC0C24" w:rsidRPr="00390B7D" w:rsidRDefault="00DC0C24" w:rsidP="00DC0C24">
            <w:pPr>
              <w:spacing w:before="0" w:after="0" w:line="240" w:lineRule="auto"/>
              <w:jc w:val="right"/>
              <w:rPr>
                <w:rFonts w:ascii="Arial" w:hAnsi="Arial" w:cs="Arial"/>
                <w:b/>
                <w:bCs/>
                <w:sz w:val="16"/>
                <w:szCs w:val="16"/>
              </w:rPr>
            </w:pPr>
            <w:r w:rsidRPr="00390B7D">
              <w:rPr>
                <w:rFonts w:ascii="Arial" w:hAnsi="Arial" w:cs="Arial"/>
                <w:b/>
                <w:bCs/>
                <w:sz w:val="16"/>
                <w:szCs w:val="16"/>
              </w:rPr>
              <w:t>48.2</w:t>
            </w:r>
          </w:p>
        </w:tc>
        <w:tc>
          <w:tcPr>
            <w:tcW w:w="938" w:type="pct"/>
            <w:tcBorders>
              <w:top w:val="nil"/>
              <w:left w:val="nil"/>
              <w:bottom w:val="nil"/>
              <w:right w:val="nil"/>
            </w:tcBorders>
            <w:shd w:val="clear" w:color="000000" w:fill="FFFFFF"/>
            <w:noWrap/>
            <w:vAlign w:val="center"/>
            <w:hideMark/>
          </w:tcPr>
          <w:p w14:paraId="4B22C653"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0.6</w:t>
            </w:r>
          </w:p>
        </w:tc>
      </w:tr>
      <w:tr w:rsidR="00DC0C24" w:rsidRPr="00390B7D" w14:paraId="5F3A3059"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18915E80" w14:textId="77777777" w:rsidR="00DC0C24" w:rsidRPr="00390B7D" w:rsidRDefault="00DC0C24" w:rsidP="00DC0C24">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Per cent of GDP</w:t>
            </w:r>
          </w:p>
        </w:tc>
        <w:tc>
          <w:tcPr>
            <w:tcW w:w="760" w:type="pct"/>
            <w:tcBorders>
              <w:top w:val="nil"/>
              <w:left w:val="nil"/>
              <w:bottom w:val="nil"/>
              <w:right w:val="nil"/>
            </w:tcBorders>
            <w:shd w:val="clear" w:color="000000" w:fill="FFFFFF"/>
            <w:noWrap/>
            <w:vAlign w:val="center"/>
            <w:hideMark/>
          </w:tcPr>
          <w:p w14:paraId="1BE3129E"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1.9</w:t>
            </w:r>
          </w:p>
        </w:tc>
        <w:tc>
          <w:tcPr>
            <w:tcW w:w="760" w:type="pct"/>
            <w:tcBorders>
              <w:top w:val="nil"/>
              <w:left w:val="nil"/>
              <w:bottom w:val="nil"/>
              <w:right w:val="nil"/>
            </w:tcBorders>
            <w:shd w:val="clear" w:color="000000" w:fill="E6F2FF"/>
            <w:noWrap/>
            <w:vAlign w:val="center"/>
            <w:hideMark/>
          </w:tcPr>
          <w:p w14:paraId="714E0120"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1.9</w:t>
            </w:r>
          </w:p>
        </w:tc>
        <w:tc>
          <w:tcPr>
            <w:tcW w:w="938" w:type="pct"/>
            <w:tcBorders>
              <w:top w:val="nil"/>
              <w:left w:val="nil"/>
              <w:bottom w:val="nil"/>
              <w:right w:val="nil"/>
            </w:tcBorders>
            <w:shd w:val="clear" w:color="000000" w:fill="FFFFFF"/>
            <w:noWrap/>
            <w:vAlign w:val="center"/>
            <w:hideMark/>
          </w:tcPr>
          <w:p w14:paraId="588E1EA3"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5E6572D9" w14:textId="77777777" w:rsidTr="00DC0C24">
        <w:trPr>
          <w:trHeight w:hRule="exact" w:val="60"/>
        </w:trPr>
        <w:tc>
          <w:tcPr>
            <w:tcW w:w="2542" w:type="pct"/>
            <w:tcBorders>
              <w:top w:val="nil"/>
              <w:left w:val="nil"/>
              <w:bottom w:val="nil"/>
              <w:right w:val="nil"/>
            </w:tcBorders>
            <w:shd w:val="clear" w:color="000000" w:fill="FFFFFF"/>
            <w:noWrap/>
            <w:vAlign w:val="center"/>
            <w:hideMark/>
          </w:tcPr>
          <w:p w14:paraId="565DBE11"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6551760E"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760" w:type="pct"/>
            <w:tcBorders>
              <w:top w:val="nil"/>
              <w:left w:val="nil"/>
              <w:bottom w:val="nil"/>
              <w:right w:val="nil"/>
            </w:tcBorders>
            <w:shd w:val="clear" w:color="000000" w:fill="E6F2FF"/>
            <w:noWrap/>
            <w:vAlign w:val="center"/>
            <w:hideMark/>
          </w:tcPr>
          <w:p w14:paraId="012AD5CD" w14:textId="77777777" w:rsidR="00DC0C24" w:rsidRPr="00390B7D" w:rsidRDefault="00DC0C24" w:rsidP="00DC0C24">
            <w:pPr>
              <w:spacing w:before="0" w:after="0" w:line="240" w:lineRule="auto"/>
              <w:jc w:val="right"/>
              <w:rPr>
                <w:rFonts w:ascii="Arial" w:hAnsi="Arial" w:cs="Arial"/>
                <w:b/>
                <w:bCs/>
                <w:sz w:val="16"/>
                <w:szCs w:val="16"/>
              </w:rPr>
            </w:pPr>
            <w:r w:rsidRPr="00390B7D">
              <w:rPr>
                <w:rFonts w:ascii="Arial" w:hAnsi="Arial" w:cs="Arial"/>
                <w:b/>
                <w:bCs/>
                <w:sz w:val="16"/>
                <w:szCs w:val="16"/>
              </w:rPr>
              <w:t> </w:t>
            </w:r>
          </w:p>
        </w:tc>
        <w:tc>
          <w:tcPr>
            <w:tcW w:w="938" w:type="pct"/>
            <w:tcBorders>
              <w:top w:val="nil"/>
              <w:left w:val="nil"/>
              <w:bottom w:val="nil"/>
              <w:right w:val="nil"/>
            </w:tcBorders>
            <w:shd w:val="clear" w:color="000000" w:fill="FFFFFF"/>
            <w:noWrap/>
            <w:vAlign w:val="center"/>
            <w:hideMark/>
          </w:tcPr>
          <w:p w14:paraId="6358BD5D"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07CE7D33"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74F3E0DF" w14:textId="77777777" w:rsidR="00DC0C24" w:rsidRPr="00390B7D" w:rsidRDefault="00DC0C24" w:rsidP="00DC0C24">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Payments(a)</w:t>
            </w:r>
          </w:p>
        </w:tc>
        <w:tc>
          <w:tcPr>
            <w:tcW w:w="760" w:type="pct"/>
            <w:tcBorders>
              <w:top w:val="nil"/>
              <w:left w:val="nil"/>
              <w:bottom w:val="nil"/>
              <w:right w:val="nil"/>
            </w:tcBorders>
            <w:shd w:val="clear" w:color="000000" w:fill="FFFFFF"/>
            <w:noWrap/>
            <w:vAlign w:val="center"/>
            <w:hideMark/>
          </w:tcPr>
          <w:p w14:paraId="4B06B662"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631.4</w:t>
            </w:r>
          </w:p>
        </w:tc>
        <w:tc>
          <w:tcPr>
            <w:tcW w:w="760" w:type="pct"/>
            <w:tcBorders>
              <w:top w:val="nil"/>
              <w:left w:val="nil"/>
              <w:bottom w:val="nil"/>
              <w:right w:val="nil"/>
            </w:tcBorders>
            <w:shd w:val="clear" w:color="000000" w:fill="E6F2FF"/>
            <w:noWrap/>
            <w:vAlign w:val="center"/>
            <w:hideMark/>
          </w:tcPr>
          <w:p w14:paraId="5B8FB2AE" w14:textId="77777777" w:rsidR="00DC0C24" w:rsidRPr="00390B7D" w:rsidRDefault="00DC0C24" w:rsidP="00DC0C24">
            <w:pPr>
              <w:spacing w:before="0" w:after="0" w:line="240" w:lineRule="auto"/>
              <w:jc w:val="right"/>
              <w:rPr>
                <w:rFonts w:ascii="Arial" w:hAnsi="Arial" w:cs="Arial"/>
                <w:b/>
                <w:bCs/>
                <w:sz w:val="16"/>
                <w:szCs w:val="16"/>
              </w:rPr>
            </w:pPr>
            <w:r w:rsidRPr="00390B7D">
              <w:rPr>
                <w:rFonts w:ascii="Arial" w:hAnsi="Arial" w:cs="Arial"/>
                <w:b/>
                <w:bCs/>
                <w:sz w:val="16"/>
                <w:szCs w:val="16"/>
              </w:rPr>
              <w:t>627.4</w:t>
            </w:r>
          </w:p>
        </w:tc>
        <w:tc>
          <w:tcPr>
            <w:tcW w:w="938" w:type="pct"/>
            <w:tcBorders>
              <w:top w:val="nil"/>
              <w:left w:val="nil"/>
              <w:bottom w:val="nil"/>
              <w:right w:val="nil"/>
            </w:tcBorders>
            <w:shd w:val="clear" w:color="000000" w:fill="FFFFFF"/>
            <w:noWrap/>
            <w:vAlign w:val="center"/>
            <w:hideMark/>
          </w:tcPr>
          <w:p w14:paraId="32C69853"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-4.0</w:t>
            </w:r>
          </w:p>
        </w:tc>
      </w:tr>
      <w:tr w:rsidR="00DC0C24" w:rsidRPr="00390B7D" w14:paraId="7E141B23"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17A5C73A"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Per cent of GDP</w:t>
            </w:r>
          </w:p>
        </w:tc>
        <w:tc>
          <w:tcPr>
            <w:tcW w:w="760" w:type="pct"/>
            <w:tcBorders>
              <w:top w:val="nil"/>
              <w:left w:val="nil"/>
              <w:bottom w:val="nil"/>
              <w:right w:val="nil"/>
            </w:tcBorders>
            <w:shd w:val="clear" w:color="000000" w:fill="FFFFFF"/>
            <w:noWrap/>
            <w:vAlign w:val="center"/>
            <w:hideMark/>
          </w:tcPr>
          <w:p w14:paraId="4DD8AA4D"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24.8</w:t>
            </w:r>
          </w:p>
        </w:tc>
        <w:tc>
          <w:tcPr>
            <w:tcW w:w="760" w:type="pct"/>
            <w:tcBorders>
              <w:top w:val="nil"/>
              <w:left w:val="nil"/>
              <w:bottom w:val="nil"/>
              <w:right w:val="nil"/>
            </w:tcBorders>
            <w:shd w:val="clear" w:color="000000" w:fill="E6F2FF"/>
            <w:noWrap/>
            <w:vAlign w:val="center"/>
            <w:hideMark/>
          </w:tcPr>
          <w:p w14:paraId="0C0A2896"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24.8</w:t>
            </w:r>
          </w:p>
        </w:tc>
        <w:tc>
          <w:tcPr>
            <w:tcW w:w="938" w:type="pct"/>
            <w:tcBorders>
              <w:top w:val="nil"/>
              <w:left w:val="nil"/>
              <w:bottom w:val="nil"/>
              <w:right w:val="nil"/>
            </w:tcBorders>
            <w:shd w:val="clear" w:color="000000" w:fill="FFFFFF"/>
            <w:noWrap/>
            <w:vAlign w:val="center"/>
            <w:hideMark/>
          </w:tcPr>
          <w:p w14:paraId="7CC3C972"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1A427491" w14:textId="77777777" w:rsidTr="00DC0C24">
        <w:trPr>
          <w:trHeight w:hRule="exact" w:val="60"/>
        </w:trPr>
        <w:tc>
          <w:tcPr>
            <w:tcW w:w="2542" w:type="pct"/>
            <w:tcBorders>
              <w:top w:val="nil"/>
              <w:left w:val="nil"/>
              <w:bottom w:val="nil"/>
              <w:right w:val="nil"/>
            </w:tcBorders>
            <w:shd w:val="clear" w:color="000000" w:fill="FFFFFF"/>
            <w:noWrap/>
            <w:vAlign w:val="center"/>
            <w:hideMark/>
          </w:tcPr>
          <w:p w14:paraId="64621050"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2118BDFB"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760" w:type="pct"/>
            <w:tcBorders>
              <w:top w:val="nil"/>
              <w:left w:val="nil"/>
              <w:bottom w:val="nil"/>
              <w:right w:val="nil"/>
            </w:tcBorders>
            <w:shd w:val="clear" w:color="000000" w:fill="E6F2FF"/>
            <w:noWrap/>
            <w:vAlign w:val="center"/>
            <w:hideMark/>
          </w:tcPr>
          <w:p w14:paraId="4D3D15C2" w14:textId="77777777" w:rsidR="00DC0C24" w:rsidRPr="00390B7D" w:rsidRDefault="00DC0C24" w:rsidP="00DC0C24">
            <w:pPr>
              <w:spacing w:before="0" w:after="0" w:line="240" w:lineRule="auto"/>
              <w:jc w:val="right"/>
              <w:rPr>
                <w:rFonts w:ascii="Arial" w:hAnsi="Arial" w:cs="Arial"/>
                <w:b/>
                <w:bCs/>
                <w:sz w:val="16"/>
                <w:szCs w:val="16"/>
              </w:rPr>
            </w:pPr>
            <w:r w:rsidRPr="00390B7D">
              <w:rPr>
                <w:rFonts w:ascii="Arial" w:hAnsi="Arial" w:cs="Arial"/>
                <w:b/>
                <w:bCs/>
                <w:sz w:val="16"/>
                <w:szCs w:val="16"/>
              </w:rPr>
              <w:t> </w:t>
            </w:r>
          </w:p>
        </w:tc>
        <w:tc>
          <w:tcPr>
            <w:tcW w:w="938" w:type="pct"/>
            <w:tcBorders>
              <w:top w:val="nil"/>
              <w:left w:val="nil"/>
              <w:bottom w:val="nil"/>
              <w:right w:val="nil"/>
            </w:tcBorders>
            <w:shd w:val="clear" w:color="000000" w:fill="FFFFFF"/>
            <w:noWrap/>
            <w:vAlign w:val="center"/>
            <w:hideMark/>
          </w:tcPr>
          <w:p w14:paraId="3B788992"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5DE495BA" w14:textId="77777777" w:rsidTr="00DC0C24">
        <w:trPr>
          <w:trHeight w:hRule="exact" w:val="60"/>
        </w:trPr>
        <w:tc>
          <w:tcPr>
            <w:tcW w:w="2542" w:type="pct"/>
            <w:tcBorders>
              <w:top w:val="nil"/>
              <w:left w:val="nil"/>
              <w:bottom w:val="nil"/>
              <w:right w:val="nil"/>
            </w:tcBorders>
            <w:shd w:val="clear" w:color="000000" w:fill="FFFFFF"/>
            <w:noWrap/>
            <w:vAlign w:val="center"/>
            <w:hideMark/>
          </w:tcPr>
          <w:p w14:paraId="027E9FF1"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4ECA9C0B"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760" w:type="pct"/>
            <w:tcBorders>
              <w:top w:val="nil"/>
              <w:left w:val="nil"/>
              <w:bottom w:val="nil"/>
              <w:right w:val="nil"/>
            </w:tcBorders>
            <w:shd w:val="clear" w:color="000000" w:fill="E6F2FF"/>
            <w:noWrap/>
            <w:vAlign w:val="center"/>
            <w:hideMark/>
          </w:tcPr>
          <w:p w14:paraId="4DD13461" w14:textId="77777777" w:rsidR="00DC0C24" w:rsidRPr="00390B7D" w:rsidRDefault="00DC0C24" w:rsidP="00DC0C24">
            <w:pPr>
              <w:spacing w:before="0" w:after="0" w:line="240" w:lineRule="auto"/>
              <w:jc w:val="right"/>
              <w:rPr>
                <w:rFonts w:ascii="Arial" w:hAnsi="Arial" w:cs="Arial"/>
                <w:b/>
                <w:bCs/>
                <w:sz w:val="16"/>
                <w:szCs w:val="16"/>
              </w:rPr>
            </w:pPr>
            <w:r w:rsidRPr="00390B7D">
              <w:rPr>
                <w:rFonts w:ascii="Arial" w:hAnsi="Arial" w:cs="Arial"/>
                <w:b/>
                <w:bCs/>
                <w:sz w:val="16"/>
                <w:szCs w:val="16"/>
              </w:rPr>
              <w:t> </w:t>
            </w:r>
          </w:p>
        </w:tc>
        <w:tc>
          <w:tcPr>
            <w:tcW w:w="938" w:type="pct"/>
            <w:tcBorders>
              <w:top w:val="nil"/>
              <w:left w:val="nil"/>
              <w:bottom w:val="nil"/>
              <w:right w:val="nil"/>
            </w:tcBorders>
            <w:shd w:val="clear" w:color="000000" w:fill="FFFFFF"/>
            <w:noWrap/>
            <w:vAlign w:val="center"/>
            <w:hideMark/>
          </w:tcPr>
          <w:p w14:paraId="6DD34AAC"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0DBEEF5B"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2550FA7B" w14:textId="77777777" w:rsidR="00DC0C24" w:rsidRPr="00390B7D" w:rsidRDefault="00DC0C24" w:rsidP="00DC0C24">
            <w:pPr>
              <w:spacing w:before="0" w:after="0" w:line="240" w:lineRule="auto"/>
              <w:rPr>
                <w:rFonts w:ascii="Arial" w:hAnsi="Arial" w:cs="Arial"/>
                <w:b/>
                <w:bCs/>
                <w:sz w:val="16"/>
                <w:szCs w:val="16"/>
              </w:rPr>
            </w:pPr>
            <w:r w:rsidRPr="00390B7D">
              <w:rPr>
                <w:rFonts w:ascii="Arial" w:hAnsi="Arial" w:cs="Arial"/>
                <w:b/>
                <w:bCs/>
                <w:sz w:val="16"/>
                <w:szCs w:val="16"/>
              </w:rPr>
              <w:t>Net interest payments(b)</w:t>
            </w:r>
          </w:p>
        </w:tc>
        <w:tc>
          <w:tcPr>
            <w:tcW w:w="760" w:type="pct"/>
            <w:tcBorders>
              <w:top w:val="nil"/>
              <w:left w:val="nil"/>
              <w:bottom w:val="nil"/>
              <w:right w:val="nil"/>
            </w:tcBorders>
            <w:shd w:val="clear" w:color="000000" w:fill="FFFFFF"/>
            <w:noWrap/>
            <w:vAlign w:val="center"/>
            <w:hideMark/>
          </w:tcPr>
          <w:p w14:paraId="2EA60877"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12.7</w:t>
            </w:r>
          </w:p>
        </w:tc>
        <w:tc>
          <w:tcPr>
            <w:tcW w:w="760" w:type="pct"/>
            <w:tcBorders>
              <w:top w:val="nil"/>
              <w:left w:val="nil"/>
              <w:bottom w:val="nil"/>
              <w:right w:val="nil"/>
            </w:tcBorders>
            <w:shd w:val="clear" w:color="000000" w:fill="E6F2FF"/>
            <w:noWrap/>
            <w:vAlign w:val="center"/>
            <w:hideMark/>
          </w:tcPr>
          <w:p w14:paraId="329F9785" w14:textId="77777777" w:rsidR="00DC0C24" w:rsidRPr="00390B7D" w:rsidRDefault="00DC0C24" w:rsidP="00DC0C24">
            <w:pPr>
              <w:spacing w:before="0" w:after="0" w:line="240" w:lineRule="auto"/>
              <w:jc w:val="right"/>
              <w:rPr>
                <w:rFonts w:ascii="Arial" w:hAnsi="Arial" w:cs="Arial"/>
                <w:b/>
                <w:bCs/>
                <w:sz w:val="16"/>
                <w:szCs w:val="16"/>
              </w:rPr>
            </w:pPr>
            <w:r w:rsidRPr="00390B7D">
              <w:rPr>
                <w:rFonts w:ascii="Arial" w:hAnsi="Arial" w:cs="Arial"/>
                <w:b/>
                <w:bCs/>
                <w:sz w:val="16"/>
                <w:szCs w:val="16"/>
              </w:rPr>
              <w:t>11.9</w:t>
            </w:r>
          </w:p>
        </w:tc>
        <w:tc>
          <w:tcPr>
            <w:tcW w:w="938" w:type="pct"/>
            <w:tcBorders>
              <w:top w:val="nil"/>
              <w:left w:val="nil"/>
              <w:bottom w:val="nil"/>
              <w:right w:val="nil"/>
            </w:tcBorders>
            <w:shd w:val="clear" w:color="000000" w:fill="FFFFFF"/>
            <w:noWrap/>
            <w:vAlign w:val="center"/>
            <w:hideMark/>
          </w:tcPr>
          <w:p w14:paraId="2F849E70"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-0.8</w:t>
            </w:r>
          </w:p>
        </w:tc>
      </w:tr>
      <w:tr w:rsidR="00DC0C24" w:rsidRPr="00390B7D" w14:paraId="5C4D772E" w14:textId="77777777" w:rsidTr="00DC0C24">
        <w:trPr>
          <w:trHeight w:hRule="exact" w:val="225"/>
        </w:trPr>
        <w:tc>
          <w:tcPr>
            <w:tcW w:w="2542" w:type="pct"/>
            <w:tcBorders>
              <w:top w:val="nil"/>
              <w:left w:val="nil"/>
              <w:bottom w:val="single" w:sz="4" w:space="0" w:color="293F5B"/>
              <w:right w:val="nil"/>
            </w:tcBorders>
            <w:shd w:val="clear" w:color="000000" w:fill="FFFFFF"/>
            <w:noWrap/>
            <w:vAlign w:val="center"/>
            <w:hideMark/>
          </w:tcPr>
          <w:p w14:paraId="70F1202A" w14:textId="77777777" w:rsidR="00DC0C24" w:rsidRPr="00390B7D" w:rsidRDefault="00DC0C24" w:rsidP="00DC0C24">
            <w:pPr>
              <w:spacing w:before="0" w:after="0" w:line="240" w:lineRule="auto"/>
              <w:rPr>
                <w:rFonts w:ascii="Arial" w:hAnsi="Arial" w:cs="Arial"/>
                <w:sz w:val="16"/>
                <w:szCs w:val="16"/>
              </w:rPr>
            </w:pPr>
            <w:r w:rsidRPr="00390B7D">
              <w:rPr>
                <w:rFonts w:ascii="Arial" w:hAnsi="Arial" w:cs="Arial"/>
                <w:sz w:val="16"/>
                <w:szCs w:val="16"/>
              </w:rPr>
              <w:t>Per cent of GDP</w:t>
            </w:r>
          </w:p>
        </w:tc>
        <w:tc>
          <w:tcPr>
            <w:tcW w:w="760" w:type="pct"/>
            <w:tcBorders>
              <w:top w:val="nil"/>
              <w:left w:val="nil"/>
              <w:bottom w:val="nil"/>
              <w:right w:val="nil"/>
            </w:tcBorders>
            <w:shd w:val="clear" w:color="000000" w:fill="FFFFFF"/>
            <w:noWrap/>
            <w:vAlign w:val="center"/>
            <w:hideMark/>
          </w:tcPr>
          <w:p w14:paraId="6D6BEE9B"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0.5</w:t>
            </w:r>
          </w:p>
        </w:tc>
        <w:tc>
          <w:tcPr>
            <w:tcW w:w="760" w:type="pct"/>
            <w:tcBorders>
              <w:top w:val="nil"/>
              <w:left w:val="nil"/>
              <w:bottom w:val="nil"/>
              <w:right w:val="nil"/>
            </w:tcBorders>
            <w:shd w:val="clear" w:color="000000" w:fill="E6F2FF"/>
            <w:noWrap/>
            <w:vAlign w:val="center"/>
            <w:hideMark/>
          </w:tcPr>
          <w:p w14:paraId="60AD9A2E" w14:textId="77777777" w:rsidR="00DC0C24" w:rsidRPr="00390B7D" w:rsidRDefault="00DC0C24" w:rsidP="00DC0C24">
            <w:pPr>
              <w:spacing w:before="0" w:after="0" w:line="240" w:lineRule="auto"/>
              <w:jc w:val="right"/>
              <w:rPr>
                <w:rFonts w:ascii="Arial" w:hAnsi="Arial" w:cs="Arial"/>
                <w:sz w:val="16"/>
                <w:szCs w:val="16"/>
              </w:rPr>
            </w:pPr>
            <w:r w:rsidRPr="00390B7D">
              <w:rPr>
                <w:rFonts w:ascii="Arial" w:hAnsi="Arial" w:cs="Arial"/>
                <w:sz w:val="16"/>
                <w:szCs w:val="16"/>
              </w:rPr>
              <w:t>0.5</w:t>
            </w:r>
          </w:p>
        </w:tc>
        <w:tc>
          <w:tcPr>
            <w:tcW w:w="938" w:type="pct"/>
            <w:tcBorders>
              <w:top w:val="nil"/>
              <w:left w:val="nil"/>
              <w:bottom w:val="nil"/>
              <w:right w:val="nil"/>
            </w:tcBorders>
            <w:shd w:val="clear" w:color="000000" w:fill="FFFFFF"/>
            <w:noWrap/>
            <w:vAlign w:val="center"/>
            <w:hideMark/>
          </w:tcPr>
          <w:p w14:paraId="7F00C9DF"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38FD8A39"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22E213A1" w14:textId="77777777" w:rsidR="00DC0C24" w:rsidRPr="00390B7D" w:rsidRDefault="00DC0C24" w:rsidP="00DC0C24">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Revenue</w:t>
            </w:r>
          </w:p>
        </w:tc>
        <w:tc>
          <w:tcPr>
            <w:tcW w:w="760" w:type="pct"/>
            <w:tcBorders>
              <w:top w:val="single" w:sz="4" w:space="0" w:color="293F5B"/>
              <w:left w:val="nil"/>
              <w:bottom w:val="nil"/>
              <w:right w:val="nil"/>
            </w:tcBorders>
            <w:shd w:val="clear" w:color="000000" w:fill="FFFFFF"/>
            <w:noWrap/>
            <w:vAlign w:val="center"/>
            <w:hideMark/>
          </w:tcPr>
          <w:p w14:paraId="5617BAE3"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653.8</w:t>
            </w:r>
          </w:p>
        </w:tc>
        <w:tc>
          <w:tcPr>
            <w:tcW w:w="760" w:type="pct"/>
            <w:tcBorders>
              <w:top w:val="single" w:sz="4" w:space="0" w:color="293F5B"/>
              <w:left w:val="nil"/>
              <w:bottom w:val="nil"/>
              <w:right w:val="nil"/>
            </w:tcBorders>
            <w:shd w:val="clear" w:color="000000" w:fill="E6F2FF"/>
            <w:noWrap/>
            <w:vAlign w:val="center"/>
            <w:hideMark/>
          </w:tcPr>
          <w:p w14:paraId="67698788"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668.4</w:t>
            </w:r>
          </w:p>
        </w:tc>
        <w:tc>
          <w:tcPr>
            <w:tcW w:w="938" w:type="pct"/>
            <w:tcBorders>
              <w:top w:val="single" w:sz="4" w:space="0" w:color="293F5B"/>
              <w:left w:val="nil"/>
              <w:bottom w:val="nil"/>
              <w:right w:val="nil"/>
            </w:tcBorders>
            <w:shd w:val="clear" w:color="000000" w:fill="FFFFFF"/>
            <w:noWrap/>
            <w:vAlign w:val="center"/>
            <w:hideMark/>
          </w:tcPr>
          <w:p w14:paraId="568149EA"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14.6</w:t>
            </w:r>
          </w:p>
        </w:tc>
      </w:tr>
      <w:tr w:rsidR="00DC0C24" w:rsidRPr="00390B7D" w14:paraId="57805152"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71AC7BFA" w14:textId="77777777" w:rsidR="00DC0C24" w:rsidRPr="00390B7D" w:rsidRDefault="00DC0C24" w:rsidP="00DC0C24">
            <w:pPr>
              <w:spacing w:before="0" w:after="0" w:line="240" w:lineRule="auto"/>
              <w:rPr>
                <w:rFonts w:ascii="Arial" w:hAnsi="Arial" w:cs="Arial"/>
                <w:sz w:val="16"/>
                <w:szCs w:val="16"/>
              </w:rPr>
            </w:pPr>
            <w:r w:rsidRPr="00390B7D">
              <w:rPr>
                <w:rFonts w:ascii="Arial" w:hAnsi="Arial" w:cs="Arial"/>
                <w:sz w:val="16"/>
                <w:szCs w:val="16"/>
              </w:rPr>
              <w:t>Per cent of GDP</w:t>
            </w:r>
          </w:p>
        </w:tc>
        <w:tc>
          <w:tcPr>
            <w:tcW w:w="760" w:type="pct"/>
            <w:tcBorders>
              <w:top w:val="nil"/>
              <w:left w:val="nil"/>
              <w:bottom w:val="nil"/>
              <w:right w:val="nil"/>
            </w:tcBorders>
            <w:shd w:val="clear" w:color="000000" w:fill="FFFFFF"/>
            <w:noWrap/>
            <w:vAlign w:val="center"/>
            <w:hideMark/>
          </w:tcPr>
          <w:p w14:paraId="011D2CC5"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25.7</w:t>
            </w:r>
          </w:p>
        </w:tc>
        <w:tc>
          <w:tcPr>
            <w:tcW w:w="760" w:type="pct"/>
            <w:tcBorders>
              <w:top w:val="nil"/>
              <w:left w:val="nil"/>
              <w:bottom w:val="nil"/>
              <w:right w:val="nil"/>
            </w:tcBorders>
            <w:shd w:val="clear" w:color="000000" w:fill="E6F2FF"/>
            <w:noWrap/>
            <w:vAlign w:val="center"/>
            <w:hideMark/>
          </w:tcPr>
          <w:p w14:paraId="574B3A49"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26.4</w:t>
            </w:r>
          </w:p>
        </w:tc>
        <w:tc>
          <w:tcPr>
            <w:tcW w:w="938" w:type="pct"/>
            <w:tcBorders>
              <w:top w:val="nil"/>
              <w:left w:val="nil"/>
              <w:bottom w:val="nil"/>
              <w:right w:val="nil"/>
            </w:tcBorders>
            <w:shd w:val="clear" w:color="000000" w:fill="FFFFFF"/>
            <w:noWrap/>
            <w:vAlign w:val="center"/>
            <w:hideMark/>
          </w:tcPr>
          <w:p w14:paraId="7C07EF9D"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28EE0565" w14:textId="77777777" w:rsidTr="00DC0C24">
        <w:trPr>
          <w:trHeight w:hRule="exact" w:val="60"/>
        </w:trPr>
        <w:tc>
          <w:tcPr>
            <w:tcW w:w="2542" w:type="pct"/>
            <w:tcBorders>
              <w:top w:val="nil"/>
              <w:left w:val="nil"/>
              <w:bottom w:val="nil"/>
              <w:right w:val="nil"/>
            </w:tcBorders>
            <w:shd w:val="clear" w:color="000000" w:fill="FFFFFF"/>
            <w:noWrap/>
            <w:vAlign w:val="center"/>
            <w:hideMark/>
          </w:tcPr>
          <w:p w14:paraId="70BC9738"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0E0236C8"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760" w:type="pct"/>
            <w:tcBorders>
              <w:top w:val="nil"/>
              <w:left w:val="nil"/>
              <w:bottom w:val="nil"/>
              <w:right w:val="nil"/>
            </w:tcBorders>
            <w:shd w:val="clear" w:color="000000" w:fill="E6F2FF"/>
            <w:noWrap/>
            <w:vAlign w:val="center"/>
            <w:hideMark/>
          </w:tcPr>
          <w:p w14:paraId="05FC5ED1"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938" w:type="pct"/>
            <w:tcBorders>
              <w:top w:val="nil"/>
              <w:left w:val="nil"/>
              <w:bottom w:val="nil"/>
              <w:right w:val="nil"/>
            </w:tcBorders>
            <w:shd w:val="clear" w:color="000000" w:fill="FFFFFF"/>
            <w:noWrap/>
            <w:vAlign w:val="center"/>
            <w:hideMark/>
          </w:tcPr>
          <w:p w14:paraId="3DCE2854"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22692EF9"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4E51B63A" w14:textId="77777777" w:rsidR="00DC0C24" w:rsidRPr="00390B7D" w:rsidRDefault="00DC0C24" w:rsidP="00DC0C24">
            <w:pPr>
              <w:spacing w:before="0" w:after="0" w:line="240" w:lineRule="auto"/>
              <w:rPr>
                <w:rFonts w:ascii="Arial" w:hAnsi="Arial" w:cs="Arial"/>
                <w:b/>
                <w:bCs/>
                <w:sz w:val="16"/>
                <w:szCs w:val="16"/>
              </w:rPr>
            </w:pPr>
            <w:r w:rsidRPr="00390B7D">
              <w:rPr>
                <w:rFonts w:ascii="Arial" w:hAnsi="Arial" w:cs="Arial"/>
                <w:b/>
                <w:bCs/>
                <w:sz w:val="16"/>
                <w:szCs w:val="16"/>
              </w:rPr>
              <w:t>Expenses</w:t>
            </w:r>
          </w:p>
        </w:tc>
        <w:tc>
          <w:tcPr>
            <w:tcW w:w="760" w:type="pct"/>
            <w:tcBorders>
              <w:top w:val="nil"/>
              <w:left w:val="nil"/>
              <w:bottom w:val="nil"/>
              <w:right w:val="nil"/>
            </w:tcBorders>
            <w:shd w:val="clear" w:color="000000" w:fill="FFFFFF"/>
            <w:noWrap/>
            <w:vAlign w:val="center"/>
            <w:hideMark/>
          </w:tcPr>
          <w:p w14:paraId="2FC8B44D"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644.8</w:t>
            </w:r>
          </w:p>
        </w:tc>
        <w:tc>
          <w:tcPr>
            <w:tcW w:w="760" w:type="pct"/>
            <w:tcBorders>
              <w:top w:val="nil"/>
              <w:left w:val="nil"/>
              <w:bottom w:val="nil"/>
              <w:right w:val="nil"/>
            </w:tcBorders>
            <w:shd w:val="clear" w:color="000000" w:fill="E6F2FF"/>
            <w:noWrap/>
            <w:vAlign w:val="center"/>
            <w:hideMark/>
          </w:tcPr>
          <w:p w14:paraId="41B9B0A9"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637.0</w:t>
            </w:r>
          </w:p>
        </w:tc>
        <w:tc>
          <w:tcPr>
            <w:tcW w:w="938" w:type="pct"/>
            <w:tcBorders>
              <w:top w:val="nil"/>
              <w:left w:val="nil"/>
              <w:bottom w:val="nil"/>
              <w:right w:val="nil"/>
            </w:tcBorders>
            <w:shd w:val="clear" w:color="000000" w:fill="FFFFFF"/>
            <w:noWrap/>
            <w:vAlign w:val="center"/>
            <w:hideMark/>
          </w:tcPr>
          <w:p w14:paraId="0BBB1033"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-7.8</w:t>
            </w:r>
          </w:p>
        </w:tc>
      </w:tr>
      <w:tr w:rsidR="00DC0C24" w:rsidRPr="00390B7D" w14:paraId="30EB083B"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383BD402" w14:textId="77777777" w:rsidR="00DC0C24" w:rsidRPr="00390B7D" w:rsidRDefault="00DC0C24" w:rsidP="00DC0C24">
            <w:pPr>
              <w:spacing w:before="0" w:after="0" w:line="240" w:lineRule="auto"/>
              <w:rPr>
                <w:rFonts w:ascii="Arial" w:hAnsi="Arial" w:cs="Arial"/>
                <w:sz w:val="16"/>
                <w:szCs w:val="16"/>
              </w:rPr>
            </w:pPr>
            <w:r w:rsidRPr="00390B7D">
              <w:rPr>
                <w:rFonts w:ascii="Arial" w:hAnsi="Arial" w:cs="Arial"/>
                <w:sz w:val="16"/>
                <w:szCs w:val="16"/>
              </w:rPr>
              <w:t>Per cent of GDP</w:t>
            </w:r>
          </w:p>
        </w:tc>
        <w:tc>
          <w:tcPr>
            <w:tcW w:w="760" w:type="pct"/>
            <w:tcBorders>
              <w:top w:val="nil"/>
              <w:left w:val="nil"/>
              <w:bottom w:val="nil"/>
              <w:right w:val="nil"/>
            </w:tcBorders>
            <w:shd w:val="clear" w:color="000000" w:fill="FFFFFF"/>
            <w:noWrap/>
            <w:vAlign w:val="center"/>
            <w:hideMark/>
          </w:tcPr>
          <w:p w14:paraId="6A412A7D"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25.3</w:t>
            </w:r>
          </w:p>
        </w:tc>
        <w:tc>
          <w:tcPr>
            <w:tcW w:w="760" w:type="pct"/>
            <w:tcBorders>
              <w:top w:val="nil"/>
              <w:left w:val="nil"/>
              <w:bottom w:val="nil"/>
              <w:right w:val="nil"/>
            </w:tcBorders>
            <w:shd w:val="clear" w:color="000000" w:fill="E6F2FF"/>
            <w:noWrap/>
            <w:vAlign w:val="center"/>
            <w:hideMark/>
          </w:tcPr>
          <w:p w14:paraId="6107EE7A"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25.2</w:t>
            </w:r>
          </w:p>
        </w:tc>
        <w:tc>
          <w:tcPr>
            <w:tcW w:w="938" w:type="pct"/>
            <w:tcBorders>
              <w:top w:val="nil"/>
              <w:left w:val="nil"/>
              <w:bottom w:val="nil"/>
              <w:right w:val="nil"/>
            </w:tcBorders>
            <w:shd w:val="clear" w:color="000000" w:fill="FFFFFF"/>
            <w:noWrap/>
            <w:vAlign w:val="center"/>
            <w:hideMark/>
          </w:tcPr>
          <w:p w14:paraId="08549BD6"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7FFCFBD0" w14:textId="77777777" w:rsidTr="00DC0C24">
        <w:trPr>
          <w:trHeight w:hRule="exact" w:val="60"/>
        </w:trPr>
        <w:tc>
          <w:tcPr>
            <w:tcW w:w="2542" w:type="pct"/>
            <w:tcBorders>
              <w:top w:val="nil"/>
              <w:left w:val="nil"/>
              <w:bottom w:val="nil"/>
              <w:right w:val="nil"/>
            </w:tcBorders>
            <w:shd w:val="clear" w:color="000000" w:fill="FFFFFF"/>
            <w:noWrap/>
            <w:vAlign w:val="center"/>
            <w:hideMark/>
          </w:tcPr>
          <w:p w14:paraId="43A78EB5"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0E1A9657"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760" w:type="pct"/>
            <w:tcBorders>
              <w:top w:val="nil"/>
              <w:left w:val="nil"/>
              <w:bottom w:val="nil"/>
              <w:right w:val="nil"/>
            </w:tcBorders>
            <w:shd w:val="clear" w:color="000000" w:fill="E6F2FF"/>
            <w:noWrap/>
            <w:vAlign w:val="center"/>
            <w:hideMark/>
          </w:tcPr>
          <w:p w14:paraId="2D064041"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938" w:type="pct"/>
            <w:tcBorders>
              <w:top w:val="nil"/>
              <w:left w:val="nil"/>
              <w:bottom w:val="nil"/>
              <w:right w:val="nil"/>
            </w:tcBorders>
            <w:shd w:val="clear" w:color="000000" w:fill="FFFFFF"/>
            <w:noWrap/>
            <w:vAlign w:val="center"/>
            <w:hideMark/>
          </w:tcPr>
          <w:p w14:paraId="63DBBD60"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1DB46D07"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27556901" w14:textId="77777777" w:rsidR="00DC0C24" w:rsidRPr="00390B7D" w:rsidRDefault="00DC0C24" w:rsidP="00DC0C24">
            <w:pPr>
              <w:spacing w:before="0" w:after="0" w:line="240" w:lineRule="auto"/>
              <w:rPr>
                <w:rFonts w:ascii="Arial" w:hAnsi="Arial" w:cs="Arial"/>
                <w:b/>
                <w:bCs/>
                <w:sz w:val="16"/>
                <w:szCs w:val="16"/>
              </w:rPr>
            </w:pPr>
            <w:r w:rsidRPr="00390B7D">
              <w:rPr>
                <w:rFonts w:ascii="Arial" w:hAnsi="Arial" w:cs="Arial"/>
                <w:b/>
                <w:bCs/>
                <w:sz w:val="16"/>
                <w:szCs w:val="16"/>
              </w:rPr>
              <w:t>Net operating balance</w:t>
            </w:r>
          </w:p>
        </w:tc>
        <w:tc>
          <w:tcPr>
            <w:tcW w:w="760" w:type="pct"/>
            <w:tcBorders>
              <w:top w:val="nil"/>
              <w:left w:val="nil"/>
              <w:bottom w:val="nil"/>
              <w:right w:val="nil"/>
            </w:tcBorders>
            <w:shd w:val="clear" w:color="000000" w:fill="FFFFFF"/>
            <w:noWrap/>
            <w:vAlign w:val="center"/>
            <w:hideMark/>
          </w:tcPr>
          <w:p w14:paraId="12AA0A62"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9.0</w:t>
            </w:r>
          </w:p>
        </w:tc>
        <w:tc>
          <w:tcPr>
            <w:tcW w:w="760" w:type="pct"/>
            <w:tcBorders>
              <w:top w:val="nil"/>
              <w:left w:val="nil"/>
              <w:bottom w:val="nil"/>
              <w:right w:val="nil"/>
            </w:tcBorders>
            <w:shd w:val="clear" w:color="000000" w:fill="E6F2FF"/>
            <w:noWrap/>
            <w:vAlign w:val="center"/>
            <w:hideMark/>
          </w:tcPr>
          <w:p w14:paraId="205CFBDD"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31.4</w:t>
            </w:r>
          </w:p>
        </w:tc>
        <w:tc>
          <w:tcPr>
            <w:tcW w:w="938" w:type="pct"/>
            <w:tcBorders>
              <w:top w:val="nil"/>
              <w:left w:val="nil"/>
              <w:bottom w:val="nil"/>
              <w:right w:val="nil"/>
            </w:tcBorders>
            <w:shd w:val="clear" w:color="000000" w:fill="FFFFFF"/>
            <w:noWrap/>
            <w:vAlign w:val="center"/>
            <w:hideMark/>
          </w:tcPr>
          <w:p w14:paraId="2A3711D9"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22.4</w:t>
            </w:r>
          </w:p>
        </w:tc>
      </w:tr>
      <w:tr w:rsidR="00DC0C24" w:rsidRPr="00390B7D" w14:paraId="639AAE81"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2DC76C0D" w14:textId="77777777" w:rsidR="00DC0C24" w:rsidRPr="00390B7D" w:rsidRDefault="00DC0C24" w:rsidP="00DC0C24">
            <w:pPr>
              <w:spacing w:before="0" w:after="0" w:line="240" w:lineRule="auto"/>
              <w:rPr>
                <w:rFonts w:ascii="Arial" w:hAnsi="Arial" w:cs="Arial"/>
                <w:sz w:val="16"/>
                <w:szCs w:val="16"/>
              </w:rPr>
            </w:pPr>
            <w:r w:rsidRPr="00390B7D">
              <w:rPr>
                <w:rFonts w:ascii="Arial" w:hAnsi="Arial" w:cs="Arial"/>
                <w:sz w:val="16"/>
                <w:szCs w:val="16"/>
              </w:rPr>
              <w:t>Per cent of GDP</w:t>
            </w:r>
          </w:p>
        </w:tc>
        <w:tc>
          <w:tcPr>
            <w:tcW w:w="760" w:type="pct"/>
            <w:tcBorders>
              <w:top w:val="nil"/>
              <w:left w:val="nil"/>
              <w:bottom w:val="nil"/>
              <w:right w:val="nil"/>
            </w:tcBorders>
            <w:shd w:val="clear" w:color="000000" w:fill="FFFFFF"/>
            <w:noWrap/>
            <w:vAlign w:val="center"/>
            <w:hideMark/>
          </w:tcPr>
          <w:p w14:paraId="568905A3"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0.4</w:t>
            </w:r>
          </w:p>
        </w:tc>
        <w:tc>
          <w:tcPr>
            <w:tcW w:w="760" w:type="pct"/>
            <w:tcBorders>
              <w:top w:val="nil"/>
              <w:left w:val="nil"/>
              <w:bottom w:val="nil"/>
              <w:right w:val="nil"/>
            </w:tcBorders>
            <w:shd w:val="clear" w:color="000000" w:fill="E6F2FF"/>
            <w:noWrap/>
            <w:vAlign w:val="center"/>
            <w:hideMark/>
          </w:tcPr>
          <w:p w14:paraId="61AA3307"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1.2</w:t>
            </w:r>
          </w:p>
        </w:tc>
        <w:tc>
          <w:tcPr>
            <w:tcW w:w="938" w:type="pct"/>
            <w:tcBorders>
              <w:top w:val="nil"/>
              <w:left w:val="nil"/>
              <w:bottom w:val="nil"/>
              <w:right w:val="nil"/>
            </w:tcBorders>
            <w:shd w:val="clear" w:color="000000" w:fill="FFFFFF"/>
            <w:noWrap/>
            <w:vAlign w:val="center"/>
            <w:hideMark/>
          </w:tcPr>
          <w:p w14:paraId="59747433"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2D61649D" w14:textId="77777777" w:rsidTr="00DC0C24">
        <w:trPr>
          <w:trHeight w:hRule="exact" w:val="60"/>
        </w:trPr>
        <w:tc>
          <w:tcPr>
            <w:tcW w:w="2542" w:type="pct"/>
            <w:tcBorders>
              <w:top w:val="nil"/>
              <w:left w:val="nil"/>
              <w:bottom w:val="nil"/>
              <w:right w:val="nil"/>
            </w:tcBorders>
            <w:shd w:val="clear" w:color="000000" w:fill="FFFFFF"/>
            <w:noWrap/>
            <w:vAlign w:val="center"/>
            <w:hideMark/>
          </w:tcPr>
          <w:p w14:paraId="40256CDF"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76CE70F7"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760" w:type="pct"/>
            <w:tcBorders>
              <w:top w:val="nil"/>
              <w:left w:val="nil"/>
              <w:bottom w:val="nil"/>
              <w:right w:val="nil"/>
            </w:tcBorders>
            <w:shd w:val="clear" w:color="000000" w:fill="E6F2FF"/>
            <w:noWrap/>
            <w:vAlign w:val="center"/>
            <w:hideMark/>
          </w:tcPr>
          <w:p w14:paraId="68D09848"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938" w:type="pct"/>
            <w:tcBorders>
              <w:top w:val="nil"/>
              <w:left w:val="nil"/>
              <w:bottom w:val="nil"/>
              <w:right w:val="nil"/>
            </w:tcBorders>
            <w:shd w:val="clear" w:color="000000" w:fill="FFFFFF"/>
            <w:noWrap/>
            <w:vAlign w:val="center"/>
            <w:hideMark/>
          </w:tcPr>
          <w:p w14:paraId="256EF95E"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5DA6FC28"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0C5DB03B" w14:textId="77777777" w:rsidR="00DC0C24" w:rsidRPr="00390B7D" w:rsidRDefault="00DC0C24" w:rsidP="00DC0C24">
            <w:pPr>
              <w:spacing w:before="0" w:after="0" w:line="240" w:lineRule="auto"/>
              <w:rPr>
                <w:rFonts w:ascii="Arial" w:hAnsi="Arial" w:cs="Arial"/>
                <w:b/>
                <w:bCs/>
                <w:sz w:val="16"/>
                <w:szCs w:val="16"/>
              </w:rPr>
            </w:pPr>
            <w:r w:rsidRPr="00390B7D">
              <w:rPr>
                <w:rFonts w:ascii="Arial" w:hAnsi="Arial" w:cs="Arial"/>
                <w:b/>
                <w:bCs/>
                <w:sz w:val="16"/>
                <w:szCs w:val="16"/>
              </w:rPr>
              <w:t>Net capital investment</w:t>
            </w:r>
          </w:p>
        </w:tc>
        <w:tc>
          <w:tcPr>
            <w:tcW w:w="760" w:type="pct"/>
            <w:tcBorders>
              <w:top w:val="nil"/>
              <w:left w:val="nil"/>
              <w:bottom w:val="nil"/>
              <w:right w:val="nil"/>
            </w:tcBorders>
            <w:shd w:val="clear" w:color="000000" w:fill="FFFFFF"/>
            <w:noWrap/>
            <w:vAlign w:val="center"/>
            <w:hideMark/>
          </w:tcPr>
          <w:p w14:paraId="013E8F12"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10.4</w:t>
            </w:r>
          </w:p>
        </w:tc>
        <w:tc>
          <w:tcPr>
            <w:tcW w:w="760" w:type="pct"/>
            <w:tcBorders>
              <w:top w:val="nil"/>
              <w:left w:val="nil"/>
              <w:bottom w:val="nil"/>
              <w:right w:val="nil"/>
            </w:tcBorders>
            <w:shd w:val="clear" w:color="000000" w:fill="E6F2FF"/>
            <w:noWrap/>
            <w:vAlign w:val="center"/>
            <w:hideMark/>
          </w:tcPr>
          <w:p w14:paraId="58034B87"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9.4</w:t>
            </w:r>
          </w:p>
        </w:tc>
        <w:tc>
          <w:tcPr>
            <w:tcW w:w="938" w:type="pct"/>
            <w:tcBorders>
              <w:top w:val="nil"/>
              <w:left w:val="nil"/>
              <w:bottom w:val="nil"/>
              <w:right w:val="nil"/>
            </w:tcBorders>
            <w:shd w:val="clear" w:color="000000" w:fill="FFFFFF"/>
            <w:noWrap/>
            <w:vAlign w:val="center"/>
            <w:hideMark/>
          </w:tcPr>
          <w:p w14:paraId="11755768"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-1.0</w:t>
            </w:r>
          </w:p>
        </w:tc>
      </w:tr>
      <w:tr w:rsidR="00DC0C24" w:rsidRPr="00390B7D" w14:paraId="3EC71D43"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6A248064" w14:textId="77777777" w:rsidR="00DC0C24" w:rsidRPr="00390B7D" w:rsidRDefault="00DC0C24" w:rsidP="00DC0C24">
            <w:pPr>
              <w:spacing w:before="0" w:after="0" w:line="240" w:lineRule="auto"/>
              <w:rPr>
                <w:rFonts w:ascii="Arial" w:hAnsi="Arial" w:cs="Arial"/>
                <w:sz w:val="16"/>
                <w:szCs w:val="16"/>
              </w:rPr>
            </w:pPr>
            <w:r w:rsidRPr="00390B7D">
              <w:rPr>
                <w:rFonts w:ascii="Arial" w:hAnsi="Arial" w:cs="Arial"/>
                <w:sz w:val="16"/>
                <w:szCs w:val="16"/>
              </w:rPr>
              <w:t>Per cent of GDP</w:t>
            </w:r>
          </w:p>
        </w:tc>
        <w:tc>
          <w:tcPr>
            <w:tcW w:w="760" w:type="pct"/>
            <w:tcBorders>
              <w:top w:val="nil"/>
              <w:left w:val="nil"/>
              <w:bottom w:val="nil"/>
              <w:right w:val="nil"/>
            </w:tcBorders>
            <w:shd w:val="clear" w:color="000000" w:fill="FFFFFF"/>
            <w:noWrap/>
            <w:vAlign w:val="center"/>
            <w:hideMark/>
          </w:tcPr>
          <w:p w14:paraId="155E71D2"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0.4</w:t>
            </w:r>
          </w:p>
        </w:tc>
        <w:tc>
          <w:tcPr>
            <w:tcW w:w="760" w:type="pct"/>
            <w:tcBorders>
              <w:top w:val="nil"/>
              <w:left w:val="nil"/>
              <w:bottom w:val="nil"/>
              <w:right w:val="nil"/>
            </w:tcBorders>
            <w:shd w:val="clear" w:color="000000" w:fill="E6F2FF"/>
            <w:noWrap/>
            <w:vAlign w:val="center"/>
            <w:hideMark/>
          </w:tcPr>
          <w:p w14:paraId="63413192"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0.4</w:t>
            </w:r>
          </w:p>
        </w:tc>
        <w:tc>
          <w:tcPr>
            <w:tcW w:w="938" w:type="pct"/>
            <w:tcBorders>
              <w:top w:val="nil"/>
              <w:left w:val="nil"/>
              <w:bottom w:val="nil"/>
              <w:right w:val="nil"/>
            </w:tcBorders>
            <w:shd w:val="clear" w:color="000000" w:fill="FFFFFF"/>
            <w:noWrap/>
            <w:vAlign w:val="center"/>
            <w:hideMark/>
          </w:tcPr>
          <w:p w14:paraId="5717954A"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2D33E2C2" w14:textId="77777777" w:rsidTr="00DC0C24">
        <w:trPr>
          <w:trHeight w:hRule="exact" w:val="60"/>
        </w:trPr>
        <w:tc>
          <w:tcPr>
            <w:tcW w:w="2542" w:type="pct"/>
            <w:tcBorders>
              <w:top w:val="nil"/>
              <w:left w:val="nil"/>
              <w:bottom w:val="nil"/>
              <w:right w:val="nil"/>
            </w:tcBorders>
            <w:shd w:val="clear" w:color="000000" w:fill="FFFFFF"/>
            <w:noWrap/>
            <w:vAlign w:val="center"/>
            <w:hideMark/>
          </w:tcPr>
          <w:p w14:paraId="77BA63F6" w14:textId="77777777" w:rsidR="00DC0C24" w:rsidRPr="00390B7D" w:rsidRDefault="00DC0C24" w:rsidP="00DC0C24">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60" w:type="pct"/>
            <w:tcBorders>
              <w:top w:val="nil"/>
              <w:left w:val="nil"/>
              <w:bottom w:val="nil"/>
              <w:right w:val="nil"/>
            </w:tcBorders>
            <w:shd w:val="clear" w:color="000000" w:fill="FFFFFF"/>
            <w:noWrap/>
            <w:vAlign w:val="center"/>
            <w:hideMark/>
          </w:tcPr>
          <w:p w14:paraId="4499BF4A"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760" w:type="pct"/>
            <w:tcBorders>
              <w:top w:val="nil"/>
              <w:left w:val="nil"/>
              <w:bottom w:val="nil"/>
              <w:right w:val="nil"/>
            </w:tcBorders>
            <w:shd w:val="clear" w:color="000000" w:fill="E6F2FF"/>
            <w:noWrap/>
            <w:vAlign w:val="center"/>
            <w:hideMark/>
          </w:tcPr>
          <w:p w14:paraId="594C5B83"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c>
          <w:tcPr>
            <w:tcW w:w="938" w:type="pct"/>
            <w:tcBorders>
              <w:top w:val="nil"/>
              <w:left w:val="nil"/>
              <w:bottom w:val="nil"/>
              <w:right w:val="nil"/>
            </w:tcBorders>
            <w:shd w:val="clear" w:color="000000" w:fill="FFFFFF"/>
            <w:noWrap/>
            <w:vAlign w:val="center"/>
            <w:hideMark/>
          </w:tcPr>
          <w:p w14:paraId="615FA46D"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r w:rsidR="00DC0C24" w:rsidRPr="00390B7D" w14:paraId="36E76296" w14:textId="77777777" w:rsidTr="00DC0C24">
        <w:trPr>
          <w:trHeight w:hRule="exact" w:val="225"/>
        </w:trPr>
        <w:tc>
          <w:tcPr>
            <w:tcW w:w="2542" w:type="pct"/>
            <w:tcBorders>
              <w:top w:val="nil"/>
              <w:left w:val="nil"/>
              <w:bottom w:val="nil"/>
              <w:right w:val="nil"/>
            </w:tcBorders>
            <w:shd w:val="clear" w:color="000000" w:fill="FFFFFF"/>
            <w:noWrap/>
            <w:vAlign w:val="center"/>
            <w:hideMark/>
          </w:tcPr>
          <w:p w14:paraId="3A8EFB4D" w14:textId="77777777" w:rsidR="00DC0C24" w:rsidRPr="00390B7D" w:rsidRDefault="00DC0C24" w:rsidP="00DC0C24">
            <w:pPr>
              <w:spacing w:before="0" w:after="0" w:line="240" w:lineRule="auto"/>
              <w:rPr>
                <w:rFonts w:ascii="Arial" w:hAnsi="Arial" w:cs="Arial"/>
                <w:b/>
                <w:bCs/>
                <w:sz w:val="16"/>
                <w:szCs w:val="16"/>
              </w:rPr>
            </w:pPr>
            <w:r w:rsidRPr="00390B7D">
              <w:rPr>
                <w:rFonts w:ascii="Arial" w:hAnsi="Arial" w:cs="Arial"/>
                <w:b/>
                <w:bCs/>
                <w:sz w:val="16"/>
                <w:szCs w:val="16"/>
              </w:rPr>
              <w:t>Fiscal balance</w:t>
            </w:r>
          </w:p>
        </w:tc>
        <w:tc>
          <w:tcPr>
            <w:tcW w:w="760" w:type="pct"/>
            <w:tcBorders>
              <w:top w:val="nil"/>
              <w:left w:val="nil"/>
              <w:bottom w:val="nil"/>
              <w:right w:val="nil"/>
            </w:tcBorders>
            <w:shd w:val="clear" w:color="000000" w:fill="FFFFFF"/>
            <w:noWrap/>
            <w:vAlign w:val="center"/>
            <w:hideMark/>
          </w:tcPr>
          <w:p w14:paraId="1A4B961C"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-1.5</w:t>
            </w:r>
          </w:p>
        </w:tc>
        <w:tc>
          <w:tcPr>
            <w:tcW w:w="760" w:type="pct"/>
            <w:tcBorders>
              <w:top w:val="nil"/>
              <w:left w:val="nil"/>
              <w:bottom w:val="nil"/>
              <w:right w:val="nil"/>
            </w:tcBorders>
            <w:shd w:val="clear" w:color="000000" w:fill="E6F2FF"/>
            <w:noWrap/>
            <w:vAlign w:val="center"/>
            <w:hideMark/>
          </w:tcPr>
          <w:p w14:paraId="60CA818B"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21.9</w:t>
            </w:r>
          </w:p>
        </w:tc>
        <w:tc>
          <w:tcPr>
            <w:tcW w:w="938" w:type="pct"/>
            <w:tcBorders>
              <w:top w:val="nil"/>
              <w:left w:val="nil"/>
              <w:bottom w:val="nil"/>
              <w:right w:val="nil"/>
            </w:tcBorders>
            <w:shd w:val="clear" w:color="000000" w:fill="FFFFFF"/>
            <w:noWrap/>
            <w:vAlign w:val="center"/>
            <w:hideMark/>
          </w:tcPr>
          <w:p w14:paraId="53D89560"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23.4</w:t>
            </w:r>
          </w:p>
        </w:tc>
      </w:tr>
      <w:tr w:rsidR="00DC0C24" w:rsidRPr="00390B7D" w14:paraId="25B91858" w14:textId="77777777" w:rsidTr="00DC0C24">
        <w:trPr>
          <w:trHeight w:hRule="exact" w:val="225"/>
        </w:trPr>
        <w:tc>
          <w:tcPr>
            <w:tcW w:w="2542" w:type="pct"/>
            <w:tcBorders>
              <w:top w:val="nil"/>
              <w:left w:val="nil"/>
              <w:bottom w:val="single" w:sz="4" w:space="0" w:color="auto"/>
              <w:right w:val="nil"/>
            </w:tcBorders>
            <w:shd w:val="clear" w:color="000000" w:fill="FFFFFF"/>
            <w:noWrap/>
            <w:vAlign w:val="center"/>
            <w:hideMark/>
          </w:tcPr>
          <w:p w14:paraId="65BDDEBF" w14:textId="77777777" w:rsidR="00DC0C24" w:rsidRPr="00390B7D" w:rsidRDefault="00DC0C24" w:rsidP="00DC0C24">
            <w:pPr>
              <w:spacing w:before="0" w:after="0" w:line="240" w:lineRule="auto"/>
              <w:rPr>
                <w:rFonts w:ascii="Arial" w:hAnsi="Arial" w:cs="Arial"/>
                <w:sz w:val="16"/>
                <w:szCs w:val="16"/>
              </w:rPr>
            </w:pPr>
            <w:r w:rsidRPr="00390B7D">
              <w:rPr>
                <w:rFonts w:ascii="Arial" w:hAnsi="Arial" w:cs="Arial"/>
                <w:sz w:val="16"/>
                <w:szCs w:val="16"/>
              </w:rPr>
              <w:t>Per cent of GDP</w:t>
            </w:r>
          </w:p>
        </w:tc>
        <w:tc>
          <w:tcPr>
            <w:tcW w:w="760" w:type="pct"/>
            <w:tcBorders>
              <w:top w:val="nil"/>
              <w:left w:val="nil"/>
              <w:bottom w:val="single" w:sz="4" w:space="0" w:color="293F5B"/>
              <w:right w:val="nil"/>
            </w:tcBorders>
            <w:shd w:val="clear" w:color="000000" w:fill="FFFFFF"/>
            <w:noWrap/>
            <w:vAlign w:val="center"/>
            <w:hideMark/>
          </w:tcPr>
          <w:p w14:paraId="40171F73"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-0.1</w:t>
            </w:r>
          </w:p>
        </w:tc>
        <w:tc>
          <w:tcPr>
            <w:tcW w:w="760" w:type="pct"/>
            <w:tcBorders>
              <w:top w:val="nil"/>
              <w:left w:val="nil"/>
              <w:bottom w:val="single" w:sz="4" w:space="0" w:color="293F5B"/>
              <w:right w:val="nil"/>
            </w:tcBorders>
            <w:shd w:val="clear" w:color="000000" w:fill="E6F2FF"/>
            <w:noWrap/>
            <w:vAlign w:val="center"/>
            <w:hideMark/>
          </w:tcPr>
          <w:p w14:paraId="521E655A" w14:textId="77777777" w:rsidR="00DC0C24" w:rsidRPr="00390B7D" w:rsidRDefault="00DC0C24" w:rsidP="00DC0C24">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0.9</w:t>
            </w:r>
          </w:p>
        </w:tc>
        <w:tc>
          <w:tcPr>
            <w:tcW w:w="938" w:type="pct"/>
            <w:tcBorders>
              <w:top w:val="nil"/>
              <w:left w:val="nil"/>
              <w:bottom w:val="single" w:sz="4" w:space="0" w:color="293F5B"/>
              <w:right w:val="nil"/>
            </w:tcBorders>
            <w:shd w:val="clear" w:color="000000" w:fill="FFFFFF"/>
            <w:noWrap/>
            <w:vAlign w:val="center"/>
            <w:hideMark/>
          </w:tcPr>
          <w:p w14:paraId="73232115" w14:textId="77777777" w:rsidR="00DC0C24" w:rsidRPr="00390B7D" w:rsidRDefault="00DC0C24" w:rsidP="00DC0C24">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 </w:t>
            </w:r>
          </w:p>
        </w:tc>
      </w:tr>
    </w:tbl>
    <w:p w14:paraId="4B12E0E8" w14:textId="514F2C3E" w:rsidR="002959E6" w:rsidRPr="0076449A" w:rsidRDefault="002959E6">
      <w:pPr>
        <w:pStyle w:val="ChartandTableFootnoteAlpha"/>
        <w:numPr>
          <w:ilvl w:val="0"/>
          <w:numId w:val="5"/>
        </w:numPr>
        <w:rPr>
          <w:rFonts w:cs="Arial"/>
          <w:szCs w:val="16"/>
        </w:rPr>
      </w:pPr>
      <w:r w:rsidRPr="006354EB">
        <w:t>Equivalent to cash payments for operating activities, purchases of non</w:t>
      </w:r>
      <w:r w:rsidR="006B57C6">
        <w:noBreakHyphen/>
      </w:r>
      <w:r w:rsidRPr="006354EB">
        <w:t xml:space="preserve">financial assets and </w:t>
      </w:r>
      <w:r w:rsidR="00402359">
        <w:t>principal payments of lease liabilities</w:t>
      </w:r>
      <w:r w:rsidRPr="006354EB">
        <w:t>.</w:t>
      </w:r>
    </w:p>
    <w:p w14:paraId="2E4B12CD" w14:textId="5D218787" w:rsidR="002959E6" w:rsidRDefault="002959E6" w:rsidP="00DC0C24">
      <w:pPr>
        <w:pStyle w:val="ChartandTableFootnoteAlpha"/>
        <w:numPr>
          <w:ilvl w:val="0"/>
          <w:numId w:val="5"/>
        </w:numPr>
      </w:pPr>
      <w:r w:rsidRPr="006354EB">
        <w:t>Net interest payments are equal to the difference between interest payments and interest receipts. Net interest payments are largely tied to the existing stock of Australian Government Securities, meaning there was little change from the 20</w:t>
      </w:r>
      <w:r w:rsidR="00990A2C">
        <w:t>23</w:t>
      </w:r>
      <w:r w:rsidR="00590D77">
        <w:t>–</w:t>
      </w:r>
      <w:r w:rsidR="00F07093">
        <w:t>24</w:t>
      </w:r>
      <w:r w:rsidRPr="006354EB">
        <w:t xml:space="preserve"> Budget estimates.</w:t>
      </w:r>
    </w:p>
    <w:p w14:paraId="245E200A" w14:textId="04E943FC" w:rsidR="002959E6" w:rsidRPr="006354EB" w:rsidRDefault="002959E6" w:rsidP="004E1D0C">
      <w:pPr>
        <w:pStyle w:val="Heading2"/>
      </w:pPr>
      <w:r w:rsidRPr="006354EB">
        <w:t xml:space="preserve">Underlying </w:t>
      </w:r>
      <w:r w:rsidRPr="004E1D0C">
        <w:t>cash</w:t>
      </w:r>
      <w:r w:rsidRPr="006354EB">
        <w:t xml:space="preserve"> balance</w:t>
      </w:r>
    </w:p>
    <w:p w14:paraId="49FFE22B" w14:textId="71C30F1E" w:rsidR="002959E6" w:rsidRPr="004E1D0C" w:rsidRDefault="002959E6" w:rsidP="004E1D0C">
      <w:pPr>
        <w:pStyle w:val="Heading3"/>
      </w:pPr>
      <w:r w:rsidRPr="00C30F0E">
        <w:t>Receipts</w:t>
      </w:r>
    </w:p>
    <w:p w14:paraId="789470D9" w14:textId="2DFB1B6E" w:rsidR="002959E6" w:rsidRPr="00BF4DDC" w:rsidRDefault="002959E6" w:rsidP="002959E6">
      <w:r w:rsidRPr="00390B7D">
        <w:t>Total receipts for 202</w:t>
      </w:r>
      <w:r w:rsidR="000E0BA8" w:rsidRPr="00390B7D">
        <w:t>2</w:t>
      </w:r>
      <w:r w:rsidR="0083530B" w:rsidRPr="00390B7D">
        <w:t>–</w:t>
      </w:r>
      <w:r w:rsidRPr="00390B7D">
        <w:t>2</w:t>
      </w:r>
      <w:r w:rsidR="000E0BA8" w:rsidRPr="00390B7D">
        <w:t>3</w:t>
      </w:r>
      <w:r w:rsidRPr="00390B7D">
        <w:t xml:space="preserve"> were $</w:t>
      </w:r>
      <w:r w:rsidR="00866D80" w:rsidRPr="00390B7D">
        <w:t>64</w:t>
      </w:r>
      <w:r w:rsidR="00C754F9" w:rsidRPr="00390B7D">
        <w:t>9.5</w:t>
      </w:r>
      <w:r w:rsidR="002E328D" w:rsidRPr="00390B7D">
        <w:t> billion</w:t>
      </w:r>
      <w:r w:rsidRPr="00390B7D">
        <w:t>, $</w:t>
      </w:r>
      <w:r w:rsidR="004E581F" w:rsidRPr="00390B7D">
        <w:t>13.</w:t>
      </w:r>
      <w:r w:rsidR="003B0380" w:rsidRPr="00390B7D">
        <w:t>9</w:t>
      </w:r>
      <w:r w:rsidR="002E328D" w:rsidRPr="00390B7D">
        <w:t> billion</w:t>
      </w:r>
      <w:r w:rsidRPr="00390B7D">
        <w:t xml:space="preserve"> higher than forecast in the 202</w:t>
      </w:r>
      <w:r w:rsidR="000E0BA8" w:rsidRPr="00390B7D">
        <w:t>3</w:t>
      </w:r>
      <w:r w:rsidR="002E328D" w:rsidRPr="00390B7D">
        <w:rPr>
          <w:rFonts w:hint="eastAsia"/>
        </w:rPr>
        <w:t>‍</w:t>
      </w:r>
      <w:r w:rsidR="0083530B" w:rsidRPr="00390B7D">
        <w:t>–</w:t>
      </w:r>
      <w:r w:rsidR="002E328D" w:rsidRPr="00390B7D">
        <w:rPr>
          <w:rFonts w:hint="eastAsia"/>
        </w:rPr>
        <w:t>‍</w:t>
      </w:r>
      <w:r w:rsidRPr="00390B7D">
        <w:t>2</w:t>
      </w:r>
      <w:r w:rsidR="000E0BA8" w:rsidRPr="00390B7D">
        <w:t>4</w:t>
      </w:r>
      <w:r w:rsidRPr="00390B7D">
        <w:t xml:space="preserve"> Budget.</w:t>
      </w:r>
      <w:r w:rsidRPr="00C30F0E">
        <w:t xml:space="preserve"> </w:t>
      </w:r>
    </w:p>
    <w:p w14:paraId="71BA1DE1" w14:textId="42332F0C" w:rsidR="002959E6" w:rsidRPr="00390B7D" w:rsidRDefault="002959E6" w:rsidP="002959E6">
      <w:r w:rsidRPr="00390B7D">
        <w:t>Tax receipts were $</w:t>
      </w:r>
      <w:r w:rsidR="000E0BA8" w:rsidRPr="00390B7D">
        <w:t>13.2</w:t>
      </w:r>
      <w:r w:rsidR="002E328D" w:rsidRPr="00390B7D">
        <w:t> billion</w:t>
      </w:r>
      <w:r w:rsidRPr="00390B7D">
        <w:t xml:space="preserve"> higher than estimated in the Budget. </w:t>
      </w:r>
      <w:r w:rsidR="00116305" w:rsidRPr="00390B7D">
        <w:t xml:space="preserve">The higher outcome was </w:t>
      </w:r>
      <w:r w:rsidR="00EC020D" w:rsidRPr="00390B7D">
        <w:t>a</w:t>
      </w:r>
      <w:r w:rsidR="000E0BA8" w:rsidRPr="00390B7D">
        <w:t>l</w:t>
      </w:r>
      <w:r w:rsidR="00EC020D" w:rsidRPr="00390B7D">
        <w:t xml:space="preserve">most entirely </w:t>
      </w:r>
      <w:r w:rsidR="00116305" w:rsidRPr="00390B7D">
        <w:t>due to c</w:t>
      </w:r>
      <w:r w:rsidRPr="00390B7D">
        <w:t xml:space="preserve">ompany tax </w:t>
      </w:r>
      <w:r w:rsidR="00116305" w:rsidRPr="00390B7D">
        <w:t>receipts</w:t>
      </w:r>
      <w:r w:rsidRPr="00390B7D">
        <w:t xml:space="preserve"> </w:t>
      </w:r>
      <w:r w:rsidR="000E0BA8" w:rsidRPr="00390B7D">
        <w:t>w</w:t>
      </w:r>
      <w:r w:rsidR="00AA50D5" w:rsidRPr="00390B7D">
        <w:t>ith</w:t>
      </w:r>
      <w:r w:rsidR="000E0BA8" w:rsidRPr="00390B7D">
        <w:t xml:space="preserve"> </w:t>
      </w:r>
      <w:r w:rsidR="00AA50D5" w:rsidRPr="00390B7D">
        <w:t>relatively small</w:t>
      </w:r>
      <w:r w:rsidR="000E0BA8" w:rsidRPr="00390B7D">
        <w:t xml:space="preserve"> variances in other </w:t>
      </w:r>
      <w:r w:rsidR="00365861" w:rsidRPr="00390B7D">
        <w:t>taxes</w:t>
      </w:r>
      <w:r w:rsidRPr="00390B7D">
        <w:t>.</w:t>
      </w:r>
    </w:p>
    <w:p w14:paraId="0C19340E" w14:textId="74AA0AD7" w:rsidR="002959E6" w:rsidRPr="00390B7D" w:rsidRDefault="002959E6" w:rsidP="00AC71D1">
      <w:pPr>
        <w:pStyle w:val="Bullet"/>
      </w:pPr>
      <w:bookmarkStart w:id="6" w:name="_Hlk113279204"/>
      <w:r w:rsidRPr="00390B7D">
        <w:lastRenderedPageBreak/>
        <w:t>Company tax receipts were $</w:t>
      </w:r>
      <w:r w:rsidR="004142F5" w:rsidRPr="00390B7D">
        <w:t>12.</w:t>
      </w:r>
      <w:r w:rsidR="00552E33" w:rsidRPr="00390B7D">
        <w:t>7</w:t>
      </w:r>
      <w:r w:rsidR="002E328D" w:rsidRPr="00390B7D">
        <w:t> billion</w:t>
      </w:r>
      <w:r w:rsidRPr="00390B7D">
        <w:t xml:space="preserve"> above the Budget estimates. </w:t>
      </w:r>
      <w:r w:rsidR="00EA77C8" w:rsidRPr="00390B7D">
        <w:t xml:space="preserve">This was </w:t>
      </w:r>
      <w:r w:rsidR="005346E1" w:rsidRPr="00390B7D">
        <w:t>primarily</w:t>
      </w:r>
      <w:r w:rsidR="00EA77C8" w:rsidRPr="00390B7D">
        <w:t xml:space="preserve"> driven by</w:t>
      </w:r>
      <w:r w:rsidR="00BF20B8" w:rsidRPr="00390B7D">
        <w:t xml:space="preserve"> </w:t>
      </w:r>
      <w:r w:rsidR="00E440A3" w:rsidRPr="00390B7D">
        <w:t xml:space="preserve">receipts from companies </w:t>
      </w:r>
      <w:r w:rsidR="00504A03" w:rsidRPr="00390B7D">
        <w:t>in</w:t>
      </w:r>
      <w:r w:rsidR="005346E1" w:rsidRPr="00390B7D">
        <w:t xml:space="preserve"> </w:t>
      </w:r>
      <w:r w:rsidR="0079079B" w:rsidRPr="00390B7D">
        <w:t>the</w:t>
      </w:r>
      <w:r w:rsidR="005346E1" w:rsidRPr="00390B7D">
        <w:t xml:space="preserve"> </w:t>
      </w:r>
      <w:r w:rsidR="0004703F" w:rsidRPr="00390B7D">
        <w:t>resource</w:t>
      </w:r>
      <w:r w:rsidR="00DF0F25" w:rsidRPr="00390B7D">
        <w:t>s</w:t>
      </w:r>
      <w:r w:rsidR="0004703F" w:rsidRPr="00390B7D">
        <w:t xml:space="preserve"> sector</w:t>
      </w:r>
      <w:r w:rsidR="001C2973" w:rsidRPr="00390B7D">
        <w:t>,</w:t>
      </w:r>
      <w:r w:rsidR="0004703F" w:rsidRPr="00390B7D">
        <w:t xml:space="preserve"> </w:t>
      </w:r>
      <w:r w:rsidR="0079079B" w:rsidRPr="00390B7D">
        <w:t xml:space="preserve">which was </w:t>
      </w:r>
      <w:r w:rsidR="0004703F" w:rsidRPr="00390B7D">
        <w:t>bolstered by sustained elevated commodity prices</w:t>
      </w:r>
      <w:bookmarkEnd w:id="6"/>
      <w:r w:rsidR="00822550" w:rsidRPr="00390B7D">
        <w:t>.</w:t>
      </w:r>
      <w:r w:rsidR="00BF20B8" w:rsidRPr="00390B7D">
        <w:t xml:space="preserve"> </w:t>
      </w:r>
    </w:p>
    <w:p w14:paraId="0C1D31C7" w14:textId="50438440" w:rsidR="002959E6" w:rsidRPr="00390B7D" w:rsidRDefault="002959E6" w:rsidP="00AC71D1">
      <w:pPr>
        <w:pStyle w:val="Bullet"/>
      </w:pPr>
      <w:r w:rsidRPr="00390B7D">
        <w:t>Superannuation fund tax receipts were $</w:t>
      </w:r>
      <w:r w:rsidR="00DF6F66" w:rsidRPr="00390B7D">
        <w:t>0.8</w:t>
      </w:r>
      <w:r w:rsidR="002E328D" w:rsidRPr="00390B7D">
        <w:t> billion</w:t>
      </w:r>
      <w:r w:rsidRPr="00390B7D">
        <w:t xml:space="preserve"> above the Budget estimates</w:t>
      </w:r>
      <w:r w:rsidR="00964389" w:rsidRPr="00390B7D">
        <w:t>,</w:t>
      </w:r>
      <w:r w:rsidRPr="00390B7D">
        <w:t xml:space="preserve"> </w:t>
      </w:r>
      <w:r w:rsidR="009C4921" w:rsidRPr="00390B7D">
        <w:t>primarily due to higher</w:t>
      </w:r>
      <w:r w:rsidR="006B57C6" w:rsidRPr="00390B7D">
        <w:noBreakHyphen/>
      </w:r>
      <w:r w:rsidR="009C4921" w:rsidRPr="00390B7D">
        <w:t>than</w:t>
      </w:r>
      <w:r w:rsidR="006B57C6" w:rsidRPr="00390B7D">
        <w:noBreakHyphen/>
      </w:r>
      <w:r w:rsidR="009C4921" w:rsidRPr="00390B7D">
        <w:t>expected pay</w:t>
      </w:r>
      <w:r w:rsidR="006B57C6" w:rsidRPr="00390B7D">
        <w:noBreakHyphen/>
      </w:r>
      <w:r w:rsidR="009C4921" w:rsidRPr="00390B7D">
        <w:t>as</w:t>
      </w:r>
      <w:r w:rsidR="006B57C6" w:rsidRPr="00390B7D">
        <w:noBreakHyphen/>
      </w:r>
      <w:r w:rsidR="009C4921" w:rsidRPr="00390B7D">
        <w:t>you</w:t>
      </w:r>
      <w:r w:rsidR="006B57C6" w:rsidRPr="00390B7D">
        <w:noBreakHyphen/>
      </w:r>
      <w:r w:rsidR="009C4921" w:rsidRPr="00390B7D">
        <w:t>go</w:t>
      </w:r>
      <w:r w:rsidRPr="00390B7D">
        <w:t xml:space="preserve"> instalments</w:t>
      </w:r>
      <w:r w:rsidRPr="00390B7D" w:rsidDel="00DF6F66">
        <w:t>.</w:t>
      </w:r>
    </w:p>
    <w:p w14:paraId="23374F55" w14:textId="213BEFDE" w:rsidR="00F15B0B" w:rsidRPr="00390B7D" w:rsidRDefault="00CC3C51" w:rsidP="00AC71D1">
      <w:pPr>
        <w:pStyle w:val="Bullet"/>
      </w:pPr>
      <w:r w:rsidRPr="00390B7D">
        <w:t>F</w:t>
      </w:r>
      <w:r w:rsidR="00F15B0B" w:rsidRPr="00390B7D">
        <w:t xml:space="preserve">ringe </w:t>
      </w:r>
      <w:r w:rsidR="00AF22C3" w:rsidRPr="00390B7D">
        <w:t>b</w:t>
      </w:r>
      <w:r w:rsidR="00F15B0B" w:rsidRPr="00390B7D">
        <w:t xml:space="preserve">enefits </w:t>
      </w:r>
      <w:r w:rsidR="00AF22C3" w:rsidRPr="00390B7D">
        <w:t>t</w:t>
      </w:r>
      <w:r w:rsidR="00F15B0B" w:rsidRPr="00390B7D">
        <w:t xml:space="preserve">ax </w:t>
      </w:r>
      <w:r w:rsidRPr="00390B7D">
        <w:t>receipts</w:t>
      </w:r>
      <w:r w:rsidR="00F15B0B" w:rsidRPr="00390B7D">
        <w:t xml:space="preserve"> were $0.4</w:t>
      </w:r>
      <w:r w:rsidR="002E328D" w:rsidRPr="00390B7D">
        <w:t> billion</w:t>
      </w:r>
      <w:r w:rsidR="00F15B0B" w:rsidRPr="00390B7D">
        <w:t xml:space="preserve"> above the Budget estimates. </w:t>
      </w:r>
    </w:p>
    <w:p w14:paraId="749CB269" w14:textId="60FBF462" w:rsidR="002E4712" w:rsidRPr="00390B7D" w:rsidRDefault="002E4712" w:rsidP="00AC71D1">
      <w:pPr>
        <w:pStyle w:val="Bullet"/>
      </w:pPr>
      <w:r w:rsidRPr="00390B7D">
        <w:t>Receipts from total individuals and other withholding taxes were $0.3</w:t>
      </w:r>
      <w:r w:rsidR="002E328D" w:rsidRPr="00390B7D">
        <w:t> billion</w:t>
      </w:r>
      <w:r w:rsidRPr="00390B7D">
        <w:t xml:space="preserve"> below the Budget estimates. </w:t>
      </w:r>
    </w:p>
    <w:p w14:paraId="570B4F52" w14:textId="136DCEE0" w:rsidR="002959E6" w:rsidRPr="00390B7D" w:rsidRDefault="002959E6" w:rsidP="00AC71D1">
      <w:pPr>
        <w:pStyle w:val="Bullet"/>
      </w:pPr>
      <w:r w:rsidRPr="00390B7D">
        <w:t>Receipts from the GST were $0.</w:t>
      </w:r>
      <w:r w:rsidR="00FA2AF0" w:rsidRPr="00390B7D">
        <w:t>2</w:t>
      </w:r>
      <w:r w:rsidR="002E328D" w:rsidRPr="00390B7D">
        <w:t> billion</w:t>
      </w:r>
      <w:r w:rsidRPr="00390B7D">
        <w:t xml:space="preserve"> </w:t>
      </w:r>
      <w:r w:rsidR="00515D01" w:rsidRPr="00390B7D">
        <w:t>below</w:t>
      </w:r>
      <w:r w:rsidRPr="00390B7D">
        <w:t xml:space="preserve"> the Budget estimates</w:t>
      </w:r>
      <w:r w:rsidR="00DC6CCB" w:rsidRPr="00390B7D">
        <w:t xml:space="preserve">, </w:t>
      </w:r>
      <w:r w:rsidR="0081384D" w:rsidRPr="00390B7D">
        <w:t>consistent with</w:t>
      </w:r>
      <w:r w:rsidR="00DC6CCB" w:rsidRPr="00390B7D">
        <w:t xml:space="preserve"> softer</w:t>
      </w:r>
      <w:r w:rsidR="00DC6CCB" w:rsidRPr="00390B7D">
        <w:noBreakHyphen/>
        <w:t>than-expected consumption</w:t>
      </w:r>
      <w:r w:rsidRPr="00390B7D">
        <w:t>.</w:t>
      </w:r>
    </w:p>
    <w:p w14:paraId="67EEE72F" w14:textId="71E49C5F" w:rsidR="002959E6" w:rsidRPr="00390B7D" w:rsidRDefault="002959E6" w:rsidP="00AC71D1">
      <w:pPr>
        <w:pStyle w:val="Bullet"/>
      </w:pPr>
      <w:r w:rsidRPr="00390B7D">
        <w:t>Tax receipts from excise and customs duty were $0.</w:t>
      </w:r>
      <w:r w:rsidR="00C74825" w:rsidRPr="00390B7D">
        <w:t>2</w:t>
      </w:r>
      <w:r w:rsidR="002E328D" w:rsidRPr="00390B7D">
        <w:t> billion</w:t>
      </w:r>
      <w:r w:rsidRPr="00390B7D">
        <w:t xml:space="preserve"> below the Budget estimates</w:t>
      </w:r>
      <w:r w:rsidR="00E84ECF" w:rsidRPr="00390B7D">
        <w:t xml:space="preserve">, </w:t>
      </w:r>
      <w:r w:rsidR="002554B9" w:rsidRPr="00390B7D">
        <w:t>due</w:t>
      </w:r>
      <w:r w:rsidR="001B7BC5" w:rsidRPr="00390B7D">
        <w:t xml:space="preserve"> to</w:t>
      </w:r>
      <w:r w:rsidRPr="00390B7D">
        <w:t xml:space="preserve"> weaker</w:t>
      </w:r>
      <w:r w:rsidR="006B57C6" w:rsidRPr="00390B7D">
        <w:noBreakHyphen/>
      </w:r>
      <w:r w:rsidRPr="00390B7D">
        <w:t>than</w:t>
      </w:r>
      <w:r w:rsidR="006B57C6" w:rsidRPr="00390B7D">
        <w:noBreakHyphen/>
      </w:r>
      <w:r w:rsidRPr="00390B7D">
        <w:t>expected collections for tobacco excise equivalent duty.</w:t>
      </w:r>
    </w:p>
    <w:p w14:paraId="5639BB1F" w14:textId="4373FAB2" w:rsidR="005C79E0" w:rsidRPr="00390B7D" w:rsidRDefault="002959E6" w:rsidP="002959E6">
      <w:pPr>
        <w:spacing w:after="160" w:line="259" w:lineRule="auto"/>
      </w:pPr>
      <w:r w:rsidRPr="00390B7D">
        <w:t>Non</w:t>
      </w:r>
      <w:r w:rsidR="006B57C6" w:rsidRPr="00390B7D">
        <w:noBreakHyphen/>
      </w:r>
      <w:r w:rsidRPr="00390B7D">
        <w:t>tax receipts were $</w:t>
      </w:r>
      <w:r w:rsidR="00364E79" w:rsidRPr="00390B7D">
        <w:t>48.2</w:t>
      </w:r>
      <w:r w:rsidR="002E328D" w:rsidRPr="00390B7D">
        <w:t> billion</w:t>
      </w:r>
      <w:r w:rsidRPr="00390B7D">
        <w:t xml:space="preserve"> in </w:t>
      </w:r>
      <w:r w:rsidR="00AB774F" w:rsidRPr="00390B7D">
        <w:t>2022</w:t>
      </w:r>
      <w:r w:rsidR="0083530B" w:rsidRPr="00390B7D">
        <w:t>–</w:t>
      </w:r>
      <w:r w:rsidR="00AB774F" w:rsidRPr="00390B7D">
        <w:t>23, $</w:t>
      </w:r>
      <w:r w:rsidR="004061CC" w:rsidRPr="00390B7D">
        <w:t>0.6</w:t>
      </w:r>
      <w:r w:rsidR="002E328D" w:rsidRPr="00390B7D">
        <w:t> billion</w:t>
      </w:r>
      <w:r w:rsidRPr="00390B7D">
        <w:t xml:space="preserve"> </w:t>
      </w:r>
      <w:r w:rsidR="0006516F" w:rsidRPr="00390B7D">
        <w:t xml:space="preserve">higher </w:t>
      </w:r>
      <w:r w:rsidR="004F3826" w:rsidRPr="00390B7D">
        <w:t xml:space="preserve">than estimated in </w:t>
      </w:r>
      <w:r w:rsidR="00010C02" w:rsidRPr="00390B7D">
        <w:t xml:space="preserve">the </w:t>
      </w:r>
      <w:r w:rsidR="004F3826" w:rsidRPr="00390B7D">
        <w:t xml:space="preserve">Budget. This </w:t>
      </w:r>
      <w:r w:rsidR="001B533D" w:rsidRPr="00390B7D">
        <w:t xml:space="preserve">increase </w:t>
      </w:r>
      <w:r w:rsidR="004F3826" w:rsidRPr="00390B7D">
        <w:t>largely reflect</w:t>
      </w:r>
      <w:r w:rsidR="00604EC3" w:rsidRPr="00390B7D">
        <w:t>ed</w:t>
      </w:r>
      <w:r w:rsidR="004F3826" w:rsidRPr="00390B7D">
        <w:t xml:space="preserve"> </w:t>
      </w:r>
      <w:r w:rsidR="00491643" w:rsidRPr="00390B7D">
        <w:t>higher</w:t>
      </w:r>
      <w:r w:rsidR="006B57C6" w:rsidRPr="00390B7D">
        <w:noBreakHyphen/>
      </w:r>
      <w:r w:rsidR="009105E8" w:rsidRPr="00390B7D">
        <w:t>than</w:t>
      </w:r>
      <w:r w:rsidR="006B57C6" w:rsidRPr="00390B7D">
        <w:noBreakHyphen/>
      </w:r>
      <w:r w:rsidR="009105E8" w:rsidRPr="00390B7D">
        <w:t xml:space="preserve">estimated </w:t>
      </w:r>
      <w:r w:rsidR="00C43F98" w:rsidRPr="00390B7D">
        <w:t>receipts under the Higher Education Loan Program ($0.6</w:t>
      </w:r>
      <w:r w:rsidR="002E328D" w:rsidRPr="00390B7D">
        <w:t> billion</w:t>
      </w:r>
      <w:r w:rsidR="00C43F98" w:rsidRPr="00390B7D">
        <w:t>), higher</w:t>
      </w:r>
      <w:r w:rsidR="006B57C6" w:rsidRPr="00390B7D">
        <w:noBreakHyphen/>
      </w:r>
      <w:r w:rsidR="00C43F98" w:rsidRPr="00390B7D">
        <w:t>than</w:t>
      </w:r>
      <w:r w:rsidR="006B57C6" w:rsidRPr="00390B7D">
        <w:noBreakHyphen/>
      </w:r>
      <w:r w:rsidR="00C43F98" w:rsidRPr="00390B7D">
        <w:t>estimated</w:t>
      </w:r>
      <w:r w:rsidR="00A87CB4" w:rsidRPr="00390B7D">
        <w:t xml:space="preserve"> receipts collected by the Digital Transformation Agency for Whole of Government Information and Communications Technology (ICT) services ($0.5</w:t>
      </w:r>
      <w:r w:rsidR="002E328D" w:rsidRPr="00390B7D">
        <w:t> billion</w:t>
      </w:r>
      <w:r w:rsidR="00F55FC3" w:rsidRPr="00390B7D">
        <w:t>) and higher</w:t>
      </w:r>
      <w:r w:rsidR="006B57C6" w:rsidRPr="00390B7D">
        <w:noBreakHyphen/>
      </w:r>
      <w:r w:rsidR="00F55FC3" w:rsidRPr="00390B7D">
        <w:t>than</w:t>
      </w:r>
      <w:r w:rsidR="006B57C6" w:rsidRPr="00390B7D">
        <w:noBreakHyphen/>
      </w:r>
      <w:r w:rsidR="00F55FC3" w:rsidRPr="00390B7D">
        <w:t>estimated Australian Government Investment Fund</w:t>
      </w:r>
      <w:r w:rsidR="00AC03CB">
        <w:t>s</w:t>
      </w:r>
      <w:r w:rsidR="00CD36AC" w:rsidRPr="00390B7D">
        <w:t xml:space="preserve"> earnings ($0.2</w:t>
      </w:r>
      <w:r w:rsidR="002E328D" w:rsidRPr="00390B7D">
        <w:t> billion</w:t>
      </w:r>
      <w:r w:rsidR="00CD36AC" w:rsidRPr="00390B7D">
        <w:t>)</w:t>
      </w:r>
      <w:r w:rsidR="009105E8" w:rsidRPr="00390B7D">
        <w:t>.</w:t>
      </w:r>
    </w:p>
    <w:p w14:paraId="73373447" w14:textId="0CA2ACDB" w:rsidR="00A35B11" w:rsidRDefault="00A35B11" w:rsidP="002959E6">
      <w:pPr>
        <w:spacing w:after="160" w:line="259" w:lineRule="auto"/>
        <w:rPr>
          <w:bCs/>
        </w:rPr>
      </w:pPr>
      <w:r w:rsidRPr="00390B7D">
        <w:t>This was partially offset by lower</w:t>
      </w:r>
      <w:r w:rsidR="006B57C6" w:rsidRPr="00390B7D">
        <w:noBreakHyphen/>
      </w:r>
      <w:r w:rsidRPr="00390B7D">
        <w:t>than</w:t>
      </w:r>
      <w:r w:rsidR="006B57C6" w:rsidRPr="00390B7D">
        <w:noBreakHyphen/>
      </w:r>
      <w:r w:rsidRPr="00390B7D">
        <w:t>estimated receipts from the Pharmaceutical Benefits Scheme due to delays in issuing Risk Sharing Arrangements invoices and lower</w:t>
      </w:r>
      <w:r w:rsidR="006B57C6" w:rsidRPr="00390B7D">
        <w:noBreakHyphen/>
      </w:r>
      <w:r w:rsidRPr="00390B7D">
        <w:t>than</w:t>
      </w:r>
      <w:r w:rsidR="006B57C6" w:rsidRPr="00390B7D">
        <w:noBreakHyphen/>
      </w:r>
      <w:r w:rsidRPr="00390B7D">
        <w:t>estimated</w:t>
      </w:r>
      <w:r w:rsidR="000A2F47" w:rsidRPr="00390B7D">
        <w:t xml:space="preserve"> u</w:t>
      </w:r>
      <w:r w:rsidR="001F47A5" w:rsidRPr="00390B7D">
        <w:t>ptake of Paxlovid ($0.9</w:t>
      </w:r>
      <w:r w:rsidR="002E328D" w:rsidRPr="00390B7D">
        <w:t> billion</w:t>
      </w:r>
      <w:r w:rsidR="001F47A5" w:rsidRPr="00390B7D">
        <w:t>).</w:t>
      </w:r>
    </w:p>
    <w:p w14:paraId="4119718E" w14:textId="36FE5619" w:rsidR="002959E6" w:rsidRPr="006354EB" w:rsidRDefault="002959E6" w:rsidP="002959E6">
      <w:pPr>
        <w:spacing w:after="160" w:line="259" w:lineRule="auto"/>
        <w:rPr>
          <w:b/>
        </w:rPr>
      </w:pPr>
      <w:r w:rsidRPr="006354EB">
        <w:rPr>
          <w:b/>
        </w:rPr>
        <w:br w:type="page"/>
      </w:r>
    </w:p>
    <w:p w14:paraId="74BF5839" w14:textId="0195223D" w:rsidR="00CC63DB" w:rsidRPr="00CC63DB" w:rsidRDefault="002959E6" w:rsidP="00CC63DB">
      <w:pPr>
        <w:pStyle w:val="TableHeading"/>
      </w:pPr>
      <w:r w:rsidRPr="006354EB">
        <w:lastRenderedPageBreak/>
        <w:t xml:space="preserve">Table 1.3: Australian Government general government sector (cash) receipts </w:t>
      </w:r>
    </w:p>
    <w:tbl>
      <w:tblPr>
        <w:tblW w:w="5000" w:type="pct"/>
        <w:tblCellMar>
          <w:left w:w="0" w:type="dxa"/>
          <w:right w:w="28" w:type="dxa"/>
        </w:tblCellMar>
        <w:tblLook w:val="04A0" w:firstRow="1" w:lastRow="0" w:firstColumn="1" w:lastColumn="0" w:noHBand="0" w:noVBand="1"/>
      </w:tblPr>
      <w:tblGrid>
        <w:gridCol w:w="4253"/>
        <w:gridCol w:w="1152"/>
        <w:gridCol w:w="1152"/>
        <w:gridCol w:w="1153"/>
      </w:tblGrid>
      <w:tr w:rsidR="00CC63DB" w:rsidRPr="00CC63DB" w14:paraId="21B34DD0" w14:textId="77777777" w:rsidTr="00CC63DB">
        <w:trPr>
          <w:divId w:val="563371070"/>
          <w:trHeight w:hRule="exact" w:val="225"/>
        </w:trPr>
        <w:tc>
          <w:tcPr>
            <w:tcW w:w="2758" w:type="pct"/>
            <w:tcBorders>
              <w:top w:val="single" w:sz="4" w:space="0" w:color="000000"/>
              <w:left w:val="nil"/>
              <w:bottom w:val="nil"/>
              <w:right w:val="nil"/>
            </w:tcBorders>
            <w:shd w:val="clear" w:color="000000" w:fill="FFFFFF"/>
            <w:noWrap/>
            <w:vAlign w:val="center"/>
            <w:hideMark/>
          </w:tcPr>
          <w:p w14:paraId="65114BF9" w14:textId="5ED6E295"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 </w:t>
            </w:r>
          </w:p>
        </w:tc>
        <w:tc>
          <w:tcPr>
            <w:tcW w:w="747" w:type="pct"/>
            <w:tcBorders>
              <w:top w:val="single" w:sz="4" w:space="0" w:color="000000"/>
              <w:left w:val="nil"/>
              <w:bottom w:val="nil"/>
              <w:right w:val="nil"/>
            </w:tcBorders>
            <w:shd w:val="clear" w:color="000000" w:fill="FFFFFF"/>
            <w:noWrap/>
            <w:vAlign w:val="bottom"/>
            <w:hideMark/>
          </w:tcPr>
          <w:p w14:paraId="639C8252" w14:textId="77777777" w:rsidR="00CC63DB" w:rsidRPr="00CC63DB" w:rsidRDefault="00CC63DB" w:rsidP="00CC63DB">
            <w:pPr>
              <w:spacing w:before="0" w:after="0" w:line="240" w:lineRule="auto"/>
              <w:jc w:val="right"/>
              <w:rPr>
                <w:rFonts w:ascii="Arial" w:hAnsi="Arial" w:cs="Arial"/>
                <w:sz w:val="16"/>
                <w:szCs w:val="16"/>
              </w:rPr>
            </w:pPr>
            <w:r w:rsidRPr="00CC63DB">
              <w:rPr>
                <w:rFonts w:ascii="Arial" w:hAnsi="Arial" w:cs="Arial"/>
                <w:sz w:val="16"/>
                <w:szCs w:val="16"/>
              </w:rPr>
              <w:t>2022-23</w:t>
            </w:r>
          </w:p>
        </w:tc>
        <w:tc>
          <w:tcPr>
            <w:tcW w:w="747" w:type="pct"/>
            <w:tcBorders>
              <w:top w:val="single" w:sz="4" w:space="0" w:color="000000"/>
              <w:left w:val="nil"/>
              <w:bottom w:val="nil"/>
              <w:right w:val="nil"/>
            </w:tcBorders>
            <w:shd w:val="clear" w:color="000000" w:fill="E6F2FF"/>
            <w:noWrap/>
            <w:vAlign w:val="bottom"/>
            <w:hideMark/>
          </w:tcPr>
          <w:p w14:paraId="06406F17" w14:textId="77777777" w:rsidR="00CC63DB" w:rsidRPr="00CC63DB" w:rsidRDefault="00CC63DB" w:rsidP="00CC63DB">
            <w:pPr>
              <w:spacing w:before="0" w:after="0" w:line="240" w:lineRule="auto"/>
              <w:jc w:val="right"/>
              <w:rPr>
                <w:rFonts w:ascii="Arial" w:hAnsi="Arial" w:cs="Arial"/>
                <w:sz w:val="16"/>
                <w:szCs w:val="16"/>
              </w:rPr>
            </w:pPr>
            <w:r w:rsidRPr="00CC63DB">
              <w:rPr>
                <w:rFonts w:ascii="Arial" w:hAnsi="Arial" w:cs="Arial"/>
                <w:sz w:val="16"/>
                <w:szCs w:val="16"/>
              </w:rPr>
              <w:t>2022-23</w:t>
            </w:r>
          </w:p>
        </w:tc>
        <w:tc>
          <w:tcPr>
            <w:tcW w:w="748" w:type="pct"/>
            <w:tcBorders>
              <w:top w:val="single" w:sz="4" w:space="0" w:color="000000"/>
              <w:left w:val="nil"/>
              <w:bottom w:val="nil"/>
              <w:right w:val="nil"/>
            </w:tcBorders>
            <w:shd w:val="clear" w:color="000000" w:fill="FFFFFF"/>
            <w:noWrap/>
            <w:vAlign w:val="bottom"/>
            <w:hideMark/>
          </w:tcPr>
          <w:p w14:paraId="70F27D06" w14:textId="77777777" w:rsidR="00CC63DB" w:rsidRPr="00CC63DB" w:rsidRDefault="00CC63DB" w:rsidP="00CC63DB">
            <w:pPr>
              <w:spacing w:before="0" w:after="0" w:line="240" w:lineRule="auto"/>
              <w:jc w:val="right"/>
              <w:rPr>
                <w:rFonts w:ascii="Arial" w:hAnsi="Arial" w:cs="Arial"/>
                <w:sz w:val="16"/>
                <w:szCs w:val="16"/>
              </w:rPr>
            </w:pPr>
            <w:r w:rsidRPr="00CC63DB">
              <w:rPr>
                <w:rFonts w:ascii="Arial" w:hAnsi="Arial" w:cs="Arial"/>
                <w:sz w:val="16"/>
                <w:szCs w:val="16"/>
              </w:rPr>
              <w:t>Change on</w:t>
            </w:r>
          </w:p>
        </w:tc>
      </w:tr>
      <w:tr w:rsidR="00CC63DB" w:rsidRPr="00CC63DB" w14:paraId="0EAF7038" w14:textId="77777777" w:rsidTr="00CC63DB">
        <w:trPr>
          <w:divId w:val="563371070"/>
          <w:trHeight w:hRule="exact" w:val="225"/>
        </w:trPr>
        <w:tc>
          <w:tcPr>
            <w:tcW w:w="2758" w:type="pct"/>
            <w:tcBorders>
              <w:top w:val="nil"/>
              <w:left w:val="nil"/>
              <w:bottom w:val="nil"/>
              <w:right w:val="nil"/>
            </w:tcBorders>
            <w:shd w:val="clear" w:color="000000" w:fill="FFFFFF"/>
            <w:noWrap/>
            <w:vAlign w:val="center"/>
            <w:hideMark/>
          </w:tcPr>
          <w:p w14:paraId="76BCD723"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 </w:t>
            </w:r>
          </w:p>
        </w:tc>
        <w:tc>
          <w:tcPr>
            <w:tcW w:w="747" w:type="pct"/>
            <w:tcBorders>
              <w:top w:val="nil"/>
              <w:left w:val="nil"/>
              <w:bottom w:val="nil"/>
              <w:right w:val="nil"/>
            </w:tcBorders>
            <w:shd w:val="clear" w:color="000000" w:fill="FFFFFF"/>
            <w:noWrap/>
            <w:vAlign w:val="center"/>
            <w:hideMark/>
          </w:tcPr>
          <w:p w14:paraId="45964AD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Estimate at</w:t>
            </w:r>
          </w:p>
        </w:tc>
        <w:tc>
          <w:tcPr>
            <w:tcW w:w="747" w:type="pct"/>
            <w:tcBorders>
              <w:top w:val="nil"/>
              <w:left w:val="nil"/>
              <w:bottom w:val="nil"/>
              <w:right w:val="nil"/>
            </w:tcBorders>
            <w:shd w:val="clear" w:color="000000" w:fill="E6F2FF"/>
            <w:noWrap/>
            <w:vAlign w:val="center"/>
            <w:hideMark/>
          </w:tcPr>
          <w:p w14:paraId="31C29830"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Outcome</w:t>
            </w:r>
          </w:p>
        </w:tc>
        <w:tc>
          <w:tcPr>
            <w:tcW w:w="748" w:type="pct"/>
            <w:tcBorders>
              <w:top w:val="nil"/>
              <w:left w:val="nil"/>
              <w:bottom w:val="nil"/>
              <w:right w:val="nil"/>
            </w:tcBorders>
            <w:shd w:val="clear" w:color="000000" w:fill="FFFFFF"/>
            <w:noWrap/>
            <w:vAlign w:val="center"/>
            <w:hideMark/>
          </w:tcPr>
          <w:p w14:paraId="1155411B" w14:textId="77777777" w:rsidR="00CC63DB" w:rsidRPr="00CC63DB" w:rsidRDefault="00CC63DB" w:rsidP="00CC63DB">
            <w:pPr>
              <w:spacing w:before="0" w:after="0" w:line="240" w:lineRule="auto"/>
              <w:jc w:val="right"/>
              <w:rPr>
                <w:rFonts w:ascii="Arial" w:hAnsi="Arial" w:cs="Arial"/>
                <w:sz w:val="16"/>
                <w:szCs w:val="16"/>
              </w:rPr>
            </w:pPr>
            <w:r w:rsidRPr="00CC63DB">
              <w:rPr>
                <w:rFonts w:ascii="Arial" w:hAnsi="Arial" w:cs="Arial"/>
                <w:sz w:val="16"/>
                <w:szCs w:val="16"/>
              </w:rPr>
              <w:t>2023-24</w:t>
            </w:r>
          </w:p>
        </w:tc>
      </w:tr>
      <w:tr w:rsidR="00CC63DB" w:rsidRPr="00CC63DB" w14:paraId="289FEF98" w14:textId="77777777" w:rsidTr="00CC63DB">
        <w:trPr>
          <w:divId w:val="563371070"/>
          <w:trHeight w:hRule="exact" w:val="225"/>
        </w:trPr>
        <w:tc>
          <w:tcPr>
            <w:tcW w:w="2758" w:type="pct"/>
            <w:tcBorders>
              <w:top w:val="nil"/>
              <w:left w:val="nil"/>
              <w:bottom w:val="nil"/>
              <w:right w:val="nil"/>
            </w:tcBorders>
            <w:shd w:val="clear" w:color="000000" w:fill="FFFFFF"/>
            <w:noWrap/>
            <w:vAlign w:val="center"/>
            <w:hideMark/>
          </w:tcPr>
          <w:p w14:paraId="7B70CBCA"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 </w:t>
            </w:r>
          </w:p>
        </w:tc>
        <w:tc>
          <w:tcPr>
            <w:tcW w:w="747" w:type="pct"/>
            <w:tcBorders>
              <w:top w:val="nil"/>
              <w:left w:val="nil"/>
              <w:bottom w:val="nil"/>
              <w:right w:val="nil"/>
            </w:tcBorders>
            <w:shd w:val="clear" w:color="000000" w:fill="FFFFFF"/>
            <w:noWrap/>
            <w:vAlign w:val="center"/>
            <w:hideMark/>
          </w:tcPr>
          <w:p w14:paraId="3146EE1C"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2023-24</w:t>
            </w:r>
          </w:p>
        </w:tc>
        <w:tc>
          <w:tcPr>
            <w:tcW w:w="747" w:type="pct"/>
            <w:tcBorders>
              <w:top w:val="nil"/>
              <w:left w:val="nil"/>
              <w:bottom w:val="nil"/>
              <w:right w:val="nil"/>
            </w:tcBorders>
            <w:shd w:val="clear" w:color="000000" w:fill="E6F2FF"/>
            <w:noWrap/>
            <w:vAlign w:val="center"/>
            <w:hideMark/>
          </w:tcPr>
          <w:p w14:paraId="0929670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c>
          <w:tcPr>
            <w:tcW w:w="748" w:type="pct"/>
            <w:tcBorders>
              <w:top w:val="nil"/>
              <w:left w:val="nil"/>
              <w:bottom w:val="nil"/>
              <w:right w:val="nil"/>
            </w:tcBorders>
            <w:shd w:val="clear" w:color="000000" w:fill="FFFFFF"/>
            <w:noWrap/>
            <w:vAlign w:val="bottom"/>
            <w:hideMark/>
          </w:tcPr>
          <w:p w14:paraId="1462AD52" w14:textId="77777777" w:rsidR="00CC63DB" w:rsidRPr="00CC63DB" w:rsidRDefault="00CC63DB" w:rsidP="00CC63DB">
            <w:pPr>
              <w:spacing w:before="0" w:after="0" w:line="240" w:lineRule="auto"/>
              <w:jc w:val="right"/>
              <w:rPr>
                <w:rFonts w:ascii="Arial" w:hAnsi="Arial" w:cs="Arial"/>
                <w:sz w:val="16"/>
                <w:szCs w:val="16"/>
              </w:rPr>
            </w:pPr>
            <w:r w:rsidRPr="00CC63DB">
              <w:rPr>
                <w:rFonts w:ascii="Arial" w:hAnsi="Arial" w:cs="Arial"/>
                <w:sz w:val="16"/>
                <w:szCs w:val="16"/>
              </w:rPr>
              <w:t>Budget</w:t>
            </w:r>
          </w:p>
        </w:tc>
      </w:tr>
      <w:tr w:rsidR="00CC63DB" w:rsidRPr="00CC63DB" w14:paraId="57EB9855" w14:textId="77777777" w:rsidTr="00CC63DB">
        <w:trPr>
          <w:divId w:val="563371070"/>
          <w:trHeight w:hRule="exact" w:val="225"/>
        </w:trPr>
        <w:tc>
          <w:tcPr>
            <w:tcW w:w="2758" w:type="pct"/>
            <w:tcBorders>
              <w:top w:val="nil"/>
              <w:left w:val="nil"/>
              <w:bottom w:val="nil"/>
              <w:right w:val="nil"/>
            </w:tcBorders>
            <w:shd w:val="clear" w:color="000000" w:fill="FFFFFF"/>
            <w:noWrap/>
            <w:vAlign w:val="center"/>
            <w:hideMark/>
          </w:tcPr>
          <w:p w14:paraId="1AB754AA"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 </w:t>
            </w:r>
          </w:p>
        </w:tc>
        <w:tc>
          <w:tcPr>
            <w:tcW w:w="747" w:type="pct"/>
            <w:tcBorders>
              <w:top w:val="nil"/>
              <w:left w:val="nil"/>
              <w:bottom w:val="nil"/>
              <w:right w:val="nil"/>
            </w:tcBorders>
            <w:shd w:val="clear" w:color="000000" w:fill="FFFFFF"/>
            <w:noWrap/>
            <w:vAlign w:val="center"/>
            <w:hideMark/>
          </w:tcPr>
          <w:p w14:paraId="0637CB50"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Budget</w:t>
            </w:r>
          </w:p>
        </w:tc>
        <w:tc>
          <w:tcPr>
            <w:tcW w:w="747" w:type="pct"/>
            <w:tcBorders>
              <w:top w:val="nil"/>
              <w:left w:val="nil"/>
              <w:bottom w:val="nil"/>
              <w:right w:val="nil"/>
            </w:tcBorders>
            <w:shd w:val="clear" w:color="000000" w:fill="E6F2FF"/>
            <w:noWrap/>
            <w:vAlign w:val="center"/>
            <w:hideMark/>
          </w:tcPr>
          <w:p w14:paraId="257F6F77"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c>
          <w:tcPr>
            <w:tcW w:w="748" w:type="pct"/>
            <w:tcBorders>
              <w:top w:val="nil"/>
              <w:left w:val="nil"/>
              <w:bottom w:val="nil"/>
              <w:right w:val="nil"/>
            </w:tcBorders>
            <w:shd w:val="clear" w:color="000000" w:fill="FFFFFF"/>
            <w:noWrap/>
            <w:vAlign w:val="bottom"/>
            <w:hideMark/>
          </w:tcPr>
          <w:p w14:paraId="24E3F2F0" w14:textId="77777777" w:rsidR="00CC63DB" w:rsidRPr="00CC63DB" w:rsidRDefault="00CC63DB" w:rsidP="00CC63DB">
            <w:pPr>
              <w:spacing w:before="0" w:after="0" w:line="240" w:lineRule="auto"/>
              <w:jc w:val="right"/>
              <w:rPr>
                <w:rFonts w:ascii="Arial" w:hAnsi="Arial" w:cs="Arial"/>
                <w:sz w:val="16"/>
                <w:szCs w:val="16"/>
              </w:rPr>
            </w:pPr>
            <w:r w:rsidRPr="00CC63DB">
              <w:rPr>
                <w:rFonts w:ascii="Arial" w:hAnsi="Arial" w:cs="Arial"/>
                <w:sz w:val="16"/>
                <w:szCs w:val="16"/>
              </w:rPr>
              <w:t> </w:t>
            </w:r>
          </w:p>
        </w:tc>
      </w:tr>
      <w:tr w:rsidR="00CC63DB" w:rsidRPr="00CC63DB" w14:paraId="54C03CCD" w14:textId="77777777" w:rsidTr="00CC63DB">
        <w:trPr>
          <w:divId w:val="563371070"/>
          <w:trHeight w:hRule="exact" w:val="225"/>
        </w:trPr>
        <w:tc>
          <w:tcPr>
            <w:tcW w:w="2758" w:type="pct"/>
            <w:tcBorders>
              <w:top w:val="nil"/>
              <w:left w:val="nil"/>
              <w:bottom w:val="nil"/>
              <w:right w:val="nil"/>
            </w:tcBorders>
            <w:shd w:val="clear" w:color="000000" w:fill="FFFFFF"/>
            <w:noWrap/>
            <w:vAlign w:val="center"/>
            <w:hideMark/>
          </w:tcPr>
          <w:p w14:paraId="043FE919"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 </w:t>
            </w:r>
          </w:p>
        </w:tc>
        <w:tc>
          <w:tcPr>
            <w:tcW w:w="747" w:type="pct"/>
            <w:tcBorders>
              <w:top w:val="nil"/>
              <w:left w:val="nil"/>
              <w:bottom w:val="single" w:sz="4" w:space="0" w:color="000000"/>
              <w:right w:val="nil"/>
            </w:tcBorders>
            <w:shd w:val="clear" w:color="000000" w:fill="FFFFFF"/>
            <w:noWrap/>
            <w:vAlign w:val="center"/>
            <w:hideMark/>
          </w:tcPr>
          <w:p w14:paraId="22DE0CFF"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$m</w:t>
            </w:r>
          </w:p>
        </w:tc>
        <w:tc>
          <w:tcPr>
            <w:tcW w:w="747" w:type="pct"/>
            <w:tcBorders>
              <w:top w:val="nil"/>
              <w:left w:val="nil"/>
              <w:bottom w:val="single" w:sz="4" w:space="0" w:color="000000"/>
              <w:right w:val="nil"/>
            </w:tcBorders>
            <w:shd w:val="clear" w:color="000000" w:fill="E6F2FF"/>
            <w:noWrap/>
            <w:vAlign w:val="center"/>
            <w:hideMark/>
          </w:tcPr>
          <w:p w14:paraId="3BA54CD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$m</w:t>
            </w:r>
          </w:p>
        </w:tc>
        <w:tc>
          <w:tcPr>
            <w:tcW w:w="748" w:type="pct"/>
            <w:tcBorders>
              <w:top w:val="nil"/>
              <w:left w:val="nil"/>
              <w:bottom w:val="single" w:sz="4" w:space="0" w:color="000000"/>
              <w:right w:val="nil"/>
            </w:tcBorders>
            <w:shd w:val="clear" w:color="000000" w:fill="FFFFFF"/>
            <w:noWrap/>
            <w:vAlign w:val="center"/>
            <w:hideMark/>
          </w:tcPr>
          <w:p w14:paraId="4F824C91"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$m</w:t>
            </w:r>
          </w:p>
        </w:tc>
      </w:tr>
      <w:tr w:rsidR="00CC63DB" w:rsidRPr="00CC63DB" w14:paraId="446B15C1"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6DE9746A"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Individuals and other withholding taxes</w:t>
            </w:r>
          </w:p>
        </w:tc>
        <w:tc>
          <w:tcPr>
            <w:tcW w:w="747" w:type="pct"/>
            <w:tcBorders>
              <w:top w:val="nil"/>
              <w:left w:val="nil"/>
              <w:bottom w:val="nil"/>
              <w:right w:val="nil"/>
            </w:tcBorders>
            <w:shd w:val="clear" w:color="000000" w:fill="FFFFFF"/>
            <w:noWrap/>
            <w:vAlign w:val="center"/>
            <w:hideMark/>
          </w:tcPr>
          <w:p w14:paraId="3023EE96"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c>
          <w:tcPr>
            <w:tcW w:w="747" w:type="pct"/>
            <w:tcBorders>
              <w:top w:val="nil"/>
              <w:left w:val="nil"/>
              <w:bottom w:val="nil"/>
              <w:right w:val="nil"/>
            </w:tcBorders>
            <w:shd w:val="clear" w:color="000000" w:fill="E6F2FF"/>
            <w:noWrap/>
            <w:vAlign w:val="center"/>
            <w:hideMark/>
          </w:tcPr>
          <w:p w14:paraId="6D84AF81"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c>
          <w:tcPr>
            <w:tcW w:w="748" w:type="pct"/>
            <w:tcBorders>
              <w:top w:val="nil"/>
              <w:left w:val="nil"/>
              <w:bottom w:val="nil"/>
              <w:right w:val="nil"/>
            </w:tcBorders>
            <w:shd w:val="clear" w:color="000000" w:fill="FFFFFF"/>
            <w:noWrap/>
            <w:vAlign w:val="center"/>
            <w:hideMark/>
          </w:tcPr>
          <w:p w14:paraId="164DDED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r>
      <w:tr w:rsidR="00CC63DB" w:rsidRPr="00CC63DB" w14:paraId="1FD92EE9"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5B2E6EAB" w14:textId="77777777" w:rsidR="00CC63DB" w:rsidRPr="00CC63DB" w:rsidRDefault="00CC63DB" w:rsidP="00CC63DB">
            <w:pPr>
              <w:spacing w:before="0" w:after="0" w:line="240" w:lineRule="auto"/>
              <w:ind w:left="170"/>
              <w:rPr>
                <w:rFonts w:ascii="Arial" w:hAnsi="Arial" w:cs="Arial"/>
                <w:color w:val="000000"/>
                <w:sz w:val="16"/>
                <w:szCs w:val="16"/>
              </w:rPr>
            </w:pPr>
            <w:r w:rsidRPr="00CC63DB">
              <w:rPr>
                <w:rFonts w:ascii="Arial" w:hAnsi="Arial" w:cs="Arial"/>
                <w:color w:val="000000"/>
                <w:sz w:val="16"/>
                <w:szCs w:val="16"/>
              </w:rPr>
              <w:t>Gross income tax withholding</w:t>
            </w:r>
          </w:p>
        </w:tc>
        <w:tc>
          <w:tcPr>
            <w:tcW w:w="747" w:type="pct"/>
            <w:tcBorders>
              <w:top w:val="nil"/>
              <w:left w:val="nil"/>
              <w:bottom w:val="nil"/>
              <w:right w:val="nil"/>
            </w:tcBorders>
            <w:shd w:val="clear" w:color="000000" w:fill="FFFFFF"/>
            <w:noWrap/>
            <w:vAlign w:val="center"/>
            <w:hideMark/>
          </w:tcPr>
          <w:p w14:paraId="1F5882FF"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269,600</w:t>
            </w:r>
          </w:p>
        </w:tc>
        <w:tc>
          <w:tcPr>
            <w:tcW w:w="747" w:type="pct"/>
            <w:tcBorders>
              <w:top w:val="nil"/>
              <w:left w:val="nil"/>
              <w:bottom w:val="nil"/>
              <w:right w:val="nil"/>
            </w:tcBorders>
            <w:shd w:val="clear" w:color="000000" w:fill="E6F2FF"/>
            <w:noWrap/>
            <w:vAlign w:val="center"/>
            <w:hideMark/>
          </w:tcPr>
          <w:p w14:paraId="21A62131"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269,264</w:t>
            </w:r>
          </w:p>
        </w:tc>
        <w:tc>
          <w:tcPr>
            <w:tcW w:w="748" w:type="pct"/>
            <w:tcBorders>
              <w:top w:val="nil"/>
              <w:left w:val="nil"/>
              <w:bottom w:val="nil"/>
              <w:right w:val="nil"/>
            </w:tcBorders>
            <w:shd w:val="clear" w:color="000000" w:fill="FFFFFF"/>
            <w:noWrap/>
            <w:vAlign w:val="center"/>
            <w:hideMark/>
          </w:tcPr>
          <w:p w14:paraId="7D54233F"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-336</w:t>
            </w:r>
          </w:p>
        </w:tc>
      </w:tr>
      <w:tr w:rsidR="00CC63DB" w:rsidRPr="00CC63DB" w14:paraId="33146D86"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69E96068" w14:textId="77777777" w:rsidR="00CC63DB" w:rsidRPr="00CC63DB" w:rsidRDefault="00CC63DB" w:rsidP="00CC63DB">
            <w:pPr>
              <w:spacing w:before="0" w:after="0" w:line="240" w:lineRule="auto"/>
              <w:ind w:left="170"/>
              <w:rPr>
                <w:rFonts w:ascii="Arial" w:hAnsi="Arial" w:cs="Arial"/>
                <w:color w:val="000000"/>
                <w:sz w:val="16"/>
                <w:szCs w:val="16"/>
              </w:rPr>
            </w:pPr>
            <w:r w:rsidRPr="00CC63DB">
              <w:rPr>
                <w:rFonts w:ascii="Arial" w:hAnsi="Arial" w:cs="Arial"/>
                <w:color w:val="000000"/>
                <w:sz w:val="16"/>
                <w:szCs w:val="16"/>
              </w:rPr>
              <w:t>Gross other individuals</w:t>
            </w:r>
          </w:p>
        </w:tc>
        <w:tc>
          <w:tcPr>
            <w:tcW w:w="747" w:type="pct"/>
            <w:tcBorders>
              <w:top w:val="nil"/>
              <w:left w:val="nil"/>
              <w:bottom w:val="nil"/>
              <w:right w:val="nil"/>
            </w:tcBorders>
            <w:shd w:val="clear" w:color="000000" w:fill="FFFFFF"/>
            <w:noWrap/>
            <w:vAlign w:val="center"/>
            <w:hideMark/>
          </w:tcPr>
          <w:p w14:paraId="392465B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69,500</w:t>
            </w:r>
          </w:p>
        </w:tc>
        <w:tc>
          <w:tcPr>
            <w:tcW w:w="747" w:type="pct"/>
            <w:tcBorders>
              <w:top w:val="nil"/>
              <w:left w:val="nil"/>
              <w:bottom w:val="nil"/>
              <w:right w:val="nil"/>
            </w:tcBorders>
            <w:shd w:val="clear" w:color="000000" w:fill="E6F2FF"/>
            <w:noWrap/>
            <w:vAlign w:val="center"/>
            <w:hideMark/>
          </w:tcPr>
          <w:p w14:paraId="445F5248"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69,407</w:t>
            </w:r>
          </w:p>
        </w:tc>
        <w:tc>
          <w:tcPr>
            <w:tcW w:w="748" w:type="pct"/>
            <w:tcBorders>
              <w:top w:val="nil"/>
              <w:left w:val="nil"/>
              <w:bottom w:val="nil"/>
              <w:right w:val="nil"/>
            </w:tcBorders>
            <w:shd w:val="clear" w:color="000000" w:fill="FFFFFF"/>
            <w:noWrap/>
            <w:vAlign w:val="center"/>
            <w:hideMark/>
          </w:tcPr>
          <w:p w14:paraId="17E47976"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-93</w:t>
            </w:r>
          </w:p>
        </w:tc>
      </w:tr>
      <w:tr w:rsidR="00CC63DB" w:rsidRPr="00CC63DB" w14:paraId="0362CDC9"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31BA765D" w14:textId="77777777" w:rsidR="00CC63DB" w:rsidRPr="00CC63DB" w:rsidRDefault="00CC63DB" w:rsidP="00CC63DB">
            <w:pPr>
              <w:spacing w:before="0" w:after="0" w:line="240" w:lineRule="auto"/>
              <w:ind w:left="170"/>
              <w:rPr>
                <w:rFonts w:ascii="Arial" w:hAnsi="Arial" w:cs="Arial"/>
                <w:i/>
                <w:iCs/>
                <w:color w:val="000000"/>
                <w:sz w:val="16"/>
                <w:szCs w:val="16"/>
              </w:rPr>
            </w:pPr>
            <w:r w:rsidRPr="00CC63DB">
              <w:rPr>
                <w:rFonts w:ascii="Arial" w:hAnsi="Arial" w:cs="Arial"/>
                <w:i/>
                <w:iCs/>
                <w:color w:val="000000"/>
                <w:sz w:val="16"/>
                <w:szCs w:val="16"/>
              </w:rPr>
              <w:t xml:space="preserve">less: </w:t>
            </w:r>
            <w:r w:rsidRPr="00CC63DB">
              <w:rPr>
                <w:rFonts w:ascii="Arial" w:hAnsi="Arial" w:cs="Arial"/>
                <w:color w:val="000000"/>
                <w:sz w:val="16"/>
                <w:szCs w:val="16"/>
              </w:rPr>
              <w:t>Refunds</w:t>
            </w:r>
          </w:p>
        </w:tc>
        <w:tc>
          <w:tcPr>
            <w:tcW w:w="747" w:type="pct"/>
            <w:tcBorders>
              <w:top w:val="nil"/>
              <w:left w:val="nil"/>
              <w:bottom w:val="single" w:sz="4" w:space="0" w:color="000000"/>
              <w:right w:val="nil"/>
            </w:tcBorders>
            <w:shd w:val="clear" w:color="000000" w:fill="FFFFFF"/>
            <w:noWrap/>
            <w:vAlign w:val="center"/>
            <w:hideMark/>
          </w:tcPr>
          <w:p w14:paraId="595B889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42,100</w:t>
            </w:r>
          </w:p>
        </w:tc>
        <w:tc>
          <w:tcPr>
            <w:tcW w:w="747" w:type="pct"/>
            <w:tcBorders>
              <w:top w:val="nil"/>
              <w:left w:val="nil"/>
              <w:bottom w:val="single" w:sz="4" w:space="0" w:color="000000"/>
              <w:right w:val="nil"/>
            </w:tcBorders>
            <w:shd w:val="clear" w:color="000000" w:fill="E6F2FF"/>
            <w:noWrap/>
            <w:vAlign w:val="center"/>
            <w:hideMark/>
          </w:tcPr>
          <w:p w14:paraId="27946C57"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42,014</w:t>
            </w:r>
          </w:p>
        </w:tc>
        <w:tc>
          <w:tcPr>
            <w:tcW w:w="748" w:type="pct"/>
            <w:tcBorders>
              <w:top w:val="nil"/>
              <w:left w:val="nil"/>
              <w:bottom w:val="single" w:sz="4" w:space="0" w:color="000000"/>
              <w:right w:val="nil"/>
            </w:tcBorders>
            <w:shd w:val="clear" w:color="000000" w:fill="FFFFFF"/>
            <w:noWrap/>
            <w:vAlign w:val="center"/>
            <w:hideMark/>
          </w:tcPr>
          <w:p w14:paraId="040D0AC5"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-86</w:t>
            </w:r>
          </w:p>
        </w:tc>
      </w:tr>
      <w:tr w:rsidR="00CC63DB" w:rsidRPr="00CC63DB" w14:paraId="383A5BF6"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007D3D90"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Total individuals and other withholding tax</w:t>
            </w:r>
          </w:p>
        </w:tc>
        <w:tc>
          <w:tcPr>
            <w:tcW w:w="747" w:type="pct"/>
            <w:tcBorders>
              <w:top w:val="nil"/>
              <w:left w:val="nil"/>
              <w:bottom w:val="nil"/>
              <w:right w:val="nil"/>
            </w:tcBorders>
            <w:shd w:val="clear" w:color="000000" w:fill="FFFFFF"/>
            <w:noWrap/>
            <w:vAlign w:val="center"/>
            <w:hideMark/>
          </w:tcPr>
          <w:p w14:paraId="5FAF70DD"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297,000</w:t>
            </w:r>
          </w:p>
        </w:tc>
        <w:tc>
          <w:tcPr>
            <w:tcW w:w="747" w:type="pct"/>
            <w:tcBorders>
              <w:top w:val="nil"/>
              <w:left w:val="nil"/>
              <w:bottom w:val="nil"/>
              <w:right w:val="nil"/>
            </w:tcBorders>
            <w:shd w:val="clear" w:color="000000" w:fill="E6F2FF"/>
            <w:noWrap/>
            <w:vAlign w:val="center"/>
            <w:hideMark/>
          </w:tcPr>
          <w:p w14:paraId="6889A6ED"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296,658</w:t>
            </w:r>
          </w:p>
        </w:tc>
        <w:tc>
          <w:tcPr>
            <w:tcW w:w="748" w:type="pct"/>
            <w:tcBorders>
              <w:top w:val="nil"/>
              <w:left w:val="nil"/>
              <w:bottom w:val="nil"/>
              <w:right w:val="nil"/>
            </w:tcBorders>
            <w:shd w:val="clear" w:color="000000" w:fill="FFFFFF"/>
            <w:noWrap/>
            <w:vAlign w:val="center"/>
            <w:hideMark/>
          </w:tcPr>
          <w:p w14:paraId="03D5B2D6"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-342</w:t>
            </w:r>
          </w:p>
        </w:tc>
      </w:tr>
      <w:tr w:rsidR="00CC63DB" w:rsidRPr="00CC63DB" w14:paraId="768BC0C3"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31E6CA41"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Fringe benefits tax</w:t>
            </w:r>
          </w:p>
        </w:tc>
        <w:tc>
          <w:tcPr>
            <w:tcW w:w="747" w:type="pct"/>
            <w:tcBorders>
              <w:top w:val="nil"/>
              <w:left w:val="nil"/>
              <w:bottom w:val="nil"/>
              <w:right w:val="nil"/>
            </w:tcBorders>
            <w:shd w:val="clear" w:color="000000" w:fill="FFFFFF"/>
            <w:noWrap/>
            <w:vAlign w:val="center"/>
            <w:hideMark/>
          </w:tcPr>
          <w:p w14:paraId="7DE9E9F0"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3,630</w:t>
            </w:r>
          </w:p>
        </w:tc>
        <w:tc>
          <w:tcPr>
            <w:tcW w:w="747" w:type="pct"/>
            <w:tcBorders>
              <w:top w:val="nil"/>
              <w:left w:val="nil"/>
              <w:bottom w:val="nil"/>
              <w:right w:val="nil"/>
            </w:tcBorders>
            <w:shd w:val="clear" w:color="000000" w:fill="E6F2FF"/>
            <w:noWrap/>
            <w:vAlign w:val="center"/>
            <w:hideMark/>
          </w:tcPr>
          <w:p w14:paraId="11C0A396"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4,009</w:t>
            </w:r>
          </w:p>
        </w:tc>
        <w:tc>
          <w:tcPr>
            <w:tcW w:w="748" w:type="pct"/>
            <w:tcBorders>
              <w:top w:val="nil"/>
              <w:left w:val="nil"/>
              <w:bottom w:val="nil"/>
              <w:right w:val="nil"/>
            </w:tcBorders>
            <w:shd w:val="clear" w:color="000000" w:fill="FFFFFF"/>
            <w:noWrap/>
            <w:vAlign w:val="center"/>
            <w:hideMark/>
          </w:tcPr>
          <w:p w14:paraId="26506DA9"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379</w:t>
            </w:r>
          </w:p>
        </w:tc>
      </w:tr>
      <w:tr w:rsidR="00CC63DB" w:rsidRPr="00CC63DB" w14:paraId="1941C696"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6A6EE6E8"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Company tax</w:t>
            </w:r>
          </w:p>
        </w:tc>
        <w:tc>
          <w:tcPr>
            <w:tcW w:w="747" w:type="pct"/>
            <w:tcBorders>
              <w:top w:val="nil"/>
              <w:left w:val="nil"/>
              <w:bottom w:val="nil"/>
              <w:right w:val="nil"/>
            </w:tcBorders>
            <w:shd w:val="clear" w:color="000000" w:fill="FFFFFF"/>
            <w:noWrap/>
            <w:vAlign w:val="center"/>
            <w:hideMark/>
          </w:tcPr>
          <w:p w14:paraId="3B9D4C0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138,400</w:t>
            </w:r>
          </w:p>
        </w:tc>
        <w:tc>
          <w:tcPr>
            <w:tcW w:w="747" w:type="pct"/>
            <w:tcBorders>
              <w:top w:val="nil"/>
              <w:left w:val="nil"/>
              <w:bottom w:val="nil"/>
              <w:right w:val="nil"/>
            </w:tcBorders>
            <w:shd w:val="clear" w:color="000000" w:fill="E6F2FF"/>
            <w:noWrap/>
            <w:vAlign w:val="center"/>
            <w:hideMark/>
          </w:tcPr>
          <w:p w14:paraId="1C7AFBD8"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151,068</w:t>
            </w:r>
          </w:p>
        </w:tc>
        <w:tc>
          <w:tcPr>
            <w:tcW w:w="748" w:type="pct"/>
            <w:tcBorders>
              <w:top w:val="nil"/>
              <w:left w:val="nil"/>
              <w:bottom w:val="nil"/>
              <w:right w:val="nil"/>
            </w:tcBorders>
            <w:shd w:val="clear" w:color="000000" w:fill="FFFFFF"/>
            <w:noWrap/>
            <w:vAlign w:val="center"/>
            <w:hideMark/>
          </w:tcPr>
          <w:p w14:paraId="351C49A3"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12,668</w:t>
            </w:r>
          </w:p>
        </w:tc>
      </w:tr>
      <w:tr w:rsidR="00CC63DB" w:rsidRPr="00CC63DB" w14:paraId="2B7B11CC"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0B6C3034"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Superannuation fund taxes</w:t>
            </w:r>
          </w:p>
        </w:tc>
        <w:tc>
          <w:tcPr>
            <w:tcW w:w="747" w:type="pct"/>
            <w:tcBorders>
              <w:top w:val="nil"/>
              <w:left w:val="nil"/>
              <w:bottom w:val="nil"/>
              <w:right w:val="nil"/>
            </w:tcBorders>
            <w:shd w:val="clear" w:color="000000" w:fill="FFFFFF"/>
            <w:noWrap/>
            <w:vAlign w:val="center"/>
            <w:hideMark/>
          </w:tcPr>
          <w:p w14:paraId="5081E7D9"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9,610</w:t>
            </w:r>
          </w:p>
        </w:tc>
        <w:tc>
          <w:tcPr>
            <w:tcW w:w="747" w:type="pct"/>
            <w:tcBorders>
              <w:top w:val="nil"/>
              <w:left w:val="nil"/>
              <w:bottom w:val="nil"/>
              <w:right w:val="nil"/>
            </w:tcBorders>
            <w:shd w:val="clear" w:color="000000" w:fill="E6F2FF"/>
            <w:noWrap/>
            <w:vAlign w:val="center"/>
            <w:hideMark/>
          </w:tcPr>
          <w:p w14:paraId="22A84913"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10,406</w:t>
            </w:r>
          </w:p>
        </w:tc>
        <w:tc>
          <w:tcPr>
            <w:tcW w:w="748" w:type="pct"/>
            <w:tcBorders>
              <w:top w:val="nil"/>
              <w:left w:val="nil"/>
              <w:bottom w:val="nil"/>
              <w:right w:val="nil"/>
            </w:tcBorders>
            <w:shd w:val="clear" w:color="000000" w:fill="FFFFFF"/>
            <w:noWrap/>
            <w:vAlign w:val="center"/>
            <w:hideMark/>
          </w:tcPr>
          <w:p w14:paraId="2D081E31"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796</w:t>
            </w:r>
          </w:p>
        </w:tc>
      </w:tr>
      <w:tr w:rsidR="00CC63DB" w:rsidRPr="00CC63DB" w14:paraId="29FCE522"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2B668A57"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Petroleum resource rent tax</w:t>
            </w:r>
          </w:p>
        </w:tc>
        <w:tc>
          <w:tcPr>
            <w:tcW w:w="747" w:type="pct"/>
            <w:tcBorders>
              <w:top w:val="nil"/>
              <w:left w:val="nil"/>
              <w:bottom w:val="single" w:sz="4" w:space="0" w:color="000000"/>
              <w:right w:val="nil"/>
            </w:tcBorders>
            <w:shd w:val="clear" w:color="000000" w:fill="FFFFFF"/>
            <w:noWrap/>
            <w:vAlign w:val="center"/>
            <w:hideMark/>
          </w:tcPr>
          <w:p w14:paraId="17D5ED2C"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2,350</w:t>
            </w:r>
          </w:p>
        </w:tc>
        <w:tc>
          <w:tcPr>
            <w:tcW w:w="747" w:type="pct"/>
            <w:tcBorders>
              <w:top w:val="nil"/>
              <w:left w:val="nil"/>
              <w:bottom w:val="single" w:sz="4" w:space="0" w:color="000000"/>
              <w:right w:val="nil"/>
            </w:tcBorders>
            <w:shd w:val="clear" w:color="000000" w:fill="E6F2FF"/>
            <w:noWrap/>
            <w:vAlign w:val="center"/>
            <w:hideMark/>
          </w:tcPr>
          <w:p w14:paraId="04F861FE"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2,287</w:t>
            </w:r>
          </w:p>
        </w:tc>
        <w:tc>
          <w:tcPr>
            <w:tcW w:w="748" w:type="pct"/>
            <w:tcBorders>
              <w:top w:val="nil"/>
              <w:left w:val="nil"/>
              <w:bottom w:val="single" w:sz="4" w:space="0" w:color="000000"/>
              <w:right w:val="nil"/>
            </w:tcBorders>
            <w:shd w:val="clear" w:color="000000" w:fill="FFFFFF"/>
            <w:noWrap/>
            <w:vAlign w:val="center"/>
            <w:hideMark/>
          </w:tcPr>
          <w:p w14:paraId="47D3F8CE"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-63</w:t>
            </w:r>
          </w:p>
        </w:tc>
      </w:tr>
      <w:tr w:rsidR="00CC63DB" w:rsidRPr="00CC63DB" w14:paraId="5D4B8A9F"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65EF0B36" w14:textId="77777777" w:rsidR="00CC63DB" w:rsidRPr="00CC63DB" w:rsidRDefault="00CC63DB" w:rsidP="00CC63DB">
            <w:pPr>
              <w:spacing w:before="0" w:after="0" w:line="240" w:lineRule="auto"/>
              <w:rPr>
                <w:rFonts w:ascii="Arial" w:hAnsi="Arial" w:cs="Arial"/>
                <w:b/>
                <w:bCs/>
                <w:color w:val="000000"/>
                <w:sz w:val="16"/>
                <w:szCs w:val="16"/>
              </w:rPr>
            </w:pPr>
            <w:r w:rsidRPr="00CC63DB">
              <w:rPr>
                <w:rFonts w:ascii="Arial" w:hAnsi="Arial" w:cs="Arial"/>
                <w:b/>
                <w:bCs/>
                <w:color w:val="000000"/>
                <w:sz w:val="16"/>
                <w:szCs w:val="16"/>
              </w:rPr>
              <w:t>Income taxation receipts</w:t>
            </w:r>
          </w:p>
        </w:tc>
        <w:tc>
          <w:tcPr>
            <w:tcW w:w="747" w:type="pct"/>
            <w:tcBorders>
              <w:top w:val="nil"/>
              <w:left w:val="nil"/>
              <w:bottom w:val="single" w:sz="4" w:space="0" w:color="000000"/>
              <w:right w:val="nil"/>
            </w:tcBorders>
            <w:shd w:val="clear" w:color="000000" w:fill="FFFFFF"/>
            <w:noWrap/>
            <w:vAlign w:val="center"/>
            <w:hideMark/>
          </w:tcPr>
          <w:p w14:paraId="1E8E09DC"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450,990</w:t>
            </w:r>
          </w:p>
        </w:tc>
        <w:tc>
          <w:tcPr>
            <w:tcW w:w="747" w:type="pct"/>
            <w:tcBorders>
              <w:top w:val="nil"/>
              <w:left w:val="nil"/>
              <w:bottom w:val="single" w:sz="4" w:space="0" w:color="000000"/>
              <w:right w:val="nil"/>
            </w:tcBorders>
            <w:shd w:val="clear" w:color="000000" w:fill="E6F2FF"/>
            <w:noWrap/>
            <w:vAlign w:val="center"/>
            <w:hideMark/>
          </w:tcPr>
          <w:p w14:paraId="4A1CFE56"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464,427</w:t>
            </w:r>
          </w:p>
        </w:tc>
        <w:tc>
          <w:tcPr>
            <w:tcW w:w="748" w:type="pct"/>
            <w:tcBorders>
              <w:top w:val="nil"/>
              <w:left w:val="nil"/>
              <w:bottom w:val="single" w:sz="4" w:space="0" w:color="000000"/>
              <w:right w:val="nil"/>
            </w:tcBorders>
            <w:shd w:val="clear" w:color="000000" w:fill="FFFFFF"/>
            <w:noWrap/>
            <w:vAlign w:val="center"/>
            <w:hideMark/>
          </w:tcPr>
          <w:p w14:paraId="5555F2AC"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13,437</w:t>
            </w:r>
          </w:p>
        </w:tc>
      </w:tr>
      <w:tr w:rsidR="00CC63DB" w:rsidRPr="00CC63DB" w14:paraId="6EE30378" w14:textId="77777777" w:rsidTr="00CC63DB">
        <w:trPr>
          <w:divId w:val="563371070"/>
          <w:trHeight w:hRule="exact" w:val="90"/>
        </w:trPr>
        <w:tc>
          <w:tcPr>
            <w:tcW w:w="2758" w:type="pct"/>
            <w:tcBorders>
              <w:top w:val="nil"/>
              <w:left w:val="nil"/>
              <w:bottom w:val="nil"/>
              <w:right w:val="nil"/>
            </w:tcBorders>
            <w:shd w:val="clear" w:color="000000" w:fill="FFFFFF"/>
            <w:noWrap/>
            <w:vAlign w:val="center"/>
            <w:hideMark/>
          </w:tcPr>
          <w:p w14:paraId="3611E34F" w14:textId="77777777" w:rsidR="00CC63DB" w:rsidRPr="00CC63DB" w:rsidRDefault="00CC63DB" w:rsidP="00CC63DB">
            <w:pPr>
              <w:spacing w:before="0" w:after="0" w:line="240" w:lineRule="auto"/>
              <w:rPr>
                <w:rFonts w:ascii="Arial" w:hAnsi="Arial" w:cs="Arial"/>
                <w:b/>
                <w:bCs/>
                <w:color w:val="000000"/>
                <w:sz w:val="16"/>
                <w:szCs w:val="16"/>
              </w:rPr>
            </w:pPr>
            <w:r w:rsidRPr="00CC63DB">
              <w:rPr>
                <w:rFonts w:ascii="Arial" w:hAnsi="Arial" w:cs="Arial"/>
                <w:b/>
                <w:bCs/>
                <w:color w:val="000000"/>
                <w:sz w:val="16"/>
                <w:szCs w:val="16"/>
              </w:rPr>
              <w:t> </w:t>
            </w:r>
          </w:p>
        </w:tc>
        <w:tc>
          <w:tcPr>
            <w:tcW w:w="747" w:type="pct"/>
            <w:tcBorders>
              <w:top w:val="nil"/>
              <w:left w:val="nil"/>
              <w:bottom w:val="nil"/>
              <w:right w:val="nil"/>
            </w:tcBorders>
            <w:shd w:val="clear" w:color="000000" w:fill="FFFFFF"/>
            <w:noWrap/>
            <w:vAlign w:val="center"/>
            <w:hideMark/>
          </w:tcPr>
          <w:p w14:paraId="674A169A"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 </w:t>
            </w:r>
          </w:p>
        </w:tc>
        <w:tc>
          <w:tcPr>
            <w:tcW w:w="747" w:type="pct"/>
            <w:tcBorders>
              <w:top w:val="nil"/>
              <w:left w:val="nil"/>
              <w:bottom w:val="nil"/>
              <w:right w:val="nil"/>
            </w:tcBorders>
            <w:shd w:val="clear" w:color="000000" w:fill="E6F2FF"/>
            <w:noWrap/>
            <w:vAlign w:val="center"/>
            <w:hideMark/>
          </w:tcPr>
          <w:p w14:paraId="20520809"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 </w:t>
            </w:r>
          </w:p>
        </w:tc>
        <w:tc>
          <w:tcPr>
            <w:tcW w:w="748" w:type="pct"/>
            <w:tcBorders>
              <w:top w:val="nil"/>
              <w:left w:val="nil"/>
              <w:bottom w:val="nil"/>
              <w:right w:val="nil"/>
            </w:tcBorders>
            <w:shd w:val="clear" w:color="000000" w:fill="FFFFFF"/>
            <w:noWrap/>
            <w:vAlign w:val="center"/>
            <w:hideMark/>
          </w:tcPr>
          <w:p w14:paraId="060AFEF0"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 </w:t>
            </w:r>
          </w:p>
        </w:tc>
      </w:tr>
      <w:tr w:rsidR="00CC63DB" w:rsidRPr="00CC63DB" w14:paraId="6B4D841B"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1608FAF9"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Goods and services tax</w:t>
            </w:r>
          </w:p>
        </w:tc>
        <w:tc>
          <w:tcPr>
            <w:tcW w:w="747" w:type="pct"/>
            <w:tcBorders>
              <w:top w:val="nil"/>
              <w:left w:val="nil"/>
              <w:bottom w:val="nil"/>
              <w:right w:val="nil"/>
            </w:tcBorders>
            <w:shd w:val="clear" w:color="000000" w:fill="FFFFFF"/>
            <w:noWrap/>
            <w:vAlign w:val="center"/>
            <w:hideMark/>
          </w:tcPr>
          <w:p w14:paraId="7190D6F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81,761</w:t>
            </w:r>
          </w:p>
        </w:tc>
        <w:tc>
          <w:tcPr>
            <w:tcW w:w="747" w:type="pct"/>
            <w:tcBorders>
              <w:top w:val="nil"/>
              <w:left w:val="nil"/>
              <w:bottom w:val="nil"/>
              <w:right w:val="nil"/>
            </w:tcBorders>
            <w:shd w:val="clear" w:color="000000" w:fill="E6F2FF"/>
            <w:noWrap/>
            <w:vAlign w:val="center"/>
            <w:hideMark/>
          </w:tcPr>
          <w:p w14:paraId="5C9441AF"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81,518</w:t>
            </w:r>
          </w:p>
        </w:tc>
        <w:tc>
          <w:tcPr>
            <w:tcW w:w="748" w:type="pct"/>
            <w:tcBorders>
              <w:top w:val="nil"/>
              <w:left w:val="nil"/>
              <w:bottom w:val="nil"/>
              <w:right w:val="nil"/>
            </w:tcBorders>
            <w:shd w:val="clear" w:color="000000" w:fill="FFFFFF"/>
            <w:noWrap/>
            <w:vAlign w:val="center"/>
            <w:hideMark/>
          </w:tcPr>
          <w:p w14:paraId="3EA8C2FF"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-244</w:t>
            </w:r>
          </w:p>
        </w:tc>
      </w:tr>
      <w:tr w:rsidR="00CC63DB" w:rsidRPr="00CC63DB" w14:paraId="381AD91B"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17D1E6FD"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Wine equalisation tax</w:t>
            </w:r>
          </w:p>
        </w:tc>
        <w:tc>
          <w:tcPr>
            <w:tcW w:w="747" w:type="pct"/>
            <w:tcBorders>
              <w:top w:val="nil"/>
              <w:left w:val="nil"/>
              <w:bottom w:val="nil"/>
              <w:right w:val="nil"/>
            </w:tcBorders>
            <w:shd w:val="clear" w:color="000000" w:fill="FFFFFF"/>
            <w:noWrap/>
            <w:vAlign w:val="center"/>
            <w:hideMark/>
          </w:tcPr>
          <w:p w14:paraId="6A973007"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1,150</w:t>
            </w:r>
          </w:p>
        </w:tc>
        <w:tc>
          <w:tcPr>
            <w:tcW w:w="747" w:type="pct"/>
            <w:tcBorders>
              <w:top w:val="nil"/>
              <w:left w:val="nil"/>
              <w:bottom w:val="nil"/>
              <w:right w:val="nil"/>
            </w:tcBorders>
            <w:shd w:val="clear" w:color="000000" w:fill="E6F2FF"/>
            <w:noWrap/>
            <w:vAlign w:val="center"/>
            <w:hideMark/>
          </w:tcPr>
          <w:p w14:paraId="451A7E9E"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1,107</w:t>
            </w:r>
          </w:p>
        </w:tc>
        <w:tc>
          <w:tcPr>
            <w:tcW w:w="748" w:type="pct"/>
            <w:tcBorders>
              <w:top w:val="nil"/>
              <w:left w:val="nil"/>
              <w:bottom w:val="nil"/>
              <w:right w:val="nil"/>
            </w:tcBorders>
            <w:shd w:val="clear" w:color="000000" w:fill="FFFFFF"/>
            <w:noWrap/>
            <w:vAlign w:val="center"/>
            <w:hideMark/>
          </w:tcPr>
          <w:p w14:paraId="247859D4"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-43</w:t>
            </w:r>
          </w:p>
        </w:tc>
      </w:tr>
      <w:tr w:rsidR="00CC63DB" w:rsidRPr="00CC63DB" w14:paraId="7CA33D26"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7907B866"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Luxury car tax</w:t>
            </w:r>
          </w:p>
        </w:tc>
        <w:tc>
          <w:tcPr>
            <w:tcW w:w="747" w:type="pct"/>
            <w:tcBorders>
              <w:top w:val="nil"/>
              <w:left w:val="nil"/>
              <w:bottom w:val="nil"/>
              <w:right w:val="nil"/>
            </w:tcBorders>
            <w:shd w:val="clear" w:color="000000" w:fill="FFFFFF"/>
            <w:noWrap/>
            <w:vAlign w:val="center"/>
            <w:hideMark/>
          </w:tcPr>
          <w:p w14:paraId="383A07D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1,140</w:t>
            </w:r>
          </w:p>
        </w:tc>
        <w:tc>
          <w:tcPr>
            <w:tcW w:w="747" w:type="pct"/>
            <w:tcBorders>
              <w:top w:val="nil"/>
              <w:left w:val="nil"/>
              <w:bottom w:val="nil"/>
              <w:right w:val="nil"/>
            </w:tcBorders>
            <w:shd w:val="clear" w:color="000000" w:fill="E6F2FF"/>
            <w:noWrap/>
            <w:vAlign w:val="center"/>
            <w:hideMark/>
          </w:tcPr>
          <w:p w14:paraId="254C3E7E"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1,143</w:t>
            </w:r>
          </w:p>
        </w:tc>
        <w:tc>
          <w:tcPr>
            <w:tcW w:w="748" w:type="pct"/>
            <w:tcBorders>
              <w:top w:val="nil"/>
              <w:left w:val="nil"/>
              <w:bottom w:val="nil"/>
              <w:right w:val="nil"/>
            </w:tcBorders>
            <w:shd w:val="clear" w:color="000000" w:fill="FFFFFF"/>
            <w:noWrap/>
            <w:vAlign w:val="center"/>
            <w:hideMark/>
          </w:tcPr>
          <w:p w14:paraId="79062AC2"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3</w:t>
            </w:r>
          </w:p>
        </w:tc>
      </w:tr>
      <w:tr w:rsidR="00CC63DB" w:rsidRPr="00CC63DB" w14:paraId="2B84390B"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1D6DD192"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 xml:space="preserve">Excise and customs duty  </w:t>
            </w:r>
          </w:p>
        </w:tc>
        <w:tc>
          <w:tcPr>
            <w:tcW w:w="747" w:type="pct"/>
            <w:tcBorders>
              <w:top w:val="nil"/>
              <w:left w:val="nil"/>
              <w:bottom w:val="nil"/>
              <w:right w:val="nil"/>
            </w:tcBorders>
            <w:shd w:val="clear" w:color="000000" w:fill="FFFFFF"/>
            <w:noWrap/>
            <w:vAlign w:val="center"/>
            <w:hideMark/>
          </w:tcPr>
          <w:p w14:paraId="190D7DC5"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c>
          <w:tcPr>
            <w:tcW w:w="747" w:type="pct"/>
            <w:tcBorders>
              <w:top w:val="nil"/>
              <w:left w:val="nil"/>
              <w:bottom w:val="nil"/>
              <w:right w:val="nil"/>
            </w:tcBorders>
            <w:shd w:val="clear" w:color="000000" w:fill="E6F2FF"/>
            <w:noWrap/>
            <w:vAlign w:val="center"/>
            <w:hideMark/>
          </w:tcPr>
          <w:p w14:paraId="359EBD18"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c>
          <w:tcPr>
            <w:tcW w:w="748" w:type="pct"/>
            <w:tcBorders>
              <w:top w:val="nil"/>
              <w:left w:val="nil"/>
              <w:bottom w:val="nil"/>
              <w:right w:val="nil"/>
            </w:tcBorders>
            <w:shd w:val="clear" w:color="000000" w:fill="FFFFFF"/>
            <w:noWrap/>
            <w:vAlign w:val="center"/>
            <w:hideMark/>
          </w:tcPr>
          <w:p w14:paraId="25C902FC"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r>
      <w:tr w:rsidR="00CC63DB" w:rsidRPr="00CC63DB" w14:paraId="558FB68C"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0A8D1704" w14:textId="77777777" w:rsidR="00CC63DB" w:rsidRPr="00CC63DB" w:rsidRDefault="00CC63DB" w:rsidP="00CC63DB">
            <w:pPr>
              <w:spacing w:before="0" w:after="0" w:line="240" w:lineRule="auto"/>
              <w:ind w:left="170"/>
              <w:rPr>
                <w:rFonts w:ascii="Arial" w:hAnsi="Arial" w:cs="Arial"/>
                <w:color w:val="000000"/>
                <w:sz w:val="16"/>
                <w:szCs w:val="16"/>
              </w:rPr>
            </w:pPr>
            <w:r w:rsidRPr="00CC63DB">
              <w:rPr>
                <w:rFonts w:ascii="Arial" w:hAnsi="Arial" w:cs="Arial"/>
                <w:color w:val="000000"/>
                <w:sz w:val="16"/>
                <w:szCs w:val="16"/>
              </w:rPr>
              <w:t>Petrol</w:t>
            </w:r>
          </w:p>
        </w:tc>
        <w:tc>
          <w:tcPr>
            <w:tcW w:w="747" w:type="pct"/>
            <w:tcBorders>
              <w:top w:val="nil"/>
              <w:left w:val="nil"/>
              <w:bottom w:val="nil"/>
              <w:right w:val="nil"/>
            </w:tcBorders>
            <w:shd w:val="clear" w:color="000000" w:fill="FFFFFF"/>
            <w:noWrap/>
            <w:vAlign w:val="center"/>
            <w:hideMark/>
          </w:tcPr>
          <w:p w14:paraId="61B8BAE2"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5,600</w:t>
            </w:r>
          </w:p>
        </w:tc>
        <w:tc>
          <w:tcPr>
            <w:tcW w:w="747" w:type="pct"/>
            <w:tcBorders>
              <w:top w:val="nil"/>
              <w:left w:val="nil"/>
              <w:bottom w:val="nil"/>
              <w:right w:val="nil"/>
            </w:tcBorders>
            <w:shd w:val="clear" w:color="000000" w:fill="E6F2FF"/>
            <w:noWrap/>
            <w:vAlign w:val="center"/>
            <w:hideMark/>
          </w:tcPr>
          <w:p w14:paraId="06E6666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5,680</w:t>
            </w:r>
          </w:p>
        </w:tc>
        <w:tc>
          <w:tcPr>
            <w:tcW w:w="748" w:type="pct"/>
            <w:tcBorders>
              <w:top w:val="nil"/>
              <w:left w:val="nil"/>
              <w:bottom w:val="nil"/>
              <w:right w:val="nil"/>
            </w:tcBorders>
            <w:shd w:val="clear" w:color="000000" w:fill="FFFFFF"/>
            <w:noWrap/>
            <w:vAlign w:val="center"/>
            <w:hideMark/>
          </w:tcPr>
          <w:p w14:paraId="4FF3C314"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80</w:t>
            </w:r>
          </w:p>
        </w:tc>
      </w:tr>
      <w:tr w:rsidR="00CC63DB" w:rsidRPr="00CC63DB" w14:paraId="786A4BF4"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055B025D" w14:textId="77777777" w:rsidR="00CC63DB" w:rsidRPr="00CC63DB" w:rsidRDefault="00CC63DB" w:rsidP="00CC63DB">
            <w:pPr>
              <w:spacing w:before="0" w:after="0" w:line="240" w:lineRule="auto"/>
              <w:ind w:left="170"/>
              <w:rPr>
                <w:rFonts w:ascii="Arial" w:hAnsi="Arial" w:cs="Arial"/>
                <w:color w:val="000000"/>
                <w:sz w:val="16"/>
                <w:szCs w:val="16"/>
              </w:rPr>
            </w:pPr>
            <w:r w:rsidRPr="00CC63DB">
              <w:rPr>
                <w:rFonts w:ascii="Arial" w:hAnsi="Arial" w:cs="Arial"/>
                <w:color w:val="000000"/>
                <w:sz w:val="16"/>
                <w:szCs w:val="16"/>
              </w:rPr>
              <w:t>Diesel</w:t>
            </w:r>
          </w:p>
        </w:tc>
        <w:tc>
          <w:tcPr>
            <w:tcW w:w="747" w:type="pct"/>
            <w:tcBorders>
              <w:top w:val="nil"/>
              <w:left w:val="nil"/>
              <w:bottom w:val="nil"/>
              <w:right w:val="nil"/>
            </w:tcBorders>
            <w:shd w:val="clear" w:color="000000" w:fill="FFFFFF"/>
            <w:noWrap/>
            <w:vAlign w:val="center"/>
            <w:hideMark/>
          </w:tcPr>
          <w:p w14:paraId="0F7653AC"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13,110</w:t>
            </w:r>
          </w:p>
        </w:tc>
        <w:tc>
          <w:tcPr>
            <w:tcW w:w="747" w:type="pct"/>
            <w:tcBorders>
              <w:top w:val="nil"/>
              <w:left w:val="nil"/>
              <w:bottom w:val="nil"/>
              <w:right w:val="nil"/>
            </w:tcBorders>
            <w:shd w:val="clear" w:color="000000" w:fill="E6F2FF"/>
            <w:noWrap/>
            <w:vAlign w:val="center"/>
            <w:hideMark/>
          </w:tcPr>
          <w:p w14:paraId="4974B591"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13,091</w:t>
            </w:r>
          </w:p>
        </w:tc>
        <w:tc>
          <w:tcPr>
            <w:tcW w:w="748" w:type="pct"/>
            <w:tcBorders>
              <w:top w:val="nil"/>
              <w:left w:val="nil"/>
              <w:bottom w:val="nil"/>
              <w:right w:val="nil"/>
            </w:tcBorders>
            <w:shd w:val="clear" w:color="000000" w:fill="FFFFFF"/>
            <w:noWrap/>
            <w:vAlign w:val="center"/>
            <w:hideMark/>
          </w:tcPr>
          <w:p w14:paraId="1D664B7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-19</w:t>
            </w:r>
          </w:p>
        </w:tc>
      </w:tr>
      <w:tr w:rsidR="00CC63DB" w:rsidRPr="00CC63DB" w14:paraId="64505DA4"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20F0B82B" w14:textId="77777777" w:rsidR="00CC63DB" w:rsidRPr="00CC63DB" w:rsidRDefault="00CC63DB" w:rsidP="00CC63DB">
            <w:pPr>
              <w:spacing w:before="0" w:after="0" w:line="240" w:lineRule="auto"/>
              <w:ind w:left="170"/>
              <w:rPr>
                <w:rFonts w:ascii="Arial" w:hAnsi="Arial" w:cs="Arial"/>
                <w:color w:val="000000"/>
                <w:sz w:val="16"/>
                <w:szCs w:val="16"/>
              </w:rPr>
            </w:pPr>
            <w:r w:rsidRPr="00CC63DB">
              <w:rPr>
                <w:rFonts w:ascii="Arial" w:hAnsi="Arial" w:cs="Arial"/>
                <w:color w:val="000000"/>
                <w:sz w:val="16"/>
                <w:szCs w:val="16"/>
              </w:rPr>
              <w:t>Other fuel products</w:t>
            </w:r>
          </w:p>
        </w:tc>
        <w:tc>
          <w:tcPr>
            <w:tcW w:w="747" w:type="pct"/>
            <w:tcBorders>
              <w:top w:val="nil"/>
              <w:left w:val="nil"/>
              <w:bottom w:val="nil"/>
              <w:right w:val="nil"/>
            </w:tcBorders>
            <w:shd w:val="clear" w:color="000000" w:fill="FFFFFF"/>
            <w:noWrap/>
            <w:vAlign w:val="center"/>
            <w:hideMark/>
          </w:tcPr>
          <w:p w14:paraId="4DD60C15"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2,760</w:t>
            </w:r>
          </w:p>
        </w:tc>
        <w:tc>
          <w:tcPr>
            <w:tcW w:w="747" w:type="pct"/>
            <w:tcBorders>
              <w:top w:val="nil"/>
              <w:left w:val="nil"/>
              <w:bottom w:val="nil"/>
              <w:right w:val="nil"/>
            </w:tcBorders>
            <w:shd w:val="clear" w:color="000000" w:fill="E6F2FF"/>
            <w:noWrap/>
            <w:vAlign w:val="center"/>
            <w:hideMark/>
          </w:tcPr>
          <w:p w14:paraId="279A5FE4"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2,722</w:t>
            </w:r>
          </w:p>
        </w:tc>
        <w:tc>
          <w:tcPr>
            <w:tcW w:w="748" w:type="pct"/>
            <w:tcBorders>
              <w:top w:val="nil"/>
              <w:left w:val="nil"/>
              <w:bottom w:val="nil"/>
              <w:right w:val="nil"/>
            </w:tcBorders>
            <w:shd w:val="clear" w:color="000000" w:fill="FFFFFF"/>
            <w:noWrap/>
            <w:vAlign w:val="center"/>
            <w:hideMark/>
          </w:tcPr>
          <w:p w14:paraId="685D74A2"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-38</w:t>
            </w:r>
          </w:p>
        </w:tc>
      </w:tr>
      <w:tr w:rsidR="00CC63DB" w:rsidRPr="00CC63DB" w14:paraId="58FD7B7F"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7A2540E7" w14:textId="77777777" w:rsidR="00CC63DB" w:rsidRPr="00CC63DB" w:rsidRDefault="00CC63DB" w:rsidP="00CC63DB">
            <w:pPr>
              <w:spacing w:before="0" w:after="0" w:line="240" w:lineRule="auto"/>
              <w:ind w:left="170"/>
              <w:rPr>
                <w:rFonts w:ascii="Arial" w:hAnsi="Arial" w:cs="Arial"/>
                <w:color w:val="000000"/>
                <w:sz w:val="16"/>
                <w:szCs w:val="16"/>
              </w:rPr>
            </w:pPr>
            <w:r w:rsidRPr="00CC63DB">
              <w:rPr>
                <w:rFonts w:ascii="Arial" w:hAnsi="Arial" w:cs="Arial"/>
                <w:color w:val="000000"/>
                <w:sz w:val="16"/>
                <w:szCs w:val="16"/>
              </w:rPr>
              <w:t>Tobacco</w:t>
            </w:r>
          </w:p>
        </w:tc>
        <w:tc>
          <w:tcPr>
            <w:tcW w:w="747" w:type="pct"/>
            <w:tcBorders>
              <w:top w:val="nil"/>
              <w:left w:val="nil"/>
              <w:bottom w:val="nil"/>
              <w:right w:val="nil"/>
            </w:tcBorders>
            <w:shd w:val="clear" w:color="000000" w:fill="FFFFFF"/>
            <w:noWrap/>
            <w:vAlign w:val="center"/>
            <w:hideMark/>
          </w:tcPr>
          <w:p w14:paraId="0237E671"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12,700</w:t>
            </w:r>
          </w:p>
        </w:tc>
        <w:tc>
          <w:tcPr>
            <w:tcW w:w="747" w:type="pct"/>
            <w:tcBorders>
              <w:top w:val="nil"/>
              <w:left w:val="nil"/>
              <w:bottom w:val="nil"/>
              <w:right w:val="nil"/>
            </w:tcBorders>
            <w:shd w:val="clear" w:color="000000" w:fill="E6F2FF"/>
            <w:noWrap/>
            <w:vAlign w:val="center"/>
            <w:hideMark/>
          </w:tcPr>
          <w:p w14:paraId="35902EB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12,596</w:t>
            </w:r>
          </w:p>
        </w:tc>
        <w:tc>
          <w:tcPr>
            <w:tcW w:w="748" w:type="pct"/>
            <w:tcBorders>
              <w:top w:val="nil"/>
              <w:left w:val="nil"/>
              <w:bottom w:val="nil"/>
              <w:right w:val="nil"/>
            </w:tcBorders>
            <w:shd w:val="clear" w:color="000000" w:fill="FFFFFF"/>
            <w:noWrap/>
            <w:vAlign w:val="center"/>
            <w:hideMark/>
          </w:tcPr>
          <w:p w14:paraId="775D7FD1"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-104</w:t>
            </w:r>
          </w:p>
        </w:tc>
      </w:tr>
      <w:tr w:rsidR="00CC63DB" w:rsidRPr="00CC63DB" w14:paraId="696AB779"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0F7799AC" w14:textId="77777777" w:rsidR="00CC63DB" w:rsidRPr="00CC63DB" w:rsidRDefault="00CC63DB" w:rsidP="00CC63DB">
            <w:pPr>
              <w:spacing w:before="0" w:after="0" w:line="240" w:lineRule="auto"/>
              <w:ind w:left="170"/>
              <w:rPr>
                <w:rFonts w:ascii="Arial" w:hAnsi="Arial" w:cs="Arial"/>
                <w:color w:val="000000"/>
                <w:sz w:val="16"/>
                <w:szCs w:val="16"/>
              </w:rPr>
            </w:pPr>
            <w:r w:rsidRPr="00CC63DB">
              <w:rPr>
                <w:rFonts w:ascii="Arial" w:hAnsi="Arial" w:cs="Arial"/>
                <w:color w:val="000000"/>
                <w:sz w:val="16"/>
                <w:szCs w:val="16"/>
              </w:rPr>
              <w:t>Beer</w:t>
            </w:r>
          </w:p>
        </w:tc>
        <w:tc>
          <w:tcPr>
            <w:tcW w:w="747" w:type="pct"/>
            <w:tcBorders>
              <w:top w:val="nil"/>
              <w:left w:val="nil"/>
              <w:bottom w:val="nil"/>
              <w:right w:val="nil"/>
            </w:tcBorders>
            <w:shd w:val="clear" w:color="000000" w:fill="FFFFFF"/>
            <w:noWrap/>
            <w:vAlign w:val="center"/>
            <w:hideMark/>
          </w:tcPr>
          <w:p w14:paraId="7A4F097D"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2,590</w:t>
            </w:r>
          </w:p>
        </w:tc>
        <w:tc>
          <w:tcPr>
            <w:tcW w:w="747" w:type="pct"/>
            <w:tcBorders>
              <w:top w:val="nil"/>
              <w:left w:val="nil"/>
              <w:bottom w:val="nil"/>
              <w:right w:val="nil"/>
            </w:tcBorders>
            <w:shd w:val="clear" w:color="000000" w:fill="E6F2FF"/>
            <w:noWrap/>
            <w:vAlign w:val="center"/>
            <w:hideMark/>
          </w:tcPr>
          <w:p w14:paraId="452BEE7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2,543</w:t>
            </w:r>
          </w:p>
        </w:tc>
        <w:tc>
          <w:tcPr>
            <w:tcW w:w="748" w:type="pct"/>
            <w:tcBorders>
              <w:top w:val="nil"/>
              <w:left w:val="nil"/>
              <w:bottom w:val="nil"/>
              <w:right w:val="nil"/>
            </w:tcBorders>
            <w:shd w:val="clear" w:color="000000" w:fill="FFFFFF"/>
            <w:noWrap/>
            <w:vAlign w:val="center"/>
            <w:hideMark/>
          </w:tcPr>
          <w:p w14:paraId="4168B814"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-47</w:t>
            </w:r>
          </w:p>
        </w:tc>
      </w:tr>
      <w:tr w:rsidR="00CC63DB" w:rsidRPr="00CC63DB" w14:paraId="147FF60D"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3E0D7F7D" w14:textId="77777777" w:rsidR="00CC63DB" w:rsidRPr="00CC63DB" w:rsidRDefault="00CC63DB" w:rsidP="00CC63DB">
            <w:pPr>
              <w:spacing w:before="0" w:after="0" w:line="240" w:lineRule="auto"/>
              <w:ind w:left="170"/>
              <w:rPr>
                <w:rFonts w:ascii="Arial" w:hAnsi="Arial" w:cs="Arial"/>
                <w:color w:val="000000"/>
                <w:sz w:val="16"/>
                <w:szCs w:val="16"/>
              </w:rPr>
            </w:pPr>
            <w:r w:rsidRPr="00CC63DB">
              <w:rPr>
                <w:rFonts w:ascii="Arial" w:hAnsi="Arial" w:cs="Arial"/>
                <w:color w:val="000000"/>
                <w:sz w:val="16"/>
                <w:szCs w:val="16"/>
              </w:rPr>
              <w:t>Spirits</w:t>
            </w:r>
          </w:p>
        </w:tc>
        <w:tc>
          <w:tcPr>
            <w:tcW w:w="747" w:type="pct"/>
            <w:tcBorders>
              <w:top w:val="nil"/>
              <w:left w:val="nil"/>
              <w:bottom w:val="nil"/>
              <w:right w:val="nil"/>
            </w:tcBorders>
            <w:shd w:val="clear" w:color="000000" w:fill="FFFFFF"/>
            <w:noWrap/>
            <w:vAlign w:val="center"/>
            <w:hideMark/>
          </w:tcPr>
          <w:p w14:paraId="26E0B2C8"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3,390</w:t>
            </w:r>
          </w:p>
        </w:tc>
        <w:tc>
          <w:tcPr>
            <w:tcW w:w="747" w:type="pct"/>
            <w:tcBorders>
              <w:top w:val="nil"/>
              <w:left w:val="nil"/>
              <w:bottom w:val="nil"/>
              <w:right w:val="nil"/>
            </w:tcBorders>
            <w:shd w:val="clear" w:color="000000" w:fill="E6F2FF"/>
            <w:noWrap/>
            <w:vAlign w:val="center"/>
            <w:hideMark/>
          </w:tcPr>
          <w:p w14:paraId="15376A5E"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3,348</w:t>
            </w:r>
          </w:p>
        </w:tc>
        <w:tc>
          <w:tcPr>
            <w:tcW w:w="748" w:type="pct"/>
            <w:tcBorders>
              <w:top w:val="nil"/>
              <w:left w:val="nil"/>
              <w:bottom w:val="nil"/>
              <w:right w:val="nil"/>
            </w:tcBorders>
            <w:shd w:val="clear" w:color="000000" w:fill="FFFFFF"/>
            <w:noWrap/>
            <w:vAlign w:val="center"/>
            <w:hideMark/>
          </w:tcPr>
          <w:p w14:paraId="09F8451C"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-42</w:t>
            </w:r>
          </w:p>
        </w:tc>
      </w:tr>
      <w:tr w:rsidR="00CC63DB" w:rsidRPr="00CC63DB" w14:paraId="58971D6E"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0C0F1104" w14:textId="77777777" w:rsidR="00CC63DB" w:rsidRPr="00CC63DB" w:rsidRDefault="00CC63DB" w:rsidP="00CC63DB">
            <w:pPr>
              <w:spacing w:before="0" w:after="0" w:line="240" w:lineRule="auto"/>
              <w:ind w:left="170"/>
              <w:rPr>
                <w:rFonts w:ascii="Arial" w:hAnsi="Arial" w:cs="Arial"/>
                <w:color w:val="000000"/>
                <w:sz w:val="16"/>
                <w:szCs w:val="16"/>
              </w:rPr>
            </w:pPr>
            <w:r w:rsidRPr="00CC63DB">
              <w:rPr>
                <w:rFonts w:ascii="Arial" w:hAnsi="Arial" w:cs="Arial"/>
                <w:color w:val="000000"/>
                <w:sz w:val="16"/>
                <w:szCs w:val="16"/>
              </w:rPr>
              <w:t>Other alcoholic beverages(a)</w:t>
            </w:r>
          </w:p>
        </w:tc>
        <w:tc>
          <w:tcPr>
            <w:tcW w:w="747" w:type="pct"/>
            <w:tcBorders>
              <w:top w:val="nil"/>
              <w:left w:val="nil"/>
              <w:bottom w:val="nil"/>
              <w:right w:val="nil"/>
            </w:tcBorders>
            <w:shd w:val="clear" w:color="000000" w:fill="FFFFFF"/>
            <w:noWrap/>
            <w:vAlign w:val="center"/>
            <w:hideMark/>
          </w:tcPr>
          <w:p w14:paraId="390C7416"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1,640</w:t>
            </w:r>
          </w:p>
        </w:tc>
        <w:tc>
          <w:tcPr>
            <w:tcW w:w="747" w:type="pct"/>
            <w:tcBorders>
              <w:top w:val="nil"/>
              <w:left w:val="nil"/>
              <w:bottom w:val="nil"/>
              <w:right w:val="nil"/>
            </w:tcBorders>
            <w:shd w:val="clear" w:color="000000" w:fill="E6F2FF"/>
            <w:noWrap/>
            <w:vAlign w:val="center"/>
            <w:hideMark/>
          </w:tcPr>
          <w:p w14:paraId="2DCE3B39"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1,610</w:t>
            </w:r>
          </w:p>
        </w:tc>
        <w:tc>
          <w:tcPr>
            <w:tcW w:w="748" w:type="pct"/>
            <w:tcBorders>
              <w:top w:val="nil"/>
              <w:left w:val="nil"/>
              <w:bottom w:val="nil"/>
              <w:right w:val="nil"/>
            </w:tcBorders>
            <w:shd w:val="clear" w:color="000000" w:fill="FFFFFF"/>
            <w:noWrap/>
            <w:vAlign w:val="center"/>
            <w:hideMark/>
          </w:tcPr>
          <w:p w14:paraId="5BC2BB45"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-30</w:t>
            </w:r>
          </w:p>
        </w:tc>
      </w:tr>
      <w:tr w:rsidR="00CC63DB" w:rsidRPr="00CC63DB" w14:paraId="1F343EE0"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3850FD39" w14:textId="77777777" w:rsidR="00CC63DB" w:rsidRPr="00CC63DB" w:rsidRDefault="00CC63DB" w:rsidP="00CC63DB">
            <w:pPr>
              <w:spacing w:before="0" w:after="0" w:line="240" w:lineRule="auto"/>
              <w:ind w:left="170"/>
              <w:rPr>
                <w:rFonts w:ascii="Arial" w:hAnsi="Arial" w:cs="Arial"/>
                <w:color w:val="000000"/>
                <w:sz w:val="16"/>
                <w:szCs w:val="16"/>
              </w:rPr>
            </w:pPr>
            <w:r w:rsidRPr="00CC63DB">
              <w:rPr>
                <w:rFonts w:ascii="Arial" w:hAnsi="Arial" w:cs="Arial"/>
                <w:color w:val="000000"/>
                <w:sz w:val="16"/>
                <w:szCs w:val="16"/>
              </w:rPr>
              <w:t>Other customs duty</w:t>
            </w:r>
          </w:p>
        </w:tc>
        <w:tc>
          <w:tcPr>
            <w:tcW w:w="747" w:type="pct"/>
            <w:tcBorders>
              <w:top w:val="nil"/>
              <w:left w:val="nil"/>
              <w:bottom w:val="nil"/>
              <w:right w:val="nil"/>
            </w:tcBorders>
            <w:shd w:val="clear" w:color="000000" w:fill="FFFFFF"/>
            <w:noWrap/>
            <w:vAlign w:val="center"/>
            <w:hideMark/>
          </w:tcPr>
          <w:p w14:paraId="160F3BA4"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c>
          <w:tcPr>
            <w:tcW w:w="747" w:type="pct"/>
            <w:tcBorders>
              <w:top w:val="nil"/>
              <w:left w:val="nil"/>
              <w:bottom w:val="nil"/>
              <w:right w:val="nil"/>
            </w:tcBorders>
            <w:shd w:val="clear" w:color="000000" w:fill="E6F2FF"/>
            <w:noWrap/>
            <w:vAlign w:val="center"/>
            <w:hideMark/>
          </w:tcPr>
          <w:p w14:paraId="616FC470"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c>
          <w:tcPr>
            <w:tcW w:w="748" w:type="pct"/>
            <w:tcBorders>
              <w:top w:val="nil"/>
              <w:left w:val="nil"/>
              <w:bottom w:val="nil"/>
              <w:right w:val="nil"/>
            </w:tcBorders>
            <w:shd w:val="clear" w:color="000000" w:fill="FFFFFF"/>
            <w:noWrap/>
            <w:vAlign w:val="center"/>
            <w:hideMark/>
          </w:tcPr>
          <w:p w14:paraId="17CFEFEE"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r>
      <w:tr w:rsidR="00CC63DB" w:rsidRPr="00CC63DB" w14:paraId="620A1FCA"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325CE0CE" w14:textId="77777777" w:rsidR="00CC63DB" w:rsidRPr="00CC63DB" w:rsidRDefault="00CC63DB" w:rsidP="00CC63DB">
            <w:pPr>
              <w:spacing w:before="0" w:after="0" w:line="240" w:lineRule="auto"/>
              <w:ind w:left="340"/>
              <w:rPr>
                <w:rFonts w:ascii="Arial" w:hAnsi="Arial" w:cs="Arial"/>
                <w:color w:val="000000"/>
                <w:sz w:val="16"/>
                <w:szCs w:val="16"/>
              </w:rPr>
            </w:pPr>
            <w:r w:rsidRPr="00CC63DB">
              <w:rPr>
                <w:rFonts w:ascii="Arial" w:hAnsi="Arial" w:cs="Arial"/>
                <w:color w:val="000000"/>
                <w:sz w:val="16"/>
                <w:szCs w:val="16"/>
              </w:rPr>
              <w:t xml:space="preserve">Textiles, </w:t>
            </w:r>
            <w:proofErr w:type="gramStart"/>
            <w:r w:rsidRPr="00CC63DB">
              <w:rPr>
                <w:rFonts w:ascii="Arial" w:hAnsi="Arial" w:cs="Arial"/>
                <w:color w:val="000000"/>
                <w:sz w:val="16"/>
                <w:szCs w:val="16"/>
              </w:rPr>
              <w:t>clothing</w:t>
            </w:r>
            <w:proofErr w:type="gramEnd"/>
            <w:r w:rsidRPr="00CC63DB">
              <w:rPr>
                <w:rFonts w:ascii="Arial" w:hAnsi="Arial" w:cs="Arial"/>
                <w:color w:val="000000"/>
                <w:sz w:val="16"/>
                <w:szCs w:val="16"/>
              </w:rPr>
              <w:t xml:space="preserve"> and footwear</w:t>
            </w:r>
          </w:p>
        </w:tc>
        <w:tc>
          <w:tcPr>
            <w:tcW w:w="747" w:type="pct"/>
            <w:tcBorders>
              <w:top w:val="nil"/>
              <w:left w:val="nil"/>
              <w:bottom w:val="nil"/>
              <w:right w:val="nil"/>
            </w:tcBorders>
            <w:shd w:val="clear" w:color="000000" w:fill="FFFFFF"/>
            <w:noWrap/>
            <w:vAlign w:val="center"/>
            <w:hideMark/>
          </w:tcPr>
          <w:p w14:paraId="302918F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190</w:t>
            </w:r>
          </w:p>
        </w:tc>
        <w:tc>
          <w:tcPr>
            <w:tcW w:w="747" w:type="pct"/>
            <w:tcBorders>
              <w:top w:val="nil"/>
              <w:left w:val="nil"/>
              <w:bottom w:val="nil"/>
              <w:right w:val="nil"/>
            </w:tcBorders>
            <w:shd w:val="clear" w:color="000000" w:fill="E6F2FF"/>
            <w:noWrap/>
            <w:vAlign w:val="center"/>
            <w:hideMark/>
          </w:tcPr>
          <w:p w14:paraId="33AFF601"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199</w:t>
            </w:r>
          </w:p>
        </w:tc>
        <w:tc>
          <w:tcPr>
            <w:tcW w:w="748" w:type="pct"/>
            <w:tcBorders>
              <w:top w:val="nil"/>
              <w:left w:val="nil"/>
              <w:bottom w:val="nil"/>
              <w:right w:val="nil"/>
            </w:tcBorders>
            <w:shd w:val="clear" w:color="000000" w:fill="FFFFFF"/>
            <w:noWrap/>
            <w:vAlign w:val="center"/>
            <w:hideMark/>
          </w:tcPr>
          <w:p w14:paraId="007D4D46"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9</w:t>
            </w:r>
          </w:p>
        </w:tc>
      </w:tr>
      <w:tr w:rsidR="00CC63DB" w:rsidRPr="00CC63DB" w14:paraId="45EF872E"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39726C6A" w14:textId="77777777" w:rsidR="00CC63DB" w:rsidRPr="00CC63DB" w:rsidRDefault="00CC63DB" w:rsidP="00CC63DB">
            <w:pPr>
              <w:spacing w:before="0" w:after="0" w:line="240" w:lineRule="auto"/>
              <w:ind w:left="340"/>
              <w:rPr>
                <w:rFonts w:ascii="Arial" w:hAnsi="Arial" w:cs="Arial"/>
                <w:color w:val="000000"/>
                <w:sz w:val="16"/>
                <w:szCs w:val="16"/>
              </w:rPr>
            </w:pPr>
            <w:r w:rsidRPr="00CC63DB">
              <w:rPr>
                <w:rFonts w:ascii="Arial" w:hAnsi="Arial" w:cs="Arial"/>
                <w:color w:val="000000"/>
                <w:sz w:val="16"/>
                <w:szCs w:val="16"/>
              </w:rPr>
              <w:t>Passenger motor vehicles</w:t>
            </w:r>
          </w:p>
        </w:tc>
        <w:tc>
          <w:tcPr>
            <w:tcW w:w="747" w:type="pct"/>
            <w:tcBorders>
              <w:top w:val="nil"/>
              <w:left w:val="nil"/>
              <w:bottom w:val="nil"/>
              <w:right w:val="nil"/>
            </w:tcBorders>
            <w:shd w:val="clear" w:color="000000" w:fill="FFFFFF"/>
            <w:noWrap/>
            <w:vAlign w:val="center"/>
            <w:hideMark/>
          </w:tcPr>
          <w:p w14:paraId="75B5F040"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440</w:t>
            </w:r>
          </w:p>
        </w:tc>
        <w:tc>
          <w:tcPr>
            <w:tcW w:w="747" w:type="pct"/>
            <w:tcBorders>
              <w:top w:val="nil"/>
              <w:left w:val="nil"/>
              <w:bottom w:val="nil"/>
              <w:right w:val="nil"/>
            </w:tcBorders>
            <w:shd w:val="clear" w:color="000000" w:fill="E6F2FF"/>
            <w:noWrap/>
            <w:vAlign w:val="center"/>
            <w:hideMark/>
          </w:tcPr>
          <w:p w14:paraId="5FCECDF8"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445</w:t>
            </w:r>
          </w:p>
        </w:tc>
        <w:tc>
          <w:tcPr>
            <w:tcW w:w="748" w:type="pct"/>
            <w:tcBorders>
              <w:top w:val="nil"/>
              <w:left w:val="nil"/>
              <w:bottom w:val="nil"/>
              <w:right w:val="nil"/>
            </w:tcBorders>
            <w:shd w:val="clear" w:color="000000" w:fill="FFFFFF"/>
            <w:noWrap/>
            <w:vAlign w:val="center"/>
            <w:hideMark/>
          </w:tcPr>
          <w:p w14:paraId="1BC093B7"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5</w:t>
            </w:r>
          </w:p>
        </w:tc>
      </w:tr>
      <w:tr w:rsidR="00CC63DB" w:rsidRPr="00CC63DB" w14:paraId="4BF09A8A"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1121D64A" w14:textId="77777777" w:rsidR="00CC63DB" w:rsidRPr="00CC63DB" w:rsidRDefault="00CC63DB" w:rsidP="00CC63DB">
            <w:pPr>
              <w:spacing w:before="0" w:after="0" w:line="240" w:lineRule="auto"/>
              <w:ind w:left="340"/>
              <w:rPr>
                <w:rFonts w:ascii="Arial" w:hAnsi="Arial" w:cs="Arial"/>
                <w:color w:val="000000"/>
                <w:sz w:val="16"/>
                <w:szCs w:val="16"/>
              </w:rPr>
            </w:pPr>
            <w:r w:rsidRPr="00CC63DB">
              <w:rPr>
                <w:rFonts w:ascii="Arial" w:hAnsi="Arial" w:cs="Arial"/>
                <w:color w:val="000000"/>
                <w:sz w:val="16"/>
                <w:szCs w:val="16"/>
              </w:rPr>
              <w:t>Other imports</w:t>
            </w:r>
          </w:p>
        </w:tc>
        <w:tc>
          <w:tcPr>
            <w:tcW w:w="747" w:type="pct"/>
            <w:tcBorders>
              <w:top w:val="nil"/>
              <w:left w:val="nil"/>
              <w:bottom w:val="nil"/>
              <w:right w:val="nil"/>
            </w:tcBorders>
            <w:shd w:val="clear" w:color="000000" w:fill="FFFFFF"/>
            <w:noWrap/>
            <w:vAlign w:val="center"/>
            <w:hideMark/>
          </w:tcPr>
          <w:p w14:paraId="5A26A1E8"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1,530</w:t>
            </w:r>
          </w:p>
        </w:tc>
        <w:tc>
          <w:tcPr>
            <w:tcW w:w="747" w:type="pct"/>
            <w:tcBorders>
              <w:top w:val="nil"/>
              <w:left w:val="nil"/>
              <w:bottom w:val="nil"/>
              <w:right w:val="nil"/>
            </w:tcBorders>
            <w:shd w:val="clear" w:color="000000" w:fill="E6F2FF"/>
            <w:noWrap/>
            <w:vAlign w:val="center"/>
            <w:hideMark/>
          </w:tcPr>
          <w:p w14:paraId="171E36FF"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1,519</w:t>
            </w:r>
          </w:p>
        </w:tc>
        <w:tc>
          <w:tcPr>
            <w:tcW w:w="748" w:type="pct"/>
            <w:tcBorders>
              <w:top w:val="nil"/>
              <w:left w:val="nil"/>
              <w:bottom w:val="nil"/>
              <w:right w:val="nil"/>
            </w:tcBorders>
            <w:shd w:val="clear" w:color="000000" w:fill="FFFFFF"/>
            <w:noWrap/>
            <w:vAlign w:val="center"/>
            <w:hideMark/>
          </w:tcPr>
          <w:p w14:paraId="7D3095D2"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-12</w:t>
            </w:r>
          </w:p>
        </w:tc>
      </w:tr>
      <w:tr w:rsidR="00CC63DB" w:rsidRPr="00CC63DB" w14:paraId="29AF16B7"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686586B5" w14:textId="77777777" w:rsidR="00CC63DB" w:rsidRPr="00CC63DB" w:rsidRDefault="00CC63DB" w:rsidP="00CC63DB">
            <w:pPr>
              <w:spacing w:before="0" w:after="0" w:line="240" w:lineRule="auto"/>
              <w:ind w:left="170"/>
              <w:rPr>
                <w:rFonts w:ascii="Arial" w:hAnsi="Arial" w:cs="Arial"/>
                <w:i/>
                <w:iCs/>
                <w:color w:val="000000"/>
                <w:sz w:val="16"/>
                <w:szCs w:val="16"/>
              </w:rPr>
            </w:pPr>
            <w:r w:rsidRPr="00CC63DB">
              <w:rPr>
                <w:rFonts w:ascii="Arial" w:hAnsi="Arial" w:cs="Arial"/>
                <w:i/>
                <w:iCs/>
                <w:color w:val="000000"/>
                <w:sz w:val="16"/>
                <w:szCs w:val="16"/>
              </w:rPr>
              <w:t xml:space="preserve">less: </w:t>
            </w:r>
            <w:r w:rsidRPr="00CC63DB">
              <w:rPr>
                <w:rFonts w:ascii="Arial" w:hAnsi="Arial" w:cs="Arial"/>
                <w:color w:val="000000"/>
                <w:sz w:val="16"/>
                <w:szCs w:val="16"/>
              </w:rPr>
              <w:t>Refunds and drawbacks</w:t>
            </w:r>
          </w:p>
        </w:tc>
        <w:tc>
          <w:tcPr>
            <w:tcW w:w="747" w:type="pct"/>
            <w:tcBorders>
              <w:top w:val="nil"/>
              <w:left w:val="nil"/>
              <w:bottom w:val="single" w:sz="4" w:space="0" w:color="000000"/>
              <w:right w:val="nil"/>
            </w:tcBorders>
            <w:shd w:val="clear" w:color="000000" w:fill="FFFFFF"/>
            <w:noWrap/>
            <w:vAlign w:val="center"/>
            <w:hideMark/>
          </w:tcPr>
          <w:p w14:paraId="19EDC125"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700</w:t>
            </w:r>
          </w:p>
        </w:tc>
        <w:tc>
          <w:tcPr>
            <w:tcW w:w="747" w:type="pct"/>
            <w:tcBorders>
              <w:top w:val="nil"/>
              <w:left w:val="nil"/>
              <w:bottom w:val="single" w:sz="4" w:space="0" w:color="000000"/>
              <w:right w:val="nil"/>
            </w:tcBorders>
            <w:shd w:val="clear" w:color="000000" w:fill="E6F2FF"/>
            <w:noWrap/>
            <w:vAlign w:val="center"/>
            <w:hideMark/>
          </w:tcPr>
          <w:p w14:paraId="511777C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723</w:t>
            </w:r>
          </w:p>
        </w:tc>
        <w:tc>
          <w:tcPr>
            <w:tcW w:w="748" w:type="pct"/>
            <w:tcBorders>
              <w:top w:val="nil"/>
              <w:left w:val="nil"/>
              <w:bottom w:val="single" w:sz="4" w:space="0" w:color="000000"/>
              <w:right w:val="nil"/>
            </w:tcBorders>
            <w:shd w:val="clear" w:color="000000" w:fill="FFFFFF"/>
            <w:noWrap/>
            <w:vAlign w:val="center"/>
            <w:hideMark/>
          </w:tcPr>
          <w:p w14:paraId="0C5B67F0"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23</w:t>
            </w:r>
          </w:p>
        </w:tc>
      </w:tr>
      <w:tr w:rsidR="00CC63DB" w:rsidRPr="00CC63DB" w14:paraId="617F8427"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3D072A9F"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Total excise and customs duty</w:t>
            </w:r>
          </w:p>
        </w:tc>
        <w:tc>
          <w:tcPr>
            <w:tcW w:w="747" w:type="pct"/>
            <w:tcBorders>
              <w:top w:val="nil"/>
              <w:left w:val="nil"/>
              <w:bottom w:val="nil"/>
              <w:right w:val="nil"/>
            </w:tcBorders>
            <w:shd w:val="clear" w:color="auto" w:fill="auto"/>
            <w:noWrap/>
            <w:vAlign w:val="bottom"/>
            <w:hideMark/>
          </w:tcPr>
          <w:p w14:paraId="56FADBD2"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43,250</w:t>
            </w:r>
          </w:p>
        </w:tc>
        <w:tc>
          <w:tcPr>
            <w:tcW w:w="747" w:type="pct"/>
            <w:tcBorders>
              <w:top w:val="nil"/>
              <w:left w:val="nil"/>
              <w:bottom w:val="nil"/>
              <w:right w:val="nil"/>
            </w:tcBorders>
            <w:shd w:val="clear" w:color="000000" w:fill="E6F2FF"/>
            <w:noWrap/>
            <w:vAlign w:val="center"/>
            <w:hideMark/>
          </w:tcPr>
          <w:p w14:paraId="70CFDAC2"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43,029</w:t>
            </w:r>
          </w:p>
        </w:tc>
        <w:tc>
          <w:tcPr>
            <w:tcW w:w="748" w:type="pct"/>
            <w:tcBorders>
              <w:top w:val="nil"/>
              <w:left w:val="nil"/>
              <w:bottom w:val="nil"/>
              <w:right w:val="nil"/>
            </w:tcBorders>
            <w:shd w:val="clear" w:color="000000" w:fill="FFFFFF"/>
            <w:noWrap/>
            <w:vAlign w:val="center"/>
            <w:hideMark/>
          </w:tcPr>
          <w:p w14:paraId="71082BA6"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-222</w:t>
            </w:r>
          </w:p>
        </w:tc>
      </w:tr>
      <w:tr w:rsidR="00CC63DB" w:rsidRPr="00CC63DB" w14:paraId="7DC983EC"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73FDA7F4"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Major bank levy</w:t>
            </w:r>
          </w:p>
        </w:tc>
        <w:tc>
          <w:tcPr>
            <w:tcW w:w="747" w:type="pct"/>
            <w:tcBorders>
              <w:top w:val="nil"/>
              <w:left w:val="nil"/>
              <w:bottom w:val="nil"/>
              <w:right w:val="nil"/>
            </w:tcBorders>
            <w:shd w:val="clear" w:color="000000" w:fill="FFFFFF"/>
            <w:noWrap/>
            <w:vAlign w:val="center"/>
            <w:hideMark/>
          </w:tcPr>
          <w:p w14:paraId="65212909"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1,540</w:t>
            </w:r>
          </w:p>
        </w:tc>
        <w:tc>
          <w:tcPr>
            <w:tcW w:w="747" w:type="pct"/>
            <w:tcBorders>
              <w:top w:val="nil"/>
              <w:left w:val="nil"/>
              <w:bottom w:val="nil"/>
              <w:right w:val="nil"/>
            </w:tcBorders>
            <w:shd w:val="clear" w:color="000000" w:fill="E6F2FF"/>
            <w:noWrap/>
            <w:vAlign w:val="center"/>
            <w:hideMark/>
          </w:tcPr>
          <w:p w14:paraId="44301F9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1,525</w:t>
            </w:r>
          </w:p>
        </w:tc>
        <w:tc>
          <w:tcPr>
            <w:tcW w:w="748" w:type="pct"/>
            <w:tcBorders>
              <w:top w:val="nil"/>
              <w:left w:val="nil"/>
              <w:bottom w:val="nil"/>
              <w:right w:val="nil"/>
            </w:tcBorders>
            <w:shd w:val="clear" w:color="000000" w:fill="FFFFFF"/>
            <w:noWrap/>
            <w:vAlign w:val="center"/>
            <w:hideMark/>
          </w:tcPr>
          <w:p w14:paraId="05392EE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-15</w:t>
            </w:r>
          </w:p>
        </w:tc>
      </w:tr>
      <w:tr w:rsidR="00CC63DB" w:rsidRPr="00CC63DB" w14:paraId="257817C2"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36D6E86D"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Agricultural levies</w:t>
            </w:r>
          </w:p>
        </w:tc>
        <w:tc>
          <w:tcPr>
            <w:tcW w:w="747" w:type="pct"/>
            <w:tcBorders>
              <w:top w:val="nil"/>
              <w:left w:val="nil"/>
              <w:bottom w:val="nil"/>
              <w:right w:val="nil"/>
            </w:tcBorders>
            <w:shd w:val="clear" w:color="000000" w:fill="FFFFFF"/>
            <w:noWrap/>
            <w:vAlign w:val="center"/>
            <w:hideMark/>
          </w:tcPr>
          <w:p w14:paraId="6D9F6274"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631</w:t>
            </w:r>
          </w:p>
        </w:tc>
        <w:tc>
          <w:tcPr>
            <w:tcW w:w="747" w:type="pct"/>
            <w:tcBorders>
              <w:top w:val="nil"/>
              <w:left w:val="nil"/>
              <w:bottom w:val="nil"/>
              <w:right w:val="nil"/>
            </w:tcBorders>
            <w:shd w:val="clear" w:color="000000" w:fill="E6F2FF"/>
            <w:noWrap/>
            <w:vAlign w:val="center"/>
            <w:hideMark/>
          </w:tcPr>
          <w:p w14:paraId="1690F993"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666</w:t>
            </w:r>
          </w:p>
        </w:tc>
        <w:tc>
          <w:tcPr>
            <w:tcW w:w="748" w:type="pct"/>
            <w:tcBorders>
              <w:top w:val="nil"/>
              <w:left w:val="nil"/>
              <w:bottom w:val="nil"/>
              <w:right w:val="nil"/>
            </w:tcBorders>
            <w:shd w:val="clear" w:color="000000" w:fill="FFFFFF"/>
            <w:noWrap/>
            <w:vAlign w:val="center"/>
            <w:hideMark/>
          </w:tcPr>
          <w:p w14:paraId="52C33293"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35</w:t>
            </w:r>
          </w:p>
        </w:tc>
      </w:tr>
      <w:tr w:rsidR="00CC63DB" w:rsidRPr="00CC63DB" w14:paraId="52998AC7"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0B34259A"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Visa application charges(b)</w:t>
            </w:r>
          </w:p>
        </w:tc>
        <w:tc>
          <w:tcPr>
            <w:tcW w:w="747" w:type="pct"/>
            <w:tcBorders>
              <w:top w:val="nil"/>
              <w:left w:val="nil"/>
              <w:bottom w:val="nil"/>
              <w:right w:val="nil"/>
            </w:tcBorders>
            <w:shd w:val="clear" w:color="000000" w:fill="FFFFFF"/>
            <w:noWrap/>
            <w:vAlign w:val="center"/>
            <w:hideMark/>
          </w:tcPr>
          <w:p w14:paraId="6A933A4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2,995</w:t>
            </w:r>
          </w:p>
        </w:tc>
        <w:tc>
          <w:tcPr>
            <w:tcW w:w="747" w:type="pct"/>
            <w:tcBorders>
              <w:top w:val="nil"/>
              <w:left w:val="nil"/>
              <w:bottom w:val="nil"/>
              <w:right w:val="nil"/>
            </w:tcBorders>
            <w:shd w:val="clear" w:color="000000" w:fill="E6F2FF"/>
            <w:noWrap/>
            <w:vAlign w:val="center"/>
            <w:hideMark/>
          </w:tcPr>
          <w:p w14:paraId="2D3035AD"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3,156</w:t>
            </w:r>
          </w:p>
        </w:tc>
        <w:tc>
          <w:tcPr>
            <w:tcW w:w="748" w:type="pct"/>
            <w:tcBorders>
              <w:top w:val="nil"/>
              <w:left w:val="nil"/>
              <w:bottom w:val="nil"/>
              <w:right w:val="nil"/>
            </w:tcBorders>
            <w:shd w:val="clear" w:color="000000" w:fill="FFFFFF"/>
            <w:noWrap/>
            <w:vAlign w:val="center"/>
            <w:hideMark/>
          </w:tcPr>
          <w:p w14:paraId="2D87ECF0"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161</w:t>
            </w:r>
          </w:p>
        </w:tc>
      </w:tr>
      <w:tr w:rsidR="00CC63DB" w:rsidRPr="00CC63DB" w14:paraId="3EE09109"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676DDB18"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Other taxes</w:t>
            </w:r>
          </w:p>
        </w:tc>
        <w:tc>
          <w:tcPr>
            <w:tcW w:w="747" w:type="pct"/>
            <w:tcBorders>
              <w:top w:val="nil"/>
              <w:left w:val="nil"/>
              <w:bottom w:val="nil"/>
              <w:right w:val="nil"/>
            </w:tcBorders>
            <w:shd w:val="clear" w:color="000000" w:fill="FFFFFF"/>
            <w:noWrap/>
            <w:vAlign w:val="center"/>
            <w:hideMark/>
          </w:tcPr>
          <w:p w14:paraId="7C7B09A6"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4,593</w:t>
            </w:r>
          </w:p>
        </w:tc>
        <w:tc>
          <w:tcPr>
            <w:tcW w:w="747" w:type="pct"/>
            <w:tcBorders>
              <w:top w:val="nil"/>
              <w:left w:val="nil"/>
              <w:bottom w:val="nil"/>
              <w:right w:val="nil"/>
            </w:tcBorders>
            <w:shd w:val="clear" w:color="000000" w:fill="E6F2FF"/>
            <w:noWrap/>
            <w:vAlign w:val="center"/>
            <w:hideMark/>
          </w:tcPr>
          <w:p w14:paraId="172E0EA8"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4,730</w:t>
            </w:r>
          </w:p>
        </w:tc>
        <w:tc>
          <w:tcPr>
            <w:tcW w:w="748" w:type="pct"/>
            <w:tcBorders>
              <w:top w:val="nil"/>
              <w:left w:val="nil"/>
              <w:bottom w:val="nil"/>
              <w:right w:val="nil"/>
            </w:tcBorders>
            <w:shd w:val="clear" w:color="000000" w:fill="FFFFFF"/>
            <w:noWrap/>
            <w:vAlign w:val="center"/>
            <w:hideMark/>
          </w:tcPr>
          <w:p w14:paraId="5CF5057E"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137</w:t>
            </w:r>
          </w:p>
        </w:tc>
      </w:tr>
      <w:tr w:rsidR="00CC63DB" w:rsidRPr="00CC63DB" w14:paraId="19C8D9D6"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4828CD14" w14:textId="77777777" w:rsidR="00CC63DB" w:rsidRPr="00CC63DB" w:rsidRDefault="00CC63DB" w:rsidP="00CC63DB">
            <w:pPr>
              <w:spacing w:before="0" w:after="0" w:line="240" w:lineRule="auto"/>
              <w:rPr>
                <w:rFonts w:ascii="Arial" w:hAnsi="Arial" w:cs="Arial"/>
                <w:b/>
                <w:bCs/>
                <w:color w:val="000000"/>
                <w:sz w:val="16"/>
                <w:szCs w:val="16"/>
              </w:rPr>
            </w:pPr>
            <w:r w:rsidRPr="00CC63DB">
              <w:rPr>
                <w:rFonts w:ascii="Arial" w:hAnsi="Arial" w:cs="Arial"/>
                <w:b/>
                <w:bCs/>
                <w:color w:val="000000"/>
                <w:sz w:val="16"/>
                <w:szCs w:val="16"/>
              </w:rPr>
              <w:t>Indirect taxation receipts</w:t>
            </w:r>
          </w:p>
        </w:tc>
        <w:tc>
          <w:tcPr>
            <w:tcW w:w="747" w:type="pct"/>
            <w:tcBorders>
              <w:top w:val="single" w:sz="4" w:space="0" w:color="293F5B"/>
              <w:left w:val="nil"/>
              <w:bottom w:val="single" w:sz="4" w:space="0" w:color="293F5B"/>
              <w:right w:val="nil"/>
            </w:tcBorders>
            <w:shd w:val="clear" w:color="000000" w:fill="FFFFFF"/>
            <w:noWrap/>
            <w:vAlign w:val="center"/>
            <w:hideMark/>
          </w:tcPr>
          <w:p w14:paraId="605044B1"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137,060</w:t>
            </w:r>
          </w:p>
        </w:tc>
        <w:tc>
          <w:tcPr>
            <w:tcW w:w="747" w:type="pct"/>
            <w:tcBorders>
              <w:top w:val="single" w:sz="4" w:space="0" w:color="293F5B"/>
              <w:left w:val="nil"/>
              <w:bottom w:val="single" w:sz="4" w:space="0" w:color="293F5B"/>
              <w:right w:val="nil"/>
            </w:tcBorders>
            <w:shd w:val="clear" w:color="000000" w:fill="E6F2FF"/>
            <w:noWrap/>
            <w:vAlign w:val="center"/>
            <w:hideMark/>
          </w:tcPr>
          <w:p w14:paraId="02681EA2"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136,873</w:t>
            </w:r>
          </w:p>
        </w:tc>
        <w:tc>
          <w:tcPr>
            <w:tcW w:w="748" w:type="pct"/>
            <w:tcBorders>
              <w:top w:val="single" w:sz="4" w:space="0" w:color="293F5B"/>
              <w:left w:val="nil"/>
              <w:bottom w:val="single" w:sz="4" w:space="0" w:color="293F5B"/>
              <w:right w:val="nil"/>
            </w:tcBorders>
            <w:shd w:val="clear" w:color="000000" w:fill="FFFFFF"/>
            <w:noWrap/>
            <w:vAlign w:val="center"/>
            <w:hideMark/>
          </w:tcPr>
          <w:p w14:paraId="6F6BE8A4"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-188</w:t>
            </w:r>
          </w:p>
        </w:tc>
      </w:tr>
      <w:tr w:rsidR="00CC63DB" w:rsidRPr="00CC63DB" w14:paraId="0025C7E1" w14:textId="77777777" w:rsidTr="00CC63DB">
        <w:trPr>
          <w:divId w:val="563371070"/>
          <w:trHeight w:hRule="exact" w:val="90"/>
        </w:trPr>
        <w:tc>
          <w:tcPr>
            <w:tcW w:w="2758" w:type="pct"/>
            <w:tcBorders>
              <w:top w:val="nil"/>
              <w:left w:val="nil"/>
              <w:bottom w:val="nil"/>
              <w:right w:val="nil"/>
            </w:tcBorders>
            <w:shd w:val="clear" w:color="000000" w:fill="FFFFFF"/>
            <w:noWrap/>
            <w:vAlign w:val="center"/>
            <w:hideMark/>
          </w:tcPr>
          <w:p w14:paraId="4959B3B1" w14:textId="77777777" w:rsidR="00CC63DB" w:rsidRPr="00CC63DB" w:rsidRDefault="00CC63DB" w:rsidP="00CC63DB">
            <w:pPr>
              <w:spacing w:before="0" w:after="0" w:line="240" w:lineRule="auto"/>
              <w:rPr>
                <w:rFonts w:ascii="Arial" w:hAnsi="Arial" w:cs="Arial"/>
                <w:b/>
                <w:bCs/>
                <w:color w:val="000000"/>
                <w:sz w:val="16"/>
                <w:szCs w:val="16"/>
              </w:rPr>
            </w:pPr>
            <w:r w:rsidRPr="00CC63DB">
              <w:rPr>
                <w:rFonts w:ascii="Arial" w:hAnsi="Arial" w:cs="Arial"/>
                <w:b/>
                <w:bCs/>
                <w:color w:val="000000"/>
                <w:sz w:val="16"/>
                <w:szCs w:val="16"/>
              </w:rPr>
              <w:t> </w:t>
            </w:r>
          </w:p>
        </w:tc>
        <w:tc>
          <w:tcPr>
            <w:tcW w:w="747" w:type="pct"/>
            <w:tcBorders>
              <w:top w:val="nil"/>
              <w:left w:val="nil"/>
              <w:bottom w:val="nil"/>
              <w:right w:val="nil"/>
            </w:tcBorders>
            <w:shd w:val="clear" w:color="000000" w:fill="FFFFFF"/>
            <w:noWrap/>
            <w:vAlign w:val="center"/>
            <w:hideMark/>
          </w:tcPr>
          <w:p w14:paraId="114F7C0C"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 </w:t>
            </w:r>
          </w:p>
        </w:tc>
        <w:tc>
          <w:tcPr>
            <w:tcW w:w="747" w:type="pct"/>
            <w:tcBorders>
              <w:top w:val="nil"/>
              <w:left w:val="nil"/>
              <w:bottom w:val="nil"/>
              <w:right w:val="nil"/>
            </w:tcBorders>
            <w:shd w:val="clear" w:color="000000" w:fill="E6F2FF"/>
            <w:noWrap/>
            <w:vAlign w:val="center"/>
            <w:hideMark/>
          </w:tcPr>
          <w:p w14:paraId="31569DAB"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 </w:t>
            </w:r>
          </w:p>
        </w:tc>
        <w:tc>
          <w:tcPr>
            <w:tcW w:w="748" w:type="pct"/>
            <w:tcBorders>
              <w:top w:val="nil"/>
              <w:left w:val="nil"/>
              <w:bottom w:val="nil"/>
              <w:right w:val="nil"/>
            </w:tcBorders>
            <w:shd w:val="clear" w:color="000000" w:fill="FFFFFF"/>
            <w:noWrap/>
            <w:vAlign w:val="center"/>
            <w:hideMark/>
          </w:tcPr>
          <w:p w14:paraId="62EB83A2"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 </w:t>
            </w:r>
          </w:p>
        </w:tc>
      </w:tr>
      <w:tr w:rsidR="00CC63DB" w:rsidRPr="00CC63DB" w14:paraId="4992DEAB"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4471B70A" w14:textId="77777777" w:rsidR="00CC63DB" w:rsidRPr="00CC63DB" w:rsidRDefault="00CC63DB" w:rsidP="00CC63DB">
            <w:pPr>
              <w:spacing w:before="0" w:after="0" w:line="240" w:lineRule="auto"/>
              <w:rPr>
                <w:rFonts w:ascii="Arial" w:hAnsi="Arial" w:cs="Arial"/>
                <w:b/>
                <w:bCs/>
                <w:color w:val="000000"/>
                <w:sz w:val="16"/>
                <w:szCs w:val="16"/>
              </w:rPr>
            </w:pPr>
            <w:r w:rsidRPr="00CC63DB">
              <w:rPr>
                <w:rFonts w:ascii="Arial" w:hAnsi="Arial" w:cs="Arial"/>
                <w:b/>
                <w:bCs/>
                <w:color w:val="000000"/>
                <w:sz w:val="16"/>
                <w:szCs w:val="16"/>
              </w:rPr>
              <w:t>Taxation receipts</w:t>
            </w:r>
          </w:p>
        </w:tc>
        <w:tc>
          <w:tcPr>
            <w:tcW w:w="747" w:type="pct"/>
            <w:tcBorders>
              <w:top w:val="nil"/>
              <w:left w:val="nil"/>
              <w:bottom w:val="single" w:sz="4" w:space="0" w:color="293F5B"/>
              <w:right w:val="nil"/>
            </w:tcBorders>
            <w:shd w:val="clear" w:color="000000" w:fill="FFFFFF"/>
            <w:noWrap/>
            <w:vAlign w:val="center"/>
            <w:hideMark/>
          </w:tcPr>
          <w:p w14:paraId="5987CC3B"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588,050</w:t>
            </w:r>
          </w:p>
        </w:tc>
        <w:tc>
          <w:tcPr>
            <w:tcW w:w="747" w:type="pct"/>
            <w:tcBorders>
              <w:top w:val="nil"/>
              <w:left w:val="nil"/>
              <w:bottom w:val="single" w:sz="4" w:space="0" w:color="293F5B"/>
              <w:right w:val="nil"/>
            </w:tcBorders>
            <w:shd w:val="clear" w:color="000000" w:fill="E6F2FF"/>
            <w:noWrap/>
            <w:vAlign w:val="center"/>
            <w:hideMark/>
          </w:tcPr>
          <w:p w14:paraId="49B2D43E"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601,300</w:t>
            </w:r>
          </w:p>
        </w:tc>
        <w:tc>
          <w:tcPr>
            <w:tcW w:w="748" w:type="pct"/>
            <w:tcBorders>
              <w:top w:val="nil"/>
              <w:left w:val="nil"/>
              <w:bottom w:val="single" w:sz="4" w:space="0" w:color="293F5B"/>
              <w:right w:val="nil"/>
            </w:tcBorders>
            <w:shd w:val="clear" w:color="000000" w:fill="FFFFFF"/>
            <w:noWrap/>
            <w:vAlign w:val="center"/>
            <w:hideMark/>
          </w:tcPr>
          <w:p w14:paraId="6C851C12"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13,249</w:t>
            </w:r>
          </w:p>
        </w:tc>
      </w:tr>
      <w:tr w:rsidR="00CC63DB" w:rsidRPr="00CC63DB" w14:paraId="3DE72C5F" w14:textId="77777777" w:rsidTr="00CC63DB">
        <w:trPr>
          <w:divId w:val="563371070"/>
          <w:trHeight w:hRule="exact" w:val="90"/>
        </w:trPr>
        <w:tc>
          <w:tcPr>
            <w:tcW w:w="2758" w:type="pct"/>
            <w:tcBorders>
              <w:top w:val="nil"/>
              <w:left w:val="nil"/>
              <w:bottom w:val="nil"/>
              <w:right w:val="nil"/>
            </w:tcBorders>
            <w:shd w:val="clear" w:color="000000" w:fill="FFFFFF"/>
            <w:noWrap/>
            <w:vAlign w:val="center"/>
            <w:hideMark/>
          </w:tcPr>
          <w:p w14:paraId="227510FA" w14:textId="77777777" w:rsidR="00CC63DB" w:rsidRPr="00CC63DB" w:rsidRDefault="00CC63DB" w:rsidP="00CC63DB">
            <w:pPr>
              <w:spacing w:before="0" w:after="0" w:line="240" w:lineRule="auto"/>
              <w:rPr>
                <w:rFonts w:ascii="Arial" w:hAnsi="Arial" w:cs="Arial"/>
                <w:b/>
                <w:bCs/>
                <w:color w:val="000000"/>
                <w:sz w:val="16"/>
                <w:szCs w:val="16"/>
              </w:rPr>
            </w:pPr>
            <w:r w:rsidRPr="00CC63DB">
              <w:rPr>
                <w:rFonts w:ascii="Arial" w:hAnsi="Arial" w:cs="Arial"/>
                <w:b/>
                <w:bCs/>
                <w:color w:val="000000"/>
                <w:sz w:val="16"/>
                <w:szCs w:val="16"/>
              </w:rPr>
              <w:t> </w:t>
            </w:r>
          </w:p>
        </w:tc>
        <w:tc>
          <w:tcPr>
            <w:tcW w:w="747" w:type="pct"/>
            <w:tcBorders>
              <w:top w:val="nil"/>
              <w:left w:val="nil"/>
              <w:bottom w:val="nil"/>
              <w:right w:val="nil"/>
            </w:tcBorders>
            <w:shd w:val="clear" w:color="000000" w:fill="FFFFFF"/>
            <w:noWrap/>
            <w:vAlign w:val="center"/>
            <w:hideMark/>
          </w:tcPr>
          <w:p w14:paraId="00190BE9"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 </w:t>
            </w:r>
          </w:p>
        </w:tc>
        <w:tc>
          <w:tcPr>
            <w:tcW w:w="747" w:type="pct"/>
            <w:tcBorders>
              <w:top w:val="nil"/>
              <w:left w:val="nil"/>
              <w:bottom w:val="nil"/>
              <w:right w:val="nil"/>
            </w:tcBorders>
            <w:shd w:val="clear" w:color="000000" w:fill="E6F2FF"/>
            <w:noWrap/>
            <w:vAlign w:val="center"/>
            <w:hideMark/>
          </w:tcPr>
          <w:p w14:paraId="5BEA88E3"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 </w:t>
            </w:r>
          </w:p>
        </w:tc>
        <w:tc>
          <w:tcPr>
            <w:tcW w:w="748" w:type="pct"/>
            <w:tcBorders>
              <w:top w:val="nil"/>
              <w:left w:val="nil"/>
              <w:bottom w:val="nil"/>
              <w:right w:val="nil"/>
            </w:tcBorders>
            <w:shd w:val="clear" w:color="000000" w:fill="FFFFFF"/>
            <w:noWrap/>
            <w:vAlign w:val="center"/>
            <w:hideMark/>
          </w:tcPr>
          <w:p w14:paraId="4F9262D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r>
      <w:tr w:rsidR="00CC63DB" w:rsidRPr="00CC63DB" w14:paraId="1F56D1AF"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689E16EB"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Sales of goods and services</w:t>
            </w:r>
          </w:p>
        </w:tc>
        <w:tc>
          <w:tcPr>
            <w:tcW w:w="747" w:type="pct"/>
            <w:tcBorders>
              <w:top w:val="nil"/>
              <w:left w:val="nil"/>
              <w:bottom w:val="nil"/>
              <w:right w:val="nil"/>
            </w:tcBorders>
            <w:shd w:val="clear" w:color="000000" w:fill="FFFFFF"/>
            <w:noWrap/>
            <w:vAlign w:val="center"/>
            <w:hideMark/>
          </w:tcPr>
          <w:p w14:paraId="13E2307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19,200</w:t>
            </w:r>
          </w:p>
        </w:tc>
        <w:tc>
          <w:tcPr>
            <w:tcW w:w="747" w:type="pct"/>
            <w:tcBorders>
              <w:top w:val="nil"/>
              <w:left w:val="nil"/>
              <w:bottom w:val="nil"/>
              <w:right w:val="nil"/>
            </w:tcBorders>
            <w:shd w:val="clear" w:color="000000" w:fill="E6F2FF"/>
            <w:noWrap/>
            <w:vAlign w:val="center"/>
            <w:hideMark/>
          </w:tcPr>
          <w:p w14:paraId="676AA2DE"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19,282</w:t>
            </w:r>
          </w:p>
        </w:tc>
        <w:tc>
          <w:tcPr>
            <w:tcW w:w="748" w:type="pct"/>
            <w:tcBorders>
              <w:top w:val="nil"/>
              <w:left w:val="nil"/>
              <w:bottom w:val="nil"/>
              <w:right w:val="nil"/>
            </w:tcBorders>
            <w:shd w:val="clear" w:color="000000" w:fill="FFFFFF"/>
            <w:noWrap/>
            <w:vAlign w:val="center"/>
            <w:hideMark/>
          </w:tcPr>
          <w:p w14:paraId="00F703B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82</w:t>
            </w:r>
          </w:p>
        </w:tc>
      </w:tr>
      <w:tr w:rsidR="00CC63DB" w:rsidRPr="00CC63DB" w14:paraId="440F55CD"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60B6FB9E"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Interest received</w:t>
            </w:r>
          </w:p>
        </w:tc>
        <w:tc>
          <w:tcPr>
            <w:tcW w:w="747" w:type="pct"/>
            <w:tcBorders>
              <w:top w:val="nil"/>
              <w:left w:val="nil"/>
              <w:bottom w:val="nil"/>
              <w:right w:val="nil"/>
            </w:tcBorders>
            <w:shd w:val="clear" w:color="000000" w:fill="FFFFFF"/>
            <w:noWrap/>
            <w:vAlign w:val="center"/>
            <w:hideMark/>
          </w:tcPr>
          <w:p w14:paraId="66DFC7F5"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6,115</w:t>
            </w:r>
          </w:p>
        </w:tc>
        <w:tc>
          <w:tcPr>
            <w:tcW w:w="747" w:type="pct"/>
            <w:tcBorders>
              <w:top w:val="nil"/>
              <w:left w:val="nil"/>
              <w:bottom w:val="nil"/>
              <w:right w:val="nil"/>
            </w:tcBorders>
            <w:shd w:val="clear" w:color="000000" w:fill="E6F2FF"/>
            <w:noWrap/>
            <w:vAlign w:val="center"/>
            <w:hideMark/>
          </w:tcPr>
          <w:p w14:paraId="3206E536"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7,009</w:t>
            </w:r>
          </w:p>
        </w:tc>
        <w:tc>
          <w:tcPr>
            <w:tcW w:w="748" w:type="pct"/>
            <w:tcBorders>
              <w:top w:val="nil"/>
              <w:left w:val="nil"/>
              <w:bottom w:val="nil"/>
              <w:right w:val="nil"/>
            </w:tcBorders>
            <w:shd w:val="clear" w:color="000000" w:fill="FFFFFF"/>
            <w:noWrap/>
            <w:vAlign w:val="center"/>
            <w:hideMark/>
          </w:tcPr>
          <w:p w14:paraId="4D940EF9"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894</w:t>
            </w:r>
          </w:p>
        </w:tc>
      </w:tr>
      <w:tr w:rsidR="00CC63DB" w:rsidRPr="00CC63DB" w14:paraId="3CFF4D83"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1B5B702B"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Dividends and distributions</w:t>
            </w:r>
          </w:p>
        </w:tc>
        <w:tc>
          <w:tcPr>
            <w:tcW w:w="747" w:type="pct"/>
            <w:tcBorders>
              <w:top w:val="nil"/>
              <w:left w:val="nil"/>
              <w:bottom w:val="nil"/>
              <w:right w:val="nil"/>
            </w:tcBorders>
            <w:shd w:val="clear" w:color="000000" w:fill="FFFFFF"/>
            <w:noWrap/>
            <w:vAlign w:val="center"/>
            <w:hideMark/>
          </w:tcPr>
          <w:p w14:paraId="1DEADB2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5,407</w:t>
            </w:r>
          </w:p>
        </w:tc>
        <w:tc>
          <w:tcPr>
            <w:tcW w:w="747" w:type="pct"/>
            <w:tcBorders>
              <w:top w:val="nil"/>
              <w:left w:val="nil"/>
              <w:bottom w:val="nil"/>
              <w:right w:val="nil"/>
            </w:tcBorders>
            <w:shd w:val="clear" w:color="000000" w:fill="E6F2FF"/>
            <w:noWrap/>
            <w:vAlign w:val="center"/>
            <w:hideMark/>
          </w:tcPr>
          <w:p w14:paraId="55E6C747"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5,164</w:t>
            </w:r>
          </w:p>
        </w:tc>
        <w:tc>
          <w:tcPr>
            <w:tcW w:w="748" w:type="pct"/>
            <w:tcBorders>
              <w:top w:val="nil"/>
              <w:left w:val="nil"/>
              <w:bottom w:val="nil"/>
              <w:right w:val="nil"/>
            </w:tcBorders>
            <w:shd w:val="clear" w:color="000000" w:fill="FFFFFF"/>
            <w:noWrap/>
            <w:vAlign w:val="center"/>
            <w:hideMark/>
          </w:tcPr>
          <w:p w14:paraId="1177D3A6"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-244</w:t>
            </w:r>
          </w:p>
        </w:tc>
      </w:tr>
      <w:tr w:rsidR="00CC63DB" w:rsidRPr="00CC63DB" w14:paraId="349D96D9"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294D7C00" w14:textId="77777777" w:rsidR="00CC63DB" w:rsidRPr="00CC63DB" w:rsidRDefault="00CC63DB" w:rsidP="00CC63DB">
            <w:pPr>
              <w:spacing w:before="0" w:after="0" w:line="240" w:lineRule="auto"/>
              <w:rPr>
                <w:rFonts w:ascii="Arial" w:hAnsi="Arial" w:cs="Arial"/>
                <w:color w:val="000000"/>
                <w:sz w:val="16"/>
                <w:szCs w:val="16"/>
              </w:rPr>
            </w:pPr>
            <w:r w:rsidRPr="00CC63DB">
              <w:rPr>
                <w:rFonts w:ascii="Arial" w:hAnsi="Arial" w:cs="Arial"/>
                <w:color w:val="000000"/>
                <w:sz w:val="16"/>
                <w:szCs w:val="16"/>
              </w:rPr>
              <w:t>Other non-taxation receipts</w:t>
            </w:r>
          </w:p>
        </w:tc>
        <w:tc>
          <w:tcPr>
            <w:tcW w:w="747" w:type="pct"/>
            <w:tcBorders>
              <w:top w:val="nil"/>
              <w:left w:val="nil"/>
              <w:bottom w:val="nil"/>
              <w:right w:val="nil"/>
            </w:tcBorders>
            <w:shd w:val="clear" w:color="000000" w:fill="FFFFFF"/>
            <w:noWrap/>
            <w:vAlign w:val="center"/>
            <w:hideMark/>
          </w:tcPr>
          <w:p w14:paraId="1C9AC493"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16,820</w:t>
            </w:r>
          </w:p>
        </w:tc>
        <w:tc>
          <w:tcPr>
            <w:tcW w:w="747" w:type="pct"/>
            <w:tcBorders>
              <w:top w:val="nil"/>
              <w:left w:val="nil"/>
              <w:bottom w:val="single" w:sz="4" w:space="0" w:color="000000"/>
              <w:right w:val="nil"/>
            </w:tcBorders>
            <w:shd w:val="clear" w:color="000000" w:fill="E6F2FF"/>
            <w:noWrap/>
            <w:vAlign w:val="center"/>
            <w:hideMark/>
          </w:tcPr>
          <w:p w14:paraId="7873F432"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16,722</w:t>
            </w:r>
          </w:p>
        </w:tc>
        <w:tc>
          <w:tcPr>
            <w:tcW w:w="748" w:type="pct"/>
            <w:tcBorders>
              <w:top w:val="nil"/>
              <w:left w:val="nil"/>
              <w:bottom w:val="nil"/>
              <w:right w:val="nil"/>
            </w:tcBorders>
            <w:shd w:val="clear" w:color="000000" w:fill="FFFFFF"/>
            <w:noWrap/>
            <w:vAlign w:val="center"/>
            <w:hideMark/>
          </w:tcPr>
          <w:p w14:paraId="136C163B"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-98</w:t>
            </w:r>
          </w:p>
        </w:tc>
      </w:tr>
      <w:tr w:rsidR="00CC63DB" w:rsidRPr="00CC63DB" w14:paraId="15696D50"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1CB0CC44" w14:textId="77777777" w:rsidR="00CC63DB" w:rsidRPr="00CC63DB" w:rsidRDefault="00CC63DB" w:rsidP="00CC63DB">
            <w:pPr>
              <w:spacing w:before="0" w:after="0" w:line="240" w:lineRule="auto"/>
              <w:rPr>
                <w:rFonts w:ascii="Arial" w:hAnsi="Arial" w:cs="Arial"/>
                <w:b/>
                <w:bCs/>
                <w:color w:val="000000"/>
                <w:sz w:val="16"/>
                <w:szCs w:val="16"/>
              </w:rPr>
            </w:pPr>
            <w:r w:rsidRPr="00CC63DB">
              <w:rPr>
                <w:rFonts w:ascii="Arial" w:hAnsi="Arial" w:cs="Arial"/>
                <w:b/>
                <w:bCs/>
                <w:color w:val="000000"/>
                <w:sz w:val="16"/>
                <w:szCs w:val="16"/>
              </w:rPr>
              <w:t>Non-taxation receipts</w:t>
            </w:r>
          </w:p>
        </w:tc>
        <w:tc>
          <w:tcPr>
            <w:tcW w:w="747" w:type="pct"/>
            <w:tcBorders>
              <w:top w:val="single" w:sz="4" w:space="0" w:color="000000"/>
              <w:left w:val="nil"/>
              <w:bottom w:val="single" w:sz="4" w:space="0" w:color="000000"/>
              <w:right w:val="nil"/>
            </w:tcBorders>
            <w:shd w:val="clear" w:color="000000" w:fill="FFFFFF"/>
            <w:noWrap/>
            <w:vAlign w:val="center"/>
            <w:hideMark/>
          </w:tcPr>
          <w:p w14:paraId="4599007B"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47,543</w:t>
            </w:r>
          </w:p>
        </w:tc>
        <w:tc>
          <w:tcPr>
            <w:tcW w:w="747" w:type="pct"/>
            <w:tcBorders>
              <w:top w:val="nil"/>
              <w:left w:val="nil"/>
              <w:bottom w:val="single" w:sz="4" w:space="0" w:color="000000"/>
              <w:right w:val="nil"/>
            </w:tcBorders>
            <w:shd w:val="clear" w:color="000000" w:fill="E6F2FF"/>
            <w:noWrap/>
            <w:vAlign w:val="center"/>
            <w:hideMark/>
          </w:tcPr>
          <w:p w14:paraId="19B435DE"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48,177</w:t>
            </w:r>
          </w:p>
        </w:tc>
        <w:tc>
          <w:tcPr>
            <w:tcW w:w="748" w:type="pct"/>
            <w:tcBorders>
              <w:top w:val="single" w:sz="4" w:space="0" w:color="000000"/>
              <w:left w:val="nil"/>
              <w:bottom w:val="single" w:sz="4" w:space="0" w:color="000000"/>
              <w:right w:val="nil"/>
            </w:tcBorders>
            <w:shd w:val="clear" w:color="000000" w:fill="FFFFFF"/>
            <w:noWrap/>
            <w:vAlign w:val="center"/>
            <w:hideMark/>
          </w:tcPr>
          <w:p w14:paraId="31834E8E"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634</w:t>
            </w:r>
          </w:p>
        </w:tc>
      </w:tr>
      <w:tr w:rsidR="00CC63DB" w:rsidRPr="00CC63DB" w14:paraId="4EDC488B" w14:textId="77777777" w:rsidTr="00CC63DB">
        <w:trPr>
          <w:divId w:val="563371070"/>
          <w:trHeight w:hRule="exact" w:val="90"/>
        </w:trPr>
        <w:tc>
          <w:tcPr>
            <w:tcW w:w="2758" w:type="pct"/>
            <w:tcBorders>
              <w:top w:val="nil"/>
              <w:left w:val="nil"/>
              <w:bottom w:val="nil"/>
              <w:right w:val="nil"/>
            </w:tcBorders>
            <w:shd w:val="clear" w:color="000000" w:fill="FFFFFF"/>
            <w:noWrap/>
            <w:vAlign w:val="center"/>
            <w:hideMark/>
          </w:tcPr>
          <w:p w14:paraId="089353BB" w14:textId="77777777" w:rsidR="00CC63DB" w:rsidRPr="00CC63DB" w:rsidRDefault="00CC63DB" w:rsidP="00CC63DB">
            <w:pPr>
              <w:spacing w:before="0" w:after="0" w:line="240" w:lineRule="auto"/>
              <w:rPr>
                <w:rFonts w:ascii="Arial" w:hAnsi="Arial" w:cs="Arial"/>
                <w:b/>
                <w:bCs/>
                <w:color w:val="000000"/>
                <w:sz w:val="16"/>
                <w:szCs w:val="16"/>
              </w:rPr>
            </w:pPr>
            <w:r w:rsidRPr="00CC63DB">
              <w:rPr>
                <w:rFonts w:ascii="Arial" w:hAnsi="Arial" w:cs="Arial"/>
                <w:b/>
                <w:bCs/>
                <w:color w:val="000000"/>
                <w:sz w:val="16"/>
                <w:szCs w:val="16"/>
              </w:rPr>
              <w:t> </w:t>
            </w:r>
          </w:p>
        </w:tc>
        <w:tc>
          <w:tcPr>
            <w:tcW w:w="747" w:type="pct"/>
            <w:tcBorders>
              <w:top w:val="nil"/>
              <w:left w:val="nil"/>
              <w:bottom w:val="nil"/>
              <w:right w:val="nil"/>
            </w:tcBorders>
            <w:shd w:val="clear" w:color="000000" w:fill="FFFFFF"/>
            <w:noWrap/>
            <w:vAlign w:val="center"/>
            <w:hideMark/>
          </w:tcPr>
          <w:p w14:paraId="16FFF338"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c>
          <w:tcPr>
            <w:tcW w:w="747" w:type="pct"/>
            <w:tcBorders>
              <w:top w:val="nil"/>
              <w:left w:val="nil"/>
              <w:bottom w:val="nil"/>
              <w:right w:val="nil"/>
            </w:tcBorders>
            <w:shd w:val="clear" w:color="000000" w:fill="E6F2FF"/>
            <w:noWrap/>
            <w:vAlign w:val="center"/>
            <w:hideMark/>
          </w:tcPr>
          <w:p w14:paraId="74226D5A"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c>
          <w:tcPr>
            <w:tcW w:w="748" w:type="pct"/>
            <w:tcBorders>
              <w:top w:val="nil"/>
              <w:left w:val="nil"/>
              <w:bottom w:val="nil"/>
              <w:right w:val="nil"/>
            </w:tcBorders>
            <w:shd w:val="clear" w:color="000000" w:fill="FFFFFF"/>
            <w:noWrap/>
            <w:vAlign w:val="center"/>
            <w:hideMark/>
          </w:tcPr>
          <w:p w14:paraId="67CA16DF" w14:textId="77777777" w:rsidR="00CC63DB" w:rsidRPr="00CC63DB" w:rsidRDefault="00CC63DB" w:rsidP="00CC63DB">
            <w:pPr>
              <w:spacing w:before="0" w:after="0" w:line="240" w:lineRule="auto"/>
              <w:jc w:val="right"/>
              <w:rPr>
                <w:rFonts w:ascii="Arial" w:hAnsi="Arial" w:cs="Arial"/>
                <w:color w:val="000000"/>
                <w:sz w:val="16"/>
                <w:szCs w:val="16"/>
              </w:rPr>
            </w:pPr>
            <w:r w:rsidRPr="00CC63DB">
              <w:rPr>
                <w:rFonts w:ascii="Arial" w:hAnsi="Arial" w:cs="Arial"/>
                <w:color w:val="000000"/>
                <w:sz w:val="16"/>
                <w:szCs w:val="16"/>
              </w:rPr>
              <w:t> </w:t>
            </w:r>
          </w:p>
        </w:tc>
      </w:tr>
      <w:tr w:rsidR="00CC63DB" w:rsidRPr="00CC63DB" w14:paraId="572C379B" w14:textId="77777777" w:rsidTr="00CC63DB">
        <w:trPr>
          <w:divId w:val="563371070"/>
          <w:trHeight w:hRule="exact" w:val="210"/>
        </w:trPr>
        <w:tc>
          <w:tcPr>
            <w:tcW w:w="2758" w:type="pct"/>
            <w:tcBorders>
              <w:top w:val="nil"/>
              <w:left w:val="nil"/>
              <w:bottom w:val="nil"/>
              <w:right w:val="nil"/>
            </w:tcBorders>
            <w:shd w:val="clear" w:color="000000" w:fill="FFFFFF"/>
            <w:noWrap/>
            <w:vAlign w:val="center"/>
            <w:hideMark/>
          </w:tcPr>
          <w:p w14:paraId="73D7ED09" w14:textId="77777777" w:rsidR="00CC63DB" w:rsidRPr="00CC63DB" w:rsidRDefault="00CC63DB" w:rsidP="00CC63DB">
            <w:pPr>
              <w:spacing w:before="0" w:after="0" w:line="240" w:lineRule="auto"/>
              <w:rPr>
                <w:rFonts w:ascii="Arial" w:hAnsi="Arial" w:cs="Arial"/>
                <w:b/>
                <w:bCs/>
                <w:color w:val="000000"/>
                <w:sz w:val="16"/>
                <w:szCs w:val="16"/>
              </w:rPr>
            </w:pPr>
            <w:r w:rsidRPr="00CC63DB">
              <w:rPr>
                <w:rFonts w:ascii="Arial" w:hAnsi="Arial" w:cs="Arial"/>
                <w:b/>
                <w:bCs/>
                <w:color w:val="000000"/>
                <w:sz w:val="16"/>
                <w:szCs w:val="16"/>
              </w:rPr>
              <w:t>Total receipts</w:t>
            </w:r>
          </w:p>
        </w:tc>
        <w:tc>
          <w:tcPr>
            <w:tcW w:w="747" w:type="pct"/>
            <w:tcBorders>
              <w:top w:val="nil"/>
              <w:left w:val="nil"/>
              <w:bottom w:val="nil"/>
              <w:right w:val="nil"/>
            </w:tcBorders>
            <w:shd w:val="clear" w:color="000000" w:fill="FFFFFF"/>
            <w:noWrap/>
            <w:vAlign w:val="center"/>
            <w:hideMark/>
          </w:tcPr>
          <w:p w14:paraId="3DAD6BBB"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635,593</w:t>
            </w:r>
          </w:p>
        </w:tc>
        <w:tc>
          <w:tcPr>
            <w:tcW w:w="747" w:type="pct"/>
            <w:tcBorders>
              <w:top w:val="nil"/>
              <w:left w:val="nil"/>
              <w:bottom w:val="nil"/>
              <w:right w:val="nil"/>
            </w:tcBorders>
            <w:shd w:val="clear" w:color="000000" w:fill="E6F2FF"/>
            <w:noWrap/>
            <w:vAlign w:val="center"/>
            <w:hideMark/>
          </w:tcPr>
          <w:p w14:paraId="410AA958"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649,477</w:t>
            </w:r>
          </w:p>
        </w:tc>
        <w:tc>
          <w:tcPr>
            <w:tcW w:w="748" w:type="pct"/>
            <w:tcBorders>
              <w:top w:val="nil"/>
              <w:left w:val="nil"/>
              <w:bottom w:val="nil"/>
              <w:right w:val="nil"/>
            </w:tcBorders>
            <w:shd w:val="clear" w:color="000000" w:fill="FFFFFF"/>
            <w:noWrap/>
            <w:vAlign w:val="center"/>
            <w:hideMark/>
          </w:tcPr>
          <w:p w14:paraId="510F6897"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13,884</w:t>
            </w:r>
          </w:p>
        </w:tc>
      </w:tr>
      <w:tr w:rsidR="00CC63DB" w:rsidRPr="00CC63DB" w14:paraId="3E2DBDA4" w14:textId="77777777" w:rsidTr="00CC63DB">
        <w:trPr>
          <w:divId w:val="563371070"/>
          <w:trHeight w:hRule="exact" w:val="210"/>
        </w:trPr>
        <w:tc>
          <w:tcPr>
            <w:tcW w:w="2758" w:type="pct"/>
            <w:tcBorders>
              <w:top w:val="single" w:sz="4" w:space="0" w:color="293F5B"/>
              <w:left w:val="nil"/>
              <w:bottom w:val="nil"/>
              <w:right w:val="nil"/>
            </w:tcBorders>
            <w:shd w:val="clear" w:color="000000" w:fill="FFFFFF"/>
            <w:noWrap/>
            <w:vAlign w:val="bottom"/>
            <w:hideMark/>
          </w:tcPr>
          <w:p w14:paraId="565E0B7A" w14:textId="77777777" w:rsidR="00CC63DB" w:rsidRPr="00CC63DB" w:rsidRDefault="00CC63DB" w:rsidP="00CC63DB">
            <w:pPr>
              <w:spacing w:before="0" w:after="0" w:line="240" w:lineRule="auto"/>
              <w:rPr>
                <w:rFonts w:ascii="Arial" w:hAnsi="Arial" w:cs="Arial"/>
                <w:i/>
                <w:iCs/>
                <w:color w:val="000000"/>
                <w:sz w:val="16"/>
                <w:szCs w:val="16"/>
              </w:rPr>
            </w:pPr>
            <w:r w:rsidRPr="00CC63DB">
              <w:rPr>
                <w:rFonts w:ascii="Arial" w:hAnsi="Arial" w:cs="Arial"/>
                <w:i/>
                <w:iCs/>
                <w:color w:val="000000"/>
                <w:sz w:val="16"/>
                <w:szCs w:val="16"/>
              </w:rPr>
              <w:t>Memorandum:</w:t>
            </w:r>
          </w:p>
        </w:tc>
        <w:tc>
          <w:tcPr>
            <w:tcW w:w="747" w:type="pct"/>
            <w:tcBorders>
              <w:top w:val="single" w:sz="4" w:space="0" w:color="293F5B"/>
              <w:left w:val="nil"/>
              <w:bottom w:val="nil"/>
              <w:right w:val="nil"/>
            </w:tcBorders>
            <w:shd w:val="clear" w:color="000000" w:fill="FFFFFF"/>
            <w:noWrap/>
            <w:vAlign w:val="center"/>
            <w:hideMark/>
          </w:tcPr>
          <w:p w14:paraId="70EB1CD0"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 </w:t>
            </w:r>
          </w:p>
        </w:tc>
        <w:tc>
          <w:tcPr>
            <w:tcW w:w="747" w:type="pct"/>
            <w:tcBorders>
              <w:top w:val="single" w:sz="4" w:space="0" w:color="293F5B"/>
              <w:left w:val="nil"/>
              <w:bottom w:val="nil"/>
              <w:right w:val="nil"/>
            </w:tcBorders>
            <w:shd w:val="clear" w:color="000000" w:fill="E6F2FF"/>
            <w:noWrap/>
            <w:vAlign w:val="center"/>
            <w:hideMark/>
          </w:tcPr>
          <w:p w14:paraId="06BD3B12"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 </w:t>
            </w:r>
          </w:p>
        </w:tc>
        <w:tc>
          <w:tcPr>
            <w:tcW w:w="748" w:type="pct"/>
            <w:tcBorders>
              <w:top w:val="single" w:sz="4" w:space="0" w:color="293F5B"/>
              <w:left w:val="nil"/>
              <w:bottom w:val="nil"/>
              <w:right w:val="nil"/>
            </w:tcBorders>
            <w:shd w:val="clear" w:color="000000" w:fill="FFFFFF"/>
            <w:noWrap/>
            <w:vAlign w:val="center"/>
            <w:hideMark/>
          </w:tcPr>
          <w:p w14:paraId="248FDD69" w14:textId="77777777" w:rsidR="00CC63DB" w:rsidRPr="00CC63DB" w:rsidRDefault="00CC63DB" w:rsidP="00CC63DB">
            <w:pPr>
              <w:spacing w:before="0" w:after="0" w:line="240" w:lineRule="auto"/>
              <w:jc w:val="right"/>
              <w:rPr>
                <w:rFonts w:ascii="Arial" w:hAnsi="Arial" w:cs="Arial"/>
                <w:b/>
                <w:bCs/>
                <w:color w:val="000000"/>
                <w:sz w:val="16"/>
                <w:szCs w:val="16"/>
              </w:rPr>
            </w:pPr>
            <w:r w:rsidRPr="00CC63DB">
              <w:rPr>
                <w:rFonts w:ascii="Arial" w:hAnsi="Arial" w:cs="Arial"/>
                <w:b/>
                <w:bCs/>
                <w:color w:val="000000"/>
                <w:sz w:val="16"/>
                <w:szCs w:val="16"/>
              </w:rPr>
              <w:t> </w:t>
            </w:r>
          </w:p>
        </w:tc>
      </w:tr>
      <w:tr w:rsidR="00CC63DB" w:rsidRPr="00CC63DB" w14:paraId="4F1A26EF" w14:textId="77777777" w:rsidTr="00CC63DB">
        <w:trPr>
          <w:divId w:val="563371070"/>
          <w:trHeight w:hRule="exact" w:val="210"/>
        </w:trPr>
        <w:tc>
          <w:tcPr>
            <w:tcW w:w="2758" w:type="pct"/>
            <w:tcBorders>
              <w:top w:val="nil"/>
              <w:left w:val="nil"/>
              <w:bottom w:val="nil"/>
              <w:right w:val="nil"/>
            </w:tcBorders>
            <w:shd w:val="clear" w:color="000000" w:fill="FFFFFF"/>
            <w:noWrap/>
            <w:vAlign w:val="bottom"/>
            <w:hideMark/>
          </w:tcPr>
          <w:p w14:paraId="7BD114C4" w14:textId="77777777" w:rsidR="00CC63DB" w:rsidRPr="00CC63DB" w:rsidRDefault="00CC63DB" w:rsidP="00CC63DB">
            <w:pPr>
              <w:spacing w:before="0" w:after="0" w:line="240" w:lineRule="auto"/>
              <w:ind w:left="170"/>
              <w:rPr>
                <w:rFonts w:ascii="Arial" w:hAnsi="Arial" w:cs="Arial"/>
                <w:i/>
                <w:iCs/>
                <w:color w:val="000000"/>
                <w:sz w:val="16"/>
                <w:szCs w:val="16"/>
              </w:rPr>
            </w:pPr>
            <w:r w:rsidRPr="00CC63DB">
              <w:rPr>
                <w:rFonts w:ascii="Arial" w:hAnsi="Arial" w:cs="Arial"/>
                <w:i/>
                <w:iCs/>
                <w:color w:val="000000"/>
                <w:sz w:val="16"/>
                <w:szCs w:val="16"/>
              </w:rPr>
              <w:t>Total excise</w:t>
            </w:r>
          </w:p>
        </w:tc>
        <w:tc>
          <w:tcPr>
            <w:tcW w:w="747" w:type="pct"/>
            <w:tcBorders>
              <w:top w:val="nil"/>
              <w:left w:val="nil"/>
              <w:bottom w:val="nil"/>
              <w:right w:val="nil"/>
            </w:tcBorders>
            <w:shd w:val="clear" w:color="000000" w:fill="FFFFFF"/>
            <w:noWrap/>
            <w:vAlign w:val="center"/>
            <w:hideMark/>
          </w:tcPr>
          <w:p w14:paraId="1F169B64" w14:textId="77777777" w:rsidR="00CC63DB" w:rsidRPr="00CC63DB" w:rsidRDefault="00CC63DB" w:rsidP="00CC63DB">
            <w:pPr>
              <w:spacing w:before="0" w:after="0" w:line="240" w:lineRule="auto"/>
              <w:jc w:val="right"/>
              <w:rPr>
                <w:rFonts w:ascii="Arial" w:hAnsi="Arial" w:cs="Arial"/>
                <w:i/>
                <w:iCs/>
                <w:color w:val="000000"/>
                <w:sz w:val="16"/>
                <w:szCs w:val="16"/>
              </w:rPr>
            </w:pPr>
            <w:r w:rsidRPr="00CC63DB">
              <w:rPr>
                <w:rFonts w:ascii="Arial" w:hAnsi="Arial" w:cs="Arial"/>
                <w:i/>
                <w:iCs/>
                <w:color w:val="000000"/>
                <w:sz w:val="16"/>
                <w:szCs w:val="16"/>
              </w:rPr>
              <w:t>26,070</w:t>
            </w:r>
          </w:p>
        </w:tc>
        <w:tc>
          <w:tcPr>
            <w:tcW w:w="747" w:type="pct"/>
            <w:tcBorders>
              <w:top w:val="nil"/>
              <w:left w:val="nil"/>
              <w:bottom w:val="nil"/>
              <w:right w:val="nil"/>
            </w:tcBorders>
            <w:shd w:val="clear" w:color="000000" w:fill="E6F2FF"/>
            <w:noWrap/>
            <w:vAlign w:val="center"/>
            <w:hideMark/>
          </w:tcPr>
          <w:p w14:paraId="41540C4B" w14:textId="77777777" w:rsidR="00CC63DB" w:rsidRPr="00CC63DB" w:rsidRDefault="00CC63DB" w:rsidP="00CC63DB">
            <w:pPr>
              <w:spacing w:before="0" w:after="0" w:line="240" w:lineRule="auto"/>
              <w:jc w:val="right"/>
              <w:rPr>
                <w:rFonts w:ascii="Arial" w:hAnsi="Arial" w:cs="Arial"/>
                <w:i/>
                <w:iCs/>
                <w:color w:val="000000"/>
                <w:sz w:val="16"/>
                <w:szCs w:val="16"/>
              </w:rPr>
            </w:pPr>
            <w:r w:rsidRPr="00CC63DB">
              <w:rPr>
                <w:rFonts w:ascii="Arial" w:hAnsi="Arial" w:cs="Arial"/>
                <w:i/>
                <w:iCs/>
                <w:color w:val="000000"/>
                <w:sz w:val="16"/>
                <w:szCs w:val="16"/>
              </w:rPr>
              <w:t>26,022</w:t>
            </w:r>
          </w:p>
        </w:tc>
        <w:tc>
          <w:tcPr>
            <w:tcW w:w="748" w:type="pct"/>
            <w:tcBorders>
              <w:top w:val="nil"/>
              <w:left w:val="nil"/>
              <w:bottom w:val="nil"/>
              <w:right w:val="nil"/>
            </w:tcBorders>
            <w:shd w:val="clear" w:color="000000" w:fill="FFFFFF"/>
            <w:noWrap/>
            <w:vAlign w:val="center"/>
            <w:hideMark/>
          </w:tcPr>
          <w:p w14:paraId="50685F3A" w14:textId="77777777" w:rsidR="00CC63DB" w:rsidRPr="00CC63DB" w:rsidRDefault="00CC63DB" w:rsidP="00CC63DB">
            <w:pPr>
              <w:spacing w:before="0" w:after="0" w:line="240" w:lineRule="auto"/>
              <w:jc w:val="right"/>
              <w:rPr>
                <w:rFonts w:ascii="Arial" w:hAnsi="Arial" w:cs="Arial"/>
                <w:i/>
                <w:iCs/>
                <w:color w:val="000000"/>
                <w:sz w:val="16"/>
                <w:szCs w:val="16"/>
              </w:rPr>
            </w:pPr>
            <w:r w:rsidRPr="00CC63DB">
              <w:rPr>
                <w:rFonts w:ascii="Arial" w:hAnsi="Arial" w:cs="Arial"/>
                <w:i/>
                <w:iCs/>
                <w:color w:val="000000"/>
                <w:sz w:val="16"/>
                <w:szCs w:val="16"/>
              </w:rPr>
              <w:t>-48</w:t>
            </w:r>
          </w:p>
        </w:tc>
      </w:tr>
      <w:tr w:rsidR="00CC63DB" w:rsidRPr="00CC63DB" w14:paraId="4D80FC47" w14:textId="77777777" w:rsidTr="00CC63DB">
        <w:trPr>
          <w:divId w:val="563371070"/>
          <w:trHeight w:hRule="exact" w:val="210"/>
        </w:trPr>
        <w:tc>
          <w:tcPr>
            <w:tcW w:w="2758" w:type="pct"/>
            <w:tcBorders>
              <w:top w:val="nil"/>
              <w:left w:val="nil"/>
              <w:bottom w:val="single" w:sz="4" w:space="0" w:color="293F5B"/>
              <w:right w:val="nil"/>
            </w:tcBorders>
            <w:shd w:val="clear" w:color="000000" w:fill="FFFFFF"/>
            <w:noWrap/>
            <w:vAlign w:val="bottom"/>
            <w:hideMark/>
          </w:tcPr>
          <w:p w14:paraId="39548A1F" w14:textId="77777777" w:rsidR="00CC63DB" w:rsidRPr="00CC63DB" w:rsidRDefault="00CC63DB" w:rsidP="00CC63DB">
            <w:pPr>
              <w:spacing w:before="0" w:after="0" w:line="240" w:lineRule="auto"/>
              <w:ind w:left="170"/>
              <w:rPr>
                <w:rFonts w:ascii="Arial" w:hAnsi="Arial" w:cs="Arial"/>
                <w:i/>
                <w:iCs/>
                <w:color w:val="000000"/>
                <w:sz w:val="16"/>
                <w:szCs w:val="16"/>
              </w:rPr>
            </w:pPr>
            <w:r w:rsidRPr="00CC63DB">
              <w:rPr>
                <w:rFonts w:ascii="Arial" w:hAnsi="Arial" w:cs="Arial"/>
                <w:i/>
                <w:iCs/>
                <w:color w:val="000000"/>
                <w:sz w:val="16"/>
                <w:szCs w:val="16"/>
              </w:rPr>
              <w:t>Total customs duty</w:t>
            </w:r>
          </w:p>
        </w:tc>
        <w:tc>
          <w:tcPr>
            <w:tcW w:w="747" w:type="pct"/>
            <w:tcBorders>
              <w:top w:val="nil"/>
              <w:left w:val="nil"/>
              <w:bottom w:val="single" w:sz="4" w:space="0" w:color="293F5B"/>
              <w:right w:val="nil"/>
            </w:tcBorders>
            <w:shd w:val="clear" w:color="000000" w:fill="FFFFFF"/>
            <w:noWrap/>
            <w:vAlign w:val="center"/>
            <w:hideMark/>
          </w:tcPr>
          <w:p w14:paraId="7B43A54B" w14:textId="77777777" w:rsidR="00CC63DB" w:rsidRPr="00CC63DB" w:rsidRDefault="00CC63DB" w:rsidP="00CC63DB">
            <w:pPr>
              <w:spacing w:before="0" w:after="0" w:line="240" w:lineRule="auto"/>
              <w:jc w:val="right"/>
              <w:rPr>
                <w:rFonts w:ascii="Arial" w:hAnsi="Arial" w:cs="Arial"/>
                <w:i/>
                <w:iCs/>
                <w:color w:val="000000"/>
                <w:sz w:val="16"/>
                <w:szCs w:val="16"/>
              </w:rPr>
            </w:pPr>
            <w:r w:rsidRPr="00CC63DB">
              <w:rPr>
                <w:rFonts w:ascii="Arial" w:hAnsi="Arial" w:cs="Arial"/>
                <w:i/>
                <w:iCs/>
                <w:color w:val="000000"/>
                <w:sz w:val="16"/>
                <w:szCs w:val="16"/>
              </w:rPr>
              <w:t>17,180</w:t>
            </w:r>
          </w:p>
        </w:tc>
        <w:tc>
          <w:tcPr>
            <w:tcW w:w="747" w:type="pct"/>
            <w:tcBorders>
              <w:top w:val="nil"/>
              <w:left w:val="nil"/>
              <w:bottom w:val="single" w:sz="4" w:space="0" w:color="293F5B"/>
              <w:right w:val="nil"/>
            </w:tcBorders>
            <w:shd w:val="clear" w:color="000000" w:fill="E6F2FF"/>
            <w:noWrap/>
            <w:vAlign w:val="center"/>
            <w:hideMark/>
          </w:tcPr>
          <w:p w14:paraId="6D292CDF" w14:textId="77777777" w:rsidR="00CC63DB" w:rsidRPr="00CC63DB" w:rsidRDefault="00CC63DB" w:rsidP="00CC63DB">
            <w:pPr>
              <w:spacing w:before="0" w:after="0" w:line="240" w:lineRule="auto"/>
              <w:jc w:val="right"/>
              <w:rPr>
                <w:rFonts w:ascii="Arial" w:hAnsi="Arial" w:cs="Arial"/>
                <w:i/>
                <w:iCs/>
                <w:color w:val="000000"/>
                <w:sz w:val="16"/>
                <w:szCs w:val="16"/>
              </w:rPr>
            </w:pPr>
            <w:r w:rsidRPr="00CC63DB">
              <w:rPr>
                <w:rFonts w:ascii="Arial" w:hAnsi="Arial" w:cs="Arial"/>
                <w:i/>
                <w:iCs/>
                <w:color w:val="000000"/>
                <w:sz w:val="16"/>
                <w:szCs w:val="16"/>
              </w:rPr>
              <w:t>17,006</w:t>
            </w:r>
          </w:p>
        </w:tc>
        <w:tc>
          <w:tcPr>
            <w:tcW w:w="748" w:type="pct"/>
            <w:tcBorders>
              <w:top w:val="nil"/>
              <w:left w:val="nil"/>
              <w:bottom w:val="single" w:sz="4" w:space="0" w:color="293F5B"/>
              <w:right w:val="nil"/>
            </w:tcBorders>
            <w:shd w:val="clear" w:color="000000" w:fill="FFFFFF"/>
            <w:noWrap/>
            <w:vAlign w:val="center"/>
            <w:hideMark/>
          </w:tcPr>
          <w:p w14:paraId="5FAB6650" w14:textId="77777777" w:rsidR="00CC63DB" w:rsidRPr="00CC63DB" w:rsidRDefault="00CC63DB" w:rsidP="00CC63DB">
            <w:pPr>
              <w:spacing w:before="0" w:after="0" w:line="240" w:lineRule="auto"/>
              <w:jc w:val="right"/>
              <w:rPr>
                <w:rFonts w:ascii="Arial" w:hAnsi="Arial" w:cs="Arial"/>
                <w:i/>
                <w:iCs/>
                <w:color w:val="000000"/>
                <w:sz w:val="16"/>
                <w:szCs w:val="16"/>
              </w:rPr>
            </w:pPr>
            <w:r w:rsidRPr="00CC63DB">
              <w:rPr>
                <w:rFonts w:ascii="Arial" w:hAnsi="Arial" w:cs="Arial"/>
                <w:i/>
                <w:iCs/>
                <w:color w:val="000000"/>
                <w:sz w:val="16"/>
                <w:szCs w:val="16"/>
              </w:rPr>
              <w:t>-174</w:t>
            </w:r>
          </w:p>
        </w:tc>
      </w:tr>
    </w:tbl>
    <w:p w14:paraId="0FCFCADD" w14:textId="3BC14C33" w:rsidR="00543358" w:rsidRDefault="00CE62BF" w:rsidP="00F9543F">
      <w:pPr>
        <w:pStyle w:val="ChartandTableFootnoteAlpha"/>
        <w:numPr>
          <w:ilvl w:val="0"/>
          <w:numId w:val="46"/>
        </w:numPr>
      </w:pPr>
      <w:r w:rsidRPr="00CE62BF">
        <w:t xml:space="preserve">‘Other alcoholic beverages’ are those not exceeding 10 per cent by volume of alcohol (excluding beer, </w:t>
      </w:r>
      <w:proofErr w:type="gramStart"/>
      <w:r w:rsidRPr="00CE62BF">
        <w:t>brandy</w:t>
      </w:r>
      <w:proofErr w:type="gramEnd"/>
      <w:r w:rsidRPr="00CE62BF">
        <w:t xml:space="preserve"> and wine).</w:t>
      </w:r>
    </w:p>
    <w:p w14:paraId="53F74725" w14:textId="49A8FBF9" w:rsidR="003C5C30" w:rsidRPr="00FD4178" w:rsidRDefault="003C5C30" w:rsidP="00D918EA">
      <w:pPr>
        <w:pStyle w:val="ChartandTableFootnoteAlpha"/>
        <w:numPr>
          <w:ilvl w:val="0"/>
          <w:numId w:val="5"/>
        </w:numPr>
        <w:rPr>
          <w:rFonts w:cs="Arial"/>
          <w:szCs w:val="16"/>
        </w:rPr>
      </w:pPr>
      <w:r w:rsidRPr="00D918EA">
        <w:rPr>
          <w:rFonts w:cs="Arial"/>
          <w:szCs w:val="16"/>
        </w:rPr>
        <w:t xml:space="preserve">Prior to the 2022-23 October Budget, ‘visa application charges’ were previously included in 'other taxes'. </w:t>
      </w:r>
    </w:p>
    <w:p w14:paraId="383CB4D3" w14:textId="1EA5FBE4" w:rsidR="002959E6" w:rsidRPr="004E1D0C" w:rsidRDefault="002959E6" w:rsidP="004E1D0C">
      <w:pPr>
        <w:pStyle w:val="Heading3"/>
      </w:pPr>
      <w:r w:rsidRPr="00034D27">
        <w:lastRenderedPageBreak/>
        <w:t>Payments</w:t>
      </w:r>
    </w:p>
    <w:p w14:paraId="6A66B12B" w14:textId="7C3D12AE" w:rsidR="00034D27" w:rsidRPr="00390B7D" w:rsidRDefault="00034D27" w:rsidP="00034D27">
      <w:r w:rsidRPr="00390B7D">
        <w:t>Payments in 2022</w:t>
      </w:r>
      <w:r w:rsidR="0083530B" w:rsidRPr="00390B7D">
        <w:t>–</w:t>
      </w:r>
      <w:r w:rsidRPr="00390B7D">
        <w:t>23 were $627.</w:t>
      </w:r>
      <w:r w:rsidR="00795C9F" w:rsidRPr="00390B7D">
        <w:t>4</w:t>
      </w:r>
      <w:r w:rsidR="002E328D" w:rsidRPr="00390B7D">
        <w:t> billion</w:t>
      </w:r>
      <w:r w:rsidRPr="00390B7D">
        <w:t>, $4.</w:t>
      </w:r>
      <w:r w:rsidR="004615D6" w:rsidRPr="00390B7D">
        <w:t>0</w:t>
      </w:r>
      <w:r w:rsidR="002E328D" w:rsidRPr="00390B7D">
        <w:t> billion</w:t>
      </w:r>
      <w:r w:rsidRPr="00390B7D">
        <w:t xml:space="preserve"> lower than estimated </w:t>
      </w:r>
      <w:r w:rsidR="00B61891" w:rsidRPr="00390B7D">
        <w:t>in</w:t>
      </w:r>
      <w:r w:rsidRPr="00390B7D">
        <w:t xml:space="preserve"> the 2023</w:t>
      </w:r>
      <w:r w:rsidR="00641836" w:rsidRPr="00390B7D">
        <w:rPr>
          <w:rFonts w:hint="eastAsia"/>
        </w:rPr>
        <w:t>‍</w:t>
      </w:r>
      <w:r w:rsidR="0083530B" w:rsidRPr="00390B7D">
        <w:t>–‍</w:t>
      </w:r>
      <w:r w:rsidRPr="00390B7D">
        <w:t>24 Budget. This reflected lower</w:t>
      </w:r>
      <w:r w:rsidR="006B57C6" w:rsidRPr="00390B7D">
        <w:noBreakHyphen/>
      </w:r>
      <w:r w:rsidRPr="00390B7D">
        <w:t>than</w:t>
      </w:r>
      <w:r w:rsidR="006B57C6" w:rsidRPr="00390B7D">
        <w:noBreakHyphen/>
      </w:r>
      <w:r w:rsidRPr="00390B7D">
        <w:t>estimated payments across a range of programs, as outlined below.</w:t>
      </w:r>
    </w:p>
    <w:p w14:paraId="00A7B59D" w14:textId="72D36C22" w:rsidR="00034D27" w:rsidRPr="00390B7D" w:rsidRDefault="00034D27" w:rsidP="00034D27">
      <w:r w:rsidRPr="00390B7D">
        <w:t>Some Health and Aged Care programs experienced lower</w:t>
      </w:r>
      <w:r w:rsidR="006B57C6" w:rsidRPr="00390B7D">
        <w:noBreakHyphen/>
      </w:r>
      <w:r w:rsidRPr="00390B7D">
        <w:t>than</w:t>
      </w:r>
      <w:r w:rsidR="006B57C6" w:rsidRPr="00390B7D">
        <w:noBreakHyphen/>
      </w:r>
      <w:r w:rsidRPr="00390B7D">
        <w:t>estimated demand, including the:</w:t>
      </w:r>
    </w:p>
    <w:p w14:paraId="3CEEE63B" w14:textId="2F3D5D24" w:rsidR="00034D27" w:rsidRPr="00390B7D" w:rsidRDefault="00034D27" w:rsidP="00AC71D1">
      <w:pPr>
        <w:pStyle w:val="Bullet"/>
      </w:pPr>
      <w:r w:rsidRPr="00390B7D">
        <w:t>Medical Benefits program, largely reflecting lower</w:t>
      </w:r>
      <w:r w:rsidR="006B57C6" w:rsidRPr="00390B7D">
        <w:noBreakHyphen/>
      </w:r>
      <w:r w:rsidRPr="00390B7D">
        <w:t>than</w:t>
      </w:r>
      <w:r w:rsidR="006B57C6" w:rsidRPr="00390B7D">
        <w:noBreakHyphen/>
      </w:r>
      <w:r w:rsidRPr="00390B7D">
        <w:t>estimated payments for COVID</w:t>
      </w:r>
      <w:r w:rsidR="006B57C6" w:rsidRPr="00390B7D">
        <w:noBreakHyphen/>
      </w:r>
      <w:r w:rsidRPr="00390B7D">
        <w:t>19 related measures and lower demand for primary care and pathology services ($0.7</w:t>
      </w:r>
      <w:r w:rsidR="002E328D" w:rsidRPr="00390B7D">
        <w:t> billion</w:t>
      </w:r>
      <w:r w:rsidRPr="00390B7D">
        <w:t xml:space="preserve">). </w:t>
      </w:r>
    </w:p>
    <w:p w14:paraId="340346FE" w14:textId="134A7314" w:rsidR="00034D27" w:rsidRPr="00390B7D" w:rsidRDefault="00034D27" w:rsidP="00AC71D1">
      <w:pPr>
        <w:pStyle w:val="Bullet"/>
      </w:pPr>
      <w:r w:rsidRPr="00390B7D">
        <w:t xml:space="preserve">Pharmaceutical Benefits program, largely reflecting </w:t>
      </w:r>
      <w:r w:rsidR="00BB4D89" w:rsidRPr="00390B7D">
        <w:t>lower</w:t>
      </w:r>
      <w:r w:rsidR="006B57C6" w:rsidRPr="00390B7D">
        <w:noBreakHyphen/>
      </w:r>
      <w:r w:rsidRPr="00390B7D">
        <w:t>than</w:t>
      </w:r>
      <w:r w:rsidR="006B57C6" w:rsidRPr="00390B7D">
        <w:noBreakHyphen/>
      </w:r>
      <w:r w:rsidRPr="00390B7D">
        <w:t>estimated uptake of COVID</w:t>
      </w:r>
      <w:r w:rsidR="006B57C6" w:rsidRPr="00390B7D">
        <w:noBreakHyphen/>
      </w:r>
      <w:r w:rsidRPr="00390B7D">
        <w:t>19 vaccinations in the paediatric cohort, for boosters and for residential aged care and disability support workers ($0.</w:t>
      </w:r>
      <w:r w:rsidR="005D293B" w:rsidRPr="00390B7D">
        <w:t>5</w:t>
      </w:r>
      <w:r w:rsidR="002E328D" w:rsidRPr="00390B7D">
        <w:t> billion</w:t>
      </w:r>
      <w:r w:rsidRPr="00390B7D">
        <w:t>).</w:t>
      </w:r>
    </w:p>
    <w:p w14:paraId="7CC7503E" w14:textId="12F48F61" w:rsidR="00034D27" w:rsidRPr="00390B7D" w:rsidRDefault="00034D27" w:rsidP="00AC71D1">
      <w:pPr>
        <w:pStyle w:val="Bullet"/>
      </w:pPr>
      <w:r w:rsidRPr="00390B7D">
        <w:t>Aged Care Services program, largely reflecting lower</w:t>
      </w:r>
      <w:r w:rsidR="006B57C6" w:rsidRPr="00390B7D">
        <w:noBreakHyphen/>
      </w:r>
      <w:r w:rsidRPr="00390B7D">
        <w:t>than</w:t>
      </w:r>
      <w:r w:rsidR="006B57C6" w:rsidRPr="00390B7D">
        <w:noBreakHyphen/>
      </w:r>
      <w:r w:rsidRPr="00390B7D">
        <w:t>estimated payments for Home Care packages,</w:t>
      </w:r>
      <w:r w:rsidR="00675A91" w:rsidRPr="00390B7D">
        <w:t xml:space="preserve"> the</w:t>
      </w:r>
      <w:r w:rsidRPr="00390B7D">
        <w:t xml:space="preserve"> delay in establishing the Rural Regional and Other Special Needs Building Fund, and delays in executing grant applications for the Commonwealth Home Support program ($0.</w:t>
      </w:r>
      <w:r w:rsidR="00B01949" w:rsidRPr="00390B7D">
        <w:t>4</w:t>
      </w:r>
      <w:r w:rsidR="002E328D" w:rsidRPr="00390B7D">
        <w:t> billion</w:t>
      </w:r>
      <w:r w:rsidRPr="00390B7D">
        <w:t>).</w:t>
      </w:r>
    </w:p>
    <w:p w14:paraId="055E4FCA" w14:textId="269CADE8" w:rsidR="00034D27" w:rsidRPr="00390B7D" w:rsidRDefault="00034D27" w:rsidP="00AC71D1">
      <w:pPr>
        <w:pStyle w:val="Bullet"/>
      </w:pPr>
      <w:r w:rsidRPr="00390B7D">
        <w:t>Health Protection, Emergency Response and Regulation program, largely reflecting lower</w:t>
      </w:r>
      <w:r w:rsidR="006B57C6" w:rsidRPr="00390B7D">
        <w:noBreakHyphen/>
      </w:r>
      <w:r w:rsidRPr="00390B7D">
        <w:t>than</w:t>
      </w:r>
      <w:r w:rsidR="006B57C6" w:rsidRPr="00390B7D">
        <w:noBreakHyphen/>
      </w:r>
      <w:r w:rsidRPr="00390B7D">
        <w:t>estimated payments for COVID</w:t>
      </w:r>
      <w:r w:rsidR="006B57C6" w:rsidRPr="00390B7D">
        <w:noBreakHyphen/>
      </w:r>
      <w:r w:rsidRPr="00390B7D">
        <w:t xml:space="preserve">19 </w:t>
      </w:r>
      <w:r w:rsidR="002565BE" w:rsidRPr="00390B7D">
        <w:t>vaccinations</w:t>
      </w:r>
      <w:r w:rsidRPr="00390B7D">
        <w:t>, and for the National Medical Stockpile warehousing and logistic services ($0.5</w:t>
      </w:r>
      <w:r w:rsidR="002E328D" w:rsidRPr="00390B7D">
        <w:t> billion</w:t>
      </w:r>
      <w:r w:rsidRPr="00390B7D">
        <w:t>).</w:t>
      </w:r>
    </w:p>
    <w:p w14:paraId="04219CF0" w14:textId="1E59145F" w:rsidR="000E16F5" w:rsidRPr="00390B7D" w:rsidRDefault="000E16F5" w:rsidP="00AC71D1">
      <w:pPr>
        <w:pStyle w:val="Bullet"/>
      </w:pPr>
      <w:r w:rsidRPr="00390B7D">
        <w:t>National Partnership Payments – General Health Services program, largely reflecting delays in finalising projects for community health and hospitals,</w:t>
      </w:r>
      <w:r w:rsidR="00B97390" w:rsidRPr="00390B7D">
        <w:t xml:space="preserve"> </w:t>
      </w:r>
      <w:r w:rsidRPr="00390B7D">
        <w:t>and</w:t>
      </w:r>
      <w:r w:rsidR="00B97390" w:rsidRPr="00390B7D">
        <w:t xml:space="preserve"> </w:t>
      </w:r>
      <w:r w:rsidRPr="00390B7D">
        <w:t>lower</w:t>
      </w:r>
      <w:r w:rsidR="006B57C6" w:rsidRPr="00390B7D">
        <w:noBreakHyphen/>
      </w:r>
      <w:r w:rsidRPr="00390B7D">
        <w:t>than</w:t>
      </w:r>
      <w:r w:rsidR="006B57C6" w:rsidRPr="00390B7D">
        <w:noBreakHyphen/>
      </w:r>
      <w:r w:rsidRPr="00390B7D">
        <w:t>estimated demand for COVID</w:t>
      </w:r>
      <w:r w:rsidR="006B57C6" w:rsidRPr="00390B7D">
        <w:noBreakHyphen/>
      </w:r>
      <w:r w:rsidRPr="00390B7D">
        <w:t>19 public health services ($0.4</w:t>
      </w:r>
      <w:r w:rsidR="002E328D" w:rsidRPr="00390B7D">
        <w:t> billion</w:t>
      </w:r>
      <w:r w:rsidRPr="00390B7D">
        <w:t>).</w:t>
      </w:r>
    </w:p>
    <w:p w14:paraId="188E51A6" w14:textId="77E51A2C" w:rsidR="000E16F5" w:rsidRPr="00390B7D" w:rsidRDefault="000E16F5" w:rsidP="00AC71D1">
      <w:pPr>
        <w:pStyle w:val="Bullet"/>
      </w:pPr>
      <w:r w:rsidRPr="00390B7D">
        <w:t>Aged Care Quality program, largely reflecting reduced demand for Aged Care Support Reimbursement ($0.3</w:t>
      </w:r>
      <w:r w:rsidR="002E328D" w:rsidRPr="00390B7D">
        <w:t> billion</w:t>
      </w:r>
      <w:r w:rsidRPr="00390B7D">
        <w:t>).</w:t>
      </w:r>
    </w:p>
    <w:p w14:paraId="78ECDB2F" w14:textId="691DF424" w:rsidR="001D1E0E" w:rsidRPr="00390B7D" w:rsidRDefault="001D1E0E" w:rsidP="001D1E0E">
      <w:r w:rsidRPr="00390B7D">
        <w:t>Several programs were impacted by a combination of</w:t>
      </w:r>
      <w:r w:rsidR="00E27B08" w:rsidRPr="00390B7D">
        <w:t> </w:t>
      </w:r>
      <w:r w:rsidRPr="00390B7D">
        <w:t>market capacity constraints and supply chain disruptions, including</w:t>
      </w:r>
      <w:r w:rsidR="00894F80" w:rsidRPr="00390B7D">
        <w:t xml:space="preserve"> </w:t>
      </w:r>
      <w:r w:rsidRPr="00390B7D">
        <w:t>the:</w:t>
      </w:r>
    </w:p>
    <w:p w14:paraId="31A18692" w14:textId="11F6B2EE" w:rsidR="001D1E0E" w:rsidRPr="00390B7D" w:rsidRDefault="001D1E0E" w:rsidP="00AC71D1">
      <w:pPr>
        <w:pStyle w:val="Bullet"/>
      </w:pPr>
      <w:r w:rsidRPr="00390B7D">
        <w:t xml:space="preserve">National Partnership Payments </w:t>
      </w:r>
      <w:r w:rsidR="00CA5096" w:rsidRPr="00390B7D">
        <w:t>–</w:t>
      </w:r>
      <w:r w:rsidRPr="00390B7D">
        <w:t xml:space="preserve"> Water and Natural Resources program, largely reflecting</w:t>
      </w:r>
      <w:r w:rsidR="00260810" w:rsidRPr="00390B7D">
        <w:t xml:space="preserve"> lower</w:t>
      </w:r>
      <w:r w:rsidR="006B57C6" w:rsidRPr="00390B7D">
        <w:noBreakHyphen/>
      </w:r>
      <w:r w:rsidR="00260810" w:rsidRPr="00390B7D">
        <w:t>than</w:t>
      </w:r>
      <w:r w:rsidR="006B57C6" w:rsidRPr="00390B7D">
        <w:noBreakHyphen/>
      </w:r>
      <w:r w:rsidR="00260810" w:rsidRPr="00390B7D">
        <w:t>expected uptake by states for water efficiency</w:t>
      </w:r>
      <w:r w:rsidRPr="00390B7D">
        <w:t xml:space="preserve"> projects ($0.8</w:t>
      </w:r>
      <w:r w:rsidR="002E328D" w:rsidRPr="00390B7D">
        <w:t> billion</w:t>
      </w:r>
      <w:r w:rsidRPr="00390B7D">
        <w:t>).</w:t>
      </w:r>
    </w:p>
    <w:p w14:paraId="1CB4697B" w14:textId="392FB1DC" w:rsidR="001D1E0E" w:rsidRPr="00390B7D" w:rsidRDefault="001D1E0E" w:rsidP="00AC71D1">
      <w:pPr>
        <w:pStyle w:val="Bullet"/>
      </w:pPr>
      <w:r w:rsidRPr="00390B7D">
        <w:t xml:space="preserve">National Partnership Payments </w:t>
      </w:r>
      <w:r w:rsidR="00CA5096" w:rsidRPr="00390B7D">
        <w:t>–</w:t>
      </w:r>
      <w:r w:rsidRPr="00390B7D">
        <w:t xml:space="preserve"> Road Transport program ($0.5</w:t>
      </w:r>
      <w:r w:rsidR="002E328D" w:rsidRPr="00390B7D">
        <w:t> billion</w:t>
      </w:r>
      <w:r w:rsidRPr="00390B7D">
        <w:t>)</w:t>
      </w:r>
      <w:r w:rsidR="00CB2AF6" w:rsidRPr="00390B7D">
        <w:t xml:space="preserve"> and</w:t>
      </w:r>
      <w:r w:rsidRPr="00390B7D">
        <w:t xml:space="preserve"> Rail Transport program ($0.5</w:t>
      </w:r>
      <w:r w:rsidR="002E328D" w:rsidRPr="00390B7D">
        <w:t> billion</w:t>
      </w:r>
      <w:r w:rsidRPr="00390B7D">
        <w:t>)</w:t>
      </w:r>
      <w:r w:rsidR="00764F40" w:rsidRPr="00390B7D">
        <w:t>, largely reflecting delays in states delivering projects under the Infrastructure Investment Program</w:t>
      </w:r>
      <w:r w:rsidRPr="00390B7D">
        <w:t>.</w:t>
      </w:r>
    </w:p>
    <w:p w14:paraId="503F5060" w14:textId="3D2BFCD8" w:rsidR="001D1E0E" w:rsidRPr="00390B7D" w:rsidRDefault="001D1E0E" w:rsidP="00AC71D1">
      <w:pPr>
        <w:pStyle w:val="Bullet"/>
      </w:pPr>
      <w:r w:rsidRPr="00390B7D">
        <w:t xml:space="preserve">Regional Development program, largely reflecting </w:t>
      </w:r>
      <w:r w:rsidR="00F956AE" w:rsidRPr="00390B7D">
        <w:t xml:space="preserve">lower-than-estimated </w:t>
      </w:r>
      <w:r w:rsidRPr="00390B7D">
        <w:t>payments for the Community Development Grants, Building Better Regions Fund, Regional Growth Fund programs, and the Priority Community Infrastructure program ($0.</w:t>
      </w:r>
      <w:r w:rsidR="00A30FE3" w:rsidRPr="00390B7D">
        <w:t>4</w:t>
      </w:r>
      <w:r w:rsidR="002E328D" w:rsidRPr="00390B7D">
        <w:t> billion</w:t>
      </w:r>
      <w:r w:rsidRPr="00390B7D">
        <w:t>).</w:t>
      </w:r>
    </w:p>
    <w:p w14:paraId="27FB51A9" w14:textId="550C4240" w:rsidR="001D1E0E" w:rsidRPr="00390B7D" w:rsidRDefault="001D1E0E" w:rsidP="00AC71D1">
      <w:pPr>
        <w:pStyle w:val="Bullet"/>
      </w:pPr>
      <w:r w:rsidRPr="00390B7D">
        <w:lastRenderedPageBreak/>
        <w:t>Road Infrastructure Investment program ($0.2</w:t>
      </w:r>
      <w:r w:rsidR="002E328D" w:rsidRPr="00390B7D">
        <w:t> billion</w:t>
      </w:r>
      <w:r w:rsidRPr="00390B7D">
        <w:t>)</w:t>
      </w:r>
      <w:r w:rsidR="007747BA" w:rsidRPr="00390B7D">
        <w:t xml:space="preserve">, largely reflecting delays in local governments delivering projects under the Roads to Recovery </w:t>
      </w:r>
      <w:r w:rsidR="000F7E48" w:rsidRPr="00390B7D">
        <w:t>p</w:t>
      </w:r>
      <w:r w:rsidR="007747BA" w:rsidRPr="00390B7D">
        <w:t>rogram</w:t>
      </w:r>
      <w:r w:rsidRPr="00390B7D">
        <w:t>.</w:t>
      </w:r>
    </w:p>
    <w:p w14:paraId="6F78919D" w14:textId="5BACDC9E" w:rsidR="001D1E0E" w:rsidRPr="00390B7D" w:rsidRDefault="001D1E0E" w:rsidP="00AC71D1">
      <w:pPr>
        <w:pStyle w:val="Bullet"/>
      </w:pPr>
      <w:r w:rsidRPr="00390B7D">
        <w:t>Growing</w:t>
      </w:r>
      <w:r w:rsidR="00AD11E4" w:rsidRPr="00390B7D">
        <w:t xml:space="preserve"> innovative and competitive business, industries and regions program</w:t>
      </w:r>
      <w:r w:rsidR="00715765" w:rsidRPr="00390B7D">
        <w:t>s</w:t>
      </w:r>
      <w:r w:rsidR="00AD11E4" w:rsidRPr="00390B7D">
        <w:t>,</w:t>
      </w:r>
      <w:r w:rsidRPr="00390B7D">
        <w:t xml:space="preserve"> largely reflecting lower</w:t>
      </w:r>
      <w:r w:rsidR="006B57C6" w:rsidRPr="00390B7D">
        <w:noBreakHyphen/>
      </w:r>
      <w:r w:rsidRPr="00390B7D">
        <w:t>than</w:t>
      </w:r>
      <w:r w:rsidR="006B57C6" w:rsidRPr="00390B7D">
        <w:noBreakHyphen/>
      </w:r>
      <w:r w:rsidRPr="00390B7D">
        <w:t xml:space="preserve">estimated </w:t>
      </w:r>
      <w:r w:rsidR="00DE1786" w:rsidRPr="00390B7D">
        <w:t>payments under</w:t>
      </w:r>
      <w:r w:rsidRPr="00390B7D">
        <w:t xml:space="preserve"> the Modern Manufacturing </w:t>
      </w:r>
      <w:r w:rsidR="00175F54" w:rsidRPr="00390B7D">
        <w:t xml:space="preserve">measure </w:t>
      </w:r>
      <w:r w:rsidRPr="00390B7D">
        <w:t>($0.2</w:t>
      </w:r>
      <w:r w:rsidR="002E328D" w:rsidRPr="00390B7D">
        <w:t> billion</w:t>
      </w:r>
      <w:r w:rsidRPr="00390B7D">
        <w:t>).</w:t>
      </w:r>
    </w:p>
    <w:p w14:paraId="7F773056" w14:textId="7144C3E8" w:rsidR="001D1E0E" w:rsidRPr="00390B7D" w:rsidRDefault="009B1293" w:rsidP="003328C7">
      <w:r w:rsidRPr="00390B7D">
        <w:t>S</w:t>
      </w:r>
      <w:r w:rsidR="001D1E0E" w:rsidRPr="00390B7D">
        <w:t>trong labour market</w:t>
      </w:r>
      <w:r w:rsidR="00E228FD" w:rsidRPr="00390B7D">
        <w:t xml:space="preserve"> </w:t>
      </w:r>
      <w:r w:rsidR="00E3522E" w:rsidRPr="00390B7D">
        <w:t xml:space="preserve">outcomes resulted in </w:t>
      </w:r>
      <w:r w:rsidR="00415406" w:rsidRPr="00390B7D">
        <w:t>lower-than-</w:t>
      </w:r>
      <w:r w:rsidR="00D72B49" w:rsidRPr="00390B7D">
        <w:t xml:space="preserve">estimated </w:t>
      </w:r>
      <w:r w:rsidR="00D9708F" w:rsidRPr="00390B7D">
        <w:t>payments for some programs</w:t>
      </w:r>
      <w:r w:rsidR="001D1E0E" w:rsidRPr="00390B7D">
        <w:t>, including the:</w:t>
      </w:r>
    </w:p>
    <w:p w14:paraId="1A8660A2" w14:textId="36491F64" w:rsidR="001D1E0E" w:rsidRPr="00390B7D" w:rsidRDefault="001D1E0E" w:rsidP="00AC71D1">
      <w:pPr>
        <w:pStyle w:val="Bullet"/>
      </w:pPr>
      <w:r w:rsidRPr="00390B7D">
        <w:t>Family Assistance program, largely reflecting lower</w:t>
      </w:r>
      <w:r w:rsidR="006B57C6" w:rsidRPr="00390B7D">
        <w:noBreakHyphen/>
      </w:r>
      <w:r w:rsidRPr="00390B7D">
        <w:t>than</w:t>
      </w:r>
      <w:r w:rsidR="006B57C6" w:rsidRPr="00390B7D">
        <w:noBreakHyphen/>
      </w:r>
      <w:r w:rsidRPr="00390B7D">
        <w:t>estimated payments for Family Tax Benefit</w:t>
      </w:r>
      <w:r w:rsidR="002F58B1" w:rsidRPr="00390B7D">
        <w:t>,</w:t>
      </w:r>
      <w:r w:rsidRPr="00390B7D">
        <w:t xml:space="preserve"> driven by the continued strong labour market and positive wage growth ($0.5</w:t>
      </w:r>
      <w:r w:rsidR="002E328D" w:rsidRPr="00390B7D">
        <w:t> billion</w:t>
      </w:r>
      <w:r w:rsidRPr="00390B7D">
        <w:t>).</w:t>
      </w:r>
    </w:p>
    <w:p w14:paraId="3035F767" w14:textId="761C9F60" w:rsidR="001D1E0E" w:rsidRPr="00390B7D" w:rsidRDefault="001D1E0E" w:rsidP="00AC71D1">
      <w:pPr>
        <w:pStyle w:val="Bullet"/>
      </w:pPr>
      <w:r w:rsidRPr="00390B7D">
        <w:t>Parents Income Support program, largely reflecting lower</w:t>
      </w:r>
      <w:r w:rsidR="006B57C6" w:rsidRPr="00390B7D">
        <w:noBreakHyphen/>
      </w:r>
      <w:r w:rsidRPr="00390B7D">
        <w:t>than</w:t>
      </w:r>
      <w:r w:rsidR="006B57C6" w:rsidRPr="00390B7D">
        <w:noBreakHyphen/>
      </w:r>
      <w:r w:rsidR="00D72B49" w:rsidRPr="00390B7D">
        <w:t xml:space="preserve">estimated </w:t>
      </w:r>
      <w:r w:rsidRPr="00390B7D">
        <w:t>payments for Parenting Payment Partnered and Parenting Payment Single recipients ($0.3</w:t>
      </w:r>
      <w:r w:rsidR="002E328D" w:rsidRPr="00390B7D">
        <w:t> billion</w:t>
      </w:r>
      <w:r w:rsidRPr="00390B7D">
        <w:t>).</w:t>
      </w:r>
    </w:p>
    <w:p w14:paraId="1FC30DAF" w14:textId="15C2AD75" w:rsidR="007D081D" w:rsidRPr="00390B7D" w:rsidRDefault="007D081D" w:rsidP="00AC71D1">
      <w:pPr>
        <w:pStyle w:val="Bullet"/>
      </w:pPr>
      <w:bookmarkStart w:id="7" w:name="_Hlk144720347"/>
      <w:r w:rsidRPr="00390B7D">
        <w:t>Studen</w:t>
      </w:r>
      <w:bookmarkEnd w:id="7"/>
      <w:r w:rsidRPr="00390B7D">
        <w:t>t Payments program, largely reflecting lower</w:t>
      </w:r>
      <w:r w:rsidR="006B57C6" w:rsidRPr="00390B7D">
        <w:noBreakHyphen/>
      </w:r>
      <w:r w:rsidRPr="00390B7D">
        <w:t>than</w:t>
      </w:r>
      <w:r w:rsidR="006B57C6" w:rsidRPr="00390B7D">
        <w:noBreakHyphen/>
      </w:r>
      <w:r w:rsidRPr="00390B7D">
        <w:t>estimated payments on account of the strength of the labour market and a decrease in student enrolments ($0.2</w:t>
      </w:r>
      <w:r w:rsidR="002E328D" w:rsidRPr="00390B7D">
        <w:t> billion</w:t>
      </w:r>
      <w:r w:rsidRPr="00390B7D">
        <w:t>).</w:t>
      </w:r>
    </w:p>
    <w:p w14:paraId="39259211" w14:textId="0F32B955" w:rsidR="00B7677E" w:rsidRPr="00390B7D" w:rsidRDefault="00B7677E" w:rsidP="00383554">
      <w:pPr>
        <w:pStyle w:val="Bullet"/>
      </w:pPr>
      <w:r w:rsidRPr="00390B7D">
        <w:t>Financial Support for Carers program, largely reflecting a lower</w:t>
      </w:r>
      <w:r w:rsidRPr="00390B7D">
        <w:noBreakHyphen/>
        <w:t>than</w:t>
      </w:r>
      <w:r w:rsidRPr="00390B7D">
        <w:noBreakHyphen/>
        <w:t>expected number of carer recipients seeking Carer Payments during the last quarter of 2022–</w:t>
      </w:r>
      <w:r w:rsidRPr="00390B7D">
        <w:rPr>
          <w:rFonts w:ascii="Times New Roman" w:hAnsi="Times New Roman"/>
        </w:rPr>
        <w:t>‍</w:t>
      </w:r>
      <w:r w:rsidRPr="00390B7D">
        <w:t>23 ($0.2 billion).</w:t>
      </w:r>
    </w:p>
    <w:p w14:paraId="18F0C4A0" w14:textId="11439964" w:rsidR="007D081D" w:rsidRPr="00390B7D" w:rsidRDefault="007D081D" w:rsidP="007D081D">
      <w:r w:rsidRPr="00390B7D">
        <w:t>The Final Budget Outcome also reflects increases to payments in certain programs, including</w:t>
      </w:r>
      <w:r w:rsidR="00584F77" w:rsidRPr="00390B7D">
        <w:t xml:space="preserve"> the</w:t>
      </w:r>
      <w:r w:rsidRPr="00390B7D">
        <w:t>:</w:t>
      </w:r>
    </w:p>
    <w:p w14:paraId="67B3DDA1" w14:textId="5623801A" w:rsidR="007D081D" w:rsidRPr="00390B7D" w:rsidRDefault="007D081D" w:rsidP="00AC71D1">
      <w:pPr>
        <w:pStyle w:val="Bullet"/>
      </w:pPr>
      <w:r w:rsidRPr="00390B7D">
        <w:t>Local Government program, reflecting the bringing forward of funding from 2023</w:t>
      </w:r>
      <w:r w:rsidR="0083530B" w:rsidRPr="00390B7D">
        <w:t>–</w:t>
      </w:r>
      <w:r w:rsidR="0083530B" w:rsidRPr="00390B7D">
        <w:rPr>
          <w:rFonts w:ascii="Times New Roman" w:hAnsi="Times New Roman"/>
        </w:rPr>
        <w:t>‍</w:t>
      </w:r>
      <w:r w:rsidRPr="00390B7D">
        <w:t>24 for the Financial Assistance Grants program, partially offset by lower</w:t>
      </w:r>
      <w:r w:rsidR="006B57C6" w:rsidRPr="00390B7D">
        <w:noBreakHyphen/>
      </w:r>
      <w:r w:rsidRPr="00390B7D">
        <w:t>than</w:t>
      </w:r>
      <w:r w:rsidR="006B57C6" w:rsidRPr="00390B7D">
        <w:noBreakHyphen/>
      </w:r>
      <w:r w:rsidRPr="00390B7D">
        <w:t xml:space="preserve">expected payments for </w:t>
      </w:r>
      <w:r w:rsidR="00B9185C" w:rsidRPr="00390B7D">
        <w:t xml:space="preserve">the </w:t>
      </w:r>
      <w:r w:rsidRPr="00390B7D">
        <w:t>Local Roads and Community Infrastructure program ($2.6</w:t>
      </w:r>
      <w:r w:rsidR="002E328D" w:rsidRPr="00390B7D">
        <w:t> billion</w:t>
      </w:r>
      <w:r w:rsidRPr="00390B7D">
        <w:t>).</w:t>
      </w:r>
    </w:p>
    <w:p w14:paraId="7A4A4978" w14:textId="464529E7" w:rsidR="007D081D" w:rsidRPr="00390B7D" w:rsidRDefault="007D081D" w:rsidP="00AC71D1">
      <w:pPr>
        <w:pStyle w:val="Bullet"/>
      </w:pPr>
      <w:r w:rsidRPr="00390B7D">
        <w:t>National Partnership Payments</w:t>
      </w:r>
      <w:r w:rsidR="00FD45B5" w:rsidRPr="00390B7D">
        <w:t xml:space="preserve"> – </w:t>
      </w:r>
      <w:r w:rsidRPr="00390B7D">
        <w:t>Natural Disaster Relief program, largely reflecting timing differences between cash and fiscal impacts for Disaster Recovery Funding Arrangements ($1.8</w:t>
      </w:r>
      <w:r w:rsidR="002E328D" w:rsidRPr="00390B7D">
        <w:t> billion</w:t>
      </w:r>
      <w:r w:rsidRPr="00390B7D">
        <w:t>).</w:t>
      </w:r>
    </w:p>
    <w:p w14:paraId="2E33B55D" w14:textId="27FC9C37" w:rsidR="00407F1A" w:rsidRPr="00390B7D" w:rsidRDefault="007D081D" w:rsidP="00AC71D1">
      <w:pPr>
        <w:pStyle w:val="Bullet"/>
      </w:pPr>
      <w:r w:rsidRPr="00390B7D">
        <w:t>National Partnership Payments</w:t>
      </w:r>
      <w:r w:rsidR="00FD45B5" w:rsidRPr="00390B7D">
        <w:t xml:space="preserve"> – </w:t>
      </w:r>
      <w:r w:rsidRPr="00390B7D">
        <w:t>Housing program, largely reflecting the new</w:t>
      </w:r>
      <w:r w:rsidR="00861DEC" w:rsidRPr="00390B7D">
        <w:t xml:space="preserve"> $2</w:t>
      </w:r>
      <w:r w:rsidR="00380690" w:rsidRPr="00390B7D">
        <w:t>.0 </w:t>
      </w:r>
      <w:r w:rsidR="00861DEC" w:rsidRPr="00390B7D">
        <w:t>billion</w:t>
      </w:r>
      <w:r w:rsidRPr="00390B7D">
        <w:t xml:space="preserve"> Social Housing Accelerator initiative, announced by the Government in June 2023, which was partially offset by </w:t>
      </w:r>
      <w:r w:rsidR="00127E32" w:rsidRPr="00390B7D">
        <w:t>$0.4 billion in</w:t>
      </w:r>
      <w:r w:rsidRPr="00390B7D">
        <w:t xml:space="preserve"> lower</w:t>
      </w:r>
      <w:r w:rsidR="006B57C6" w:rsidRPr="00390B7D">
        <w:noBreakHyphen/>
      </w:r>
      <w:r w:rsidRPr="00390B7D">
        <w:t>than</w:t>
      </w:r>
      <w:r w:rsidR="006B57C6" w:rsidRPr="00390B7D">
        <w:noBreakHyphen/>
      </w:r>
      <w:r w:rsidR="00C3433E" w:rsidRPr="00390B7D">
        <w:t xml:space="preserve">estimated </w:t>
      </w:r>
      <w:r w:rsidRPr="00390B7D">
        <w:t>payments for the Home Builder program and Remote Indigenous housing program ($1.6</w:t>
      </w:r>
      <w:r w:rsidR="002E328D" w:rsidRPr="00390B7D">
        <w:t> billion</w:t>
      </w:r>
      <w:r w:rsidRPr="00390B7D">
        <w:t>).</w:t>
      </w:r>
    </w:p>
    <w:p w14:paraId="19023540" w14:textId="2E3A2065" w:rsidR="002959E6" w:rsidRPr="00961EF9" w:rsidRDefault="002959E6" w:rsidP="00961EF9">
      <w:r w:rsidRPr="00961EF9">
        <w:br w:type="page"/>
      </w:r>
    </w:p>
    <w:p w14:paraId="0A42ADAD" w14:textId="7438BF03" w:rsidR="00276F8E" w:rsidRDefault="00276F8E" w:rsidP="00234E22">
      <w:pPr>
        <w:pStyle w:val="Heading2"/>
      </w:pPr>
      <w:r>
        <w:lastRenderedPageBreak/>
        <w:t>Primary balance</w:t>
      </w:r>
    </w:p>
    <w:p w14:paraId="0AEB64D3" w14:textId="6077C239" w:rsidR="00225FFF" w:rsidRDefault="00225FFF" w:rsidP="00276F8E">
      <w:r w:rsidRPr="00390B7D">
        <w:t>The primary balance</w:t>
      </w:r>
      <w:r w:rsidR="000401E1" w:rsidRPr="00390B7D">
        <w:t>,</w:t>
      </w:r>
      <w:r w:rsidRPr="00390B7D">
        <w:t xml:space="preserve"> which excludes interest payments and interest receipts related to the existing stock of debt and financial assets, was $33.9 billion (1.3 per cent of GDP) in 2022</w:t>
      </w:r>
      <w:r w:rsidR="00B36A6A" w:rsidRPr="00390B7D">
        <w:noBreakHyphen/>
      </w:r>
      <w:r w:rsidRPr="00390B7D">
        <w:t>23, an improvement of $17.0 billion (0.7 per cent of GDP) since the</w:t>
      </w:r>
      <w:r w:rsidR="001B782D" w:rsidRPr="00390B7D">
        <w:t xml:space="preserve"> 2023–24</w:t>
      </w:r>
      <w:r w:rsidRPr="00390B7D">
        <w:t xml:space="preserve"> Budget.</w:t>
      </w:r>
      <w:r w:rsidRPr="00407F1A">
        <w:t xml:space="preserve"> </w:t>
      </w:r>
    </w:p>
    <w:p w14:paraId="04C18519" w14:textId="0FA38DEA" w:rsidR="002959E6" w:rsidRPr="00E6011B" w:rsidRDefault="002959E6" w:rsidP="004E1D0C">
      <w:pPr>
        <w:pStyle w:val="Heading2"/>
      </w:pPr>
      <w:r w:rsidRPr="00E6011B">
        <w:t xml:space="preserve">Net operating balance and fiscal </w:t>
      </w:r>
      <w:r w:rsidRPr="004E1D0C">
        <w:t>balance</w:t>
      </w:r>
    </w:p>
    <w:p w14:paraId="0F1BCBB1" w14:textId="39A0768D" w:rsidR="002959E6" w:rsidRPr="00E6011B" w:rsidRDefault="002959E6" w:rsidP="002959E6">
      <w:r w:rsidRPr="00390B7D">
        <w:t>The 202</w:t>
      </w:r>
      <w:r w:rsidR="00D07944" w:rsidRPr="00390B7D">
        <w:t>2</w:t>
      </w:r>
      <w:r w:rsidR="0083530B" w:rsidRPr="00390B7D">
        <w:t>–</w:t>
      </w:r>
      <w:r w:rsidR="00D07944" w:rsidRPr="00390B7D">
        <w:t>23</w:t>
      </w:r>
      <w:r w:rsidRPr="00390B7D">
        <w:t xml:space="preserve"> net operating </w:t>
      </w:r>
      <w:r w:rsidR="0049026D" w:rsidRPr="00390B7D">
        <w:t xml:space="preserve">surplus </w:t>
      </w:r>
      <w:r w:rsidRPr="00390B7D">
        <w:t>was $</w:t>
      </w:r>
      <w:r w:rsidR="00230024" w:rsidRPr="00390B7D">
        <w:t>3</w:t>
      </w:r>
      <w:r w:rsidR="00165F3A" w:rsidRPr="00390B7D">
        <w:t>1.4</w:t>
      </w:r>
      <w:r w:rsidR="002E328D" w:rsidRPr="00390B7D">
        <w:t> billion</w:t>
      </w:r>
      <w:r w:rsidRPr="00390B7D">
        <w:t xml:space="preserve"> compared with an estimated </w:t>
      </w:r>
      <w:r w:rsidR="000B02F5" w:rsidRPr="00390B7D">
        <w:t xml:space="preserve">surplus </w:t>
      </w:r>
      <w:r w:rsidRPr="00390B7D">
        <w:t>of $</w:t>
      </w:r>
      <w:r w:rsidR="000B02F5" w:rsidRPr="00390B7D">
        <w:t>9.0</w:t>
      </w:r>
      <w:r w:rsidR="002E328D" w:rsidRPr="00390B7D">
        <w:t> billion</w:t>
      </w:r>
      <w:r w:rsidRPr="00390B7D">
        <w:t xml:space="preserve"> in the </w:t>
      </w:r>
      <w:r w:rsidR="000B02F5" w:rsidRPr="00390B7D">
        <w:t>2023</w:t>
      </w:r>
      <w:r w:rsidR="0083530B" w:rsidRPr="00390B7D">
        <w:t>–</w:t>
      </w:r>
      <w:r w:rsidR="000B02F5" w:rsidRPr="00390B7D">
        <w:t>24 Budget</w:t>
      </w:r>
      <w:r w:rsidR="00BF4DDC" w:rsidRPr="00390B7D">
        <w:t>.</w:t>
      </w:r>
      <w:r w:rsidR="000B02F5" w:rsidRPr="00390B7D">
        <w:t xml:space="preserve"> </w:t>
      </w:r>
      <w:r w:rsidRPr="00390B7D">
        <w:t>The 202</w:t>
      </w:r>
      <w:r w:rsidR="000B02F5" w:rsidRPr="00390B7D">
        <w:t>2</w:t>
      </w:r>
      <w:r w:rsidR="0083530B" w:rsidRPr="00390B7D">
        <w:t>–</w:t>
      </w:r>
      <w:r w:rsidR="000B02F5" w:rsidRPr="00390B7D">
        <w:t>23</w:t>
      </w:r>
      <w:r w:rsidR="005A0AAD" w:rsidRPr="00390B7D">
        <w:t xml:space="preserve"> </w:t>
      </w:r>
      <w:r w:rsidRPr="00390B7D">
        <w:t xml:space="preserve">fiscal balance was a </w:t>
      </w:r>
      <w:r w:rsidR="002643C5" w:rsidRPr="00390B7D">
        <w:t>surplus</w:t>
      </w:r>
      <w:r w:rsidR="00BE436B" w:rsidRPr="00390B7D">
        <w:t xml:space="preserve"> </w:t>
      </w:r>
      <w:r w:rsidRPr="00390B7D">
        <w:t>of $</w:t>
      </w:r>
      <w:r w:rsidR="00230024" w:rsidRPr="00390B7D">
        <w:t>2</w:t>
      </w:r>
      <w:r w:rsidR="00D3561E" w:rsidRPr="00390B7D">
        <w:t>1.9</w:t>
      </w:r>
      <w:r w:rsidR="002E328D" w:rsidRPr="00390B7D">
        <w:t> billion</w:t>
      </w:r>
      <w:r w:rsidRPr="00390B7D">
        <w:t xml:space="preserve"> compared with an estimated deficit of $</w:t>
      </w:r>
      <w:r w:rsidR="00BE436B" w:rsidRPr="00390B7D">
        <w:t>1.5</w:t>
      </w:r>
      <w:r w:rsidR="002E328D" w:rsidRPr="00390B7D">
        <w:t> billion</w:t>
      </w:r>
      <w:r w:rsidRPr="00390B7D">
        <w:t xml:space="preserve"> in the </w:t>
      </w:r>
      <w:r w:rsidR="00BE436B" w:rsidRPr="00390B7D">
        <w:t>2023</w:t>
      </w:r>
      <w:r w:rsidR="0083530B" w:rsidRPr="00390B7D">
        <w:t>–</w:t>
      </w:r>
      <w:r w:rsidR="00BE436B" w:rsidRPr="00390B7D">
        <w:t xml:space="preserve">24 </w:t>
      </w:r>
      <w:r w:rsidRPr="00390B7D">
        <w:t>Budget.</w:t>
      </w:r>
    </w:p>
    <w:p w14:paraId="3861F897" w14:textId="77777777" w:rsidR="002959E6" w:rsidRPr="004E1D0C" w:rsidRDefault="002959E6" w:rsidP="004E1D0C">
      <w:pPr>
        <w:pStyle w:val="Heading3"/>
      </w:pPr>
      <w:r w:rsidRPr="00E6011B">
        <w:t>Revenue</w:t>
      </w:r>
    </w:p>
    <w:p w14:paraId="218A8C4A" w14:textId="7E78E5D3" w:rsidR="002959E6" w:rsidRPr="00390B7D" w:rsidRDefault="002959E6" w:rsidP="00AC71D1">
      <w:r w:rsidRPr="00390B7D">
        <w:t>Revenue is the accrual accounting equivalent of cash</w:t>
      </w:r>
      <w:r w:rsidR="006B57C6" w:rsidRPr="00390B7D">
        <w:noBreakHyphen/>
      </w:r>
      <w:r w:rsidRPr="00390B7D">
        <w:t>based receipts. The differences between receipts and revenue generally reflect timing differences between the recognition of receipts when cash is received and revenue at the time it is earned.</w:t>
      </w:r>
    </w:p>
    <w:p w14:paraId="5B34C35B" w14:textId="38016468" w:rsidR="002959E6" w:rsidRPr="00390B7D" w:rsidRDefault="002959E6" w:rsidP="00AC71D1">
      <w:r w:rsidRPr="00390B7D">
        <w:t>Total revenue was $</w:t>
      </w:r>
      <w:r w:rsidR="00293BED" w:rsidRPr="00390B7D">
        <w:t>668.4</w:t>
      </w:r>
      <w:r w:rsidR="002E328D" w:rsidRPr="00390B7D">
        <w:t> billion</w:t>
      </w:r>
      <w:r w:rsidRPr="00390B7D">
        <w:t xml:space="preserve"> in 202</w:t>
      </w:r>
      <w:r w:rsidR="00995B61" w:rsidRPr="00390B7D">
        <w:t>2</w:t>
      </w:r>
      <w:r w:rsidR="0083530B" w:rsidRPr="00390B7D">
        <w:t>–</w:t>
      </w:r>
      <w:r w:rsidRPr="00390B7D">
        <w:t>2</w:t>
      </w:r>
      <w:r w:rsidR="00995B61" w:rsidRPr="00390B7D">
        <w:t>3</w:t>
      </w:r>
      <w:r w:rsidRPr="00390B7D">
        <w:t>, $</w:t>
      </w:r>
      <w:r w:rsidR="00BC4247" w:rsidRPr="00390B7D">
        <w:t>14.6</w:t>
      </w:r>
      <w:r w:rsidR="002E328D" w:rsidRPr="00390B7D">
        <w:t> billion</w:t>
      </w:r>
      <w:r w:rsidRPr="00390B7D">
        <w:t xml:space="preserve"> higher than estimated in the Budget. Total cash receipts were $</w:t>
      </w:r>
      <w:r w:rsidR="00B55049" w:rsidRPr="00390B7D">
        <w:t>649.5</w:t>
      </w:r>
      <w:r w:rsidR="002E328D" w:rsidRPr="00390B7D">
        <w:t> billion</w:t>
      </w:r>
      <w:r w:rsidRPr="00390B7D">
        <w:t>, $</w:t>
      </w:r>
      <w:r w:rsidR="00B825A3" w:rsidRPr="00390B7D">
        <w:t>13.9</w:t>
      </w:r>
      <w:r w:rsidR="002E328D" w:rsidRPr="00390B7D">
        <w:t> billion</w:t>
      </w:r>
      <w:r w:rsidRPr="00390B7D">
        <w:t xml:space="preserve"> higher than estimated in the Budget.</w:t>
      </w:r>
    </w:p>
    <w:p w14:paraId="1237570C" w14:textId="2CC7A6CB" w:rsidR="002959E6" w:rsidRPr="00E6011B" w:rsidRDefault="002959E6" w:rsidP="00AC71D1">
      <w:bookmarkStart w:id="8" w:name="_Hlk114654887"/>
      <w:r w:rsidRPr="00390B7D">
        <w:t>Tax revenue was $</w:t>
      </w:r>
      <w:r w:rsidR="006A4F68" w:rsidRPr="00390B7D">
        <w:t>618.3</w:t>
      </w:r>
      <w:r w:rsidR="002E328D" w:rsidRPr="00390B7D">
        <w:t> billion</w:t>
      </w:r>
      <w:r w:rsidRPr="00390B7D">
        <w:t xml:space="preserve"> in 202</w:t>
      </w:r>
      <w:r w:rsidR="00995B61" w:rsidRPr="00390B7D">
        <w:t>2</w:t>
      </w:r>
      <w:r w:rsidR="0083530B" w:rsidRPr="00390B7D">
        <w:t>–</w:t>
      </w:r>
      <w:r w:rsidRPr="00390B7D">
        <w:t>2</w:t>
      </w:r>
      <w:r w:rsidR="00995B61" w:rsidRPr="00390B7D">
        <w:t>3</w:t>
      </w:r>
      <w:r w:rsidRPr="00390B7D">
        <w:t>, $</w:t>
      </w:r>
      <w:r w:rsidR="00ED188A" w:rsidRPr="00390B7D">
        <w:t>14.1</w:t>
      </w:r>
      <w:r w:rsidR="002E328D" w:rsidRPr="00390B7D">
        <w:t> billion</w:t>
      </w:r>
      <w:r w:rsidRPr="00390B7D">
        <w:t xml:space="preserve"> higher than estimated in the Budget. Total tax receipts were $</w:t>
      </w:r>
      <w:r w:rsidR="00240B86" w:rsidRPr="00390B7D">
        <w:t>601.3</w:t>
      </w:r>
      <w:r w:rsidR="002E328D" w:rsidRPr="00390B7D">
        <w:t> billion</w:t>
      </w:r>
      <w:r w:rsidRPr="00390B7D">
        <w:t xml:space="preserve"> in 202</w:t>
      </w:r>
      <w:r w:rsidR="00995B61" w:rsidRPr="00390B7D">
        <w:t>2</w:t>
      </w:r>
      <w:r w:rsidR="0083530B" w:rsidRPr="00390B7D">
        <w:t>–</w:t>
      </w:r>
      <w:r w:rsidRPr="00390B7D">
        <w:t>2</w:t>
      </w:r>
      <w:r w:rsidR="00995B61" w:rsidRPr="00390B7D">
        <w:t>3</w:t>
      </w:r>
      <w:r w:rsidRPr="00390B7D">
        <w:t>, $</w:t>
      </w:r>
      <w:r w:rsidR="002F79B5" w:rsidRPr="00390B7D">
        <w:t>13.2</w:t>
      </w:r>
      <w:r w:rsidR="002E328D" w:rsidRPr="00390B7D">
        <w:t> billion</w:t>
      </w:r>
      <w:r w:rsidRPr="00390B7D">
        <w:t xml:space="preserve"> higher than estimated in the Budget. Changes in taxation revenue </w:t>
      </w:r>
      <w:r w:rsidR="00743BAF" w:rsidRPr="00390B7D">
        <w:t>we</w:t>
      </w:r>
      <w:r w:rsidRPr="00390B7D">
        <w:t>re generally driven by the same factors as receipts.</w:t>
      </w:r>
    </w:p>
    <w:bookmarkEnd w:id="8"/>
    <w:p w14:paraId="78C9456D" w14:textId="5C893849" w:rsidR="00E6011B" w:rsidRDefault="00E52EE3" w:rsidP="00AC71D1">
      <w:r w:rsidRPr="00390B7D">
        <w:t>Total non</w:t>
      </w:r>
      <w:r w:rsidR="006B57C6" w:rsidRPr="00390B7D">
        <w:noBreakHyphen/>
      </w:r>
      <w:r w:rsidRPr="00390B7D">
        <w:t>tax revenue was $</w:t>
      </w:r>
      <w:r w:rsidR="001E6097" w:rsidRPr="00390B7D">
        <w:t>50.1</w:t>
      </w:r>
      <w:r w:rsidR="002E328D" w:rsidRPr="00390B7D">
        <w:t> billion</w:t>
      </w:r>
      <w:r w:rsidRPr="00390B7D">
        <w:t xml:space="preserve"> in 2022</w:t>
      </w:r>
      <w:r w:rsidR="0083530B" w:rsidRPr="00390B7D">
        <w:t>–</w:t>
      </w:r>
      <w:r w:rsidRPr="00390B7D">
        <w:t>23, $0.</w:t>
      </w:r>
      <w:r w:rsidR="005B7F12" w:rsidRPr="00390B7D">
        <w:t>5</w:t>
      </w:r>
      <w:r w:rsidR="002E328D" w:rsidRPr="00390B7D">
        <w:t> billion</w:t>
      </w:r>
      <w:r w:rsidRPr="00390B7D">
        <w:t xml:space="preserve"> higher than estimated in the Budget. Non</w:t>
      </w:r>
      <w:r w:rsidR="006B57C6" w:rsidRPr="00390B7D">
        <w:noBreakHyphen/>
      </w:r>
      <w:r w:rsidRPr="00390B7D">
        <w:t>tax receipts were $</w:t>
      </w:r>
      <w:r w:rsidR="006F6F0A" w:rsidRPr="00390B7D">
        <w:t>48.2</w:t>
      </w:r>
      <w:r w:rsidR="002E328D" w:rsidRPr="00390B7D">
        <w:t> billion</w:t>
      </w:r>
      <w:r w:rsidRPr="00390B7D">
        <w:t xml:space="preserve"> in 2022</w:t>
      </w:r>
      <w:r w:rsidR="0083530B" w:rsidRPr="00390B7D">
        <w:t>–</w:t>
      </w:r>
      <w:r w:rsidRPr="00390B7D">
        <w:t>23, $0.</w:t>
      </w:r>
      <w:r w:rsidR="007C76C9" w:rsidRPr="00390B7D">
        <w:t>6</w:t>
      </w:r>
      <w:r w:rsidR="002E328D" w:rsidRPr="00390B7D">
        <w:t> billion</w:t>
      </w:r>
      <w:r w:rsidRPr="00390B7D">
        <w:t xml:space="preserve"> </w:t>
      </w:r>
      <w:r w:rsidR="00721719" w:rsidRPr="00390B7D">
        <w:t xml:space="preserve">higher </w:t>
      </w:r>
      <w:r w:rsidRPr="00390B7D">
        <w:t>than estimated in the Budget.</w:t>
      </w:r>
    </w:p>
    <w:p w14:paraId="4FDD14B7" w14:textId="77777777" w:rsidR="000E73B4" w:rsidRPr="004E1D0C" w:rsidRDefault="000E73B4" w:rsidP="004E1D0C">
      <w:r>
        <w:br w:type="page"/>
      </w:r>
    </w:p>
    <w:p w14:paraId="4B43E947" w14:textId="4F5645D1" w:rsidR="00AF3CEA" w:rsidRPr="00BA6A37" w:rsidRDefault="002959E6" w:rsidP="00DC368E">
      <w:pPr>
        <w:pStyle w:val="TableHeading"/>
        <w:spacing w:before="0" w:after="0"/>
        <w:rPr>
          <w:rFonts w:eastAsiaTheme="minorHAnsi"/>
        </w:rPr>
      </w:pPr>
      <w:r w:rsidRPr="006354EB">
        <w:lastRenderedPageBreak/>
        <w:t>Table 1.4: Australian Government general government sector (accrual) revenu</w:t>
      </w:r>
      <w:r w:rsidR="00034C71">
        <w:t>e</w:t>
      </w:r>
      <w:bookmarkStart w:id="9" w:name="_1756558969"/>
      <w:bookmarkEnd w:id="9"/>
    </w:p>
    <w:tbl>
      <w:tblPr>
        <w:tblW w:w="5000" w:type="pct"/>
        <w:tblCellMar>
          <w:left w:w="0" w:type="dxa"/>
          <w:right w:w="28" w:type="dxa"/>
        </w:tblCellMar>
        <w:tblLook w:val="04A0" w:firstRow="1" w:lastRow="0" w:firstColumn="1" w:lastColumn="0" w:noHBand="0" w:noVBand="1"/>
      </w:tblPr>
      <w:tblGrid>
        <w:gridCol w:w="4253"/>
        <w:gridCol w:w="1152"/>
        <w:gridCol w:w="1152"/>
        <w:gridCol w:w="1153"/>
      </w:tblGrid>
      <w:tr w:rsidR="00AF3CEA" w:rsidRPr="00AF3CEA" w14:paraId="65678817" w14:textId="77777777" w:rsidTr="00BD4D1C">
        <w:trPr>
          <w:divId w:val="1212889486"/>
          <w:trHeight w:hRule="exact" w:val="225"/>
        </w:trPr>
        <w:tc>
          <w:tcPr>
            <w:tcW w:w="2758" w:type="pct"/>
            <w:tcBorders>
              <w:top w:val="single" w:sz="4" w:space="0" w:color="auto"/>
              <w:left w:val="nil"/>
              <w:bottom w:val="nil"/>
              <w:right w:val="nil"/>
            </w:tcBorders>
            <w:shd w:val="clear" w:color="000000" w:fill="FFFFFF"/>
            <w:noWrap/>
            <w:vAlign w:val="center"/>
            <w:hideMark/>
          </w:tcPr>
          <w:p w14:paraId="0E816268" w14:textId="2796478E" w:rsidR="00AF3CEA" w:rsidRPr="00AF3CEA" w:rsidRDefault="00AF3CEA" w:rsidP="00AF3CEA">
            <w:pPr>
              <w:spacing w:before="0" w:after="0" w:line="240" w:lineRule="auto"/>
              <w:rPr>
                <w:rFonts w:ascii="Arial" w:hAnsi="Arial" w:cs="Arial"/>
                <w:color w:val="0000FF"/>
                <w:sz w:val="16"/>
                <w:szCs w:val="16"/>
              </w:rPr>
            </w:pPr>
            <w:r w:rsidRPr="00AF3CEA">
              <w:rPr>
                <w:rFonts w:ascii="Arial" w:hAnsi="Arial" w:cs="Arial"/>
                <w:color w:val="0000FF"/>
                <w:sz w:val="16"/>
                <w:szCs w:val="16"/>
              </w:rPr>
              <w:t> </w:t>
            </w:r>
          </w:p>
        </w:tc>
        <w:tc>
          <w:tcPr>
            <w:tcW w:w="747" w:type="pct"/>
            <w:tcBorders>
              <w:top w:val="single" w:sz="4" w:space="0" w:color="auto"/>
              <w:left w:val="nil"/>
              <w:bottom w:val="nil"/>
              <w:right w:val="nil"/>
            </w:tcBorders>
            <w:shd w:val="clear" w:color="000000" w:fill="FFFFFF"/>
            <w:noWrap/>
            <w:vAlign w:val="center"/>
            <w:hideMark/>
          </w:tcPr>
          <w:p w14:paraId="14A8F398" w14:textId="2839EAF8"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2022</w:t>
            </w:r>
            <w:r w:rsidR="006B57C6">
              <w:rPr>
                <w:rFonts w:ascii="Arial" w:hAnsi="Arial" w:cs="Arial"/>
                <w:sz w:val="16"/>
                <w:szCs w:val="16"/>
              </w:rPr>
              <w:noBreakHyphen/>
            </w:r>
            <w:r w:rsidRPr="00AF3CEA">
              <w:rPr>
                <w:rFonts w:ascii="Arial" w:hAnsi="Arial" w:cs="Arial"/>
                <w:sz w:val="16"/>
                <w:szCs w:val="16"/>
              </w:rPr>
              <w:t>23</w:t>
            </w:r>
          </w:p>
        </w:tc>
        <w:tc>
          <w:tcPr>
            <w:tcW w:w="747" w:type="pct"/>
            <w:tcBorders>
              <w:top w:val="single" w:sz="4" w:space="0" w:color="auto"/>
              <w:left w:val="nil"/>
              <w:bottom w:val="nil"/>
              <w:right w:val="nil"/>
            </w:tcBorders>
            <w:shd w:val="clear" w:color="000000" w:fill="E6F2FF"/>
            <w:noWrap/>
            <w:vAlign w:val="center"/>
            <w:hideMark/>
          </w:tcPr>
          <w:p w14:paraId="3095D075" w14:textId="5114CC8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2022</w:t>
            </w:r>
            <w:r w:rsidR="006B57C6">
              <w:rPr>
                <w:rFonts w:ascii="Arial" w:hAnsi="Arial" w:cs="Arial"/>
                <w:sz w:val="16"/>
                <w:szCs w:val="16"/>
              </w:rPr>
              <w:noBreakHyphen/>
            </w:r>
            <w:r w:rsidRPr="00AF3CEA">
              <w:rPr>
                <w:rFonts w:ascii="Arial" w:hAnsi="Arial" w:cs="Arial"/>
                <w:sz w:val="16"/>
                <w:szCs w:val="16"/>
              </w:rPr>
              <w:t>23</w:t>
            </w:r>
          </w:p>
        </w:tc>
        <w:tc>
          <w:tcPr>
            <w:tcW w:w="748" w:type="pct"/>
            <w:tcBorders>
              <w:top w:val="single" w:sz="4" w:space="0" w:color="auto"/>
              <w:left w:val="nil"/>
              <w:bottom w:val="nil"/>
              <w:right w:val="nil"/>
            </w:tcBorders>
            <w:shd w:val="clear" w:color="000000" w:fill="FFFFFF"/>
            <w:noWrap/>
            <w:vAlign w:val="bottom"/>
            <w:hideMark/>
          </w:tcPr>
          <w:p w14:paraId="7E6AE1DB"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Change on</w:t>
            </w:r>
          </w:p>
        </w:tc>
      </w:tr>
      <w:tr w:rsidR="00AF3CEA" w:rsidRPr="00AF3CEA" w14:paraId="3850BF99" w14:textId="77777777" w:rsidTr="00BD4D1C">
        <w:trPr>
          <w:divId w:val="1212889486"/>
          <w:trHeight w:hRule="exact" w:val="225"/>
        </w:trPr>
        <w:tc>
          <w:tcPr>
            <w:tcW w:w="2758" w:type="pct"/>
            <w:tcBorders>
              <w:top w:val="nil"/>
              <w:left w:val="nil"/>
              <w:bottom w:val="nil"/>
              <w:right w:val="nil"/>
            </w:tcBorders>
            <w:shd w:val="clear" w:color="000000" w:fill="FFFFFF"/>
            <w:noWrap/>
            <w:vAlign w:val="center"/>
            <w:hideMark/>
          </w:tcPr>
          <w:p w14:paraId="4FDCCC2C" w14:textId="77777777" w:rsidR="00AF3CEA" w:rsidRPr="00AF3CEA" w:rsidRDefault="00AF3CEA" w:rsidP="00AF3CEA">
            <w:pPr>
              <w:spacing w:before="0" w:after="0" w:line="240" w:lineRule="auto"/>
              <w:rPr>
                <w:rFonts w:ascii="Arial" w:hAnsi="Arial" w:cs="Arial"/>
                <w:color w:val="0000FF"/>
                <w:sz w:val="16"/>
                <w:szCs w:val="16"/>
              </w:rPr>
            </w:pPr>
            <w:r w:rsidRPr="00AF3CEA">
              <w:rPr>
                <w:rFonts w:ascii="Arial" w:hAnsi="Arial" w:cs="Arial"/>
                <w:color w:val="0000FF"/>
                <w:sz w:val="16"/>
                <w:szCs w:val="16"/>
              </w:rPr>
              <w:t> </w:t>
            </w:r>
          </w:p>
        </w:tc>
        <w:tc>
          <w:tcPr>
            <w:tcW w:w="747" w:type="pct"/>
            <w:tcBorders>
              <w:top w:val="nil"/>
              <w:left w:val="nil"/>
              <w:bottom w:val="nil"/>
              <w:right w:val="nil"/>
            </w:tcBorders>
            <w:shd w:val="clear" w:color="000000" w:fill="FFFFFF"/>
            <w:noWrap/>
            <w:vAlign w:val="center"/>
            <w:hideMark/>
          </w:tcPr>
          <w:p w14:paraId="64918A73"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Estimate at</w:t>
            </w:r>
          </w:p>
        </w:tc>
        <w:tc>
          <w:tcPr>
            <w:tcW w:w="747" w:type="pct"/>
            <w:tcBorders>
              <w:top w:val="nil"/>
              <w:left w:val="nil"/>
              <w:bottom w:val="nil"/>
              <w:right w:val="nil"/>
            </w:tcBorders>
            <w:shd w:val="clear" w:color="000000" w:fill="E6F2FF"/>
            <w:noWrap/>
            <w:vAlign w:val="center"/>
            <w:hideMark/>
          </w:tcPr>
          <w:p w14:paraId="3E794F25"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Outcome</w:t>
            </w:r>
          </w:p>
        </w:tc>
        <w:tc>
          <w:tcPr>
            <w:tcW w:w="748" w:type="pct"/>
            <w:tcBorders>
              <w:top w:val="nil"/>
              <w:left w:val="nil"/>
              <w:bottom w:val="nil"/>
              <w:right w:val="nil"/>
            </w:tcBorders>
            <w:shd w:val="clear" w:color="000000" w:fill="FFFFFF"/>
            <w:noWrap/>
            <w:vAlign w:val="center"/>
            <w:hideMark/>
          </w:tcPr>
          <w:p w14:paraId="4EDE1176" w14:textId="192EE7DA"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2023</w:t>
            </w:r>
            <w:r w:rsidR="006B57C6">
              <w:rPr>
                <w:rFonts w:ascii="Arial" w:hAnsi="Arial" w:cs="Arial"/>
                <w:sz w:val="16"/>
                <w:szCs w:val="16"/>
              </w:rPr>
              <w:noBreakHyphen/>
            </w:r>
            <w:r w:rsidRPr="00AF3CEA">
              <w:rPr>
                <w:rFonts w:ascii="Arial" w:hAnsi="Arial" w:cs="Arial"/>
                <w:sz w:val="16"/>
                <w:szCs w:val="16"/>
              </w:rPr>
              <w:t>24</w:t>
            </w:r>
          </w:p>
        </w:tc>
      </w:tr>
      <w:tr w:rsidR="00AF3CEA" w:rsidRPr="00AF3CEA" w14:paraId="1045994D" w14:textId="77777777" w:rsidTr="00BD4D1C">
        <w:trPr>
          <w:divId w:val="1212889486"/>
          <w:trHeight w:hRule="exact" w:val="225"/>
        </w:trPr>
        <w:tc>
          <w:tcPr>
            <w:tcW w:w="2758" w:type="pct"/>
            <w:tcBorders>
              <w:top w:val="nil"/>
              <w:left w:val="nil"/>
              <w:bottom w:val="nil"/>
              <w:right w:val="nil"/>
            </w:tcBorders>
            <w:shd w:val="clear" w:color="000000" w:fill="FFFFFF"/>
            <w:noWrap/>
            <w:vAlign w:val="center"/>
            <w:hideMark/>
          </w:tcPr>
          <w:p w14:paraId="0CD3215C" w14:textId="77777777" w:rsidR="00AF3CEA" w:rsidRPr="00AF3CEA" w:rsidRDefault="00AF3CEA" w:rsidP="00AF3CEA">
            <w:pPr>
              <w:spacing w:before="0" w:after="0" w:line="240" w:lineRule="auto"/>
              <w:rPr>
                <w:rFonts w:ascii="Arial" w:hAnsi="Arial" w:cs="Arial"/>
                <w:color w:val="0000FF"/>
                <w:sz w:val="16"/>
                <w:szCs w:val="16"/>
              </w:rPr>
            </w:pPr>
            <w:r w:rsidRPr="00AF3CEA">
              <w:rPr>
                <w:rFonts w:ascii="Arial" w:hAnsi="Arial" w:cs="Arial"/>
                <w:color w:val="0000FF"/>
                <w:sz w:val="16"/>
                <w:szCs w:val="16"/>
              </w:rPr>
              <w:t> </w:t>
            </w:r>
          </w:p>
        </w:tc>
        <w:tc>
          <w:tcPr>
            <w:tcW w:w="747" w:type="pct"/>
            <w:tcBorders>
              <w:top w:val="nil"/>
              <w:left w:val="nil"/>
              <w:bottom w:val="nil"/>
              <w:right w:val="nil"/>
            </w:tcBorders>
            <w:shd w:val="clear" w:color="000000" w:fill="FFFFFF"/>
            <w:noWrap/>
            <w:vAlign w:val="center"/>
            <w:hideMark/>
          </w:tcPr>
          <w:p w14:paraId="1AB3728F" w14:textId="769DB586"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2023</w:t>
            </w:r>
            <w:r w:rsidR="006B57C6">
              <w:rPr>
                <w:rFonts w:ascii="Arial" w:hAnsi="Arial" w:cs="Arial"/>
                <w:sz w:val="16"/>
                <w:szCs w:val="16"/>
              </w:rPr>
              <w:noBreakHyphen/>
            </w:r>
            <w:r w:rsidRPr="00AF3CEA">
              <w:rPr>
                <w:rFonts w:ascii="Arial" w:hAnsi="Arial" w:cs="Arial"/>
                <w:sz w:val="16"/>
                <w:szCs w:val="16"/>
              </w:rPr>
              <w:t>24</w:t>
            </w:r>
          </w:p>
        </w:tc>
        <w:tc>
          <w:tcPr>
            <w:tcW w:w="747" w:type="pct"/>
            <w:tcBorders>
              <w:top w:val="nil"/>
              <w:left w:val="nil"/>
              <w:bottom w:val="nil"/>
              <w:right w:val="nil"/>
            </w:tcBorders>
            <w:shd w:val="clear" w:color="000000" w:fill="E6F2FF"/>
            <w:noWrap/>
            <w:vAlign w:val="center"/>
            <w:hideMark/>
          </w:tcPr>
          <w:p w14:paraId="713E8AE6"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 </w:t>
            </w:r>
          </w:p>
        </w:tc>
        <w:tc>
          <w:tcPr>
            <w:tcW w:w="748" w:type="pct"/>
            <w:tcBorders>
              <w:top w:val="nil"/>
              <w:left w:val="nil"/>
              <w:bottom w:val="nil"/>
              <w:right w:val="nil"/>
            </w:tcBorders>
            <w:shd w:val="clear" w:color="000000" w:fill="FFFFFF"/>
            <w:noWrap/>
            <w:vAlign w:val="bottom"/>
            <w:hideMark/>
          </w:tcPr>
          <w:p w14:paraId="0763872E"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 xml:space="preserve"> Budget</w:t>
            </w:r>
          </w:p>
        </w:tc>
      </w:tr>
      <w:tr w:rsidR="00AF3CEA" w:rsidRPr="00AF3CEA" w14:paraId="5790C8CA" w14:textId="77777777" w:rsidTr="00BD4D1C">
        <w:trPr>
          <w:divId w:val="1212889486"/>
          <w:trHeight w:hRule="exact" w:val="225"/>
        </w:trPr>
        <w:tc>
          <w:tcPr>
            <w:tcW w:w="2758" w:type="pct"/>
            <w:tcBorders>
              <w:top w:val="nil"/>
              <w:left w:val="nil"/>
              <w:bottom w:val="nil"/>
              <w:right w:val="nil"/>
            </w:tcBorders>
            <w:shd w:val="clear" w:color="000000" w:fill="FFFFFF"/>
            <w:noWrap/>
            <w:vAlign w:val="center"/>
            <w:hideMark/>
          </w:tcPr>
          <w:p w14:paraId="5916CB2E" w14:textId="77777777" w:rsidR="00AF3CEA" w:rsidRPr="00AF3CEA" w:rsidRDefault="00AF3CEA" w:rsidP="00AF3CEA">
            <w:pPr>
              <w:spacing w:before="0" w:after="0" w:line="240" w:lineRule="auto"/>
              <w:rPr>
                <w:rFonts w:ascii="Arial" w:hAnsi="Arial" w:cs="Arial"/>
                <w:color w:val="0000FF"/>
                <w:sz w:val="16"/>
                <w:szCs w:val="16"/>
              </w:rPr>
            </w:pPr>
            <w:r w:rsidRPr="00AF3CEA">
              <w:rPr>
                <w:rFonts w:ascii="Arial" w:hAnsi="Arial" w:cs="Arial"/>
                <w:color w:val="0000FF"/>
                <w:sz w:val="16"/>
                <w:szCs w:val="16"/>
              </w:rPr>
              <w:t> </w:t>
            </w:r>
          </w:p>
        </w:tc>
        <w:tc>
          <w:tcPr>
            <w:tcW w:w="747" w:type="pct"/>
            <w:tcBorders>
              <w:top w:val="nil"/>
              <w:left w:val="nil"/>
              <w:bottom w:val="nil"/>
              <w:right w:val="nil"/>
            </w:tcBorders>
            <w:shd w:val="clear" w:color="000000" w:fill="FFFFFF"/>
            <w:noWrap/>
            <w:vAlign w:val="center"/>
            <w:hideMark/>
          </w:tcPr>
          <w:p w14:paraId="5A7D83FE"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 xml:space="preserve"> Budget</w:t>
            </w:r>
          </w:p>
        </w:tc>
        <w:tc>
          <w:tcPr>
            <w:tcW w:w="747" w:type="pct"/>
            <w:tcBorders>
              <w:top w:val="nil"/>
              <w:left w:val="nil"/>
              <w:bottom w:val="nil"/>
              <w:right w:val="nil"/>
            </w:tcBorders>
            <w:shd w:val="clear" w:color="000000" w:fill="E6F2FF"/>
            <w:noWrap/>
            <w:vAlign w:val="center"/>
            <w:hideMark/>
          </w:tcPr>
          <w:p w14:paraId="1C3D90C6"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 </w:t>
            </w:r>
          </w:p>
        </w:tc>
        <w:tc>
          <w:tcPr>
            <w:tcW w:w="748" w:type="pct"/>
            <w:tcBorders>
              <w:top w:val="nil"/>
              <w:left w:val="nil"/>
              <w:bottom w:val="nil"/>
              <w:right w:val="nil"/>
            </w:tcBorders>
            <w:shd w:val="clear" w:color="000000" w:fill="FFFFFF"/>
            <w:noWrap/>
            <w:vAlign w:val="center"/>
            <w:hideMark/>
          </w:tcPr>
          <w:p w14:paraId="00E7CC2F" w14:textId="77777777" w:rsidR="00AF3CEA" w:rsidRPr="00AF3CEA" w:rsidRDefault="00AF3CEA" w:rsidP="00AF3CEA">
            <w:pPr>
              <w:spacing w:before="0" w:after="0" w:line="240" w:lineRule="auto"/>
              <w:jc w:val="center"/>
              <w:rPr>
                <w:rFonts w:ascii="Arial" w:hAnsi="Arial" w:cs="Arial"/>
                <w:sz w:val="16"/>
                <w:szCs w:val="16"/>
              </w:rPr>
            </w:pPr>
            <w:r w:rsidRPr="00AF3CEA">
              <w:rPr>
                <w:rFonts w:ascii="Arial" w:hAnsi="Arial" w:cs="Arial"/>
                <w:sz w:val="16"/>
                <w:szCs w:val="16"/>
              </w:rPr>
              <w:t> </w:t>
            </w:r>
          </w:p>
        </w:tc>
      </w:tr>
      <w:tr w:rsidR="00AF3CEA" w:rsidRPr="00AF3CEA" w14:paraId="19BBD3BD" w14:textId="77777777" w:rsidTr="00BD4D1C">
        <w:trPr>
          <w:divId w:val="1212889486"/>
          <w:trHeight w:hRule="exact" w:val="225"/>
        </w:trPr>
        <w:tc>
          <w:tcPr>
            <w:tcW w:w="2758" w:type="pct"/>
            <w:tcBorders>
              <w:top w:val="nil"/>
              <w:left w:val="nil"/>
              <w:bottom w:val="nil"/>
              <w:right w:val="nil"/>
            </w:tcBorders>
            <w:shd w:val="clear" w:color="000000" w:fill="FFFFFF"/>
            <w:vAlign w:val="center"/>
            <w:hideMark/>
          </w:tcPr>
          <w:p w14:paraId="6873E38B" w14:textId="77777777" w:rsidR="00AF3CEA" w:rsidRPr="00AF3CEA" w:rsidRDefault="00AF3CEA" w:rsidP="00AF3CEA">
            <w:pPr>
              <w:spacing w:before="0" w:after="0" w:line="240" w:lineRule="auto"/>
              <w:rPr>
                <w:rFonts w:ascii="Arial" w:hAnsi="Arial" w:cs="Arial"/>
                <w:color w:val="0000FF"/>
                <w:sz w:val="16"/>
                <w:szCs w:val="16"/>
              </w:rPr>
            </w:pPr>
            <w:r w:rsidRPr="00AF3CEA">
              <w:rPr>
                <w:rFonts w:ascii="Arial" w:hAnsi="Arial" w:cs="Arial"/>
                <w:color w:val="0000FF"/>
                <w:sz w:val="16"/>
                <w:szCs w:val="16"/>
              </w:rPr>
              <w:t> </w:t>
            </w:r>
          </w:p>
        </w:tc>
        <w:tc>
          <w:tcPr>
            <w:tcW w:w="747" w:type="pct"/>
            <w:tcBorders>
              <w:top w:val="nil"/>
              <w:left w:val="nil"/>
              <w:bottom w:val="nil"/>
              <w:right w:val="nil"/>
            </w:tcBorders>
            <w:shd w:val="clear" w:color="000000" w:fill="FFFFFF"/>
            <w:vAlign w:val="center"/>
            <w:hideMark/>
          </w:tcPr>
          <w:p w14:paraId="40ED41F5"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$m</w:t>
            </w:r>
          </w:p>
        </w:tc>
        <w:tc>
          <w:tcPr>
            <w:tcW w:w="747" w:type="pct"/>
            <w:tcBorders>
              <w:top w:val="nil"/>
              <w:left w:val="nil"/>
              <w:bottom w:val="nil"/>
              <w:right w:val="nil"/>
            </w:tcBorders>
            <w:shd w:val="clear" w:color="000000" w:fill="E6F2FF"/>
            <w:vAlign w:val="center"/>
            <w:hideMark/>
          </w:tcPr>
          <w:p w14:paraId="69083482"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$m</w:t>
            </w:r>
          </w:p>
        </w:tc>
        <w:tc>
          <w:tcPr>
            <w:tcW w:w="748" w:type="pct"/>
            <w:tcBorders>
              <w:top w:val="nil"/>
              <w:left w:val="nil"/>
              <w:bottom w:val="nil"/>
              <w:right w:val="nil"/>
            </w:tcBorders>
            <w:shd w:val="clear" w:color="000000" w:fill="FFFFFF"/>
            <w:vAlign w:val="center"/>
            <w:hideMark/>
          </w:tcPr>
          <w:p w14:paraId="7AD35DA1"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$m</w:t>
            </w:r>
          </w:p>
        </w:tc>
      </w:tr>
      <w:tr w:rsidR="00AF3CEA" w:rsidRPr="00AF3CEA" w14:paraId="27766505"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55B6C304"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Individuals and other withholding taxes</w:t>
            </w:r>
          </w:p>
        </w:tc>
        <w:tc>
          <w:tcPr>
            <w:tcW w:w="747" w:type="pct"/>
            <w:tcBorders>
              <w:top w:val="single" w:sz="4" w:space="0" w:color="293F5B"/>
              <w:left w:val="nil"/>
              <w:bottom w:val="nil"/>
              <w:right w:val="nil"/>
            </w:tcBorders>
            <w:shd w:val="clear" w:color="000000" w:fill="FFFFFF"/>
            <w:noWrap/>
            <w:vAlign w:val="center"/>
            <w:hideMark/>
          </w:tcPr>
          <w:p w14:paraId="5F64439F"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 </w:t>
            </w:r>
          </w:p>
        </w:tc>
        <w:tc>
          <w:tcPr>
            <w:tcW w:w="747" w:type="pct"/>
            <w:tcBorders>
              <w:top w:val="single" w:sz="4" w:space="0" w:color="293F5B"/>
              <w:left w:val="nil"/>
              <w:bottom w:val="nil"/>
              <w:right w:val="nil"/>
            </w:tcBorders>
            <w:shd w:val="clear" w:color="000000" w:fill="E6F2FF"/>
            <w:noWrap/>
            <w:vAlign w:val="center"/>
            <w:hideMark/>
          </w:tcPr>
          <w:p w14:paraId="24831C6E" w14:textId="77777777" w:rsidR="00AF3CEA" w:rsidRPr="00AF3CEA" w:rsidRDefault="00AF3CEA" w:rsidP="00AF3CEA">
            <w:pPr>
              <w:spacing w:before="0" w:after="0" w:line="240" w:lineRule="auto"/>
              <w:jc w:val="right"/>
              <w:rPr>
                <w:rFonts w:ascii="Arial" w:hAnsi="Arial" w:cs="Arial"/>
                <w:color w:val="000000"/>
                <w:sz w:val="16"/>
                <w:szCs w:val="16"/>
              </w:rPr>
            </w:pPr>
            <w:r w:rsidRPr="00AF3CEA">
              <w:rPr>
                <w:rFonts w:ascii="Arial" w:hAnsi="Arial" w:cs="Arial"/>
                <w:color w:val="000000"/>
                <w:sz w:val="16"/>
                <w:szCs w:val="16"/>
              </w:rPr>
              <w:t> </w:t>
            </w:r>
          </w:p>
        </w:tc>
        <w:tc>
          <w:tcPr>
            <w:tcW w:w="748" w:type="pct"/>
            <w:tcBorders>
              <w:top w:val="single" w:sz="4" w:space="0" w:color="293F5B"/>
              <w:left w:val="nil"/>
              <w:bottom w:val="nil"/>
              <w:right w:val="nil"/>
            </w:tcBorders>
            <w:shd w:val="clear" w:color="000000" w:fill="FFFFFF"/>
            <w:noWrap/>
            <w:vAlign w:val="center"/>
            <w:hideMark/>
          </w:tcPr>
          <w:p w14:paraId="54E6707E" w14:textId="77777777" w:rsidR="00AF3CEA" w:rsidRPr="00AF3CEA" w:rsidRDefault="00AF3CEA" w:rsidP="00AF3CEA">
            <w:pPr>
              <w:spacing w:before="0" w:after="0" w:line="240" w:lineRule="auto"/>
              <w:jc w:val="right"/>
              <w:rPr>
                <w:rFonts w:ascii="Arial" w:hAnsi="Arial" w:cs="Arial"/>
                <w:color w:val="000000"/>
                <w:sz w:val="16"/>
                <w:szCs w:val="16"/>
              </w:rPr>
            </w:pPr>
            <w:r w:rsidRPr="00AF3CEA">
              <w:rPr>
                <w:rFonts w:ascii="Arial" w:hAnsi="Arial" w:cs="Arial"/>
                <w:color w:val="000000"/>
                <w:sz w:val="16"/>
                <w:szCs w:val="16"/>
              </w:rPr>
              <w:t> </w:t>
            </w:r>
          </w:p>
        </w:tc>
      </w:tr>
      <w:tr w:rsidR="00AF3CEA" w:rsidRPr="00AF3CEA" w14:paraId="7B93E195"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040E4317" w14:textId="77777777" w:rsidR="00AF3CEA" w:rsidRPr="00AF3CEA" w:rsidRDefault="00AF3CEA" w:rsidP="00AF3CEA">
            <w:pPr>
              <w:spacing w:before="0" w:after="0" w:line="240" w:lineRule="auto"/>
              <w:ind w:left="170"/>
              <w:rPr>
                <w:rFonts w:ascii="Arial" w:hAnsi="Arial" w:cs="Arial"/>
                <w:sz w:val="16"/>
                <w:szCs w:val="16"/>
              </w:rPr>
            </w:pPr>
            <w:r w:rsidRPr="00AF3CEA">
              <w:rPr>
                <w:rFonts w:ascii="Arial" w:hAnsi="Arial" w:cs="Arial"/>
                <w:sz w:val="16"/>
                <w:szCs w:val="16"/>
              </w:rPr>
              <w:t>Gross income tax withholding</w:t>
            </w:r>
          </w:p>
        </w:tc>
        <w:tc>
          <w:tcPr>
            <w:tcW w:w="747" w:type="pct"/>
            <w:tcBorders>
              <w:top w:val="nil"/>
              <w:left w:val="nil"/>
              <w:bottom w:val="nil"/>
              <w:right w:val="nil"/>
            </w:tcBorders>
            <w:shd w:val="clear" w:color="000000" w:fill="FFFFFF"/>
            <w:noWrap/>
            <w:vAlign w:val="center"/>
            <w:hideMark/>
          </w:tcPr>
          <w:p w14:paraId="32308DC4"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272,300</w:t>
            </w:r>
          </w:p>
        </w:tc>
        <w:tc>
          <w:tcPr>
            <w:tcW w:w="747" w:type="pct"/>
            <w:tcBorders>
              <w:top w:val="nil"/>
              <w:left w:val="nil"/>
              <w:bottom w:val="nil"/>
              <w:right w:val="nil"/>
            </w:tcBorders>
            <w:shd w:val="clear" w:color="000000" w:fill="E6F2FF"/>
            <w:noWrap/>
            <w:vAlign w:val="center"/>
            <w:hideMark/>
          </w:tcPr>
          <w:p w14:paraId="0BBB6BD4"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271,628</w:t>
            </w:r>
          </w:p>
        </w:tc>
        <w:tc>
          <w:tcPr>
            <w:tcW w:w="748" w:type="pct"/>
            <w:tcBorders>
              <w:top w:val="nil"/>
              <w:left w:val="nil"/>
              <w:bottom w:val="nil"/>
              <w:right w:val="nil"/>
            </w:tcBorders>
            <w:shd w:val="clear" w:color="000000" w:fill="FFFFFF"/>
            <w:noWrap/>
            <w:vAlign w:val="center"/>
            <w:hideMark/>
          </w:tcPr>
          <w:p w14:paraId="30244C67" w14:textId="789C87EB"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672</w:t>
            </w:r>
          </w:p>
        </w:tc>
      </w:tr>
      <w:tr w:rsidR="00AF3CEA" w:rsidRPr="00AF3CEA" w14:paraId="0C7F96CA"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73420CFC" w14:textId="77777777" w:rsidR="00AF3CEA" w:rsidRPr="00AF3CEA" w:rsidRDefault="00AF3CEA" w:rsidP="00AF3CEA">
            <w:pPr>
              <w:spacing w:before="0" w:after="0" w:line="240" w:lineRule="auto"/>
              <w:ind w:left="170"/>
              <w:rPr>
                <w:rFonts w:ascii="Arial" w:hAnsi="Arial" w:cs="Arial"/>
                <w:sz w:val="16"/>
                <w:szCs w:val="16"/>
              </w:rPr>
            </w:pPr>
            <w:r w:rsidRPr="00AF3CEA">
              <w:rPr>
                <w:rFonts w:ascii="Arial" w:hAnsi="Arial" w:cs="Arial"/>
                <w:sz w:val="16"/>
                <w:szCs w:val="16"/>
              </w:rPr>
              <w:t>Gross other individuals</w:t>
            </w:r>
          </w:p>
        </w:tc>
        <w:tc>
          <w:tcPr>
            <w:tcW w:w="747" w:type="pct"/>
            <w:tcBorders>
              <w:top w:val="nil"/>
              <w:left w:val="nil"/>
              <w:bottom w:val="nil"/>
              <w:right w:val="nil"/>
            </w:tcBorders>
            <w:shd w:val="clear" w:color="000000" w:fill="FFFFFF"/>
            <w:noWrap/>
            <w:vAlign w:val="center"/>
            <w:hideMark/>
          </w:tcPr>
          <w:p w14:paraId="47F90320"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73,000</w:t>
            </w:r>
          </w:p>
        </w:tc>
        <w:tc>
          <w:tcPr>
            <w:tcW w:w="747" w:type="pct"/>
            <w:tcBorders>
              <w:top w:val="nil"/>
              <w:left w:val="nil"/>
              <w:bottom w:val="nil"/>
              <w:right w:val="nil"/>
            </w:tcBorders>
            <w:shd w:val="clear" w:color="000000" w:fill="E6F2FF"/>
            <w:noWrap/>
            <w:vAlign w:val="center"/>
            <w:hideMark/>
          </w:tcPr>
          <w:p w14:paraId="36F9CBE6"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74,064</w:t>
            </w:r>
          </w:p>
        </w:tc>
        <w:tc>
          <w:tcPr>
            <w:tcW w:w="748" w:type="pct"/>
            <w:tcBorders>
              <w:top w:val="nil"/>
              <w:left w:val="nil"/>
              <w:bottom w:val="nil"/>
              <w:right w:val="nil"/>
            </w:tcBorders>
            <w:shd w:val="clear" w:color="000000" w:fill="FFFFFF"/>
            <w:noWrap/>
            <w:vAlign w:val="center"/>
            <w:hideMark/>
          </w:tcPr>
          <w:p w14:paraId="28101843"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1,064</w:t>
            </w:r>
          </w:p>
        </w:tc>
      </w:tr>
      <w:tr w:rsidR="00AF3CEA" w:rsidRPr="00AF3CEA" w14:paraId="1EB28254"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15C86BB2" w14:textId="77777777" w:rsidR="00AF3CEA" w:rsidRPr="00AF3CEA" w:rsidRDefault="00AF3CEA" w:rsidP="00AF3CEA">
            <w:pPr>
              <w:spacing w:before="0" w:after="0" w:line="240" w:lineRule="auto"/>
              <w:ind w:left="170"/>
              <w:rPr>
                <w:rFonts w:ascii="Arial" w:hAnsi="Arial" w:cs="Arial"/>
                <w:i/>
                <w:iCs/>
                <w:sz w:val="16"/>
                <w:szCs w:val="16"/>
              </w:rPr>
            </w:pPr>
            <w:r w:rsidRPr="00AF3CEA">
              <w:rPr>
                <w:rFonts w:ascii="Arial" w:hAnsi="Arial" w:cs="Arial"/>
                <w:i/>
                <w:iCs/>
                <w:sz w:val="16"/>
                <w:szCs w:val="16"/>
              </w:rPr>
              <w:t>less:</w:t>
            </w:r>
            <w:r w:rsidRPr="00AF3CEA">
              <w:rPr>
                <w:rFonts w:ascii="Arial" w:hAnsi="Arial" w:cs="Arial"/>
                <w:sz w:val="16"/>
                <w:szCs w:val="16"/>
              </w:rPr>
              <w:t xml:space="preserve"> Refunds</w:t>
            </w:r>
          </w:p>
        </w:tc>
        <w:tc>
          <w:tcPr>
            <w:tcW w:w="747" w:type="pct"/>
            <w:tcBorders>
              <w:top w:val="nil"/>
              <w:left w:val="nil"/>
              <w:bottom w:val="single" w:sz="4" w:space="0" w:color="293F5B"/>
              <w:right w:val="nil"/>
            </w:tcBorders>
            <w:shd w:val="clear" w:color="000000" w:fill="FFFFFF"/>
            <w:noWrap/>
            <w:vAlign w:val="center"/>
            <w:hideMark/>
          </w:tcPr>
          <w:p w14:paraId="44D85ADD"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42,100</w:t>
            </w:r>
          </w:p>
        </w:tc>
        <w:tc>
          <w:tcPr>
            <w:tcW w:w="747" w:type="pct"/>
            <w:tcBorders>
              <w:top w:val="nil"/>
              <w:left w:val="nil"/>
              <w:bottom w:val="single" w:sz="4" w:space="0" w:color="293F5B"/>
              <w:right w:val="nil"/>
            </w:tcBorders>
            <w:shd w:val="clear" w:color="000000" w:fill="E6F2FF"/>
            <w:noWrap/>
            <w:vAlign w:val="center"/>
            <w:hideMark/>
          </w:tcPr>
          <w:p w14:paraId="3B22A9E6"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42,014</w:t>
            </w:r>
          </w:p>
        </w:tc>
        <w:tc>
          <w:tcPr>
            <w:tcW w:w="748" w:type="pct"/>
            <w:tcBorders>
              <w:top w:val="nil"/>
              <w:left w:val="nil"/>
              <w:bottom w:val="single" w:sz="4" w:space="0" w:color="293F5B"/>
              <w:right w:val="nil"/>
            </w:tcBorders>
            <w:shd w:val="clear" w:color="000000" w:fill="FFFFFF"/>
            <w:noWrap/>
            <w:vAlign w:val="center"/>
            <w:hideMark/>
          </w:tcPr>
          <w:p w14:paraId="3BDCBFAF" w14:textId="20A0E4DF"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86</w:t>
            </w:r>
          </w:p>
        </w:tc>
      </w:tr>
      <w:tr w:rsidR="00AF3CEA" w:rsidRPr="00AF3CEA" w14:paraId="3518FB6A"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413E9D9E"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Total individuals and other withholding tax</w:t>
            </w:r>
          </w:p>
        </w:tc>
        <w:tc>
          <w:tcPr>
            <w:tcW w:w="747" w:type="pct"/>
            <w:tcBorders>
              <w:top w:val="nil"/>
              <w:left w:val="nil"/>
              <w:bottom w:val="nil"/>
              <w:right w:val="nil"/>
            </w:tcBorders>
            <w:shd w:val="clear" w:color="000000" w:fill="FFFFFF"/>
            <w:noWrap/>
            <w:vAlign w:val="center"/>
            <w:hideMark/>
          </w:tcPr>
          <w:p w14:paraId="1A318CB8"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303,200</w:t>
            </w:r>
          </w:p>
        </w:tc>
        <w:tc>
          <w:tcPr>
            <w:tcW w:w="747" w:type="pct"/>
            <w:tcBorders>
              <w:top w:val="nil"/>
              <w:left w:val="nil"/>
              <w:bottom w:val="nil"/>
              <w:right w:val="nil"/>
            </w:tcBorders>
            <w:shd w:val="clear" w:color="000000" w:fill="E6F2FF"/>
            <w:noWrap/>
            <w:vAlign w:val="center"/>
            <w:hideMark/>
          </w:tcPr>
          <w:p w14:paraId="79F02BE8"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303,679</w:t>
            </w:r>
          </w:p>
        </w:tc>
        <w:tc>
          <w:tcPr>
            <w:tcW w:w="748" w:type="pct"/>
            <w:tcBorders>
              <w:top w:val="nil"/>
              <w:left w:val="nil"/>
              <w:bottom w:val="nil"/>
              <w:right w:val="nil"/>
            </w:tcBorders>
            <w:shd w:val="clear" w:color="000000" w:fill="FFFFFF"/>
            <w:noWrap/>
            <w:vAlign w:val="center"/>
            <w:hideMark/>
          </w:tcPr>
          <w:p w14:paraId="0DD164E9"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479</w:t>
            </w:r>
          </w:p>
        </w:tc>
      </w:tr>
      <w:tr w:rsidR="00AF3CEA" w:rsidRPr="00AF3CEA" w14:paraId="58DD482D"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1A71D0E6"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Fringe benefits tax</w:t>
            </w:r>
          </w:p>
        </w:tc>
        <w:tc>
          <w:tcPr>
            <w:tcW w:w="747" w:type="pct"/>
            <w:tcBorders>
              <w:top w:val="nil"/>
              <w:left w:val="nil"/>
              <w:bottom w:val="nil"/>
              <w:right w:val="nil"/>
            </w:tcBorders>
            <w:shd w:val="clear" w:color="000000" w:fill="FFFFFF"/>
            <w:noWrap/>
            <w:vAlign w:val="center"/>
            <w:hideMark/>
          </w:tcPr>
          <w:p w14:paraId="1B67D4A9"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3,510</w:t>
            </w:r>
          </w:p>
        </w:tc>
        <w:tc>
          <w:tcPr>
            <w:tcW w:w="747" w:type="pct"/>
            <w:tcBorders>
              <w:top w:val="nil"/>
              <w:left w:val="nil"/>
              <w:bottom w:val="nil"/>
              <w:right w:val="nil"/>
            </w:tcBorders>
            <w:shd w:val="clear" w:color="000000" w:fill="E6F2FF"/>
            <w:noWrap/>
            <w:vAlign w:val="center"/>
            <w:hideMark/>
          </w:tcPr>
          <w:p w14:paraId="79560758"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4,147</w:t>
            </w:r>
          </w:p>
        </w:tc>
        <w:tc>
          <w:tcPr>
            <w:tcW w:w="748" w:type="pct"/>
            <w:tcBorders>
              <w:top w:val="nil"/>
              <w:left w:val="nil"/>
              <w:bottom w:val="nil"/>
              <w:right w:val="nil"/>
            </w:tcBorders>
            <w:shd w:val="clear" w:color="000000" w:fill="FFFFFF"/>
            <w:noWrap/>
            <w:vAlign w:val="center"/>
            <w:hideMark/>
          </w:tcPr>
          <w:p w14:paraId="7464C4C2"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637</w:t>
            </w:r>
          </w:p>
        </w:tc>
      </w:tr>
      <w:tr w:rsidR="00AF3CEA" w:rsidRPr="00AF3CEA" w14:paraId="09003D98"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3C26D05F"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Company tax</w:t>
            </w:r>
          </w:p>
        </w:tc>
        <w:tc>
          <w:tcPr>
            <w:tcW w:w="747" w:type="pct"/>
            <w:tcBorders>
              <w:top w:val="nil"/>
              <w:left w:val="nil"/>
              <w:bottom w:val="nil"/>
              <w:right w:val="nil"/>
            </w:tcBorders>
            <w:shd w:val="clear" w:color="000000" w:fill="FFFFFF"/>
            <w:noWrap/>
            <w:vAlign w:val="center"/>
            <w:hideMark/>
          </w:tcPr>
          <w:p w14:paraId="3814A72D"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140,800</w:t>
            </w:r>
          </w:p>
        </w:tc>
        <w:tc>
          <w:tcPr>
            <w:tcW w:w="747" w:type="pct"/>
            <w:tcBorders>
              <w:top w:val="nil"/>
              <w:left w:val="nil"/>
              <w:bottom w:val="nil"/>
              <w:right w:val="nil"/>
            </w:tcBorders>
            <w:shd w:val="clear" w:color="000000" w:fill="E6F2FF"/>
            <w:noWrap/>
            <w:vAlign w:val="center"/>
            <w:hideMark/>
          </w:tcPr>
          <w:p w14:paraId="0B5E3AF3"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153,158</w:t>
            </w:r>
          </w:p>
        </w:tc>
        <w:tc>
          <w:tcPr>
            <w:tcW w:w="748" w:type="pct"/>
            <w:tcBorders>
              <w:top w:val="nil"/>
              <w:left w:val="nil"/>
              <w:bottom w:val="nil"/>
              <w:right w:val="nil"/>
            </w:tcBorders>
            <w:shd w:val="clear" w:color="000000" w:fill="FFFFFF"/>
            <w:noWrap/>
            <w:vAlign w:val="center"/>
            <w:hideMark/>
          </w:tcPr>
          <w:p w14:paraId="39082856"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12,358</w:t>
            </w:r>
          </w:p>
        </w:tc>
      </w:tr>
      <w:tr w:rsidR="00AF3CEA" w:rsidRPr="00AF3CEA" w14:paraId="66AB32CD"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6947953B"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Superannuation fund taxes</w:t>
            </w:r>
          </w:p>
        </w:tc>
        <w:tc>
          <w:tcPr>
            <w:tcW w:w="747" w:type="pct"/>
            <w:tcBorders>
              <w:top w:val="nil"/>
              <w:left w:val="nil"/>
              <w:bottom w:val="nil"/>
              <w:right w:val="nil"/>
            </w:tcBorders>
            <w:shd w:val="clear" w:color="000000" w:fill="FFFFFF"/>
            <w:noWrap/>
            <w:vAlign w:val="center"/>
            <w:hideMark/>
          </w:tcPr>
          <w:p w14:paraId="7A34EE4B"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9,670</w:t>
            </w:r>
          </w:p>
        </w:tc>
        <w:tc>
          <w:tcPr>
            <w:tcW w:w="747" w:type="pct"/>
            <w:tcBorders>
              <w:top w:val="nil"/>
              <w:left w:val="nil"/>
              <w:bottom w:val="nil"/>
              <w:right w:val="nil"/>
            </w:tcBorders>
            <w:shd w:val="clear" w:color="000000" w:fill="E6F2FF"/>
            <w:noWrap/>
            <w:vAlign w:val="center"/>
            <w:hideMark/>
          </w:tcPr>
          <w:p w14:paraId="5BA6A8BB"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10,356</w:t>
            </w:r>
          </w:p>
        </w:tc>
        <w:tc>
          <w:tcPr>
            <w:tcW w:w="748" w:type="pct"/>
            <w:tcBorders>
              <w:top w:val="nil"/>
              <w:left w:val="nil"/>
              <w:bottom w:val="nil"/>
              <w:right w:val="nil"/>
            </w:tcBorders>
            <w:shd w:val="clear" w:color="000000" w:fill="FFFFFF"/>
            <w:noWrap/>
            <w:vAlign w:val="center"/>
            <w:hideMark/>
          </w:tcPr>
          <w:p w14:paraId="23A406F2"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686</w:t>
            </w:r>
          </w:p>
        </w:tc>
      </w:tr>
      <w:tr w:rsidR="00AF3CEA" w:rsidRPr="00AF3CEA" w14:paraId="06BBCAD7"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50C8C7DA"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Petroleum resource rent tax</w:t>
            </w:r>
          </w:p>
        </w:tc>
        <w:tc>
          <w:tcPr>
            <w:tcW w:w="747" w:type="pct"/>
            <w:tcBorders>
              <w:top w:val="nil"/>
              <w:left w:val="nil"/>
              <w:bottom w:val="nil"/>
              <w:right w:val="nil"/>
            </w:tcBorders>
            <w:shd w:val="clear" w:color="000000" w:fill="FFFFFF"/>
            <w:noWrap/>
            <w:vAlign w:val="center"/>
            <w:hideMark/>
          </w:tcPr>
          <w:p w14:paraId="41A7C6D2"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2,230</w:t>
            </w:r>
          </w:p>
        </w:tc>
        <w:tc>
          <w:tcPr>
            <w:tcW w:w="747" w:type="pct"/>
            <w:tcBorders>
              <w:top w:val="nil"/>
              <w:left w:val="nil"/>
              <w:bottom w:val="nil"/>
              <w:right w:val="nil"/>
            </w:tcBorders>
            <w:shd w:val="clear" w:color="000000" w:fill="E6F2FF"/>
            <w:noWrap/>
            <w:vAlign w:val="center"/>
            <w:hideMark/>
          </w:tcPr>
          <w:p w14:paraId="5C832AD9"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1,725</w:t>
            </w:r>
          </w:p>
        </w:tc>
        <w:tc>
          <w:tcPr>
            <w:tcW w:w="748" w:type="pct"/>
            <w:tcBorders>
              <w:top w:val="nil"/>
              <w:left w:val="nil"/>
              <w:bottom w:val="nil"/>
              <w:right w:val="nil"/>
            </w:tcBorders>
            <w:shd w:val="clear" w:color="000000" w:fill="FFFFFF"/>
            <w:noWrap/>
            <w:vAlign w:val="center"/>
            <w:hideMark/>
          </w:tcPr>
          <w:p w14:paraId="2F0FA864" w14:textId="5870FAC2"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505</w:t>
            </w:r>
          </w:p>
        </w:tc>
      </w:tr>
      <w:tr w:rsidR="00AF3CEA" w:rsidRPr="00AF3CEA" w14:paraId="73E132D7"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6D614AA8" w14:textId="77777777" w:rsidR="00AF3CEA" w:rsidRPr="00AF3CEA" w:rsidRDefault="00AF3CEA" w:rsidP="00AF3CEA">
            <w:pPr>
              <w:spacing w:before="0" w:after="0" w:line="240" w:lineRule="auto"/>
              <w:rPr>
                <w:rFonts w:ascii="Arial" w:hAnsi="Arial" w:cs="Arial"/>
                <w:b/>
                <w:bCs/>
                <w:color w:val="000000"/>
                <w:sz w:val="16"/>
                <w:szCs w:val="16"/>
              </w:rPr>
            </w:pPr>
            <w:r w:rsidRPr="00AF3CEA">
              <w:rPr>
                <w:rFonts w:ascii="Arial" w:hAnsi="Arial" w:cs="Arial"/>
                <w:b/>
                <w:bCs/>
                <w:color w:val="000000"/>
                <w:sz w:val="16"/>
                <w:szCs w:val="16"/>
              </w:rPr>
              <w:t>Income taxation revenue</w:t>
            </w:r>
          </w:p>
        </w:tc>
        <w:tc>
          <w:tcPr>
            <w:tcW w:w="747" w:type="pct"/>
            <w:tcBorders>
              <w:top w:val="single" w:sz="4" w:space="0" w:color="293F5B"/>
              <w:left w:val="nil"/>
              <w:bottom w:val="nil"/>
              <w:right w:val="nil"/>
            </w:tcBorders>
            <w:shd w:val="clear" w:color="000000" w:fill="FFFFFF"/>
            <w:noWrap/>
            <w:vAlign w:val="center"/>
            <w:hideMark/>
          </w:tcPr>
          <w:p w14:paraId="487A03D8"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459,410</w:t>
            </w:r>
          </w:p>
        </w:tc>
        <w:tc>
          <w:tcPr>
            <w:tcW w:w="747" w:type="pct"/>
            <w:tcBorders>
              <w:top w:val="single" w:sz="4" w:space="0" w:color="293F5B"/>
              <w:left w:val="nil"/>
              <w:bottom w:val="nil"/>
              <w:right w:val="nil"/>
            </w:tcBorders>
            <w:shd w:val="clear" w:color="000000" w:fill="E6F2FF"/>
            <w:noWrap/>
            <w:vAlign w:val="center"/>
            <w:hideMark/>
          </w:tcPr>
          <w:p w14:paraId="0BF25634"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473,065</w:t>
            </w:r>
          </w:p>
        </w:tc>
        <w:tc>
          <w:tcPr>
            <w:tcW w:w="748" w:type="pct"/>
            <w:tcBorders>
              <w:top w:val="single" w:sz="4" w:space="0" w:color="293F5B"/>
              <w:left w:val="nil"/>
              <w:bottom w:val="nil"/>
              <w:right w:val="nil"/>
            </w:tcBorders>
            <w:shd w:val="clear" w:color="000000" w:fill="FFFFFF"/>
            <w:noWrap/>
            <w:vAlign w:val="center"/>
            <w:hideMark/>
          </w:tcPr>
          <w:p w14:paraId="6AE1CF79"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13,655</w:t>
            </w:r>
          </w:p>
        </w:tc>
      </w:tr>
      <w:tr w:rsidR="00AF3CEA" w:rsidRPr="00AF3CEA" w14:paraId="6D595C62" w14:textId="77777777" w:rsidTr="00BD4D1C">
        <w:trPr>
          <w:divId w:val="1212889486"/>
          <w:trHeight w:hRule="exact" w:val="75"/>
        </w:trPr>
        <w:tc>
          <w:tcPr>
            <w:tcW w:w="2758" w:type="pct"/>
            <w:tcBorders>
              <w:top w:val="nil"/>
              <w:left w:val="nil"/>
              <w:bottom w:val="nil"/>
              <w:right w:val="nil"/>
            </w:tcBorders>
            <w:shd w:val="clear" w:color="000000" w:fill="FFFFFF"/>
            <w:noWrap/>
            <w:vAlign w:val="center"/>
            <w:hideMark/>
          </w:tcPr>
          <w:p w14:paraId="216852E0" w14:textId="77777777" w:rsidR="00AF3CEA" w:rsidRPr="00AF3CEA" w:rsidRDefault="00AF3CEA" w:rsidP="00AF3CEA">
            <w:pPr>
              <w:spacing w:before="0" w:after="0" w:line="240" w:lineRule="auto"/>
              <w:rPr>
                <w:rFonts w:ascii="Arial" w:hAnsi="Arial" w:cs="Arial"/>
                <w:b/>
                <w:bCs/>
                <w:color w:val="000000"/>
                <w:sz w:val="16"/>
                <w:szCs w:val="16"/>
              </w:rPr>
            </w:pPr>
            <w:r w:rsidRPr="00AF3CEA">
              <w:rPr>
                <w:rFonts w:ascii="Arial" w:hAnsi="Arial" w:cs="Arial"/>
                <w:b/>
                <w:bCs/>
                <w:color w:val="000000"/>
                <w:sz w:val="16"/>
                <w:szCs w:val="16"/>
              </w:rPr>
              <w:t> </w:t>
            </w:r>
          </w:p>
        </w:tc>
        <w:tc>
          <w:tcPr>
            <w:tcW w:w="747" w:type="pct"/>
            <w:tcBorders>
              <w:top w:val="single" w:sz="4" w:space="0" w:color="293F5B"/>
              <w:left w:val="nil"/>
              <w:bottom w:val="nil"/>
              <w:right w:val="nil"/>
            </w:tcBorders>
            <w:shd w:val="clear" w:color="000000" w:fill="FFFFFF"/>
            <w:noWrap/>
            <w:vAlign w:val="center"/>
            <w:hideMark/>
          </w:tcPr>
          <w:p w14:paraId="3A401D16"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7" w:type="pct"/>
            <w:tcBorders>
              <w:top w:val="single" w:sz="4" w:space="0" w:color="293F5B"/>
              <w:left w:val="nil"/>
              <w:bottom w:val="nil"/>
              <w:right w:val="nil"/>
            </w:tcBorders>
            <w:shd w:val="clear" w:color="000000" w:fill="E6F2FF"/>
            <w:noWrap/>
            <w:vAlign w:val="center"/>
            <w:hideMark/>
          </w:tcPr>
          <w:p w14:paraId="48A8BA4C"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8" w:type="pct"/>
            <w:tcBorders>
              <w:top w:val="single" w:sz="4" w:space="0" w:color="293F5B"/>
              <w:left w:val="nil"/>
              <w:bottom w:val="nil"/>
              <w:right w:val="nil"/>
            </w:tcBorders>
            <w:shd w:val="clear" w:color="000000" w:fill="FFFFFF"/>
            <w:noWrap/>
            <w:vAlign w:val="center"/>
            <w:hideMark/>
          </w:tcPr>
          <w:p w14:paraId="0BFFBF44"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r>
      <w:tr w:rsidR="00AF3CEA" w:rsidRPr="00AF3CEA" w14:paraId="44E4E951"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1839FCC9"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Goods and services tax</w:t>
            </w:r>
          </w:p>
        </w:tc>
        <w:tc>
          <w:tcPr>
            <w:tcW w:w="747" w:type="pct"/>
            <w:tcBorders>
              <w:top w:val="nil"/>
              <w:left w:val="nil"/>
              <w:bottom w:val="nil"/>
              <w:right w:val="nil"/>
            </w:tcBorders>
            <w:shd w:val="clear" w:color="000000" w:fill="FFFFFF"/>
            <w:noWrap/>
            <w:vAlign w:val="center"/>
            <w:hideMark/>
          </w:tcPr>
          <w:p w14:paraId="03A37521"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88,040</w:t>
            </w:r>
          </w:p>
        </w:tc>
        <w:tc>
          <w:tcPr>
            <w:tcW w:w="747" w:type="pct"/>
            <w:tcBorders>
              <w:top w:val="nil"/>
              <w:left w:val="nil"/>
              <w:bottom w:val="nil"/>
              <w:right w:val="nil"/>
            </w:tcBorders>
            <w:shd w:val="clear" w:color="000000" w:fill="E6F2FF"/>
            <w:noWrap/>
            <w:vAlign w:val="center"/>
            <w:hideMark/>
          </w:tcPr>
          <w:p w14:paraId="30D118C1"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87,908</w:t>
            </w:r>
          </w:p>
        </w:tc>
        <w:tc>
          <w:tcPr>
            <w:tcW w:w="748" w:type="pct"/>
            <w:tcBorders>
              <w:top w:val="nil"/>
              <w:left w:val="nil"/>
              <w:bottom w:val="nil"/>
              <w:right w:val="nil"/>
            </w:tcBorders>
            <w:shd w:val="clear" w:color="000000" w:fill="FFFFFF"/>
            <w:noWrap/>
            <w:vAlign w:val="center"/>
            <w:hideMark/>
          </w:tcPr>
          <w:p w14:paraId="60AF6C91" w14:textId="144B3C73"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132</w:t>
            </w:r>
          </w:p>
        </w:tc>
      </w:tr>
      <w:tr w:rsidR="00AF3CEA" w:rsidRPr="00AF3CEA" w14:paraId="0842713E"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1CD79ED2"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Wine equalisation tax</w:t>
            </w:r>
          </w:p>
        </w:tc>
        <w:tc>
          <w:tcPr>
            <w:tcW w:w="747" w:type="pct"/>
            <w:tcBorders>
              <w:top w:val="nil"/>
              <w:left w:val="nil"/>
              <w:bottom w:val="nil"/>
              <w:right w:val="nil"/>
            </w:tcBorders>
            <w:shd w:val="clear" w:color="000000" w:fill="FFFFFF"/>
            <w:noWrap/>
            <w:vAlign w:val="center"/>
            <w:hideMark/>
          </w:tcPr>
          <w:p w14:paraId="16F4A254"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1,170</w:t>
            </w:r>
          </w:p>
        </w:tc>
        <w:tc>
          <w:tcPr>
            <w:tcW w:w="747" w:type="pct"/>
            <w:tcBorders>
              <w:top w:val="nil"/>
              <w:left w:val="nil"/>
              <w:bottom w:val="nil"/>
              <w:right w:val="nil"/>
            </w:tcBorders>
            <w:shd w:val="clear" w:color="000000" w:fill="E6F2FF"/>
            <w:noWrap/>
            <w:vAlign w:val="center"/>
            <w:hideMark/>
          </w:tcPr>
          <w:p w14:paraId="4204214B"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1,141</w:t>
            </w:r>
          </w:p>
        </w:tc>
        <w:tc>
          <w:tcPr>
            <w:tcW w:w="748" w:type="pct"/>
            <w:tcBorders>
              <w:top w:val="nil"/>
              <w:left w:val="nil"/>
              <w:bottom w:val="nil"/>
              <w:right w:val="nil"/>
            </w:tcBorders>
            <w:shd w:val="clear" w:color="000000" w:fill="FFFFFF"/>
            <w:noWrap/>
            <w:vAlign w:val="center"/>
            <w:hideMark/>
          </w:tcPr>
          <w:p w14:paraId="337E1D9A" w14:textId="27D986BE"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29</w:t>
            </w:r>
          </w:p>
        </w:tc>
      </w:tr>
      <w:tr w:rsidR="00AF3CEA" w:rsidRPr="00AF3CEA" w14:paraId="18749BE7"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77FF1842"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Luxury car tax</w:t>
            </w:r>
          </w:p>
        </w:tc>
        <w:tc>
          <w:tcPr>
            <w:tcW w:w="747" w:type="pct"/>
            <w:tcBorders>
              <w:top w:val="nil"/>
              <w:left w:val="nil"/>
              <w:bottom w:val="nil"/>
              <w:right w:val="nil"/>
            </w:tcBorders>
            <w:shd w:val="clear" w:color="000000" w:fill="FFFFFF"/>
            <w:noWrap/>
            <w:vAlign w:val="center"/>
            <w:hideMark/>
          </w:tcPr>
          <w:p w14:paraId="105299C9"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1,150</w:t>
            </w:r>
          </w:p>
        </w:tc>
        <w:tc>
          <w:tcPr>
            <w:tcW w:w="747" w:type="pct"/>
            <w:tcBorders>
              <w:top w:val="nil"/>
              <w:left w:val="nil"/>
              <w:bottom w:val="nil"/>
              <w:right w:val="nil"/>
            </w:tcBorders>
            <w:shd w:val="clear" w:color="000000" w:fill="E6F2FF"/>
            <w:noWrap/>
            <w:vAlign w:val="center"/>
            <w:hideMark/>
          </w:tcPr>
          <w:p w14:paraId="4BE26699"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1,187</w:t>
            </w:r>
          </w:p>
        </w:tc>
        <w:tc>
          <w:tcPr>
            <w:tcW w:w="748" w:type="pct"/>
            <w:tcBorders>
              <w:top w:val="nil"/>
              <w:left w:val="nil"/>
              <w:bottom w:val="nil"/>
              <w:right w:val="nil"/>
            </w:tcBorders>
            <w:shd w:val="clear" w:color="000000" w:fill="FFFFFF"/>
            <w:noWrap/>
            <w:vAlign w:val="center"/>
            <w:hideMark/>
          </w:tcPr>
          <w:p w14:paraId="4786C65C"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37</w:t>
            </w:r>
          </w:p>
        </w:tc>
      </w:tr>
      <w:tr w:rsidR="00AF3CEA" w:rsidRPr="00AF3CEA" w14:paraId="033C807E"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4C8DB6A6"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 xml:space="preserve">Excise and customs duty  </w:t>
            </w:r>
          </w:p>
        </w:tc>
        <w:tc>
          <w:tcPr>
            <w:tcW w:w="747" w:type="pct"/>
            <w:tcBorders>
              <w:top w:val="nil"/>
              <w:left w:val="nil"/>
              <w:bottom w:val="nil"/>
              <w:right w:val="nil"/>
            </w:tcBorders>
            <w:shd w:val="clear" w:color="000000" w:fill="FFFFFF"/>
            <w:noWrap/>
            <w:vAlign w:val="center"/>
            <w:hideMark/>
          </w:tcPr>
          <w:p w14:paraId="73A4CDF3"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7" w:type="pct"/>
            <w:tcBorders>
              <w:top w:val="nil"/>
              <w:left w:val="nil"/>
              <w:bottom w:val="nil"/>
              <w:right w:val="nil"/>
            </w:tcBorders>
            <w:shd w:val="clear" w:color="000000" w:fill="E6F2FF"/>
            <w:noWrap/>
            <w:vAlign w:val="center"/>
            <w:hideMark/>
          </w:tcPr>
          <w:p w14:paraId="147DE6B4"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8" w:type="pct"/>
            <w:tcBorders>
              <w:top w:val="nil"/>
              <w:left w:val="nil"/>
              <w:bottom w:val="nil"/>
              <w:right w:val="nil"/>
            </w:tcBorders>
            <w:shd w:val="clear" w:color="000000" w:fill="FFFFFF"/>
            <w:noWrap/>
            <w:vAlign w:val="center"/>
            <w:hideMark/>
          </w:tcPr>
          <w:p w14:paraId="3D0851F2"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r>
      <w:tr w:rsidR="00AF3CEA" w:rsidRPr="00AF3CEA" w14:paraId="223353EF"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431A1181" w14:textId="77777777" w:rsidR="00AF3CEA" w:rsidRPr="00AF3CEA" w:rsidRDefault="00AF3CEA" w:rsidP="00AF3CEA">
            <w:pPr>
              <w:spacing w:before="0" w:after="0" w:line="240" w:lineRule="auto"/>
              <w:ind w:left="170"/>
              <w:rPr>
                <w:rFonts w:ascii="Arial" w:hAnsi="Arial" w:cs="Arial"/>
                <w:color w:val="000000"/>
                <w:sz w:val="16"/>
                <w:szCs w:val="16"/>
              </w:rPr>
            </w:pPr>
            <w:r w:rsidRPr="00AF3CEA">
              <w:rPr>
                <w:rFonts w:ascii="Arial" w:hAnsi="Arial" w:cs="Arial"/>
                <w:color w:val="000000"/>
                <w:sz w:val="16"/>
                <w:szCs w:val="16"/>
              </w:rPr>
              <w:t>Petrol</w:t>
            </w:r>
          </w:p>
        </w:tc>
        <w:tc>
          <w:tcPr>
            <w:tcW w:w="747" w:type="pct"/>
            <w:tcBorders>
              <w:top w:val="nil"/>
              <w:left w:val="nil"/>
              <w:bottom w:val="nil"/>
              <w:right w:val="nil"/>
            </w:tcBorders>
            <w:shd w:val="clear" w:color="000000" w:fill="FFFFFF"/>
            <w:noWrap/>
            <w:vAlign w:val="center"/>
            <w:hideMark/>
          </w:tcPr>
          <w:p w14:paraId="5A1E5064"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5,600</w:t>
            </w:r>
          </w:p>
        </w:tc>
        <w:tc>
          <w:tcPr>
            <w:tcW w:w="747" w:type="pct"/>
            <w:tcBorders>
              <w:top w:val="nil"/>
              <w:left w:val="nil"/>
              <w:bottom w:val="nil"/>
              <w:right w:val="nil"/>
            </w:tcBorders>
            <w:shd w:val="clear" w:color="000000" w:fill="E6F2FF"/>
            <w:noWrap/>
            <w:vAlign w:val="center"/>
            <w:hideMark/>
          </w:tcPr>
          <w:p w14:paraId="57FEE498"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5,739</w:t>
            </w:r>
          </w:p>
        </w:tc>
        <w:tc>
          <w:tcPr>
            <w:tcW w:w="748" w:type="pct"/>
            <w:tcBorders>
              <w:top w:val="nil"/>
              <w:left w:val="nil"/>
              <w:bottom w:val="nil"/>
              <w:right w:val="nil"/>
            </w:tcBorders>
            <w:shd w:val="clear" w:color="000000" w:fill="FFFFFF"/>
            <w:noWrap/>
            <w:vAlign w:val="center"/>
            <w:hideMark/>
          </w:tcPr>
          <w:p w14:paraId="68947402"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139</w:t>
            </w:r>
          </w:p>
        </w:tc>
      </w:tr>
      <w:tr w:rsidR="00AF3CEA" w:rsidRPr="00AF3CEA" w14:paraId="0B17248D"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2627BE2F" w14:textId="77777777" w:rsidR="00AF3CEA" w:rsidRPr="00AF3CEA" w:rsidRDefault="00AF3CEA" w:rsidP="00AF3CEA">
            <w:pPr>
              <w:spacing w:before="0" w:after="0" w:line="240" w:lineRule="auto"/>
              <w:ind w:left="170"/>
              <w:rPr>
                <w:rFonts w:ascii="Arial" w:hAnsi="Arial" w:cs="Arial"/>
                <w:color w:val="000000"/>
                <w:sz w:val="16"/>
                <w:szCs w:val="16"/>
              </w:rPr>
            </w:pPr>
            <w:r w:rsidRPr="00AF3CEA">
              <w:rPr>
                <w:rFonts w:ascii="Arial" w:hAnsi="Arial" w:cs="Arial"/>
                <w:color w:val="000000"/>
                <w:sz w:val="16"/>
                <w:szCs w:val="16"/>
              </w:rPr>
              <w:t>Diesel</w:t>
            </w:r>
          </w:p>
        </w:tc>
        <w:tc>
          <w:tcPr>
            <w:tcW w:w="747" w:type="pct"/>
            <w:tcBorders>
              <w:top w:val="nil"/>
              <w:left w:val="nil"/>
              <w:bottom w:val="nil"/>
              <w:right w:val="nil"/>
            </w:tcBorders>
            <w:shd w:val="clear" w:color="000000" w:fill="FFFFFF"/>
            <w:noWrap/>
            <w:vAlign w:val="center"/>
            <w:hideMark/>
          </w:tcPr>
          <w:p w14:paraId="5DB7DA0E"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13,160</w:t>
            </w:r>
          </w:p>
        </w:tc>
        <w:tc>
          <w:tcPr>
            <w:tcW w:w="747" w:type="pct"/>
            <w:tcBorders>
              <w:top w:val="nil"/>
              <w:left w:val="nil"/>
              <w:bottom w:val="nil"/>
              <w:right w:val="nil"/>
            </w:tcBorders>
            <w:shd w:val="clear" w:color="000000" w:fill="E6F2FF"/>
            <w:noWrap/>
            <w:vAlign w:val="center"/>
            <w:hideMark/>
          </w:tcPr>
          <w:p w14:paraId="713521C6"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13,227</w:t>
            </w:r>
          </w:p>
        </w:tc>
        <w:tc>
          <w:tcPr>
            <w:tcW w:w="748" w:type="pct"/>
            <w:tcBorders>
              <w:top w:val="nil"/>
              <w:left w:val="nil"/>
              <w:bottom w:val="nil"/>
              <w:right w:val="nil"/>
            </w:tcBorders>
            <w:shd w:val="clear" w:color="000000" w:fill="FFFFFF"/>
            <w:noWrap/>
            <w:vAlign w:val="center"/>
            <w:hideMark/>
          </w:tcPr>
          <w:p w14:paraId="1E5DAF34"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67</w:t>
            </w:r>
          </w:p>
        </w:tc>
      </w:tr>
      <w:tr w:rsidR="00AF3CEA" w:rsidRPr="00AF3CEA" w14:paraId="249EF914"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11E1F3B7" w14:textId="77777777" w:rsidR="00AF3CEA" w:rsidRPr="00AF3CEA" w:rsidRDefault="00AF3CEA" w:rsidP="00AF3CEA">
            <w:pPr>
              <w:spacing w:before="0" w:after="0" w:line="240" w:lineRule="auto"/>
              <w:ind w:left="170"/>
              <w:rPr>
                <w:rFonts w:ascii="Arial" w:hAnsi="Arial" w:cs="Arial"/>
                <w:color w:val="000000"/>
                <w:sz w:val="16"/>
                <w:szCs w:val="16"/>
              </w:rPr>
            </w:pPr>
            <w:r w:rsidRPr="00AF3CEA">
              <w:rPr>
                <w:rFonts w:ascii="Arial" w:hAnsi="Arial" w:cs="Arial"/>
                <w:color w:val="000000"/>
                <w:sz w:val="16"/>
                <w:szCs w:val="16"/>
              </w:rPr>
              <w:t>Other fuel products</w:t>
            </w:r>
          </w:p>
        </w:tc>
        <w:tc>
          <w:tcPr>
            <w:tcW w:w="747" w:type="pct"/>
            <w:tcBorders>
              <w:top w:val="nil"/>
              <w:left w:val="nil"/>
              <w:bottom w:val="nil"/>
              <w:right w:val="nil"/>
            </w:tcBorders>
            <w:shd w:val="clear" w:color="000000" w:fill="FFFFFF"/>
            <w:noWrap/>
            <w:vAlign w:val="center"/>
            <w:hideMark/>
          </w:tcPr>
          <w:p w14:paraId="244F79B1"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2,760</w:t>
            </w:r>
          </w:p>
        </w:tc>
        <w:tc>
          <w:tcPr>
            <w:tcW w:w="747" w:type="pct"/>
            <w:tcBorders>
              <w:top w:val="nil"/>
              <w:left w:val="nil"/>
              <w:bottom w:val="nil"/>
              <w:right w:val="nil"/>
            </w:tcBorders>
            <w:shd w:val="clear" w:color="000000" w:fill="E6F2FF"/>
            <w:noWrap/>
            <w:vAlign w:val="center"/>
            <w:hideMark/>
          </w:tcPr>
          <w:p w14:paraId="17FC3659"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2,736</w:t>
            </w:r>
          </w:p>
        </w:tc>
        <w:tc>
          <w:tcPr>
            <w:tcW w:w="748" w:type="pct"/>
            <w:tcBorders>
              <w:top w:val="nil"/>
              <w:left w:val="nil"/>
              <w:bottom w:val="nil"/>
              <w:right w:val="nil"/>
            </w:tcBorders>
            <w:shd w:val="clear" w:color="000000" w:fill="FFFFFF"/>
            <w:noWrap/>
            <w:vAlign w:val="center"/>
            <w:hideMark/>
          </w:tcPr>
          <w:p w14:paraId="41BDACE7" w14:textId="72D21109"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24</w:t>
            </w:r>
          </w:p>
        </w:tc>
      </w:tr>
      <w:tr w:rsidR="00AF3CEA" w:rsidRPr="00AF3CEA" w14:paraId="07311E44"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01C641F8" w14:textId="77777777" w:rsidR="00AF3CEA" w:rsidRPr="00AF3CEA" w:rsidRDefault="00AF3CEA" w:rsidP="00AF3CEA">
            <w:pPr>
              <w:spacing w:before="0" w:after="0" w:line="240" w:lineRule="auto"/>
              <w:ind w:left="170"/>
              <w:rPr>
                <w:rFonts w:ascii="Arial" w:hAnsi="Arial" w:cs="Arial"/>
                <w:color w:val="000000"/>
                <w:sz w:val="16"/>
                <w:szCs w:val="16"/>
              </w:rPr>
            </w:pPr>
            <w:r w:rsidRPr="00AF3CEA">
              <w:rPr>
                <w:rFonts w:ascii="Arial" w:hAnsi="Arial" w:cs="Arial"/>
                <w:color w:val="000000"/>
                <w:sz w:val="16"/>
                <w:szCs w:val="16"/>
              </w:rPr>
              <w:t>Tobacco</w:t>
            </w:r>
          </w:p>
        </w:tc>
        <w:tc>
          <w:tcPr>
            <w:tcW w:w="747" w:type="pct"/>
            <w:tcBorders>
              <w:top w:val="nil"/>
              <w:left w:val="nil"/>
              <w:bottom w:val="nil"/>
              <w:right w:val="nil"/>
            </w:tcBorders>
            <w:shd w:val="clear" w:color="000000" w:fill="FFFFFF"/>
            <w:noWrap/>
            <w:vAlign w:val="center"/>
            <w:hideMark/>
          </w:tcPr>
          <w:p w14:paraId="2DDD886F"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12,700</w:t>
            </w:r>
          </w:p>
        </w:tc>
        <w:tc>
          <w:tcPr>
            <w:tcW w:w="747" w:type="pct"/>
            <w:tcBorders>
              <w:top w:val="nil"/>
              <w:left w:val="nil"/>
              <w:bottom w:val="nil"/>
              <w:right w:val="nil"/>
            </w:tcBorders>
            <w:shd w:val="clear" w:color="000000" w:fill="E6F2FF"/>
            <w:noWrap/>
            <w:vAlign w:val="center"/>
            <w:hideMark/>
          </w:tcPr>
          <w:p w14:paraId="26C7CCCA"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12,667</w:t>
            </w:r>
          </w:p>
        </w:tc>
        <w:tc>
          <w:tcPr>
            <w:tcW w:w="748" w:type="pct"/>
            <w:tcBorders>
              <w:top w:val="nil"/>
              <w:left w:val="nil"/>
              <w:bottom w:val="nil"/>
              <w:right w:val="nil"/>
            </w:tcBorders>
            <w:shd w:val="clear" w:color="000000" w:fill="FFFFFF"/>
            <w:noWrap/>
            <w:vAlign w:val="center"/>
            <w:hideMark/>
          </w:tcPr>
          <w:p w14:paraId="5A083048" w14:textId="78C0730C"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33</w:t>
            </w:r>
          </w:p>
        </w:tc>
      </w:tr>
      <w:tr w:rsidR="00AF3CEA" w:rsidRPr="00AF3CEA" w14:paraId="28F9028F"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0262BD98" w14:textId="77777777" w:rsidR="00AF3CEA" w:rsidRPr="00AF3CEA" w:rsidRDefault="00AF3CEA" w:rsidP="00AF3CEA">
            <w:pPr>
              <w:spacing w:before="0" w:after="0" w:line="240" w:lineRule="auto"/>
              <w:ind w:left="170"/>
              <w:rPr>
                <w:rFonts w:ascii="Arial" w:hAnsi="Arial" w:cs="Arial"/>
                <w:color w:val="000000"/>
                <w:sz w:val="16"/>
                <w:szCs w:val="16"/>
              </w:rPr>
            </w:pPr>
            <w:r w:rsidRPr="00AF3CEA">
              <w:rPr>
                <w:rFonts w:ascii="Arial" w:hAnsi="Arial" w:cs="Arial"/>
                <w:color w:val="000000"/>
                <w:sz w:val="16"/>
                <w:szCs w:val="16"/>
              </w:rPr>
              <w:t>Beer</w:t>
            </w:r>
          </w:p>
        </w:tc>
        <w:tc>
          <w:tcPr>
            <w:tcW w:w="747" w:type="pct"/>
            <w:tcBorders>
              <w:top w:val="nil"/>
              <w:left w:val="nil"/>
              <w:bottom w:val="nil"/>
              <w:right w:val="nil"/>
            </w:tcBorders>
            <w:shd w:val="clear" w:color="000000" w:fill="FFFFFF"/>
            <w:noWrap/>
            <w:vAlign w:val="center"/>
            <w:hideMark/>
          </w:tcPr>
          <w:p w14:paraId="21102E1D"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2,620</w:t>
            </w:r>
          </w:p>
        </w:tc>
        <w:tc>
          <w:tcPr>
            <w:tcW w:w="747" w:type="pct"/>
            <w:tcBorders>
              <w:top w:val="nil"/>
              <w:left w:val="nil"/>
              <w:bottom w:val="nil"/>
              <w:right w:val="nil"/>
            </w:tcBorders>
            <w:shd w:val="clear" w:color="000000" w:fill="E6F2FF"/>
            <w:noWrap/>
            <w:vAlign w:val="center"/>
            <w:hideMark/>
          </w:tcPr>
          <w:p w14:paraId="04C5C35E"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2,567</w:t>
            </w:r>
          </w:p>
        </w:tc>
        <w:tc>
          <w:tcPr>
            <w:tcW w:w="748" w:type="pct"/>
            <w:tcBorders>
              <w:top w:val="nil"/>
              <w:left w:val="nil"/>
              <w:bottom w:val="nil"/>
              <w:right w:val="nil"/>
            </w:tcBorders>
            <w:shd w:val="clear" w:color="000000" w:fill="FFFFFF"/>
            <w:noWrap/>
            <w:vAlign w:val="center"/>
            <w:hideMark/>
          </w:tcPr>
          <w:p w14:paraId="31E49370" w14:textId="5469BA6F"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53</w:t>
            </w:r>
          </w:p>
        </w:tc>
      </w:tr>
      <w:tr w:rsidR="00AF3CEA" w:rsidRPr="00AF3CEA" w14:paraId="22849CB0"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73E3FDBD" w14:textId="77777777" w:rsidR="00AF3CEA" w:rsidRPr="00AF3CEA" w:rsidRDefault="00AF3CEA" w:rsidP="00AF3CEA">
            <w:pPr>
              <w:spacing w:before="0" w:after="0" w:line="240" w:lineRule="auto"/>
              <w:ind w:left="170"/>
              <w:rPr>
                <w:rFonts w:ascii="Arial" w:hAnsi="Arial" w:cs="Arial"/>
                <w:color w:val="000000"/>
                <w:sz w:val="16"/>
                <w:szCs w:val="16"/>
              </w:rPr>
            </w:pPr>
            <w:r w:rsidRPr="00AF3CEA">
              <w:rPr>
                <w:rFonts w:ascii="Arial" w:hAnsi="Arial" w:cs="Arial"/>
                <w:color w:val="000000"/>
                <w:sz w:val="16"/>
                <w:szCs w:val="16"/>
              </w:rPr>
              <w:t>Spirits</w:t>
            </w:r>
          </w:p>
        </w:tc>
        <w:tc>
          <w:tcPr>
            <w:tcW w:w="747" w:type="pct"/>
            <w:tcBorders>
              <w:top w:val="nil"/>
              <w:left w:val="nil"/>
              <w:bottom w:val="nil"/>
              <w:right w:val="nil"/>
            </w:tcBorders>
            <w:shd w:val="clear" w:color="000000" w:fill="FFFFFF"/>
            <w:noWrap/>
            <w:vAlign w:val="center"/>
            <w:hideMark/>
          </w:tcPr>
          <w:p w14:paraId="0C8A3B0B"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3,390</w:t>
            </w:r>
          </w:p>
        </w:tc>
        <w:tc>
          <w:tcPr>
            <w:tcW w:w="747" w:type="pct"/>
            <w:tcBorders>
              <w:top w:val="nil"/>
              <w:left w:val="nil"/>
              <w:bottom w:val="nil"/>
              <w:right w:val="nil"/>
            </w:tcBorders>
            <w:shd w:val="clear" w:color="000000" w:fill="E6F2FF"/>
            <w:noWrap/>
            <w:vAlign w:val="center"/>
            <w:hideMark/>
          </w:tcPr>
          <w:p w14:paraId="2E07C062"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3,357</w:t>
            </w:r>
          </w:p>
        </w:tc>
        <w:tc>
          <w:tcPr>
            <w:tcW w:w="748" w:type="pct"/>
            <w:tcBorders>
              <w:top w:val="nil"/>
              <w:left w:val="nil"/>
              <w:bottom w:val="nil"/>
              <w:right w:val="nil"/>
            </w:tcBorders>
            <w:shd w:val="clear" w:color="000000" w:fill="FFFFFF"/>
            <w:noWrap/>
            <w:vAlign w:val="center"/>
            <w:hideMark/>
          </w:tcPr>
          <w:p w14:paraId="7A6C2998" w14:textId="748E2480"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33</w:t>
            </w:r>
          </w:p>
        </w:tc>
      </w:tr>
      <w:tr w:rsidR="00AF3CEA" w:rsidRPr="00AF3CEA" w14:paraId="00F4DA02"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547BD823" w14:textId="77777777" w:rsidR="00AF3CEA" w:rsidRPr="00AF3CEA" w:rsidRDefault="00AF3CEA" w:rsidP="00AF3CEA">
            <w:pPr>
              <w:spacing w:before="0" w:after="0" w:line="240" w:lineRule="auto"/>
              <w:ind w:left="170"/>
              <w:rPr>
                <w:rFonts w:ascii="Arial" w:hAnsi="Arial" w:cs="Arial"/>
                <w:color w:val="000000"/>
                <w:sz w:val="16"/>
                <w:szCs w:val="16"/>
              </w:rPr>
            </w:pPr>
            <w:r w:rsidRPr="00AF3CEA">
              <w:rPr>
                <w:rFonts w:ascii="Arial" w:hAnsi="Arial" w:cs="Arial"/>
                <w:color w:val="000000"/>
                <w:sz w:val="16"/>
                <w:szCs w:val="16"/>
              </w:rPr>
              <w:t>Other alcoholic beverages(a)</w:t>
            </w:r>
          </w:p>
        </w:tc>
        <w:tc>
          <w:tcPr>
            <w:tcW w:w="747" w:type="pct"/>
            <w:tcBorders>
              <w:top w:val="nil"/>
              <w:left w:val="nil"/>
              <w:bottom w:val="nil"/>
              <w:right w:val="nil"/>
            </w:tcBorders>
            <w:shd w:val="clear" w:color="000000" w:fill="FFFFFF"/>
            <w:noWrap/>
            <w:vAlign w:val="center"/>
            <w:hideMark/>
          </w:tcPr>
          <w:p w14:paraId="2E1FAC81"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1,640</w:t>
            </w:r>
          </w:p>
        </w:tc>
        <w:tc>
          <w:tcPr>
            <w:tcW w:w="747" w:type="pct"/>
            <w:tcBorders>
              <w:top w:val="nil"/>
              <w:left w:val="nil"/>
              <w:bottom w:val="nil"/>
              <w:right w:val="nil"/>
            </w:tcBorders>
            <w:shd w:val="clear" w:color="000000" w:fill="E6F2FF"/>
            <w:noWrap/>
            <w:vAlign w:val="center"/>
            <w:hideMark/>
          </w:tcPr>
          <w:p w14:paraId="10299906"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1,626</w:t>
            </w:r>
          </w:p>
        </w:tc>
        <w:tc>
          <w:tcPr>
            <w:tcW w:w="748" w:type="pct"/>
            <w:tcBorders>
              <w:top w:val="nil"/>
              <w:left w:val="nil"/>
              <w:bottom w:val="nil"/>
              <w:right w:val="nil"/>
            </w:tcBorders>
            <w:shd w:val="clear" w:color="000000" w:fill="FFFFFF"/>
            <w:noWrap/>
            <w:vAlign w:val="center"/>
            <w:hideMark/>
          </w:tcPr>
          <w:p w14:paraId="26E02B96" w14:textId="098DAB2A"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14</w:t>
            </w:r>
          </w:p>
        </w:tc>
      </w:tr>
      <w:tr w:rsidR="00AF3CEA" w:rsidRPr="00AF3CEA" w14:paraId="6CAA9997"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4C5C4143" w14:textId="77777777" w:rsidR="00AF3CEA" w:rsidRPr="00AF3CEA" w:rsidRDefault="00AF3CEA" w:rsidP="00AF3CEA">
            <w:pPr>
              <w:spacing w:before="0" w:after="0" w:line="240" w:lineRule="auto"/>
              <w:ind w:left="170"/>
              <w:rPr>
                <w:rFonts w:ascii="Arial" w:hAnsi="Arial" w:cs="Arial"/>
                <w:color w:val="000000"/>
                <w:sz w:val="16"/>
                <w:szCs w:val="16"/>
              </w:rPr>
            </w:pPr>
            <w:r w:rsidRPr="00AF3CEA">
              <w:rPr>
                <w:rFonts w:ascii="Arial" w:hAnsi="Arial" w:cs="Arial"/>
                <w:color w:val="000000"/>
                <w:sz w:val="16"/>
                <w:szCs w:val="16"/>
              </w:rPr>
              <w:t>Other customs duty</w:t>
            </w:r>
          </w:p>
        </w:tc>
        <w:tc>
          <w:tcPr>
            <w:tcW w:w="747" w:type="pct"/>
            <w:tcBorders>
              <w:top w:val="nil"/>
              <w:left w:val="nil"/>
              <w:bottom w:val="nil"/>
              <w:right w:val="nil"/>
            </w:tcBorders>
            <w:shd w:val="clear" w:color="000000" w:fill="FFFFFF"/>
            <w:noWrap/>
            <w:vAlign w:val="center"/>
            <w:hideMark/>
          </w:tcPr>
          <w:p w14:paraId="0A408C93"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7" w:type="pct"/>
            <w:tcBorders>
              <w:top w:val="nil"/>
              <w:left w:val="nil"/>
              <w:bottom w:val="nil"/>
              <w:right w:val="nil"/>
            </w:tcBorders>
            <w:shd w:val="clear" w:color="000000" w:fill="E6F2FF"/>
            <w:noWrap/>
            <w:vAlign w:val="center"/>
            <w:hideMark/>
          </w:tcPr>
          <w:p w14:paraId="695D8B30"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8" w:type="pct"/>
            <w:tcBorders>
              <w:top w:val="nil"/>
              <w:left w:val="nil"/>
              <w:bottom w:val="nil"/>
              <w:right w:val="nil"/>
            </w:tcBorders>
            <w:shd w:val="clear" w:color="000000" w:fill="FFFFFF"/>
            <w:noWrap/>
            <w:vAlign w:val="center"/>
            <w:hideMark/>
          </w:tcPr>
          <w:p w14:paraId="44B19B96"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r>
      <w:tr w:rsidR="00AF3CEA" w:rsidRPr="00AF3CEA" w14:paraId="1C1F9CDC" w14:textId="77777777" w:rsidTr="00BD4D1C">
        <w:trPr>
          <w:divId w:val="1212889486"/>
          <w:trHeight w:hRule="exact" w:val="198"/>
        </w:trPr>
        <w:tc>
          <w:tcPr>
            <w:tcW w:w="2758" w:type="pct"/>
            <w:tcBorders>
              <w:top w:val="nil"/>
              <w:left w:val="nil"/>
              <w:bottom w:val="nil"/>
              <w:right w:val="nil"/>
            </w:tcBorders>
            <w:shd w:val="clear" w:color="000000" w:fill="FFFFFF"/>
            <w:noWrap/>
            <w:vAlign w:val="bottom"/>
            <w:hideMark/>
          </w:tcPr>
          <w:p w14:paraId="67D3165C" w14:textId="77777777" w:rsidR="00AF3CEA" w:rsidRPr="00AF3CEA" w:rsidRDefault="00AF3CEA" w:rsidP="00AF3CEA">
            <w:pPr>
              <w:spacing w:before="0" w:after="0" w:line="240" w:lineRule="auto"/>
              <w:ind w:left="340"/>
              <w:rPr>
                <w:rFonts w:ascii="Arial" w:hAnsi="Arial" w:cs="Arial"/>
                <w:color w:val="000000"/>
                <w:sz w:val="16"/>
                <w:szCs w:val="16"/>
              </w:rPr>
            </w:pPr>
            <w:r w:rsidRPr="00AF3CEA">
              <w:rPr>
                <w:rFonts w:ascii="Arial" w:hAnsi="Arial" w:cs="Arial"/>
                <w:color w:val="000000"/>
                <w:sz w:val="16"/>
                <w:szCs w:val="16"/>
              </w:rPr>
              <w:t xml:space="preserve">Textiles, </w:t>
            </w:r>
            <w:proofErr w:type="gramStart"/>
            <w:r w:rsidRPr="00AF3CEA">
              <w:rPr>
                <w:rFonts w:ascii="Arial" w:hAnsi="Arial" w:cs="Arial"/>
                <w:color w:val="000000"/>
                <w:sz w:val="16"/>
                <w:szCs w:val="16"/>
              </w:rPr>
              <w:t>clothing</w:t>
            </w:r>
            <w:proofErr w:type="gramEnd"/>
            <w:r w:rsidRPr="00AF3CEA">
              <w:rPr>
                <w:rFonts w:ascii="Arial" w:hAnsi="Arial" w:cs="Arial"/>
                <w:color w:val="000000"/>
                <w:sz w:val="16"/>
                <w:szCs w:val="16"/>
              </w:rPr>
              <w:t xml:space="preserve"> and footwear</w:t>
            </w:r>
          </w:p>
        </w:tc>
        <w:tc>
          <w:tcPr>
            <w:tcW w:w="747" w:type="pct"/>
            <w:tcBorders>
              <w:top w:val="nil"/>
              <w:left w:val="nil"/>
              <w:bottom w:val="nil"/>
              <w:right w:val="nil"/>
            </w:tcBorders>
            <w:shd w:val="clear" w:color="000000" w:fill="FFFFFF"/>
            <w:noWrap/>
            <w:vAlign w:val="center"/>
            <w:hideMark/>
          </w:tcPr>
          <w:p w14:paraId="280DC5D4"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190</w:t>
            </w:r>
          </w:p>
        </w:tc>
        <w:tc>
          <w:tcPr>
            <w:tcW w:w="747" w:type="pct"/>
            <w:tcBorders>
              <w:top w:val="nil"/>
              <w:left w:val="nil"/>
              <w:bottom w:val="nil"/>
              <w:right w:val="nil"/>
            </w:tcBorders>
            <w:shd w:val="clear" w:color="000000" w:fill="E6F2FF"/>
            <w:noWrap/>
            <w:vAlign w:val="center"/>
            <w:hideMark/>
          </w:tcPr>
          <w:p w14:paraId="336B19E7"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199</w:t>
            </w:r>
          </w:p>
        </w:tc>
        <w:tc>
          <w:tcPr>
            <w:tcW w:w="748" w:type="pct"/>
            <w:tcBorders>
              <w:top w:val="nil"/>
              <w:left w:val="nil"/>
              <w:bottom w:val="nil"/>
              <w:right w:val="nil"/>
            </w:tcBorders>
            <w:shd w:val="clear" w:color="000000" w:fill="FFFFFF"/>
            <w:noWrap/>
            <w:vAlign w:val="center"/>
            <w:hideMark/>
          </w:tcPr>
          <w:p w14:paraId="2ECD7C20"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9</w:t>
            </w:r>
          </w:p>
        </w:tc>
      </w:tr>
      <w:tr w:rsidR="00AF3CEA" w:rsidRPr="00AF3CEA" w14:paraId="3D0EC4E7" w14:textId="77777777" w:rsidTr="00BD4D1C">
        <w:trPr>
          <w:divId w:val="1212889486"/>
          <w:trHeight w:hRule="exact" w:val="198"/>
        </w:trPr>
        <w:tc>
          <w:tcPr>
            <w:tcW w:w="2758" w:type="pct"/>
            <w:tcBorders>
              <w:top w:val="nil"/>
              <w:left w:val="nil"/>
              <w:bottom w:val="nil"/>
              <w:right w:val="nil"/>
            </w:tcBorders>
            <w:shd w:val="clear" w:color="000000" w:fill="FFFFFF"/>
            <w:noWrap/>
            <w:vAlign w:val="bottom"/>
            <w:hideMark/>
          </w:tcPr>
          <w:p w14:paraId="03D17779" w14:textId="77777777" w:rsidR="00AF3CEA" w:rsidRPr="00AF3CEA" w:rsidRDefault="00AF3CEA" w:rsidP="00AF3CEA">
            <w:pPr>
              <w:spacing w:before="0" w:after="0" w:line="240" w:lineRule="auto"/>
              <w:ind w:left="340"/>
              <w:rPr>
                <w:rFonts w:ascii="Arial" w:hAnsi="Arial" w:cs="Arial"/>
                <w:color w:val="000000"/>
                <w:sz w:val="16"/>
                <w:szCs w:val="16"/>
              </w:rPr>
            </w:pPr>
            <w:r w:rsidRPr="00AF3CEA">
              <w:rPr>
                <w:rFonts w:ascii="Arial" w:hAnsi="Arial" w:cs="Arial"/>
                <w:color w:val="000000"/>
                <w:sz w:val="16"/>
                <w:szCs w:val="16"/>
              </w:rPr>
              <w:t>Passenger motor vehicles</w:t>
            </w:r>
          </w:p>
        </w:tc>
        <w:tc>
          <w:tcPr>
            <w:tcW w:w="747" w:type="pct"/>
            <w:tcBorders>
              <w:top w:val="nil"/>
              <w:left w:val="nil"/>
              <w:bottom w:val="nil"/>
              <w:right w:val="nil"/>
            </w:tcBorders>
            <w:shd w:val="clear" w:color="000000" w:fill="FFFFFF"/>
            <w:noWrap/>
            <w:vAlign w:val="center"/>
            <w:hideMark/>
          </w:tcPr>
          <w:p w14:paraId="15E0FE61"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440</w:t>
            </w:r>
          </w:p>
        </w:tc>
        <w:tc>
          <w:tcPr>
            <w:tcW w:w="747" w:type="pct"/>
            <w:tcBorders>
              <w:top w:val="nil"/>
              <w:left w:val="nil"/>
              <w:bottom w:val="nil"/>
              <w:right w:val="nil"/>
            </w:tcBorders>
            <w:shd w:val="clear" w:color="000000" w:fill="E6F2FF"/>
            <w:noWrap/>
            <w:vAlign w:val="center"/>
            <w:hideMark/>
          </w:tcPr>
          <w:p w14:paraId="738B8329"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445</w:t>
            </w:r>
          </w:p>
        </w:tc>
        <w:tc>
          <w:tcPr>
            <w:tcW w:w="748" w:type="pct"/>
            <w:tcBorders>
              <w:top w:val="nil"/>
              <w:left w:val="nil"/>
              <w:bottom w:val="nil"/>
              <w:right w:val="nil"/>
            </w:tcBorders>
            <w:shd w:val="clear" w:color="000000" w:fill="FFFFFF"/>
            <w:noWrap/>
            <w:vAlign w:val="center"/>
            <w:hideMark/>
          </w:tcPr>
          <w:p w14:paraId="4A33B760"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5</w:t>
            </w:r>
          </w:p>
        </w:tc>
      </w:tr>
      <w:tr w:rsidR="00AF3CEA" w:rsidRPr="00AF3CEA" w14:paraId="3CDCD6D9"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7AA4A263" w14:textId="77777777" w:rsidR="00AF3CEA" w:rsidRPr="00AF3CEA" w:rsidRDefault="00AF3CEA" w:rsidP="00AF3CEA">
            <w:pPr>
              <w:spacing w:before="0" w:after="0" w:line="240" w:lineRule="auto"/>
              <w:ind w:left="340"/>
              <w:rPr>
                <w:rFonts w:ascii="Arial" w:hAnsi="Arial" w:cs="Arial"/>
                <w:color w:val="000000"/>
                <w:sz w:val="16"/>
                <w:szCs w:val="16"/>
              </w:rPr>
            </w:pPr>
            <w:r w:rsidRPr="00AF3CEA">
              <w:rPr>
                <w:rFonts w:ascii="Arial" w:hAnsi="Arial" w:cs="Arial"/>
                <w:color w:val="000000"/>
                <w:sz w:val="16"/>
                <w:szCs w:val="16"/>
              </w:rPr>
              <w:t>Other imports</w:t>
            </w:r>
          </w:p>
        </w:tc>
        <w:tc>
          <w:tcPr>
            <w:tcW w:w="747" w:type="pct"/>
            <w:tcBorders>
              <w:top w:val="nil"/>
              <w:left w:val="nil"/>
              <w:bottom w:val="nil"/>
              <w:right w:val="nil"/>
            </w:tcBorders>
            <w:shd w:val="clear" w:color="000000" w:fill="FFFFFF"/>
            <w:noWrap/>
            <w:vAlign w:val="center"/>
            <w:hideMark/>
          </w:tcPr>
          <w:p w14:paraId="18F6B351"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1,530</w:t>
            </w:r>
          </w:p>
        </w:tc>
        <w:tc>
          <w:tcPr>
            <w:tcW w:w="747" w:type="pct"/>
            <w:tcBorders>
              <w:top w:val="nil"/>
              <w:left w:val="nil"/>
              <w:bottom w:val="nil"/>
              <w:right w:val="nil"/>
            </w:tcBorders>
            <w:shd w:val="clear" w:color="000000" w:fill="E6F2FF"/>
            <w:noWrap/>
            <w:vAlign w:val="center"/>
            <w:hideMark/>
          </w:tcPr>
          <w:p w14:paraId="4B49EDF0"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1,520</w:t>
            </w:r>
          </w:p>
        </w:tc>
        <w:tc>
          <w:tcPr>
            <w:tcW w:w="748" w:type="pct"/>
            <w:tcBorders>
              <w:top w:val="nil"/>
              <w:left w:val="nil"/>
              <w:bottom w:val="nil"/>
              <w:right w:val="nil"/>
            </w:tcBorders>
            <w:shd w:val="clear" w:color="000000" w:fill="FFFFFF"/>
            <w:noWrap/>
            <w:vAlign w:val="center"/>
            <w:hideMark/>
          </w:tcPr>
          <w:p w14:paraId="6E39DCE9" w14:textId="6DD07764"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10</w:t>
            </w:r>
          </w:p>
        </w:tc>
      </w:tr>
      <w:tr w:rsidR="00AF3CEA" w:rsidRPr="00AF3CEA" w14:paraId="6741E30C" w14:textId="77777777" w:rsidTr="00BD4D1C">
        <w:trPr>
          <w:divId w:val="1212889486"/>
          <w:trHeight w:hRule="exact" w:val="198"/>
        </w:trPr>
        <w:tc>
          <w:tcPr>
            <w:tcW w:w="2758" w:type="pct"/>
            <w:tcBorders>
              <w:top w:val="nil"/>
              <w:left w:val="nil"/>
              <w:bottom w:val="nil"/>
              <w:right w:val="nil"/>
            </w:tcBorders>
            <w:shd w:val="clear" w:color="000000" w:fill="FFFFFF"/>
            <w:noWrap/>
            <w:vAlign w:val="bottom"/>
            <w:hideMark/>
          </w:tcPr>
          <w:p w14:paraId="7F2B1493" w14:textId="77777777" w:rsidR="00AF3CEA" w:rsidRPr="00AF3CEA" w:rsidRDefault="00AF3CEA" w:rsidP="00AF3CEA">
            <w:pPr>
              <w:spacing w:before="0" w:after="0" w:line="240" w:lineRule="auto"/>
              <w:ind w:left="170"/>
              <w:rPr>
                <w:rFonts w:ascii="Arial" w:hAnsi="Arial" w:cs="Arial"/>
                <w:i/>
                <w:iCs/>
                <w:sz w:val="16"/>
                <w:szCs w:val="16"/>
              </w:rPr>
            </w:pPr>
            <w:r w:rsidRPr="00AF3CEA">
              <w:rPr>
                <w:rFonts w:ascii="Arial" w:hAnsi="Arial" w:cs="Arial"/>
                <w:i/>
                <w:iCs/>
                <w:sz w:val="16"/>
                <w:szCs w:val="16"/>
              </w:rPr>
              <w:t>less:</w:t>
            </w:r>
            <w:r w:rsidRPr="00AF3CEA">
              <w:rPr>
                <w:rFonts w:ascii="Arial" w:hAnsi="Arial" w:cs="Arial"/>
                <w:sz w:val="16"/>
                <w:szCs w:val="16"/>
              </w:rPr>
              <w:t xml:space="preserve"> Refunds and drawbacks</w:t>
            </w:r>
          </w:p>
        </w:tc>
        <w:tc>
          <w:tcPr>
            <w:tcW w:w="747" w:type="pct"/>
            <w:tcBorders>
              <w:top w:val="nil"/>
              <w:left w:val="nil"/>
              <w:bottom w:val="single" w:sz="4" w:space="0" w:color="293F5B"/>
              <w:right w:val="nil"/>
            </w:tcBorders>
            <w:shd w:val="clear" w:color="000000" w:fill="FFFFFF"/>
            <w:noWrap/>
            <w:vAlign w:val="center"/>
            <w:hideMark/>
          </w:tcPr>
          <w:p w14:paraId="32C15220"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700</w:t>
            </w:r>
          </w:p>
        </w:tc>
        <w:tc>
          <w:tcPr>
            <w:tcW w:w="747" w:type="pct"/>
            <w:tcBorders>
              <w:top w:val="nil"/>
              <w:left w:val="nil"/>
              <w:bottom w:val="single" w:sz="4" w:space="0" w:color="293F5B"/>
              <w:right w:val="nil"/>
            </w:tcBorders>
            <w:shd w:val="clear" w:color="000000" w:fill="E6F2FF"/>
            <w:noWrap/>
            <w:vAlign w:val="center"/>
            <w:hideMark/>
          </w:tcPr>
          <w:p w14:paraId="3D785FE1"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723</w:t>
            </w:r>
          </w:p>
        </w:tc>
        <w:tc>
          <w:tcPr>
            <w:tcW w:w="748" w:type="pct"/>
            <w:tcBorders>
              <w:top w:val="nil"/>
              <w:left w:val="nil"/>
              <w:bottom w:val="single" w:sz="4" w:space="0" w:color="293F5B"/>
              <w:right w:val="nil"/>
            </w:tcBorders>
            <w:shd w:val="clear" w:color="000000" w:fill="FFFFFF"/>
            <w:noWrap/>
            <w:vAlign w:val="center"/>
            <w:hideMark/>
          </w:tcPr>
          <w:p w14:paraId="4E0314CD"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23</w:t>
            </w:r>
          </w:p>
        </w:tc>
      </w:tr>
      <w:tr w:rsidR="00AF3CEA" w:rsidRPr="00AF3CEA" w14:paraId="5CFA8B29" w14:textId="77777777" w:rsidTr="00BD4D1C">
        <w:trPr>
          <w:divId w:val="1212889486"/>
          <w:trHeight w:hRule="exact" w:val="198"/>
        </w:trPr>
        <w:tc>
          <w:tcPr>
            <w:tcW w:w="2758" w:type="pct"/>
            <w:tcBorders>
              <w:top w:val="nil"/>
              <w:left w:val="nil"/>
              <w:bottom w:val="nil"/>
              <w:right w:val="nil"/>
            </w:tcBorders>
            <w:shd w:val="clear" w:color="000000" w:fill="FFFFFF"/>
            <w:noWrap/>
            <w:vAlign w:val="center"/>
            <w:hideMark/>
          </w:tcPr>
          <w:p w14:paraId="65B036BF"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 xml:space="preserve">Total excise and customs duty </w:t>
            </w:r>
          </w:p>
        </w:tc>
        <w:tc>
          <w:tcPr>
            <w:tcW w:w="747" w:type="pct"/>
            <w:tcBorders>
              <w:top w:val="nil"/>
              <w:left w:val="nil"/>
              <w:bottom w:val="nil"/>
              <w:right w:val="nil"/>
            </w:tcBorders>
            <w:shd w:val="clear" w:color="000000" w:fill="FFFFFF"/>
            <w:noWrap/>
            <w:vAlign w:val="center"/>
            <w:hideMark/>
          </w:tcPr>
          <w:p w14:paraId="3431331A"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43,330</w:t>
            </w:r>
          </w:p>
        </w:tc>
        <w:tc>
          <w:tcPr>
            <w:tcW w:w="747" w:type="pct"/>
            <w:tcBorders>
              <w:top w:val="nil"/>
              <w:left w:val="nil"/>
              <w:bottom w:val="nil"/>
              <w:right w:val="nil"/>
            </w:tcBorders>
            <w:shd w:val="clear" w:color="000000" w:fill="E6F2FF"/>
            <w:noWrap/>
            <w:vAlign w:val="center"/>
            <w:hideMark/>
          </w:tcPr>
          <w:p w14:paraId="5E822DA2"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43,360</w:t>
            </w:r>
          </w:p>
        </w:tc>
        <w:tc>
          <w:tcPr>
            <w:tcW w:w="748" w:type="pct"/>
            <w:tcBorders>
              <w:top w:val="nil"/>
              <w:left w:val="nil"/>
              <w:bottom w:val="nil"/>
              <w:right w:val="nil"/>
            </w:tcBorders>
            <w:shd w:val="clear" w:color="000000" w:fill="FFFFFF"/>
            <w:noWrap/>
            <w:vAlign w:val="center"/>
            <w:hideMark/>
          </w:tcPr>
          <w:p w14:paraId="431D7ABD"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29</w:t>
            </w:r>
          </w:p>
        </w:tc>
      </w:tr>
      <w:tr w:rsidR="00AF3CEA" w:rsidRPr="00AF3CEA" w14:paraId="2CAE1C91" w14:textId="77777777" w:rsidTr="00BD4D1C">
        <w:trPr>
          <w:divId w:val="1212889486"/>
          <w:trHeight w:hRule="exact" w:val="60"/>
        </w:trPr>
        <w:tc>
          <w:tcPr>
            <w:tcW w:w="2758" w:type="pct"/>
            <w:tcBorders>
              <w:top w:val="nil"/>
              <w:left w:val="nil"/>
              <w:bottom w:val="nil"/>
              <w:right w:val="nil"/>
            </w:tcBorders>
            <w:shd w:val="clear" w:color="000000" w:fill="FFFFFF"/>
            <w:noWrap/>
            <w:vAlign w:val="center"/>
            <w:hideMark/>
          </w:tcPr>
          <w:p w14:paraId="12B99052" w14:textId="77777777" w:rsidR="00AF3CEA" w:rsidRPr="00AF3CEA" w:rsidRDefault="00AF3CEA" w:rsidP="00AF3CEA">
            <w:pPr>
              <w:spacing w:before="0" w:after="0" w:line="240" w:lineRule="auto"/>
              <w:rPr>
                <w:rFonts w:ascii="Arial" w:hAnsi="Arial" w:cs="Arial"/>
                <w:b/>
                <w:bCs/>
                <w:color w:val="000000"/>
                <w:sz w:val="16"/>
                <w:szCs w:val="16"/>
              </w:rPr>
            </w:pPr>
            <w:r w:rsidRPr="00AF3CEA">
              <w:rPr>
                <w:rFonts w:ascii="Arial" w:hAnsi="Arial" w:cs="Arial"/>
                <w:b/>
                <w:bCs/>
                <w:color w:val="000000"/>
                <w:sz w:val="16"/>
                <w:szCs w:val="16"/>
              </w:rPr>
              <w:t> </w:t>
            </w:r>
          </w:p>
        </w:tc>
        <w:tc>
          <w:tcPr>
            <w:tcW w:w="747" w:type="pct"/>
            <w:tcBorders>
              <w:top w:val="nil"/>
              <w:left w:val="nil"/>
              <w:bottom w:val="nil"/>
              <w:right w:val="nil"/>
            </w:tcBorders>
            <w:shd w:val="clear" w:color="000000" w:fill="FFFFFF"/>
            <w:noWrap/>
            <w:vAlign w:val="center"/>
            <w:hideMark/>
          </w:tcPr>
          <w:p w14:paraId="73E246E5"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7" w:type="pct"/>
            <w:tcBorders>
              <w:top w:val="nil"/>
              <w:left w:val="nil"/>
              <w:bottom w:val="nil"/>
              <w:right w:val="nil"/>
            </w:tcBorders>
            <w:shd w:val="clear" w:color="000000" w:fill="E6F2FF"/>
            <w:noWrap/>
            <w:vAlign w:val="center"/>
            <w:hideMark/>
          </w:tcPr>
          <w:p w14:paraId="4AC6A65E"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8" w:type="pct"/>
            <w:tcBorders>
              <w:top w:val="nil"/>
              <w:left w:val="nil"/>
              <w:bottom w:val="nil"/>
              <w:right w:val="nil"/>
            </w:tcBorders>
            <w:shd w:val="clear" w:color="000000" w:fill="FFFFFF"/>
            <w:noWrap/>
            <w:vAlign w:val="center"/>
            <w:hideMark/>
          </w:tcPr>
          <w:p w14:paraId="41E942A2"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r>
      <w:tr w:rsidR="00AF3CEA" w:rsidRPr="00AF3CEA" w14:paraId="3D6F2F88"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2E8AA6BE"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Major bank levy</w:t>
            </w:r>
          </w:p>
        </w:tc>
        <w:tc>
          <w:tcPr>
            <w:tcW w:w="747" w:type="pct"/>
            <w:tcBorders>
              <w:top w:val="nil"/>
              <w:left w:val="nil"/>
              <w:bottom w:val="nil"/>
              <w:right w:val="nil"/>
            </w:tcBorders>
            <w:shd w:val="clear" w:color="000000" w:fill="FFFFFF"/>
            <w:noWrap/>
            <w:vAlign w:val="center"/>
            <w:hideMark/>
          </w:tcPr>
          <w:p w14:paraId="182B861E"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1,560</w:t>
            </w:r>
          </w:p>
        </w:tc>
        <w:tc>
          <w:tcPr>
            <w:tcW w:w="747" w:type="pct"/>
            <w:tcBorders>
              <w:top w:val="nil"/>
              <w:left w:val="nil"/>
              <w:bottom w:val="nil"/>
              <w:right w:val="nil"/>
            </w:tcBorders>
            <w:shd w:val="clear" w:color="000000" w:fill="E6F2FF"/>
            <w:noWrap/>
            <w:vAlign w:val="center"/>
            <w:hideMark/>
          </w:tcPr>
          <w:p w14:paraId="58C4DE20"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1,542</w:t>
            </w:r>
          </w:p>
        </w:tc>
        <w:tc>
          <w:tcPr>
            <w:tcW w:w="748" w:type="pct"/>
            <w:tcBorders>
              <w:top w:val="nil"/>
              <w:left w:val="nil"/>
              <w:bottom w:val="nil"/>
              <w:right w:val="nil"/>
            </w:tcBorders>
            <w:shd w:val="clear" w:color="000000" w:fill="FFFFFF"/>
            <w:noWrap/>
            <w:vAlign w:val="center"/>
            <w:hideMark/>
          </w:tcPr>
          <w:p w14:paraId="138A586E" w14:textId="031CE6AD"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18</w:t>
            </w:r>
          </w:p>
        </w:tc>
      </w:tr>
      <w:tr w:rsidR="00AF3CEA" w:rsidRPr="00AF3CEA" w14:paraId="15C45B7B"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6D7F3764"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Agricultural levies</w:t>
            </w:r>
          </w:p>
        </w:tc>
        <w:tc>
          <w:tcPr>
            <w:tcW w:w="747" w:type="pct"/>
            <w:tcBorders>
              <w:top w:val="nil"/>
              <w:left w:val="nil"/>
              <w:bottom w:val="nil"/>
              <w:right w:val="nil"/>
            </w:tcBorders>
            <w:shd w:val="clear" w:color="000000" w:fill="FFFFFF"/>
            <w:noWrap/>
            <w:vAlign w:val="center"/>
            <w:hideMark/>
          </w:tcPr>
          <w:p w14:paraId="447CE001"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631</w:t>
            </w:r>
          </w:p>
        </w:tc>
        <w:tc>
          <w:tcPr>
            <w:tcW w:w="747" w:type="pct"/>
            <w:tcBorders>
              <w:top w:val="nil"/>
              <w:left w:val="nil"/>
              <w:bottom w:val="nil"/>
              <w:right w:val="nil"/>
            </w:tcBorders>
            <w:shd w:val="clear" w:color="000000" w:fill="E6F2FF"/>
            <w:noWrap/>
            <w:vAlign w:val="center"/>
            <w:hideMark/>
          </w:tcPr>
          <w:p w14:paraId="05AA56C4"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677</w:t>
            </w:r>
          </w:p>
        </w:tc>
        <w:tc>
          <w:tcPr>
            <w:tcW w:w="748" w:type="pct"/>
            <w:tcBorders>
              <w:top w:val="nil"/>
              <w:left w:val="nil"/>
              <w:bottom w:val="nil"/>
              <w:right w:val="nil"/>
            </w:tcBorders>
            <w:shd w:val="clear" w:color="000000" w:fill="FFFFFF"/>
            <w:noWrap/>
            <w:vAlign w:val="center"/>
            <w:hideMark/>
          </w:tcPr>
          <w:p w14:paraId="72CF4CDB"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46</w:t>
            </w:r>
          </w:p>
        </w:tc>
      </w:tr>
      <w:tr w:rsidR="00AF3CEA" w:rsidRPr="00AF3CEA" w14:paraId="6783D8BA"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28F64325"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Visa application charges(b)</w:t>
            </w:r>
          </w:p>
        </w:tc>
        <w:tc>
          <w:tcPr>
            <w:tcW w:w="747" w:type="pct"/>
            <w:tcBorders>
              <w:top w:val="nil"/>
              <w:left w:val="nil"/>
              <w:bottom w:val="nil"/>
              <w:right w:val="nil"/>
            </w:tcBorders>
            <w:shd w:val="clear" w:color="000000" w:fill="FFFFFF"/>
            <w:noWrap/>
            <w:vAlign w:val="center"/>
            <w:hideMark/>
          </w:tcPr>
          <w:p w14:paraId="0A7AA488"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2,995</w:t>
            </w:r>
          </w:p>
        </w:tc>
        <w:tc>
          <w:tcPr>
            <w:tcW w:w="747" w:type="pct"/>
            <w:tcBorders>
              <w:top w:val="nil"/>
              <w:left w:val="nil"/>
              <w:bottom w:val="nil"/>
              <w:right w:val="nil"/>
            </w:tcBorders>
            <w:shd w:val="clear" w:color="000000" w:fill="E6F2FF"/>
            <w:noWrap/>
            <w:vAlign w:val="center"/>
            <w:hideMark/>
          </w:tcPr>
          <w:p w14:paraId="1E06B0D4"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3,156</w:t>
            </w:r>
          </w:p>
        </w:tc>
        <w:tc>
          <w:tcPr>
            <w:tcW w:w="748" w:type="pct"/>
            <w:tcBorders>
              <w:top w:val="nil"/>
              <w:left w:val="nil"/>
              <w:bottom w:val="nil"/>
              <w:right w:val="nil"/>
            </w:tcBorders>
            <w:shd w:val="clear" w:color="000000" w:fill="FFFFFF"/>
            <w:noWrap/>
            <w:vAlign w:val="center"/>
            <w:hideMark/>
          </w:tcPr>
          <w:p w14:paraId="01BA6A12"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161</w:t>
            </w:r>
          </w:p>
        </w:tc>
      </w:tr>
      <w:tr w:rsidR="00AF3CEA" w:rsidRPr="00AF3CEA" w14:paraId="0A9B8E0C"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481E4D82"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Other taxes(b)</w:t>
            </w:r>
          </w:p>
        </w:tc>
        <w:tc>
          <w:tcPr>
            <w:tcW w:w="747" w:type="pct"/>
            <w:tcBorders>
              <w:top w:val="nil"/>
              <w:left w:val="nil"/>
              <w:bottom w:val="nil"/>
              <w:right w:val="nil"/>
            </w:tcBorders>
            <w:shd w:val="clear" w:color="000000" w:fill="FFFFFF"/>
            <w:noWrap/>
            <w:vAlign w:val="center"/>
            <w:hideMark/>
          </w:tcPr>
          <w:p w14:paraId="4D906152"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5,883</w:t>
            </w:r>
          </w:p>
        </w:tc>
        <w:tc>
          <w:tcPr>
            <w:tcW w:w="747" w:type="pct"/>
            <w:tcBorders>
              <w:top w:val="nil"/>
              <w:left w:val="nil"/>
              <w:bottom w:val="nil"/>
              <w:right w:val="nil"/>
            </w:tcBorders>
            <w:shd w:val="clear" w:color="000000" w:fill="E6F2FF"/>
            <w:noWrap/>
            <w:vAlign w:val="center"/>
            <w:hideMark/>
          </w:tcPr>
          <w:p w14:paraId="36F2729D"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6,253</w:t>
            </w:r>
          </w:p>
        </w:tc>
        <w:tc>
          <w:tcPr>
            <w:tcW w:w="748" w:type="pct"/>
            <w:tcBorders>
              <w:top w:val="nil"/>
              <w:left w:val="nil"/>
              <w:bottom w:val="nil"/>
              <w:right w:val="nil"/>
            </w:tcBorders>
            <w:shd w:val="clear" w:color="000000" w:fill="FFFFFF"/>
            <w:noWrap/>
            <w:vAlign w:val="center"/>
            <w:hideMark/>
          </w:tcPr>
          <w:p w14:paraId="0E23B320"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370</w:t>
            </w:r>
          </w:p>
        </w:tc>
      </w:tr>
      <w:tr w:rsidR="00AF3CEA" w:rsidRPr="00AF3CEA" w14:paraId="1FD5E729"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0CA51769" w14:textId="77777777" w:rsidR="00AF3CEA" w:rsidRPr="00AF3CEA" w:rsidRDefault="00AF3CEA" w:rsidP="00AF3CEA">
            <w:pPr>
              <w:spacing w:before="0" w:after="0" w:line="240" w:lineRule="auto"/>
              <w:rPr>
                <w:rFonts w:ascii="Arial" w:hAnsi="Arial" w:cs="Arial"/>
                <w:b/>
                <w:bCs/>
                <w:sz w:val="16"/>
                <w:szCs w:val="16"/>
              </w:rPr>
            </w:pPr>
            <w:r w:rsidRPr="00AF3CEA">
              <w:rPr>
                <w:rFonts w:ascii="Arial" w:hAnsi="Arial" w:cs="Arial"/>
                <w:b/>
                <w:bCs/>
                <w:sz w:val="16"/>
                <w:szCs w:val="16"/>
              </w:rPr>
              <w:t>Indirect taxation revenue</w:t>
            </w:r>
          </w:p>
        </w:tc>
        <w:tc>
          <w:tcPr>
            <w:tcW w:w="747" w:type="pct"/>
            <w:tcBorders>
              <w:top w:val="single" w:sz="4" w:space="0" w:color="293F5B"/>
              <w:left w:val="nil"/>
              <w:bottom w:val="nil"/>
              <w:right w:val="nil"/>
            </w:tcBorders>
            <w:shd w:val="clear" w:color="000000" w:fill="FFFFFF"/>
            <w:noWrap/>
            <w:vAlign w:val="center"/>
            <w:hideMark/>
          </w:tcPr>
          <w:p w14:paraId="347FE1B3"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144,759</w:t>
            </w:r>
          </w:p>
        </w:tc>
        <w:tc>
          <w:tcPr>
            <w:tcW w:w="747" w:type="pct"/>
            <w:tcBorders>
              <w:top w:val="single" w:sz="4" w:space="0" w:color="293F5B"/>
              <w:left w:val="nil"/>
              <w:bottom w:val="nil"/>
              <w:right w:val="nil"/>
            </w:tcBorders>
            <w:shd w:val="clear" w:color="000000" w:fill="E6F2FF"/>
            <w:noWrap/>
            <w:vAlign w:val="center"/>
            <w:hideMark/>
          </w:tcPr>
          <w:p w14:paraId="29025F9A"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145,223</w:t>
            </w:r>
          </w:p>
        </w:tc>
        <w:tc>
          <w:tcPr>
            <w:tcW w:w="748" w:type="pct"/>
            <w:tcBorders>
              <w:top w:val="single" w:sz="4" w:space="0" w:color="293F5B"/>
              <w:left w:val="nil"/>
              <w:bottom w:val="nil"/>
              <w:right w:val="nil"/>
            </w:tcBorders>
            <w:shd w:val="clear" w:color="000000" w:fill="FFFFFF"/>
            <w:noWrap/>
            <w:vAlign w:val="center"/>
            <w:hideMark/>
          </w:tcPr>
          <w:p w14:paraId="5B1A6D09"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464</w:t>
            </w:r>
          </w:p>
        </w:tc>
      </w:tr>
      <w:tr w:rsidR="00AF3CEA" w:rsidRPr="00AF3CEA" w14:paraId="23F7BEF0" w14:textId="77777777" w:rsidTr="00BD4D1C">
        <w:trPr>
          <w:divId w:val="1212889486"/>
          <w:trHeight w:hRule="exact" w:val="60"/>
        </w:trPr>
        <w:tc>
          <w:tcPr>
            <w:tcW w:w="2758" w:type="pct"/>
            <w:tcBorders>
              <w:top w:val="nil"/>
              <w:left w:val="nil"/>
              <w:bottom w:val="nil"/>
              <w:right w:val="nil"/>
            </w:tcBorders>
            <w:shd w:val="clear" w:color="000000" w:fill="FFFFFF"/>
            <w:noWrap/>
            <w:vAlign w:val="center"/>
            <w:hideMark/>
          </w:tcPr>
          <w:p w14:paraId="6C11D128" w14:textId="77777777" w:rsidR="00AF3CEA" w:rsidRPr="00AF3CEA" w:rsidRDefault="00AF3CEA" w:rsidP="00AF3CEA">
            <w:pPr>
              <w:spacing w:before="0" w:after="0" w:line="240" w:lineRule="auto"/>
              <w:rPr>
                <w:rFonts w:ascii="Arial" w:hAnsi="Arial" w:cs="Arial"/>
                <w:b/>
                <w:bCs/>
                <w:color w:val="000000"/>
                <w:sz w:val="16"/>
                <w:szCs w:val="16"/>
              </w:rPr>
            </w:pPr>
            <w:r w:rsidRPr="00AF3CEA">
              <w:rPr>
                <w:rFonts w:ascii="Arial" w:hAnsi="Arial" w:cs="Arial"/>
                <w:b/>
                <w:bCs/>
                <w:color w:val="000000"/>
                <w:sz w:val="16"/>
                <w:szCs w:val="16"/>
              </w:rPr>
              <w:t> </w:t>
            </w:r>
          </w:p>
        </w:tc>
        <w:tc>
          <w:tcPr>
            <w:tcW w:w="747" w:type="pct"/>
            <w:tcBorders>
              <w:top w:val="single" w:sz="4" w:space="0" w:color="293F5B"/>
              <w:left w:val="nil"/>
              <w:bottom w:val="nil"/>
              <w:right w:val="nil"/>
            </w:tcBorders>
            <w:shd w:val="clear" w:color="000000" w:fill="FFFFFF"/>
            <w:noWrap/>
            <w:vAlign w:val="center"/>
            <w:hideMark/>
          </w:tcPr>
          <w:p w14:paraId="0291CD64"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7" w:type="pct"/>
            <w:tcBorders>
              <w:top w:val="single" w:sz="4" w:space="0" w:color="293F5B"/>
              <w:left w:val="nil"/>
              <w:bottom w:val="nil"/>
              <w:right w:val="nil"/>
            </w:tcBorders>
            <w:shd w:val="clear" w:color="000000" w:fill="E6F2FF"/>
            <w:noWrap/>
            <w:vAlign w:val="center"/>
            <w:hideMark/>
          </w:tcPr>
          <w:p w14:paraId="2E81317F"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8" w:type="pct"/>
            <w:tcBorders>
              <w:top w:val="single" w:sz="4" w:space="0" w:color="293F5B"/>
              <w:left w:val="nil"/>
              <w:bottom w:val="nil"/>
              <w:right w:val="nil"/>
            </w:tcBorders>
            <w:shd w:val="clear" w:color="000000" w:fill="FFFFFF"/>
            <w:noWrap/>
            <w:vAlign w:val="center"/>
            <w:hideMark/>
          </w:tcPr>
          <w:p w14:paraId="2D54A983"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r>
      <w:tr w:rsidR="00AF3CEA" w:rsidRPr="00AF3CEA" w14:paraId="1D698372"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7264C770" w14:textId="77777777" w:rsidR="00AF3CEA" w:rsidRPr="00AF3CEA" w:rsidRDefault="00AF3CEA" w:rsidP="00AF3CEA">
            <w:pPr>
              <w:spacing w:before="0" w:after="0" w:line="240" w:lineRule="auto"/>
              <w:rPr>
                <w:rFonts w:ascii="Arial" w:hAnsi="Arial" w:cs="Arial"/>
                <w:b/>
                <w:bCs/>
                <w:color w:val="000000"/>
                <w:sz w:val="16"/>
                <w:szCs w:val="16"/>
              </w:rPr>
            </w:pPr>
            <w:r w:rsidRPr="00AF3CEA">
              <w:rPr>
                <w:rFonts w:ascii="Arial" w:hAnsi="Arial" w:cs="Arial"/>
                <w:b/>
                <w:bCs/>
                <w:color w:val="000000"/>
                <w:sz w:val="16"/>
                <w:szCs w:val="16"/>
              </w:rPr>
              <w:t>Taxation revenue</w:t>
            </w:r>
          </w:p>
        </w:tc>
        <w:tc>
          <w:tcPr>
            <w:tcW w:w="747" w:type="pct"/>
            <w:tcBorders>
              <w:top w:val="nil"/>
              <w:left w:val="nil"/>
              <w:bottom w:val="single" w:sz="4" w:space="0" w:color="293F5B"/>
              <w:right w:val="nil"/>
            </w:tcBorders>
            <w:shd w:val="clear" w:color="000000" w:fill="FFFFFF"/>
            <w:noWrap/>
            <w:vAlign w:val="center"/>
            <w:hideMark/>
          </w:tcPr>
          <w:p w14:paraId="1F44141E"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604,169</w:t>
            </w:r>
          </w:p>
        </w:tc>
        <w:tc>
          <w:tcPr>
            <w:tcW w:w="747" w:type="pct"/>
            <w:tcBorders>
              <w:top w:val="nil"/>
              <w:left w:val="nil"/>
              <w:bottom w:val="single" w:sz="4" w:space="0" w:color="293F5B"/>
              <w:right w:val="nil"/>
            </w:tcBorders>
            <w:shd w:val="clear" w:color="000000" w:fill="E6F2FF"/>
            <w:noWrap/>
            <w:vAlign w:val="center"/>
            <w:hideMark/>
          </w:tcPr>
          <w:p w14:paraId="11C48344"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618,288</w:t>
            </w:r>
          </w:p>
        </w:tc>
        <w:tc>
          <w:tcPr>
            <w:tcW w:w="748" w:type="pct"/>
            <w:tcBorders>
              <w:top w:val="nil"/>
              <w:left w:val="nil"/>
              <w:bottom w:val="single" w:sz="4" w:space="0" w:color="293F5B"/>
              <w:right w:val="nil"/>
            </w:tcBorders>
            <w:shd w:val="clear" w:color="000000" w:fill="FFFFFF"/>
            <w:noWrap/>
            <w:vAlign w:val="center"/>
            <w:hideMark/>
          </w:tcPr>
          <w:p w14:paraId="3AEC7C4E"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14,119</w:t>
            </w:r>
          </w:p>
        </w:tc>
      </w:tr>
      <w:tr w:rsidR="00AF3CEA" w:rsidRPr="00AF3CEA" w14:paraId="5C641BF2" w14:textId="77777777" w:rsidTr="00BD4D1C">
        <w:trPr>
          <w:divId w:val="1212889486"/>
          <w:trHeight w:hRule="exact" w:val="60"/>
        </w:trPr>
        <w:tc>
          <w:tcPr>
            <w:tcW w:w="2758" w:type="pct"/>
            <w:tcBorders>
              <w:top w:val="nil"/>
              <w:left w:val="nil"/>
              <w:bottom w:val="nil"/>
              <w:right w:val="nil"/>
            </w:tcBorders>
            <w:shd w:val="clear" w:color="000000" w:fill="FFFFFF"/>
            <w:noWrap/>
            <w:vAlign w:val="center"/>
            <w:hideMark/>
          </w:tcPr>
          <w:p w14:paraId="73E46E59" w14:textId="77777777" w:rsidR="00AF3CEA" w:rsidRPr="00AF3CEA" w:rsidRDefault="00AF3CEA" w:rsidP="00AF3CEA">
            <w:pPr>
              <w:spacing w:before="0" w:after="0" w:line="240" w:lineRule="auto"/>
              <w:rPr>
                <w:rFonts w:ascii="Arial" w:hAnsi="Arial" w:cs="Arial"/>
                <w:b/>
                <w:bCs/>
                <w:color w:val="000000"/>
                <w:sz w:val="16"/>
                <w:szCs w:val="16"/>
              </w:rPr>
            </w:pPr>
            <w:r w:rsidRPr="00AF3CEA">
              <w:rPr>
                <w:rFonts w:ascii="Arial" w:hAnsi="Arial" w:cs="Arial"/>
                <w:b/>
                <w:bCs/>
                <w:color w:val="000000"/>
                <w:sz w:val="16"/>
                <w:szCs w:val="16"/>
              </w:rPr>
              <w:t> </w:t>
            </w:r>
          </w:p>
        </w:tc>
        <w:tc>
          <w:tcPr>
            <w:tcW w:w="747" w:type="pct"/>
            <w:tcBorders>
              <w:top w:val="nil"/>
              <w:left w:val="nil"/>
              <w:bottom w:val="nil"/>
              <w:right w:val="nil"/>
            </w:tcBorders>
            <w:shd w:val="clear" w:color="000000" w:fill="FFFFFF"/>
            <w:noWrap/>
            <w:vAlign w:val="center"/>
            <w:hideMark/>
          </w:tcPr>
          <w:p w14:paraId="1D6A468B"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7" w:type="pct"/>
            <w:tcBorders>
              <w:top w:val="nil"/>
              <w:left w:val="nil"/>
              <w:bottom w:val="nil"/>
              <w:right w:val="nil"/>
            </w:tcBorders>
            <w:shd w:val="clear" w:color="000000" w:fill="E6F2FF"/>
            <w:noWrap/>
            <w:vAlign w:val="center"/>
            <w:hideMark/>
          </w:tcPr>
          <w:p w14:paraId="1120FFDE"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8" w:type="pct"/>
            <w:tcBorders>
              <w:top w:val="nil"/>
              <w:left w:val="nil"/>
              <w:bottom w:val="nil"/>
              <w:right w:val="nil"/>
            </w:tcBorders>
            <w:shd w:val="clear" w:color="000000" w:fill="FFFFFF"/>
            <w:noWrap/>
            <w:vAlign w:val="center"/>
            <w:hideMark/>
          </w:tcPr>
          <w:p w14:paraId="3A04920F"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r>
      <w:tr w:rsidR="00AF3CEA" w:rsidRPr="00AF3CEA" w14:paraId="7F215BAD"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0790EC3B"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Sales of goods and services</w:t>
            </w:r>
          </w:p>
        </w:tc>
        <w:tc>
          <w:tcPr>
            <w:tcW w:w="747" w:type="pct"/>
            <w:tcBorders>
              <w:top w:val="nil"/>
              <w:left w:val="nil"/>
              <w:bottom w:val="nil"/>
              <w:right w:val="nil"/>
            </w:tcBorders>
            <w:shd w:val="clear" w:color="000000" w:fill="FFFFFF"/>
            <w:noWrap/>
            <w:vAlign w:val="center"/>
            <w:hideMark/>
          </w:tcPr>
          <w:p w14:paraId="5DC35AB0"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19,078</w:t>
            </w:r>
          </w:p>
        </w:tc>
        <w:tc>
          <w:tcPr>
            <w:tcW w:w="747" w:type="pct"/>
            <w:tcBorders>
              <w:top w:val="nil"/>
              <w:left w:val="nil"/>
              <w:bottom w:val="nil"/>
              <w:right w:val="nil"/>
            </w:tcBorders>
            <w:shd w:val="clear" w:color="000000" w:fill="E6F2FF"/>
            <w:noWrap/>
            <w:vAlign w:val="center"/>
            <w:hideMark/>
          </w:tcPr>
          <w:p w14:paraId="2A7B082D"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19,013</w:t>
            </w:r>
          </w:p>
        </w:tc>
        <w:tc>
          <w:tcPr>
            <w:tcW w:w="748" w:type="pct"/>
            <w:tcBorders>
              <w:top w:val="nil"/>
              <w:left w:val="nil"/>
              <w:bottom w:val="nil"/>
              <w:right w:val="nil"/>
            </w:tcBorders>
            <w:shd w:val="clear" w:color="000000" w:fill="FFFFFF"/>
            <w:noWrap/>
            <w:vAlign w:val="center"/>
            <w:hideMark/>
          </w:tcPr>
          <w:p w14:paraId="4CF571F3" w14:textId="13660E97"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66</w:t>
            </w:r>
          </w:p>
        </w:tc>
      </w:tr>
      <w:tr w:rsidR="00AF3CEA" w:rsidRPr="00AF3CEA" w14:paraId="2AC93FDE"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3DC70B56"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Interest</w:t>
            </w:r>
          </w:p>
        </w:tc>
        <w:tc>
          <w:tcPr>
            <w:tcW w:w="747" w:type="pct"/>
            <w:tcBorders>
              <w:top w:val="nil"/>
              <w:left w:val="nil"/>
              <w:bottom w:val="nil"/>
              <w:right w:val="nil"/>
            </w:tcBorders>
            <w:shd w:val="clear" w:color="000000" w:fill="FFFFFF"/>
            <w:noWrap/>
            <w:vAlign w:val="center"/>
            <w:hideMark/>
          </w:tcPr>
          <w:p w14:paraId="180AB617"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9,053</w:t>
            </w:r>
          </w:p>
        </w:tc>
        <w:tc>
          <w:tcPr>
            <w:tcW w:w="747" w:type="pct"/>
            <w:tcBorders>
              <w:top w:val="nil"/>
              <w:left w:val="nil"/>
              <w:bottom w:val="nil"/>
              <w:right w:val="nil"/>
            </w:tcBorders>
            <w:shd w:val="clear" w:color="000000" w:fill="E6F2FF"/>
            <w:noWrap/>
            <w:vAlign w:val="center"/>
            <w:hideMark/>
          </w:tcPr>
          <w:p w14:paraId="6DF84DA5"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9,892</w:t>
            </w:r>
          </w:p>
        </w:tc>
        <w:tc>
          <w:tcPr>
            <w:tcW w:w="748" w:type="pct"/>
            <w:tcBorders>
              <w:top w:val="nil"/>
              <w:left w:val="nil"/>
              <w:bottom w:val="nil"/>
              <w:right w:val="nil"/>
            </w:tcBorders>
            <w:shd w:val="clear" w:color="000000" w:fill="FFFFFF"/>
            <w:noWrap/>
            <w:vAlign w:val="center"/>
            <w:hideMark/>
          </w:tcPr>
          <w:p w14:paraId="69C7A31B"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839</w:t>
            </w:r>
          </w:p>
        </w:tc>
      </w:tr>
      <w:tr w:rsidR="00AF3CEA" w:rsidRPr="00AF3CEA" w14:paraId="352DF874"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05A3E132" w14:textId="77777777"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Dividends and distributions</w:t>
            </w:r>
          </w:p>
        </w:tc>
        <w:tc>
          <w:tcPr>
            <w:tcW w:w="747" w:type="pct"/>
            <w:tcBorders>
              <w:top w:val="nil"/>
              <w:left w:val="nil"/>
              <w:bottom w:val="nil"/>
              <w:right w:val="nil"/>
            </w:tcBorders>
            <w:shd w:val="clear" w:color="000000" w:fill="FFFFFF"/>
            <w:noWrap/>
            <w:vAlign w:val="center"/>
            <w:hideMark/>
          </w:tcPr>
          <w:p w14:paraId="7B0301D1"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5,361</w:t>
            </w:r>
          </w:p>
        </w:tc>
        <w:tc>
          <w:tcPr>
            <w:tcW w:w="747" w:type="pct"/>
            <w:tcBorders>
              <w:top w:val="nil"/>
              <w:left w:val="nil"/>
              <w:bottom w:val="nil"/>
              <w:right w:val="nil"/>
            </w:tcBorders>
            <w:shd w:val="clear" w:color="000000" w:fill="E6F2FF"/>
            <w:noWrap/>
            <w:vAlign w:val="center"/>
            <w:hideMark/>
          </w:tcPr>
          <w:p w14:paraId="3D69BA25"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5,291</w:t>
            </w:r>
          </w:p>
        </w:tc>
        <w:tc>
          <w:tcPr>
            <w:tcW w:w="748" w:type="pct"/>
            <w:tcBorders>
              <w:top w:val="nil"/>
              <w:left w:val="nil"/>
              <w:bottom w:val="nil"/>
              <w:right w:val="nil"/>
            </w:tcBorders>
            <w:shd w:val="clear" w:color="000000" w:fill="FFFFFF"/>
            <w:noWrap/>
            <w:vAlign w:val="center"/>
            <w:hideMark/>
          </w:tcPr>
          <w:p w14:paraId="1C16E3CD" w14:textId="3DB4F3DB"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71</w:t>
            </w:r>
          </w:p>
        </w:tc>
      </w:tr>
      <w:tr w:rsidR="00AF3CEA" w:rsidRPr="00AF3CEA" w14:paraId="6A50861E"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3FA150D5" w14:textId="7AEE55A3" w:rsidR="00AF3CEA" w:rsidRPr="00AF3CEA" w:rsidRDefault="00AF3CEA" w:rsidP="00AF3CEA">
            <w:pPr>
              <w:spacing w:before="0" w:after="0" w:line="240" w:lineRule="auto"/>
              <w:rPr>
                <w:rFonts w:ascii="Arial" w:hAnsi="Arial" w:cs="Arial"/>
                <w:color w:val="000000"/>
                <w:sz w:val="16"/>
                <w:szCs w:val="16"/>
              </w:rPr>
            </w:pPr>
            <w:r w:rsidRPr="00AF3CEA">
              <w:rPr>
                <w:rFonts w:ascii="Arial" w:hAnsi="Arial" w:cs="Arial"/>
                <w:color w:val="000000"/>
                <w:sz w:val="16"/>
                <w:szCs w:val="16"/>
              </w:rPr>
              <w:t>Other non</w:t>
            </w:r>
            <w:r w:rsidR="006B57C6">
              <w:rPr>
                <w:rFonts w:ascii="Arial" w:hAnsi="Arial" w:cs="Arial"/>
                <w:color w:val="000000"/>
                <w:sz w:val="16"/>
                <w:szCs w:val="16"/>
              </w:rPr>
              <w:noBreakHyphen/>
            </w:r>
            <w:r w:rsidRPr="00AF3CEA">
              <w:rPr>
                <w:rFonts w:ascii="Arial" w:hAnsi="Arial" w:cs="Arial"/>
                <w:color w:val="000000"/>
                <w:sz w:val="16"/>
                <w:szCs w:val="16"/>
              </w:rPr>
              <w:t>taxation revenue</w:t>
            </w:r>
          </w:p>
        </w:tc>
        <w:tc>
          <w:tcPr>
            <w:tcW w:w="747" w:type="pct"/>
            <w:tcBorders>
              <w:top w:val="nil"/>
              <w:left w:val="nil"/>
              <w:bottom w:val="nil"/>
              <w:right w:val="nil"/>
            </w:tcBorders>
            <w:shd w:val="clear" w:color="000000" w:fill="FFFFFF"/>
            <w:noWrap/>
            <w:vAlign w:val="center"/>
            <w:hideMark/>
          </w:tcPr>
          <w:p w14:paraId="2AA6DB4A"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16,105</w:t>
            </w:r>
          </w:p>
        </w:tc>
        <w:tc>
          <w:tcPr>
            <w:tcW w:w="747" w:type="pct"/>
            <w:tcBorders>
              <w:top w:val="nil"/>
              <w:left w:val="nil"/>
              <w:bottom w:val="nil"/>
              <w:right w:val="nil"/>
            </w:tcBorders>
            <w:shd w:val="clear" w:color="000000" w:fill="E6F2FF"/>
            <w:noWrap/>
            <w:vAlign w:val="center"/>
            <w:hideMark/>
          </w:tcPr>
          <w:p w14:paraId="5E376C8A" w14:textId="77777777" w:rsidR="00AF3CEA" w:rsidRPr="00AF3CEA" w:rsidRDefault="00AF3CEA" w:rsidP="00AF3CEA">
            <w:pPr>
              <w:spacing w:before="0" w:after="0" w:line="240" w:lineRule="auto"/>
              <w:jc w:val="right"/>
              <w:rPr>
                <w:rFonts w:ascii="Arial" w:hAnsi="Arial" w:cs="Arial"/>
                <w:sz w:val="16"/>
                <w:szCs w:val="16"/>
              </w:rPr>
            </w:pPr>
            <w:r w:rsidRPr="00AF3CEA">
              <w:rPr>
                <w:rFonts w:ascii="Arial" w:hAnsi="Arial" w:cs="Arial"/>
                <w:sz w:val="16"/>
                <w:szCs w:val="16"/>
              </w:rPr>
              <w:t>15,905</w:t>
            </w:r>
          </w:p>
        </w:tc>
        <w:tc>
          <w:tcPr>
            <w:tcW w:w="748" w:type="pct"/>
            <w:tcBorders>
              <w:top w:val="nil"/>
              <w:left w:val="nil"/>
              <w:bottom w:val="nil"/>
              <w:right w:val="nil"/>
            </w:tcBorders>
            <w:shd w:val="clear" w:color="000000" w:fill="FFFFFF"/>
            <w:noWrap/>
            <w:vAlign w:val="center"/>
            <w:hideMark/>
          </w:tcPr>
          <w:p w14:paraId="0F4BCEFD" w14:textId="6F4E1B7B" w:rsidR="00AF3CEA" w:rsidRPr="00AF3CEA" w:rsidRDefault="006B57C6" w:rsidP="00AF3CEA">
            <w:pPr>
              <w:spacing w:before="0" w:after="0" w:line="240" w:lineRule="auto"/>
              <w:jc w:val="right"/>
              <w:rPr>
                <w:rFonts w:ascii="Arial" w:hAnsi="Arial" w:cs="Arial"/>
                <w:sz w:val="16"/>
                <w:szCs w:val="16"/>
              </w:rPr>
            </w:pPr>
            <w:r>
              <w:rPr>
                <w:rFonts w:ascii="Arial" w:hAnsi="Arial" w:cs="Arial"/>
                <w:sz w:val="16"/>
                <w:szCs w:val="16"/>
              </w:rPr>
              <w:noBreakHyphen/>
            </w:r>
            <w:r w:rsidR="00AF3CEA" w:rsidRPr="00AF3CEA">
              <w:rPr>
                <w:rFonts w:ascii="Arial" w:hAnsi="Arial" w:cs="Arial"/>
                <w:sz w:val="16"/>
                <w:szCs w:val="16"/>
              </w:rPr>
              <w:t>200</w:t>
            </w:r>
          </w:p>
        </w:tc>
      </w:tr>
      <w:tr w:rsidR="00AF3CEA" w:rsidRPr="00AF3CEA" w14:paraId="22C09203"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2E360E4E" w14:textId="4FA687E0" w:rsidR="00AF3CEA" w:rsidRPr="00AF3CEA" w:rsidRDefault="00AF3CEA" w:rsidP="00AF3CEA">
            <w:pPr>
              <w:spacing w:before="0" w:after="0" w:line="240" w:lineRule="auto"/>
              <w:rPr>
                <w:rFonts w:ascii="Arial" w:hAnsi="Arial" w:cs="Arial"/>
                <w:b/>
                <w:bCs/>
                <w:color w:val="000000"/>
                <w:sz w:val="16"/>
                <w:szCs w:val="16"/>
              </w:rPr>
            </w:pPr>
            <w:r w:rsidRPr="00AF3CEA">
              <w:rPr>
                <w:rFonts w:ascii="Arial" w:hAnsi="Arial" w:cs="Arial"/>
                <w:b/>
                <w:bCs/>
                <w:color w:val="000000"/>
                <w:sz w:val="16"/>
                <w:szCs w:val="16"/>
              </w:rPr>
              <w:t>Non</w:t>
            </w:r>
            <w:r w:rsidR="006B57C6">
              <w:rPr>
                <w:rFonts w:ascii="Arial" w:hAnsi="Arial" w:cs="Arial"/>
                <w:b/>
                <w:bCs/>
                <w:color w:val="000000"/>
                <w:sz w:val="16"/>
                <w:szCs w:val="16"/>
              </w:rPr>
              <w:noBreakHyphen/>
            </w:r>
            <w:r w:rsidRPr="00AF3CEA">
              <w:rPr>
                <w:rFonts w:ascii="Arial" w:hAnsi="Arial" w:cs="Arial"/>
                <w:b/>
                <w:bCs/>
                <w:color w:val="000000"/>
                <w:sz w:val="16"/>
                <w:szCs w:val="16"/>
              </w:rPr>
              <w:t>taxation revenue</w:t>
            </w:r>
          </w:p>
        </w:tc>
        <w:tc>
          <w:tcPr>
            <w:tcW w:w="747" w:type="pct"/>
            <w:tcBorders>
              <w:top w:val="single" w:sz="4" w:space="0" w:color="293F5B"/>
              <w:left w:val="nil"/>
              <w:bottom w:val="nil"/>
              <w:right w:val="nil"/>
            </w:tcBorders>
            <w:shd w:val="clear" w:color="000000" w:fill="FFFFFF"/>
            <w:noWrap/>
            <w:vAlign w:val="center"/>
            <w:hideMark/>
          </w:tcPr>
          <w:p w14:paraId="6ACFA545"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49,598</w:t>
            </w:r>
          </w:p>
        </w:tc>
        <w:tc>
          <w:tcPr>
            <w:tcW w:w="747" w:type="pct"/>
            <w:tcBorders>
              <w:top w:val="single" w:sz="4" w:space="0" w:color="293F5B"/>
              <w:left w:val="nil"/>
              <w:bottom w:val="nil"/>
              <w:right w:val="nil"/>
            </w:tcBorders>
            <w:shd w:val="clear" w:color="000000" w:fill="E6F2FF"/>
            <w:noWrap/>
            <w:vAlign w:val="center"/>
            <w:hideMark/>
          </w:tcPr>
          <w:p w14:paraId="3B04273A"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50,101</w:t>
            </w:r>
          </w:p>
        </w:tc>
        <w:tc>
          <w:tcPr>
            <w:tcW w:w="748" w:type="pct"/>
            <w:tcBorders>
              <w:top w:val="single" w:sz="4" w:space="0" w:color="293F5B"/>
              <w:left w:val="nil"/>
              <w:bottom w:val="nil"/>
              <w:right w:val="nil"/>
            </w:tcBorders>
            <w:shd w:val="clear" w:color="000000" w:fill="FFFFFF"/>
            <w:noWrap/>
            <w:vAlign w:val="center"/>
            <w:hideMark/>
          </w:tcPr>
          <w:p w14:paraId="2961A9EC"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502</w:t>
            </w:r>
          </w:p>
        </w:tc>
      </w:tr>
      <w:tr w:rsidR="00AF3CEA" w:rsidRPr="00AF3CEA" w14:paraId="5B400349" w14:textId="77777777" w:rsidTr="00BD4D1C">
        <w:trPr>
          <w:divId w:val="1212889486"/>
          <w:trHeight w:hRule="exact" w:val="60"/>
        </w:trPr>
        <w:tc>
          <w:tcPr>
            <w:tcW w:w="2758" w:type="pct"/>
            <w:tcBorders>
              <w:top w:val="nil"/>
              <w:left w:val="nil"/>
              <w:bottom w:val="nil"/>
              <w:right w:val="nil"/>
            </w:tcBorders>
            <w:shd w:val="clear" w:color="000000" w:fill="FFFFFF"/>
            <w:noWrap/>
            <w:vAlign w:val="center"/>
            <w:hideMark/>
          </w:tcPr>
          <w:p w14:paraId="50AE374F" w14:textId="77777777" w:rsidR="00AF3CEA" w:rsidRPr="00AF3CEA" w:rsidRDefault="00AF3CEA" w:rsidP="00AF3CEA">
            <w:pPr>
              <w:spacing w:before="0" w:after="0" w:line="240" w:lineRule="auto"/>
              <w:rPr>
                <w:rFonts w:ascii="Arial" w:hAnsi="Arial" w:cs="Arial"/>
                <w:b/>
                <w:bCs/>
                <w:color w:val="000000"/>
                <w:sz w:val="16"/>
                <w:szCs w:val="16"/>
              </w:rPr>
            </w:pPr>
            <w:r w:rsidRPr="00AF3CEA">
              <w:rPr>
                <w:rFonts w:ascii="Arial" w:hAnsi="Arial" w:cs="Arial"/>
                <w:b/>
                <w:bCs/>
                <w:color w:val="000000"/>
                <w:sz w:val="16"/>
                <w:szCs w:val="16"/>
              </w:rPr>
              <w:t> </w:t>
            </w:r>
          </w:p>
        </w:tc>
        <w:tc>
          <w:tcPr>
            <w:tcW w:w="747" w:type="pct"/>
            <w:tcBorders>
              <w:top w:val="single" w:sz="4" w:space="0" w:color="293F5B"/>
              <w:left w:val="nil"/>
              <w:bottom w:val="nil"/>
              <w:right w:val="nil"/>
            </w:tcBorders>
            <w:shd w:val="clear" w:color="000000" w:fill="FFFFFF"/>
            <w:noWrap/>
            <w:vAlign w:val="center"/>
            <w:hideMark/>
          </w:tcPr>
          <w:p w14:paraId="468CB0B5"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7" w:type="pct"/>
            <w:tcBorders>
              <w:top w:val="single" w:sz="4" w:space="0" w:color="293F5B"/>
              <w:left w:val="nil"/>
              <w:bottom w:val="nil"/>
              <w:right w:val="nil"/>
            </w:tcBorders>
            <w:shd w:val="clear" w:color="000000" w:fill="E6F2FF"/>
            <w:noWrap/>
            <w:vAlign w:val="center"/>
            <w:hideMark/>
          </w:tcPr>
          <w:p w14:paraId="1E63F5E2"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8" w:type="pct"/>
            <w:tcBorders>
              <w:top w:val="single" w:sz="4" w:space="0" w:color="293F5B"/>
              <w:left w:val="nil"/>
              <w:bottom w:val="nil"/>
              <w:right w:val="nil"/>
            </w:tcBorders>
            <w:shd w:val="clear" w:color="000000" w:fill="FFFFFF"/>
            <w:noWrap/>
            <w:vAlign w:val="center"/>
            <w:hideMark/>
          </w:tcPr>
          <w:p w14:paraId="7BDCA8AE" w14:textId="77777777" w:rsidR="00AF3CEA" w:rsidRPr="00AF3CEA" w:rsidRDefault="00AF3CEA" w:rsidP="00AF3CEA">
            <w:pPr>
              <w:spacing w:before="0" w:after="0" w:line="240" w:lineRule="auto"/>
              <w:rPr>
                <w:rFonts w:ascii="Arial" w:hAnsi="Arial" w:cs="Arial"/>
                <w:b/>
                <w:bCs/>
                <w:sz w:val="16"/>
                <w:szCs w:val="16"/>
              </w:rPr>
            </w:pPr>
            <w:r w:rsidRPr="00AF3CEA">
              <w:rPr>
                <w:rFonts w:ascii="Arial" w:hAnsi="Arial" w:cs="Arial"/>
                <w:b/>
                <w:bCs/>
                <w:sz w:val="16"/>
                <w:szCs w:val="16"/>
              </w:rPr>
              <w:t> </w:t>
            </w:r>
          </w:p>
        </w:tc>
      </w:tr>
      <w:tr w:rsidR="00AF3CEA" w:rsidRPr="00AF3CEA" w14:paraId="6DE3DDA1"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41CAECE6" w14:textId="77777777" w:rsidR="00AF3CEA" w:rsidRPr="00AF3CEA" w:rsidRDefault="00AF3CEA" w:rsidP="00AF3CEA">
            <w:pPr>
              <w:spacing w:before="0" w:after="0" w:line="240" w:lineRule="auto"/>
              <w:rPr>
                <w:rFonts w:ascii="Arial" w:hAnsi="Arial" w:cs="Arial"/>
                <w:b/>
                <w:bCs/>
                <w:color w:val="000000"/>
                <w:sz w:val="16"/>
                <w:szCs w:val="16"/>
              </w:rPr>
            </w:pPr>
            <w:r w:rsidRPr="00AF3CEA">
              <w:rPr>
                <w:rFonts w:ascii="Arial" w:hAnsi="Arial" w:cs="Arial"/>
                <w:b/>
                <w:bCs/>
                <w:color w:val="000000"/>
                <w:sz w:val="16"/>
                <w:szCs w:val="16"/>
              </w:rPr>
              <w:t>Total revenue</w:t>
            </w:r>
          </w:p>
        </w:tc>
        <w:tc>
          <w:tcPr>
            <w:tcW w:w="747" w:type="pct"/>
            <w:tcBorders>
              <w:top w:val="nil"/>
              <w:left w:val="nil"/>
              <w:bottom w:val="nil"/>
              <w:right w:val="nil"/>
            </w:tcBorders>
            <w:shd w:val="clear" w:color="000000" w:fill="FFFFFF"/>
            <w:noWrap/>
            <w:vAlign w:val="center"/>
            <w:hideMark/>
          </w:tcPr>
          <w:p w14:paraId="20EF042E"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653,767</w:t>
            </w:r>
          </w:p>
        </w:tc>
        <w:tc>
          <w:tcPr>
            <w:tcW w:w="747" w:type="pct"/>
            <w:tcBorders>
              <w:top w:val="nil"/>
              <w:left w:val="nil"/>
              <w:bottom w:val="nil"/>
              <w:right w:val="nil"/>
            </w:tcBorders>
            <w:shd w:val="clear" w:color="000000" w:fill="E6F2FF"/>
            <w:noWrap/>
            <w:vAlign w:val="center"/>
            <w:hideMark/>
          </w:tcPr>
          <w:p w14:paraId="0C801D46"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668,389</w:t>
            </w:r>
          </w:p>
        </w:tc>
        <w:tc>
          <w:tcPr>
            <w:tcW w:w="748" w:type="pct"/>
            <w:tcBorders>
              <w:top w:val="nil"/>
              <w:left w:val="nil"/>
              <w:bottom w:val="nil"/>
              <w:right w:val="nil"/>
            </w:tcBorders>
            <w:shd w:val="clear" w:color="000000" w:fill="FFFFFF"/>
            <w:noWrap/>
            <w:vAlign w:val="center"/>
            <w:hideMark/>
          </w:tcPr>
          <w:p w14:paraId="29EFC1A0" w14:textId="77777777" w:rsidR="00AF3CEA" w:rsidRPr="00AF3CEA" w:rsidRDefault="00AF3CEA" w:rsidP="00AF3CEA">
            <w:pPr>
              <w:spacing w:before="0" w:after="0" w:line="240" w:lineRule="auto"/>
              <w:jc w:val="right"/>
              <w:rPr>
                <w:rFonts w:ascii="Arial" w:hAnsi="Arial" w:cs="Arial"/>
                <w:b/>
                <w:bCs/>
                <w:sz w:val="16"/>
                <w:szCs w:val="16"/>
              </w:rPr>
            </w:pPr>
            <w:r w:rsidRPr="00AF3CEA">
              <w:rPr>
                <w:rFonts w:ascii="Arial" w:hAnsi="Arial" w:cs="Arial"/>
                <w:b/>
                <w:bCs/>
                <w:sz w:val="16"/>
                <w:szCs w:val="16"/>
              </w:rPr>
              <w:t>14,622</w:t>
            </w:r>
          </w:p>
        </w:tc>
      </w:tr>
      <w:tr w:rsidR="00AF3CEA" w:rsidRPr="00AF3CEA" w14:paraId="0629FFE4" w14:textId="77777777" w:rsidTr="00BD4D1C">
        <w:trPr>
          <w:divId w:val="1212889486"/>
          <w:trHeight w:hRule="exact" w:val="210"/>
        </w:trPr>
        <w:tc>
          <w:tcPr>
            <w:tcW w:w="2758" w:type="pct"/>
            <w:tcBorders>
              <w:top w:val="single" w:sz="4" w:space="0" w:color="293F5B"/>
              <w:left w:val="nil"/>
              <w:bottom w:val="nil"/>
              <w:right w:val="nil"/>
            </w:tcBorders>
            <w:shd w:val="clear" w:color="000000" w:fill="FFFFFF"/>
            <w:noWrap/>
            <w:vAlign w:val="center"/>
            <w:hideMark/>
          </w:tcPr>
          <w:p w14:paraId="59BA66C4" w14:textId="77777777" w:rsidR="00AF3CEA" w:rsidRPr="00AF3CEA" w:rsidRDefault="00AF3CEA" w:rsidP="00AF3CEA">
            <w:pPr>
              <w:spacing w:before="0" w:after="0" w:line="240" w:lineRule="auto"/>
              <w:rPr>
                <w:rFonts w:ascii="Arial" w:hAnsi="Arial" w:cs="Arial"/>
                <w:i/>
                <w:iCs/>
                <w:sz w:val="16"/>
                <w:szCs w:val="16"/>
              </w:rPr>
            </w:pPr>
            <w:r w:rsidRPr="00AF3CEA">
              <w:rPr>
                <w:rFonts w:ascii="Arial" w:hAnsi="Arial" w:cs="Arial"/>
                <w:i/>
                <w:iCs/>
                <w:sz w:val="16"/>
                <w:szCs w:val="16"/>
              </w:rPr>
              <w:t>Memorandum:</w:t>
            </w:r>
          </w:p>
        </w:tc>
        <w:tc>
          <w:tcPr>
            <w:tcW w:w="747" w:type="pct"/>
            <w:tcBorders>
              <w:top w:val="single" w:sz="4" w:space="0" w:color="293F5B"/>
              <w:left w:val="nil"/>
              <w:bottom w:val="nil"/>
              <w:right w:val="nil"/>
            </w:tcBorders>
            <w:shd w:val="clear" w:color="000000" w:fill="FFFFFF"/>
            <w:noWrap/>
            <w:vAlign w:val="center"/>
            <w:hideMark/>
          </w:tcPr>
          <w:p w14:paraId="5F056204"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c>
          <w:tcPr>
            <w:tcW w:w="747" w:type="pct"/>
            <w:tcBorders>
              <w:top w:val="single" w:sz="4" w:space="0" w:color="293F5B"/>
              <w:left w:val="nil"/>
              <w:bottom w:val="nil"/>
              <w:right w:val="nil"/>
            </w:tcBorders>
            <w:shd w:val="clear" w:color="000000" w:fill="E6F2FF"/>
            <w:noWrap/>
            <w:vAlign w:val="center"/>
            <w:hideMark/>
          </w:tcPr>
          <w:p w14:paraId="6C8E141C" w14:textId="77777777" w:rsidR="00AF3CEA" w:rsidRPr="00AF3CEA" w:rsidRDefault="00AF3CEA" w:rsidP="00AF3CEA">
            <w:pPr>
              <w:spacing w:before="0" w:after="0" w:line="240" w:lineRule="auto"/>
              <w:rPr>
                <w:rFonts w:ascii="Arial" w:hAnsi="Arial" w:cs="Arial"/>
                <w:b/>
                <w:bCs/>
                <w:sz w:val="16"/>
                <w:szCs w:val="16"/>
              </w:rPr>
            </w:pPr>
            <w:r w:rsidRPr="00AF3CEA">
              <w:rPr>
                <w:rFonts w:ascii="Arial" w:hAnsi="Arial" w:cs="Arial"/>
                <w:b/>
                <w:bCs/>
                <w:sz w:val="16"/>
                <w:szCs w:val="16"/>
              </w:rPr>
              <w:t> </w:t>
            </w:r>
          </w:p>
        </w:tc>
        <w:tc>
          <w:tcPr>
            <w:tcW w:w="748" w:type="pct"/>
            <w:tcBorders>
              <w:top w:val="single" w:sz="4" w:space="0" w:color="293F5B"/>
              <w:left w:val="nil"/>
              <w:bottom w:val="nil"/>
              <w:right w:val="nil"/>
            </w:tcBorders>
            <w:shd w:val="clear" w:color="000000" w:fill="FFFFFF"/>
            <w:noWrap/>
            <w:vAlign w:val="center"/>
            <w:hideMark/>
          </w:tcPr>
          <w:p w14:paraId="21A65C27" w14:textId="77777777" w:rsidR="00AF3CEA" w:rsidRPr="00AF3CEA" w:rsidRDefault="00AF3CEA" w:rsidP="00AF3CEA">
            <w:pPr>
              <w:spacing w:before="0" w:after="0" w:line="240" w:lineRule="auto"/>
              <w:rPr>
                <w:rFonts w:ascii="Arial" w:hAnsi="Arial" w:cs="Arial"/>
                <w:sz w:val="16"/>
                <w:szCs w:val="16"/>
              </w:rPr>
            </w:pPr>
            <w:r w:rsidRPr="00AF3CEA">
              <w:rPr>
                <w:rFonts w:ascii="Arial" w:hAnsi="Arial" w:cs="Arial"/>
                <w:sz w:val="16"/>
                <w:szCs w:val="16"/>
              </w:rPr>
              <w:t> </w:t>
            </w:r>
          </w:p>
        </w:tc>
      </w:tr>
      <w:tr w:rsidR="00AF3CEA" w:rsidRPr="00AF3CEA" w14:paraId="372A2478" w14:textId="77777777" w:rsidTr="00BD4D1C">
        <w:trPr>
          <w:divId w:val="1212889486"/>
          <w:trHeight w:hRule="exact" w:val="210"/>
        </w:trPr>
        <w:tc>
          <w:tcPr>
            <w:tcW w:w="2758" w:type="pct"/>
            <w:tcBorders>
              <w:top w:val="nil"/>
              <w:left w:val="nil"/>
              <w:bottom w:val="nil"/>
              <w:right w:val="nil"/>
            </w:tcBorders>
            <w:shd w:val="clear" w:color="000000" w:fill="FFFFFF"/>
            <w:noWrap/>
            <w:vAlign w:val="center"/>
            <w:hideMark/>
          </w:tcPr>
          <w:p w14:paraId="144A7864" w14:textId="77777777" w:rsidR="00AF3CEA" w:rsidRPr="00AF3CEA" w:rsidRDefault="00AF3CEA" w:rsidP="00AF3CEA">
            <w:pPr>
              <w:spacing w:before="0" w:after="0" w:line="240" w:lineRule="auto"/>
              <w:ind w:left="170"/>
              <w:rPr>
                <w:rFonts w:ascii="Arial" w:hAnsi="Arial" w:cs="Arial"/>
                <w:i/>
                <w:iCs/>
                <w:sz w:val="16"/>
                <w:szCs w:val="16"/>
              </w:rPr>
            </w:pPr>
            <w:r w:rsidRPr="00AF3CEA">
              <w:rPr>
                <w:rFonts w:ascii="Arial" w:hAnsi="Arial" w:cs="Arial"/>
                <w:i/>
                <w:iCs/>
                <w:sz w:val="16"/>
                <w:szCs w:val="16"/>
              </w:rPr>
              <w:t>Total excise</w:t>
            </w:r>
          </w:p>
        </w:tc>
        <w:tc>
          <w:tcPr>
            <w:tcW w:w="747" w:type="pct"/>
            <w:tcBorders>
              <w:top w:val="nil"/>
              <w:left w:val="nil"/>
              <w:bottom w:val="nil"/>
              <w:right w:val="nil"/>
            </w:tcBorders>
            <w:shd w:val="clear" w:color="000000" w:fill="FFFFFF"/>
            <w:noWrap/>
            <w:vAlign w:val="center"/>
            <w:hideMark/>
          </w:tcPr>
          <w:p w14:paraId="07F94E67" w14:textId="77777777" w:rsidR="00AF3CEA" w:rsidRPr="003930DF" w:rsidRDefault="00AF3CEA" w:rsidP="00AF3CEA">
            <w:pPr>
              <w:spacing w:before="0" w:after="0" w:line="240" w:lineRule="auto"/>
              <w:jc w:val="right"/>
              <w:rPr>
                <w:rFonts w:ascii="Arial" w:hAnsi="Arial" w:cs="Arial"/>
                <w:i/>
                <w:sz w:val="16"/>
                <w:szCs w:val="16"/>
              </w:rPr>
            </w:pPr>
            <w:r w:rsidRPr="003930DF">
              <w:rPr>
                <w:rFonts w:ascii="Arial" w:hAnsi="Arial" w:cs="Arial"/>
                <w:i/>
                <w:sz w:val="16"/>
                <w:szCs w:val="16"/>
              </w:rPr>
              <w:t>26,150</w:t>
            </w:r>
          </w:p>
        </w:tc>
        <w:tc>
          <w:tcPr>
            <w:tcW w:w="747" w:type="pct"/>
            <w:tcBorders>
              <w:top w:val="nil"/>
              <w:left w:val="nil"/>
              <w:bottom w:val="nil"/>
              <w:right w:val="nil"/>
            </w:tcBorders>
            <w:shd w:val="clear" w:color="000000" w:fill="E6F2FF"/>
            <w:noWrap/>
            <w:vAlign w:val="center"/>
            <w:hideMark/>
          </w:tcPr>
          <w:p w14:paraId="02417022" w14:textId="77777777" w:rsidR="00AF3CEA" w:rsidRPr="003930DF" w:rsidRDefault="00AF3CEA" w:rsidP="00AF3CEA">
            <w:pPr>
              <w:spacing w:before="0" w:after="0" w:line="240" w:lineRule="auto"/>
              <w:jc w:val="right"/>
              <w:rPr>
                <w:rFonts w:ascii="Arial" w:hAnsi="Arial" w:cs="Arial"/>
                <w:i/>
                <w:sz w:val="16"/>
                <w:szCs w:val="16"/>
              </w:rPr>
            </w:pPr>
            <w:r w:rsidRPr="003930DF">
              <w:rPr>
                <w:rFonts w:ascii="Arial" w:hAnsi="Arial" w:cs="Arial"/>
                <w:i/>
                <w:sz w:val="16"/>
                <w:szCs w:val="16"/>
              </w:rPr>
              <w:t>26,281</w:t>
            </w:r>
          </w:p>
        </w:tc>
        <w:tc>
          <w:tcPr>
            <w:tcW w:w="748" w:type="pct"/>
            <w:tcBorders>
              <w:top w:val="nil"/>
              <w:left w:val="nil"/>
              <w:bottom w:val="nil"/>
              <w:right w:val="nil"/>
            </w:tcBorders>
            <w:shd w:val="clear" w:color="000000" w:fill="FFFFFF"/>
            <w:noWrap/>
            <w:vAlign w:val="center"/>
            <w:hideMark/>
          </w:tcPr>
          <w:p w14:paraId="237769FF" w14:textId="77777777" w:rsidR="00AF3CEA" w:rsidRPr="003930DF" w:rsidRDefault="00AF3CEA" w:rsidP="00AF3CEA">
            <w:pPr>
              <w:spacing w:before="0" w:after="0" w:line="240" w:lineRule="auto"/>
              <w:jc w:val="right"/>
              <w:rPr>
                <w:rFonts w:ascii="Arial" w:hAnsi="Arial" w:cs="Arial"/>
                <w:i/>
                <w:sz w:val="16"/>
                <w:szCs w:val="16"/>
              </w:rPr>
            </w:pPr>
            <w:r w:rsidRPr="003930DF">
              <w:rPr>
                <w:rFonts w:ascii="Arial" w:hAnsi="Arial" w:cs="Arial"/>
                <w:i/>
                <w:sz w:val="16"/>
                <w:szCs w:val="16"/>
              </w:rPr>
              <w:t>131</w:t>
            </w:r>
          </w:p>
        </w:tc>
      </w:tr>
      <w:tr w:rsidR="00AF3CEA" w:rsidRPr="00AF3CEA" w14:paraId="01D6017A" w14:textId="77777777" w:rsidTr="00BD4D1C">
        <w:trPr>
          <w:divId w:val="1212889486"/>
          <w:trHeight w:hRule="exact" w:val="210"/>
        </w:trPr>
        <w:tc>
          <w:tcPr>
            <w:tcW w:w="2758" w:type="pct"/>
            <w:tcBorders>
              <w:top w:val="nil"/>
              <w:left w:val="nil"/>
              <w:bottom w:val="single" w:sz="4" w:space="0" w:color="293F5B"/>
              <w:right w:val="nil"/>
            </w:tcBorders>
            <w:shd w:val="clear" w:color="000000" w:fill="FFFFFF"/>
            <w:noWrap/>
            <w:vAlign w:val="center"/>
            <w:hideMark/>
          </w:tcPr>
          <w:p w14:paraId="66C5EF5A" w14:textId="77777777" w:rsidR="00AF3CEA" w:rsidRPr="00AF3CEA" w:rsidRDefault="00AF3CEA" w:rsidP="00AF3CEA">
            <w:pPr>
              <w:spacing w:before="0" w:after="0" w:line="240" w:lineRule="auto"/>
              <w:ind w:left="170"/>
              <w:rPr>
                <w:rFonts w:ascii="Arial" w:hAnsi="Arial" w:cs="Arial"/>
                <w:i/>
                <w:iCs/>
                <w:sz w:val="16"/>
                <w:szCs w:val="16"/>
              </w:rPr>
            </w:pPr>
            <w:r w:rsidRPr="00AF3CEA">
              <w:rPr>
                <w:rFonts w:ascii="Arial" w:hAnsi="Arial" w:cs="Arial"/>
                <w:i/>
                <w:iCs/>
                <w:sz w:val="16"/>
                <w:szCs w:val="16"/>
              </w:rPr>
              <w:t>Total customs duty</w:t>
            </w:r>
          </w:p>
        </w:tc>
        <w:tc>
          <w:tcPr>
            <w:tcW w:w="747" w:type="pct"/>
            <w:tcBorders>
              <w:top w:val="nil"/>
              <w:left w:val="nil"/>
              <w:bottom w:val="single" w:sz="4" w:space="0" w:color="293F5B"/>
              <w:right w:val="nil"/>
            </w:tcBorders>
            <w:shd w:val="clear" w:color="000000" w:fill="FFFFFF"/>
            <w:noWrap/>
            <w:vAlign w:val="center"/>
            <w:hideMark/>
          </w:tcPr>
          <w:p w14:paraId="527C2EC7" w14:textId="77777777" w:rsidR="00AF3CEA" w:rsidRPr="003930DF" w:rsidRDefault="00AF3CEA" w:rsidP="00AF3CEA">
            <w:pPr>
              <w:spacing w:before="0" w:after="0" w:line="240" w:lineRule="auto"/>
              <w:jc w:val="right"/>
              <w:rPr>
                <w:rFonts w:ascii="Arial" w:hAnsi="Arial" w:cs="Arial"/>
                <w:i/>
                <w:sz w:val="16"/>
                <w:szCs w:val="16"/>
              </w:rPr>
            </w:pPr>
            <w:r w:rsidRPr="003930DF">
              <w:rPr>
                <w:rFonts w:ascii="Arial" w:hAnsi="Arial" w:cs="Arial"/>
                <w:i/>
                <w:sz w:val="16"/>
                <w:szCs w:val="16"/>
              </w:rPr>
              <w:t>17,180</w:t>
            </w:r>
          </w:p>
        </w:tc>
        <w:tc>
          <w:tcPr>
            <w:tcW w:w="747" w:type="pct"/>
            <w:tcBorders>
              <w:top w:val="nil"/>
              <w:left w:val="nil"/>
              <w:bottom w:val="single" w:sz="4" w:space="0" w:color="293F5B"/>
              <w:right w:val="nil"/>
            </w:tcBorders>
            <w:shd w:val="clear" w:color="000000" w:fill="E6F2FF"/>
            <w:noWrap/>
            <w:vAlign w:val="center"/>
            <w:hideMark/>
          </w:tcPr>
          <w:p w14:paraId="011B7565" w14:textId="77777777" w:rsidR="00AF3CEA" w:rsidRPr="003930DF" w:rsidRDefault="00AF3CEA" w:rsidP="00AF3CEA">
            <w:pPr>
              <w:spacing w:before="0" w:after="0" w:line="240" w:lineRule="auto"/>
              <w:jc w:val="right"/>
              <w:rPr>
                <w:rFonts w:ascii="Arial" w:hAnsi="Arial" w:cs="Arial"/>
                <w:i/>
                <w:sz w:val="16"/>
                <w:szCs w:val="16"/>
              </w:rPr>
            </w:pPr>
            <w:r w:rsidRPr="003930DF">
              <w:rPr>
                <w:rFonts w:ascii="Arial" w:hAnsi="Arial" w:cs="Arial"/>
                <w:i/>
                <w:sz w:val="16"/>
                <w:szCs w:val="16"/>
              </w:rPr>
              <w:t>17,079</w:t>
            </w:r>
          </w:p>
        </w:tc>
        <w:tc>
          <w:tcPr>
            <w:tcW w:w="748" w:type="pct"/>
            <w:tcBorders>
              <w:top w:val="nil"/>
              <w:left w:val="nil"/>
              <w:bottom w:val="single" w:sz="4" w:space="0" w:color="293F5B"/>
              <w:right w:val="nil"/>
            </w:tcBorders>
            <w:shd w:val="clear" w:color="000000" w:fill="FFFFFF"/>
            <w:noWrap/>
            <w:vAlign w:val="center"/>
            <w:hideMark/>
          </w:tcPr>
          <w:p w14:paraId="157342CA" w14:textId="123F192A" w:rsidR="00AF3CEA" w:rsidRPr="003930DF" w:rsidRDefault="006B57C6" w:rsidP="00AF3CEA">
            <w:pPr>
              <w:spacing w:before="0" w:after="0" w:line="240" w:lineRule="auto"/>
              <w:jc w:val="right"/>
              <w:rPr>
                <w:rFonts w:ascii="Arial" w:hAnsi="Arial" w:cs="Arial"/>
                <w:i/>
                <w:sz w:val="16"/>
                <w:szCs w:val="16"/>
              </w:rPr>
            </w:pPr>
            <w:r w:rsidRPr="003930DF">
              <w:rPr>
                <w:rFonts w:ascii="Arial" w:hAnsi="Arial" w:cs="Arial"/>
                <w:i/>
                <w:sz w:val="16"/>
                <w:szCs w:val="16"/>
              </w:rPr>
              <w:noBreakHyphen/>
            </w:r>
            <w:r w:rsidR="00AF3CEA" w:rsidRPr="003930DF">
              <w:rPr>
                <w:rFonts w:ascii="Arial" w:hAnsi="Arial" w:cs="Arial"/>
                <w:i/>
                <w:sz w:val="16"/>
                <w:szCs w:val="16"/>
              </w:rPr>
              <w:t>102</w:t>
            </w:r>
          </w:p>
        </w:tc>
      </w:tr>
    </w:tbl>
    <w:p w14:paraId="3B06888B" w14:textId="25D09E51" w:rsidR="00EA5D46" w:rsidRDefault="006B57C6" w:rsidP="00590D77">
      <w:pPr>
        <w:pStyle w:val="ChartandTableFootnoteAlpha"/>
        <w:numPr>
          <w:ilvl w:val="0"/>
          <w:numId w:val="11"/>
        </w:numPr>
      </w:pPr>
      <w:r>
        <w:t>‘</w:t>
      </w:r>
      <w:r w:rsidR="00EA5D46">
        <w:t>Other alcoholic beverages</w:t>
      </w:r>
      <w:r>
        <w:t>’</w:t>
      </w:r>
      <w:r w:rsidR="00EA5D46">
        <w:t xml:space="preserve"> are those not exceeding 10</w:t>
      </w:r>
      <w:r w:rsidR="002E328D">
        <w:t> per </w:t>
      </w:r>
      <w:r w:rsidR="00EA5D46">
        <w:t xml:space="preserve">cent by </w:t>
      </w:r>
      <w:r w:rsidR="00EA5D46" w:rsidRPr="00590D77">
        <w:t>volume</w:t>
      </w:r>
      <w:r w:rsidR="00EA5D46">
        <w:t xml:space="preserve"> of alcohol (excluding beer, </w:t>
      </w:r>
      <w:proofErr w:type="gramStart"/>
      <w:r w:rsidR="00EA5D46">
        <w:t>brandy</w:t>
      </w:r>
      <w:proofErr w:type="gramEnd"/>
      <w:r w:rsidR="00EA5D46">
        <w:t xml:space="preserve"> and wine).</w:t>
      </w:r>
    </w:p>
    <w:p w14:paraId="04B104E1" w14:textId="5BF1811E" w:rsidR="00EA5D46" w:rsidRDefault="00EA5D46" w:rsidP="00176907">
      <w:pPr>
        <w:pStyle w:val="ChartandTableFootnoteAlpha"/>
        <w:spacing w:before="0"/>
      </w:pPr>
      <w:r>
        <w:t>Prior to the 2022</w:t>
      </w:r>
      <w:r w:rsidR="00590D77">
        <w:t>–</w:t>
      </w:r>
      <w:r>
        <w:t xml:space="preserve">23 October Budget, </w:t>
      </w:r>
      <w:r w:rsidR="006B57C6">
        <w:t>‘</w:t>
      </w:r>
      <w:r>
        <w:t>visa application charges</w:t>
      </w:r>
      <w:r w:rsidR="006B57C6">
        <w:t>’</w:t>
      </w:r>
      <w:r>
        <w:t xml:space="preserve"> were previously included in </w:t>
      </w:r>
      <w:r w:rsidR="006B57C6">
        <w:t>‘</w:t>
      </w:r>
      <w:r w:rsidRPr="00590D77">
        <w:t>other</w:t>
      </w:r>
      <w:r>
        <w:t xml:space="preserve"> taxes</w:t>
      </w:r>
      <w:r w:rsidR="006B57C6">
        <w:t>’</w:t>
      </w:r>
      <w:r>
        <w:t xml:space="preserve">. </w:t>
      </w:r>
    </w:p>
    <w:p w14:paraId="01DF8F29" w14:textId="447FAD20" w:rsidR="002959E6" w:rsidRPr="004A76CA" w:rsidRDefault="002959E6" w:rsidP="002959E6">
      <w:pPr>
        <w:pStyle w:val="Heading3"/>
      </w:pPr>
      <w:r w:rsidRPr="004A76CA">
        <w:lastRenderedPageBreak/>
        <w:t>Expenses and net capital investment</w:t>
      </w:r>
      <w:r w:rsidR="00BC7C37" w:rsidRPr="00BC7C37">
        <w:rPr>
          <w:noProof/>
        </w:rPr>
        <w:t xml:space="preserve"> </w:t>
      </w:r>
    </w:p>
    <w:p w14:paraId="3DFFED2D" w14:textId="79B888DC" w:rsidR="004A76CA" w:rsidRPr="00390B7D" w:rsidRDefault="004A76CA" w:rsidP="00AC71D1">
      <w:r w:rsidRPr="00390B7D">
        <w:t>Total expenses were $</w:t>
      </w:r>
      <w:r w:rsidR="001D75E1" w:rsidRPr="00390B7D">
        <w:t>637.</w:t>
      </w:r>
      <w:r w:rsidR="00737385" w:rsidRPr="00390B7D">
        <w:t>0</w:t>
      </w:r>
      <w:r w:rsidR="002E328D" w:rsidRPr="00390B7D">
        <w:t> billion</w:t>
      </w:r>
      <w:r w:rsidRPr="00390B7D">
        <w:t xml:space="preserve"> in 2022</w:t>
      </w:r>
      <w:r w:rsidR="0083530B" w:rsidRPr="00390B7D">
        <w:t>–</w:t>
      </w:r>
      <w:r w:rsidRPr="00390B7D">
        <w:t>23, $</w:t>
      </w:r>
      <w:r w:rsidR="00D97FC9" w:rsidRPr="00390B7D">
        <w:t>7.8</w:t>
      </w:r>
      <w:r w:rsidR="002E328D" w:rsidRPr="00390B7D">
        <w:t> billion</w:t>
      </w:r>
      <w:r w:rsidRPr="00390B7D">
        <w:t xml:space="preserve"> lower than estimated in the 2023</w:t>
      </w:r>
      <w:r w:rsidR="00AF7927" w:rsidRPr="00390B7D">
        <w:t>‍</w:t>
      </w:r>
      <w:r w:rsidR="0083530B" w:rsidRPr="00390B7D">
        <w:t>–</w:t>
      </w:r>
      <w:r w:rsidR="00AF7927" w:rsidRPr="00390B7D">
        <w:t>‍</w:t>
      </w:r>
      <w:r w:rsidRPr="00390B7D">
        <w:t>24 Budget. Total net capital investment for 2022</w:t>
      </w:r>
      <w:r w:rsidR="0083530B" w:rsidRPr="00390B7D">
        <w:t>–</w:t>
      </w:r>
      <w:r w:rsidRPr="00390B7D">
        <w:t>23 was $9.</w:t>
      </w:r>
      <w:r w:rsidR="00C842A1" w:rsidRPr="00390B7D">
        <w:t>4</w:t>
      </w:r>
      <w:r w:rsidR="002E328D" w:rsidRPr="00390B7D">
        <w:t> billion</w:t>
      </w:r>
      <w:r w:rsidRPr="00390B7D">
        <w:t>, $</w:t>
      </w:r>
      <w:r w:rsidR="004E559E" w:rsidRPr="00390B7D">
        <w:t>1.0</w:t>
      </w:r>
      <w:r w:rsidR="002E328D" w:rsidRPr="00390B7D">
        <w:t> billion</w:t>
      </w:r>
      <w:r w:rsidRPr="00390B7D">
        <w:t xml:space="preserve"> lower than estimated in the Budget. This results in a </w:t>
      </w:r>
      <w:r w:rsidRPr="00390B7D" w:rsidDel="00714E08">
        <w:t xml:space="preserve">net outcome for expenses </w:t>
      </w:r>
      <w:r w:rsidRPr="00390B7D">
        <w:t>and net capital investment of $64</w:t>
      </w:r>
      <w:r w:rsidR="00621F48" w:rsidRPr="00390B7D">
        <w:t>6.4</w:t>
      </w:r>
      <w:r w:rsidR="002E328D" w:rsidRPr="00390B7D">
        <w:t> billion</w:t>
      </w:r>
      <w:r w:rsidRPr="00390B7D">
        <w:t>, which is $</w:t>
      </w:r>
      <w:r w:rsidR="00095AE0" w:rsidRPr="00390B7D">
        <w:t>8.8</w:t>
      </w:r>
      <w:r w:rsidR="002E328D" w:rsidRPr="00390B7D">
        <w:t> billion</w:t>
      </w:r>
      <w:r w:rsidRPr="00390B7D">
        <w:t xml:space="preserve"> lower than the $655.2</w:t>
      </w:r>
      <w:r w:rsidR="002E328D" w:rsidRPr="00390B7D">
        <w:t> billion</w:t>
      </w:r>
      <w:r w:rsidRPr="00390B7D">
        <w:t xml:space="preserve"> estimated at Budget</w:t>
      </w:r>
      <w:r w:rsidR="00FD45B5" w:rsidRPr="00390B7D">
        <w:t xml:space="preserve">. </w:t>
      </w:r>
    </w:p>
    <w:p w14:paraId="5C7CA798" w14:textId="3A728B1E" w:rsidR="00CC4152" w:rsidRPr="00390B7D" w:rsidRDefault="00C67086" w:rsidP="00AC71D1">
      <w:r w:rsidRPr="00390B7D">
        <w:t xml:space="preserve">In comparison, </w:t>
      </w:r>
      <w:r w:rsidR="00461CC7" w:rsidRPr="00390B7D">
        <w:t>cash payments were $627.4 billion in 2022-23</w:t>
      </w:r>
      <w:r w:rsidR="007D1CCA" w:rsidRPr="00390B7D">
        <w:t xml:space="preserve">, </w:t>
      </w:r>
      <w:r w:rsidR="0042229A" w:rsidRPr="00390B7D">
        <w:t xml:space="preserve">$4.0 billion </w:t>
      </w:r>
      <w:r w:rsidR="00AA2A2A" w:rsidRPr="00390B7D">
        <w:t>lower</w:t>
      </w:r>
      <w:r w:rsidR="00D01917" w:rsidRPr="00390B7D">
        <w:t xml:space="preserve"> </w:t>
      </w:r>
      <w:r w:rsidR="00AA2A2A" w:rsidRPr="00390B7D">
        <w:t>than</w:t>
      </w:r>
      <w:r w:rsidR="00D01917" w:rsidRPr="00390B7D">
        <w:t xml:space="preserve"> </w:t>
      </w:r>
      <w:r w:rsidR="00AA2A2A" w:rsidRPr="00390B7D">
        <w:t>estimated in the Budget.</w:t>
      </w:r>
    </w:p>
    <w:p w14:paraId="6930D26B" w14:textId="2394936A" w:rsidR="00ED5C38" w:rsidRPr="00390B7D" w:rsidRDefault="002A285D" w:rsidP="00AC71D1">
      <w:r w:rsidRPr="00390B7D">
        <w:t>The difference of $19.0 billion</w:t>
      </w:r>
      <w:r w:rsidR="00311540" w:rsidRPr="00390B7D">
        <w:t xml:space="preserve"> between </w:t>
      </w:r>
      <w:r w:rsidR="00E304DC" w:rsidRPr="00390B7D">
        <w:t>the net outcome for expenses</w:t>
      </w:r>
      <w:r w:rsidR="00557D68" w:rsidRPr="00390B7D">
        <w:t xml:space="preserve"> and net capital investment</w:t>
      </w:r>
      <w:r w:rsidR="00593998" w:rsidRPr="00390B7D">
        <w:t>, and the outcome for cash payments,</w:t>
      </w:r>
      <w:r w:rsidR="0008365A" w:rsidRPr="00390B7D">
        <w:t xml:space="preserve"> generally reflects timing </w:t>
      </w:r>
      <w:r w:rsidR="00F563A1" w:rsidRPr="00390B7D">
        <w:t>differences between the recognition of incurred expenses</w:t>
      </w:r>
      <w:r w:rsidR="00965042" w:rsidRPr="00390B7D">
        <w:t xml:space="preserve"> and the finalisation of corresponding payments.</w:t>
      </w:r>
    </w:p>
    <w:p w14:paraId="5BD5B0CF" w14:textId="4284BAC3" w:rsidR="004E1D0C" w:rsidRDefault="004A76CA" w:rsidP="00AC71D1">
      <w:r w:rsidRPr="00390B7D">
        <w:t>Further information on expenses by function and sub</w:t>
      </w:r>
      <w:r w:rsidR="006B57C6" w:rsidRPr="00390B7D">
        <w:noBreakHyphen/>
      </w:r>
      <w:r w:rsidRPr="00390B7D">
        <w:t>function is provided in Appendix A.</w:t>
      </w:r>
      <w:r w:rsidR="004E1D0C">
        <w:t xml:space="preserve"> </w:t>
      </w:r>
    </w:p>
    <w:p w14:paraId="54AF858C" w14:textId="51704A0D" w:rsidR="002959E6" w:rsidRPr="006354EB" w:rsidRDefault="002959E6" w:rsidP="002959E6">
      <w:r w:rsidRPr="006354EB">
        <w:br w:type="page"/>
      </w:r>
    </w:p>
    <w:p w14:paraId="77B1C023" w14:textId="08AB11A5" w:rsidR="00E7234F" w:rsidRDefault="002959E6" w:rsidP="00E7234F">
      <w:pPr>
        <w:pStyle w:val="TableHeading"/>
        <w:rPr>
          <w:rFonts w:asciiTheme="minorHAnsi" w:eastAsiaTheme="minorHAnsi" w:hAnsiTheme="minorHAnsi" w:cstheme="minorBidi"/>
          <w:sz w:val="22"/>
          <w:szCs w:val="22"/>
          <w:lang w:eastAsia="en-US"/>
        </w:rPr>
      </w:pPr>
      <w:r w:rsidRPr="006354EB">
        <w:lastRenderedPageBreak/>
        <w:t>Table 1.5: Australian Government general government sector expenses by</w:t>
      </w:r>
      <w:r w:rsidR="00D84D96">
        <w:t> </w:t>
      </w:r>
      <w:r w:rsidRPr="006354EB">
        <w:t>function</w:t>
      </w:r>
      <w:bookmarkStart w:id="10" w:name="_1724158670"/>
      <w:bookmarkStart w:id="11" w:name="_1724182435"/>
      <w:bookmarkStart w:id="12" w:name="_1724850830"/>
      <w:bookmarkStart w:id="13" w:name="_1724859269"/>
      <w:bookmarkStart w:id="14" w:name="_1725103315"/>
      <w:bookmarkStart w:id="15" w:name="_1724833667"/>
      <w:bookmarkStart w:id="16" w:name="_1756535749"/>
      <w:bookmarkEnd w:id="10"/>
      <w:bookmarkEnd w:id="11"/>
      <w:bookmarkEnd w:id="12"/>
      <w:bookmarkEnd w:id="13"/>
      <w:bookmarkEnd w:id="14"/>
      <w:bookmarkEnd w:id="15"/>
      <w:bookmarkEnd w:id="16"/>
    </w:p>
    <w:tbl>
      <w:tblPr>
        <w:tblW w:w="5000" w:type="pct"/>
        <w:tblCellMar>
          <w:left w:w="0" w:type="dxa"/>
          <w:right w:w="28" w:type="dxa"/>
        </w:tblCellMar>
        <w:tblLook w:val="04A0" w:firstRow="1" w:lastRow="0" w:firstColumn="1" w:lastColumn="0" w:noHBand="0" w:noVBand="1"/>
      </w:tblPr>
      <w:tblGrid>
        <w:gridCol w:w="4253"/>
        <w:gridCol w:w="1152"/>
        <w:gridCol w:w="1152"/>
        <w:gridCol w:w="1153"/>
      </w:tblGrid>
      <w:tr w:rsidR="00E7234F" w:rsidRPr="00E7234F" w14:paraId="030DC419" w14:textId="77777777" w:rsidTr="00BD4D1C">
        <w:trPr>
          <w:divId w:val="2113474752"/>
          <w:trHeight w:hRule="exact" w:val="225"/>
        </w:trPr>
        <w:tc>
          <w:tcPr>
            <w:tcW w:w="2758" w:type="pct"/>
            <w:tcBorders>
              <w:top w:val="single" w:sz="4" w:space="0" w:color="293F5B"/>
              <w:left w:val="nil"/>
              <w:bottom w:val="nil"/>
              <w:right w:val="nil"/>
            </w:tcBorders>
            <w:shd w:val="clear" w:color="000000" w:fill="FFFFFF"/>
            <w:noWrap/>
            <w:vAlign w:val="center"/>
            <w:hideMark/>
          </w:tcPr>
          <w:p w14:paraId="20DB87DF" w14:textId="2A2F67E7" w:rsidR="00E7234F" w:rsidRPr="00E7234F" w:rsidRDefault="00E7234F" w:rsidP="00E7234F">
            <w:pPr>
              <w:spacing w:before="0" w:after="0" w:line="240" w:lineRule="auto"/>
              <w:rPr>
                <w:rFonts w:ascii="Arial" w:hAnsi="Arial" w:cs="Arial"/>
                <w:color w:val="000000"/>
                <w:sz w:val="16"/>
                <w:szCs w:val="16"/>
              </w:rPr>
            </w:pPr>
            <w:r w:rsidRPr="00E7234F">
              <w:rPr>
                <w:rFonts w:ascii="Arial" w:hAnsi="Arial" w:cs="Arial"/>
                <w:color w:val="000000"/>
                <w:sz w:val="16"/>
                <w:szCs w:val="16"/>
              </w:rPr>
              <w:t> </w:t>
            </w:r>
          </w:p>
        </w:tc>
        <w:tc>
          <w:tcPr>
            <w:tcW w:w="747" w:type="pct"/>
            <w:tcBorders>
              <w:top w:val="single" w:sz="4" w:space="0" w:color="293F5B"/>
              <w:left w:val="nil"/>
              <w:bottom w:val="nil"/>
              <w:right w:val="nil"/>
            </w:tcBorders>
            <w:shd w:val="clear" w:color="000000" w:fill="FFFFFF"/>
            <w:noWrap/>
            <w:vAlign w:val="center"/>
            <w:hideMark/>
          </w:tcPr>
          <w:p w14:paraId="20F835B4" w14:textId="36CFDB55"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2022</w:t>
            </w:r>
            <w:r w:rsidR="006B57C6">
              <w:rPr>
                <w:rFonts w:ascii="Arial" w:hAnsi="Arial" w:cs="Arial"/>
                <w:sz w:val="16"/>
                <w:szCs w:val="16"/>
              </w:rPr>
              <w:noBreakHyphen/>
            </w:r>
            <w:r w:rsidRPr="00E7234F">
              <w:rPr>
                <w:rFonts w:ascii="Arial" w:hAnsi="Arial" w:cs="Arial"/>
                <w:sz w:val="16"/>
                <w:szCs w:val="16"/>
              </w:rPr>
              <w:t>23</w:t>
            </w:r>
          </w:p>
        </w:tc>
        <w:tc>
          <w:tcPr>
            <w:tcW w:w="747" w:type="pct"/>
            <w:tcBorders>
              <w:top w:val="single" w:sz="4" w:space="0" w:color="293F5B"/>
              <w:left w:val="nil"/>
              <w:bottom w:val="nil"/>
              <w:right w:val="nil"/>
            </w:tcBorders>
            <w:shd w:val="clear" w:color="auto" w:fill="E6F2FF"/>
            <w:noWrap/>
            <w:vAlign w:val="center"/>
            <w:hideMark/>
          </w:tcPr>
          <w:p w14:paraId="6D30FD00" w14:textId="20B6EB3F"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2022</w:t>
            </w:r>
            <w:r w:rsidR="006B57C6">
              <w:rPr>
                <w:rFonts w:ascii="Arial" w:hAnsi="Arial" w:cs="Arial"/>
                <w:sz w:val="16"/>
                <w:szCs w:val="16"/>
              </w:rPr>
              <w:noBreakHyphen/>
            </w:r>
            <w:r w:rsidRPr="00E7234F">
              <w:rPr>
                <w:rFonts w:ascii="Arial" w:hAnsi="Arial" w:cs="Arial"/>
                <w:sz w:val="16"/>
                <w:szCs w:val="16"/>
              </w:rPr>
              <w:t>23</w:t>
            </w:r>
          </w:p>
        </w:tc>
        <w:tc>
          <w:tcPr>
            <w:tcW w:w="748" w:type="pct"/>
            <w:tcBorders>
              <w:top w:val="single" w:sz="4" w:space="0" w:color="293F5B"/>
              <w:left w:val="nil"/>
              <w:bottom w:val="nil"/>
              <w:right w:val="nil"/>
            </w:tcBorders>
            <w:shd w:val="clear" w:color="000000" w:fill="FFFFFF"/>
            <w:noWrap/>
            <w:vAlign w:val="bottom"/>
            <w:hideMark/>
          </w:tcPr>
          <w:p w14:paraId="0B66D533" w14:textId="77777777"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Change on</w:t>
            </w:r>
          </w:p>
        </w:tc>
      </w:tr>
      <w:tr w:rsidR="00E7234F" w:rsidRPr="00E7234F" w14:paraId="5E2AA184"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422899E5" w14:textId="77777777" w:rsidR="00E7234F" w:rsidRPr="00E7234F" w:rsidRDefault="00E7234F" w:rsidP="00E7234F">
            <w:pPr>
              <w:spacing w:before="0" w:after="0" w:line="240" w:lineRule="auto"/>
              <w:rPr>
                <w:rFonts w:ascii="Arial" w:hAnsi="Arial" w:cs="Arial"/>
                <w:color w:val="000000"/>
                <w:sz w:val="16"/>
                <w:szCs w:val="16"/>
              </w:rPr>
            </w:pPr>
            <w:r w:rsidRPr="00E7234F">
              <w:rPr>
                <w:rFonts w:ascii="Arial" w:hAnsi="Arial" w:cs="Arial"/>
                <w:color w:val="000000"/>
                <w:sz w:val="16"/>
                <w:szCs w:val="16"/>
              </w:rPr>
              <w:t> </w:t>
            </w:r>
          </w:p>
        </w:tc>
        <w:tc>
          <w:tcPr>
            <w:tcW w:w="747" w:type="pct"/>
            <w:tcBorders>
              <w:top w:val="nil"/>
              <w:left w:val="nil"/>
              <w:bottom w:val="nil"/>
              <w:right w:val="nil"/>
            </w:tcBorders>
            <w:shd w:val="clear" w:color="000000" w:fill="FFFFFF"/>
            <w:noWrap/>
            <w:vAlign w:val="center"/>
            <w:hideMark/>
          </w:tcPr>
          <w:p w14:paraId="2AA4C37B" w14:textId="77777777"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Estimate at</w:t>
            </w:r>
          </w:p>
        </w:tc>
        <w:tc>
          <w:tcPr>
            <w:tcW w:w="747" w:type="pct"/>
            <w:tcBorders>
              <w:top w:val="nil"/>
              <w:left w:val="nil"/>
              <w:bottom w:val="nil"/>
              <w:right w:val="nil"/>
            </w:tcBorders>
            <w:shd w:val="clear" w:color="auto" w:fill="E6F2FF"/>
            <w:noWrap/>
            <w:vAlign w:val="center"/>
            <w:hideMark/>
          </w:tcPr>
          <w:p w14:paraId="0DEC15A3" w14:textId="77777777"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Outcome</w:t>
            </w:r>
          </w:p>
        </w:tc>
        <w:tc>
          <w:tcPr>
            <w:tcW w:w="748" w:type="pct"/>
            <w:tcBorders>
              <w:top w:val="nil"/>
              <w:left w:val="nil"/>
              <w:bottom w:val="nil"/>
              <w:right w:val="nil"/>
            </w:tcBorders>
            <w:shd w:val="clear" w:color="000000" w:fill="FFFFFF"/>
            <w:noWrap/>
            <w:vAlign w:val="center"/>
            <w:hideMark/>
          </w:tcPr>
          <w:p w14:paraId="3506BA6C" w14:textId="4BCF1621"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2023</w:t>
            </w:r>
            <w:r w:rsidR="006B57C6">
              <w:rPr>
                <w:rFonts w:ascii="Arial" w:hAnsi="Arial" w:cs="Arial"/>
                <w:sz w:val="16"/>
                <w:szCs w:val="16"/>
              </w:rPr>
              <w:noBreakHyphen/>
            </w:r>
            <w:r w:rsidRPr="00E7234F">
              <w:rPr>
                <w:rFonts w:ascii="Arial" w:hAnsi="Arial" w:cs="Arial"/>
                <w:sz w:val="16"/>
                <w:szCs w:val="16"/>
              </w:rPr>
              <w:t>24</w:t>
            </w:r>
          </w:p>
        </w:tc>
      </w:tr>
      <w:tr w:rsidR="00E7234F" w:rsidRPr="00E7234F" w14:paraId="60F3F38C"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24832E74" w14:textId="77777777" w:rsidR="00E7234F" w:rsidRPr="00E7234F" w:rsidRDefault="00E7234F" w:rsidP="00E7234F">
            <w:pPr>
              <w:spacing w:before="0" w:after="0" w:line="240" w:lineRule="auto"/>
              <w:rPr>
                <w:rFonts w:ascii="Arial" w:hAnsi="Arial" w:cs="Arial"/>
                <w:color w:val="000000"/>
                <w:sz w:val="16"/>
                <w:szCs w:val="16"/>
              </w:rPr>
            </w:pPr>
            <w:r w:rsidRPr="00E7234F">
              <w:rPr>
                <w:rFonts w:ascii="Arial" w:hAnsi="Arial" w:cs="Arial"/>
                <w:color w:val="000000"/>
                <w:sz w:val="16"/>
                <w:szCs w:val="16"/>
              </w:rPr>
              <w:t> </w:t>
            </w:r>
          </w:p>
        </w:tc>
        <w:tc>
          <w:tcPr>
            <w:tcW w:w="747" w:type="pct"/>
            <w:tcBorders>
              <w:top w:val="nil"/>
              <w:left w:val="nil"/>
              <w:bottom w:val="nil"/>
              <w:right w:val="nil"/>
            </w:tcBorders>
            <w:shd w:val="clear" w:color="000000" w:fill="FFFFFF"/>
            <w:noWrap/>
            <w:vAlign w:val="center"/>
            <w:hideMark/>
          </w:tcPr>
          <w:p w14:paraId="5799E863" w14:textId="67EC1810"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2023</w:t>
            </w:r>
            <w:r w:rsidR="006B57C6">
              <w:rPr>
                <w:rFonts w:ascii="Arial" w:hAnsi="Arial" w:cs="Arial"/>
                <w:sz w:val="16"/>
                <w:szCs w:val="16"/>
              </w:rPr>
              <w:noBreakHyphen/>
            </w:r>
            <w:r w:rsidRPr="00E7234F">
              <w:rPr>
                <w:rFonts w:ascii="Arial" w:hAnsi="Arial" w:cs="Arial"/>
                <w:sz w:val="16"/>
                <w:szCs w:val="16"/>
              </w:rPr>
              <w:t>24</w:t>
            </w:r>
          </w:p>
        </w:tc>
        <w:tc>
          <w:tcPr>
            <w:tcW w:w="747" w:type="pct"/>
            <w:tcBorders>
              <w:top w:val="nil"/>
              <w:left w:val="nil"/>
              <w:bottom w:val="nil"/>
              <w:right w:val="nil"/>
            </w:tcBorders>
            <w:shd w:val="clear" w:color="auto" w:fill="E6F2FF"/>
            <w:noWrap/>
            <w:vAlign w:val="center"/>
            <w:hideMark/>
          </w:tcPr>
          <w:p w14:paraId="46750C69" w14:textId="77777777"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 </w:t>
            </w:r>
          </w:p>
        </w:tc>
        <w:tc>
          <w:tcPr>
            <w:tcW w:w="748" w:type="pct"/>
            <w:tcBorders>
              <w:top w:val="nil"/>
              <w:left w:val="nil"/>
              <w:bottom w:val="nil"/>
              <w:right w:val="nil"/>
            </w:tcBorders>
            <w:shd w:val="clear" w:color="000000" w:fill="FFFFFF"/>
            <w:noWrap/>
            <w:vAlign w:val="bottom"/>
            <w:hideMark/>
          </w:tcPr>
          <w:p w14:paraId="1369E7F2" w14:textId="77777777"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 xml:space="preserve"> Budget</w:t>
            </w:r>
          </w:p>
        </w:tc>
      </w:tr>
      <w:tr w:rsidR="00E7234F" w:rsidRPr="00E7234F" w14:paraId="40D7D528"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09D32A63" w14:textId="77777777" w:rsidR="00E7234F" w:rsidRPr="00E7234F" w:rsidRDefault="00E7234F" w:rsidP="00E7234F">
            <w:pPr>
              <w:spacing w:before="0" w:after="0" w:line="240" w:lineRule="auto"/>
              <w:rPr>
                <w:rFonts w:ascii="Arial" w:hAnsi="Arial" w:cs="Arial"/>
                <w:color w:val="000000"/>
                <w:sz w:val="16"/>
                <w:szCs w:val="16"/>
              </w:rPr>
            </w:pPr>
            <w:r w:rsidRPr="00E7234F">
              <w:rPr>
                <w:rFonts w:ascii="Arial" w:hAnsi="Arial" w:cs="Arial"/>
                <w:color w:val="000000"/>
                <w:sz w:val="16"/>
                <w:szCs w:val="16"/>
              </w:rPr>
              <w:t> </w:t>
            </w:r>
          </w:p>
        </w:tc>
        <w:tc>
          <w:tcPr>
            <w:tcW w:w="747" w:type="pct"/>
            <w:tcBorders>
              <w:top w:val="nil"/>
              <w:left w:val="nil"/>
              <w:bottom w:val="nil"/>
              <w:right w:val="nil"/>
            </w:tcBorders>
            <w:shd w:val="clear" w:color="000000" w:fill="FFFFFF"/>
            <w:noWrap/>
            <w:vAlign w:val="center"/>
            <w:hideMark/>
          </w:tcPr>
          <w:p w14:paraId="050DDA5B" w14:textId="77777777"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 xml:space="preserve"> Budget</w:t>
            </w:r>
          </w:p>
        </w:tc>
        <w:tc>
          <w:tcPr>
            <w:tcW w:w="747" w:type="pct"/>
            <w:tcBorders>
              <w:top w:val="nil"/>
              <w:left w:val="nil"/>
              <w:bottom w:val="nil"/>
              <w:right w:val="nil"/>
            </w:tcBorders>
            <w:shd w:val="clear" w:color="auto" w:fill="E6F2FF"/>
            <w:noWrap/>
            <w:vAlign w:val="center"/>
            <w:hideMark/>
          </w:tcPr>
          <w:p w14:paraId="7F7E85FC" w14:textId="77777777"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 </w:t>
            </w:r>
          </w:p>
        </w:tc>
        <w:tc>
          <w:tcPr>
            <w:tcW w:w="748" w:type="pct"/>
            <w:tcBorders>
              <w:top w:val="nil"/>
              <w:left w:val="nil"/>
              <w:bottom w:val="nil"/>
              <w:right w:val="nil"/>
            </w:tcBorders>
            <w:shd w:val="clear" w:color="000000" w:fill="FFFFFF"/>
            <w:noWrap/>
            <w:vAlign w:val="bottom"/>
            <w:hideMark/>
          </w:tcPr>
          <w:p w14:paraId="33E705D7" w14:textId="77777777" w:rsidR="00E7234F" w:rsidRPr="00E7234F" w:rsidRDefault="00E7234F" w:rsidP="00E7234F">
            <w:pPr>
              <w:spacing w:before="0" w:after="0" w:line="240" w:lineRule="auto"/>
              <w:jc w:val="right"/>
              <w:rPr>
                <w:rFonts w:ascii="Arial" w:hAnsi="Arial" w:cs="Arial"/>
                <w:sz w:val="16"/>
                <w:szCs w:val="16"/>
              </w:rPr>
            </w:pPr>
            <w:r w:rsidRPr="00E7234F">
              <w:rPr>
                <w:rFonts w:ascii="Arial" w:hAnsi="Arial" w:cs="Arial"/>
                <w:sz w:val="16"/>
                <w:szCs w:val="16"/>
              </w:rPr>
              <w:t> </w:t>
            </w:r>
          </w:p>
        </w:tc>
      </w:tr>
      <w:tr w:rsidR="00E7234F" w:rsidRPr="00E7234F" w14:paraId="18DEB043"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33194762" w14:textId="77777777" w:rsidR="00E7234F" w:rsidRPr="00E7234F" w:rsidRDefault="00E7234F" w:rsidP="00E7234F">
            <w:pPr>
              <w:spacing w:before="0" w:after="0" w:line="240" w:lineRule="auto"/>
              <w:rPr>
                <w:rFonts w:ascii="Arial" w:hAnsi="Arial" w:cs="Arial"/>
                <w:color w:val="000000"/>
                <w:sz w:val="16"/>
                <w:szCs w:val="16"/>
              </w:rPr>
            </w:pPr>
            <w:r w:rsidRPr="00E7234F">
              <w:rPr>
                <w:rFonts w:ascii="Arial" w:hAnsi="Arial" w:cs="Arial"/>
                <w:color w:val="000000"/>
                <w:sz w:val="16"/>
                <w:szCs w:val="16"/>
              </w:rPr>
              <w:t> </w:t>
            </w:r>
          </w:p>
        </w:tc>
        <w:tc>
          <w:tcPr>
            <w:tcW w:w="747" w:type="pct"/>
            <w:tcBorders>
              <w:top w:val="nil"/>
              <w:left w:val="nil"/>
              <w:bottom w:val="single" w:sz="4" w:space="0" w:color="293F5B"/>
              <w:right w:val="nil"/>
            </w:tcBorders>
            <w:shd w:val="clear" w:color="000000" w:fill="FFFFFF"/>
            <w:noWrap/>
            <w:vAlign w:val="center"/>
            <w:hideMark/>
          </w:tcPr>
          <w:p w14:paraId="6BD44AFF"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$m</w:t>
            </w:r>
          </w:p>
        </w:tc>
        <w:tc>
          <w:tcPr>
            <w:tcW w:w="747" w:type="pct"/>
            <w:tcBorders>
              <w:top w:val="nil"/>
              <w:left w:val="nil"/>
              <w:bottom w:val="single" w:sz="4" w:space="0" w:color="293F5B"/>
              <w:right w:val="nil"/>
            </w:tcBorders>
            <w:shd w:val="clear" w:color="auto" w:fill="E6F2FF"/>
            <w:noWrap/>
            <w:vAlign w:val="center"/>
            <w:hideMark/>
          </w:tcPr>
          <w:p w14:paraId="4A4E1504"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$m</w:t>
            </w:r>
          </w:p>
        </w:tc>
        <w:tc>
          <w:tcPr>
            <w:tcW w:w="748" w:type="pct"/>
            <w:tcBorders>
              <w:top w:val="nil"/>
              <w:left w:val="nil"/>
              <w:bottom w:val="single" w:sz="4" w:space="0" w:color="293F5B"/>
              <w:right w:val="nil"/>
            </w:tcBorders>
            <w:shd w:val="clear" w:color="000000" w:fill="FFFFFF"/>
            <w:noWrap/>
            <w:vAlign w:val="center"/>
            <w:hideMark/>
          </w:tcPr>
          <w:p w14:paraId="30892860"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$m</w:t>
            </w:r>
          </w:p>
        </w:tc>
      </w:tr>
      <w:tr w:rsidR="00E7234F" w:rsidRPr="00E7234F" w14:paraId="72631CF6"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321CB576"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General public services</w:t>
            </w:r>
          </w:p>
        </w:tc>
        <w:tc>
          <w:tcPr>
            <w:tcW w:w="747" w:type="pct"/>
            <w:tcBorders>
              <w:top w:val="single" w:sz="4" w:space="0" w:color="293F5B"/>
              <w:left w:val="nil"/>
              <w:bottom w:val="nil"/>
              <w:right w:val="nil"/>
            </w:tcBorders>
            <w:shd w:val="clear" w:color="000000" w:fill="FFFFFF"/>
            <w:noWrap/>
            <w:vAlign w:val="center"/>
            <w:hideMark/>
          </w:tcPr>
          <w:p w14:paraId="126A2F69" w14:textId="77777777" w:rsidR="00E7234F" w:rsidRPr="00E7234F" w:rsidRDefault="00E7234F" w:rsidP="00E7234F">
            <w:pPr>
              <w:spacing w:before="0" w:after="0" w:line="240" w:lineRule="auto"/>
              <w:rPr>
                <w:rFonts w:ascii="Arial" w:hAnsi="Arial" w:cs="Arial"/>
                <w:color w:val="000000"/>
                <w:sz w:val="16"/>
                <w:szCs w:val="16"/>
              </w:rPr>
            </w:pPr>
            <w:r w:rsidRPr="00E7234F">
              <w:rPr>
                <w:rFonts w:ascii="Arial" w:hAnsi="Arial" w:cs="Arial"/>
                <w:color w:val="000000"/>
                <w:sz w:val="16"/>
                <w:szCs w:val="16"/>
              </w:rPr>
              <w:t> </w:t>
            </w:r>
          </w:p>
        </w:tc>
        <w:tc>
          <w:tcPr>
            <w:tcW w:w="747" w:type="pct"/>
            <w:tcBorders>
              <w:top w:val="single" w:sz="4" w:space="0" w:color="293F5B"/>
              <w:left w:val="nil"/>
              <w:bottom w:val="nil"/>
              <w:right w:val="nil"/>
            </w:tcBorders>
            <w:shd w:val="clear" w:color="auto" w:fill="E6F2FF"/>
            <w:noWrap/>
            <w:vAlign w:val="center"/>
            <w:hideMark/>
          </w:tcPr>
          <w:p w14:paraId="0EA983D3" w14:textId="77777777" w:rsidR="00E7234F" w:rsidRPr="00E7234F" w:rsidRDefault="00E7234F" w:rsidP="00E7234F">
            <w:pPr>
              <w:spacing w:before="0" w:after="0" w:line="240" w:lineRule="auto"/>
              <w:rPr>
                <w:rFonts w:ascii="Arial" w:hAnsi="Arial" w:cs="Arial"/>
                <w:color w:val="000000"/>
                <w:sz w:val="16"/>
                <w:szCs w:val="16"/>
              </w:rPr>
            </w:pPr>
            <w:r w:rsidRPr="00E7234F">
              <w:rPr>
                <w:rFonts w:ascii="Arial" w:hAnsi="Arial" w:cs="Arial"/>
                <w:color w:val="000000"/>
                <w:sz w:val="16"/>
                <w:szCs w:val="16"/>
              </w:rPr>
              <w:t> </w:t>
            </w:r>
          </w:p>
        </w:tc>
        <w:tc>
          <w:tcPr>
            <w:tcW w:w="748" w:type="pct"/>
            <w:tcBorders>
              <w:top w:val="single" w:sz="4" w:space="0" w:color="293F5B"/>
              <w:left w:val="nil"/>
              <w:bottom w:val="nil"/>
              <w:right w:val="nil"/>
            </w:tcBorders>
            <w:shd w:val="clear" w:color="000000" w:fill="FFFFFF"/>
            <w:noWrap/>
            <w:vAlign w:val="center"/>
            <w:hideMark/>
          </w:tcPr>
          <w:p w14:paraId="1832DD5E" w14:textId="77777777" w:rsidR="00E7234F" w:rsidRPr="00E7234F" w:rsidRDefault="00E7234F" w:rsidP="00E7234F">
            <w:pPr>
              <w:spacing w:before="0" w:after="0" w:line="240" w:lineRule="auto"/>
              <w:rPr>
                <w:rFonts w:ascii="Arial" w:hAnsi="Arial" w:cs="Arial"/>
                <w:color w:val="33CCCC"/>
                <w:sz w:val="16"/>
                <w:szCs w:val="16"/>
              </w:rPr>
            </w:pPr>
            <w:r w:rsidRPr="00E7234F">
              <w:rPr>
                <w:rFonts w:ascii="Arial" w:hAnsi="Arial" w:cs="Arial"/>
                <w:color w:val="33CCCC"/>
                <w:sz w:val="16"/>
                <w:szCs w:val="16"/>
              </w:rPr>
              <w:t> </w:t>
            </w:r>
          </w:p>
        </w:tc>
      </w:tr>
      <w:tr w:rsidR="00E7234F" w:rsidRPr="00E7234F" w14:paraId="54A1C438"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5F5B03F3"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Legislative and executive affairs</w:t>
            </w:r>
          </w:p>
        </w:tc>
        <w:tc>
          <w:tcPr>
            <w:tcW w:w="747" w:type="pct"/>
            <w:tcBorders>
              <w:top w:val="nil"/>
              <w:left w:val="nil"/>
              <w:bottom w:val="nil"/>
              <w:right w:val="nil"/>
            </w:tcBorders>
            <w:shd w:val="clear" w:color="000000" w:fill="FFFFFF"/>
            <w:noWrap/>
            <w:vAlign w:val="center"/>
            <w:hideMark/>
          </w:tcPr>
          <w:p w14:paraId="41B36169"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1,574</w:t>
            </w:r>
          </w:p>
        </w:tc>
        <w:tc>
          <w:tcPr>
            <w:tcW w:w="747" w:type="pct"/>
            <w:tcBorders>
              <w:top w:val="nil"/>
              <w:left w:val="nil"/>
              <w:bottom w:val="nil"/>
              <w:right w:val="nil"/>
            </w:tcBorders>
            <w:shd w:val="clear" w:color="auto" w:fill="E6F2FF"/>
            <w:noWrap/>
            <w:vAlign w:val="center"/>
            <w:hideMark/>
          </w:tcPr>
          <w:p w14:paraId="19ACD4B6"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1,685</w:t>
            </w:r>
          </w:p>
        </w:tc>
        <w:tc>
          <w:tcPr>
            <w:tcW w:w="748" w:type="pct"/>
            <w:tcBorders>
              <w:top w:val="nil"/>
              <w:left w:val="nil"/>
              <w:bottom w:val="nil"/>
              <w:right w:val="nil"/>
            </w:tcBorders>
            <w:shd w:val="clear" w:color="000000" w:fill="FFFFFF"/>
            <w:noWrap/>
            <w:vAlign w:val="center"/>
            <w:hideMark/>
          </w:tcPr>
          <w:p w14:paraId="1668FC3F"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111</w:t>
            </w:r>
          </w:p>
        </w:tc>
      </w:tr>
      <w:tr w:rsidR="00E7234F" w:rsidRPr="00E7234F" w14:paraId="62A1C94F"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5CF16F2F"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Financial and fiscal affairs</w:t>
            </w:r>
          </w:p>
        </w:tc>
        <w:tc>
          <w:tcPr>
            <w:tcW w:w="747" w:type="pct"/>
            <w:tcBorders>
              <w:top w:val="nil"/>
              <w:left w:val="nil"/>
              <w:bottom w:val="nil"/>
              <w:right w:val="nil"/>
            </w:tcBorders>
            <w:shd w:val="clear" w:color="000000" w:fill="FFFFFF"/>
            <w:noWrap/>
            <w:vAlign w:val="center"/>
            <w:hideMark/>
          </w:tcPr>
          <w:p w14:paraId="35434BEC"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9,309</w:t>
            </w:r>
          </w:p>
        </w:tc>
        <w:tc>
          <w:tcPr>
            <w:tcW w:w="747" w:type="pct"/>
            <w:tcBorders>
              <w:top w:val="nil"/>
              <w:left w:val="nil"/>
              <w:bottom w:val="nil"/>
              <w:right w:val="nil"/>
            </w:tcBorders>
            <w:shd w:val="clear" w:color="auto" w:fill="E6F2FF"/>
            <w:noWrap/>
            <w:vAlign w:val="center"/>
            <w:hideMark/>
          </w:tcPr>
          <w:p w14:paraId="71C45B26"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9,187</w:t>
            </w:r>
          </w:p>
        </w:tc>
        <w:tc>
          <w:tcPr>
            <w:tcW w:w="748" w:type="pct"/>
            <w:tcBorders>
              <w:top w:val="nil"/>
              <w:left w:val="nil"/>
              <w:bottom w:val="nil"/>
              <w:right w:val="nil"/>
            </w:tcBorders>
            <w:shd w:val="clear" w:color="000000" w:fill="FFFFFF"/>
            <w:noWrap/>
            <w:vAlign w:val="center"/>
            <w:hideMark/>
          </w:tcPr>
          <w:p w14:paraId="14E9A669" w14:textId="06C3926C"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122</w:t>
            </w:r>
          </w:p>
        </w:tc>
      </w:tr>
      <w:tr w:rsidR="00E7234F" w:rsidRPr="00E7234F" w14:paraId="4205545F"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73B4BA42"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Foreign affairs and economic aid</w:t>
            </w:r>
          </w:p>
        </w:tc>
        <w:tc>
          <w:tcPr>
            <w:tcW w:w="747" w:type="pct"/>
            <w:tcBorders>
              <w:top w:val="nil"/>
              <w:left w:val="nil"/>
              <w:bottom w:val="nil"/>
              <w:right w:val="nil"/>
            </w:tcBorders>
            <w:shd w:val="clear" w:color="000000" w:fill="FFFFFF"/>
            <w:noWrap/>
            <w:vAlign w:val="center"/>
            <w:hideMark/>
          </w:tcPr>
          <w:p w14:paraId="775A58A7"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7,622</w:t>
            </w:r>
          </w:p>
        </w:tc>
        <w:tc>
          <w:tcPr>
            <w:tcW w:w="747" w:type="pct"/>
            <w:tcBorders>
              <w:top w:val="nil"/>
              <w:left w:val="nil"/>
              <w:bottom w:val="nil"/>
              <w:right w:val="nil"/>
            </w:tcBorders>
            <w:shd w:val="clear" w:color="auto" w:fill="E6F2FF"/>
            <w:noWrap/>
            <w:vAlign w:val="center"/>
            <w:hideMark/>
          </w:tcPr>
          <w:p w14:paraId="60080769"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7,522</w:t>
            </w:r>
          </w:p>
        </w:tc>
        <w:tc>
          <w:tcPr>
            <w:tcW w:w="748" w:type="pct"/>
            <w:tcBorders>
              <w:top w:val="nil"/>
              <w:left w:val="nil"/>
              <w:bottom w:val="nil"/>
              <w:right w:val="nil"/>
            </w:tcBorders>
            <w:shd w:val="clear" w:color="000000" w:fill="FFFFFF"/>
            <w:noWrap/>
            <w:vAlign w:val="center"/>
            <w:hideMark/>
          </w:tcPr>
          <w:p w14:paraId="2F113404" w14:textId="5EE5CFA6"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101</w:t>
            </w:r>
          </w:p>
        </w:tc>
      </w:tr>
      <w:tr w:rsidR="00E7234F" w:rsidRPr="00E7234F" w14:paraId="40CEA816"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61828EF6"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General research</w:t>
            </w:r>
          </w:p>
        </w:tc>
        <w:tc>
          <w:tcPr>
            <w:tcW w:w="747" w:type="pct"/>
            <w:tcBorders>
              <w:top w:val="nil"/>
              <w:left w:val="nil"/>
              <w:bottom w:val="nil"/>
              <w:right w:val="nil"/>
            </w:tcBorders>
            <w:shd w:val="clear" w:color="000000" w:fill="FFFFFF"/>
            <w:noWrap/>
            <w:vAlign w:val="center"/>
            <w:hideMark/>
          </w:tcPr>
          <w:p w14:paraId="68B35406"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3,735</w:t>
            </w:r>
          </w:p>
        </w:tc>
        <w:tc>
          <w:tcPr>
            <w:tcW w:w="747" w:type="pct"/>
            <w:tcBorders>
              <w:top w:val="nil"/>
              <w:left w:val="nil"/>
              <w:bottom w:val="nil"/>
              <w:right w:val="nil"/>
            </w:tcBorders>
            <w:shd w:val="clear" w:color="auto" w:fill="E6F2FF"/>
            <w:noWrap/>
            <w:vAlign w:val="center"/>
            <w:hideMark/>
          </w:tcPr>
          <w:p w14:paraId="42AB5028"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3,695</w:t>
            </w:r>
          </w:p>
        </w:tc>
        <w:tc>
          <w:tcPr>
            <w:tcW w:w="748" w:type="pct"/>
            <w:tcBorders>
              <w:top w:val="nil"/>
              <w:left w:val="nil"/>
              <w:bottom w:val="nil"/>
              <w:right w:val="nil"/>
            </w:tcBorders>
            <w:shd w:val="clear" w:color="000000" w:fill="FFFFFF"/>
            <w:noWrap/>
            <w:vAlign w:val="center"/>
            <w:hideMark/>
          </w:tcPr>
          <w:p w14:paraId="412EF08A" w14:textId="31D011A5"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40</w:t>
            </w:r>
          </w:p>
        </w:tc>
      </w:tr>
      <w:tr w:rsidR="00E7234F" w:rsidRPr="00E7234F" w14:paraId="7B65BA5B"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5313388C"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General services</w:t>
            </w:r>
          </w:p>
        </w:tc>
        <w:tc>
          <w:tcPr>
            <w:tcW w:w="747" w:type="pct"/>
            <w:tcBorders>
              <w:top w:val="nil"/>
              <w:left w:val="nil"/>
              <w:bottom w:val="nil"/>
              <w:right w:val="nil"/>
            </w:tcBorders>
            <w:shd w:val="clear" w:color="000000" w:fill="FFFFFF"/>
            <w:noWrap/>
            <w:vAlign w:val="center"/>
            <w:hideMark/>
          </w:tcPr>
          <w:p w14:paraId="236D238F"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918</w:t>
            </w:r>
          </w:p>
        </w:tc>
        <w:tc>
          <w:tcPr>
            <w:tcW w:w="747" w:type="pct"/>
            <w:tcBorders>
              <w:top w:val="nil"/>
              <w:left w:val="nil"/>
              <w:bottom w:val="nil"/>
              <w:right w:val="nil"/>
            </w:tcBorders>
            <w:shd w:val="clear" w:color="auto" w:fill="E6F2FF"/>
            <w:noWrap/>
            <w:vAlign w:val="center"/>
            <w:hideMark/>
          </w:tcPr>
          <w:p w14:paraId="2CF9F07A"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1,110</w:t>
            </w:r>
          </w:p>
        </w:tc>
        <w:tc>
          <w:tcPr>
            <w:tcW w:w="748" w:type="pct"/>
            <w:tcBorders>
              <w:top w:val="nil"/>
              <w:left w:val="nil"/>
              <w:bottom w:val="nil"/>
              <w:right w:val="nil"/>
            </w:tcBorders>
            <w:shd w:val="clear" w:color="000000" w:fill="FFFFFF"/>
            <w:noWrap/>
            <w:vAlign w:val="center"/>
            <w:hideMark/>
          </w:tcPr>
          <w:p w14:paraId="0B8B55C2"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192</w:t>
            </w:r>
          </w:p>
        </w:tc>
      </w:tr>
      <w:tr w:rsidR="00E7234F" w:rsidRPr="00E7234F" w14:paraId="71ACB5DD"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08AB2ED2"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Government superannuation benefits</w:t>
            </w:r>
          </w:p>
        </w:tc>
        <w:tc>
          <w:tcPr>
            <w:tcW w:w="747" w:type="pct"/>
            <w:tcBorders>
              <w:top w:val="nil"/>
              <w:left w:val="nil"/>
              <w:bottom w:val="nil"/>
              <w:right w:val="nil"/>
            </w:tcBorders>
            <w:shd w:val="clear" w:color="000000" w:fill="FFFFFF"/>
            <w:noWrap/>
            <w:vAlign w:val="center"/>
            <w:hideMark/>
          </w:tcPr>
          <w:p w14:paraId="2A2FE836"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6,947</w:t>
            </w:r>
          </w:p>
        </w:tc>
        <w:tc>
          <w:tcPr>
            <w:tcW w:w="747" w:type="pct"/>
            <w:tcBorders>
              <w:top w:val="nil"/>
              <w:left w:val="nil"/>
              <w:bottom w:val="nil"/>
              <w:right w:val="nil"/>
            </w:tcBorders>
            <w:shd w:val="clear" w:color="auto" w:fill="E6F2FF"/>
            <w:noWrap/>
            <w:vAlign w:val="center"/>
            <w:hideMark/>
          </w:tcPr>
          <w:p w14:paraId="0AEC22C2"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6,912</w:t>
            </w:r>
          </w:p>
        </w:tc>
        <w:tc>
          <w:tcPr>
            <w:tcW w:w="748" w:type="pct"/>
            <w:tcBorders>
              <w:top w:val="nil"/>
              <w:left w:val="nil"/>
              <w:bottom w:val="nil"/>
              <w:right w:val="nil"/>
            </w:tcBorders>
            <w:shd w:val="clear" w:color="000000" w:fill="FFFFFF"/>
            <w:noWrap/>
            <w:vAlign w:val="center"/>
            <w:hideMark/>
          </w:tcPr>
          <w:p w14:paraId="1FFE165D" w14:textId="71CD1E80"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36</w:t>
            </w:r>
          </w:p>
        </w:tc>
      </w:tr>
      <w:tr w:rsidR="00E7234F" w:rsidRPr="00E7234F" w14:paraId="484AA381"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09C9D573"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Defence</w:t>
            </w:r>
          </w:p>
        </w:tc>
        <w:tc>
          <w:tcPr>
            <w:tcW w:w="747" w:type="pct"/>
            <w:tcBorders>
              <w:top w:val="nil"/>
              <w:left w:val="nil"/>
              <w:bottom w:val="nil"/>
              <w:right w:val="nil"/>
            </w:tcBorders>
            <w:shd w:val="clear" w:color="000000" w:fill="FFFFFF"/>
            <w:noWrap/>
            <w:vAlign w:val="center"/>
            <w:hideMark/>
          </w:tcPr>
          <w:p w14:paraId="1F0E617D"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40,059</w:t>
            </w:r>
          </w:p>
        </w:tc>
        <w:tc>
          <w:tcPr>
            <w:tcW w:w="747" w:type="pct"/>
            <w:tcBorders>
              <w:top w:val="nil"/>
              <w:left w:val="nil"/>
              <w:bottom w:val="nil"/>
              <w:right w:val="nil"/>
            </w:tcBorders>
            <w:shd w:val="clear" w:color="auto" w:fill="E6F2FF"/>
            <w:noWrap/>
            <w:vAlign w:val="center"/>
            <w:hideMark/>
          </w:tcPr>
          <w:p w14:paraId="05BEC18B"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41,436</w:t>
            </w:r>
          </w:p>
        </w:tc>
        <w:tc>
          <w:tcPr>
            <w:tcW w:w="748" w:type="pct"/>
            <w:tcBorders>
              <w:top w:val="nil"/>
              <w:left w:val="nil"/>
              <w:bottom w:val="nil"/>
              <w:right w:val="nil"/>
            </w:tcBorders>
            <w:shd w:val="clear" w:color="000000" w:fill="FFFFFF"/>
            <w:noWrap/>
            <w:vAlign w:val="center"/>
            <w:hideMark/>
          </w:tcPr>
          <w:p w14:paraId="0213AFC4"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1,377</w:t>
            </w:r>
          </w:p>
        </w:tc>
      </w:tr>
      <w:tr w:rsidR="00E7234F" w:rsidRPr="00E7234F" w14:paraId="159C2319"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726F79A2" w14:textId="77777777" w:rsidR="00E7234F" w:rsidRPr="00E7234F" w:rsidRDefault="00E7234F" w:rsidP="00E7234F">
            <w:pPr>
              <w:spacing w:before="0" w:after="0" w:line="240" w:lineRule="auto"/>
              <w:rPr>
                <w:noProof/>
              </w:rPr>
            </w:pPr>
            <w:r w:rsidRPr="00E7234F">
              <w:rPr>
                <w:rFonts w:ascii="Arial" w:hAnsi="Arial" w:cs="Arial"/>
                <w:b/>
                <w:bCs/>
                <w:color w:val="000000"/>
                <w:sz w:val="16"/>
                <w:szCs w:val="16"/>
              </w:rPr>
              <w:t>Public order and safety</w:t>
            </w:r>
          </w:p>
        </w:tc>
        <w:tc>
          <w:tcPr>
            <w:tcW w:w="747" w:type="pct"/>
            <w:tcBorders>
              <w:top w:val="nil"/>
              <w:left w:val="nil"/>
              <w:bottom w:val="nil"/>
              <w:right w:val="nil"/>
            </w:tcBorders>
            <w:shd w:val="clear" w:color="000000" w:fill="FFFFFF"/>
            <w:noWrap/>
            <w:vAlign w:val="center"/>
            <w:hideMark/>
          </w:tcPr>
          <w:p w14:paraId="399A30AA"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7,384</w:t>
            </w:r>
          </w:p>
        </w:tc>
        <w:tc>
          <w:tcPr>
            <w:tcW w:w="747" w:type="pct"/>
            <w:tcBorders>
              <w:top w:val="nil"/>
              <w:left w:val="nil"/>
              <w:bottom w:val="nil"/>
              <w:right w:val="nil"/>
            </w:tcBorders>
            <w:shd w:val="clear" w:color="auto" w:fill="E6F2FF"/>
            <w:noWrap/>
            <w:vAlign w:val="center"/>
            <w:hideMark/>
          </w:tcPr>
          <w:p w14:paraId="6B49CA7D"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7,513</w:t>
            </w:r>
          </w:p>
        </w:tc>
        <w:tc>
          <w:tcPr>
            <w:tcW w:w="748" w:type="pct"/>
            <w:tcBorders>
              <w:top w:val="nil"/>
              <w:left w:val="nil"/>
              <w:bottom w:val="nil"/>
              <w:right w:val="nil"/>
            </w:tcBorders>
            <w:shd w:val="clear" w:color="000000" w:fill="FFFFFF"/>
            <w:noWrap/>
            <w:vAlign w:val="center"/>
            <w:hideMark/>
          </w:tcPr>
          <w:p w14:paraId="08EA0A5C"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129</w:t>
            </w:r>
          </w:p>
        </w:tc>
      </w:tr>
      <w:tr w:rsidR="00E7234F" w:rsidRPr="00E7234F" w14:paraId="42481AB2"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21FB27FD"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Education</w:t>
            </w:r>
          </w:p>
        </w:tc>
        <w:tc>
          <w:tcPr>
            <w:tcW w:w="747" w:type="pct"/>
            <w:tcBorders>
              <w:top w:val="nil"/>
              <w:left w:val="nil"/>
              <w:bottom w:val="nil"/>
              <w:right w:val="nil"/>
            </w:tcBorders>
            <w:shd w:val="clear" w:color="000000" w:fill="FFFFFF"/>
            <w:noWrap/>
            <w:vAlign w:val="center"/>
            <w:hideMark/>
          </w:tcPr>
          <w:p w14:paraId="3B39C756"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45,876</w:t>
            </w:r>
          </w:p>
        </w:tc>
        <w:tc>
          <w:tcPr>
            <w:tcW w:w="747" w:type="pct"/>
            <w:tcBorders>
              <w:top w:val="nil"/>
              <w:left w:val="nil"/>
              <w:bottom w:val="nil"/>
              <w:right w:val="nil"/>
            </w:tcBorders>
            <w:shd w:val="clear" w:color="auto" w:fill="E6F2FF"/>
            <w:noWrap/>
            <w:vAlign w:val="center"/>
            <w:hideMark/>
          </w:tcPr>
          <w:p w14:paraId="32A11173"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44,932</w:t>
            </w:r>
          </w:p>
        </w:tc>
        <w:tc>
          <w:tcPr>
            <w:tcW w:w="748" w:type="pct"/>
            <w:tcBorders>
              <w:top w:val="nil"/>
              <w:left w:val="nil"/>
              <w:bottom w:val="nil"/>
              <w:right w:val="nil"/>
            </w:tcBorders>
            <w:shd w:val="clear" w:color="000000" w:fill="FFFFFF"/>
            <w:noWrap/>
            <w:vAlign w:val="center"/>
            <w:hideMark/>
          </w:tcPr>
          <w:p w14:paraId="68272F22" w14:textId="66695FF3"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945</w:t>
            </w:r>
          </w:p>
        </w:tc>
      </w:tr>
      <w:tr w:rsidR="00E7234F" w:rsidRPr="00E7234F" w14:paraId="40CBD885"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6334F55B"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Health</w:t>
            </w:r>
          </w:p>
        </w:tc>
        <w:tc>
          <w:tcPr>
            <w:tcW w:w="747" w:type="pct"/>
            <w:tcBorders>
              <w:top w:val="nil"/>
              <w:left w:val="nil"/>
              <w:bottom w:val="nil"/>
              <w:right w:val="nil"/>
            </w:tcBorders>
            <w:shd w:val="clear" w:color="000000" w:fill="FFFFFF"/>
            <w:noWrap/>
            <w:vAlign w:val="center"/>
            <w:hideMark/>
          </w:tcPr>
          <w:p w14:paraId="01B583F9"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107,710</w:t>
            </w:r>
          </w:p>
        </w:tc>
        <w:tc>
          <w:tcPr>
            <w:tcW w:w="747" w:type="pct"/>
            <w:tcBorders>
              <w:top w:val="nil"/>
              <w:left w:val="nil"/>
              <w:bottom w:val="nil"/>
              <w:right w:val="nil"/>
            </w:tcBorders>
            <w:shd w:val="clear" w:color="auto" w:fill="E6F2FF"/>
            <w:noWrap/>
            <w:vAlign w:val="center"/>
            <w:hideMark/>
          </w:tcPr>
          <w:p w14:paraId="2B9487C1"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102,680</w:t>
            </w:r>
          </w:p>
        </w:tc>
        <w:tc>
          <w:tcPr>
            <w:tcW w:w="748" w:type="pct"/>
            <w:tcBorders>
              <w:top w:val="nil"/>
              <w:left w:val="nil"/>
              <w:bottom w:val="nil"/>
              <w:right w:val="nil"/>
            </w:tcBorders>
            <w:shd w:val="clear" w:color="000000" w:fill="FFFFFF"/>
            <w:noWrap/>
            <w:vAlign w:val="center"/>
            <w:hideMark/>
          </w:tcPr>
          <w:p w14:paraId="7C28B59A" w14:textId="61B3F2A5"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5,030</w:t>
            </w:r>
          </w:p>
        </w:tc>
      </w:tr>
      <w:tr w:rsidR="00E7234F" w:rsidRPr="00E7234F" w14:paraId="4A65F3F9"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673E3EA8"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Social security and welfare</w:t>
            </w:r>
          </w:p>
        </w:tc>
        <w:tc>
          <w:tcPr>
            <w:tcW w:w="747" w:type="pct"/>
            <w:tcBorders>
              <w:top w:val="nil"/>
              <w:left w:val="nil"/>
              <w:bottom w:val="nil"/>
              <w:right w:val="nil"/>
            </w:tcBorders>
            <w:shd w:val="clear" w:color="000000" w:fill="FFFFFF"/>
            <w:noWrap/>
            <w:vAlign w:val="center"/>
            <w:hideMark/>
          </w:tcPr>
          <w:p w14:paraId="59F692CA"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226,378</w:t>
            </w:r>
          </w:p>
        </w:tc>
        <w:tc>
          <w:tcPr>
            <w:tcW w:w="747" w:type="pct"/>
            <w:tcBorders>
              <w:top w:val="nil"/>
              <w:left w:val="nil"/>
              <w:bottom w:val="nil"/>
              <w:right w:val="nil"/>
            </w:tcBorders>
            <w:shd w:val="clear" w:color="auto" w:fill="E6F2FF"/>
            <w:noWrap/>
            <w:vAlign w:val="center"/>
            <w:hideMark/>
          </w:tcPr>
          <w:p w14:paraId="636A2E77"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222,911</w:t>
            </w:r>
          </w:p>
        </w:tc>
        <w:tc>
          <w:tcPr>
            <w:tcW w:w="748" w:type="pct"/>
            <w:tcBorders>
              <w:top w:val="nil"/>
              <w:left w:val="nil"/>
              <w:bottom w:val="nil"/>
              <w:right w:val="nil"/>
            </w:tcBorders>
            <w:shd w:val="clear" w:color="000000" w:fill="FFFFFF"/>
            <w:noWrap/>
            <w:vAlign w:val="center"/>
            <w:hideMark/>
          </w:tcPr>
          <w:p w14:paraId="7B857853" w14:textId="2CE90D0D"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3,466</w:t>
            </w:r>
          </w:p>
        </w:tc>
      </w:tr>
      <w:tr w:rsidR="00E7234F" w:rsidRPr="00E7234F" w14:paraId="0ECB25F1"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444D7FFB"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Housing and community amenities</w:t>
            </w:r>
          </w:p>
        </w:tc>
        <w:tc>
          <w:tcPr>
            <w:tcW w:w="747" w:type="pct"/>
            <w:tcBorders>
              <w:top w:val="nil"/>
              <w:left w:val="nil"/>
              <w:bottom w:val="nil"/>
              <w:right w:val="nil"/>
            </w:tcBorders>
            <w:shd w:val="clear" w:color="000000" w:fill="FFFFFF"/>
            <w:noWrap/>
            <w:vAlign w:val="center"/>
            <w:hideMark/>
          </w:tcPr>
          <w:p w14:paraId="6C33A8EE"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7,135</w:t>
            </w:r>
          </w:p>
        </w:tc>
        <w:tc>
          <w:tcPr>
            <w:tcW w:w="747" w:type="pct"/>
            <w:tcBorders>
              <w:top w:val="nil"/>
              <w:left w:val="nil"/>
              <w:bottom w:val="nil"/>
              <w:right w:val="nil"/>
            </w:tcBorders>
            <w:shd w:val="clear" w:color="auto" w:fill="E6F2FF"/>
            <w:noWrap/>
            <w:vAlign w:val="center"/>
            <w:hideMark/>
          </w:tcPr>
          <w:p w14:paraId="14E4B01E"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8,352</w:t>
            </w:r>
          </w:p>
        </w:tc>
        <w:tc>
          <w:tcPr>
            <w:tcW w:w="748" w:type="pct"/>
            <w:tcBorders>
              <w:top w:val="nil"/>
              <w:left w:val="nil"/>
              <w:bottom w:val="nil"/>
              <w:right w:val="nil"/>
            </w:tcBorders>
            <w:shd w:val="clear" w:color="000000" w:fill="FFFFFF"/>
            <w:noWrap/>
            <w:vAlign w:val="center"/>
            <w:hideMark/>
          </w:tcPr>
          <w:p w14:paraId="244539E7"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1,217</w:t>
            </w:r>
          </w:p>
        </w:tc>
      </w:tr>
      <w:tr w:rsidR="00E7234F" w:rsidRPr="00E7234F" w14:paraId="35D7F3FE"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227B4BEB"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Recreation and culture</w:t>
            </w:r>
          </w:p>
        </w:tc>
        <w:tc>
          <w:tcPr>
            <w:tcW w:w="747" w:type="pct"/>
            <w:tcBorders>
              <w:top w:val="nil"/>
              <w:left w:val="nil"/>
              <w:bottom w:val="nil"/>
              <w:right w:val="nil"/>
            </w:tcBorders>
            <w:shd w:val="clear" w:color="000000" w:fill="FFFFFF"/>
            <w:noWrap/>
            <w:vAlign w:val="center"/>
            <w:hideMark/>
          </w:tcPr>
          <w:p w14:paraId="6F1C4724"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4,840</w:t>
            </w:r>
          </w:p>
        </w:tc>
        <w:tc>
          <w:tcPr>
            <w:tcW w:w="747" w:type="pct"/>
            <w:tcBorders>
              <w:top w:val="nil"/>
              <w:left w:val="nil"/>
              <w:bottom w:val="nil"/>
              <w:right w:val="nil"/>
            </w:tcBorders>
            <w:shd w:val="clear" w:color="auto" w:fill="E6F2FF"/>
            <w:noWrap/>
            <w:vAlign w:val="center"/>
            <w:hideMark/>
          </w:tcPr>
          <w:p w14:paraId="2AE228F0"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4,641</w:t>
            </w:r>
          </w:p>
        </w:tc>
        <w:tc>
          <w:tcPr>
            <w:tcW w:w="748" w:type="pct"/>
            <w:tcBorders>
              <w:top w:val="nil"/>
              <w:left w:val="nil"/>
              <w:bottom w:val="nil"/>
              <w:right w:val="nil"/>
            </w:tcBorders>
            <w:shd w:val="clear" w:color="000000" w:fill="FFFFFF"/>
            <w:noWrap/>
            <w:vAlign w:val="center"/>
            <w:hideMark/>
          </w:tcPr>
          <w:p w14:paraId="41495894" w14:textId="21B8AC87"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199</w:t>
            </w:r>
          </w:p>
        </w:tc>
      </w:tr>
      <w:tr w:rsidR="00E7234F" w:rsidRPr="00E7234F" w14:paraId="1678E901"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38B82307"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Fuel and energy</w:t>
            </w:r>
          </w:p>
        </w:tc>
        <w:tc>
          <w:tcPr>
            <w:tcW w:w="747" w:type="pct"/>
            <w:tcBorders>
              <w:top w:val="nil"/>
              <w:left w:val="nil"/>
              <w:bottom w:val="nil"/>
              <w:right w:val="nil"/>
            </w:tcBorders>
            <w:shd w:val="clear" w:color="000000" w:fill="FFFFFF"/>
            <w:noWrap/>
            <w:vAlign w:val="center"/>
            <w:hideMark/>
          </w:tcPr>
          <w:p w14:paraId="0B248F86"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8,953</w:t>
            </w:r>
          </w:p>
        </w:tc>
        <w:tc>
          <w:tcPr>
            <w:tcW w:w="747" w:type="pct"/>
            <w:tcBorders>
              <w:top w:val="nil"/>
              <w:left w:val="nil"/>
              <w:bottom w:val="nil"/>
              <w:right w:val="nil"/>
            </w:tcBorders>
            <w:shd w:val="clear" w:color="auto" w:fill="E6F2FF"/>
            <w:noWrap/>
            <w:vAlign w:val="center"/>
            <w:hideMark/>
          </w:tcPr>
          <w:p w14:paraId="14A2C234"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9,093</w:t>
            </w:r>
          </w:p>
        </w:tc>
        <w:tc>
          <w:tcPr>
            <w:tcW w:w="748" w:type="pct"/>
            <w:tcBorders>
              <w:top w:val="nil"/>
              <w:left w:val="nil"/>
              <w:bottom w:val="nil"/>
              <w:right w:val="nil"/>
            </w:tcBorders>
            <w:shd w:val="clear" w:color="000000" w:fill="FFFFFF"/>
            <w:noWrap/>
            <w:vAlign w:val="center"/>
            <w:hideMark/>
          </w:tcPr>
          <w:p w14:paraId="4300F30C"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140</w:t>
            </w:r>
          </w:p>
        </w:tc>
      </w:tr>
      <w:tr w:rsidR="00E7234F" w:rsidRPr="00E7234F" w14:paraId="4ECC5E88"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378F9671"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 xml:space="preserve">Agriculture, </w:t>
            </w:r>
            <w:proofErr w:type="gramStart"/>
            <w:r w:rsidRPr="00E7234F">
              <w:rPr>
                <w:rFonts w:ascii="Arial" w:hAnsi="Arial" w:cs="Arial"/>
                <w:b/>
                <w:bCs/>
                <w:color w:val="000000"/>
                <w:sz w:val="16"/>
                <w:szCs w:val="16"/>
              </w:rPr>
              <w:t>forestry</w:t>
            </w:r>
            <w:proofErr w:type="gramEnd"/>
            <w:r w:rsidRPr="00E7234F">
              <w:rPr>
                <w:rFonts w:ascii="Arial" w:hAnsi="Arial" w:cs="Arial"/>
                <w:b/>
                <w:bCs/>
                <w:color w:val="000000"/>
                <w:sz w:val="16"/>
                <w:szCs w:val="16"/>
              </w:rPr>
              <w:t xml:space="preserve"> and fishing</w:t>
            </w:r>
          </w:p>
        </w:tc>
        <w:tc>
          <w:tcPr>
            <w:tcW w:w="747" w:type="pct"/>
            <w:tcBorders>
              <w:top w:val="nil"/>
              <w:left w:val="nil"/>
              <w:bottom w:val="nil"/>
              <w:right w:val="nil"/>
            </w:tcBorders>
            <w:shd w:val="clear" w:color="000000" w:fill="FFFFFF"/>
            <w:noWrap/>
            <w:vAlign w:val="center"/>
            <w:hideMark/>
          </w:tcPr>
          <w:p w14:paraId="1A8B470B"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4,737</w:t>
            </w:r>
          </w:p>
        </w:tc>
        <w:tc>
          <w:tcPr>
            <w:tcW w:w="747" w:type="pct"/>
            <w:tcBorders>
              <w:top w:val="nil"/>
              <w:left w:val="nil"/>
              <w:bottom w:val="nil"/>
              <w:right w:val="nil"/>
            </w:tcBorders>
            <w:shd w:val="clear" w:color="auto" w:fill="E6F2FF"/>
            <w:noWrap/>
            <w:vAlign w:val="center"/>
            <w:hideMark/>
          </w:tcPr>
          <w:p w14:paraId="6C312A3D"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3,371</w:t>
            </w:r>
          </w:p>
        </w:tc>
        <w:tc>
          <w:tcPr>
            <w:tcW w:w="748" w:type="pct"/>
            <w:tcBorders>
              <w:top w:val="nil"/>
              <w:left w:val="nil"/>
              <w:bottom w:val="nil"/>
              <w:right w:val="nil"/>
            </w:tcBorders>
            <w:shd w:val="clear" w:color="000000" w:fill="FFFFFF"/>
            <w:noWrap/>
            <w:vAlign w:val="center"/>
            <w:hideMark/>
          </w:tcPr>
          <w:p w14:paraId="352E5DAC" w14:textId="010CA379"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1,367</w:t>
            </w:r>
          </w:p>
        </w:tc>
      </w:tr>
      <w:tr w:rsidR="00E7234F" w:rsidRPr="00E7234F" w14:paraId="5DD6C864"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11537973"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 xml:space="preserve">Mining, </w:t>
            </w:r>
            <w:proofErr w:type="gramStart"/>
            <w:r w:rsidRPr="00E7234F">
              <w:rPr>
                <w:rFonts w:ascii="Arial" w:hAnsi="Arial" w:cs="Arial"/>
                <w:b/>
                <w:bCs/>
                <w:color w:val="000000"/>
                <w:sz w:val="16"/>
                <w:szCs w:val="16"/>
              </w:rPr>
              <w:t>manufacturing</w:t>
            </w:r>
            <w:proofErr w:type="gramEnd"/>
            <w:r w:rsidRPr="00E7234F">
              <w:rPr>
                <w:rFonts w:ascii="Arial" w:hAnsi="Arial" w:cs="Arial"/>
                <w:b/>
                <w:bCs/>
                <w:color w:val="000000"/>
                <w:sz w:val="16"/>
                <w:szCs w:val="16"/>
              </w:rPr>
              <w:t xml:space="preserve"> and construction</w:t>
            </w:r>
          </w:p>
        </w:tc>
        <w:tc>
          <w:tcPr>
            <w:tcW w:w="747" w:type="pct"/>
            <w:tcBorders>
              <w:top w:val="nil"/>
              <w:left w:val="nil"/>
              <w:bottom w:val="nil"/>
              <w:right w:val="nil"/>
            </w:tcBorders>
            <w:shd w:val="clear" w:color="000000" w:fill="FFFFFF"/>
            <w:noWrap/>
            <w:vAlign w:val="center"/>
            <w:hideMark/>
          </w:tcPr>
          <w:p w14:paraId="4A66F5C9"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4,905</w:t>
            </w:r>
          </w:p>
        </w:tc>
        <w:tc>
          <w:tcPr>
            <w:tcW w:w="747" w:type="pct"/>
            <w:tcBorders>
              <w:top w:val="nil"/>
              <w:left w:val="nil"/>
              <w:bottom w:val="nil"/>
              <w:right w:val="nil"/>
            </w:tcBorders>
            <w:shd w:val="clear" w:color="auto" w:fill="E6F2FF"/>
            <w:noWrap/>
            <w:vAlign w:val="center"/>
            <w:hideMark/>
          </w:tcPr>
          <w:p w14:paraId="6AF00505"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5,167</w:t>
            </w:r>
          </w:p>
        </w:tc>
        <w:tc>
          <w:tcPr>
            <w:tcW w:w="748" w:type="pct"/>
            <w:tcBorders>
              <w:top w:val="nil"/>
              <w:left w:val="nil"/>
              <w:bottom w:val="nil"/>
              <w:right w:val="nil"/>
            </w:tcBorders>
            <w:shd w:val="clear" w:color="000000" w:fill="FFFFFF"/>
            <w:noWrap/>
            <w:vAlign w:val="center"/>
            <w:hideMark/>
          </w:tcPr>
          <w:p w14:paraId="14FD8B54"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262</w:t>
            </w:r>
          </w:p>
        </w:tc>
      </w:tr>
      <w:tr w:rsidR="00E7234F" w:rsidRPr="00E7234F" w14:paraId="504078FA"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13D28AFC"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Transport and communication</w:t>
            </w:r>
          </w:p>
        </w:tc>
        <w:tc>
          <w:tcPr>
            <w:tcW w:w="747" w:type="pct"/>
            <w:tcBorders>
              <w:top w:val="nil"/>
              <w:left w:val="nil"/>
              <w:bottom w:val="nil"/>
              <w:right w:val="nil"/>
            </w:tcBorders>
            <w:shd w:val="clear" w:color="000000" w:fill="FFFFFF"/>
            <w:noWrap/>
            <w:vAlign w:val="center"/>
            <w:hideMark/>
          </w:tcPr>
          <w:p w14:paraId="0F2A932E"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13,461</w:t>
            </w:r>
          </w:p>
        </w:tc>
        <w:tc>
          <w:tcPr>
            <w:tcW w:w="747" w:type="pct"/>
            <w:tcBorders>
              <w:top w:val="nil"/>
              <w:left w:val="nil"/>
              <w:bottom w:val="nil"/>
              <w:right w:val="nil"/>
            </w:tcBorders>
            <w:shd w:val="clear" w:color="auto" w:fill="E6F2FF"/>
            <w:noWrap/>
            <w:vAlign w:val="center"/>
            <w:hideMark/>
          </w:tcPr>
          <w:p w14:paraId="6F5D16F0"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12,166</w:t>
            </w:r>
          </w:p>
        </w:tc>
        <w:tc>
          <w:tcPr>
            <w:tcW w:w="748" w:type="pct"/>
            <w:tcBorders>
              <w:top w:val="nil"/>
              <w:left w:val="nil"/>
              <w:bottom w:val="nil"/>
              <w:right w:val="nil"/>
            </w:tcBorders>
            <w:shd w:val="clear" w:color="000000" w:fill="FFFFFF"/>
            <w:noWrap/>
            <w:vAlign w:val="center"/>
            <w:hideMark/>
          </w:tcPr>
          <w:p w14:paraId="6145DD1D" w14:textId="4B1B280D"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1,295</w:t>
            </w:r>
          </w:p>
        </w:tc>
      </w:tr>
      <w:tr w:rsidR="00E7234F" w:rsidRPr="00E7234F" w14:paraId="32204FE0"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546DE7AF"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Other economic affairs</w:t>
            </w:r>
          </w:p>
        </w:tc>
        <w:tc>
          <w:tcPr>
            <w:tcW w:w="747" w:type="pct"/>
            <w:tcBorders>
              <w:top w:val="nil"/>
              <w:left w:val="nil"/>
              <w:bottom w:val="nil"/>
              <w:right w:val="nil"/>
            </w:tcBorders>
            <w:shd w:val="clear" w:color="000000" w:fill="FFFFFF"/>
            <w:noWrap/>
            <w:vAlign w:val="center"/>
            <w:hideMark/>
          </w:tcPr>
          <w:p w14:paraId="175E0EC0"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 </w:t>
            </w:r>
          </w:p>
        </w:tc>
        <w:tc>
          <w:tcPr>
            <w:tcW w:w="747" w:type="pct"/>
            <w:tcBorders>
              <w:top w:val="nil"/>
              <w:left w:val="nil"/>
              <w:bottom w:val="nil"/>
              <w:right w:val="nil"/>
            </w:tcBorders>
            <w:shd w:val="clear" w:color="auto" w:fill="E6F2FF"/>
            <w:noWrap/>
            <w:vAlign w:val="center"/>
            <w:hideMark/>
          </w:tcPr>
          <w:p w14:paraId="0E689DFD"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 </w:t>
            </w:r>
          </w:p>
        </w:tc>
        <w:tc>
          <w:tcPr>
            <w:tcW w:w="748" w:type="pct"/>
            <w:tcBorders>
              <w:top w:val="nil"/>
              <w:left w:val="nil"/>
              <w:bottom w:val="nil"/>
              <w:right w:val="nil"/>
            </w:tcBorders>
            <w:shd w:val="clear" w:color="000000" w:fill="FFFFFF"/>
            <w:noWrap/>
            <w:vAlign w:val="center"/>
            <w:hideMark/>
          </w:tcPr>
          <w:p w14:paraId="5E81BC43" w14:textId="77777777" w:rsidR="00E7234F" w:rsidRPr="00E7234F" w:rsidRDefault="00E7234F" w:rsidP="00E7234F">
            <w:pPr>
              <w:spacing w:before="0" w:after="0" w:line="240" w:lineRule="auto"/>
              <w:rPr>
                <w:rFonts w:ascii="Arial" w:hAnsi="Arial" w:cs="Arial"/>
                <w:color w:val="000000"/>
                <w:sz w:val="16"/>
                <w:szCs w:val="16"/>
              </w:rPr>
            </w:pPr>
            <w:r w:rsidRPr="00E7234F">
              <w:rPr>
                <w:rFonts w:ascii="Arial" w:hAnsi="Arial" w:cs="Arial"/>
                <w:color w:val="000000"/>
                <w:sz w:val="16"/>
                <w:szCs w:val="16"/>
              </w:rPr>
              <w:t> </w:t>
            </w:r>
          </w:p>
        </w:tc>
      </w:tr>
      <w:tr w:rsidR="00E7234F" w:rsidRPr="00E7234F" w14:paraId="76C6E503"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1CA50FAE"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Tourism and area promotion</w:t>
            </w:r>
          </w:p>
        </w:tc>
        <w:tc>
          <w:tcPr>
            <w:tcW w:w="747" w:type="pct"/>
            <w:tcBorders>
              <w:top w:val="nil"/>
              <w:left w:val="nil"/>
              <w:bottom w:val="nil"/>
              <w:right w:val="nil"/>
            </w:tcBorders>
            <w:shd w:val="clear" w:color="000000" w:fill="FFFFFF"/>
            <w:noWrap/>
            <w:vAlign w:val="center"/>
            <w:hideMark/>
          </w:tcPr>
          <w:p w14:paraId="03574EBF"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208</w:t>
            </w:r>
          </w:p>
        </w:tc>
        <w:tc>
          <w:tcPr>
            <w:tcW w:w="747" w:type="pct"/>
            <w:tcBorders>
              <w:top w:val="nil"/>
              <w:left w:val="nil"/>
              <w:bottom w:val="nil"/>
              <w:right w:val="nil"/>
            </w:tcBorders>
            <w:shd w:val="clear" w:color="auto" w:fill="E6F2FF"/>
            <w:noWrap/>
            <w:vAlign w:val="center"/>
            <w:hideMark/>
          </w:tcPr>
          <w:p w14:paraId="4774A245"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204</w:t>
            </w:r>
          </w:p>
        </w:tc>
        <w:tc>
          <w:tcPr>
            <w:tcW w:w="748" w:type="pct"/>
            <w:tcBorders>
              <w:top w:val="nil"/>
              <w:left w:val="nil"/>
              <w:bottom w:val="nil"/>
              <w:right w:val="nil"/>
            </w:tcBorders>
            <w:shd w:val="clear" w:color="000000" w:fill="FFFFFF"/>
            <w:noWrap/>
            <w:vAlign w:val="center"/>
            <w:hideMark/>
          </w:tcPr>
          <w:p w14:paraId="60820356" w14:textId="002EB845"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4</w:t>
            </w:r>
          </w:p>
        </w:tc>
      </w:tr>
      <w:tr w:rsidR="00E7234F" w:rsidRPr="00E7234F" w14:paraId="3CBAC94D"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474C9E13"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Labour and employment affairs</w:t>
            </w:r>
          </w:p>
        </w:tc>
        <w:tc>
          <w:tcPr>
            <w:tcW w:w="747" w:type="pct"/>
            <w:tcBorders>
              <w:top w:val="nil"/>
              <w:left w:val="nil"/>
              <w:bottom w:val="nil"/>
              <w:right w:val="nil"/>
            </w:tcBorders>
            <w:shd w:val="clear" w:color="000000" w:fill="FFFFFF"/>
            <w:noWrap/>
            <w:vAlign w:val="center"/>
            <w:hideMark/>
          </w:tcPr>
          <w:p w14:paraId="61590DA6"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7,521</w:t>
            </w:r>
          </w:p>
        </w:tc>
        <w:tc>
          <w:tcPr>
            <w:tcW w:w="747" w:type="pct"/>
            <w:tcBorders>
              <w:top w:val="nil"/>
              <w:left w:val="nil"/>
              <w:bottom w:val="nil"/>
              <w:right w:val="nil"/>
            </w:tcBorders>
            <w:shd w:val="clear" w:color="auto" w:fill="E6F2FF"/>
            <w:noWrap/>
            <w:vAlign w:val="center"/>
            <w:hideMark/>
          </w:tcPr>
          <w:p w14:paraId="306D95D6"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7,410</w:t>
            </w:r>
          </w:p>
        </w:tc>
        <w:tc>
          <w:tcPr>
            <w:tcW w:w="748" w:type="pct"/>
            <w:tcBorders>
              <w:top w:val="nil"/>
              <w:left w:val="nil"/>
              <w:bottom w:val="nil"/>
              <w:right w:val="nil"/>
            </w:tcBorders>
            <w:shd w:val="clear" w:color="000000" w:fill="FFFFFF"/>
            <w:noWrap/>
            <w:vAlign w:val="center"/>
            <w:hideMark/>
          </w:tcPr>
          <w:p w14:paraId="771A083B" w14:textId="4A152E10"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111</w:t>
            </w:r>
          </w:p>
        </w:tc>
      </w:tr>
      <w:tr w:rsidR="00E7234F" w:rsidRPr="00E7234F" w14:paraId="5A4CC9D6"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64C97134"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Immigration</w:t>
            </w:r>
          </w:p>
        </w:tc>
        <w:tc>
          <w:tcPr>
            <w:tcW w:w="747" w:type="pct"/>
            <w:tcBorders>
              <w:top w:val="nil"/>
              <w:left w:val="nil"/>
              <w:bottom w:val="nil"/>
              <w:right w:val="nil"/>
            </w:tcBorders>
            <w:shd w:val="clear" w:color="000000" w:fill="FFFFFF"/>
            <w:noWrap/>
            <w:vAlign w:val="center"/>
            <w:hideMark/>
          </w:tcPr>
          <w:p w14:paraId="1F08B6C1"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3,673</w:t>
            </w:r>
          </w:p>
        </w:tc>
        <w:tc>
          <w:tcPr>
            <w:tcW w:w="747" w:type="pct"/>
            <w:tcBorders>
              <w:top w:val="nil"/>
              <w:left w:val="nil"/>
              <w:bottom w:val="nil"/>
              <w:right w:val="nil"/>
            </w:tcBorders>
            <w:shd w:val="clear" w:color="auto" w:fill="E6F2FF"/>
            <w:noWrap/>
            <w:vAlign w:val="center"/>
            <w:hideMark/>
          </w:tcPr>
          <w:p w14:paraId="2C57BBF1"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3,405</w:t>
            </w:r>
          </w:p>
        </w:tc>
        <w:tc>
          <w:tcPr>
            <w:tcW w:w="748" w:type="pct"/>
            <w:tcBorders>
              <w:top w:val="nil"/>
              <w:left w:val="nil"/>
              <w:bottom w:val="nil"/>
              <w:right w:val="nil"/>
            </w:tcBorders>
            <w:shd w:val="clear" w:color="000000" w:fill="FFFFFF"/>
            <w:noWrap/>
            <w:vAlign w:val="center"/>
            <w:hideMark/>
          </w:tcPr>
          <w:p w14:paraId="3CD1DE5F" w14:textId="547E03DF"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269</w:t>
            </w:r>
          </w:p>
        </w:tc>
      </w:tr>
      <w:tr w:rsidR="00E7234F" w:rsidRPr="00E7234F" w14:paraId="17CB777D"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4EE80317"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 xml:space="preserve">Other economic affairs </w:t>
            </w:r>
            <w:proofErr w:type="spellStart"/>
            <w:r w:rsidRPr="00E7234F">
              <w:rPr>
                <w:rFonts w:ascii="Arial" w:hAnsi="Arial" w:cs="Arial"/>
                <w:color w:val="000000"/>
                <w:sz w:val="16"/>
                <w:szCs w:val="16"/>
              </w:rPr>
              <w:t>nec</w:t>
            </w:r>
            <w:proofErr w:type="spellEnd"/>
          </w:p>
        </w:tc>
        <w:tc>
          <w:tcPr>
            <w:tcW w:w="747" w:type="pct"/>
            <w:tcBorders>
              <w:top w:val="nil"/>
              <w:left w:val="nil"/>
              <w:bottom w:val="nil"/>
              <w:right w:val="nil"/>
            </w:tcBorders>
            <w:shd w:val="clear" w:color="000000" w:fill="FFFFFF"/>
            <w:noWrap/>
            <w:vAlign w:val="center"/>
            <w:hideMark/>
          </w:tcPr>
          <w:p w14:paraId="35CB55DC"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3,533</w:t>
            </w:r>
          </w:p>
        </w:tc>
        <w:tc>
          <w:tcPr>
            <w:tcW w:w="747" w:type="pct"/>
            <w:tcBorders>
              <w:top w:val="nil"/>
              <w:left w:val="nil"/>
              <w:bottom w:val="nil"/>
              <w:right w:val="nil"/>
            </w:tcBorders>
            <w:shd w:val="clear" w:color="auto" w:fill="E6F2FF"/>
            <w:noWrap/>
            <w:vAlign w:val="center"/>
            <w:hideMark/>
          </w:tcPr>
          <w:p w14:paraId="54A99DDB"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3,380</w:t>
            </w:r>
          </w:p>
        </w:tc>
        <w:tc>
          <w:tcPr>
            <w:tcW w:w="748" w:type="pct"/>
            <w:tcBorders>
              <w:top w:val="nil"/>
              <w:left w:val="nil"/>
              <w:bottom w:val="nil"/>
              <w:right w:val="nil"/>
            </w:tcBorders>
            <w:shd w:val="clear" w:color="000000" w:fill="FFFFFF"/>
            <w:noWrap/>
            <w:vAlign w:val="center"/>
            <w:hideMark/>
          </w:tcPr>
          <w:p w14:paraId="0A19B899" w14:textId="76218185"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153</w:t>
            </w:r>
          </w:p>
        </w:tc>
      </w:tr>
      <w:tr w:rsidR="00E7234F" w:rsidRPr="00E7234F" w14:paraId="78708F01"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73B3A8D6"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Other purposes</w:t>
            </w:r>
          </w:p>
        </w:tc>
        <w:tc>
          <w:tcPr>
            <w:tcW w:w="747" w:type="pct"/>
            <w:tcBorders>
              <w:top w:val="nil"/>
              <w:left w:val="nil"/>
              <w:bottom w:val="nil"/>
              <w:right w:val="nil"/>
            </w:tcBorders>
            <w:shd w:val="clear" w:color="000000" w:fill="FFFFFF"/>
            <w:noWrap/>
            <w:vAlign w:val="center"/>
            <w:hideMark/>
          </w:tcPr>
          <w:p w14:paraId="4E60FCF2" w14:textId="77777777" w:rsidR="00E7234F" w:rsidRPr="00E7234F" w:rsidRDefault="00E7234F" w:rsidP="00E7234F">
            <w:pPr>
              <w:spacing w:before="0" w:after="0" w:line="240" w:lineRule="auto"/>
              <w:rPr>
                <w:rFonts w:ascii="Arial" w:hAnsi="Arial" w:cs="Arial"/>
                <w:color w:val="000000"/>
                <w:sz w:val="16"/>
                <w:szCs w:val="16"/>
              </w:rPr>
            </w:pPr>
            <w:r w:rsidRPr="00E7234F">
              <w:rPr>
                <w:rFonts w:ascii="Arial" w:hAnsi="Arial" w:cs="Arial"/>
                <w:color w:val="000000"/>
                <w:sz w:val="16"/>
                <w:szCs w:val="16"/>
              </w:rPr>
              <w:t> </w:t>
            </w:r>
          </w:p>
        </w:tc>
        <w:tc>
          <w:tcPr>
            <w:tcW w:w="747" w:type="pct"/>
            <w:tcBorders>
              <w:top w:val="nil"/>
              <w:left w:val="nil"/>
              <w:bottom w:val="nil"/>
              <w:right w:val="nil"/>
            </w:tcBorders>
            <w:shd w:val="clear" w:color="auto" w:fill="E6F2FF"/>
            <w:noWrap/>
            <w:vAlign w:val="center"/>
            <w:hideMark/>
          </w:tcPr>
          <w:p w14:paraId="79D4BCA2" w14:textId="77777777" w:rsidR="00E7234F" w:rsidRPr="00E7234F" w:rsidRDefault="00E7234F" w:rsidP="00E7234F">
            <w:pPr>
              <w:spacing w:before="0" w:after="0" w:line="240" w:lineRule="auto"/>
              <w:rPr>
                <w:rFonts w:ascii="Arial" w:hAnsi="Arial" w:cs="Arial"/>
                <w:color w:val="000000"/>
                <w:sz w:val="16"/>
                <w:szCs w:val="16"/>
              </w:rPr>
            </w:pPr>
            <w:r w:rsidRPr="00E7234F">
              <w:rPr>
                <w:rFonts w:ascii="Arial" w:hAnsi="Arial" w:cs="Arial"/>
                <w:color w:val="000000"/>
                <w:sz w:val="16"/>
                <w:szCs w:val="16"/>
              </w:rPr>
              <w:t> </w:t>
            </w:r>
          </w:p>
        </w:tc>
        <w:tc>
          <w:tcPr>
            <w:tcW w:w="748" w:type="pct"/>
            <w:tcBorders>
              <w:top w:val="nil"/>
              <w:left w:val="nil"/>
              <w:bottom w:val="nil"/>
              <w:right w:val="nil"/>
            </w:tcBorders>
            <w:shd w:val="clear" w:color="000000" w:fill="FFFFFF"/>
            <w:noWrap/>
            <w:vAlign w:val="center"/>
            <w:hideMark/>
          </w:tcPr>
          <w:p w14:paraId="71558231" w14:textId="77777777" w:rsidR="00E7234F" w:rsidRPr="00E7234F" w:rsidRDefault="00E7234F" w:rsidP="00E7234F">
            <w:pPr>
              <w:spacing w:before="0" w:after="0" w:line="240" w:lineRule="auto"/>
              <w:rPr>
                <w:rFonts w:ascii="Arial" w:hAnsi="Arial" w:cs="Arial"/>
                <w:color w:val="000000"/>
                <w:sz w:val="16"/>
                <w:szCs w:val="16"/>
              </w:rPr>
            </w:pPr>
            <w:r w:rsidRPr="00E7234F">
              <w:rPr>
                <w:rFonts w:ascii="Arial" w:hAnsi="Arial" w:cs="Arial"/>
                <w:color w:val="000000"/>
                <w:sz w:val="16"/>
                <w:szCs w:val="16"/>
              </w:rPr>
              <w:t> </w:t>
            </w:r>
          </w:p>
        </w:tc>
      </w:tr>
      <w:tr w:rsidR="00E7234F" w:rsidRPr="00E7234F" w14:paraId="406C8F52"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112B0749" w14:textId="77777777" w:rsidR="00E7234F" w:rsidRPr="00E7234F" w:rsidRDefault="00E7234F" w:rsidP="00E7234F">
            <w:pPr>
              <w:spacing w:before="0" w:after="0" w:line="240" w:lineRule="auto"/>
              <w:ind w:left="170"/>
              <w:rPr>
                <w:rFonts w:ascii="Arial" w:hAnsi="Arial" w:cs="Arial"/>
                <w:sz w:val="16"/>
                <w:szCs w:val="16"/>
              </w:rPr>
            </w:pPr>
            <w:r w:rsidRPr="00E7234F">
              <w:rPr>
                <w:rFonts w:ascii="Arial" w:hAnsi="Arial" w:cs="Arial"/>
                <w:sz w:val="16"/>
                <w:szCs w:val="16"/>
              </w:rPr>
              <w:t>Public debt interest</w:t>
            </w:r>
          </w:p>
        </w:tc>
        <w:tc>
          <w:tcPr>
            <w:tcW w:w="747" w:type="pct"/>
            <w:tcBorders>
              <w:top w:val="nil"/>
              <w:left w:val="nil"/>
              <w:bottom w:val="nil"/>
              <w:right w:val="nil"/>
            </w:tcBorders>
            <w:shd w:val="clear" w:color="000000" w:fill="FFFFFF"/>
            <w:noWrap/>
            <w:vAlign w:val="center"/>
            <w:hideMark/>
          </w:tcPr>
          <w:p w14:paraId="3AC340FB"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22,152</w:t>
            </w:r>
          </w:p>
        </w:tc>
        <w:tc>
          <w:tcPr>
            <w:tcW w:w="747" w:type="pct"/>
            <w:tcBorders>
              <w:top w:val="nil"/>
              <w:left w:val="nil"/>
              <w:bottom w:val="nil"/>
              <w:right w:val="nil"/>
            </w:tcBorders>
            <w:shd w:val="clear" w:color="auto" w:fill="E6F2FF"/>
            <w:noWrap/>
            <w:vAlign w:val="center"/>
            <w:hideMark/>
          </w:tcPr>
          <w:p w14:paraId="6FA09F45"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22,242</w:t>
            </w:r>
          </w:p>
        </w:tc>
        <w:tc>
          <w:tcPr>
            <w:tcW w:w="748" w:type="pct"/>
            <w:tcBorders>
              <w:top w:val="nil"/>
              <w:left w:val="nil"/>
              <w:bottom w:val="nil"/>
              <w:right w:val="nil"/>
            </w:tcBorders>
            <w:shd w:val="clear" w:color="000000" w:fill="FFFFFF"/>
            <w:noWrap/>
            <w:vAlign w:val="center"/>
            <w:hideMark/>
          </w:tcPr>
          <w:p w14:paraId="000AFBDA"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90</w:t>
            </w:r>
          </w:p>
        </w:tc>
      </w:tr>
      <w:tr w:rsidR="00E7234F" w:rsidRPr="00E7234F" w14:paraId="41D83216"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1FC30E51"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Nominal superannuation interest</w:t>
            </w:r>
          </w:p>
        </w:tc>
        <w:tc>
          <w:tcPr>
            <w:tcW w:w="747" w:type="pct"/>
            <w:tcBorders>
              <w:top w:val="nil"/>
              <w:left w:val="nil"/>
              <w:bottom w:val="nil"/>
              <w:right w:val="nil"/>
            </w:tcBorders>
            <w:shd w:val="clear" w:color="000000" w:fill="FFFFFF"/>
            <w:noWrap/>
            <w:vAlign w:val="center"/>
            <w:hideMark/>
          </w:tcPr>
          <w:p w14:paraId="1908EC28"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12,334</w:t>
            </w:r>
          </w:p>
        </w:tc>
        <w:tc>
          <w:tcPr>
            <w:tcW w:w="747" w:type="pct"/>
            <w:tcBorders>
              <w:top w:val="nil"/>
              <w:left w:val="nil"/>
              <w:bottom w:val="nil"/>
              <w:right w:val="nil"/>
            </w:tcBorders>
            <w:shd w:val="clear" w:color="auto" w:fill="E6F2FF"/>
            <w:noWrap/>
            <w:vAlign w:val="center"/>
            <w:hideMark/>
          </w:tcPr>
          <w:p w14:paraId="06586CE3"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12,336</w:t>
            </w:r>
          </w:p>
        </w:tc>
        <w:tc>
          <w:tcPr>
            <w:tcW w:w="748" w:type="pct"/>
            <w:tcBorders>
              <w:top w:val="nil"/>
              <w:left w:val="nil"/>
              <w:bottom w:val="nil"/>
              <w:right w:val="nil"/>
            </w:tcBorders>
            <w:shd w:val="clear" w:color="000000" w:fill="FFFFFF"/>
            <w:noWrap/>
            <w:vAlign w:val="center"/>
            <w:hideMark/>
          </w:tcPr>
          <w:p w14:paraId="0955F658"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2</w:t>
            </w:r>
          </w:p>
        </w:tc>
      </w:tr>
      <w:tr w:rsidR="00E7234F" w:rsidRPr="00E7234F" w14:paraId="163B8F99"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1E063E9A" w14:textId="117B72B2"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 xml:space="preserve">General purpose </w:t>
            </w:r>
            <w:proofErr w:type="gramStart"/>
            <w:r w:rsidRPr="00E7234F">
              <w:rPr>
                <w:rFonts w:ascii="Arial" w:hAnsi="Arial" w:cs="Arial"/>
                <w:color w:val="000000"/>
                <w:sz w:val="16"/>
                <w:szCs w:val="16"/>
              </w:rPr>
              <w:t>inter</w:t>
            </w:r>
            <w:proofErr w:type="gramEnd"/>
            <w:r w:rsidR="006B57C6">
              <w:rPr>
                <w:rFonts w:ascii="Arial" w:hAnsi="Arial" w:cs="Arial"/>
                <w:color w:val="000000"/>
                <w:sz w:val="16"/>
                <w:szCs w:val="16"/>
              </w:rPr>
              <w:noBreakHyphen/>
            </w:r>
            <w:r w:rsidRPr="00E7234F">
              <w:rPr>
                <w:rFonts w:ascii="Arial" w:hAnsi="Arial" w:cs="Arial"/>
                <w:color w:val="000000"/>
                <w:sz w:val="16"/>
                <w:szCs w:val="16"/>
              </w:rPr>
              <w:t>government transactions</w:t>
            </w:r>
          </w:p>
        </w:tc>
        <w:tc>
          <w:tcPr>
            <w:tcW w:w="747" w:type="pct"/>
            <w:tcBorders>
              <w:top w:val="nil"/>
              <w:left w:val="nil"/>
              <w:bottom w:val="nil"/>
              <w:right w:val="nil"/>
            </w:tcBorders>
            <w:shd w:val="clear" w:color="000000" w:fill="FFFFFF"/>
            <w:noWrap/>
            <w:vAlign w:val="center"/>
            <w:hideMark/>
          </w:tcPr>
          <w:p w14:paraId="709C4DCB"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89,841</w:t>
            </w:r>
          </w:p>
        </w:tc>
        <w:tc>
          <w:tcPr>
            <w:tcW w:w="747" w:type="pct"/>
            <w:tcBorders>
              <w:top w:val="nil"/>
              <w:left w:val="nil"/>
              <w:bottom w:val="nil"/>
              <w:right w:val="nil"/>
            </w:tcBorders>
            <w:shd w:val="clear" w:color="auto" w:fill="E6F2FF"/>
            <w:noWrap/>
            <w:vAlign w:val="center"/>
            <w:hideMark/>
          </w:tcPr>
          <w:p w14:paraId="37615943"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92,076</w:t>
            </w:r>
          </w:p>
        </w:tc>
        <w:tc>
          <w:tcPr>
            <w:tcW w:w="748" w:type="pct"/>
            <w:tcBorders>
              <w:top w:val="nil"/>
              <w:left w:val="nil"/>
              <w:bottom w:val="nil"/>
              <w:right w:val="nil"/>
            </w:tcBorders>
            <w:shd w:val="clear" w:color="000000" w:fill="FFFFFF"/>
            <w:noWrap/>
            <w:vAlign w:val="center"/>
            <w:hideMark/>
          </w:tcPr>
          <w:p w14:paraId="2CAA2433"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2,235</w:t>
            </w:r>
          </w:p>
        </w:tc>
      </w:tr>
      <w:tr w:rsidR="00E7234F" w:rsidRPr="00E7234F" w14:paraId="151BD27E"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0600969C" w14:textId="77777777" w:rsidR="00E7234F" w:rsidRPr="00E7234F" w:rsidRDefault="00E7234F" w:rsidP="00E7234F">
            <w:pPr>
              <w:spacing w:before="0" w:after="0" w:line="240" w:lineRule="auto"/>
              <w:ind w:left="170"/>
              <w:rPr>
                <w:rFonts w:ascii="Arial" w:hAnsi="Arial" w:cs="Arial"/>
                <w:color w:val="000000"/>
                <w:sz w:val="16"/>
                <w:szCs w:val="16"/>
              </w:rPr>
            </w:pPr>
            <w:r w:rsidRPr="00E7234F">
              <w:rPr>
                <w:rFonts w:ascii="Arial" w:hAnsi="Arial" w:cs="Arial"/>
                <w:color w:val="000000"/>
                <w:sz w:val="16"/>
                <w:szCs w:val="16"/>
              </w:rPr>
              <w:t>Natural disaster relief</w:t>
            </w:r>
          </w:p>
        </w:tc>
        <w:tc>
          <w:tcPr>
            <w:tcW w:w="747" w:type="pct"/>
            <w:tcBorders>
              <w:top w:val="nil"/>
              <w:left w:val="nil"/>
              <w:bottom w:val="nil"/>
              <w:right w:val="nil"/>
            </w:tcBorders>
            <w:shd w:val="clear" w:color="000000" w:fill="FFFFFF"/>
            <w:noWrap/>
            <w:vAlign w:val="center"/>
            <w:hideMark/>
          </w:tcPr>
          <w:p w14:paraId="5F9E90B9"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3,533</w:t>
            </w:r>
          </w:p>
        </w:tc>
        <w:tc>
          <w:tcPr>
            <w:tcW w:w="747" w:type="pct"/>
            <w:tcBorders>
              <w:top w:val="nil"/>
              <w:left w:val="nil"/>
              <w:bottom w:val="nil"/>
              <w:right w:val="nil"/>
            </w:tcBorders>
            <w:shd w:val="clear" w:color="auto" w:fill="E6F2FF"/>
            <w:noWrap/>
            <w:vAlign w:val="center"/>
            <w:hideMark/>
          </w:tcPr>
          <w:p w14:paraId="6122EFEF"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3,600</w:t>
            </w:r>
          </w:p>
        </w:tc>
        <w:tc>
          <w:tcPr>
            <w:tcW w:w="748" w:type="pct"/>
            <w:tcBorders>
              <w:top w:val="nil"/>
              <w:left w:val="nil"/>
              <w:bottom w:val="nil"/>
              <w:right w:val="nil"/>
            </w:tcBorders>
            <w:shd w:val="clear" w:color="000000" w:fill="FFFFFF"/>
            <w:noWrap/>
            <w:vAlign w:val="center"/>
            <w:hideMark/>
          </w:tcPr>
          <w:p w14:paraId="145B7ECA"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67</w:t>
            </w:r>
          </w:p>
        </w:tc>
      </w:tr>
      <w:tr w:rsidR="00E7234F" w:rsidRPr="00E7234F" w14:paraId="766B6FFA" w14:textId="77777777" w:rsidTr="00BD4D1C">
        <w:trPr>
          <w:divId w:val="2113474752"/>
          <w:trHeight w:hRule="exact" w:val="225"/>
        </w:trPr>
        <w:tc>
          <w:tcPr>
            <w:tcW w:w="2758" w:type="pct"/>
            <w:tcBorders>
              <w:top w:val="nil"/>
              <w:left w:val="nil"/>
              <w:bottom w:val="nil"/>
              <w:right w:val="nil"/>
            </w:tcBorders>
            <w:shd w:val="clear" w:color="000000" w:fill="FFFFFF"/>
            <w:noWrap/>
            <w:vAlign w:val="center"/>
            <w:hideMark/>
          </w:tcPr>
          <w:p w14:paraId="6766EDB5" w14:textId="77777777" w:rsidR="00E7234F" w:rsidRPr="00E7234F" w:rsidRDefault="00E7234F" w:rsidP="00E7234F">
            <w:pPr>
              <w:spacing w:before="0" w:after="0" w:line="240" w:lineRule="auto"/>
              <w:ind w:left="170"/>
              <w:rPr>
                <w:rFonts w:ascii="Arial" w:hAnsi="Arial" w:cs="Arial"/>
                <w:sz w:val="16"/>
                <w:szCs w:val="16"/>
              </w:rPr>
            </w:pPr>
            <w:r w:rsidRPr="00E7234F">
              <w:rPr>
                <w:rFonts w:ascii="Arial" w:hAnsi="Arial" w:cs="Arial"/>
                <w:sz w:val="16"/>
                <w:szCs w:val="16"/>
              </w:rPr>
              <w:t>Contingency reserve</w:t>
            </w:r>
          </w:p>
        </w:tc>
        <w:tc>
          <w:tcPr>
            <w:tcW w:w="747" w:type="pct"/>
            <w:tcBorders>
              <w:top w:val="nil"/>
              <w:left w:val="nil"/>
              <w:bottom w:val="single" w:sz="4" w:space="0" w:color="293F5B"/>
              <w:right w:val="nil"/>
            </w:tcBorders>
            <w:shd w:val="clear" w:color="000000" w:fill="FFFFFF"/>
            <w:noWrap/>
            <w:vAlign w:val="center"/>
            <w:hideMark/>
          </w:tcPr>
          <w:p w14:paraId="72BA32F6"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449</w:t>
            </w:r>
          </w:p>
        </w:tc>
        <w:tc>
          <w:tcPr>
            <w:tcW w:w="747" w:type="pct"/>
            <w:tcBorders>
              <w:top w:val="nil"/>
              <w:left w:val="nil"/>
              <w:bottom w:val="single" w:sz="4" w:space="0" w:color="293F5B"/>
              <w:right w:val="nil"/>
            </w:tcBorders>
            <w:shd w:val="clear" w:color="auto" w:fill="E6F2FF"/>
            <w:noWrap/>
            <w:vAlign w:val="center"/>
            <w:hideMark/>
          </w:tcPr>
          <w:p w14:paraId="6C41EB05" w14:textId="77777777" w:rsidR="00E7234F" w:rsidRPr="00E7234F" w:rsidRDefault="00E7234F" w:rsidP="00E7234F">
            <w:pPr>
              <w:spacing w:before="0" w:after="0" w:line="240" w:lineRule="auto"/>
              <w:jc w:val="right"/>
              <w:rPr>
                <w:rFonts w:ascii="Arial" w:hAnsi="Arial" w:cs="Arial"/>
                <w:color w:val="000000"/>
                <w:sz w:val="16"/>
                <w:szCs w:val="16"/>
              </w:rPr>
            </w:pPr>
            <w:r w:rsidRPr="00E7234F">
              <w:rPr>
                <w:rFonts w:ascii="Arial" w:hAnsi="Arial" w:cs="Arial"/>
                <w:color w:val="000000"/>
                <w:sz w:val="16"/>
                <w:szCs w:val="16"/>
              </w:rPr>
              <w:t>0</w:t>
            </w:r>
          </w:p>
        </w:tc>
        <w:tc>
          <w:tcPr>
            <w:tcW w:w="748" w:type="pct"/>
            <w:tcBorders>
              <w:top w:val="nil"/>
              <w:left w:val="nil"/>
              <w:bottom w:val="single" w:sz="4" w:space="0" w:color="293F5B"/>
              <w:right w:val="nil"/>
            </w:tcBorders>
            <w:shd w:val="clear" w:color="000000" w:fill="FFFFFF"/>
            <w:noWrap/>
            <w:vAlign w:val="center"/>
            <w:hideMark/>
          </w:tcPr>
          <w:p w14:paraId="37E20F22" w14:textId="3E45FB44" w:rsidR="00E7234F" w:rsidRPr="00E7234F" w:rsidRDefault="006B57C6" w:rsidP="00E7234F">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E7234F" w:rsidRPr="00E7234F">
              <w:rPr>
                <w:rFonts w:ascii="Arial" w:hAnsi="Arial" w:cs="Arial"/>
                <w:color w:val="000000"/>
                <w:sz w:val="16"/>
                <w:szCs w:val="16"/>
              </w:rPr>
              <w:t>449</w:t>
            </w:r>
          </w:p>
        </w:tc>
      </w:tr>
      <w:tr w:rsidR="00E7234F" w:rsidRPr="00E7234F" w14:paraId="5584E24D" w14:textId="77777777" w:rsidTr="00BD4D1C">
        <w:trPr>
          <w:divId w:val="2113474752"/>
          <w:trHeight w:hRule="exact" w:val="225"/>
        </w:trPr>
        <w:tc>
          <w:tcPr>
            <w:tcW w:w="2758" w:type="pct"/>
            <w:tcBorders>
              <w:top w:val="nil"/>
              <w:left w:val="nil"/>
              <w:bottom w:val="single" w:sz="4" w:space="0" w:color="293F5B"/>
              <w:right w:val="nil"/>
            </w:tcBorders>
            <w:shd w:val="clear" w:color="000000" w:fill="FFFFFF"/>
            <w:noWrap/>
            <w:vAlign w:val="center"/>
            <w:hideMark/>
          </w:tcPr>
          <w:p w14:paraId="12B3C7DA" w14:textId="77777777" w:rsidR="00E7234F" w:rsidRPr="00E7234F" w:rsidRDefault="00E7234F" w:rsidP="00E7234F">
            <w:pPr>
              <w:spacing w:before="0" w:after="0" w:line="240" w:lineRule="auto"/>
              <w:rPr>
                <w:rFonts w:ascii="Arial" w:hAnsi="Arial" w:cs="Arial"/>
                <w:b/>
                <w:bCs/>
                <w:color w:val="000000"/>
                <w:sz w:val="16"/>
                <w:szCs w:val="16"/>
              </w:rPr>
            </w:pPr>
            <w:r w:rsidRPr="00E7234F">
              <w:rPr>
                <w:rFonts w:ascii="Arial" w:hAnsi="Arial" w:cs="Arial"/>
                <w:b/>
                <w:bCs/>
                <w:color w:val="000000"/>
                <w:sz w:val="16"/>
                <w:szCs w:val="16"/>
              </w:rPr>
              <w:t>Total expenses</w:t>
            </w:r>
          </w:p>
        </w:tc>
        <w:tc>
          <w:tcPr>
            <w:tcW w:w="747" w:type="pct"/>
            <w:tcBorders>
              <w:top w:val="single" w:sz="4" w:space="0" w:color="293F5B"/>
              <w:left w:val="nil"/>
              <w:bottom w:val="single" w:sz="4" w:space="0" w:color="293F5B"/>
              <w:right w:val="nil"/>
            </w:tcBorders>
            <w:shd w:val="clear" w:color="000000" w:fill="FFFFFF"/>
            <w:noWrap/>
            <w:vAlign w:val="center"/>
            <w:hideMark/>
          </w:tcPr>
          <w:p w14:paraId="1606BDC1" w14:textId="77777777" w:rsidR="00E7234F" w:rsidRPr="00E7234F" w:rsidRDefault="00E7234F" w:rsidP="00E7234F">
            <w:pPr>
              <w:spacing w:before="0" w:after="0" w:line="240" w:lineRule="auto"/>
              <w:jc w:val="right"/>
              <w:rPr>
                <w:rFonts w:ascii="Arial" w:hAnsi="Arial" w:cs="Arial"/>
                <w:b/>
                <w:bCs/>
                <w:color w:val="000000"/>
                <w:sz w:val="16"/>
                <w:szCs w:val="16"/>
              </w:rPr>
            </w:pPr>
            <w:r w:rsidRPr="00E7234F">
              <w:rPr>
                <w:rFonts w:ascii="Arial" w:hAnsi="Arial" w:cs="Arial"/>
                <w:b/>
                <w:bCs/>
                <w:color w:val="000000"/>
                <w:sz w:val="16"/>
                <w:szCs w:val="16"/>
              </w:rPr>
              <w:t>644,788</w:t>
            </w:r>
          </w:p>
        </w:tc>
        <w:tc>
          <w:tcPr>
            <w:tcW w:w="747" w:type="pct"/>
            <w:tcBorders>
              <w:top w:val="single" w:sz="4" w:space="0" w:color="293F5B"/>
              <w:left w:val="nil"/>
              <w:bottom w:val="single" w:sz="4" w:space="0" w:color="293F5B"/>
              <w:right w:val="nil"/>
            </w:tcBorders>
            <w:shd w:val="clear" w:color="auto" w:fill="E6F2FF"/>
            <w:noWrap/>
            <w:vAlign w:val="center"/>
            <w:hideMark/>
          </w:tcPr>
          <w:p w14:paraId="1BAA5A80" w14:textId="77777777" w:rsidR="00E7234F" w:rsidRPr="00E7234F" w:rsidRDefault="00E7234F" w:rsidP="00E7234F">
            <w:pPr>
              <w:spacing w:before="0" w:after="0" w:line="240" w:lineRule="auto"/>
              <w:jc w:val="right"/>
              <w:rPr>
                <w:rFonts w:ascii="Arial" w:hAnsi="Arial" w:cs="Arial"/>
                <w:b/>
                <w:bCs/>
                <w:color w:val="000000"/>
                <w:sz w:val="16"/>
                <w:szCs w:val="16"/>
              </w:rPr>
            </w:pPr>
            <w:r w:rsidRPr="00E7234F">
              <w:rPr>
                <w:rFonts w:ascii="Arial" w:hAnsi="Arial" w:cs="Arial"/>
                <w:b/>
                <w:bCs/>
                <w:color w:val="000000"/>
                <w:sz w:val="16"/>
                <w:szCs w:val="16"/>
              </w:rPr>
              <w:t>637,025</w:t>
            </w:r>
          </w:p>
        </w:tc>
        <w:tc>
          <w:tcPr>
            <w:tcW w:w="748" w:type="pct"/>
            <w:tcBorders>
              <w:top w:val="single" w:sz="4" w:space="0" w:color="293F5B"/>
              <w:left w:val="nil"/>
              <w:bottom w:val="single" w:sz="4" w:space="0" w:color="293F5B"/>
              <w:right w:val="nil"/>
            </w:tcBorders>
            <w:shd w:val="clear" w:color="000000" w:fill="FFFFFF"/>
            <w:noWrap/>
            <w:vAlign w:val="center"/>
            <w:hideMark/>
          </w:tcPr>
          <w:p w14:paraId="715E9B9E" w14:textId="2F57BC89" w:rsidR="00E7234F" w:rsidRPr="00E7234F" w:rsidRDefault="006B57C6" w:rsidP="00E7234F">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7234F" w:rsidRPr="00E7234F">
              <w:rPr>
                <w:rFonts w:ascii="Arial" w:hAnsi="Arial" w:cs="Arial"/>
                <w:b/>
                <w:bCs/>
                <w:color w:val="000000"/>
                <w:sz w:val="16"/>
                <w:szCs w:val="16"/>
              </w:rPr>
              <w:t>7,763</w:t>
            </w:r>
          </w:p>
        </w:tc>
      </w:tr>
    </w:tbl>
    <w:p w14:paraId="293AE3CA" w14:textId="7AFAF58D" w:rsidR="002959E6" w:rsidRPr="006354EB" w:rsidRDefault="002959E6" w:rsidP="00D84D96">
      <w:pPr>
        <w:spacing w:after="0" w:line="240" w:lineRule="auto"/>
      </w:pPr>
      <w:r w:rsidRPr="006354EB">
        <w:br w:type="page"/>
      </w:r>
    </w:p>
    <w:p w14:paraId="6A511F22" w14:textId="41CD45C9" w:rsidR="00AA164D" w:rsidRPr="00134D3E" w:rsidRDefault="002959E6" w:rsidP="00AA164D">
      <w:pPr>
        <w:pStyle w:val="TableHeading"/>
        <w:rPr>
          <w:rFonts w:eastAsiaTheme="minorHAnsi"/>
        </w:rPr>
      </w:pPr>
      <w:r w:rsidRPr="00390B7D">
        <w:lastRenderedPageBreak/>
        <w:t>Table</w:t>
      </w:r>
      <w:r w:rsidRPr="006354EB">
        <w:t xml:space="preserve"> 1.6: Australian Government general government sector net capital investment by function </w:t>
      </w:r>
      <w:bookmarkStart w:id="17" w:name="_1756733173"/>
      <w:bookmarkEnd w:id="17"/>
    </w:p>
    <w:tbl>
      <w:tblPr>
        <w:tblW w:w="5000" w:type="pct"/>
        <w:tblCellMar>
          <w:left w:w="0" w:type="dxa"/>
          <w:right w:w="28" w:type="dxa"/>
        </w:tblCellMar>
        <w:tblLook w:val="04A0" w:firstRow="1" w:lastRow="0" w:firstColumn="1" w:lastColumn="0" w:noHBand="0" w:noVBand="1"/>
      </w:tblPr>
      <w:tblGrid>
        <w:gridCol w:w="4603"/>
        <w:gridCol w:w="938"/>
        <w:gridCol w:w="938"/>
        <w:gridCol w:w="1231"/>
      </w:tblGrid>
      <w:tr w:rsidR="00134D3E" w:rsidRPr="00134D3E" w14:paraId="76BF6433" w14:textId="77777777" w:rsidTr="00134D3E">
        <w:trPr>
          <w:trHeight w:hRule="exact" w:val="225"/>
        </w:trPr>
        <w:tc>
          <w:tcPr>
            <w:tcW w:w="2985" w:type="pct"/>
            <w:tcBorders>
              <w:top w:val="single" w:sz="4" w:space="0" w:color="293F5B"/>
              <w:left w:val="nil"/>
              <w:bottom w:val="nil"/>
              <w:right w:val="nil"/>
            </w:tcBorders>
            <w:shd w:val="clear" w:color="000000" w:fill="FFFFFF"/>
            <w:noWrap/>
            <w:vAlign w:val="center"/>
            <w:hideMark/>
          </w:tcPr>
          <w:p w14:paraId="026E70D7" w14:textId="0682FDD9"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 </w:t>
            </w:r>
          </w:p>
        </w:tc>
        <w:tc>
          <w:tcPr>
            <w:tcW w:w="608" w:type="pct"/>
            <w:tcBorders>
              <w:top w:val="single" w:sz="4" w:space="0" w:color="293F5B"/>
              <w:left w:val="nil"/>
              <w:bottom w:val="nil"/>
              <w:right w:val="nil"/>
            </w:tcBorders>
            <w:shd w:val="clear" w:color="000000" w:fill="FFFFFF"/>
            <w:noWrap/>
            <w:vAlign w:val="center"/>
            <w:hideMark/>
          </w:tcPr>
          <w:p w14:paraId="61EBA0E6"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2022-23</w:t>
            </w:r>
          </w:p>
        </w:tc>
        <w:tc>
          <w:tcPr>
            <w:tcW w:w="608" w:type="pct"/>
            <w:tcBorders>
              <w:top w:val="single" w:sz="4" w:space="0" w:color="293F5B"/>
              <w:left w:val="nil"/>
              <w:bottom w:val="nil"/>
              <w:right w:val="nil"/>
            </w:tcBorders>
            <w:shd w:val="clear" w:color="000000" w:fill="E6F2FF"/>
            <w:noWrap/>
            <w:vAlign w:val="center"/>
            <w:hideMark/>
          </w:tcPr>
          <w:p w14:paraId="27888B9F"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2022-23</w:t>
            </w:r>
          </w:p>
        </w:tc>
        <w:tc>
          <w:tcPr>
            <w:tcW w:w="798" w:type="pct"/>
            <w:tcBorders>
              <w:top w:val="single" w:sz="4" w:space="0" w:color="293F5B"/>
              <w:left w:val="nil"/>
              <w:bottom w:val="nil"/>
              <w:right w:val="nil"/>
            </w:tcBorders>
            <w:shd w:val="clear" w:color="000000" w:fill="FFFFFF"/>
            <w:noWrap/>
            <w:vAlign w:val="bottom"/>
            <w:hideMark/>
          </w:tcPr>
          <w:p w14:paraId="3C612B1A"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Change on</w:t>
            </w:r>
          </w:p>
        </w:tc>
      </w:tr>
      <w:tr w:rsidR="00134D3E" w:rsidRPr="00134D3E" w14:paraId="4F3CD066"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2773FDFA"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 </w:t>
            </w:r>
          </w:p>
        </w:tc>
        <w:tc>
          <w:tcPr>
            <w:tcW w:w="608" w:type="pct"/>
            <w:tcBorders>
              <w:top w:val="nil"/>
              <w:left w:val="nil"/>
              <w:bottom w:val="nil"/>
              <w:right w:val="nil"/>
            </w:tcBorders>
            <w:shd w:val="clear" w:color="000000" w:fill="FFFFFF"/>
            <w:noWrap/>
            <w:vAlign w:val="center"/>
            <w:hideMark/>
          </w:tcPr>
          <w:p w14:paraId="27E326A1"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Estimate at</w:t>
            </w:r>
          </w:p>
        </w:tc>
        <w:tc>
          <w:tcPr>
            <w:tcW w:w="608" w:type="pct"/>
            <w:tcBorders>
              <w:top w:val="nil"/>
              <w:left w:val="nil"/>
              <w:bottom w:val="nil"/>
              <w:right w:val="nil"/>
            </w:tcBorders>
            <w:shd w:val="clear" w:color="000000" w:fill="E6F2FF"/>
            <w:noWrap/>
            <w:vAlign w:val="center"/>
            <w:hideMark/>
          </w:tcPr>
          <w:p w14:paraId="504DBAEA"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Outcome</w:t>
            </w:r>
          </w:p>
        </w:tc>
        <w:tc>
          <w:tcPr>
            <w:tcW w:w="798" w:type="pct"/>
            <w:tcBorders>
              <w:top w:val="nil"/>
              <w:left w:val="nil"/>
              <w:bottom w:val="nil"/>
              <w:right w:val="nil"/>
            </w:tcBorders>
            <w:shd w:val="clear" w:color="000000" w:fill="FFFFFF"/>
            <w:noWrap/>
            <w:vAlign w:val="center"/>
            <w:hideMark/>
          </w:tcPr>
          <w:p w14:paraId="51088756"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2023-24</w:t>
            </w:r>
          </w:p>
        </w:tc>
      </w:tr>
      <w:tr w:rsidR="00134D3E" w:rsidRPr="00134D3E" w14:paraId="13307EEF"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6B13B0F1"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 </w:t>
            </w:r>
          </w:p>
        </w:tc>
        <w:tc>
          <w:tcPr>
            <w:tcW w:w="608" w:type="pct"/>
            <w:tcBorders>
              <w:top w:val="nil"/>
              <w:left w:val="nil"/>
              <w:bottom w:val="nil"/>
              <w:right w:val="nil"/>
            </w:tcBorders>
            <w:shd w:val="clear" w:color="000000" w:fill="FFFFFF"/>
            <w:noWrap/>
            <w:vAlign w:val="center"/>
            <w:hideMark/>
          </w:tcPr>
          <w:p w14:paraId="6D781039"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2023-24</w:t>
            </w:r>
          </w:p>
        </w:tc>
        <w:tc>
          <w:tcPr>
            <w:tcW w:w="608" w:type="pct"/>
            <w:tcBorders>
              <w:top w:val="nil"/>
              <w:left w:val="nil"/>
              <w:bottom w:val="nil"/>
              <w:right w:val="nil"/>
            </w:tcBorders>
            <w:shd w:val="clear" w:color="000000" w:fill="E6F2FF"/>
            <w:noWrap/>
            <w:vAlign w:val="center"/>
            <w:hideMark/>
          </w:tcPr>
          <w:p w14:paraId="32135285"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 </w:t>
            </w:r>
          </w:p>
        </w:tc>
        <w:tc>
          <w:tcPr>
            <w:tcW w:w="798" w:type="pct"/>
            <w:tcBorders>
              <w:top w:val="nil"/>
              <w:left w:val="nil"/>
              <w:bottom w:val="nil"/>
              <w:right w:val="nil"/>
            </w:tcBorders>
            <w:shd w:val="clear" w:color="000000" w:fill="FFFFFF"/>
            <w:noWrap/>
            <w:vAlign w:val="bottom"/>
            <w:hideMark/>
          </w:tcPr>
          <w:p w14:paraId="2A517CE1"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 xml:space="preserve"> Budget</w:t>
            </w:r>
          </w:p>
        </w:tc>
      </w:tr>
      <w:tr w:rsidR="00134D3E" w:rsidRPr="00134D3E" w14:paraId="584DA249"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46825D55"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 </w:t>
            </w:r>
          </w:p>
        </w:tc>
        <w:tc>
          <w:tcPr>
            <w:tcW w:w="608" w:type="pct"/>
            <w:tcBorders>
              <w:top w:val="nil"/>
              <w:left w:val="nil"/>
              <w:bottom w:val="nil"/>
              <w:right w:val="nil"/>
            </w:tcBorders>
            <w:shd w:val="clear" w:color="000000" w:fill="FFFFFF"/>
            <w:noWrap/>
            <w:vAlign w:val="center"/>
            <w:hideMark/>
          </w:tcPr>
          <w:p w14:paraId="12435CCD"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 xml:space="preserve"> Budget</w:t>
            </w:r>
          </w:p>
        </w:tc>
        <w:tc>
          <w:tcPr>
            <w:tcW w:w="608" w:type="pct"/>
            <w:tcBorders>
              <w:top w:val="nil"/>
              <w:left w:val="nil"/>
              <w:bottom w:val="nil"/>
              <w:right w:val="nil"/>
            </w:tcBorders>
            <w:shd w:val="clear" w:color="000000" w:fill="E6F2FF"/>
            <w:noWrap/>
            <w:vAlign w:val="center"/>
            <w:hideMark/>
          </w:tcPr>
          <w:p w14:paraId="3D4BCC8F"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 </w:t>
            </w:r>
          </w:p>
        </w:tc>
        <w:tc>
          <w:tcPr>
            <w:tcW w:w="798" w:type="pct"/>
            <w:tcBorders>
              <w:top w:val="nil"/>
              <w:left w:val="nil"/>
              <w:bottom w:val="nil"/>
              <w:right w:val="nil"/>
            </w:tcBorders>
            <w:shd w:val="clear" w:color="000000" w:fill="FFFFFF"/>
            <w:noWrap/>
            <w:vAlign w:val="bottom"/>
            <w:hideMark/>
          </w:tcPr>
          <w:p w14:paraId="1FF36A9C"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 </w:t>
            </w:r>
          </w:p>
        </w:tc>
      </w:tr>
      <w:tr w:rsidR="00134D3E" w:rsidRPr="00134D3E" w14:paraId="1C03F4C6"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3557AC87"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 </w:t>
            </w:r>
          </w:p>
        </w:tc>
        <w:tc>
          <w:tcPr>
            <w:tcW w:w="608" w:type="pct"/>
            <w:tcBorders>
              <w:top w:val="nil"/>
              <w:left w:val="nil"/>
              <w:bottom w:val="single" w:sz="4" w:space="0" w:color="293F5B"/>
              <w:right w:val="nil"/>
            </w:tcBorders>
            <w:shd w:val="clear" w:color="000000" w:fill="FFFFFF"/>
            <w:noWrap/>
            <w:vAlign w:val="center"/>
            <w:hideMark/>
          </w:tcPr>
          <w:p w14:paraId="7F8280FE"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$m</w:t>
            </w:r>
          </w:p>
        </w:tc>
        <w:tc>
          <w:tcPr>
            <w:tcW w:w="608" w:type="pct"/>
            <w:tcBorders>
              <w:top w:val="nil"/>
              <w:left w:val="nil"/>
              <w:bottom w:val="single" w:sz="4" w:space="0" w:color="293F5B"/>
              <w:right w:val="nil"/>
            </w:tcBorders>
            <w:shd w:val="clear" w:color="000000" w:fill="E6F2FF"/>
            <w:noWrap/>
            <w:vAlign w:val="center"/>
            <w:hideMark/>
          </w:tcPr>
          <w:p w14:paraId="4C9B9B31"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$m</w:t>
            </w:r>
          </w:p>
        </w:tc>
        <w:tc>
          <w:tcPr>
            <w:tcW w:w="798" w:type="pct"/>
            <w:tcBorders>
              <w:top w:val="nil"/>
              <w:left w:val="nil"/>
              <w:bottom w:val="single" w:sz="4" w:space="0" w:color="293F5B"/>
              <w:right w:val="nil"/>
            </w:tcBorders>
            <w:shd w:val="clear" w:color="000000" w:fill="FFFFFF"/>
            <w:vAlign w:val="center"/>
            <w:hideMark/>
          </w:tcPr>
          <w:p w14:paraId="089D77A7" w14:textId="77777777" w:rsidR="00134D3E" w:rsidRPr="00134D3E" w:rsidRDefault="00134D3E" w:rsidP="00134D3E">
            <w:pPr>
              <w:spacing w:before="0" w:after="0" w:line="240" w:lineRule="auto"/>
              <w:jc w:val="right"/>
              <w:rPr>
                <w:rFonts w:ascii="Arial" w:hAnsi="Arial" w:cs="Arial"/>
                <w:sz w:val="16"/>
                <w:szCs w:val="16"/>
              </w:rPr>
            </w:pPr>
            <w:r w:rsidRPr="00134D3E">
              <w:rPr>
                <w:rFonts w:ascii="Arial" w:hAnsi="Arial" w:cs="Arial"/>
                <w:sz w:val="16"/>
                <w:szCs w:val="16"/>
              </w:rPr>
              <w:t>$m</w:t>
            </w:r>
          </w:p>
        </w:tc>
      </w:tr>
      <w:tr w:rsidR="00134D3E" w:rsidRPr="00134D3E" w14:paraId="4F33C5BA"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5ED1FEC2"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General public services</w:t>
            </w:r>
          </w:p>
        </w:tc>
        <w:tc>
          <w:tcPr>
            <w:tcW w:w="608" w:type="pct"/>
            <w:tcBorders>
              <w:top w:val="nil"/>
              <w:left w:val="nil"/>
              <w:bottom w:val="nil"/>
              <w:right w:val="nil"/>
            </w:tcBorders>
            <w:shd w:val="clear" w:color="000000" w:fill="FFFFFF"/>
            <w:noWrap/>
            <w:vAlign w:val="center"/>
            <w:hideMark/>
          </w:tcPr>
          <w:p w14:paraId="39274679"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477</w:t>
            </w:r>
          </w:p>
        </w:tc>
        <w:tc>
          <w:tcPr>
            <w:tcW w:w="608" w:type="pct"/>
            <w:tcBorders>
              <w:top w:val="nil"/>
              <w:left w:val="nil"/>
              <w:bottom w:val="nil"/>
              <w:right w:val="nil"/>
            </w:tcBorders>
            <w:shd w:val="clear" w:color="000000" w:fill="E6F2FF"/>
            <w:noWrap/>
            <w:vAlign w:val="center"/>
            <w:hideMark/>
          </w:tcPr>
          <w:p w14:paraId="32C75C4F"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171</w:t>
            </w:r>
          </w:p>
        </w:tc>
        <w:tc>
          <w:tcPr>
            <w:tcW w:w="798" w:type="pct"/>
            <w:tcBorders>
              <w:top w:val="nil"/>
              <w:left w:val="nil"/>
              <w:bottom w:val="nil"/>
              <w:right w:val="nil"/>
            </w:tcBorders>
            <w:shd w:val="clear" w:color="000000" w:fill="FFFFFF"/>
            <w:noWrap/>
            <w:vAlign w:val="center"/>
            <w:hideMark/>
          </w:tcPr>
          <w:p w14:paraId="252D2010"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-306</w:t>
            </w:r>
          </w:p>
        </w:tc>
      </w:tr>
      <w:tr w:rsidR="00134D3E" w:rsidRPr="00134D3E" w14:paraId="58EC38FB"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10354817"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Defence</w:t>
            </w:r>
          </w:p>
        </w:tc>
        <w:tc>
          <w:tcPr>
            <w:tcW w:w="608" w:type="pct"/>
            <w:tcBorders>
              <w:top w:val="nil"/>
              <w:left w:val="nil"/>
              <w:bottom w:val="nil"/>
              <w:right w:val="nil"/>
            </w:tcBorders>
            <w:shd w:val="clear" w:color="000000" w:fill="FFFFFF"/>
            <w:noWrap/>
            <w:vAlign w:val="center"/>
            <w:hideMark/>
          </w:tcPr>
          <w:p w14:paraId="671B53D3"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8,592</w:t>
            </w:r>
          </w:p>
        </w:tc>
        <w:tc>
          <w:tcPr>
            <w:tcW w:w="608" w:type="pct"/>
            <w:tcBorders>
              <w:top w:val="nil"/>
              <w:left w:val="nil"/>
              <w:bottom w:val="nil"/>
              <w:right w:val="nil"/>
            </w:tcBorders>
            <w:shd w:val="clear" w:color="000000" w:fill="E6F2FF"/>
            <w:noWrap/>
            <w:vAlign w:val="center"/>
            <w:hideMark/>
          </w:tcPr>
          <w:p w14:paraId="1E6BABB5"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6,523</w:t>
            </w:r>
          </w:p>
        </w:tc>
        <w:tc>
          <w:tcPr>
            <w:tcW w:w="798" w:type="pct"/>
            <w:tcBorders>
              <w:top w:val="nil"/>
              <w:left w:val="nil"/>
              <w:bottom w:val="nil"/>
              <w:right w:val="nil"/>
            </w:tcBorders>
            <w:shd w:val="clear" w:color="000000" w:fill="FFFFFF"/>
            <w:noWrap/>
            <w:vAlign w:val="center"/>
            <w:hideMark/>
          </w:tcPr>
          <w:p w14:paraId="23A7015E"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-2,069</w:t>
            </w:r>
          </w:p>
        </w:tc>
      </w:tr>
      <w:tr w:rsidR="00134D3E" w:rsidRPr="00134D3E" w14:paraId="2386F2DD"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7952DA1C"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Public order and safety</w:t>
            </w:r>
          </w:p>
        </w:tc>
        <w:tc>
          <w:tcPr>
            <w:tcW w:w="608" w:type="pct"/>
            <w:tcBorders>
              <w:top w:val="nil"/>
              <w:left w:val="nil"/>
              <w:bottom w:val="nil"/>
              <w:right w:val="nil"/>
            </w:tcBorders>
            <w:shd w:val="clear" w:color="000000" w:fill="FFFFFF"/>
            <w:noWrap/>
            <w:vAlign w:val="center"/>
            <w:hideMark/>
          </w:tcPr>
          <w:p w14:paraId="7A8657B5"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-59</w:t>
            </w:r>
          </w:p>
        </w:tc>
        <w:tc>
          <w:tcPr>
            <w:tcW w:w="608" w:type="pct"/>
            <w:tcBorders>
              <w:top w:val="nil"/>
              <w:left w:val="nil"/>
              <w:bottom w:val="nil"/>
              <w:right w:val="nil"/>
            </w:tcBorders>
            <w:shd w:val="clear" w:color="000000" w:fill="E6F2FF"/>
            <w:noWrap/>
            <w:vAlign w:val="center"/>
            <w:hideMark/>
          </w:tcPr>
          <w:p w14:paraId="0EDFBE8E"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197</w:t>
            </w:r>
          </w:p>
        </w:tc>
        <w:tc>
          <w:tcPr>
            <w:tcW w:w="798" w:type="pct"/>
            <w:tcBorders>
              <w:top w:val="nil"/>
              <w:left w:val="nil"/>
              <w:bottom w:val="nil"/>
              <w:right w:val="nil"/>
            </w:tcBorders>
            <w:shd w:val="clear" w:color="000000" w:fill="FFFFFF"/>
            <w:noWrap/>
            <w:vAlign w:val="center"/>
            <w:hideMark/>
          </w:tcPr>
          <w:p w14:paraId="389E148B"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256</w:t>
            </w:r>
          </w:p>
        </w:tc>
      </w:tr>
      <w:tr w:rsidR="00134D3E" w:rsidRPr="00134D3E" w14:paraId="62814AF7"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0B1FBE03"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Education</w:t>
            </w:r>
          </w:p>
        </w:tc>
        <w:tc>
          <w:tcPr>
            <w:tcW w:w="608" w:type="pct"/>
            <w:tcBorders>
              <w:top w:val="nil"/>
              <w:left w:val="nil"/>
              <w:bottom w:val="nil"/>
              <w:right w:val="nil"/>
            </w:tcBorders>
            <w:shd w:val="clear" w:color="000000" w:fill="FFFFFF"/>
            <w:noWrap/>
            <w:vAlign w:val="center"/>
            <w:hideMark/>
          </w:tcPr>
          <w:p w14:paraId="5BC935A1"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24</w:t>
            </w:r>
          </w:p>
        </w:tc>
        <w:tc>
          <w:tcPr>
            <w:tcW w:w="608" w:type="pct"/>
            <w:tcBorders>
              <w:top w:val="nil"/>
              <w:left w:val="nil"/>
              <w:bottom w:val="nil"/>
              <w:right w:val="nil"/>
            </w:tcBorders>
            <w:shd w:val="clear" w:color="000000" w:fill="E6F2FF"/>
            <w:noWrap/>
            <w:vAlign w:val="center"/>
            <w:hideMark/>
          </w:tcPr>
          <w:p w14:paraId="511B58B3"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2</w:t>
            </w:r>
          </w:p>
        </w:tc>
        <w:tc>
          <w:tcPr>
            <w:tcW w:w="798" w:type="pct"/>
            <w:tcBorders>
              <w:top w:val="nil"/>
              <w:left w:val="nil"/>
              <w:bottom w:val="nil"/>
              <w:right w:val="nil"/>
            </w:tcBorders>
            <w:shd w:val="clear" w:color="000000" w:fill="FFFFFF"/>
            <w:noWrap/>
            <w:vAlign w:val="center"/>
            <w:hideMark/>
          </w:tcPr>
          <w:p w14:paraId="2126A47E"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-22</w:t>
            </w:r>
          </w:p>
        </w:tc>
      </w:tr>
      <w:tr w:rsidR="00134D3E" w:rsidRPr="00134D3E" w14:paraId="767BC13A"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1525D3BA"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Health</w:t>
            </w:r>
          </w:p>
        </w:tc>
        <w:tc>
          <w:tcPr>
            <w:tcW w:w="608" w:type="pct"/>
            <w:tcBorders>
              <w:top w:val="nil"/>
              <w:left w:val="nil"/>
              <w:bottom w:val="nil"/>
              <w:right w:val="nil"/>
            </w:tcBorders>
            <w:shd w:val="clear" w:color="000000" w:fill="FFFFFF"/>
            <w:noWrap/>
            <w:vAlign w:val="center"/>
            <w:hideMark/>
          </w:tcPr>
          <w:p w14:paraId="673852EC"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411</w:t>
            </w:r>
          </w:p>
        </w:tc>
        <w:tc>
          <w:tcPr>
            <w:tcW w:w="608" w:type="pct"/>
            <w:tcBorders>
              <w:top w:val="nil"/>
              <w:left w:val="nil"/>
              <w:bottom w:val="nil"/>
              <w:right w:val="nil"/>
            </w:tcBorders>
            <w:shd w:val="clear" w:color="000000" w:fill="E6F2FF"/>
            <w:noWrap/>
            <w:vAlign w:val="center"/>
            <w:hideMark/>
          </w:tcPr>
          <w:p w14:paraId="76D20518"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1,967</w:t>
            </w:r>
          </w:p>
        </w:tc>
        <w:tc>
          <w:tcPr>
            <w:tcW w:w="798" w:type="pct"/>
            <w:tcBorders>
              <w:top w:val="nil"/>
              <w:left w:val="nil"/>
              <w:bottom w:val="nil"/>
              <w:right w:val="nil"/>
            </w:tcBorders>
            <w:shd w:val="clear" w:color="000000" w:fill="FFFFFF"/>
            <w:noWrap/>
            <w:vAlign w:val="center"/>
            <w:hideMark/>
          </w:tcPr>
          <w:p w14:paraId="721A4FFE"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1,556</w:t>
            </w:r>
          </w:p>
        </w:tc>
      </w:tr>
      <w:tr w:rsidR="00134D3E" w:rsidRPr="00134D3E" w14:paraId="565AD554"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04B0B4F3"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Social security and welfare</w:t>
            </w:r>
          </w:p>
        </w:tc>
        <w:tc>
          <w:tcPr>
            <w:tcW w:w="608" w:type="pct"/>
            <w:tcBorders>
              <w:top w:val="nil"/>
              <w:left w:val="nil"/>
              <w:bottom w:val="nil"/>
              <w:right w:val="nil"/>
            </w:tcBorders>
            <w:shd w:val="clear" w:color="000000" w:fill="FFFFFF"/>
            <w:noWrap/>
            <w:vAlign w:val="center"/>
            <w:hideMark/>
          </w:tcPr>
          <w:p w14:paraId="0A1A90E4"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253</w:t>
            </w:r>
          </w:p>
        </w:tc>
        <w:tc>
          <w:tcPr>
            <w:tcW w:w="608" w:type="pct"/>
            <w:tcBorders>
              <w:top w:val="nil"/>
              <w:left w:val="nil"/>
              <w:bottom w:val="nil"/>
              <w:right w:val="nil"/>
            </w:tcBorders>
            <w:shd w:val="clear" w:color="000000" w:fill="E6F2FF"/>
            <w:noWrap/>
            <w:vAlign w:val="center"/>
            <w:hideMark/>
          </w:tcPr>
          <w:p w14:paraId="383540A9"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132</w:t>
            </w:r>
          </w:p>
        </w:tc>
        <w:tc>
          <w:tcPr>
            <w:tcW w:w="798" w:type="pct"/>
            <w:tcBorders>
              <w:top w:val="nil"/>
              <w:left w:val="nil"/>
              <w:bottom w:val="nil"/>
              <w:right w:val="nil"/>
            </w:tcBorders>
            <w:shd w:val="clear" w:color="000000" w:fill="FFFFFF"/>
            <w:noWrap/>
            <w:vAlign w:val="center"/>
            <w:hideMark/>
          </w:tcPr>
          <w:p w14:paraId="6DFE7852"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-121</w:t>
            </w:r>
          </w:p>
        </w:tc>
      </w:tr>
      <w:tr w:rsidR="00134D3E" w:rsidRPr="00134D3E" w14:paraId="4466237D"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75B6D4F3"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Housing and community amenities</w:t>
            </w:r>
          </w:p>
        </w:tc>
        <w:tc>
          <w:tcPr>
            <w:tcW w:w="608" w:type="pct"/>
            <w:tcBorders>
              <w:top w:val="nil"/>
              <w:left w:val="nil"/>
              <w:bottom w:val="nil"/>
              <w:right w:val="nil"/>
            </w:tcBorders>
            <w:shd w:val="clear" w:color="000000" w:fill="FFFFFF"/>
            <w:noWrap/>
            <w:vAlign w:val="center"/>
            <w:hideMark/>
          </w:tcPr>
          <w:p w14:paraId="02145B87"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468</w:t>
            </w:r>
          </w:p>
        </w:tc>
        <w:tc>
          <w:tcPr>
            <w:tcW w:w="608" w:type="pct"/>
            <w:tcBorders>
              <w:top w:val="nil"/>
              <w:left w:val="nil"/>
              <w:bottom w:val="nil"/>
              <w:right w:val="nil"/>
            </w:tcBorders>
            <w:shd w:val="clear" w:color="000000" w:fill="E6F2FF"/>
            <w:noWrap/>
            <w:vAlign w:val="center"/>
            <w:hideMark/>
          </w:tcPr>
          <w:p w14:paraId="6207F739"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106</w:t>
            </w:r>
          </w:p>
        </w:tc>
        <w:tc>
          <w:tcPr>
            <w:tcW w:w="798" w:type="pct"/>
            <w:tcBorders>
              <w:top w:val="nil"/>
              <w:left w:val="nil"/>
              <w:bottom w:val="nil"/>
              <w:right w:val="nil"/>
            </w:tcBorders>
            <w:shd w:val="clear" w:color="000000" w:fill="FFFFFF"/>
            <w:noWrap/>
            <w:vAlign w:val="center"/>
            <w:hideMark/>
          </w:tcPr>
          <w:p w14:paraId="66A433DA"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-363</w:t>
            </w:r>
          </w:p>
        </w:tc>
      </w:tr>
      <w:tr w:rsidR="00134D3E" w:rsidRPr="00134D3E" w14:paraId="1CD1830E"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1D6C3E77"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Recreation and culture</w:t>
            </w:r>
          </w:p>
        </w:tc>
        <w:tc>
          <w:tcPr>
            <w:tcW w:w="608" w:type="pct"/>
            <w:tcBorders>
              <w:top w:val="nil"/>
              <w:left w:val="nil"/>
              <w:bottom w:val="nil"/>
              <w:right w:val="nil"/>
            </w:tcBorders>
            <w:shd w:val="clear" w:color="000000" w:fill="FFFFFF"/>
            <w:noWrap/>
            <w:vAlign w:val="center"/>
            <w:hideMark/>
          </w:tcPr>
          <w:p w14:paraId="5CA51CB7"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186</w:t>
            </w:r>
          </w:p>
        </w:tc>
        <w:tc>
          <w:tcPr>
            <w:tcW w:w="608" w:type="pct"/>
            <w:tcBorders>
              <w:top w:val="nil"/>
              <w:left w:val="nil"/>
              <w:bottom w:val="nil"/>
              <w:right w:val="nil"/>
            </w:tcBorders>
            <w:shd w:val="clear" w:color="000000" w:fill="E6F2FF"/>
            <w:noWrap/>
            <w:vAlign w:val="center"/>
            <w:hideMark/>
          </w:tcPr>
          <w:p w14:paraId="454B8F3E"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-3</w:t>
            </w:r>
          </w:p>
        </w:tc>
        <w:tc>
          <w:tcPr>
            <w:tcW w:w="798" w:type="pct"/>
            <w:tcBorders>
              <w:top w:val="nil"/>
              <w:left w:val="nil"/>
              <w:bottom w:val="nil"/>
              <w:right w:val="nil"/>
            </w:tcBorders>
            <w:shd w:val="clear" w:color="000000" w:fill="FFFFFF"/>
            <w:noWrap/>
            <w:vAlign w:val="center"/>
            <w:hideMark/>
          </w:tcPr>
          <w:p w14:paraId="7EC3138A"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-190</w:t>
            </w:r>
          </w:p>
        </w:tc>
      </w:tr>
      <w:tr w:rsidR="00134D3E" w:rsidRPr="00134D3E" w14:paraId="50AB6FD2"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2C9D758C"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Fuel and energy</w:t>
            </w:r>
          </w:p>
        </w:tc>
        <w:tc>
          <w:tcPr>
            <w:tcW w:w="608" w:type="pct"/>
            <w:tcBorders>
              <w:top w:val="nil"/>
              <w:left w:val="nil"/>
              <w:bottom w:val="nil"/>
              <w:right w:val="nil"/>
            </w:tcBorders>
            <w:shd w:val="clear" w:color="000000" w:fill="FFFFFF"/>
            <w:noWrap/>
            <w:vAlign w:val="center"/>
            <w:hideMark/>
          </w:tcPr>
          <w:p w14:paraId="2FB33DF3"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14</w:t>
            </w:r>
          </w:p>
        </w:tc>
        <w:tc>
          <w:tcPr>
            <w:tcW w:w="608" w:type="pct"/>
            <w:tcBorders>
              <w:top w:val="nil"/>
              <w:left w:val="nil"/>
              <w:bottom w:val="nil"/>
              <w:right w:val="nil"/>
            </w:tcBorders>
            <w:shd w:val="clear" w:color="000000" w:fill="E6F2FF"/>
            <w:noWrap/>
            <w:vAlign w:val="center"/>
            <w:hideMark/>
          </w:tcPr>
          <w:p w14:paraId="0A5C4EB3"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-12</w:t>
            </w:r>
          </w:p>
        </w:tc>
        <w:tc>
          <w:tcPr>
            <w:tcW w:w="798" w:type="pct"/>
            <w:tcBorders>
              <w:top w:val="nil"/>
              <w:left w:val="nil"/>
              <w:bottom w:val="nil"/>
              <w:right w:val="nil"/>
            </w:tcBorders>
            <w:shd w:val="clear" w:color="000000" w:fill="FFFFFF"/>
            <w:noWrap/>
            <w:vAlign w:val="center"/>
            <w:hideMark/>
          </w:tcPr>
          <w:p w14:paraId="1243DE14"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-25</w:t>
            </w:r>
          </w:p>
        </w:tc>
      </w:tr>
      <w:tr w:rsidR="00134D3E" w:rsidRPr="00134D3E" w14:paraId="0B552417"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5BED9ADD"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 xml:space="preserve">Agriculture, </w:t>
            </w:r>
            <w:proofErr w:type="gramStart"/>
            <w:r w:rsidRPr="00134D3E">
              <w:rPr>
                <w:rFonts w:ascii="Arial" w:hAnsi="Arial" w:cs="Arial"/>
                <w:color w:val="000000"/>
                <w:sz w:val="16"/>
                <w:szCs w:val="16"/>
              </w:rPr>
              <w:t>forestry</w:t>
            </w:r>
            <w:proofErr w:type="gramEnd"/>
            <w:r w:rsidRPr="00134D3E">
              <w:rPr>
                <w:rFonts w:ascii="Arial" w:hAnsi="Arial" w:cs="Arial"/>
                <w:color w:val="000000"/>
                <w:sz w:val="16"/>
                <w:szCs w:val="16"/>
              </w:rPr>
              <w:t xml:space="preserve"> and fishing</w:t>
            </w:r>
          </w:p>
        </w:tc>
        <w:tc>
          <w:tcPr>
            <w:tcW w:w="608" w:type="pct"/>
            <w:tcBorders>
              <w:top w:val="nil"/>
              <w:left w:val="nil"/>
              <w:bottom w:val="nil"/>
              <w:right w:val="nil"/>
            </w:tcBorders>
            <w:shd w:val="clear" w:color="000000" w:fill="FFFFFF"/>
            <w:noWrap/>
            <w:vAlign w:val="center"/>
            <w:hideMark/>
          </w:tcPr>
          <w:p w14:paraId="455AE661"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50</w:t>
            </w:r>
          </w:p>
        </w:tc>
        <w:tc>
          <w:tcPr>
            <w:tcW w:w="608" w:type="pct"/>
            <w:tcBorders>
              <w:top w:val="nil"/>
              <w:left w:val="nil"/>
              <w:bottom w:val="nil"/>
              <w:right w:val="nil"/>
            </w:tcBorders>
            <w:shd w:val="clear" w:color="000000" w:fill="E6F2FF"/>
            <w:noWrap/>
            <w:vAlign w:val="center"/>
            <w:hideMark/>
          </w:tcPr>
          <w:p w14:paraId="4B44E5C3"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341</w:t>
            </w:r>
          </w:p>
        </w:tc>
        <w:tc>
          <w:tcPr>
            <w:tcW w:w="798" w:type="pct"/>
            <w:tcBorders>
              <w:top w:val="nil"/>
              <w:left w:val="nil"/>
              <w:bottom w:val="nil"/>
              <w:right w:val="nil"/>
            </w:tcBorders>
            <w:shd w:val="clear" w:color="000000" w:fill="FFFFFF"/>
            <w:noWrap/>
            <w:vAlign w:val="center"/>
            <w:hideMark/>
          </w:tcPr>
          <w:p w14:paraId="2D2F5178"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291</w:t>
            </w:r>
          </w:p>
        </w:tc>
      </w:tr>
      <w:tr w:rsidR="00134D3E" w:rsidRPr="00134D3E" w14:paraId="44C10087"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5C56425F"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 xml:space="preserve">Mining, </w:t>
            </w:r>
            <w:proofErr w:type="gramStart"/>
            <w:r w:rsidRPr="00134D3E">
              <w:rPr>
                <w:rFonts w:ascii="Arial" w:hAnsi="Arial" w:cs="Arial"/>
                <w:color w:val="000000"/>
                <w:sz w:val="16"/>
                <w:szCs w:val="16"/>
              </w:rPr>
              <w:t>manufacturing</w:t>
            </w:r>
            <w:proofErr w:type="gramEnd"/>
            <w:r w:rsidRPr="00134D3E">
              <w:rPr>
                <w:rFonts w:ascii="Arial" w:hAnsi="Arial" w:cs="Arial"/>
                <w:color w:val="000000"/>
                <w:sz w:val="16"/>
                <w:szCs w:val="16"/>
              </w:rPr>
              <w:t xml:space="preserve"> and construction</w:t>
            </w:r>
          </w:p>
        </w:tc>
        <w:tc>
          <w:tcPr>
            <w:tcW w:w="608" w:type="pct"/>
            <w:tcBorders>
              <w:top w:val="nil"/>
              <w:left w:val="nil"/>
              <w:bottom w:val="nil"/>
              <w:right w:val="nil"/>
            </w:tcBorders>
            <w:shd w:val="clear" w:color="000000" w:fill="FFFFFF"/>
            <w:noWrap/>
            <w:vAlign w:val="center"/>
            <w:hideMark/>
          </w:tcPr>
          <w:p w14:paraId="743D234E"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-21</w:t>
            </w:r>
          </w:p>
        </w:tc>
        <w:tc>
          <w:tcPr>
            <w:tcW w:w="608" w:type="pct"/>
            <w:tcBorders>
              <w:top w:val="nil"/>
              <w:left w:val="nil"/>
              <w:bottom w:val="nil"/>
              <w:right w:val="nil"/>
            </w:tcBorders>
            <w:shd w:val="clear" w:color="000000" w:fill="E6F2FF"/>
            <w:noWrap/>
            <w:vAlign w:val="center"/>
            <w:hideMark/>
          </w:tcPr>
          <w:p w14:paraId="68805DA5"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126</w:t>
            </w:r>
          </w:p>
        </w:tc>
        <w:tc>
          <w:tcPr>
            <w:tcW w:w="798" w:type="pct"/>
            <w:tcBorders>
              <w:top w:val="nil"/>
              <w:left w:val="nil"/>
              <w:bottom w:val="nil"/>
              <w:right w:val="nil"/>
            </w:tcBorders>
            <w:shd w:val="clear" w:color="000000" w:fill="FFFFFF"/>
            <w:noWrap/>
            <w:vAlign w:val="center"/>
            <w:hideMark/>
          </w:tcPr>
          <w:p w14:paraId="1F957BF4"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147</w:t>
            </w:r>
          </w:p>
        </w:tc>
      </w:tr>
      <w:tr w:rsidR="00134D3E" w:rsidRPr="00134D3E" w14:paraId="326BD808"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3B3E206C"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Transport and communication</w:t>
            </w:r>
          </w:p>
        </w:tc>
        <w:tc>
          <w:tcPr>
            <w:tcW w:w="608" w:type="pct"/>
            <w:tcBorders>
              <w:top w:val="nil"/>
              <w:left w:val="nil"/>
              <w:bottom w:val="nil"/>
              <w:right w:val="nil"/>
            </w:tcBorders>
            <w:shd w:val="clear" w:color="000000" w:fill="FFFFFF"/>
            <w:noWrap/>
            <w:vAlign w:val="center"/>
            <w:hideMark/>
          </w:tcPr>
          <w:p w14:paraId="596E9FDB"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-27</w:t>
            </w:r>
          </w:p>
        </w:tc>
        <w:tc>
          <w:tcPr>
            <w:tcW w:w="608" w:type="pct"/>
            <w:tcBorders>
              <w:top w:val="nil"/>
              <w:left w:val="nil"/>
              <w:bottom w:val="nil"/>
              <w:right w:val="nil"/>
            </w:tcBorders>
            <w:shd w:val="clear" w:color="000000" w:fill="E6F2FF"/>
            <w:noWrap/>
            <w:vAlign w:val="center"/>
            <w:hideMark/>
          </w:tcPr>
          <w:p w14:paraId="03F77F7C"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-72</w:t>
            </w:r>
          </w:p>
        </w:tc>
        <w:tc>
          <w:tcPr>
            <w:tcW w:w="798" w:type="pct"/>
            <w:tcBorders>
              <w:top w:val="nil"/>
              <w:left w:val="nil"/>
              <w:bottom w:val="nil"/>
              <w:right w:val="nil"/>
            </w:tcBorders>
            <w:shd w:val="clear" w:color="000000" w:fill="FFFFFF"/>
            <w:noWrap/>
            <w:vAlign w:val="center"/>
            <w:hideMark/>
          </w:tcPr>
          <w:p w14:paraId="48E2733D"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-45</w:t>
            </w:r>
          </w:p>
        </w:tc>
      </w:tr>
      <w:tr w:rsidR="00134D3E" w:rsidRPr="00134D3E" w14:paraId="598A2221"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6E4B81D2"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Other economic affairs</w:t>
            </w:r>
          </w:p>
        </w:tc>
        <w:tc>
          <w:tcPr>
            <w:tcW w:w="608" w:type="pct"/>
            <w:tcBorders>
              <w:top w:val="nil"/>
              <w:left w:val="nil"/>
              <w:bottom w:val="nil"/>
              <w:right w:val="nil"/>
            </w:tcBorders>
            <w:shd w:val="clear" w:color="000000" w:fill="FFFFFF"/>
            <w:noWrap/>
            <w:vAlign w:val="center"/>
            <w:hideMark/>
          </w:tcPr>
          <w:p w14:paraId="61C04A1A"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82</w:t>
            </w:r>
          </w:p>
        </w:tc>
        <w:tc>
          <w:tcPr>
            <w:tcW w:w="608" w:type="pct"/>
            <w:tcBorders>
              <w:top w:val="nil"/>
              <w:left w:val="nil"/>
              <w:bottom w:val="nil"/>
              <w:right w:val="nil"/>
            </w:tcBorders>
            <w:shd w:val="clear" w:color="000000" w:fill="E6F2FF"/>
            <w:noWrap/>
            <w:vAlign w:val="center"/>
            <w:hideMark/>
          </w:tcPr>
          <w:p w14:paraId="28E7A82E"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-40</w:t>
            </w:r>
          </w:p>
        </w:tc>
        <w:tc>
          <w:tcPr>
            <w:tcW w:w="798" w:type="pct"/>
            <w:tcBorders>
              <w:top w:val="nil"/>
              <w:left w:val="nil"/>
              <w:bottom w:val="nil"/>
              <w:right w:val="nil"/>
            </w:tcBorders>
            <w:shd w:val="clear" w:color="000000" w:fill="FFFFFF"/>
            <w:noWrap/>
            <w:vAlign w:val="center"/>
            <w:hideMark/>
          </w:tcPr>
          <w:p w14:paraId="5A2BB34B"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-123</w:t>
            </w:r>
          </w:p>
        </w:tc>
      </w:tr>
      <w:tr w:rsidR="00134D3E" w:rsidRPr="00134D3E" w14:paraId="7ED81451" w14:textId="77777777" w:rsidTr="00134D3E">
        <w:trPr>
          <w:trHeight w:hRule="exact" w:val="225"/>
        </w:trPr>
        <w:tc>
          <w:tcPr>
            <w:tcW w:w="2985" w:type="pct"/>
            <w:tcBorders>
              <w:top w:val="nil"/>
              <w:left w:val="nil"/>
              <w:bottom w:val="nil"/>
              <w:right w:val="nil"/>
            </w:tcBorders>
            <w:shd w:val="clear" w:color="000000" w:fill="FFFFFF"/>
            <w:noWrap/>
            <w:vAlign w:val="center"/>
            <w:hideMark/>
          </w:tcPr>
          <w:p w14:paraId="234C3CAF" w14:textId="77777777" w:rsidR="00134D3E" w:rsidRPr="00134D3E" w:rsidRDefault="00134D3E" w:rsidP="00134D3E">
            <w:pPr>
              <w:spacing w:before="0" w:after="0" w:line="240" w:lineRule="auto"/>
              <w:rPr>
                <w:rFonts w:ascii="Arial" w:hAnsi="Arial" w:cs="Arial"/>
                <w:color w:val="000000"/>
                <w:sz w:val="16"/>
                <w:szCs w:val="16"/>
              </w:rPr>
            </w:pPr>
            <w:r w:rsidRPr="00134D3E">
              <w:rPr>
                <w:rFonts w:ascii="Arial" w:hAnsi="Arial" w:cs="Arial"/>
                <w:color w:val="000000"/>
                <w:sz w:val="16"/>
                <w:szCs w:val="16"/>
              </w:rPr>
              <w:t>Other purposes</w:t>
            </w:r>
          </w:p>
        </w:tc>
        <w:tc>
          <w:tcPr>
            <w:tcW w:w="608" w:type="pct"/>
            <w:tcBorders>
              <w:top w:val="nil"/>
              <w:left w:val="nil"/>
              <w:bottom w:val="nil"/>
              <w:right w:val="nil"/>
            </w:tcBorders>
            <w:shd w:val="clear" w:color="000000" w:fill="FFFFFF"/>
            <w:noWrap/>
            <w:vAlign w:val="center"/>
            <w:hideMark/>
          </w:tcPr>
          <w:p w14:paraId="3EC0C03E"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-8</w:t>
            </w:r>
          </w:p>
        </w:tc>
        <w:tc>
          <w:tcPr>
            <w:tcW w:w="608" w:type="pct"/>
            <w:tcBorders>
              <w:top w:val="nil"/>
              <w:left w:val="nil"/>
              <w:bottom w:val="nil"/>
              <w:right w:val="nil"/>
            </w:tcBorders>
            <w:shd w:val="clear" w:color="000000" w:fill="E6F2FF"/>
            <w:noWrap/>
            <w:vAlign w:val="center"/>
            <w:hideMark/>
          </w:tcPr>
          <w:p w14:paraId="039BECFC"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1</w:t>
            </w:r>
          </w:p>
        </w:tc>
        <w:tc>
          <w:tcPr>
            <w:tcW w:w="798" w:type="pct"/>
            <w:tcBorders>
              <w:top w:val="nil"/>
              <w:left w:val="nil"/>
              <w:bottom w:val="nil"/>
              <w:right w:val="nil"/>
            </w:tcBorders>
            <w:shd w:val="clear" w:color="000000" w:fill="FFFFFF"/>
            <w:noWrap/>
            <w:vAlign w:val="center"/>
            <w:hideMark/>
          </w:tcPr>
          <w:p w14:paraId="0FDF2696" w14:textId="77777777" w:rsidR="00134D3E" w:rsidRPr="00134D3E" w:rsidRDefault="00134D3E" w:rsidP="00134D3E">
            <w:pPr>
              <w:spacing w:before="0" w:after="0" w:line="240" w:lineRule="auto"/>
              <w:jc w:val="right"/>
              <w:rPr>
                <w:rFonts w:ascii="Arial" w:hAnsi="Arial" w:cs="Arial"/>
                <w:color w:val="000000"/>
                <w:sz w:val="16"/>
                <w:szCs w:val="16"/>
              </w:rPr>
            </w:pPr>
            <w:r w:rsidRPr="00134D3E">
              <w:rPr>
                <w:rFonts w:ascii="Arial" w:hAnsi="Arial" w:cs="Arial"/>
                <w:color w:val="000000"/>
                <w:sz w:val="16"/>
                <w:szCs w:val="16"/>
              </w:rPr>
              <w:t>9</w:t>
            </w:r>
          </w:p>
        </w:tc>
      </w:tr>
      <w:tr w:rsidR="00134D3E" w:rsidRPr="00134D3E" w14:paraId="10099A66" w14:textId="77777777" w:rsidTr="00134D3E">
        <w:trPr>
          <w:trHeight w:hRule="exact" w:val="225"/>
        </w:trPr>
        <w:tc>
          <w:tcPr>
            <w:tcW w:w="2985" w:type="pct"/>
            <w:tcBorders>
              <w:top w:val="nil"/>
              <w:left w:val="nil"/>
              <w:bottom w:val="single" w:sz="4" w:space="0" w:color="293F5B"/>
              <w:right w:val="nil"/>
            </w:tcBorders>
            <w:shd w:val="clear" w:color="000000" w:fill="FFFFFF"/>
            <w:noWrap/>
            <w:vAlign w:val="center"/>
            <w:hideMark/>
          </w:tcPr>
          <w:p w14:paraId="429060BC" w14:textId="77777777" w:rsidR="00134D3E" w:rsidRPr="00134D3E" w:rsidRDefault="00134D3E" w:rsidP="00134D3E">
            <w:pPr>
              <w:spacing w:before="0" w:after="0" w:line="240" w:lineRule="auto"/>
              <w:rPr>
                <w:rFonts w:ascii="Arial" w:hAnsi="Arial" w:cs="Arial"/>
                <w:b/>
                <w:bCs/>
                <w:color w:val="000000"/>
                <w:sz w:val="16"/>
                <w:szCs w:val="16"/>
              </w:rPr>
            </w:pPr>
            <w:r w:rsidRPr="00134D3E">
              <w:rPr>
                <w:rFonts w:ascii="Arial" w:hAnsi="Arial" w:cs="Arial"/>
                <w:b/>
                <w:bCs/>
                <w:color w:val="000000"/>
                <w:sz w:val="16"/>
                <w:szCs w:val="16"/>
              </w:rPr>
              <w:t>Total net capital investment</w:t>
            </w:r>
          </w:p>
        </w:tc>
        <w:tc>
          <w:tcPr>
            <w:tcW w:w="608" w:type="pct"/>
            <w:tcBorders>
              <w:top w:val="single" w:sz="4" w:space="0" w:color="293F5B"/>
              <w:left w:val="nil"/>
              <w:bottom w:val="single" w:sz="4" w:space="0" w:color="293F5B"/>
              <w:right w:val="nil"/>
            </w:tcBorders>
            <w:shd w:val="clear" w:color="000000" w:fill="FFFFFF"/>
            <w:noWrap/>
            <w:vAlign w:val="center"/>
            <w:hideMark/>
          </w:tcPr>
          <w:p w14:paraId="37DBE922" w14:textId="77777777" w:rsidR="00134D3E" w:rsidRPr="00134D3E" w:rsidRDefault="00134D3E" w:rsidP="00134D3E">
            <w:pPr>
              <w:spacing w:before="0" w:after="0" w:line="240" w:lineRule="auto"/>
              <w:jc w:val="right"/>
              <w:rPr>
                <w:rFonts w:ascii="Arial" w:hAnsi="Arial" w:cs="Arial"/>
                <w:b/>
                <w:bCs/>
                <w:color w:val="000000"/>
                <w:sz w:val="16"/>
                <w:szCs w:val="16"/>
              </w:rPr>
            </w:pPr>
            <w:r w:rsidRPr="00134D3E">
              <w:rPr>
                <w:rFonts w:ascii="Arial" w:hAnsi="Arial" w:cs="Arial"/>
                <w:b/>
                <w:bCs/>
                <w:color w:val="000000"/>
                <w:sz w:val="16"/>
                <w:szCs w:val="16"/>
              </w:rPr>
              <w:t>10,441</w:t>
            </w:r>
          </w:p>
        </w:tc>
        <w:tc>
          <w:tcPr>
            <w:tcW w:w="608" w:type="pct"/>
            <w:tcBorders>
              <w:top w:val="single" w:sz="4" w:space="0" w:color="293F5B"/>
              <w:left w:val="nil"/>
              <w:bottom w:val="single" w:sz="4" w:space="0" w:color="293F5B"/>
              <w:right w:val="nil"/>
            </w:tcBorders>
            <w:shd w:val="clear" w:color="000000" w:fill="E6F2FF"/>
            <w:noWrap/>
            <w:vAlign w:val="center"/>
            <w:hideMark/>
          </w:tcPr>
          <w:p w14:paraId="0A8B9938" w14:textId="77777777" w:rsidR="00134D3E" w:rsidRPr="00134D3E" w:rsidRDefault="00134D3E" w:rsidP="00134D3E">
            <w:pPr>
              <w:spacing w:before="0" w:after="0" w:line="240" w:lineRule="auto"/>
              <w:jc w:val="right"/>
              <w:rPr>
                <w:rFonts w:ascii="Arial" w:hAnsi="Arial" w:cs="Arial"/>
                <w:b/>
                <w:bCs/>
                <w:color w:val="000000"/>
                <w:sz w:val="16"/>
                <w:szCs w:val="16"/>
              </w:rPr>
            </w:pPr>
            <w:r w:rsidRPr="00134D3E">
              <w:rPr>
                <w:rFonts w:ascii="Arial" w:hAnsi="Arial" w:cs="Arial"/>
                <w:b/>
                <w:bCs/>
                <w:color w:val="000000"/>
                <w:sz w:val="16"/>
                <w:szCs w:val="16"/>
              </w:rPr>
              <w:t>9,437</w:t>
            </w:r>
          </w:p>
        </w:tc>
        <w:tc>
          <w:tcPr>
            <w:tcW w:w="798" w:type="pct"/>
            <w:tcBorders>
              <w:top w:val="single" w:sz="4" w:space="0" w:color="293F5B"/>
              <w:left w:val="nil"/>
              <w:bottom w:val="single" w:sz="4" w:space="0" w:color="293F5B"/>
              <w:right w:val="nil"/>
            </w:tcBorders>
            <w:shd w:val="clear" w:color="000000" w:fill="FFFFFF"/>
            <w:noWrap/>
            <w:vAlign w:val="center"/>
            <w:hideMark/>
          </w:tcPr>
          <w:p w14:paraId="2881A0FC" w14:textId="77777777" w:rsidR="00134D3E" w:rsidRPr="00134D3E" w:rsidRDefault="00134D3E" w:rsidP="00134D3E">
            <w:pPr>
              <w:spacing w:before="0" w:after="0" w:line="240" w:lineRule="auto"/>
              <w:jc w:val="right"/>
              <w:rPr>
                <w:rFonts w:ascii="Arial" w:hAnsi="Arial" w:cs="Arial"/>
                <w:b/>
                <w:bCs/>
                <w:color w:val="000000"/>
                <w:sz w:val="16"/>
                <w:szCs w:val="16"/>
              </w:rPr>
            </w:pPr>
            <w:r w:rsidRPr="00134D3E">
              <w:rPr>
                <w:rFonts w:ascii="Arial" w:hAnsi="Arial" w:cs="Arial"/>
                <w:b/>
                <w:bCs/>
                <w:color w:val="000000"/>
                <w:sz w:val="16"/>
                <w:szCs w:val="16"/>
              </w:rPr>
              <w:t>-1,004</w:t>
            </w:r>
          </w:p>
        </w:tc>
      </w:tr>
    </w:tbl>
    <w:p w14:paraId="10A529CD" w14:textId="487EC15F" w:rsidR="002959E6" w:rsidRPr="004E1D0C" w:rsidRDefault="002959E6" w:rsidP="004E1D0C">
      <w:pPr>
        <w:pStyle w:val="SingleParagraph"/>
        <w:rPr>
          <w:rFonts w:ascii="Arial" w:hAnsi="Arial" w:cs="Arial"/>
          <w:sz w:val="16"/>
          <w:szCs w:val="16"/>
        </w:rPr>
      </w:pPr>
    </w:p>
    <w:p w14:paraId="2B051F84" w14:textId="2C94188E" w:rsidR="001650F0" w:rsidRPr="00390B7D" w:rsidRDefault="002959E6" w:rsidP="001650F0">
      <w:pPr>
        <w:pStyle w:val="TableHeading"/>
      </w:pPr>
      <w:r w:rsidRPr="00390B7D">
        <w:t>Table 1.7: Australian Government general government sector purchases of non</w:t>
      </w:r>
      <w:r w:rsidR="006B57C6" w:rsidRPr="00390B7D">
        <w:noBreakHyphen/>
      </w:r>
      <w:r w:rsidRPr="00390B7D">
        <w:t>financial assets by function</w:t>
      </w:r>
      <w:bookmarkStart w:id="18" w:name="_1724850833"/>
      <w:bookmarkStart w:id="19" w:name="_1724158676"/>
      <w:bookmarkStart w:id="20" w:name="_1724182438"/>
      <w:bookmarkStart w:id="21" w:name="_1724833670"/>
      <w:bookmarkStart w:id="22" w:name="_1724859275"/>
      <w:bookmarkEnd w:id="18"/>
      <w:bookmarkEnd w:id="19"/>
      <w:bookmarkEnd w:id="20"/>
      <w:bookmarkEnd w:id="21"/>
      <w:bookmarkEnd w:id="22"/>
      <w:r w:rsidR="00620A94" w:rsidRPr="00390B7D">
        <w:rPr>
          <w:noProof/>
        </w:rPr>
        <w:t xml:space="preserve"> </w:t>
      </w:r>
    </w:p>
    <w:tbl>
      <w:tblPr>
        <w:tblW w:w="5000" w:type="pct"/>
        <w:tblCellMar>
          <w:left w:w="0" w:type="dxa"/>
          <w:right w:w="28" w:type="dxa"/>
        </w:tblCellMar>
        <w:tblLook w:val="04A0" w:firstRow="1" w:lastRow="0" w:firstColumn="1" w:lastColumn="0" w:noHBand="0" w:noVBand="1"/>
      </w:tblPr>
      <w:tblGrid>
        <w:gridCol w:w="4178"/>
        <w:gridCol w:w="1140"/>
        <w:gridCol w:w="1140"/>
        <w:gridCol w:w="1252"/>
      </w:tblGrid>
      <w:tr w:rsidR="001650F0" w:rsidRPr="00390B7D" w14:paraId="61E9ECC1" w14:textId="77777777" w:rsidTr="00A91F79">
        <w:trPr>
          <w:trHeight w:hRule="exact" w:val="225"/>
        </w:trPr>
        <w:tc>
          <w:tcPr>
            <w:tcW w:w="2709" w:type="pct"/>
            <w:tcBorders>
              <w:top w:val="single" w:sz="4" w:space="0" w:color="293F5B"/>
              <w:left w:val="nil"/>
              <w:bottom w:val="nil"/>
              <w:right w:val="nil"/>
            </w:tcBorders>
            <w:shd w:val="clear" w:color="000000" w:fill="FFFFFF"/>
            <w:noWrap/>
            <w:vAlign w:val="center"/>
            <w:hideMark/>
          </w:tcPr>
          <w:p w14:paraId="6B50EE58" w14:textId="629C8E1F"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39" w:type="pct"/>
            <w:tcBorders>
              <w:top w:val="single" w:sz="4" w:space="0" w:color="293F5B"/>
              <w:left w:val="nil"/>
              <w:bottom w:val="nil"/>
              <w:right w:val="nil"/>
            </w:tcBorders>
            <w:shd w:val="clear" w:color="000000" w:fill="FFFFFF"/>
            <w:noWrap/>
            <w:vAlign w:val="center"/>
            <w:hideMark/>
          </w:tcPr>
          <w:p w14:paraId="1AD485CE"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2022-23</w:t>
            </w:r>
          </w:p>
        </w:tc>
        <w:tc>
          <w:tcPr>
            <w:tcW w:w="739" w:type="pct"/>
            <w:tcBorders>
              <w:top w:val="single" w:sz="4" w:space="0" w:color="293F5B"/>
              <w:left w:val="nil"/>
              <w:bottom w:val="nil"/>
              <w:right w:val="nil"/>
            </w:tcBorders>
            <w:shd w:val="clear" w:color="000000" w:fill="E6F2FF"/>
            <w:noWrap/>
            <w:vAlign w:val="center"/>
            <w:hideMark/>
          </w:tcPr>
          <w:p w14:paraId="661DEF99"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2022-23</w:t>
            </w:r>
          </w:p>
        </w:tc>
        <w:tc>
          <w:tcPr>
            <w:tcW w:w="812" w:type="pct"/>
            <w:tcBorders>
              <w:top w:val="single" w:sz="4" w:space="0" w:color="293F5B"/>
              <w:left w:val="nil"/>
              <w:bottom w:val="nil"/>
              <w:right w:val="nil"/>
            </w:tcBorders>
            <w:shd w:val="clear" w:color="000000" w:fill="FFFFFF"/>
            <w:noWrap/>
            <w:vAlign w:val="bottom"/>
            <w:hideMark/>
          </w:tcPr>
          <w:p w14:paraId="257DB087"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Change on</w:t>
            </w:r>
          </w:p>
        </w:tc>
      </w:tr>
      <w:tr w:rsidR="001650F0" w:rsidRPr="00390B7D" w14:paraId="01944A5D"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662C8D6A"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39" w:type="pct"/>
            <w:tcBorders>
              <w:top w:val="nil"/>
              <w:left w:val="nil"/>
              <w:bottom w:val="nil"/>
              <w:right w:val="nil"/>
            </w:tcBorders>
            <w:shd w:val="clear" w:color="000000" w:fill="FFFFFF"/>
            <w:noWrap/>
            <w:vAlign w:val="center"/>
            <w:hideMark/>
          </w:tcPr>
          <w:p w14:paraId="563A0B86"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Estimate at</w:t>
            </w:r>
          </w:p>
        </w:tc>
        <w:tc>
          <w:tcPr>
            <w:tcW w:w="739" w:type="pct"/>
            <w:tcBorders>
              <w:top w:val="nil"/>
              <w:left w:val="nil"/>
              <w:bottom w:val="nil"/>
              <w:right w:val="nil"/>
            </w:tcBorders>
            <w:shd w:val="clear" w:color="000000" w:fill="E6F2FF"/>
            <w:noWrap/>
            <w:vAlign w:val="center"/>
            <w:hideMark/>
          </w:tcPr>
          <w:p w14:paraId="0BD902BA"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Outcome</w:t>
            </w:r>
          </w:p>
        </w:tc>
        <w:tc>
          <w:tcPr>
            <w:tcW w:w="812" w:type="pct"/>
            <w:tcBorders>
              <w:top w:val="nil"/>
              <w:left w:val="nil"/>
              <w:bottom w:val="nil"/>
              <w:right w:val="nil"/>
            </w:tcBorders>
            <w:shd w:val="clear" w:color="000000" w:fill="FFFFFF"/>
            <w:noWrap/>
            <w:vAlign w:val="center"/>
            <w:hideMark/>
          </w:tcPr>
          <w:p w14:paraId="1F4A5464"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2023-24</w:t>
            </w:r>
          </w:p>
        </w:tc>
      </w:tr>
      <w:tr w:rsidR="001650F0" w:rsidRPr="00390B7D" w14:paraId="6D15CBB4"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30F57095"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39" w:type="pct"/>
            <w:tcBorders>
              <w:top w:val="nil"/>
              <w:left w:val="nil"/>
              <w:bottom w:val="nil"/>
              <w:right w:val="nil"/>
            </w:tcBorders>
            <w:shd w:val="clear" w:color="000000" w:fill="FFFFFF"/>
            <w:noWrap/>
            <w:vAlign w:val="center"/>
            <w:hideMark/>
          </w:tcPr>
          <w:p w14:paraId="52ECD0B5"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2023-24</w:t>
            </w:r>
          </w:p>
        </w:tc>
        <w:tc>
          <w:tcPr>
            <w:tcW w:w="739" w:type="pct"/>
            <w:tcBorders>
              <w:top w:val="nil"/>
              <w:left w:val="nil"/>
              <w:bottom w:val="nil"/>
              <w:right w:val="nil"/>
            </w:tcBorders>
            <w:shd w:val="clear" w:color="000000" w:fill="E6F2FF"/>
            <w:noWrap/>
            <w:vAlign w:val="center"/>
            <w:hideMark/>
          </w:tcPr>
          <w:p w14:paraId="620F8728"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 </w:t>
            </w:r>
          </w:p>
        </w:tc>
        <w:tc>
          <w:tcPr>
            <w:tcW w:w="812" w:type="pct"/>
            <w:tcBorders>
              <w:top w:val="nil"/>
              <w:left w:val="nil"/>
              <w:bottom w:val="nil"/>
              <w:right w:val="nil"/>
            </w:tcBorders>
            <w:shd w:val="clear" w:color="000000" w:fill="FFFFFF"/>
            <w:noWrap/>
            <w:vAlign w:val="bottom"/>
            <w:hideMark/>
          </w:tcPr>
          <w:p w14:paraId="08C0F223"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 xml:space="preserve"> Budget</w:t>
            </w:r>
          </w:p>
        </w:tc>
      </w:tr>
      <w:tr w:rsidR="001650F0" w:rsidRPr="00390B7D" w14:paraId="3F985566"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7834B1EC"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39" w:type="pct"/>
            <w:tcBorders>
              <w:top w:val="nil"/>
              <w:left w:val="nil"/>
              <w:bottom w:val="nil"/>
              <w:right w:val="nil"/>
            </w:tcBorders>
            <w:shd w:val="clear" w:color="000000" w:fill="FFFFFF"/>
            <w:noWrap/>
            <w:vAlign w:val="center"/>
            <w:hideMark/>
          </w:tcPr>
          <w:p w14:paraId="189A9C8E"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 xml:space="preserve"> Budget</w:t>
            </w:r>
          </w:p>
        </w:tc>
        <w:tc>
          <w:tcPr>
            <w:tcW w:w="739" w:type="pct"/>
            <w:tcBorders>
              <w:top w:val="nil"/>
              <w:left w:val="nil"/>
              <w:bottom w:val="nil"/>
              <w:right w:val="nil"/>
            </w:tcBorders>
            <w:shd w:val="clear" w:color="000000" w:fill="E6F2FF"/>
            <w:noWrap/>
            <w:vAlign w:val="center"/>
            <w:hideMark/>
          </w:tcPr>
          <w:p w14:paraId="7E74A3C3"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 </w:t>
            </w:r>
          </w:p>
        </w:tc>
        <w:tc>
          <w:tcPr>
            <w:tcW w:w="812" w:type="pct"/>
            <w:tcBorders>
              <w:top w:val="nil"/>
              <w:left w:val="nil"/>
              <w:bottom w:val="nil"/>
              <w:right w:val="nil"/>
            </w:tcBorders>
            <w:shd w:val="clear" w:color="000000" w:fill="FFFFFF"/>
            <w:noWrap/>
            <w:vAlign w:val="bottom"/>
            <w:hideMark/>
          </w:tcPr>
          <w:p w14:paraId="5BBB682C"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 </w:t>
            </w:r>
          </w:p>
        </w:tc>
      </w:tr>
      <w:tr w:rsidR="001650F0" w:rsidRPr="00390B7D" w14:paraId="7B2A9EE9"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5210F5BB"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39" w:type="pct"/>
            <w:tcBorders>
              <w:top w:val="nil"/>
              <w:left w:val="nil"/>
              <w:bottom w:val="single" w:sz="4" w:space="0" w:color="293F5B"/>
              <w:right w:val="nil"/>
            </w:tcBorders>
            <w:shd w:val="clear" w:color="000000" w:fill="FFFFFF"/>
            <w:noWrap/>
            <w:vAlign w:val="center"/>
            <w:hideMark/>
          </w:tcPr>
          <w:p w14:paraId="6FAFF24E"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$m</w:t>
            </w:r>
          </w:p>
        </w:tc>
        <w:tc>
          <w:tcPr>
            <w:tcW w:w="739" w:type="pct"/>
            <w:tcBorders>
              <w:top w:val="nil"/>
              <w:left w:val="nil"/>
              <w:bottom w:val="single" w:sz="4" w:space="0" w:color="293F5B"/>
              <w:right w:val="nil"/>
            </w:tcBorders>
            <w:shd w:val="clear" w:color="000000" w:fill="E6F2FF"/>
            <w:noWrap/>
            <w:vAlign w:val="center"/>
            <w:hideMark/>
          </w:tcPr>
          <w:p w14:paraId="4BEF7F57"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$m</w:t>
            </w:r>
          </w:p>
        </w:tc>
        <w:tc>
          <w:tcPr>
            <w:tcW w:w="812" w:type="pct"/>
            <w:tcBorders>
              <w:top w:val="nil"/>
              <w:left w:val="nil"/>
              <w:bottom w:val="single" w:sz="4" w:space="0" w:color="293F5B"/>
              <w:right w:val="nil"/>
            </w:tcBorders>
            <w:shd w:val="clear" w:color="000000" w:fill="FFFFFF"/>
            <w:vAlign w:val="center"/>
            <w:hideMark/>
          </w:tcPr>
          <w:p w14:paraId="3DF500C0" w14:textId="77777777" w:rsidR="001650F0" w:rsidRPr="00390B7D" w:rsidRDefault="001650F0" w:rsidP="001650F0">
            <w:pPr>
              <w:spacing w:before="0" w:after="0" w:line="240" w:lineRule="auto"/>
              <w:jc w:val="right"/>
              <w:rPr>
                <w:rFonts w:ascii="Arial" w:hAnsi="Arial" w:cs="Arial"/>
                <w:sz w:val="16"/>
                <w:szCs w:val="16"/>
              </w:rPr>
            </w:pPr>
            <w:r w:rsidRPr="00390B7D">
              <w:rPr>
                <w:rFonts w:ascii="Arial" w:hAnsi="Arial" w:cs="Arial"/>
                <w:sz w:val="16"/>
                <w:szCs w:val="16"/>
              </w:rPr>
              <w:t>$m</w:t>
            </w:r>
          </w:p>
        </w:tc>
      </w:tr>
      <w:tr w:rsidR="001650F0" w:rsidRPr="00390B7D" w14:paraId="785A8DD7"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2D1F56B1"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General public services</w:t>
            </w:r>
          </w:p>
        </w:tc>
        <w:tc>
          <w:tcPr>
            <w:tcW w:w="739" w:type="pct"/>
            <w:tcBorders>
              <w:top w:val="nil"/>
              <w:left w:val="nil"/>
              <w:bottom w:val="nil"/>
              <w:right w:val="nil"/>
            </w:tcBorders>
            <w:shd w:val="clear" w:color="000000" w:fill="FFFFFF"/>
            <w:noWrap/>
            <w:vAlign w:val="center"/>
            <w:hideMark/>
          </w:tcPr>
          <w:p w14:paraId="264D9C7E"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2,067</w:t>
            </w:r>
          </w:p>
        </w:tc>
        <w:tc>
          <w:tcPr>
            <w:tcW w:w="739" w:type="pct"/>
            <w:tcBorders>
              <w:top w:val="nil"/>
              <w:left w:val="nil"/>
              <w:bottom w:val="nil"/>
              <w:right w:val="nil"/>
            </w:tcBorders>
            <w:shd w:val="clear" w:color="000000" w:fill="E6F2FF"/>
            <w:noWrap/>
            <w:vAlign w:val="center"/>
            <w:hideMark/>
          </w:tcPr>
          <w:p w14:paraId="0A795F99"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1,674</w:t>
            </w:r>
          </w:p>
        </w:tc>
        <w:tc>
          <w:tcPr>
            <w:tcW w:w="812" w:type="pct"/>
            <w:tcBorders>
              <w:top w:val="nil"/>
              <w:left w:val="nil"/>
              <w:bottom w:val="nil"/>
              <w:right w:val="nil"/>
            </w:tcBorders>
            <w:shd w:val="clear" w:color="000000" w:fill="FFFFFF"/>
            <w:noWrap/>
            <w:vAlign w:val="center"/>
            <w:hideMark/>
          </w:tcPr>
          <w:p w14:paraId="6D55318B"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-393</w:t>
            </w:r>
          </w:p>
        </w:tc>
      </w:tr>
      <w:tr w:rsidR="001650F0" w:rsidRPr="00390B7D" w14:paraId="515FD874"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4500641F"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Defence</w:t>
            </w:r>
          </w:p>
        </w:tc>
        <w:tc>
          <w:tcPr>
            <w:tcW w:w="739" w:type="pct"/>
            <w:tcBorders>
              <w:top w:val="nil"/>
              <w:left w:val="nil"/>
              <w:bottom w:val="nil"/>
              <w:right w:val="nil"/>
            </w:tcBorders>
            <w:shd w:val="clear" w:color="000000" w:fill="FFFFFF"/>
            <w:noWrap/>
            <w:vAlign w:val="center"/>
            <w:hideMark/>
          </w:tcPr>
          <w:p w14:paraId="3B0DCC35"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14,402</w:t>
            </w:r>
          </w:p>
        </w:tc>
        <w:tc>
          <w:tcPr>
            <w:tcW w:w="739" w:type="pct"/>
            <w:tcBorders>
              <w:top w:val="nil"/>
              <w:left w:val="nil"/>
              <w:bottom w:val="nil"/>
              <w:right w:val="nil"/>
            </w:tcBorders>
            <w:shd w:val="clear" w:color="000000" w:fill="E6F2FF"/>
            <w:noWrap/>
            <w:vAlign w:val="center"/>
            <w:hideMark/>
          </w:tcPr>
          <w:p w14:paraId="1B5FEA05"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12,343</w:t>
            </w:r>
          </w:p>
        </w:tc>
        <w:tc>
          <w:tcPr>
            <w:tcW w:w="812" w:type="pct"/>
            <w:tcBorders>
              <w:top w:val="nil"/>
              <w:left w:val="nil"/>
              <w:bottom w:val="nil"/>
              <w:right w:val="nil"/>
            </w:tcBorders>
            <w:shd w:val="clear" w:color="000000" w:fill="FFFFFF"/>
            <w:noWrap/>
            <w:vAlign w:val="center"/>
            <w:hideMark/>
          </w:tcPr>
          <w:p w14:paraId="49A17059"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-2,059</w:t>
            </w:r>
          </w:p>
        </w:tc>
      </w:tr>
      <w:tr w:rsidR="001650F0" w:rsidRPr="00390B7D" w14:paraId="0481E261"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64FFB6FA"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Public order and safety</w:t>
            </w:r>
          </w:p>
        </w:tc>
        <w:tc>
          <w:tcPr>
            <w:tcW w:w="739" w:type="pct"/>
            <w:tcBorders>
              <w:top w:val="nil"/>
              <w:left w:val="nil"/>
              <w:bottom w:val="nil"/>
              <w:right w:val="nil"/>
            </w:tcBorders>
            <w:shd w:val="clear" w:color="000000" w:fill="FFFFFF"/>
            <w:noWrap/>
            <w:vAlign w:val="center"/>
            <w:hideMark/>
          </w:tcPr>
          <w:p w14:paraId="411B70AF"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789</w:t>
            </w:r>
          </w:p>
        </w:tc>
        <w:tc>
          <w:tcPr>
            <w:tcW w:w="739" w:type="pct"/>
            <w:tcBorders>
              <w:top w:val="nil"/>
              <w:left w:val="nil"/>
              <w:bottom w:val="nil"/>
              <w:right w:val="nil"/>
            </w:tcBorders>
            <w:shd w:val="clear" w:color="000000" w:fill="E6F2FF"/>
            <w:noWrap/>
            <w:vAlign w:val="center"/>
            <w:hideMark/>
          </w:tcPr>
          <w:p w14:paraId="54BEB793"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1,140</w:t>
            </w:r>
          </w:p>
        </w:tc>
        <w:tc>
          <w:tcPr>
            <w:tcW w:w="812" w:type="pct"/>
            <w:tcBorders>
              <w:top w:val="nil"/>
              <w:left w:val="nil"/>
              <w:bottom w:val="nil"/>
              <w:right w:val="nil"/>
            </w:tcBorders>
            <w:shd w:val="clear" w:color="000000" w:fill="FFFFFF"/>
            <w:noWrap/>
            <w:vAlign w:val="center"/>
            <w:hideMark/>
          </w:tcPr>
          <w:p w14:paraId="33955F9D"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351</w:t>
            </w:r>
          </w:p>
        </w:tc>
      </w:tr>
      <w:tr w:rsidR="001650F0" w:rsidRPr="00390B7D" w14:paraId="07373154"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05D65CA3"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Education</w:t>
            </w:r>
          </w:p>
        </w:tc>
        <w:tc>
          <w:tcPr>
            <w:tcW w:w="739" w:type="pct"/>
            <w:tcBorders>
              <w:top w:val="nil"/>
              <w:left w:val="nil"/>
              <w:bottom w:val="nil"/>
              <w:right w:val="nil"/>
            </w:tcBorders>
            <w:shd w:val="clear" w:color="000000" w:fill="FFFFFF"/>
            <w:noWrap/>
            <w:vAlign w:val="center"/>
            <w:hideMark/>
          </w:tcPr>
          <w:p w14:paraId="0BAC91F0"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33</w:t>
            </w:r>
          </w:p>
        </w:tc>
        <w:tc>
          <w:tcPr>
            <w:tcW w:w="739" w:type="pct"/>
            <w:tcBorders>
              <w:top w:val="nil"/>
              <w:left w:val="nil"/>
              <w:bottom w:val="nil"/>
              <w:right w:val="nil"/>
            </w:tcBorders>
            <w:shd w:val="clear" w:color="000000" w:fill="E6F2FF"/>
            <w:noWrap/>
            <w:vAlign w:val="center"/>
            <w:hideMark/>
          </w:tcPr>
          <w:p w14:paraId="76676AEB"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19</w:t>
            </w:r>
          </w:p>
        </w:tc>
        <w:tc>
          <w:tcPr>
            <w:tcW w:w="812" w:type="pct"/>
            <w:tcBorders>
              <w:top w:val="nil"/>
              <w:left w:val="nil"/>
              <w:bottom w:val="nil"/>
              <w:right w:val="nil"/>
            </w:tcBorders>
            <w:shd w:val="clear" w:color="000000" w:fill="FFFFFF"/>
            <w:noWrap/>
            <w:vAlign w:val="center"/>
            <w:hideMark/>
          </w:tcPr>
          <w:p w14:paraId="787DA531"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-13</w:t>
            </w:r>
          </w:p>
        </w:tc>
      </w:tr>
      <w:tr w:rsidR="001650F0" w:rsidRPr="00390B7D" w14:paraId="09C85BA6"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6B6C25FA"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Health</w:t>
            </w:r>
          </w:p>
        </w:tc>
        <w:tc>
          <w:tcPr>
            <w:tcW w:w="739" w:type="pct"/>
            <w:tcBorders>
              <w:top w:val="nil"/>
              <w:left w:val="nil"/>
              <w:bottom w:val="nil"/>
              <w:right w:val="nil"/>
            </w:tcBorders>
            <w:shd w:val="clear" w:color="000000" w:fill="FFFFFF"/>
            <w:noWrap/>
            <w:vAlign w:val="center"/>
            <w:hideMark/>
          </w:tcPr>
          <w:p w14:paraId="2EF9C615"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497</w:t>
            </w:r>
          </w:p>
        </w:tc>
        <w:tc>
          <w:tcPr>
            <w:tcW w:w="739" w:type="pct"/>
            <w:tcBorders>
              <w:top w:val="nil"/>
              <w:left w:val="nil"/>
              <w:bottom w:val="nil"/>
              <w:right w:val="nil"/>
            </w:tcBorders>
            <w:shd w:val="clear" w:color="000000" w:fill="E6F2FF"/>
            <w:noWrap/>
            <w:vAlign w:val="center"/>
            <w:hideMark/>
          </w:tcPr>
          <w:p w14:paraId="3F30DA96"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392</w:t>
            </w:r>
          </w:p>
        </w:tc>
        <w:tc>
          <w:tcPr>
            <w:tcW w:w="812" w:type="pct"/>
            <w:tcBorders>
              <w:top w:val="nil"/>
              <w:left w:val="nil"/>
              <w:bottom w:val="nil"/>
              <w:right w:val="nil"/>
            </w:tcBorders>
            <w:shd w:val="clear" w:color="000000" w:fill="FFFFFF"/>
            <w:noWrap/>
            <w:vAlign w:val="center"/>
            <w:hideMark/>
          </w:tcPr>
          <w:p w14:paraId="503E86DB"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-104</w:t>
            </w:r>
          </w:p>
        </w:tc>
      </w:tr>
      <w:tr w:rsidR="001650F0" w:rsidRPr="00390B7D" w14:paraId="32CD77A1"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6670ABD8"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Social security and welfare</w:t>
            </w:r>
          </w:p>
        </w:tc>
        <w:tc>
          <w:tcPr>
            <w:tcW w:w="739" w:type="pct"/>
            <w:tcBorders>
              <w:top w:val="nil"/>
              <w:left w:val="nil"/>
              <w:bottom w:val="nil"/>
              <w:right w:val="nil"/>
            </w:tcBorders>
            <w:shd w:val="clear" w:color="000000" w:fill="FFFFFF"/>
            <w:noWrap/>
            <w:vAlign w:val="center"/>
            <w:hideMark/>
          </w:tcPr>
          <w:p w14:paraId="0B7D74AF"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1,245</w:t>
            </w:r>
          </w:p>
        </w:tc>
        <w:tc>
          <w:tcPr>
            <w:tcW w:w="739" w:type="pct"/>
            <w:tcBorders>
              <w:top w:val="nil"/>
              <w:left w:val="nil"/>
              <w:bottom w:val="nil"/>
              <w:right w:val="nil"/>
            </w:tcBorders>
            <w:shd w:val="clear" w:color="000000" w:fill="E6F2FF"/>
            <w:noWrap/>
            <w:vAlign w:val="center"/>
            <w:hideMark/>
          </w:tcPr>
          <w:p w14:paraId="66F210AC"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1,097</w:t>
            </w:r>
          </w:p>
        </w:tc>
        <w:tc>
          <w:tcPr>
            <w:tcW w:w="812" w:type="pct"/>
            <w:tcBorders>
              <w:top w:val="nil"/>
              <w:left w:val="nil"/>
              <w:bottom w:val="nil"/>
              <w:right w:val="nil"/>
            </w:tcBorders>
            <w:shd w:val="clear" w:color="000000" w:fill="FFFFFF"/>
            <w:noWrap/>
            <w:vAlign w:val="center"/>
            <w:hideMark/>
          </w:tcPr>
          <w:p w14:paraId="6F76920A"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-148</w:t>
            </w:r>
          </w:p>
        </w:tc>
      </w:tr>
      <w:tr w:rsidR="001650F0" w:rsidRPr="00390B7D" w14:paraId="234035DC"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0F7327D8"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Housing and community amenities</w:t>
            </w:r>
          </w:p>
        </w:tc>
        <w:tc>
          <w:tcPr>
            <w:tcW w:w="739" w:type="pct"/>
            <w:tcBorders>
              <w:top w:val="nil"/>
              <w:left w:val="nil"/>
              <w:bottom w:val="nil"/>
              <w:right w:val="nil"/>
            </w:tcBorders>
            <w:shd w:val="clear" w:color="000000" w:fill="FFFFFF"/>
            <w:noWrap/>
            <w:vAlign w:val="center"/>
            <w:hideMark/>
          </w:tcPr>
          <w:p w14:paraId="4FCC4077"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886</w:t>
            </w:r>
          </w:p>
        </w:tc>
        <w:tc>
          <w:tcPr>
            <w:tcW w:w="739" w:type="pct"/>
            <w:tcBorders>
              <w:top w:val="nil"/>
              <w:left w:val="nil"/>
              <w:bottom w:val="nil"/>
              <w:right w:val="nil"/>
            </w:tcBorders>
            <w:shd w:val="clear" w:color="000000" w:fill="E6F2FF"/>
            <w:noWrap/>
            <w:vAlign w:val="center"/>
            <w:hideMark/>
          </w:tcPr>
          <w:p w14:paraId="69D1FB81"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526</w:t>
            </w:r>
          </w:p>
        </w:tc>
        <w:tc>
          <w:tcPr>
            <w:tcW w:w="812" w:type="pct"/>
            <w:tcBorders>
              <w:top w:val="nil"/>
              <w:left w:val="nil"/>
              <w:bottom w:val="nil"/>
              <w:right w:val="nil"/>
            </w:tcBorders>
            <w:shd w:val="clear" w:color="000000" w:fill="FFFFFF"/>
            <w:noWrap/>
            <w:vAlign w:val="center"/>
            <w:hideMark/>
          </w:tcPr>
          <w:p w14:paraId="37AA81BE"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-360</w:t>
            </w:r>
          </w:p>
        </w:tc>
      </w:tr>
      <w:tr w:rsidR="001650F0" w:rsidRPr="00390B7D" w14:paraId="565FE302"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715EF89C"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Recreation and culture</w:t>
            </w:r>
          </w:p>
        </w:tc>
        <w:tc>
          <w:tcPr>
            <w:tcW w:w="739" w:type="pct"/>
            <w:tcBorders>
              <w:top w:val="nil"/>
              <w:left w:val="nil"/>
              <w:bottom w:val="nil"/>
              <w:right w:val="nil"/>
            </w:tcBorders>
            <w:shd w:val="clear" w:color="000000" w:fill="FFFFFF"/>
            <w:noWrap/>
            <w:vAlign w:val="center"/>
            <w:hideMark/>
          </w:tcPr>
          <w:p w14:paraId="637461A5"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718</w:t>
            </w:r>
          </w:p>
        </w:tc>
        <w:tc>
          <w:tcPr>
            <w:tcW w:w="739" w:type="pct"/>
            <w:tcBorders>
              <w:top w:val="nil"/>
              <w:left w:val="nil"/>
              <w:bottom w:val="nil"/>
              <w:right w:val="nil"/>
            </w:tcBorders>
            <w:shd w:val="clear" w:color="000000" w:fill="E6F2FF"/>
            <w:noWrap/>
            <w:vAlign w:val="center"/>
            <w:hideMark/>
          </w:tcPr>
          <w:p w14:paraId="02D2E338"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572</w:t>
            </w:r>
          </w:p>
        </w:tc>
        <w:tc>
          <w:tcPr>
            <w:tcW w:w="812" w:type="pct"/>
            <w:tcBorders>
              <w:top w:val="nil"/>
              <w:left w:val="nil"/>
              <w:bottom w:val="nil"/>
              <w:right w:val="nil"/>
            </w:tcBorders>
            <w:shd w:val="clear" w:color="000000" w:fill="FFFFFF"/>
            <w:noWrap/>
            <w:vAlign w:val="center"/>
            <w:hideMark/>
          </w:tcPr>
          <w:p w14:paraId="6F637A83"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-146</w:t>
            </w:r>
          </w:p>
        </w:tc>
      </w:tr>
      <w:tr w:rsidR="001650F0" w:rsidRPr="00390B7D" w14:paraId="239B772E"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3794B864"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Fuel and energy</w:t>
            </w:r>
          </w:p>
        </w:tc>
        <w:tc>
          <w:tcPr>
            <w:tcW w:w="739" w:type="pct"/>
            <w:tcBorders>
              <w:top w:val="nil"/>
              <w:left w:val="nil"/>
              <w:bottom w:val="nil"/>
              <w:right w:val="nil"/>
            </w:tcBorders>
            <w:shd w:val="clear" w:color="000000" w:fill="FFFFFF"/>
            <w:noWrap/>
            <w:vAlign w:val="center"/>
            <w:hideMark/>
          </w:tcPr>
          <w:p w14:paraId="5F72A70C"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46</w:t>
            </w:r>
          </w:p>
        </w:tc>
        <w:tc>
          <w:tcPr>
            <w:tcW w:w="739" w:type="pct"/>
            <w:tcBorders>
              <w:top w:val="nil"/>
              <w:left w:val="nil"/>
              <w:bottom w:val="nil"/>
              <w:right w:val="nil"/>
            </w:tcBorders>
            <w:shd w:val="clear" w:color="000000" w:fill="E6F2FF"/>
            <w:noWrap/>
            <w:vAlign w:val="center"/>
            <w:hideMark/>
          </w:tcPr>
          <w:p w14:paraId="4C7F6594"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19</w:t>
            </w:r>
          </w:p>
        </w:tc>
        <w:tc>
          <w:tcPr>
            <w:tcW w:w="812" w:type="pct"/>
            <w:tcBorders>
              <w:top w:val="nil"/>
              <w:left w:val="nil"/>
              <w:bottom w:val="nil"/>
              <w:right w:val="nil"/>
            </w:tcBorders>
            <w:shd w:val="clear" w:color="000000" w:fill="FFFFFF"/>
            <w:noWrap/>
            <w:vAlign w:val="center"/>
            <w:hideMark/>
          </w:tcPr>
          <w:p w14:paraId="4E68C006"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-27</w:t>
            </w:r>
          </w:p>
        </w:tc>
      </w:tr>
      <w:tr w:rsidR="001650F0" w:rsidRPr="00390B7D" w14:paraId="6F984EAC"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1E37E0C0"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 xml:space="preserve">Agriculture, </w:t>
            </w:r>
            <w:proofErr w:type="gramStart"/>
            <w:r w:rsidRPr="00390B7D">
              <w:rPr>
                <w:rFonts w:ascii="Arial" w:hAnsi="Arial" w:cs="Arial"/>
                <w:color w:val="000000"/>
                <w:sz w:val="16"/>
                <w:szCs w:val="16"/>
              </w:rPr>
              <w:t>forestry</w:t>
            </w:r>
            <w:proofErr w:type="gramEnd"/>
            <w:r w:rsidRPr="00390B7D">
              <w:rPr>
                <w:rFonts w:ascii="Arial" w:hAnsi="Arial" w:cs="Arial"/>
                <w:color w:val="000000"/>
                <w:sz w:val="16"/>
                <w:szCs w:val="16"/>
              </w:rPr>
              <w:t xml:space="preserve"> and fishing</w:t>
            </w:r>
          </w:p>
        </w:tc>
        <w:tc>
          <w:tcPr>
            <w:tcW w:w="739" w:type="pct"/>
            <w:tcBorders>
              <w:top w:val="nil"/>
              <w:left w:val="nil"/>
              <w:bottom w:val="nil"/>
              <w:right w:val="nil"/>
            </w:tcBorders>
            <w:shd w:val="clear" w:color="000000" w:fill="FFFFFF"/>
            <w:noWrap/>
            <w:vAlign w:val="center"/>
            <w:hideMark/>
          </w:tcPr>
          <w:p w14:paraId="60B5F2B3"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149</w:t>
            </w:r>
          </w:p>
        </w:tc>
        <w:tc>
          <w:tcPr>
            <w:tcW w:w="739" w:type="pct"/>
            <w:tcBorders>
              <w:top w:val="nil"/>
              <w:left w:val="nil"/>
              <w:bottom w:val="nil"/>
              <w:right w:val="nil"/>
            </w:tcBorders>
            <w:shd w:val="clear" w:color="000000" w:fill="E6F2FF"/>
            <w:noWrap/>
            <w:vAlign w:val="center"/>
            <w:hideMark/>
          </w:tcPr>
          <w:p w14:paraId="3F2CABC6"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460</w:t>
            </w:r>
          </w:p>
        </w:tc>
        <w:tc>
          <w:tcPr>
            <w:tcW w:w="812" w:type="pct"/>
            <w:tcBorders>
              <w:top w:val="nil"/>
              <w:left w:val="nil"/>
              <w:bottom w:val="nil"/>
              <w:right w:val="nil"/>
            </w:tcBorders>
            <w:shd w:val="clear" w:color="000000" w:fill="FFFFFF"/>
            <w:noWrap/>
            <w:vAlign w:val="center"/>
            <w:hideMark/>
          </w:tcPr>
          <w:p w14:paraId="2FC6903D"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311</w:t>
            </w:r>
          </w:p>
        </w:tc>
      </w:tr>
      <w:tr w:rsidR="001650F0" w:rsidRPr="00390B7D" w14:paraId="198E951C"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410F0682"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 xml:space="preserve">Mining, </w:t>
            </w:r>
            <w:proofErr w:type="gramStart"/>
            <w:r w:rsidRPr="00390B7D">
              <w:rPr>
                <w:rFonts w:ascii="Arial" w:hAnsi="Arial" w:cs="Arial"/>
                <w:color w:val="000000"/>
                <w:sz w:val="16"/>
                <w:szCs w:val="16"/>
              </w:rPr>
              <w:t>manufacturing</w:t>
            </w:r>
            <w:proofErr w:type="gramEnd"/>
            <w:r w:rsidRPr="00390B7D">
              <w:rPr>
                <w:rFonts w:ascii="Arial" w:hAnsi="Arial" w:cs="Arial"/>
                <w:color w:val="000000"/>
                <w:sz w:val="16"/>
                <w:szCs w:val="16"/>
              </w:rPr>
              <w:t xml:space="preserve"> and construction</w:t>
            </w:r>
          </w:p>
        </w:tc>
        <w:tc>
          <w:tcPr>
            <w:tcW w:w="739" w:type="pct"/>
            <w:tcBorders>
              <w:top w:val="nil"/>
              <w:left w:val="nil"/>
              <w:bottom w:val="nil"/>
              <w:right w:val="nil"/>
            </w:tcBorders>
            <w:shd w:val="clear" w:color="000000" w:fill="FFFFFF"/>
            <w:noWrap/>
            <w:vAlign w:val="center"/>
            <w:hideMark/>
          </w:tcPr>
          <w:p w14:paraId="787983F6"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17</w:t>
            </w:r>
          </w:p>
        </w:tc>
        <w:tc>
          <w:tcPr>
            <w:tcW w:w="739" w:type="pct"/>
            <w:tcBorders>
              <w:top w:val="nil"/>
              <w:left w:val="nil"/>
              <w:bottom w:val="nil"/>
              <w:right w:val="nil"/>
            </w:tcBorders>
            <w:shd w:val="clear" w:color="000000" w:fill="E6F2FF"/>
            <w:noWrap/>
            <w:vAlign w:val="center"/>
            <w:hideMark/>
          </w:tcPr>
          <w:p w14:paraId="68C8734B"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166</w:t>
            </w:r>
          </w:p>
        </w:tc>
        <w:tc>
          <w:tcPr>
            <w:tcW w:w="812" w:type="pct"/>
            <w:tcBorders>
              <w:top w:val="nil"/>
              <w:left w:val="nil"/>
              <w:bottom w:val="nil"/>
              <w:right w:val="nil"/>
            </w:tcBorders>
            <w:shd w:val="clear" w:color="000000" w:fill="FFFFFF"/>
            <w:noWrap/>
            <w:vAlign w:val="center"/>
            <w:hideMark/>
          </w:tcPr>
          <w:p w14:paraId="6CFBF90F"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148</w:t>
            </w:r>
          </w:p>
        </w:tc>
      </w:tr>
      <w:tr w:rsidR="001650F0" w:rsidRPr="00390B7D" w14:paraId="00BE5EB0"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0DFB12F0"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Transport and communication</w:t>
            </w:r>
          </w:p>
        </w:tc>
        <w:tc>
          <w:tcPr>
            <w:tcW w:w="739" w:type="pct"/>
            <w:tcBorders>
              <w:top w:val="nil"/>
              <w:left w:val="nil"/>
              <w:bottom w:val="nil"/>
              <w:right w:val="nil"/>
            </w:tcBorders>
            <w:shd w:val="clear" w:color="000000" w:fill="FFFFFF"/>
            <w:noWrap/>
            <w:vAlign w:val="center"/>
            <w:hideMark/>
          </w:tcPr>
          <w:p w14:paraId="74124AC4"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96</w:t>
            </w:r>
          </w:p>
        </w:tc>
        <w:tc>
          <w:tcPr>
            <w:tcW w:w="739" w:type="pct"/>
            <w:tcBorders>
              <w:top w:val="nil"/>
              <w:left w:val="nil"/>
              <w:bottom w:val="nil"/>
              <w:right w:val="nil"/>
            </w:tcBorders>
            <w:shd w:val="clear" w:color="000000" w:fill="E6F2FF"/>
            <w:noWrap/>
            <w:vAlign w:val="center"/>
            <w:hideMark/>
          </w:tcPr>
          <w:p w14:paraId="7CCB2946"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80</w:t>
            </w:r>
          </w:p>
        </w:tc>
        <w:tc>
          <w:tcPr>
            <w:tcW w:w="812" w:type="pct"/>
            <w:tcBorders>
              <w:top w:val="nil"/>
              <w:left w:val="nil"/>
              <w:bottom w:val="nil"/>
              <w:right w:val="nil"/>
            </w:tcBorders>
            <w:shd w:val="clear" w:color="000000" w:fill="FFFFFF"/>
            <w:noWrap/>
            <w:vAlign w:val="center"/>
            <w:hideMark/>
          </w:tcPr>
          <w:p w14:paraId="18FB6E2C"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-16</w:t>
            </w:r>
          </w:p>
        </w:tc>
      </w:tr>
      <w:tr w:rsidR="001650F0" w:rsidRPr="00390B7D" w14:paraId="24C7A317"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22432B1B"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Other economic affairs</w:t>
            </w:r>
          </w:p>
        </w:tc>
        <w:tc>
          <w:tcPr>
            <w:tcW w:w="739" w:type="pct"/>
            <w:tcBorders>
              <w:top w:val="nil"/>
              <w:left w:val="nil"/>
              <w:bottom w:val="nil"/>
              <w:right w:val="nil"/>
            </w:tcBorders>
            <w:shd w:val="clear" w:color="000000" w:fill="FFFFFF"/>
            <w:noWrap/>
            <w:vAlign w:val="center"/>
            <w:hideMark/>
          </w:tcPr>
          <w:p w14:paraId="05D961E3"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943</w:t>
            </w:r>
          </w:p>
        </w:tc>
        <w:tc>
          <w:tcPr>
            <w:tcW w:w="739" w:type="pct"/>
            <w:tcBorders>
              <w:top w:val="nil"/>
              <w:left w:val="nil"/>
              <w:bottom w:val="nil"/>
              <w:right w:val="nil"/>
            </w:tcBorders>
            <w:shd w:val="clear" w:color="000000" w:fill="E6F2FF"/>
            <w:noWrap/>
            <w:vAlign w:val="center"/>
            <w:hideMark/>
          </w:tcPr>
          <w:p w14:paraId="7F8CED7B"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872</w:t>
            </w:r>
          </w:p>
        </w:tc>
        <w:tc>
          <w:tcPr>
            <w:tcW w:w="812" w:type="pct"/>
            <w:tcBorders>
              <w:top w:val="nil"/>
              <w:left w:val="nil"/>
              <w:bottom w:val="nil"/>
              <w:right w:val="nil"/>
            </w:tcBorders>
            <w:shd w:val="clear" w:color="000000" w:fill="FFFFFF"/>
            <w:noWrap/>
            <w:vAlign w:val="center"/>
            <w:hideMark/>
          </w:tcPr>
          <w:p w14:paraId="5C7F9017"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-70</w:t>
            </w:r>
          </w:p>
        </w:tc>
      </w:tr>
      <w:tr w:rsidR="001650F0" w:rsidRPr="00390B7D" w14:paraId="619852AF" w14:textId="77777777" w:rsidTr="00A91F79">
        <w:trPr>
          <w:trHeight w:hRule="exact" w:val="225"/>
        </w:trPr>
        <w:tc>
          <w:tcPr>
            <w:tcW w:w="2709" w:type="pct"/>
            <w:tcBorders>
              <w:top w:val="nil"/>
              <w:left w:val="nil"/>
              <w:bottom w:val="nil"/>
              <w:right w:val="nil"/>
            </w:tcBorders>
            <w:shd w:val="clear" w:color="000000" w:fill="FFFFFF"/>
            <w:noWrap/>
            <w:vAlign w:val="center"/>
            <w:hideMark/>
          </w:tcPr>
          <w:p w14:paraId="19C86FF1"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Other purposes</w:t>
            </w:r>
          </w:p>
        </w:tc>
        <w:tc>
          <w:tcPr>
            <w:tcW w:w="739" w:type="pct"/>
            <w:tcBorders>
              <w:top w:val="nil"/>
              <w:left w:val="nil"/>
              <w:bottom w:val="nil"/>
              <w:right w:val="nil"/>
            </w:tcBorders>
            <w:shd w:val="clear" w:color="000000" w:fill="FFFFFF"/>
            <w:noWrap/>
            <w:vAlign w:val="center"/>
            <w:hideMark/>
          </w:tcPr>
          <w:p w14:paraId="397B2813"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8</w:t>
            </w:r>
          </w:p>
        </w:tc>
        <w:tc>
          <w:tcPr>
            <w:tcW w:w="739" w:type="pct"/>
            <w:tcBorders>
              <w:top w:val="nil"/>
              <w:left w:val="nil"/>
              <w:bottom w:val="nil"/>
              <w:right w:val="nil"/>
            </w:tcBorders>
            <w:shd w:val="clear" w:color="000000" w:fill="E6F2FF"/>
            <w:noWrap/>
            <w:vAlign w:val="center"/>
            <w:hideMark/>
          </w:tcPr>
          <w:p w14:paraId="44BD2B3B"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5</w:t>
            </w:r>
          </w:p>
        </w:tc>
        <w:tc>
          <w:tcPr>
            <w:tcW w:w="812" w:type="pct"/>
            <w:tcBorders>
              <w:top w:val="nil"/>
              <w:left w:val="nil"/>
              <w:bottom w:val="nil"/>
              <w:right w:val="nil"/>
            </w:tcBorders>
            <w:shd w:val="clear" w:color="000000" w:fill="FFFFFF"/>
            <w:noWrap/>
            <w:vAlign w:val="center"/>
            <w:hideMark/>
          </w:tcPr>
          <w:p w14:paraId="28305778" w14:textId="77777777" w:rsidR="001650F0" w:rsidRPr="00390B7D" w:rsidRDefault="001650F0" w:rsidP="001650F0">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w:t>
            </w:r>
          </w:p>
        </w:tc>
      </w:tr>
      <w:tr w:rsidR="001650F0" w:rsidRPr="00390B7D" w14:paraId="7DE9CDE8" w14:textId="77777777" w:rsidTr="00A91F79">
        <w:trPr>
          <w:trHeight w:hRule="exact" w:val="60"/>
        </w:trPr>
        <w:tc>
          <w:tcPr>
            <w:tcW w:w="2709" w:type="pct"/>
            <w:tcBorders>
              <w:top w:val="nil"/>
              <w:left w:val="nil"/>
              <w:bottom w:val="nil"/>
              <w:right w:val="nil"/>
            </w:tcBorders>
            <w:shd w:val="clear" w:color="000000" w:fill="FFFFFF"/>
            <w:noWrap/>
            <w:vAlign w:val="center"/>
            <w:hideMark/>
          </w:tcPr>
          <w:p w14:paraId="2BA8F757"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39" w:type="pct"/>
            <w:tcBorders>
              <w:top w:val="nil"/>
              <w:left w:val="nil"/>
              <w:bottom w:val="nil"/>
              <w:right w:val="nil"/>
            </w:tcBorders>
            <w:shd w:val="clear" w:color="000000" w:fill="FFFFFF"/>
            <w:noWrap/>
            <w:vAlign w:val="center"/>
            <w:hideMark/>
          </w:tcPr>
          <w:p w14:paraId="0C259070"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739" w:type="pct"/>
            <w:tcBorders>
              <w:top w:val="nil"/>
              <w:left w:val="nil"/>
              <w:bottom w:val="nil"/>
              <w:right w:val="nil"/>
            </w:tcBorders>
            <w:shd w:val="clear" w:color="000000" w:fill="E6F2FF"/>
            <w:noWrap/>
            <w:vAlign w:val="center"/>
            <w:hideMark/>
          </w:tcPr>
          <w:p w14:paraId="1822C546"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812" w:type="pct"/>
            <w:tcBorders>
              <w:top w:val="nil"/>
              <w:left w:val="nil"/>
              <w:bottom w:val="nil"/>
              <w:right w:val="nil"/>
            </w:tcBorders>
            <w:shd w:val="clear" w:color="000000" w:fill="FFFFFF"/>
            <w:noWrap/>
            <w:vAlign w:val="center"/>
            <w:hideMark/>
          </w:tcPr>
          <w:p w14:paraId="08F6C4D5" w14:textId="77777777" w:rsidR="001650F0" w:rsidRPr="00390B7D" w:rsidRDefault="001650F0" w:rsidP="001650F0">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r>
      <w:tr w:rsidR="001650F0" w:rsidRPr="00390B7D" w14:paraId="672F7DAA" w14:textId="77777777" w:rsidTr="00A91F79">
        <w:trPr>
          <w:trHeight w:hRule="exact" w:val="225"/>
        </w:trPr>
        <w:tc>
          <w:tcPr>
            <w:tcW w:w="2709" w:type="pct"/>
            <w:tcBorders>
              <w:top w:val="nil"/>
              <w:left w:val="nil"/>
              <w:bottom w:val="single" w:sz="4" w:space="0" w:color="293F5B"/>
              <w:right w:val="nil"/>
            </w:tcBorders>
            <w:shd w:val="clear" w:color="000000" w:fill="FFFFFF"/>
            <w:vAlign w:val="center"/>
            <w:hideMark/>
          </w:tcPr>
          <w:p w14:paraId="0D8D35C5" w14:textId="77777777" w:rsidR="001650F0" w:rsidRPr="00390B7D" w:rsidRDefault="001650F0" w:rsidP="001650F0">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Total Government purchases of non-financial assets</w:t>
            </w:r>
          </w:p>
        </w:tc>
        <w:tc>
          <w:tcPr>
            <w:tcW w:w="739" w:type="pct"/>
            <w:tcBorders>
              <w:top w:val="single" w:sz="4" w:space="0" w:color="293F5B"/>
              <w:left w:val="nil"/>
              <w:bottom w:val="single" w:sz="4" w:space="0" w:color="293F5B"/>
              <w:right w:val="nil"/>
            </w:tcBorders>
            <w:shd w:val="clear" w:color="000000" w:fill="FFFFFF"/>
            <w:noWrap/>
            <w:vAlign w:val="center"/>
            <w:hideMark/>
          </w:tcPr>
          <w:p w14:paraId="7D547D09" w14:textId="77777777" w:rsidR="001650F0" w:rsidRPr="00390B7D" w:rsidRDefault="001650F0" w:rsidP="001650F0">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21,897</w:t>
            </w:r>
          </w:p>
        </w:tc>
        <w:tc>
          <w:tcPr>
            <w:tcW w:w="739" w:type="pct"/>
            <w:tcBorders>
              <w:top w:val="single" w:sz="4" w:space="0" w:color="293F5B"/>
              <w:left w:val="nil"/>
              <w:bottom w:val="single" w:sz="4" w:space="0" w:color="293F5B"/>
              <w:right w:val="nil"/>
            </w:tcBorders>
            <w:shd w:val="clear" w:color="000000" w:fill="E6F2FF"/>
            <w:noWrap/>
            <w:vAlign w:val="center"/>
            <w:hideMark/>
          </w:tcPr>
          <w:p w14:paraId="2D4DC47F" w14:textId="77777777" w:rsidR="001650F0" w:rsidRPr="00390B7D" w:rsidRDefault="001650F0" w:rsidP="001650F0">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19,366</w:t>
            </w:r>
          </w:p>
        </w:tc>
        <w:tc>
          <w:tcPr>
            <w:tcW w:w="812" w:type="pct"/>
            <w:tcBorders>
              <w:top w:val="single" w:sz="4" w:space="0" w:color="293F5B"/>
              <w:left w:val="nil"/>
              <w:bottom w:val="single" w:sz="4" w:space="0" w:color="293F5B"/>
              <w:right w:val="nil"/>
            </w:tcBorders>
            <w:shd w:val="clear" w:color="000000" w:fill="FFFFFF"/>
            <w:noWrap/>
            <w:vAlign w:val="center"/>
            <w:hideMark/>
          </w:tcPr>
          <w:p w14:paraId="1B780A4A" w14:textId="77777777" w:rsidR="001650F0" w:rsidRPr="00390B7D" w:rsidRDefault="001650F0" w:rsidP="001650F0">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-2,531</w:t>
            </w:r>
          </w:p>
        </w:tc>
      </w:tr>
    </w:tbl>
    <w:p w14:paraId="5C30F1A8" w14:textId="5CAE7A3B" w:rsidR="002959E6" w:rsidRPr="006354EB" w:rsidRDefault="002959E6" w:rsidP="00D154DB">
      <w:pPr>
        <w:pStyle w:val="SingleParagraph"/>
        <w:tabs>
          <w:tab w:val="left" w:pos="1747"/>
        </w:tabs>
      </w:pPr>
    </w:p>
    <w:p w14:paraId="5CB3936B" w14:textId="03671832" w:rsidR="002959E6" w:rsidRPr="0068426E" w:rsidRDefault="002959E6" w:rsidP="002959E6">
      <w:pPr>
        <w:pStyle w:val="Heading2"/>
      </w:pPr>
      <w:r w:rsidRPr="0068426E">
        <w:lastRenderedPageBreak/>
        <w:t>Headline cash balance</w:t>
      </w:r>
      <w:r w:rsidR="0056655B" w:rsidRPr="0056655B">
        <w:rPr>
          <w:noProof/>
        </w:rPr>
        <w:t xml:space="preserve"> </w:t>
      </w:r>
    </w:p>
    <w:p w14:paraId="702B6475" w14:textId="01A96550" w:rsidR="002959E6" w:rsidRPr="00390B7D" w:rsidRDefault="002959E6" w:rsidP="00AC71D1">
      <w:r w:rsidRPr="00390B7D">
        <w:t xml:space="preserve">The headline cash balance consists of the underlying cash balance and net cash flows from investments in financial assets for policy purposes (for example, student loans </w:t>
      </w:r>
      <w:r w:rsidR="005B3412" w:rsidRPr="00390B7D" w:rsidDel="00A10868">
        <w:t>and</w:t>
      </w:r>
      <w:r w:rsidR="00D94B4D" w:rsidRPr="00390B7D">
        <w:t xml:space="preserve"> Clean Energy Finance Corporation loans and equity investments</w:t>
      </w:r>
      <w:r w:rsidRPr="00390B7D">
        <w:t>).</w:t>
      </w:r>
    </w:p>
    <w:p w14:paraId="4BB9CE9F" w14:textId="32D9717E" w:rsidR="002959E6" w:rsidRPr="00390B7D" w:rsidRDefault="002959E6" w:rsidP="00AC71D1">
      <w:r w:rsidRPr="00390B7D">
        <w:t>In 202</w:t>
      </w:r>
      <w:r w:rsidR="00241A3A" w:rsidRPr="00390B7D">
        <w:t>2</w:t>
      </w:r>
      <w:r w:rsidR="0083530B" w:rsidRPr="00390B7D">
        <w:t>–</w:t>
      </w:r>
      <w:r w:rsidR="00241A3A" w:rsidRPr="00390B7D">
        <w:t>23</w:t>
      </w:r>
      <w:r w:rsidRPr="00390B7D">
        <w:t xml:space="preserve">, the headline cash </w:t>
      </w:r>
      <w:r w:rsidR="003B1DCF" w:rsidRPr="00390B7D">
        <w:t xml:space="preserve">surplus </w:t>
      </w:r>
      <w:r w:rsidRPr="00390B7D">
        <w:t>was $</w:t>
      </w:r>
      <w:r w:rsidR="00F03AFA" w:rsidRPr="00390B7D">
        <w:t>14.</w:t>
      </w:r>
      <w:r w:rsidR="00EC5784" w:rsidRPr="00390B7D">
        <w:t>1</w:t>
      </w:r>
      <w:r w:rsidR="002E328D" w:rsidRPr="00390B7D">
        <w:t> billion</w:t>
      </w:r>
      <w:r w:rsidRPr="00390B7D">
        <w:t xml:space="preserve"> compared with an estimated deficit of $</w:t>
      </w:r>
      <w:r w:rsidR="002D7ADC" w:rsidRPr="00390B7D">
        <w:t>7.5</w:t>
      </w:r>
      <w:r w:rsidR="002E328D" w:rsidRPr="00390B7D">
        <w:t> billion</w:t>
      </w:r>
      <w:r w:rsidRPr="00390B7D">
        <w:t xml:space="preserve"> in the </w:t>
      </w:r>
      <w:r w:rsidR="002D7ADC" w:rsidRPr="00390B7D">
        <w:t>2023</w:t>
      </w:r>
      <w:r w:rsidR="0083530B" w:rsidRPr="00390B7D">
        <w:t>–</w:t>
      </w:r>
      <w:r w:rsidR="002D7ADC" w:rsidRPr="00390B7D">
        <w:t>24 Budget</w:t>
      </w:r>
      <w:r w:rsidRPr="00390B7D">
        <w:t>. The improvement in the headline cash balance of $</w:t>
      </w:r>
      <w:r w:rsidR="008A5D89" w:rsidRPr="00390B7D">
        <w:t>21.</w:t>
      </w:r>
      <w:r w:rsidR="00DC63B8" w:rsidRPr="00390B7D">
        <w:t>6</w:t>
      </w:r>
      <w:r w:rsidR="002E328D" w:rsidRPr="00390B7D">
        <w:t> billion</w:t>
      </w:r>
      <w:r w:rsidRPr="00390B7D">
        <w:t xml:space="preserve"> was primarily driven by the </w:t>
      </w:r>
      <w:r w:rsidR="00A10868" w:rsidRPr="00390B7D">
        <w:t xml:space="preserve">improvement </w:t>
      </w:r>
      <w:r w:rsidRPr="00390B7D">
        <w:t xml:space="preserve">in the underlying cash balance. </w:t>
      </w:r>
    </w:p>
    <w:p w14:paraId="657EDD1D" w14:textId="6C438009" w:rsidR="00D1133C" w:rsidRPr="00390B7D" w:rsidRDefault="002959E6" w:rsidP="006B57C6">
      <w:r w:rsidRPr="00390B7D">
        <w:t>Net cash flows from investments in financial assets for policy purposes also improved by $</w:t>
      </w:r>
      <w:r w:rsidR="009C22C6" w:rsidRPr="00390B7D">
        <w:t>3.</w:t>
      </w:r>
      <w:r w:rsidR="001046A4" w:rsidRPr="00390B7D">
        <w:t>7</w:t>
      </w:r>
      <w:r w:rsidR="002E328D" w:rsidRPr="00390B7D">
        <w:t> billion</w:t>
      </w:r>
      <w:r w:rsidRPr="00390B7D">
        <w:t xml:space="preserve"> since </w:t>
      </w:r>
      <w:r w:rsidR="00A93833" w:rsidRPr="00390B7D">
        <w:t xml:space="preserve">estimated in </w:t>
      </w:r>
      <w:r w:rsidRPr="00390B7D">
        <w:t>the</w:t>
      </w:r>
      <w:r w:rsidR="003D39E8" w:rsidRPr="00390B7D">
        <w:t xml:space="preserve"> 2023</w:t>
      </w:r>
      <w:r w:rsidR="0083530B" w:rsidRPr="00390B7D">
        <w:t>–</w:t>
      </w:r>
      <w:r w:rsidR="003D39E8" w:rsidRPr="00390B7D">
        <w:t>24</w:t>
      </w:r>
      <w:r w:rsidRPr="00390B7D">
        <w:t xml:space="preserve"> Budget. This is primarily driven by</w:t>
      </w:r>
      <w:r w:rsidR="00406A14" w:rsidRPr="00390B7D">
        <w:t xml:space="preserve"> increases to student loan repayments</w:t>
      </w:r>
      <w:r w:rsidR="00D1133C" w:rsidRPr="00390B7D">
        <w:t xml:space="preserve"> </w:t>
      </w:r>
      <w:r w:rsidR="003104AC" w:rsidRPr="00390B7D">
        <w:t>and</w:t>
      </w:r>
      <w:r w:rsidR="00D1133C" w:rsidRPr="00390B7D">
        <w:t xml:space="preserve"> </w:t>
      </w:r>
      <w:r w:rsidR="009F105C" w:rsidRPr="00390B7D">
        <w:t>lower</w:t>
      </w:r>
      <w:r w:rsidR="006B57C6" w:rsidRPr="00390B7D">
        <w:noBreakHyphen/>
      </w:r>
      <w:r w:rsidR="009F105C" w:rsidRPr="00390B7D">
        <w:t>than</w:t>
      </w:r>
      <w:r w:rsidR="006B57C6" w:rsidRPr="00390B7D">
        <w:noBreakHyphen/>
      </w:r>
      <w:r w:rsidR="009F105C" w:rsidRPr="00390B7D">
        <w:t xml:space="preserve">estimated outflows by the </w:t>
      </w:r>
      <w:r w:rsidR="00D1133C" w:rsidRPr="00390B7D">
        <w:t xml:space="preserve">Clean Energy Finance Corporation </w:t>
      </w:r>
      <w:r w:rsidR="001E664A" w:rsidRPr="00390B7D">
        <w:t>for Rewiring the Nation and existing loan facilities</w:t>
      </w:r>
      <w:r w:rsidR="006E637F" w:rsidRPr="00390B7D">
        <w:t xml:space="preserve">. </w:t>
      </w:r>
      <w:r w:rsidR="006E0929" w:rsidRPr="00390B7D">
        <w:t xml:space="preserve">It also reflects </w:t>
      </w:r>
      <w:r w:rsidR="001B6C31" w:rsidRPr="00390B7D">
        <w:t>l</w:t>
      </w:r>
      <w:r w:rsidR="00D1133C" w:rsidRPr="00390B7D">
        <w:t>ower</w:t>
      </w:r>
      <w:r w:rsidR="006B57C6" w:rsidRPr="00390B7D">
        <w:noBreakHyphen/>
      </w:r>
      <w:r w:rsidR="00D1133C" w:rsidRPr="00390B7D">
        <w:t>than</w:t>
      </w:r>
      <w:r w:rsidR="006B57C6" w:rsidRPr="00390B7D">
        <w:noBreakHyphen/>
      </w:r>
      <w:r w:rsidR="00D1133C" w:rsidRPr="00390B7D">
        <w:t>estimated concessional loans through the Regional Investment Corporation</w:t>
      </w:r>
      <w:r w:rsidR="008C4FB9" w:rsidRPr="00390B7D">
        <w:t xml:space="preserve">, and </w:t>
      </w:r>
      <w:r w:rsidR="00F71646" w:rsidRPr="00390B7D">
        <w:t>lower</w:t>
      </w:r>
      <w:r w:rsidR="006B57C6" w:rsidRPr="00390B7D">
        <w:noBreakHyphen/>
      </w:r>
      <w:r w:rsidR="00F71646" w:rsidRPr="00390B7D">
        <w:t>than</w:t>
      </w:r>
      <w:r w:rsidR="006B57C6" w:rsidRPr="00390B7D">
        <w:noBreakHyphen/>
      </w:r>
      <w:r w:rsidR="00F71646" w:rsidRPr="00390B7D">
        <w:t>estimated outlays for the Australian Business Securitisation Fund</w:t>
      </w:r>
      <w:r w:rsidR="00110DE1" w:rsidRPr="00390B7D">
        <w:t>.</w:t>
      </w:r>
      <w:r w:rsidR="00F71646" w:rsidRPr="00390B7D">
        <w:t xml:space="preserve"> </w:t>
      </w:r>
    </w:p>
    <w:p w14:paraId="3B0C946A" w14:textId="7786F5E0" w:rsidR="002959E6" w:rsidRPr="006354EB" w:rsidRDefault="002959E6" w:rsidP="002959E6">
      <w:r w:rsidRPr="00390B7D">
        <w:t>Table 1.8 provides further detail between the underlying and headline cash balance estimates of the Australian Government general government sector in 202</w:t>
      </w:r>
      <w:r w:rsidR="00E61DB1" w:rsidRPr="00390B7D">
        <w:t>2</w:t>
      </w:r>
      <w:r w:rsidR="0083530B" w:rsidRPr="00390B7D">
        <w:t>–</w:t>
      </w:r>
      <w:r w:rsidR="00E61DB1" w:rsidRPr="00390B7D">
        <w:t>23</w:t>
      </w:r>
      <w:r w:rsidRPr="00390B7D">
        <w:t>.</w:t>
      </w:r>
    </w:p>
    <w:p w14:paraId="6CA676E7" w14:textId="77777777" w:rsidR="002959E6" w:rsidRPr="006354EB" w:rsidRDefault="002959E6" w:rsidP="002959E6">
      <w:r w:rsidRPr="006354EB">
        <w:br w:type="page"/>
      </w:r>
    </w:p>
    <w:p w14:paraId="019A7FCB" w14:textId="7017D0B4" w:rsidR="00FC78FA" w:rsidRPr="00390B7D" w:rsidRDefault="002959E6" w:rsidP="00E7234F">
      <w:pPr>
        <w:pStyle w:val="TableHeading"/>
        <w:rPr>
          <w:rFonts w:asciiTheme="minorHAnsi" w:eastAsiaTheme="minorHAnsi" w:hAnsiTheme="minorHAnsi" w:cstheme="minorBidi"/>
          <w:b w:val="0"/>
          <w:sz w:val="22"/>
          <w:szCs w:val="22"/>
          <w:lang w:eastAsia="en-US"/>
        </w:rPr>
      </w:pPr>
      <w:r w:rsidRPr="00390B7D">
        <w:lastRenderedPageBreak/>
        <w:t>Table 1.8: Australian Government general government sector reconciliation of underlying and headline cash balance</w:t>
      </w:r>
      <w:r w:rsidR="0051109C" w:rsidRPr="00390B7D">
        <w:t xml:space="preserve"> </w:t>
      </w:r>
    </w:p>
    <w:tbl>
      <w:tblPr>
        <w:tblW w:w="5000" w:type="pct"/>
        <w:tblCellMar>
          <w:left w:w="0" w:type="dxa"/>
          <w:right w:w="28" w:type="dxa"/>
        </w:tblCellMar>
        <w:tblLook w:val="04A0" w:firstRow="1" w:lastRow="0" w:firstColumn="1" w:lastColumn="0" w:noHBand="0" w:noVBand="1"/>
      </w:tblPr>
      <w:tblGrid>
        <w:gridCol w:w="4520"/>
        <w:gridCol w:w="1017"/>
        <w:gridCol w:w="1017"/>
        <w:gridCol w:w="1156"/>
      </w:tblGrid>
      <w:tr w:rsidR="00FC78FA" w:rsidRPr="00390B7D" w14:paraId="45280197" w14:textId="77777777" w:rsidTr="00FC78FA">
        <w:trPr>
          <w:trHeight w:hRule="exact" w:val="225"/>
        </w:trPr>
        <w:tc>
          <w:tcPr>
            <w:tcW w:w="2909" w:type="pct"/>
            <w:tcBorders>
              <w:top w:val="single" w:sz="4" w:space="0" w:color="auto"/>
              <w:left w:val="nil"/>
              <w:bottom w:val="nil"/>
              <w:right w:val="nil"/>
            </w:tcBorders>
            <w:shd w:val="clear" w:color="000000" w:fill="FFFFFF"/>
            <w:noWrap/>
            <w:vAlign w:val="bottom"/>
            <w:hideMark/>
          </w:tcPr>
          <w:p w14:paraId="332A9974" w14:textId="7DC820AD" w:rsidR="00FC78FA" w:rsidRPr="00390B7D" w:rsidRDefault="00FC78FA" w:rsidP="00FC78FA">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667" w:type="pct"/>
            <w:tcBorders>
              <w:top w:val="single" w:sz="4" w:space="0" w:color="auto"/>
              <w:left w:val="nil"/>
              <w:bottom w:val="nil"/>
              <w:right w:val="nil"/>
            </w:tcBorders>
            <w:shd w:val="clear" w:color="000000" w:fill="FFFFFF"/>
            <w:noWrap/>
            <w:vAlign w:val="center"/>
            <w:hideMark/>
          </w:tcPr>
          <w:p w14:paraId="044DC884"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2022-23</w:t>
            </w:r>
          </w:p>
        </w:tc>
        <w:tc>
          <w:tcPr>
            <w:tcW w:w="667" w:type="pct"/>
            <w:tcBorders>
              <w:top w:val="single" w:sz="4" w:space="0" w:color="auto"/>
              <w:left w:val="nil"/>
              <w:bottom w:val="nil"/>
              <w:right w:val="nil"/>
            </w:tcBorders>
            <w:shd w:val="clear" w:color="000000" w:fill="E6F2FF"/>
            <w:noWrap/>
            <w:vAlign w:val="center"/>
            <w:hideMark/>
          </w:tcPr>
          <w:p w14:paraId="37122D78"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2022-23</w:t>
            </w:r>
          </w:p>
        </w:tc>
        <w:tc>
          <w:tcPr>
            <w:tcW w:w="757" w:type="pct"/>
            <w:tcBorders>
              <w:top w:val="single" w:sz="4" w:space="0" w:color="auto"/>
              <w:left w:val="nil"/>
              <w:bottom w:val="nil"/>
              <w:right w:val="nil"/>
            </w:tcBorders>
            <w:shd w:val="clear" w:color="000000" w:fill="FFFFFF"/>
            <w:noWrap/>
            <w:vAlign w:val="bottom"/>
            <w:hideMark/>
          </w:tcPr>
          <w:p w14:paraId="4F67334D"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Change on</w:t>
            </w:r>
          </w:p>
        </w:tc>
      </w:tr>
      <w:tr w:rsidR="00FC78FA" w:rsidRPr="00390B7D" w14:paraId="16908B21"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2AD1D7EC" w14:textId="77777777" w:rsidR="00FC78FA" w:rsidRPr="00390B7D" w:rsidRDefault="00FC78FA" w:rsidP="00FC78FA">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4F5538F3"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Estimate at</w:t>
            </w:r>
          </w:p>
        </w:tc>
        <w:tc>
          <w:tcPr>
            <w:tcW w:w="667" w:type="pct"/>
            <w:tcBorders>
              <w:top w:val="nil"/>
              <w:left w:val="nil"/>
              <w:bottom w:val="nil"/>
              <w:right w:val="nil"/>
            </w:tcBorders>
            <w:shd w:val="clear" w:color="000000" w:fill="E6F2FF"/>
            <w:noWrap/>
            <w:vAlign w:val="center"/>
            <w:hideMark/>
          </w:tcPr>
          <w:p w14:paraId="13768F4F"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Outcome</w:t>
            </w:r>
          </w:p>
        </w:tc>
        <w:tc>
          <w:tcPr>
            <w:tcW w:w="757" w:type="pct"/>
            <w:tcBorders>
              <w:top w:val="nil"/>
              <w:left w:val="nil"/>
              <w:bottom w:val="nil"/>
              <w:right w:val="nil"/>
            </w:tcBorders>
            <w:shd w:val="clear" w:color="000000" w:fill="FFFFFF"/>
            <w:noWrap/>
            <w:vAlign w:val="center"/>
            <w:hideMark/>
          </w:tcPr>
          <w:p w14:paraId="466472AF"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2023-24</w:t>
            </w:r>
          </w:p>
        </w:tc>
      </w:tr>
      <w:tr w:rsidR="00FC78FA" w:rsidRPr="00390B7D" w14:paraId="465FBC04"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42362583" w14:textId="77777777" w:rsidR="00FC78FA" w:rsidRPr="00390B7D" w:rsidRDefault="00FC78FA" w:rsidP="00FC78FA">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3249F918"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2023-24</w:t>
            </w:r>
          </w:p>
        </w:tc>
        <w:tc>
          <w:tcPr>
            <w:tcW w:w="667" w:type="pct"/>
            <w:tcBorders>
              <w:top w:val="nil"/>
              <w:left w:val="nil"/>
              <w:bottom w:val="nil"/>
              <w:right w:val="nil"/>
            </w:tcBorders>
            <w:shd w:val="clear" w:color="000000" w:fill="E6F2FF"/>
            <w:noWrap/>
            <w:vAlign w:val="center"/>
            <w:hideMark/>
          </w:tcPr>
          <w:p w14:paraId="5AE5D3C6"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 </w:t>
            </w:r>
          </w:p>
        </w:tc>
        <w:tc>
          <w:tcPr>
            <w:tcW w:w="757" w:type="pct"/>
            <w:tcBorders>
              <w:top w:val="nil"/>
              <w:left w:val="nil"/>
              <w:bottom w:val="nil"/>
              <w:right w:val="nil"/>
            </w:tcBorders>
            <w:shd w:val="clear" w:color="000000" w:fill="FFFFFF"/>
            <w:noWrap/>
            <w:vAlign w:val="bottom"/>
            <w:hideMark/>
          </w:tcPr>
          <w:p w14:paraId="3DFA4CC3"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 xml:space="preserve"> Budget</w:t>
            </w:r>
          </w:p>
        </w:tc>
      </w:tr>
      <w:tr w:rsidR="00FC78FA" w:rsidRPr="00390B7D" w14:paraId="0796F971"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61BCC3DC" w14:textId="77777777" w:rsidR="00FC78FA" w:rsidRPr="00390B7D" w:rsidRDefault="00FC78FA" w:rsidP="00FC78FA">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21B2CA08"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 xml:space="preserve"> Budget</w:t>
            </w:r>
          </w:p>
        </w:tc>
        <w:tc>
          <w:tcPr>
            <w:tcW w:w="667" w:type="pct"/>
            <w:tcBorders>
              <w:top w:val="nil"/>
              <w:left w:val="nil"/>
              <w:bottom w:val="nil"/>
              <w:right w:val="nil"/>
            </w:tcBorders>
            <w:shd w:val="clear" w:color="000000" w:fill="E6F2FF"/>
            <w:noWrap/>
            <w:vAlign w:val="center"/>
            <w:hideMark/>
          </w:tcPr>
          <w:p w14:paraId="62FD5917"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 </w:t>
            </w:r>
          </w:p>
        </w:tc>
        <w:tc>
          <w:tcPr>
            <w:tcW w:w="757" w:type="pct"/>
            <w:tcBorders>
              <w:top w:val="nil"/>
              <w:left w:val="nil"/>
              <w:bottom w:val="nil"/>
              <w:right w:val="nil"/>
            </w:tcBorders>
            <w:shd w:val="clear" w:color="000000" w:fill="FFFFFF"/>
            <w:noWrap/>
            <w:vAlign w:val="bottom"/>
            <w:hideMark/>
          </w:tcPr>
          <w:p w14:paraId="2C4FAC6F" w14:textId="77777777" w:rsidR="00FC78FA" w:rsidRPr="00390B7D" w:rsidRDefault="00FC78FA" w:rsidP="00FC78FA">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r>
      <w:tr w:rsidR="00FC78FA" w:rsidRPr="00390B7D" w14:paraId="67B4FD4B"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45EC12BB" w14:textId="77777777" w:rsidR="00FC78FA" w:rsidRPr="00390B7D" w:rsidRDefault="00FC78FA" w:rsidP="00FC78FA">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667" w:type="pct"/>
            <w:tcBorders>
              <w:top w:val="nil"/>
              <w:left w:val="nil"/>
              <w:bottom w:val="single" w:sz="4" w:space="0" w:color="000000"/>
              <w:right w:val="nil"/>
            </w:tcBorders>
            <w:shd w:val="clear" w:color="000000" w:fill="FFFFFF"/>
            <w:noWrap/>
            <w:vAlign w:val="center"/>
            <w:hideMark/>
          </w:tcPr>
          <w:p w14:paraId="0C976FFF"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$m</w:t>
            </w:r>
          </w:p>
        </w:tc>
        <w:tc>
          <w:tcPr>
            <w:tcW w:w="667" w:type="pct"/>
            <w:tcBorders>
              <w:top w:val="nil"/>
              <w:left w:val="nil"/>
              <w:bottom w:val="single" w:sz="4" w:space="0" w:color="000000"/>
              <w:right w:val="nil"/>
            </w:tcBorders>
            <w:shd w:val="clear" w:color="000000" w:fill="E6F2FF"/>
            <w:noWrap/>
            <w:vAlign w:val="center"/>
            <w:hideMark/>
          </w:tcPr>
          <w:p w14:paraId="28B037DF"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$m</w:t>
            </w:r>
          </w:p>
        </w:tc>
        <w:tc>
          <w:tcPr>
            <w:tcW w:w="757" w:type="pct"/>
            <w:tcBorders>
              <w:top w:val="nil"/>
              <w:left w:val="nil"/>
              <w:bottom w:val="single" w:sz="4" w:space="0" w:color="000000"/>
              <w:right w:val="nil"/>
            </w:tcBorders>
            <w:shd w:val="clear" w:color="000000" w:fill="FFFFFF"/>
            <w:vAlign w:val="center"/>
            <w:hideMark/>
          </w:tcPr>
          <w:p w14:paraId="0B5C1C43" w14:textId="77777777" w:rsidR="00FC78FA" w:rsidRPr="00390B7D" w:rsidRDefault="00FC78FA" w:rsidP="00FC78FA">
            <w:pPr>
              <w:spacing w:before="0" w:after="0" w:line="240" w:lineRule="auto"/>
              <w:jc w:val="right"/>
              <w:rPr>
                <w:rFonts w:ascii="Arial" w:hAnsi="Arial" w:cs="Arial"/>
                <w:sz w:val="16"/>
                <w:szCs w:val="16"/>
              </w:rPr>
            </w:pPr>
            <w:r w:rsidRPr="00390B7D">
              <w:rPr>
                <w:rFonts w:ascii="Arial" w:hAnsi="Arial" w:cs="Arial"/>
                <w:sz w:val="16"/>
                <w:szCs w:val="16"/>
              </w:rPr>
              <w:t>$m</w:t>
            </w:r>
          </w:p>
        </w:tc>
      </w:tr>
      <w:tr w:rsidR="00FC78FA" w:rsidRPr="00390B7D" w14:paraId="4077DB2B"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256626FA"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2022-23 Underlying cash balance</w:t>
            </w:r>
          </w:p>
        </w:tc>
        <w:tc>
          <w:tcPr>
            <w:tcW w:w="667" w:type="pct"/>
            <w:tcBorders>
              <w:top w:val="nil"/>
              <w:left w:val="nil"/>
              <w:bottom w:val="nil"/>
              <w:right w:val="nil"/>
            </w:tcBorders>
            <w:shd w:val="clear" w:color="000000" w:fill="FFFFFF"/>
            <w:noWrap/>
            <w:vAlign w:val="bottom"/>
            <w:hideMark/>
          </w:tcPr>
          <w:p w14:paraId="5AF1FA8B" w14:textId="77777777" w:rsidR="00FC78FA" w:rsidRPr="00390B7D" w:rsidRDefault="00FC78FA" w:rsidP="00FC78FA">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4,202</w:t>
            </w:r>
          </w:p>
        </w:tc>
        <w:tc>
          <w:tcPr>
            <w:tcW w:w="667" w:type="pct"/>
            <w:tcBorders>
              <w:top w:val="nil"/>
              <w:left w:val="nil"/>
              <w:bottom w:val="nil"/>
              <w:right w:val="nil"/>
            </w:tcBorders>
            <w:shd w:val="clear" w:color="000000" w:fill="E6F2FF"/>
            <w:noWrap/>
            <w:vAlign w:val="bottom"/>
            <w:hideMark/>
          </w:tcPr>
          <w:p w14:paraId="10258968" w14:textId="77777777" w:rsidR="00FC78FA" w:rsidRPr="00390B7D" w:rsidRDefault="00FC78FA" w:rsidP="00FC78FA">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22,064</w:t>
            </w:r>
          </w:p>
        </w:tc>
        <w:tc>
          <w:tcPr>
            <w:tcW w:w="757" w:type="pct"/>
            <w:tcBorders>
              <w:top w:val="nil"/>
              <w:left w:val="nil"/>
              <w:bottom w:val="nil"/>
              <w:right w:val="nil"/>
            </w:tcBorders>
            <w:shd w:val="clear" w:color="000000" w:fill="FFFFFF"/>
            <w:noWrap/>
            <w:vAlign w:val="bottom"/>
            <w:hideMark/>
          </w:tcPr>
          <w:p w14:paraId="0B150545" w14:textId="77777777" w:rsidR="00FC78FA" w:rsidRPr="00390B7D" w:rsidRDefault="00FC78FA" w:rsidP="00FC78FA">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17,863</w:t>
            </w:r>
          </w:p>
        </w:tc>
      </w:tr>
      <w:tr w:rsidR="00FC78FA" w:rsidRPr="00390B7D" w14:paraId="2B06FA28"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511FD5D0" w14:textId="77777777" w:rsidR="00FC78FA" w:rsidRPr="00390B7D" w:rsidRDefault="00FC78FA" w:rsidP="00FC78FA">
            <w:pPr>
              <w:spacing w:before="0" w:after="0" w:line="240" w:lineRule="auto"/>
              <w:rPr>
                <w:rFonts w:ascii="Arial" w:hAnsi="Arial" w:cs="Arial"/>
                <w:b/>
                <w:bCs/>
                <w:color w:val="000000"/>
                <w:sz w:val="16"/>
                <w:szCs w:val="16"/>
              </w:rPr>
            </w:pPr>
            <w:proofErr w:type="gramStart"/>
            <w:r w:rsidRPr="00390B7D">
              <w:rPr>
                <w:rFonts w:ascii="Arial" w:hAnsi="Arial" w:cs="Arial"/>
                <w:b/>
                <w:bCs/>
                <w:i/>
                <w:iCs/>
                <w:color w:val="000000"/>
                <w:sz w:val="16"/>
                <w:szCs w:val="16"/>
              </w:rPr>
              <w:t>plus</w:t>
            </w:r>
            <w:proofErr w:type="gramEnd"/>
            <w:r w:rsidRPr="00390B7D">
              <w:rPr>
                <w:rFonts w:ascii="Arial" w:hAnsi="Arial" w:cs="Arial"/>
                <w:b/>
                <w:bCs/>
                <w:color w:val="000000"/>
                <w:sz w:val="16"/>
                <w:szCs w:val="16"/>
              </w:rPr>
              <w:t xml:space="preserve"> Net cash flows from investments in financial assets</w:t>
            </w:r>
          </w:p>
        </w:tc>
        <w:tc>
          <w:tcPr>
            <w:tcW w:w="667" w:type="pct"/>
            <w:tcBorders>
              <w:top w:val="nil"/>
              <w:left w:val="nil"/>
              <w:bottom w:val="nil"/>
              <w:right w:val="nil"/>
            </w:tcBorders>
            <w:shd w:val="clear" w:color="000000" w:fill="FFFFFF"/>
            <w:noWrap/>
            <w:vAlign w:val="bottom"/>
            <w:hideMark/>
          </w:tcPr>
          <w:p w14:paraId="4D5A7A8F"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 </w:t>
            </w:r>
          </w:p>
        </w:tc>
        <w:tc>
          <w:tcPr>
            <w:tcW w:w="667" w:type="pct"/>
            <w:tcBorders>
              <w:top w:val="nil"/>
              <w:left w:val="nil"/>
              <w:bottom w:val="nil"/>
              <w:right w:val="nil"/>
            </w:tcBorders>
            <w:shd w:val="clear" w:color="000000" w:fill="E6F2FF"/>
            <w:noWrap/>
            <w:vAlign w:val="bottom"/>
            <w:hideMark/>
          </w:tcPr>
          <w:p w14:paraId="231C8C4E"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 </w:t>
            </w:r>
          </w:p>
        </w:tc>
        <w:tc>
          <w:tcPr>
            <w:tcW w:w="757" w:type="pct"/>
            <w:tcBorders>
              <w:top w:val="nil"/>
              <w:left w:val="nil"/>
              <w:bottom w:val="nil"/>
              <w:right w:val="nil"/>
            </w:tcBorders>
            <w:shd w:val="clear" w:color="000000" w:fill="FFFFFF"/>
            <w:noWrap/>
            <w:vAlign w:val="bottom"/>
            <w:hideMark/>
          </w:tcPr>
          <w:p w14:paraId="193F4356"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 </w:t>
            </w:r>
          </w:p>
        </w:tc>
      </w:tr>
      <w:tr w:rsidR="00FC78FA" w:rsidRPr="00390B7D" w14:paraId="06B88AD2"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45B7A80C" w14:textId="77777777" w:rsidR="00FC78FA" w:rsidRPr="00390B7D" w:rsidRDefault="00FC78FA" w:rsidP="00FC78FA">
            <w:pPr>
              <w:spacing w:before="0" w:after="0" w:line="240" w:lineRule="auto"/>
              <w:ind w:left="170"/>
              <w:rPr>
                <w:rFonts w:ascii="Arial" w:hAnsi="Arial" w:cs="Arial"/>
                <w:b/>
                <w:bCs/>
                <w:color w:val="000000"/>
                <w:sz w:val="16"/>
                <w:szCs w:val="16"/>
              </w:rPr>
            </w:pPr>
            <w:r w:rsidRPr="00390B7D">
              <w:rPr>
                <w:rFonts w:ascii="Arial" w:hAnsi="Arial" w:cs="Arial"/>
                <w:b/>
                <w:bCs/>
                <w:color w:val="000000"/>
                <w:sz w:val="16"/>
                <w:szCs w:val="16"/>
              </w:rPr>
              <w:t>for policy purposes(a)</w:t>
            </w:r>
          </w:p>
        </w:tc>
        <w:tc>
          <w:tcPr>
            <w:tcW w:w="667" w:type="pct"/>
            <w:tcBorders>
              <w:top w:val="nil"/>
              <w:left w:val="nil"/>
              <w:bottom w:val="nil"/>
              <w:right w:val="nil"/>
            </w:tcBorders>
            <w:shd w:val="clear" w:color="000000" w:fill="FFFFFF"/>
            <w:noWrap/>
            <w:vAlign w:val="bottom"/>
            <w:hideMark/>
          </w:tcPr>
          <w:p w14:paraId="31B6B432"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 </w:t>
            </w:r>
          </w:p>
        </w:tc>
        <w:tc>
          <w:tcPr>
            <w:tcW w:w="667" w:type="pct"/>
            <w:tcBorders>
              <w:top w:val="nil"/>
              <w:left w:val="nil"/>
              <w:bottom w:val="nil"/>
              <w:right w:val="nil"/>
            </w:tcBorders>
            <w:shd w:val="clear" w:color="000000" w:fill="E6F2FF"/>
            <w:noWrap/>
            <w:vAlign w:val="bottom"/>
            <w:hideMark/>
          </w:tcPr>
          <w:p w14:paraId="492BA1DA"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 </w:t>
            </w:r>
          </w:p>
        </w:tc>
        <w:tc>
          <w:tcPr>
            <w:tcW w:w="757" w:type="pct"/>
            <w:tcBorders>
              <w:top w:val="nil"/>
              <w:left w:val="nil"/>
              <w:bottom w:val="nil"/>
              <w:right w:val="nil"/>
            </w:tcBorders>
            <w:shd w:val="clear" w:color="000000" w:fill="FFFFFF"/>
            <w:noWrap/>
            <w:vAlign w:val="bottom"/>
            <w:hideMark/>
          </w:tcPr>
          <w:p w14:paraId="29ED112C"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 </w:t>
            </w:r>
          </w:p>
        </w:tc>
      </w:tr>
      <w:tr w:rsidR="00FC78FA" w:rsidRPr="00390B7D" w14:paraId="0B38FE1C"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70B258DA"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Student loans</w:t>
            </w:r>
          </w:p>
        </w:tc>
        <w:tc>
          <w:tcPr>
            <w:tcW w:w="667" w:type="pct"/>
            <w:tcBorders>
              <w:top w:val="nil"/>
              <w:left w:val="nil"/>
              <w:bottom w:val="nil"/>
              <w:right w:val="nil"/>
            </w:tcBorders>
            <w:shd w:val="clear" w:color="000000" w:fill="FFFFFF"/>
            <w:noWrap/>
            <w:vAlign w:val="bottom"/>
            <w:hideMark/>
          </w:tcPr>
          <w:p w14:paraId="050796BD"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-2,495</w:t>
            </w:r>
          </w:p>
        </w:tc>
        <w:tc>
          <w:tcPr>
            <w:tcW w:w="667" w:type="pct"/>
            <w:tcBorders>
              <w:top w:val="nil"/>
              <w:left w:val="nil"/>
              <w:bottom w:val="nil"/>
              <w:right w:val="nil"/>
            </w:tcBorders>
            <w:shd w:val="clear" w:color="000000" w:fill="E6F2FF"/>
            <w:noWrap/>
            <w:vAlign w:val="bottom"/>
            <w:hideMark/>
          </w:tcPr>
          <w:p w14:paraId="0F2E87BC"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-977</w:t>
            </w:r>
          </w:p>
        </w:tc>
        <w:tc>
          <w:tcPr>
            <w:tcW w:w="757" w:type="pct"/>
            <w:tcBorders>
              <w:top w:val="nil"/>
              <w:left w:val="nil"/>
              <w:bottom w:val="nil"/>
              <w:right w:val="nil"/>
            </w:tcBorders>
            <w:shd w:val="clear" w:color="000000" w:fill="FFFFFF"/>
            <w:noWrap/>
            <w:vAlign w:val="bottom"/>
            <w:hideMark/>
          </w:tcPr>
          <w:p w14:paraId="0719FE2F"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1,518</w:t>
            </w:r>
          </w:p>
        </w:tc>
      </w:tr>
      <w:tr w:rsidR="00FC78FA" w:rsidRPr="00390B7D" w14:paraId="32F83D96" w14:textId="77777777" w:rsidTr="00FC78FA">
        <w:trPr>
          <w:trHeight w:hRule="exact" w:val="225"/>
        </w:trPr>
        <w:tc>
          <w:tcPr>
            <w:tcW w:w="2909" w:type="pct"/>
            <w:tcBorders>
              <w:top w:val="nil"/>
              <w:left w:val="nil"/>
              <w:bottom w:val="nil"/>
              <w:right w:val="nil"/>
            </w:tcBorders>
            <w:shd w:val="clear" w:color="auto" w:fill="auto"/>
            <w:noWrap/>
            <w:vAlign w:val="bottom"/>
            <w:hideMark/>
          </w:tcPr>
          <w:p w14:paraId="24793205"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NBN loan(b)</w:t>
            </w:r>
          </w:p>
        </w:tc>
        <w:tc>
          <w:tcPr>
            <w:tcW w:w="667" w:type="pct"/>
            <w:tcBorders>
              <w:top w:val="nil"/>
              <w:left w:val="nil"/>
              <w:bottom w:val="nil"/>
              <w:right w:val="nil"/>
            </w:tcBorders>
            <w:shd w:val="clear" w:color="000000" w:fill="FFFFFF"/>
            <w:noWrap/>
            <w:vAlign w:val="bottom"/>
            <w:hideMark/>
          </w:tcPr>
          <w:p w14:paraId="5880A5FC"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875</w:t>
            </w:r>
          </w:p>
        </w:tc>
        <w:tc>
          <w:tcPr>
            <w:tcW w:w="667" w:type="pct"/>
            <w:tcBorders>
              <w:top w:val="nil"/>
              <w:left w:val="nil"/>
              <w:bottom w:val="nil"/>
              <w:right w:val="nil"/>
            </w:tcBorders>
            <w:shd w:val="clear" w:color="000000" w:fill="E6F2FF"/>
            <w:noWrap/>
            <w:vAlign w:val="bottom"/>
            <w:hideMark/>
          </w:tcPr>
          <w:p w14:paraId="5A6C88EA"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875</w:t>
            </w:r>
          </w:p>
        </w:tc>
        <w:tc>
          <w:tcPr>
            <w:tcW w:w="757" w:type="pct"/>
            <w:tcBorders>
              <w:top w:val="nil"/>
              <w:left w:val="nil"/>
              <w:bottom w:val="nil"/>
              <w:right w:val="nil"/>
            </w:tcBorders>
            <w:shd w:val="clear" w:color="000000" w:fill="FFFFFF"/>
            <w:noWrap/>
            <w:vAlign w:val="bottom"/>
            <w:hideMark/>
          </w:tcPr>
          <w:p w14:paraId="10CD6715"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0</w:t>
            </w:r>
          </w:p>
        </w:tc>
      </w:tr>
      <w:tr w:rsidR="00FC78FA" w:rsidRPr="00390B7D" w14:paraId="465D03ED" w14:textId="77777777" w:rsidTr="00FC78FA">
        <w:trPr>
          <w:trHeight w:hRule="exact" w:val="225"/>
        </w:trPr>
        <w:tc>
          <w:tcPr>
            <w:tcW w:w="2909" w:type="pct"/>
            <w:tcBorders>
              <w:top w:val="nil"/>
              <w:left w:val="nil"/>
              <w:bottom w:val="nil"/>
              <w:right w:val="nil"/>
            </w:tcBorders>
            <w:shd w:val="clear" w:color="000000" w:fill="FFFFFF"/>
            <w:noWrap/>
            <w:hideMark/>
          </w:tcPr>
          <w:p w14:paraId="785F7CBB"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NBN investment</w:t>
            </w:r>
          </w:p>
        </w:tc>
        <w:tc>
          <w:tcPr>
            <w:tcW w:w="667" w:type="pct"/>
            <w:tcBorders>
              <w:top w:val="nil"/>
              <w:left w:val="nil"/>
              <w:bottom w:val="nil"/>
              <w:right w:val="nil"/>
            </w:tcBorders>
            <w:shd w:val="clear" w:color="000000" w:fill="FFFFFF"/>
            <w:noWrap/>
            <w:vAlign w:val="bottom"/>
            <w:hideMark/>
          </w:tcPr>
          <w:p w14:paraId="0240F897"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-328</w:t>
            </w:r>
          </w:p>
        </w:tc>
        <w:tc>
          <w:tcPr>
            <w:tcW w:w="667" w:type="pct"/>
            <w:tcBorders>
              <w:top w:val="nil"/>
              <w:left w:val="nil"/>
              <w:bottom w:val="nil"/>
              <w:right w:val="nil"/>
            </w:tcBorders>
            <w:shd w:val="clear" w:color="000000" w:fill="E6F2FF"/>
            <w:noWrap/>
            <w:vAlign w:val="bottom"/>
            <w:hideMark/>
          </w:tcPr>
          <w:p w14:paraId="118D66A4"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-305</w:t>
            </w:r>
          </w:p>
        </w:tc>
        <w:tc>
          <w:tcPr>
            <w:tcW w:w="757" w:type="pct"/>
            <w:tcBorders>
              <w:top w:val="nil"/>
              <w:left w:val="nil"/>
              <w:bottom w:val="nil"/>
              <w:right w:val="nil"/>
            </w:tcBorders>
            <w:shd w:val="clear" w:color="000000" w:fill="FFFFFF"/>
            <w:noWrap/>
            <w:vAlign w:val="bottom"/>
            <w:hideMark/>
          </w:tcPr>
          <w:p w14:paraId="78A75461"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23</w:t>
            </w:r>
          </w:p>
        </w:tc>
      </w:tr>
      <w:tr w:rsidR="00FC78FA" w:rsidRPr="00390B7D" w14:paraId="1D000549"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796C6A25"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Trade support loans</w:t>
            </w:r>
          </w:p>
        </w:tc>
        <w:tc>
          <w:tcPr>
            <w:tcW w:w="667" w:type="pct"/>
            <w:tcBorders>
              <w:top w:val="nil"/>
              <w:left w:val="nil"/>
              <w:bottom w:val="nil"/>
              <w:right w:val="nil"/>
            </w:tcBorders>
            <w:shd w:val="clear" w:color="000000" w:fill="FFFFFF"/>
            <w:noWrap/>
            <w:vAlign w:val="bottom"/>
            <w:hideMark/>
          </w:tcPr>
          <w:p w14:paraId="4F30FF7B"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-137</w:t>
            </w:r>
          </w:p>
        </w:tc>
        <w:tc>
          <w:tcPr>
            <w:tcW w:w="667" w:type="pct"/>
            <w:tcBorders>
              <w:top w:val="nil"/>
              <w:left w:val="nil"/>
              <w:bottom w:val="nil"/>
              <w:right w:val="nil"/>
            </w:tcBorders>
            <w:shd w:val="clear" w:color="000000" w:fill="E6F2FF"/>
            <w:noWrap/>
            <w:vAlign w:val="bottom"/>
            <w:hideMark/>
          </w:tcPr>
          <w:p w14:paraId="25C5FD35"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-138</w:t>
            </w:r>
          </w:p>
        </w:tc>
        <w:tc>
          <w:tcPr>
            <w:tcW w:w="757" w:type="pct"/>
            <w:tcBorders>
              <w:top w:val="nil"/>
              <w:left w:val="nil"/>
              <w:bottom w:val="nil"/>
              <w:right w:val="nil"/>
            </w:tcBorders>
            <w:shd w:val="clear" w:color="000000" w:fill="FFFFFF"/>
            <w:noWrap/>
            <w:vAlign w:val="bottom"/>
            <w:hideMark/>
          </w:tcPr>
          <w:p w14:paraId="378FA6D5"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w:t>
            </w:r>
          </w:p>
        </w:tc>
      </w:tr>
      <w:tr w:rsidR="00FC78FA" w:rsidRPr="00390B7D" w14:paraId="725402FD"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24D77512"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CEFC loans and investments</w:t>
            </w:r>
          </w:p>
        </w:tc>
        <w:tc>
          <w:tcPr>
            <w:tcW w:w="667" w:type="pct"/>
            <w:tcBorders>
              <w:top w:val="nil"/>
              <w:left w:val="nil"/>
              <w:bottom w:val="nil"/>
              <w:right w:val="nil"/>
            </w:tcBorders>
            <w:shd w:val="clear" w:color="000000" w:fill="FFFFFF"/>
            <w:noWrap/>
            <w:vAlign w:val="bottom"/>
            <w:hideMark/>
          </w:tcPr>
          <w:p w14:paraId="78B30C2D"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-344</w:t>
            </w:r>
          </w:p>
        </w:tc>
        <w:tc>
          <w:tcPr>
            <w:tcW w:w="667" w:type="pct"/>
            <w:tcBorders>
              <w:top w:val="nil"/>
              <w:left w:val="nil"/>
              <w:bottom w:val="nil"/>
              <w:right w:val="nil"/>
            </w:tcBorders>
            <w:shd w:val="clear" w:color="000000" w:fill="E6F2FF"/>
            <w:noWrap/>
            <w:vAlign w:val="bottom"/>
            <w:hideMark/>
          </w:tcPr>
          <w:p w14:paraId="07E715FC"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270</w:t>
            </w:r>
          </w:p>
        </w:tc>
        <w:tc>
          <w:tcPr>
            <w:tcW w:w="757" w:type="pct"/>
            <w:tcBorders>
              <w:top w:val="nil"/>
              <w:left w:val="nil"/>
              <w:bottom w:val="nil"/>
              <w:right w:val="nil"/>
            </w:tcBorders>
            <w:shd w:val="clear" w:color="000000" w:fill="FFFFFF"/>
            <w:noWrap/>
            <w:vAlign w:val="bottom"/>
            <w:hideMark/>
          </w:tcPr>
          <w:p w14:paraId="47430CEF"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614</w:t>
            </w:r>
          </w:p>
        </w:tc>
      </w:tr>
      <w:tr w:rsidR="00FC78FA" w:rsidRPr="00390B7D" w14:paraId="43507A2D"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1C039FC5"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 xml:space="preserve">Northern Australia Infrastructure Facility </w:t>
            </w:r>
          </w:p>
        </w:tc>
        <w:tc>
          <w:tcPr>
            <w:tcW w:w="667" w:type="pct"/>
            <w:tcBorders>
              <w:top w:val="nil"/>
              <w:left w:val="nil"/>
              <w:bottom w:val="nil"/>
              <w:right w:val="nil"/>
            </w:tcBorders>
            <w:shd w:val="clear" w:color="000000" w:fill="FFFFFF"/>
            <w:noWrap/>
            <w:vAlign w:val="bottom"/>
            <w:hideMark/>
          </w:tcPr>
          <w:p w14:paraId="521505C8"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-743</w:t>
            </w:r>
          </w:p>
        </w:tc>
        <w:tc>
          <w:tcPr>
            <w:tcW w:w="667" w:type="pct"/>
            <w:tcBorders>
              <w:top w:val="nil"/>
              <w:left w:val="nil"/>
              <w:bottom w:val="nil"/>
              <w:right w:val="nil"/>
            </w:tcBorders>
            <w:shd w:val="clear" w:color="000000" w:fill="E6F2FF"/>
            <w:noWrap/>
            <w:vAlign w:val="bottom"/>
            <w:hideMark/>
          </w:tcPr>
          <w:p w14:paraId="0B8BB2DC"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-578</w:t>
            </w:r>
          </w:p>
        </w:tc>
        <w:tc>
          <w:tcPr>
            <w:tcW w:w="757" w:type="pct"/>
            <w:tcBorders>
              <w:top w:val="nil"/>
              <w:left w:val="nil"/>
              <w:bottom w:val="nil"/>
              <w:right w:val="nil"/>
            </w:tcBorders>
            <w:shd w:val="clear" w:color="000000" w:fill="FFFFFF"/>
            <w:noWrap/>
            <w:vAlign w:val="bottom"/>
            <w:hideMark/>
          </w:tcPr>
          <w:p w14:paraId="0959564D"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165</w:t>
            </w:r>
          </w:p>
        </w:tc>
      </w:tr>
      <w:tr w:rsidR="00FC78FA" w:rsidRPr="00390B7D" w14:paraId="179F7D40"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016BDEA7"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Australian Business Securitisation Fund</w:t>
            </w:r>
          </w:p>
        </w:tc>
        <w:tc>
          <w:tcPr>
            <w:tcW w:w="667" w:type="pct"/>
            <w:tcBorders>
              <w:top w:val="nil"/>
              <w:left w:val="nil"/>
              <w:bottom w:val="nil"/>
              <w:right w:val="nil"/>
            </w:tcBorders>
            <w:shd w:val="clear" w:color="000000" w:fill="FFFFFF"/>
            <w:noWrap/>
            <w:vAlign w:val="bottom"/>
            <w:hideMark/>
          </w:tcPr>
          <w:p w14:paraId="22495907"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-434</w:t>
            </w:r>
          </w:p>
        </w:tc>
        <w:tc>
          <w:tcPr>
            <w:tcW w:w="667" w:type="pct"/>
            <w:tcBorders>
              <w:top w:val="nil"/>
              <w:left w:val="nil"/>
              <w:bottom w:val="nil"/>
              <w:right w:val="nil"/>
            </w:tcBorders>
            <w:shd w:val="clear" w:color="000000" w:fill="E6F2FF"/>
            <w:noWrap/>
            <w:vAlign w:val="bottom"/>
            <w:hideMark/>
          </w:tcPr>
          <w:p w14:paraId="72E92966"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-192</w:t>
            </w:r>
          </w:p>
        </w:tc>
        <w:tc>
          <w:tcPr>
            <w:tcW w:w="757" w:type="pct"/>
            <w:tcBorders>
              <w:top w:val="nil"/>
              <w:left w:val="nil"/>
              <w:bottom w:val="nil"/>
              <w:right w:val="nil"/>
            </w:tcBorders>
            <w:shd w:val="clear" w:color="000000" w:fill="FFFFFF"/>
            <w:noWrap/>
            <w:vAlign w:val="bottom"/>
            <w:hideMark/>
          </w:tcPr>
          <w:p w14:paraId="75E61ACF"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242</w:t>
            </w:r>
          </w:p>
        </w:tc>
      </w:tr>
      <w:tr w:rsidR="00FC78FA" w:rsidRPr="00390B7D" w14:paraId="3C785D6F"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5C94B213"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Structured Finance Support Fund</w:t>
            </w:r>
          </w:p>
        </w:tc>
        <w:tc>
          <w:tcPr>
            <w:tcW w:w="667" w:type="pct"/>
            <w:tcBorders>
              <w:top w:val="nil"/>
              <w:left w:val="nil"/>
              <w:bottom w:val="nil"/>
              <w:right w:val="nil"/>
            </w:tcBorders>
            <w:shd w:val="clear" w:color="000000" w:fill="FFFFFF"/>
            <w:noWrap/>
            <w:vAlign w:val="bottom"/>
            <w:hideMark/>
          </w:tcPr>
          <w:p w14:paraId="4F807B16"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295</w:t>
            </w:r>
          </w:p>
        </w:tc>
        <w:tc>
          <w:tcPr>
            <w:tcW w:w="667" w:type="pct"/>
            <w:tcBorders>
              <w:top w:val="nil"/>
              <w:left w:val="nil"/>
              <w:bottom w:val="nil"/>
              <w:right w:val="nil"/>
            </w:tcBorders>
            <w:shd w:val="clear" w:color="000000" w:fill="E6F2FF"/>
            <w:noWrap/>
            <w:vAlign w:val="bottom"/>
            <w:hideMark/>
          </w:tcPr>
          <w:p w14:paraId="0EFEE252"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340</w:t>
            </w:r>
          </w:p>
        </w:tc>
        <w:tc>
          <w:tcPr>
            <w:tcW w:w="757" w:type="pct"/>
            <w:tcBorders>
              <w:top w:val="nil"/>
              <w:left w:val="nil"/>
              <w:bottom w:val="nil"/>
              <w:right w:val="nil"/>
            </w:tcBorders>
            <w:shd w:val="clear" w:color="000000" w:fill="FFFFFF"/>
            <w:noWrap/>
            <w:vAlign w:val="bottom"/>
            <w:hideMark/>
          </w:tcPr>
          <w:p w14:paraId="633D29C5"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45</w:t>
            </w:r>
          </w:p>
        </w:tc>
      </w:tr>
      <w:tr w:rsidR="00FC78FA" w:rsidRPr="00390B7D" w14:paraId="75515DED"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70A53041"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Drought and rural assistance loans</w:t>
            </w:r>
          </w:p>
        </w:tc>
        <w:tc>
          <w:tcPr>
            <w:tcW w:w="667" w:type="pct"/>
            <w:tcBorders>
              <w:top w:val="nil"/>
              <w:left w:val="nil"/>
              <w:bottom w:val="nil"/>
              <w:right w:val="nil"/>
            </w:tcBorders>
            <w:shd w:val="clear" w:color="000000" w:fill="FFFFFF"/>
            <w:noWrap/>
            <w:vAlign w:val="bottom"/>
            <w:hideMark/>
          </w:tcPr>
          <w:p w14:paraId="0C393204"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-244</w:t>
            </w:r>
          </w:p>
        </w:tc>
        <w:tc>
          <w:tcPr>
            <w:tcW w:w="667" w:type="pct"/>
            <w:tcBorders>
              <w:top w:val="nil"/>
              <w:left w:val="nil"/>
              <w:bottom w:val="nil"/>
              <w:right w:val="nil"/>
            </w:tcBorders>
            <w:shd w:val="clear" w:color="000000" w:fill="E6F2FF"/>
            <w:noWrap/>
            <w:vAlign w:val="bottom"/>
            <w:hideMark/>
          </w:tcPr>
          <w:p w14:paraId="0940756F"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5</w:t>
            </w:r>
          </w:p>
        </w:tc>
        <w:tc>
          <w:tcPr>
            <w:tcW w:w="757" w:type="pct"/>
            <w:tcBorders>
              <w:top w:val="nil"/>
              <w:left w:val="nil"/>
              <w:bottom w:val="nil"/>
              <w:right w:val="nil"/>
            </w:tcBorders>
            <w:shd w:val="clear" w:color="000000" w:fill="FFFFFF"/>
            <w:noWrap/>
            <w:vAlign w:val="bottom"/>
            <w:hideMark/>
          </w:tcPr>
          <w:p w14:paraId="08E5DCB9"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249</w:t>
            </w:r>
          </w:p>
        </w:tc>
      </w:tr>
      <w:tr w:rsidR="00FC78FA" w:rsidRPr="00390B7D" w14:paraId="38B3DE78"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4D8D3A31"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Official Development Assistance - Multilateral Replenishment</w:t>
            </w:r>
          </w:p>
        </w:tc>
        <w:tc>
          <w:tcPr>
            <w:tcW w:w="667" w:type="pct"/>
            <w:tcBorders>
              <w:top w:val="nil"/>
              <w:left w:val="nil"/>
              <w:bottom w:val="nil"/>
              <w:right w:val="nil"/>
            </w:tcBorders>
            <w:shd w:val="clear" w:color="000000" w:fill="FFFFFF"/>
            <w:noWrap/>
            <w:vAlign w:val="bottom"/>
            <w:hideMark/>
          </w:tcPr>
          <w:p w14:paraId="3DFE559F"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-128</w:t>
            </w:r>
          </w:p>
        </w:tc>
        <w:tc>
          <w:tcPr>
            <w:tcW w:w="667" w:type="pct"/>
            <w:tcBorders>
              <w:top w:val="nil"/>
              <w:left w:val="nil"/>
              <w:bottom w:val="nil"/>
              <w:right w:val="nil"/>
            </w:tcBorders>
            <w:shd w:val="clear" w:color="000000" w:fill="E6F2FF"/>
            <w:noWrap/>
            <w:vAlign w:val="bottom"/>
            <w:hideMark/>
          </w:tcPr>
          <w:p w14:paraId="61279D36"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-128</w:t>
            </w:r>
          </w:p>
        </w:tc>
        <w:tc>
          <w:tcPr>
            <w:tcW w:w="757" w:type="pct"/>
            <w:tcBorders>
              <w:top w:val="nil"/>
              <w:left w:val="nil"/>
              <w:bottom w:val="nil"/>
              <w:right w:val="nil"/>
            </w:tcBorders>
            <w:shd w:val="clear" w:color="000000" w:fill="FFFFFF"/>
            <w:noWrap/>
            <w:vAlign w:val="bottom"/>
            <w:hideMark/>
          </w:tcPr>
          <w:p w14:paraId="47C70266"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0</w:t>
            </w:r>
          </w:p>
        </w:tc>
      </w:tr>
      <w:tr w:rsidR="00FC78FA" w:rsidRPr="00390B7D" w14:paraId="2B23FDEB"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676A6C25"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National Housing Finance and Investment Corporation</w:t>
            </w:r>
          </w:p>
        </w:tc>
        <w:tc>
          <w:tcPr>
            <w:tcW w:w="667" w:type="pct"/>
            <w:tcBorders>
              <w:top w:val="nil"/>
              <w:left w:val="nil"/>
              <w:bottom w:val="nil"/>
              <w:right w:val="nil"/>
            </w:tcBorders>
            <w:shd w:val="clear" w:color="000000" w:fill="FFFFFF"/>
            <w:noWrap/>
            <w:vAlign w:val="bottom"/>
            <w:hideMark/>
          </w:tcPr>
          <w:p w14:paraId="78C3BD60"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-60</w:t>
            </w:r>
          </w:p>
        </w:tc>
        <w:tc>
          <w:tcPr>
            <w:tcW w:w="667" w:type="pct"/>
            <w:tcBorders>
              <w:top w:val="nil"/>
              <w:left w:val="nil"/>
              <w:bottom w:val="nil"/>
              <w:right w:val="nil"/>
            </w:tcBorders>
            <w:shd w:val="clear" w:color="000000" w:fill="E6F2FF"/>
            <w:noWrap/>
            <w:vAlign w:val="bottom"/>
            <w:hideMark/>
          </w:tcPr>
          <w:p w14:paraId="08450856"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-63</w:t>
            </w:r>
          </w:p>
        </w:tc>
        <w:tc>
          <w:tcPr>
            <w:tcW w:w="757" w:type="pct"/>
            <w:tcBorders>
              <w:top w:val="nil"/>
              <w:left w:val="nil"/>
              <w:bottom w:val="nil"/>
              <w:right w:val="nil"/>
            </w:tcBorders>
            <w:shd w:val="clear" w:color="000000" w:fill="FFFFFF"/>
            <w:noWrap/>
            <w:vAlign w:val="bottom"/>
            <w:hideMark/>
          </w:tcPr>
          <w:p w14:paraId="5B5D737A"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-3</w:t>
            </w:r>
          </w:p>
        </w:tc>
      </w:tr>
      <w:tr w:rsidR="00FC78FA" w:rsidRPr="00390B7D" w14:paraId="6659510B"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1ED0D7BF"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COVID-19 Support for Indonesia - loan</w:t>
            </w:r>
          </w:p>
        </w:tc>
        <w:tc>
          <w:tcPr>
            <w:tcW w:w="667" w:type="pct"/>
            <w:tcBorders>
              <w:top w:val="nil"/>
              <w:left w:val="nil"/>
              <w:bottom w:val="nil"/>
              <w:right w:val="nil"/>
            </w:tcBorders>
            <w:shd w:val="clear" w:color="000000" w:fill="FFFFFF"/>
            <w:noWrap/>
            <w:vAlign w:val="bottom"/>
            <w:hideMark/>
          </w:tcPr>
          <w:p w14:paraId="4CF176C7"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100</w:t>
            </w:r>
          </w:p>
        </w:tc>
        <w:tc>
          <w:tcPr>
            <w:tcW w:w="667" w:type="pct"/>
            <w:tcBorders>
              <w:top w:val="nil"/>
              <w:left w:val="nil"/>
              <w:bottom w:val="nil"/>
              <w:right w:val="nil"/>
            </w:tcBorders>
            <w:shd w:val="clear" w:color="000000" w:fill="E6F2FF"/>
            <w:noWrap/>
            <w:vAlign w:val="bottom"/>
            <w:hideMark/>
          </w:tcPr>
          <w:p w14:paraId="66669991"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100</w:t>
            </w:r>
          </w:p>
        </w:tc>
        <w:tc>
          <w:tcPr>
            <w:tcW w:w="757" w:type="pct"/>
            <w:tcBorders>
              <w:top w:val="nil"/>
              <w:left w:val="nil"/>
              <w:bottom w:val="nil"/>
              <w:right w:val="nil"/>
            </w:tcBorders>
            <w:shd w:val="clear" w:color="000000" w:fill="FFFFFF"/>
            <w:noWrap/>
            <w:vAlign w:val="bottom"/>
            <w:hideMark/>
          </w:tcPr>
          <w:p w14:paraId="091E3163"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0</w:t>
            </w:r>
          </w:p>
        </w:tc>
      </w:tr>
      <w:tr w:rsidR="00FC78FA" w:rsidRPr="00390B7D" w14:paraId="4E97265B"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0B87080A"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Financial Assistance to Papua New Guinea - loan</w:t>
            </w:r>
          </w:p>
        </w:tc>
        <w:tc>
          <w:tcPr>
            <w:tcW w:w="667" w:type="pct"/>
            <w:tcBorders>
              <w:top w:val="nil"/>
              <w:left w:val="nil"/>
              <w:bottom w:val="nil"/>
              <w:right w:val="nil"/>
            </w:tcBorders>
            <w:shd w:val="clear" w:color="000000" w:fill="FFFFFF"/>
            <w:noWrap/>
            <w:vAlign w:val="bottom"/>
            <w:hideMark/>
          </w:tcPr>
          <w:p w14:paraId="564C1078"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-678</w:t>
            </w:r>
          </w:p>
        </w:tc>
        <w:tc>
          <w:tcPr>
            <w:tcW w:w="667" w:type="pct"/>
            <w:tcBorders>
              <w:top w:val="nil"/>
              <w:left w:val="nil"/>
              <w:bottom w:val="nil"/>
              <w:right w:val="nil"/>
            </w:tcBorders>
            <w:shd w:val="clear" w:color="000000" w:fill="E6F2FF"/>
            <w:noWrap/>
            <w:vAlign w:val="bottom"/>
            <w:hideMark/>
          </w:tcPr>
          <w:p w14:paraId="3F20A535"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-678</w:t>
            </w:r>
          </w:p>
        </w:tc>
        <w:tc>
          <w:tcPr>
            <w:tcW w:w="757" w:type="pct"/>
            <w:tcBorders>
              <w:top w:val="nil"/>
              <w:left w:val="nil"/>
              <w:bottom w:val="nil"/>
              <w:right w:val="nil"/>
            </w:tcBorders>
            <w:shd w:val="clear" w:color="000000" w:fill="FFFFFF"/>
            <w:noWrap/>
            <w:vAlign w:val="bottom"/>
            <w:hideMark/>
          </w:tcPr>
          <w:p w14:paraId="626EC562"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0</w:t>
            </w:r>
          </w:p>
        </w:tc>
      </w:tr>
      <w:tr w:rsidR="00FC78FA" w:rsidRPr="00390B7D" w14:paraId="37FBF9BE"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17A73E2A" w14:textId="77777777" w:rsidR="00FC78FA" w:rsidRPr="00390B7D" w:rsidRDefault="00FC78FA" w:rsidP="00FC78FA">
            <w:pPr>
              <w:spacing w:before="0" w:after="0" w:line="240" w:lineRule="auto"/>
              <w:ind w:left="170"/>
              <w:rPr>
                <w:rFonts w:ascii="Arial" w:hAnsi="Arial" w:cs="Arial"/>
                <w:color w:val="000000"/>
                <w:sz w:val="16"/>
                <w:szCs w:val="16"/>
              </w:rPr>
            </w:pPr>
            <w:r w:rsidRPr="00390B7D">
              <w:rPr>
                <w:rFonts w:ascii="Arial" w:hAnsi="Arial" w:cs="Arial"/>
                <w:color w:val="000000"/>
                <w:sz w:val="16"/>
                <w:szCs w:val="16"/>
              </w:rPr>
              <w:t>Net other(c)</w:t>
            </w:r>
          </w:p>
        </w:tc>
        <w:tc>
          <w:tcPr>
            <w:tcW w:w="667" w:type="pct"/>
            <w:tcBorders>
              <w:top w:val="nil"/>
              <w:left w:val="nil"/>
              <w:bottom w:val="nil"/>
              <w:right w:val="nil"/>
            </w:tcBorders>
            <w:shd w:val="clear" w:color="000000" w:fill="FFFFFF"/>
            <w:noWrap/>
            <w:vAlign w:val="bottom"/>
            <w:hideMark/>
          </w:tcPr>
          <w:p w14:paraId="06088137"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-7,368</w:t>
            </w:r>
          </w:p>
        </w:tc>
        <w:tc>
          <w:tcPr>
            <w:tcW w:w="667" w:type="pct"/>
            <w:tcBorders>
              <w:top w:val="nil"/>
              <w:left w:val="nil"/>
              <w:bottom w:val="nil"/>
              <w:right w:val="nil"/>
            </w:tcBorders>
            <w:shd w:val="clear" w:color="000000" w:fill="E6F2FF"/>
            <w:noWrap/>
            <w:vAlign w:val="bottom"/>
            <w:hideMark/>
          </w:tcPr>
          <w:p w14:paraId="0F51D80D"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-6,493</w:t>
            </w:r>
          </w:p>
        </w:tc>
        <w:tc>
          <w:tcPr>
            <w:tcW w:w="757" w:type="pct"/>
            <w:tcBorders>
              <w:top w:val="nil"/>
              <w:left w:val="nil"/>
              <w:bottom w:val="nil"/>
              <w:right w:val="nil"/>
            </w:tcBorders>
            <w:shd w:val="clear" w:color="000000" w:fill="FFFFFF"/>
            <w:noWrap/>
            <w:vAlign w:val="bottom"/>
            <w:hideMark/>
          </w:tcPr>
          <w:p w14:paraId="51DA1F9F" w14:textId="77777777" w:rsidR="00FC78FA" w:rsidRPr="00390B7D" w:rsidRDefault="00FC78FA" w:rsidP="00FC78FA">
            <w:pPr>
              <w:spacing w:before="0" w:after="0" w:line="240" w:lineRule="auto"/>
              <w:jc w:val="right"/>
              <w:rPr>
                <w:rFonts w:ascii="Arial" w:hAnsi="Arial" w:cs="Arial"/>
                <w:color w:val="000000"/>
                <w:sz w:val="16"/>
                <w:szCs w:val="16"/>
              </w:rPr>
            </w:pPr>
            <w:r w:rsidRPr="00390B7D">
              <w:rPr>
                <w:rFonts w:ascii="Arial" w:hAnsi="Arial" w:cs="Arial"/>
                <w:color w:val="000000"/>
                <w:sz w:val="16"/>
                <w:szCs w:val="16"/>
              </w:rPr>
              <w:t>875</w:t>
            </w:r>
          </w:p>
        </w:tc>
      </w:tr>
      <w:tr w:rsidR="00FC78FA" w:rsidRPr="00390B7D" w14:paraId="59B2AE29"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58A8C5D7"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Total net cash flows from investments in financial assets</w:t>
            </w:r>
          </w:p>
        </w:tc>
        <w:tc>
          <w:tcPr>
            <w:tcW w:w="667" w:type="pct"/>
            <w:tcBorders>
              <w:top w:val="nil"/>
              <w:left w:val="nil"/>
              <w:bottom w:val="nil"/>
              <w:right w:val="nil"/>
            </w:tcBorders>
            <w:shd w:val="clear" w:color="000000" w:fill="FFFFFF"/>
            <w:noWrap/>
            <w:vAlign w:val="bottom"/>
            <w:hideMark/>
          </w:tcPr>
          <w:p w14:paraId="5DBA9E73" w14:textId="77777777" w:rsidR="00FC78FA" w:rsidRPr="00390B7D" w:rsidRDefault="00FC78FA" w:rsidP="00FC78FA">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667" w:type="pct"/>
            <w:tcBorders>
              <w:top w:val="nil"/>
              <w:left w:val="nil"/>
              <w:bottom w:val="nil"/>
              <w:right w:val="nil"/>
            </w:tcBorders>
            <w:shd w:val="clear" w:color="000000" w:fill="E6F2FF"/>
            <w:noWrap/>
            <w:vAlign w:val="bottom"/>
            <w:hideMark/>
          </w:tcPr>
          <w:p w14:paraId="5B5D7758"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 </w:t>
            </w:r>
          </w:p>
        </w:tc>
        <w:tc>
          <w:tcPr>
            <w:tcW w:w="757" w:type="pct"/>
            <w:tcBorders>
              <w:top w:val="nil"/>
              <w:left w:val="nil"/>
              <w:bottom w:val="nil"/>
              <w:right w:val="nil"/>
            </w:tcBorders>
            <w:shd w:val="clear" w:color="000000" w:fill="FFFFFF"/>
            <w:noWrap/>
            <w:vAlign w:val="bottom"/>
            <w:hideMark/>
          </w:tcPr>
          <w:p w14:paraId="2BB85572"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 </w:t>
            </w:r>
          </w:p>
        </w:tc>
      </w:tr>
      <w:tr w:rsidR="00FC78FA" w:rsidRPr="00390B7D" w14:paraId="184672A0" w14:textId="77777777" w:rsidTr="00FC78FA">
        <w:trPr>
          <w:trHeight w:hRule="exact" w:val="225"/>
        </w:trPr>
        <w:tc>
          <w:tcPr>
            <w:tcW w:w="2909" w:type="pct"/>
            <w:tcBorders>
              <w:top w:val="nil"/>
              <w:left w:val="nil"/>
              <w:bottom w:val="nil"/>
              <w:right w:val="nil"/>
            </w:tcBorders>
            <w:shd w:val="clear" w:color="000000" w:fill="FFFFFF"/>
            <w:noWrap/>
            <w:vAlign w:val="bottom"/>
            <w:hideMark/>
          </w:tcPr>
          <w:p w14:paraId="36D03A21" w14:textId="77777777" w:rsidR="00FC78FA" w:rsidRPr="00390B7D" w:rsidRDefault="00FC78FA" w:rsidP="00FC78FA">
            <w:pPr>
              <w:spacing w:before="0" w:after="0" w:line="240" w:lineRule="auto"/>
              <w:ind w:left="170"/>
              <w:rPr>
                <w:rFonts w:ascii="Arial" w:hAnsi="Arial" w:cs="Arial"/>
                <w:b/>
                <w:bCs/>
                <w:color w:val="000000"/>
                <w:sz w:val="16"/>
                <w:szCs w:val="16"/>
              </w:rPr>
            </w:pPr>
            <w:r w:rsidRPr="00390B7D">
              <w:rPr>
                <w:rFonts w:ascii="Arial" w:hAnsi="Arial" w:cs="Arial"/>
                <w:b/>
                <w:bCs/>
                <w:color w:val="000000"/>
                <w:sz w:val="16"/>
                <w:szCs w:val="16"/>
              </w:rPr>
              <w:t>for policy purposes</w:t>
            </w:r>
          </w:p>
        </w:tc>
        <w:tc>
          <w:tcPr>
            <w:tcW w:w="667" w:type="pct"/>
            <w:tcBorders>
              <w:top w:val="nil"/>
              <w:left w:val="nil"/>
              <w:bottom w:val="nil"/>
              <w:right w:val="nil"/>
            </w:tcBorders>
            <w:shd w:val="clear" w:color="000000" w:fill="FFFFFF"/>
            <w:noWrap/>
            <w:vAlign w:val="bottom"/>
            <w:hideMark/>
          </w:tcPr>
          <w:p w14:paraId="6D52D8A8" w14:textId="77777777" w:rsidR="00FC78FA" w:rsidRPr="00390B7D" w:rsidRDefault="00FC78FA" w:rsidP="00FC78FA">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-11,689</w:t>
            </w:r>
          </w:p>
        </w:tc>
        <w:tc>
          <w:tcPr>
            <w:tcW w:w="667" w:type="pct"/>
            <w:tcBorders>
              <w:top w:val="nil"/>
              <w:left w:val="nil"/>
              <w:bottom w:val="nil"/>
              <w:right w:val="nil"/>
            </w:tcBorders>
            <w:shd w:val="clear" w:color="000000" w:fill="E6F2FF"/>
            <w:noWrap/>
            <w:vAlign w:val="bottom"/>
            <w:hideMark/>
          </w:tcPr>
          <w:p w14:paraId="1E4E889D" w14:textId="77777777" w:rsidR="00FC78FA" w:rsidRPr="00390B7D" w:rsidRDefault="00FC78FA" w:rsidP="00FC78FA">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-7,962</w:t>
            </w:r>
          </w:p>
        </w:tc>
        <w:tc>
          <w:tcPr>
            <w:tcW w:w="757" w:type="pct"/>
            <w:tcBorders>
              <w:top w:val="nil"/>
              <w:left w:val="nil"/>
              <w:bottom w:val="nil"/>
              <w:right w:val="nil"/>
            </w:tcBorders>
            <w:shd w:val="clear" w:color="000000" w:fill="FFFFFF"/>
            <w:noWrap/>
            <w:vAlign w:val="bottom"/>
            <w:hideMark/>
          </w:tcPr>
          <w:p w14:paraId="45DBB1F2" w14:textId="77777777" w:rsidR="00FC78FA" w:rsidRPr="00390B7D" w:rsidRDefault="00FC78FA" w:rsidP="00FC78FA">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3,727</w:t>
            </w:r>
          </w:p>
        </w:tc>
      </w:tr>
      <w:tr w:rsidR="00FC78FA" w:rsidRPr="00390B7D" w14:paraId="4F11F6DB" w14:textId="77777777" w:rsidTr="00FC78FA">
        <w:trPr>
          <w:trHeight w:hRule="exact" w:val="240"/>
        </w:trPr>
        <w:tc>
          <w:tcPr>
            <w:tcW w:w="2909" w:type="pct"/>
            <w:tcBorders>
              <w:top w:val="nil"/>
              <w:left w:val="nil"/>
              <w:bottom w:val="nil"/>
              <w:right w:val="nil"/>
            </w:tcBorders>
            <w:shd w:val="clear" w:color="000000" w:fill="FFFFFF"/>
            <w:noWrap/>
            <w:vAlign w:val="bottom"/>
            <w:hideMark/>
          </w:tcPr>
          <w:p w14:paraId="61A81234" w14:textId="77777777" w:rsidR="00FC78FA" w:rsidRPr="00390B7D" w:rsidRDefault="00FC78FA" w:rsidP="00FC78FA">
            <w:pPr>
              <w:spacing w:before="0" w:after="0" w:line="240" w:lineRule="auto"/>
              <w:ind w:left="170"/>
              <w:rPr>
                <w:rFonts w:ascii="Arial" w:hAnsi="Arial" w:cs="Arial"/>
                <w:b/>
                <w:bCs/>
                <w:color w:val="000000"/>
                <w:sz w:val="16"/>
                <w:szCs w:val="16"/>
              </w:rPr>
            </w:pPr>
            <w:r w:rsidRPr="00390B7D">
              <w:rPr>
                <w:rFonts w:ascii="Arial" w:hAnsi="Arial" w:cs="Arial"/>
                <w:b/>
                <w:bCs/>
                <w:color w:val="000000"/>
                <w:sz w:val="16"/>
                <w:szCs w:val="16"/>
              </w:rPr>
              <w:t> </w:t>
            </w:r>
          </w:p>
        </w:tc>
        <w:tc>
          <w:tcPr>
            <w:tcW w:w="667" w:type="pct"/>
            <w:tcBorders>
              <w:top w:val="single" w:sz="4" w:space="0" w:color="293F5B"/>
              <w:left w:val="nil"/>
              <w:bottom w:val="nil"/>
              <w:right w:val="nil"/>
            </w:tcBorders>
            <w:shd w:val="clear" w:color="000000" w:fill="FFFFFF"/>
            <w:noWrap/>
            <w:vAlign w:val="bottom"/>
            <w:hideMark/>
          </w:tcPr>
          <w:p w14:paraId="07CF49EF" w14:textId="77777777" w:rsidR="00FC78FA" w:rsidRPr="00390B7D" w:rsidRDefault="00FC78FA" w:rsidP="00FC78FA">
            <w:pPr>
              <w:spacing w:before="0" w:after="0" w:line="240" w:lineRule="auto"/>
              <w:rPr>
                <w:rFonts w:ascii="Arial" w:hAnsi="Arial" w:cs="Arial"/>
                <w:color w:val="000000"/>
                <w:sz w:val="16"/>
                <w:szCs w:val="16"/>
              </w:rPr>
            </w:pPr>
            <w:r w:rsidRPr="00390B7D">
              <w:rPr>
                <w:rFonts w:ascii="Arial" w:hAnsi="Arial" w:cs="Arial"/>
                <w:color w:val="000000"/>
                <w:sz w:val="16"/>
                <w:szCs w:val="16"/>
              </w:rPr>
              <w:t> </w:t>
            </w:r>
          </w:p>
        </w:tc>
        <w:tc>
          <w:tcPr>
            <w:tcW w:w="667" w:type="pct"/>
            <w:tcBorders>
              <w:top w:val="single" w:sz="4" w:space="0" w:color="293F5B"/>
              <w:left w:val="nil"/>
              <w:bottom w:val="nil"/>
              <w:right w:val="nil"/>
            </w:tcBorders>
            <w:shd w:val="clear" w:color="000000" w:fill="E6F2FF"/>
            <w:noWrap/>
            <w:vAlign w:val="bottom"/>
            <w:hideMark/>
          </w:tcPr>
          <w:p w14:paraId="3653FEA9"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 </w:t>
            </w:r>
          </w:p>
        </w:tc>
        <w:tc>
          <w:tcPr>
            <w:tcW w:w="757" w:type="pct"/>
            <w:tcBorders>
              <w:top w:val="single" w:sz="4" w:space="0" w:color="293F5B"/>
              <w:left w:val="nil"/>
              <w:bottom w:val="nil"/>
              <w:right w:val="nil"/>
            </w:tcBorders>
            <w:shd w:val="clear" w:color="000000" w:fill="FFFFFF"/>
            <w:noWrap/>
            <w:vAlign w:val="bottom"/>
            <w:hideMark/>
          </w:tcPr>
          <w:p w14:paraId="4F5D7302"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 </w:t>
            </w:r>
          </w:p>
        </w:tc>
      </w:tr>
      <w:tr w:rsidR="00FC78FA" w:rsidRPr="00390B7D" w14:paraId="04C83289" w14:textId="77777777" w:rsidTr="00FC78FA">
        <w:trPr>
          <w:trHeight w:hRule="exact" w:val="225"/>
        </w:trPr>
        <w:tc>
          <w:tcPr>
            <w:tcW w:w="2909" w:type="pct"/>
            <w:tcBorders>
              <w:top w:val="nil"/>
              <w:left w:val="nil"/>
              <w:bottom w:val="single" w:sz="4" w:space="0" w:color="auto"/>
              <w:right w:val="nil"/>
            </w:tcBorders>
            <w:shd w:val="clear" w:color="000000" w:fill="FFFFFF"/>
            <w:noWrap/>
            <w:vAlign w:val="bottom"/>
            <w:hideMark/>
          </w:tcPr>
          <w:p w14:paraId="7F38154F" w14:textId="77777777" w:rsidR="00FC78FA" w:rsidRPr="00390B7D" w:rsidRDefault="00FC78FA" w:rsidP="00FC78FA">
            <w:pPr>
              <w:spacing w:before="0" w:after="0" w:line="240" w:lineRule="auto"/>
              <w:rPr>
                <w:rFonts w:ascii="Arial" w:hAnsi="Arial" w:cs="Arial"/>
                <w:b/>
                <w:bCs/>
                <w:color w:val="000000"/>
                <w:sz w:val="16"/>
                <w:szCs w:val="16"/>
              </w:rPr>
            </w:pPr>
            <w:r w:rsidRPr="00390B7D">
              <w:rPr>
                <w:rFonts w:ascii="Arial" w:hAnsi="Arial" w:cs="Arial"/>
                <w:b/>
                <w:bCs/>
                <w:color w:val="000000"/>
                <w:sz w:val="16"/>
                <w:szCs w:val="16"/>
              </w:rPr>
              <w:t>2022-23 Headline cash balance</w:t>
            </w:r>
          </w:p>
        </w:tc>
        <w:tc>
          <w:tcPr>
            <w:tcW w:w="667" w:type="pct"/>
            <w:tcBorders>
              <w:top w:val="nil"/>
              <w:left w:val="nil"/>
              <w:bottom w:val="single" w:sz="4" w:space="0" w:color="293F5B"/>
              <w:right w:val="nil"/>
            </w:tcBorders>
            <w:shd w:val="clear" w:color="000000" w:fill="FFFFFF"/>
            <w:noWrap/>
            <w:vAlign w:val="bottom"/>
            <w:hideMark/>
          </w:tcPr>
          <w:p w14:paraId="25966B2A" w14:textId="77777777" w:rsidR="00FC78FA" w:rsidRPr="00390B7D" w:rsidRDefault="00FC78FA" w:rsidP="00FC78FA">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-7,487</w:t>
            </w:r>
          </w:p>
        </w:tc>
        <w:tc>
          <w:tcPr>
            <w:tcW w:w="667" w:type="pct"/>
            <w:tcBorders>
              <w:top w:val="nil"/>
              <w:left w:val="nil"/>
              <w:bottom w:val="single" w:sz="4" w:space="0" w:color="293F5B"/>
              <w:right w:val="nil"/>
            </w:tcBorders>
            <w:shd w:val="clear" w:color="000000" w:fill="E6F2FF"/>
            <w:noWrap/>
            <w:vAlign w:val="bottom"/>
            <w:hideMark/>
          </w:tcPr>
          <w:p w14:paraId="169A00A7" w14:textId="77777777" w:rsidR="00FC78FA" w:rsidRPr="00390B7D" w:rsidRDefault="00FC78FA" w:rsidP="00FC78FA">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14,103</w:t>
            </w:r>
          </w:p>
        </w:tc>
        <w:tc>
          <w:tcPr>
            <w:tcW w:w="757" w:type="pct"/>
            <w:tcBorders>
              <w:top w:val="nil"/>
              <w:left w:val="nil"/>
              <w:bottom w:val="single" w:sz="4" w:space="0" w:color="293F5B"/>
              <w:right w:val="nil"/>
            </w:tcBorders>
            <w:shd w:val="clear" w:color="000000" w:fill="FFFFFF"/>
            <w:noWrap/>
            <w:vAlign w:val="bottom"/>
            <w:hideMark/>
          </w:tcPr>
          <w:p w14:paraId="2D17CAB4" w14:textId="77777777" w:rsidR="00FC78FA" w:rsidRPr="00390B7D" w:rsidRDefault="00FC78FA" w:rsidP="00FC78FA">
            <w:pPr>
              <w:spacing w:before="0" w:after="0" w:line="240" w:lineRule="auto"/>
              <w:jc w:val="right"/>
              <w:rPr>
                <w:rFonts w:ascii="Arial" w:hAnsi="Arial" w:cs="Arial"/>
                <w:b/>
                <w:bCs/>
                <w:color w:val="000000"/>
                <w:sz w:val="16"/>
                <w:szCs w:val="16"/>
              </w:rPr>
            </w:pPr>
            <w:r w:rsidRPr="00390B7D">
              <w:rPr>
                <w:rFonts w:ascii="Arial" w:hAnsi="Arial" w:cs="Arial"/>
                <w:b/>
                <w:bCs/>
                <w:color w:val="000000"/>
                <w:sz w:val="16"/>
                <w:szCs w:val="16"/>
              </w:rPr>
              <w:t>21,590</w:t>
            </w:r>
          </w:p>
        </w:tc>
      </w:tr>
    </w:tbl>
    <w:p w14:paraId="3435076F" w14:textId="1DFF8ED9" w:rsidR="002959E6" w:rsidRPr="006354EB" w:rsidRDefault="002959E6">
      <w:pPr>
        <w:pStyle w:val="ChartandTableFootnoteAlpha"/>
        <w:numPr>
          <w:ilvl w:val="0"/>
          <w:numId w:val="6"/>
        </w:numPr>
      </w:pPr>
      <w:r w:rsidRPr="006354EB">
        <w:t>A positive number denotes a cash inflow; a negative number denotes a cash outflow.</w:t>
      </w:r>
    </w:p>
    <w:p w14:paraId="716AFB3F" w14:textId="15E370BF" w:rsidR="002959E6" w:rsidRPr="006354EB" w:rsidRDefault="002959E6" w:rsidP="004613E1">
      <w:pPr>
        <w:pStyle w:val="ChartandTableFootnoteAlpha"/>
      </w:pPr>
      <w:r w:rsidRPr="006354EB">
        <w:t>This financial profile represents the actual repayments for 202</w:t>
      </w:r>
      <w:r w:rsidR="005372A7">
        <w:t>2</w:t>
      </w:r>
      <w:r w:rsidR="0083530B">
        <w:t>–</w:t>
      </w:r>
      <w:r w:rsidRPr="006354EB">
        <w:t>2</w:t>
      </w:r>
      <w:r w:rsidR="005372A7">
        <w:t>3</w:t>
      </w:r>
      <w:r w:rsidRPr="006354EB">
        <w:t>. As the loan agreement between the Government and NBN Co allows some flexibility in relation to the timing of the repayment</w:t>
      </w:r>
      <w:r w:rsidR="007A73FB">
        <w:t>.</w:t>
      </w:r>
      <w:r w:rsidRPr="006354EB">
        <w:t xml:space="preserve"> </w:t>
      </w:r>
      <w:r w:rsidR="007A73FB">
        <w:t>T</w:t>
      </w:r>
      <w:r w:rsidRPr="006354EB">
        <w:t xml:space="preserve">he remaining </w:t>
      </w:r>
      <w:r w:rsidR="007A73FB">
        <w:t xml:space="preserve">loan balance </w:t>
      </w:r>
      <w:r w:rsidR="001C5409">
        <w:t xml:space="preserve">of $5.5 billion </w:t>
      </w:r>
      <w:r w:rsidRPr="006354EB">
        <w:t>is included in 2023</w:t>
      </w:r>
      <w:r w:rsidR="0083530B">
        <w:t>–</w:t>
      </w:r>
      <w:r w:rsidRPr="006354EB">
        <w:t>24.</w:t>
      </w:r>
    </w:p>
    <w:p w14:paraId="30359C7E" w14:textId="4E5DD0E4" w:rsidR="002959E6" w:rsidRDefault="002959E6" w:rsidP="004613E1">
      <w:pPr>
        <w:pStyle w:val="ChartandTableFootnoteAlpha"/>
      </w:pPr>
      <w:r w:rsidRPr="006354EB">
        <w:t>Net other includes amounts that have not been itemised for commercial</w:t>
      </w:r>
      <w:r w:rsidR="006B57C6">
        <w:noBreakHyphen/>
      </w:r>
      <w:r w:rsidRPr="006354EB">
        <w:t>in</w:t>
      </w:r>
      <w:r w:rsidR="006B57C6">
        <w:noBreakHyphen/>
      </w:r>
      <w:r w:rsidRPr="006354EB">
        <w:t>confidence reasons.</w:t>
      </w:r>
    </w:p>
    <w:p w14:paraId="13C16A50" w14:textId="77777777" w:rsidR="002959E6" w:rsidRPr="004E1D0C" w:rsidRDefault="002959E6" w:rsidP="004E1D0C">
      <w:pPr>
        <w:pStyle w:val="Heading2"/>
      </w:pPr>
      <w:r w:rsidRPr="00B125EC">
        <w:t>Gross debt, net debt, net financial worth and net worth</w:t>
      </w:r>
    </w:p>
    <w:p w14:paraId="7E183F0C" w14:textId="7346E07F" w:rsidR="002959E6" w:rsidRPr="00390B7D" w:rsidRDefault="002959E6" w:rsidP="002959E6">
      <w:pPr>
        <w:rPr>
          <w:rFonts w:ascii="Calibri" w:hAnsi="Calibri"/>
        </w:rPr>
      </w:pPr>
      <w:r w:rsidRPr="00390B7D">
        <w:t>At the end of 202</w:t>
      </w:r>
      <w:r w:rsidR="001A3265" w:rsidRPr="00390B7D">
        <w:t>2</w:t>
      </w:r>
      <w:r w:rsidR="0083530B" w:rsidRPr="00390B7D">
        <w:t>–</w:t>
      </w:r>
      <w:r w:rsidR="001A3265" w:rsidRPr="00390B7D">
        <w:t>23</w:t>
      </w:r>
      <w:r w:rsidRPr="00390B7D">
        <w:t>, gross debt was $8</w:t>
      </w:r>
      <w:r w:rsidR="001A3265" w:rsidRPr="00390B7D">
        <w:t>89.8</w:t>
      </w:r>
      <w:r w:rsidR="002E328D" w:rsidRPr="00390B7D">
        <w:t> billion</w:t>
      </w:r>
      <w:r w:rsidRPr="00390B7D">
        <w:t xml:space="preserve"> (</w:t>
      </w:r>
      <w:r w:rsidR="009C0D8C" w:rsidRPr="00390B7D">
        <w:t>35.</w:t>
      </w:r>
      <w:r w:rsidR="00153C82" w:rsidRPr="00390B7D">
        <w:t>2</w:t>
      </w:r>
      <w:r w:rsidR="002E328D" w:rsidRPr="00390B7D">
        <w:t> per </w:t>
      </w:r>
      <w:r w:rsidRPr="00390B7D">
        <w:t>cent of GDP)</w:t>
      </w:r>
      <w:r w:rsidR="00CC399F" w:rsidRPr="00390B7D">
        <w:t xml:space="preserve">. While there has been a significant improvement in the underlying cash balance, the gross debt outcome is </w:t>
      </w:r>
      <w:r w:rsidR="00A22347" w:rsidRPr="00390B7D">
        <w:t xml:space="preserve">broadly in line with </w:t>
      </w:r>
      <w:r w:rsidR="00A00878" w:rsidRPr="00390B7D">
        <w:t>the</w:t>
      </w:r>
      <w:r w:rsidRPr="00390B7D">
        <w:t xml:space="preserve"> estimate in the</w:t>
      </w:r>
      <w:r w:rsidR="000E5737" w:rsidRPr="00390B7D">
        <w:t xml:space="preserve"> </w:t>
      </w:r>
      <w:r w:rsidR="00D54952" w:rsidRPr="00390B7D">
        <w:t>Budget</w:t>
      </w:r>
      <w:r w:rsidRPr="00390B7D">
        <w:t xml:space="preserve">. </w:t>
      </w:r>
      <w:r w:rsidR="006A19F3" w:rsidRPr="00390B7D">
        <w:t>This reflects the</w:t>
      </w:r>
      <w:r w:rsidR="007F7EB6" w:rsidRPr="00390B7D">
        <w:t xml:space="preserve"> Australian Office of Financial Management’s (</w:t>
      </w:r>
      <w:r w:rsidR="006A19F3" w:rsidRPr="00390B7D">
        <w:t>AOFM</w:t>
      </w:r>
      <w:r w:rsidR="007F7EB6" w:rsidRPr="00390B7D">
        <w:t>)</w:t>
      </w:r>
      <w:r w:rsidR="006A19F3" w:rsidRPr="00390B7D">
        <w:t xml:space="preserve"> decision not to deviate </w:t>
      </w:r>
      <w:r w:rsidR="00CF11C8" w:rsidRPr="00390B7D">
        <w:t xml:space="preserve">from the issuance guidance </w:t>
      </w:r>
      <w:r w:rsidR="00FA5D6F" w:rsidRPr="00390B7D">
        <w:t xml:space="preserve">provided to the market </w:t>
      </w:r>
      <w:r w:rsidR="00775033" w:rsidRPr="00390B7D">
        <w:t xml:space="preserve">following </w:t>
      </w:r>
      <w:r w:rsidR="001E1E16" w:rsidRPr="00390B7D">
        <w:t xml:space="preserve">the </w:t>
      </w:r>
      <w:r w:rsidR="008B028C" w:rsidRPr="00390B7D">
        <w:t xml:space="preserve">Budget </w:t>
      </w:r>
      <w:r w:rsidR="00B8734E" w:rsidRPr="00390B7D">
        <w:t>for the remainder of 2022</w:t>
      </w:r>
      <w:r w:rsidR="0083530B" w:rsidRPr="00390B7D">
        <w:t>–</w:t>
      </w:r>
      <w:r w:rsidR="00B8734E" w:rsidRPr="00390B7D">
        <w:t>23</w:t>
      </w:r>
      <w:r w:rsidR="008A742E" w:rsidRPr="00390B7D">
        <w:t xml:space="preserve">. The combination of the improved underlying cash balance and AOFM’s adherence to announced </w:t>
      </w:r>
      <w:r w:rsidR="00960063" w:rsidRPr="00390B7D">
        <w:t>issuance</w:t>
      </w:r>
      <w:r w:rsidR="008A742E" w:rsidRPr="00390B7D">
        <w:t xml:space="preserve"> plans</w:t>
      </w:r>
      <w:r w:rsidR="008E7E93" w:rsidRPr="00390B7D">
        <w:t xml:space="preserve"> effectively </w:t>
      </w:r>
      <w:r w:rsidR="00FF6476" w:rsidRPr="00390B7D">
        <w:t xml:space="preserve">pre-funds some of the </w:t>
      </w:r>
      <w:r w:rsidR="002B1419" w:rsidRPr="00390B7D">
        <w:t xml:space="preserve">Government’s financing requirement for </w:t>
      </w:r>
      <w:r w:rsidR="00FF6476" w:rsidRPr="00390B7D">
        <w:t>2023</w:t>
      </w:r>
      <w:r w:rsidR="002C4D9F" w:rsidRPr="00390B7D">
        <w:t>–</w:t>
      </w:r>
      <w:r w:rsidR="00FF6476" w:rsidRPr="00390B7D">
        <w:t>24</w:t>
      </w:r>
      <w:r w:rsidR="00FD45B5" w:rsidRPr="00390B7D">
        <w:t xml:space="preserve">. </w:t>
      </w:r>
    </w:p>
    <w:p w14:paraId="456ABB77" w14:textId="53BD7E7B" w:rsidR="008906C4" w:rsidRDefault="002959E6" w:rsidP="002959E6">
      <w:r w:rsidRPr="00390B7D">
        <w:rPr>
          <w:bdr w:val="none" w:sz="0" w:space="0" w:color="auto" w:frame="1"/>
        </w:rPr>
        <w:t>At the end of 202</w:t>
      </w:r>
      <w:r w:rsidR="00CC3661" w:rsidRPr="00390B7D">
        <w:rPr>
          <w:bdr w:val="none" w:sz="0" w:space="0" w:color="auto" w:frame="1"/>
        </w:rPr>
        <w:t>2</w:t>
      </w:r>
      <w:r w:rsidR="0083530B" w:rsidRPr="00390B7D">
        <w:rPr>
          <w:bdr w:val="none" w:sz="0" w:space="0" w:color="auto" w:frame="1"/>
        </w:rPr>
        <w:t>–</w:t>
      </w:r>
      <w:r w:rsidR="00CC3661" w:rsidRPr="00390B7D">
        <w:rPr>
          <w:bdr w:val="none" w:sz="0" w:space="0" w:color="auto" w:frame="1"/>
        </w:rPr>
        <w:t>23</w:t>
      </w:r>
      <w:r w:rsidRPr="00390B7D">
        <w:rPr>
          <w:bdr w:val="none" w:sz="0" w:space="0" w:color="auto" w:frame="1"/>
        </w:rPr>
        <w:t>, net debt was $</w:t>
      </w:r>
      <w:r w:rsidR="004011CB" w:rsidRPr="00390B7D">
        <w:t>49</w:t>
      </w:r>
      <w:r w:rsidR="00002AE1" w:rsidRPr="00390B7D">
        <w:t>1.</w:t>
      </w:r>
      <w:r w:rsidR="00591F19" w:rsidRPr="00390B7D">
        <w:t>0</w:t>
      </w:r>
      <w:r w:rsidR="002E328D" w:rsidRPr="00390B7D">
        <w:rPr>
          <w:bdr w:val="none" w:sz="0" w:space="0" w:color="auto" w:frame="1"/>
        </w:rPr>
        <w:t> billion</w:t>
      </w:r>
      <w:r w:rsidRPr="00390B7D">
        <w:rPr>
          <w:bdr w:val="none" w:sz="0" w:space="0" w:color="auto" w:frame="1"/>
        </w:rPr>
        <w:t xml:space="preserve"> (</w:t>
      </w:r>
      <w:r w:rsidR="001C7333" w:rsidRPr="00390B7D">
        <w:t>19.</w:t>
      </w:r>
      <w:r w:rsidR="00591F19" w:rsidRPr="00390B7D">
        <w:t>4</w:t>
      </w:r>
      <w:r w:rsidR="002E328D" w:rsidRPr="00390B7D">
        <w:t> per </w:t>
      </w:r>
      <w:r w:rsidRPr="00390B7D">
        <w:rPr>
          <w:bdr w:val="none" w:sz="0" w:space="0" w:color="auto" w:frame="1"/>
        </w:rPr>
        <w:t>cent of GDP), $</w:t>
      </w:r>
      <w:r w:rsidR="002A36D1" w:rsidRPr="00390B7D">
        <w:t>5</w:t>
      </w:r>
      <w:r w:rsidR="00C45952" w:rsidRPr="00390B7D">
        <w:t>7.</w:t>
      </w:r>
      <w:r w:rsidR="00EE5269" w:rsidRPr="00390B7D">
        <w:t>6</w:t>
      </w:r>
      <w:r w:rsidR="002E328D" w:rsidRPr="00390B7D">
        <w:rPr>
          <w:bdr w:val="none" w:sz="0" w:space="0" w:color="auto" w:frame="1"/>
        </w:rPr>
        <w:t> billion</w:t>
      </w:r>
      <w:r w:rsidRPr="00390B7D">
        <w:rPr>
          <w:bdr w:val="none" w:sz="0" w:space="0" w:color="auto" w:frame="1"/>
        </w:rPr>
        <w:t xml:space="preserve"> lower than estimated </w:t>
      </w:r>
      <w:r w:rsidRPr="00390B7D">
        <w:t>in the</w:t>
      </w:r>
      <w:r w:rsidRPr="00390B7D">
        <w:rPr>
          <w:bdr w:val="none" w:sz="0" w:space="0" w:color="auto" w:frame="1"/>
        </w:rPr>
        <w:t xml:space="preserve"> </w:t>
      </w:r>
      <w:r w:rsidR="002A36D1" w:rsidRPr="00390B7D">
        <w:rPr>
          <w:bdr w:val="none" w:sz="0" w:space="0" w:color="auto" w:frame="1"/>
        </w:rPr>
        <w:t>2023</w:t>
      </w:r>
      <w:r w:rsidR="0083530B" w:rsidRPr="00390B7D">
        <w:rPr>
          <w:bdr w:val="none" w:sz="0" w:space="0" w:color="auto" w:frame="1"/>
        </w:rPr>
        <w:t>–</w:t>
      </w:r>
      <w:r w:rsidR="002A36D1" w:rsidRPr="00390B7D">
        <w:rPr>
          <w:bdr w:val="none" w:sz="0" w:space="0" w:color="auto" w:frame="1"/>
        </w:rPr>
        <w:t xml:space="preserve">24 </w:t>
      </w:r>
      <w:r w:rsidRPr="00390B7D">
        <w:rPr>
          <w:bdr w:val="none" w:sz="0" w:space="0" w:color="auto" w:frame="1"/>
        </w:rPr>
        <w:t>Budget</w:t>
      </w:r>
      <w:r w:rsidR="00FD45B5" w:rsidRPr="00390B7D">
        <w:rPr>
          <w:bdr w:val="none" w:sz="0" w:space="0" w:color="auto" w:frame="1"/>
        </w:rPr>
        <w:t xml:space="preserve">. </w:t>
      </w:r>
      <w:r w:rsidRPr="00390B7D">
        <w:t xml:space="preserve">Net debt is measured by </w:t>
      </w:r>
      <w:r w:rsidR="00347191" w:rsidRPr="00390B7D">
        <w:t xml:space="preserve">the </w:t>
      </w:r>
      <w:r w:rsidRPr="00390B7D">
        <w:t>market value</w:t>
      </w:r>
      <w:r w:rsidR="00347191" w:rsidRPr="00390B7D">
        <w:t xml:space="preserve"> of Australian Government Securities on issue</w:t>
      </w:r>
      <w:r w:rsidRPr="00390B7D">
        <w:t xml:space="preserve"> (whereas gross debt is measured by face value) and includes selected financial assets.</w:t>
      </w:r>
      <w:r w:rsidRPr="00B125EC">
        <w:t xml:space="preserve"> </w:t>
      </w:r>
    </w:p>
    <w:p w14:paraId="5D7EC18F" w14:textId="0F4F129D" w:rsidR="00E901C7" w:rsidRPr="00390B7D" w:rsidRDefault="00E901C7" w:rsidP="002959E6">
      <w:pPr>
        <w:rPr>
          <w:rStyle w:val="ui-provider"/>
          <w:i/>
        </w:rPr>
      </w:pPr>
      <w:r w:rsidRPr="00390B7D">
        <w:rPr>
          <w:rStyle w:val="ui-provider"/>
        </w:rPr>
        <w:lastRenderedPageBreak/>
        <w:t xml:space="preserve">Since </w:t>
      </w:r>
      <w:r w:rsidR="005B018A" w:rsidRPr="00390B7D">
        <w:rPr>
          <w:rStyle w:val="ui-provider"/>
        </w:rPr>
        <w:t>th</w:t>
      </w:r>
      <w:r w:rsidR="00A030E3" w:rsidRPr="00390B7D">
        <w:rPr>
          <w:rStyle w:val="ui-provider"/>
        </w:rPr>
        <w:t>e</w:t>
      </w:r>
      <w:r w:rsidR="005B018A" w:rsidRPr="00390B7D">
        <w:rPr>
          <w:rStyle w:val="ui-provider"/>
        </w:rPr>
        <w:t xml:space="preserve"> </w:t>
      </w:r>
      <w:r w:rsidR="00347191" w:rsidRPr="00390B7D">
        <w:rPr>
          <w:rStyle w:val="ui-provider"/>
        </w:rPr>
        <w:t>2023</w:t>
      </w:r>
      <w:r w:rsidR="00347191" w:rsidRPr="00390B7D">
        <w:rPr>
          <w:bdr w:val="none" w:sz="0" w:space="0" w:color="auto" w:frame="1"/>
        </w:rPr>
        <w:t>–</w:t>
      </w:r>
      <w:r w:rsidR="00347191" w:rsidRPr="00390B7D">
        <w:rPr>
          <w:rStyle w:val="ui-provider"/>
        </w:rPr>
        <w:t xml:space="preserve">24 </w:t>
      </w:r>
      <w:r w:rsidRPr="00390B7D">
        <w:rPr>
          <w:rStyle w:val="ui-provider"/>
        </w:rPr>
        <w:t xml:space="preserve">Budget, the relative change in net debt </w:t>
      </w:r>
      <w:r w:rsidR="00D73AEF" w:rsidRPr="00390B7D">
        <w:rPr>
          <w:rStyle w:val="ui-provider"/>
        </w:rPr>
        <w:t>has been</w:t>
      </w:r>
      <w:r w:rsidRPr="00390B7D">
        <w:rPr>
          <w:rStyle w:val="ui-provider"/>
        </w:rPr>
        <w:t xml:space="preserve"> larger than the underlying cash balance. This reflects a substantial fall in the market price of bonds on issue as yields have risen, together with an accumulation of cash reserves</w:t>
      </w:r>
      <w:r w:rsidR="00741E86" w:rsidRPr="00390B7D">
        <w:rPr>
          <w:rStyle w:val="ui-provider"/>
        </w:rPr>
        <w:t xml:space="preserve"> resulting from the better-than-expected</w:t>
      </w:r>
      <w:r w:rsidR="005E7452" w:rsidRPr="00390B7D">
        <w:rPr>
          <w:rStyle w:val="ui-provider"/>
        </w:rPr>
        <w:t xml:space="preserve"> fiscal position</w:t>
      </w:r>
      <w:r w:rsidRPr="00390B7D">
        <w:rPr>
          <w:rStyle w:val="ui-provider"/>
        </w:rPr>
        <w:t>.</w:t>
      </w:r>
    </w:p>
    <w:p w14:paraId="10D7E2DD" w14:textId="4E89B30C" w:rsidR="00512998" w:rsidRPr="00390B7D" w:rsidRDefault="00F53C4F" w:rsidP="00AC71D1">
      <w:r w:rsidRPr="00390B7D">
        <w:rPr>
          <w:bdr w:val="none" w:sz="0" w:space="0" w:color="auto" w:frame="1"/>
        </w:rPr>
        <w:t xml:space="preserve">Net financial worth was </w:t>
      </w:r>
      <w:r w:rsidR="006B57C6" w:rsidRPr="00390B7D">
        <w:rPr>
          <w:bdr w:val="none" w:sz="0" w:space="0" w:color="auto" w:frame="1"/>
        </w:rPr>
        <w:noBreakHyphen/>
      </w:r>
      <w:r w:rsidRPr="00390B7D">
        <w:rPr>
          <w:bdr w:val="none" w:sz="0" w:space="0" w:color="auto" w:frame="1"/>
        </w:rPr>
        <w:t>$74</w:t>
      </w:r>
      <w:r w:rsidR="007B6F11" w:rsidRPr="00390B7D">
        <w:rPr>
          <w:bdr w:val="none" w:sz="0" w:space="0" w:color="auto" w:frame="1"/>
        </w:rPr>
        <w:t>3.3</w:t>
      </w:r>
      <w:r w:rsidR="002E328D" w:rsidRPr="00390B7D">
        <w:rPr>
          <w:bdr w:val="none" w:sz="0" w:space="0" w:color="auto" w:frame="1"/>
        </w:rPr>
        <w:t> billion</w:t>
      </w:r>
      <w:r w:rsidRPr="00390B7D">
        <w:rPr>
          <w:bdr w:val="none" w:sz="0" w:space="0" w:color="auto" w:frame="1"/>
        </w:rPr>
        <w:t xml:space="preserve"> at the end of 2022</w:t>
      </w:r>
      <w:r w:rsidR="0083530B" w:rsidRPr="00390B7D">
        <w:rPr>
          <w:bdr w:val="none" w:sz="0" w:space="0" w:color="auto" w:frame="1"/>
        </w:rPr>
        <w:t>–</w:t>
      </w:r>
      <w:r w:rsidRPr="00390B7D">
        <w:rPr>
          <w:bdr w:val="none" w:sz="0" w:space="0" w:color="auto" w:frame="1"/>
        </w:rPr>
        <w:t xml:space="preserve">23, compared to </w:t>
      </w:r>
      <w:r w:rsidR="006B57C6" w:rsidRPr="00390B7D">
        <w:rPr>
          <w:bdr w:val="none" w:sz="0" w:space="0" w:color="auto" w:frame="1"/>
        </w:rPr>
        <w:noBreakHyphen/>
      </w:r>
      <w:r w:rsidRPr="00390B7D">
        <w:rPr>
          <w:bdr w:val="none" w:sz="0" w:space="0" w:color="auto" w:frame="1"/>
        </w:rPr>
        <w:t>$750.7</w:t>
      </w:r>
      <w:r w:rsidR="002E328D" w:rsidRPr="00390B7D">
        <w:rPr>
          <w:bdr w:val="none" w:sz="0" w:space="0" w:color="auto" w:frame="1"/>
        </w:rPr>
        <w:t> billion</w:t>
      </w:r>
      <w:r w:rsidRPr="00390B7D">
        <w:rPr>
          <w:bdr w:val="none" w:sz="0" w:space="0" w:color="auto" w:frame="1"/>
        </w:rPr>
        <w:t xml:space="preserve"> estimated in the Budget. Net worth was </w:t>
      </w:r>
      <w:r w:rsidR="006B57C6" w:rsidRPr="00390B7D">
        <w:rPr>
          <w:bdr w:val="none" w:sz="0" w:space="0" w:color="auto" w:frame="1"/>
        </w:rPr>
        <w:noBreakHyphen/>
      </w:r>
      <w:r w:rsidRPr="00390B7D">
        <w:rPr>
          <w:bdr w:val="none" w:sz="0" w:space="0" w:color="auto" w:frame="1"/>
        </w:rPr>
        <w:t>$53</w:t>
      </w:r>
      <w:r w:rsidR="000B579E" w:rsidRPr="00390B7D">
        <w:rPr>
          <w:bdr w:val="none" w:sz="0" w:space="0" w:color="auto" w:frame="1"/>
        </w:rPr>
        <w:t>8.4</w:t>
      </w:r>
      <w:r w:rsidR="002E328D" w:rsidRPr="00390B7D">
        <w:rPr>
          <w:bdr w:val="none" w:sz="0" w:space="0" w:color="auto" w:frame="1"/>
        </w:rPr>
        <w:t> billion</w:t>
      </w:r>
      <w:r w:rsidRPr="00390B7D">
        <w:rPr>
          <w:bdr w:val="none" w:sz="0" w:space="0" w:color="auto" w:frame="1"/>
        </w:rPr>
        <w:t xml:space="preserve"> at the end of 2022</w:t>
      </w:r>
      <w:r w:rsidR="0083530B" w:rsidRPr="00390B7D">
        <w:rPr>
          <w:bdr w:val="none" w:sz="0" w:space="0" w:color="auto" w:frame="1"/>
        </w:rPr>
        <w:t>–</w:t>
      </w:r>
      <w:r w:rsidRPr="00390B7D">
        <w:rPr>
          <w:bdr w:val="none" w:sz="0" w:space="0" w:color="auto" w:frame="1"/>
        </w:rPr>
        <w:t xml:space="preserve">23, compared to </w:t>
      </w:r>
      <w:r w:rsidR="006B57C6" w:rsidRPr="00390B7D">
        <w:rPr>
          <w:bdr w:val="none" w:sz="0" w:space="0" w:color="auto" w:frame="1"/>
        </w:rPr>
        <w:noBreakHyphen/>
      </w:r>
      <w:r w:rsidRPr="00390B7D">
        <w:rPr>
          <w:bdr w:val="none" w:sz="0" w:space="0" w:color="auto" w:frame="1"/>
        </w:rPr>
        <w:t>$546.9</w:t>
      </w:r>
      <w:r w:rsidR="002E328D" w:rsidRPr="00390B7D">
        <w:rPr>
          <w:bdr w:val="none" w:sz="0" w:space="0" w:color="auto" w:frame="1"/>
        </w:rPr>
        <w:t> billion</w:t>
      </w:r>
      <w:r w:rsidRPr="00390B7D">
        <w:rPr>
          <w:bdr w:val="none" w:sz="0" w:space="0" w:color="auto" w:frame="1"/>
        </w:rPr>
        <w:t xml:space="preserve"> estimated in the Budget. </w:t>
      </w:r>
      <w:r w:rsidR="00A51F8C" w:rsidRPr="00390B7D">
        <w:t>The changes in net financial worth and net worth since the Budget primarily reflect the better</w:t>
      </w:r>
      <w:r w:rsidR="006B57C6" w:rsidRPr="00390B7D">
        <w:noBreakHyphen/>
      </w:r>
      <w:r w:rsidR="00A51F8C" w:rsidRPr="00390B7D">
        <w:t>than</w:t>
      </w:r>
      <w:r w:rsidR="006B57C6" w:rsidRPr="00390B7D">
        <w:noBreakHyphen/>
      </w:r>
      <w:r w:rsidR="00A51F8C" w:rsidRPr="00390B7D">
        <w:t>expected fiscal position and the factors driving the improvement in net debt explained above, partially offset by an increase in the Government</w:t>
      </w:r>
      <w:r w:rsidR="006B57C6" w:rsidRPr="00390B7D">
        <w:t>’</w:t>
      </w:r>
      <w:r w:rsidR="00A51F8C" w:rsidRPr="00390B7D">
        <w:t>s reported superannuation liability. The reported increase in the superannuation liability is the result of the difference between the discount rates used to value the Government</w:t>
      </w:r>
      <w:r w:rsidR="006B57C6" w:rsidRPr="00390B7D">
        <w:t>’</w:t>
      </w:r>
      <w:r w:rsidR="00A51F8C" w:rsidRPr="00390B7D">
        <w:t xml:space="preserve">s defined benefit superannuation liability at the Budget and the Final Budget Outcome. </w:t>
      </w:r>
    </w:p>
    <w:p w14:paraId="0171868B" w14:textId="6A756C5D" w:rsidR="00512998" w:rsidRDefault="00A51F8C" w:rsidP="00AC71D1">
      <w:r w:rsidRPr="00390B7D">
        <w:t>At the 2023</w:t>
      </w:r>
      <w:r w:rsidR="0083530B" w:rsidRPr="00390B7D">
        <w:t>–</w:t>
      </w:r>
      <w:r w:rsidRPr="00390B7D">
        <w:t>24 Budget, the unfunded superannuation liabilities were estimated using an actuarially determined long</w:t>
      </w:r>
      <w:r w:rsidR="006B57C6" w:rsidRPr="00390B7D">
        <w:noBreakHyphen/>
      </w:r>
      <w:r w:rsidRPr="00390B7D">
        <w:t>term discount rate of 5.0</w:t>
      </w:r>
      <w:r w:rsidR="002E328D" w:rsidRPr="00390B7D">
        <w:t> per </w:t>
      </w:r>
      <w:r w:rsidRPr="00390B7D">
        <w:t>cent</w:t>
      </w:r>
      <w:r w:rsidR="002E328D" w:rsidRPr="00390B7D">
        <w:t> per </w:t>
      </w:r>
      <w:r w:rsidRPr="00390B7D">
        <w:t>annum. This rate reflected the average annual rate estimated to apply over the remainder of the term to maturity of the liability and the actuaries</w:t>
      </w:r>
      <w:r w:rsidR="006B57C6" w:rsidRPr="00390B7D">
        <w:t>’</w:t>
      </w:r>
      <w:r w:rsidRPr="00390B7D">
        <w:t xml:space="preserve"> views that short</w:t>
      </w:r>
      <w:r w:rsidR="006B57C6" w:rsidRPr="00390B7D">
        <w:noBreakHyphen/>
      </w:r>
      <w:r w:rsidRPr="00390B7D">
        <w:t>term deviations are expected to be smoothed out in the longer term. This approach also reduces the volatility in reported liabilities that would occur from year to year if the market long</w:t>
      </w:r>
      <w:r w:rsidR="006B57C6" w:rsidRPr="00390B7D">
        <w:noBreakHyphen/>
      </w:r>
      <w:r w:rsidRPr="00390B7D">
        <w:t>term government bond rate was used.</w:t>
      </w:r>
      <w:r>
        <w:t xml:space="preserve"> </w:t>
      </w:r>
    </w:p>
    <w:p w14:paraId="2120BD13" w14:textId="56E47021" w:rsidR="00A51F8C" w:rsidRPr="00390B7D" w:rsidRDefault="00A51F8C" w:rsidP="00AC71D1">
      <w:r w:rsidRPr="00390B7D">
        <w:t>For the Final Budget Outcome, the Australian Accounting Standards</w:t>
      </w:r>
      <w:r w:rsidR="00FF05C4" w:rsidRPr="00390B7D">
        <w:t xml:space="preserve"> (AAS)</w:t>
      </w:r>
      <w:r w:rsidRPr="00390B7D">
        <w:t xml:space="preserve"> require the use of the long</w:t>
      </w:r>
      <w:r w:rsidR="006B57C6" w:rsidRPr="00390B7D">
        <w:noBreakHyphen/>
      </w:r>
      <w:r w:rsidRPr="00390B7D">
        <w:t>term government bond rate as at 30 June 2023 that best matches each individual scheme</w:t>
      </w:r>
      <w:r w:rsidR="006B57C6" w:rsidRPr="00390B7D">
        <w:t>’</w:t>
      </w:r>
      <w:r w:rsidRPr="00390B7D">
        <w:t xml:space="preserve">s liability duration. This results in differences in the superannuation liability </w:t>
      </w:r>
      <w:r w:rsidR="009E39C5" w:rsidRPr="00390B7D">
        <w:t xml:space="preserve">between </w:t>
      </w:r>
      <w:r w:rsidRPr="00390B7D">
        <w:t>Final Budget Outcome</w:t>
      </w:r>
      <w:r w:rsidR="009E39C5" w:rsidRPr="00390B7D">
        <w:t>s</w:t>
      </w:r>
      <w:r w:rsidRPr="00390B7D">
        <w:t xml:space="preserve">, and between Budgets and Final Budget Outcomes. </w:t>
      </w:r>
      <w:r w:rsidR="00377038" w:rsidRPr="00390B7D">
        <w:t>For</w:t>
      </w:r>
      <w:r w:rsidR="00EB41A6" w:rsidRPr="00390B7D">
        <w:t xml:space="preserve"> </w:t>
      </w:r>
      <w:r w:rsidRPr="00390B7D">
        <w:t>the</w:t>
      </w:r>
      <w:r w:rsidR="00EB41A6" w:rsidRPr="00390B7D">
        <w:t xml:space="preserve"> </w:t>
      </w:r>
      <w:r w:rsidRPr="00390B7D">
        <w:t>2022</w:t>
      </w:r>
      <w:r w:rsidR="0083530B" w:rsidRPr="00390B7D">
        <w:t>–</w:t>
      </w:r>
      <w:r w:rsidRPr="00390B7D">
        <w:t>23 Final Budget Outcome, the bond rates used were between 4.0 and 4.4</w:t>
      </w:r>
      <w:r w:rsidR="002E328D" w:rsidRPr="00390B7D">
        <w:t> per </w:t>
      </w:r>
      <w:r w:rsidRPr="00390B7D">
        <w:t>cent</w:t>
      </w:r>
      <w:r w:rsidR="0083530B" w:rsidRPr="00390B7D">
        <w:t xml:space="preserve"> per</w:t>
      </w:r>
      <w:r w:rsidR="00EB41A6" w:rsidRPr="00390B7D">
        <w:t> </w:t>
      </w:r>
      <w:r w:rsidRPr="00390B7D">
        <w:t xml:space="preserve">annum depending on the defined benefit scheme. </w:t>
      </w:r>
    </w:p>
    <w:p w14:paraId="00024F15" w14:textId="0F440C6C" w:rsidR="00A51F8C" w:rsidRDefault="00A51F8C" w:rsidP="00AC71D1">
      <w:pPr>
        <w:rPr>
          <w:sz w:val="24"/>
        </w:rPr>
      </w:pPr>
      <w:r w:rsidRPr="00390B7D">
        <w:t>The variance in the reported superannuation liability between the 2023</w:t>
      </w:r>
      <w:r w:rsidR="0083530B" w:rsidRPr="00390B7D">
        <w:t>–</w:t>
      </w:r>
      <w:r w:rsidRPr="00390B7D">
        <w:t>24 Budget and 2022</w:t>
      </w:r>
      <w:r w:rsidR="0083530B" w:rsidRPr="00390B7D">
        <w:t>–</w:t>
      </w:r>
      <w:r w:rsidRPr="00390B7D">
        <w:t>23 Final Budget Outcome was an increase of $</w:t>
      </w:r>
      <w:r w:rsidR="009124DB" w:rsidRPr="00390B7D">
        <w:t>37.3</w:t>
      </w:r>
      <w:r w:rsidR="002E328D" w:rsidRPr="00390B7D">
        <w:t> billion</w:t>
      </w:r>
      <w:r w:rsidRPr="00390B7D">
        <w:t>. By way of comparison, the variance between the 2022</w:t>
      </w:r>
      <w:r w:rsidR="0083530B" w:rsidRPr="00390B7D">
        <w:t>–</w:t>
      </w:r>
      <w:r w:rsidRPr="00390B7D">
        <w:t>23 March Budget and the 2021</w:t>
      </w:r>
      <w:r w:rsidR="0083530B" w:rsidRPr="00390B7D">
        <w:t>–</w:t>
      </w:r>
      <w:r w:rsidRPr="00390B7D">
        <w:t>22 Final Budget Outcome was an increase of $70.7</w:t>
      </w:r>
      <w:r w:rsidR="002E328D" w:rsidRPr="00390B7D">
        <w:t> billion</w:t>
      </w:r>
      <w:r w:rsidRPr="00390B7D">
        <w:t>.</w:t>
      </w:r>
    </w:p>
    <w:p w14:paraId="60C923DF" w14:textId="2C3FFE08" w:rsidR="004E1D0C" w:rsidRDefault="004E1D0C">
      <w:pPr>
        <w:spacing w:after="160" w:line="259" w:lineRule="auto"/>
        <w:rPr>
          <w:bdr w:val="none" w:sz="0" w:space="0" w:color="auto" w:frame="1"/>
        </w:rPr>
      </w:pPr>
      <w:r>
        <w:rPr>
          <w:bdr w:val="none" w:sz="0" w:space="0" w:color="auto" w:frame="1"/>
        </w:rPr>
        <w:br w:type="page"/>
      </w:r>
    </w:p>
    <w:p w14:paraId="75657053" w14:textId="1F83CA96" w:rsidR="00D013F9" w:rsidRDefault="002959E6" w:rsidP="00D013F9">
      <w:pPr>
        <w:pStyle w:val="TableHeading"/>
        <w:rPr>
          <w:rFonts w:asciiTheme="minorHAnsi" w:eastAsiaTheme="minorHAnsi" w:hAnsiTheme="minorHAnsi" w:cstheme="minorBidi"/>
          <w:sz w:val="22"/>
          <w:szCs w:val="22"/>
          <w:lang w:eastAsia="en-US"/>
        </w:rPr>
      </w:pPr>
      <w:r w:rsidRPr="006354EB">
        <w:lastRenderedPageBreak/>
        <w:t xml:space="preserve">Table 1.9: Australian Government general government sector </w:t>
      </w:r>
      <w:r>
        <w:t>balance sheet aggregates</w:t>
      </w:r>
      <w:bookmarkStart w:id="23" w:name="_1756535852"/>
      <w:bookmarkEnd w:id="23"/>
    </w:p>
    <w:tbl>
      <w:tblPr>
        <w:tblW w:w="5000" w:type="pct"/>
        <w:tblCellMar>
          <w:left w:w="0" w:type="dxa"/>
          <w:right w:w="28" w:type="dxa"/>
        </w:tblCellMar>
        <w:tblLook w:val="04A0" w:firstRow="1" w:lastRow="0" w:firstColumn="1" w:lastColumn="0" w:noHBand="0" w:noVBand="1"/>
      </w:tblPr>
      <w:tblGrid>
        <w:gridCol w:w="4254"/>
        <w:gridCol w:w="1152"/>
        <w:gridCol w:w="1152"/>
        <w:gridCol w:w="1152"/>
      </w:tblGrid>
      <w:tr w:rsidR="00D013F9" w:rsidRPr="00D013F9" w14:paraId="72FC3C7D" w14:textId="77777777" w:rsidTr="0037739B">
        <w:trPr>
          <w:divId w:val="625819165"/>
          <w:trHeight w:hRule="exact" w:val="225"/>
        </w:trPr>
        <w:tc>
          <w:tcPr>
            <w:tcW w:w="2759" w:type="pct"/>
            <w:tcBorders>
              <w:top w:val="single" w:sz="4" w:space="0" w:color="293F5B"/>
              <w:left w:val="nil"/>
              <w:bottom w:val="nil"/>
              <w:right w:val="nil"/>
            </w:tcBorders>
            <w:shd w:val="clear" w:color="000000" w:fill="FFFFFF"/>
            <w:noWrap/>
            <w:vAlign w:val="center"/>
            <w:hideMark/>
          </w:tcPr>
          <w:p w14:paraId="6FB26AFA" w14:textId="674FA478"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 </w:t>
            </w:r>
          </w:p>
        </w:tc>
        <w:tc>
          <w:tcPr>
            <w:tcW w:w="747" w:type="pct"/>
            <w:tcBorders>
              <w:top w:val="single" w:sz="4" w:space="0" w:color="293F5B"/>
              <w:left w:val="nil"/>
              <w:bottom w:val="nil"/>
              <w:right w:val="nil"/>
            </w:tcBorders>
            <w:shd w:val="clear" w:color="000000" w:fill="FFFFFF"/>
            <w:noWrap/>
            <w:vAlign w:val="center"/>
            <w:hideMark/>
          </w:tcPr>
          <w:p w14:paraId="2ABEFC9F" w14:textId="54702086"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2022</w:t>
            </w:r>
            <w:r w:rsidR="006B57C6">
              <w:rPr>
                <w:rFonts w:ascii="Arial" w:hAnsi="Arial" w:cs="Arial"/>
                <w:sz w:val="16"/>
                <w:szCs w:val="16"/>
              </w:rPr>
              <w:noBreakHyphen/>
            </w:r>
            <w:r w:rsidRPr="00D013F9">
              <w:rPr>
                <w:rFonts w:ascii="Arial" w:hAnsi="Arial" w:cs="Arial"/>
                <w:sz w:val="16"/>
                <w:szCs w:val="16"/>
              </w:rPr>
              <w:t>23</w:t>
            </w:r>
          </w:p>
        </w:tc>
        <w:tc>
          <w:tcPr>
            <w:tcW w:w="747" w:type="pct"/>
            <w:tcBorders>
              <w:top w:val="single" w:sz="4" w:space="0" w:color="293F5B"/>
              <w:left w:val="nil"/>
              <w:bottom w:val="nil"/>
              <w:right w:val="nil"/>
            </w:tcBorders>
            <w:shd w:val="clear" w:color="auto" w:fill="E6F2FF"/>
            <w:noWrap/>
            <w:vAlign w:val="center"/>
            <w:hideMark/>
          </w:tcPr>
          <w:p w14:paraId="7BEE26B7" w14:textId="4E47E826"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2022</w:t>
            </w:r>
            <w:r w:rsidR="006B57C6">
              <w:rPr>
                <w:rFonts w:ascii="Arial" w:hAnsi="Arial" w:cs="Arial"/>
                <w:sz w:val="16"/>
                <w:szCs w:val="16"/>
              </w:rPr>
              <w:noBreakHyphen/>
            </w:r>
            <w:r w:rsidRPr="00D013F9">
              <w:rPr>
                <w:rFonts w:ascii="Arial" w:hAnsi="Arial" w:cs="Arial"/>
                <w:sz w:val="16"/>
                <w:szCs w:val="16"/>
              </w:rPr>
              <w:t>23</w:t>
            </w:r>
          </w:p>
        </w:tc>
        <w:tc>
          <w:tcPr>
            <w:tcW w:w="747" w:type="pct"/>
            <w:tcBorders>
              <w:top w:val="single" w:sz="4" w:space="0" w:color="293F5B"/>
              <w:left w:val="nil"/>
              <w:bottom w:val="nil"/>
              <w:right w:val="nil"/>
            </w:tcBorders>
            <w:shd w:val="clear" w:color="000000" w:fill="FFFFFF"/>
            <w:noWrap/>
            <w:vAlign w:val="center"/>
            <w:hideMark/>
          </w:tcPr>
          <w:p w14:paraId="7A503B34"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Change on</w:t>
            </w:r>
          </w:p>
        </w:tc>
      </w:tr>
      <w:tr w:rsidR="00D013F9" w:rsidRPr="00D013F9" w14:paraId="3692A19E"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51A97854"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 </w:t>
            </w:r>
          </w:p>
        </w:tc>
        <w:tc>
          <w:tcPr>
            <w:tcW w:w="747" w:type="pct"/>
            <w:tcBorders>
              <w:top w:val="nil"/>
              <w:left w:val="nil"/>
              <w:bottom w:val="nil"/>
              <w:right w:val="nil"/>
            </w:tcBorders>
            <w:shd w:val="clear" w:color="000000" w:fill="FFFFFF"/>
            <w:noWrap/>
            <w:vAlign w:val="center"/>
            <w:hideMark/>
          </w:tcPr>
          <w:p w14:paraId="6D79FE29"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Estimate at</w:t>
            </w:r>
          </w:p>
        </w:tc>
        <w:tc>
          <w:tcPr>
            <w:tcW w:w="747" w:type="pct"/>
            <w:tcBorders>
              <w:top w:val="nil"/>
              <w:left w:val="nil"/>
              <w:bottom w:val="nil"/>
              <w:right w:val="nil"/>
            </w:tcBorders>
            <w:shd w:val="clear" w:color="auto" w:fill="E6F2FF"/>
            <w:noWrap/>
            <w:vAlign w:val="center"/>
            <w:hideMark/>
          </w:tcPr>
          <w:p w14:paraId="7C186E51"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Outcome</w:t>
            </w:r>
          </w:p>
        </w:tc>
        <w:tc>
          <w:tcPr>
            <w:tcW w:w="747" w:type="pct"/>
            <w:tcBorders>
              <w:top w:val="nil"/>
              <w:left w:val="nil"/>
              <w:bottom w:val="nil"/>
              <w:right w:val="nil"/>
            </w:tcBorders>
            <w:shd w:val="clear" w:color="000000" w:fill="FFFFFF"/>
            <w:noWrap/>
            <w:vAlign w:val="center"/>
            <w:hideMark/>
          </w:tcPr>
          <w:p w14:paraId="504D0A58" w14:textId="591B51C3"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2023</w:t>
            </w:r>
            <w:r w:rsidR="006B57C6">
              <w:rPr>
                <w:rFonts w:ascii="Arial" w:hAnsi="Arial" w:cs="Arial"/>
                <w:sz w:val="16"/>
                <w:szCs w:val="16"/>
              </w:rPr>
              <w:noBreakHyphen/>
            </w:r>
            <w:r w:rsidRPr="00D013F9">
              <w:rPr>
                <w:rFonts w:ascii="Arial" w:hAnsi="Arial" w:cs="Arial"/>
                <w:sz w:val="16"/>
                <w:szCs w:val="16"/>
              </w:rPr>
              <w:t>24</w:t>
            </w:r>
          </w:p>
        </w:tc>
      </w:tr>
      <w:tr w:rsidR="00D013F9" w:rsidRPr="00D013F9" w14:paraId="78AF7C5D"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324F0776"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 </w:t>
            </w:r>
          </w:p>
        </w:tc>
        <w:tc>
          <w:tcPr>
            <w:tcW w:w="747" w:type="pct"/>
            <w:tcBorders>
              <w:top w:val="nil"/>
              <w:left w:val="nil"/>
              <w:bottom w:val="nil"/>
              <w:right w:val="nil"/>
            </w:tcBorders>
            <w:shd w:val="clear" w:color="000000" w:fill="FFFFFF"/>
            <w:noWrap/>
            <w:vAlign w:val="center"/>
            <w:hideMark/>
          </w:tcPr>
          <w:p w14:paraId="1CDE0446" w14:textId="4C65D953"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2023</w:t>
            </w:r>
            <w:r w:rsidR="006B57C6">
              <w:rPr>
                <w:rFonts w:ascii="Arial" w:hAnsi="Arial" w:cs="Arial"/>
                <w:sz w:val="16"/>
                <w:szCs w:val="16"/>
              </w:rPr>
              <w:noBreakHyphen/>
            </w:r>
            <w:r w:rsidRPr="00D013F9">
              <w:rPr>
                <w:rFonts w:ascii="Arial" w:hAnsi="Arial" w:cs="Arial"/>
                <w:sz w:val="16"/>
                <w:szCs w:val="16"/>
              </w:rPr>
              <w:t>24</w:t>
            </w:r>
          </w:p>
        </w:tc>
        <w:tc>
          <w:tcPr>
            <w:tcW w:w="747" w:type="pct"/>
            <w:tcBorders>
              <w:top w:val="nil"/>
              <w:left w:val="nil"/>
              <w:bottom w:val="nil"/>
              <w:right w:val="nil"/>
            </w:tcBorders>
            <w:shd w:val="clear" w:color="auto" w:fill="E6F2FF"/>
            <w:noWrap/>
            <w:vAlign w:val="center"/>
            <w:hideMark/>
          </w:tcPr>
          <w:p w14:paraId="0C56B312"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 </w:t>
            </w:r>
          </w:p>
        </w:tc>
        <w:tc>
          <w:tcPr>
            <w:tcW w:w="747" w:type="pct"/>
            <w:tcBorders>
              <w:top w:val="nil"/>
              <w:left w:val="nil"/>
              <w:bottom w:val="nil"/>
              <w:right w:val="nil"/>
            </w:tcBorders>
            <w:shd w:val="clear" w:color="000000" w:fill="FFFFFF"/>
            <w:noWrap/>
            <w:vAlign w:val="bottom"/>
            <w:hideMark/>
          </w:tcPr>
          <w:p w14:paraId="75207182"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 xml:space="preserve"> Budget</w:t>
            </w:r>
          </w:p>
        </w:tc>
      </w:tr>
      <w:tr w:rsidR="00D013F9" w:rsidRPr="00D013F9" w14:paraId="1F565FBD"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7F42EA9A"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 </w:t>
            </w:r>
          </w:p>
        </w:tc>
        <w:tc>
          <w:tcPr>
            <w:tcW w:w="747" w:type="pct"/>
            <w:tcBorders>
              <w:top w:val="nil"/>
              <w:left w:val="nil"/>
              <w:bottom w:val="nil"/>
              <w:right w:val="nil"/>
            </w:tcBorders>
            <w:shd w:val="clear" w:color="000000" w:fill="FFFFFF"/>
            <w:noWrap/>
            <w:vAlign w:val="center"/>
            <w:hideMark/>
          </w:tcPr>
          <w:p w14:paraId="452F08A9"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 xml:space="preserve"> Budget</w:t>
            </w:r>
          </w:p>
        </w:tc>
        <w:tc>
          <w:tcPr>
            <w:tcW w:w="747" w:type="pct"/>
            <w:tcBorders>
              <w:top w:val="nil"/>
              <w:left w:val="nil"/>
              <w:bottom w:val="nil"/>
              <w:right w:val="nil"/>
            </w:tcBorders>
            <w:shd w:val="clear" w:color="auto" w:fill="E6F2FF"/>
            <w:noWrap/>
            <w:vAlign w:val="center"/>
            <w:hideMark/>
          </w:tcPr>
          <w:p w14:paraId="386C18D5"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 </w:t>
            </w:r>
          </w:p>
        </w:tc>
        <w:tc>
          <w:tcPr>
            <w:tcW w:w="747" w:type="pct"/>
            <w:tcBorders>
              <w:top w:val="nil"/>
              <w:left w:val="nil"/>
              <w:bottom w:val="nil"/>
              <w:right w:val="nil"/>
            </w:tcBorders>
            <w:shd w:val="clear" w:color="000000" w:fill="FFFFFF"/>
            <w:noWrap/>
            <w:vAlign w:val="center"/>
            <w:hideMark/>
          </w:tcPr>
          <w:p w14:paraId="26016A43" w14:textId="77777777" w:rsidR="00D013F9" w:rsidRPr="00D013F9" w:rsidRDefault="00D013F9" w:rsidP="00D013F9">
            <w:pPr>
              <w:spacing w:before="0" w:after="0" w:line="240" w:lineRule="auto"/>
              <w:jc w:val="center"/>
              <w:rPr>
                <w:rFonts w:ascii="Arial" w:hAnsi="Arial" w:cs="Arial"/>
                <w:sz w:val="16"/>
                <w:szCs w:val="16"/>
              </w:rPr>
            </w:pPr>
            <w:r w:rsidRPr="00D013F9">
              <w:rPr>
                <w:rFonts w:ascii="Arial" w:hAnsi="Arial" w:cs="Arial"/>
                <w:sz w:val="16"/>
                <w:szCs w:val="16"/>
              </w:rPr>
              <w:t> </w:t>
            </w:r>
          </w:p>
        </w:tc>
      </w:tr>
      <w:tr w:rsidR="00D013F9" w:rsidRPr="00D013F9" w14:paraId="224BDBA4"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4FA38F81"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 </w:t>
            </w:r>
          </w:p>
        </w:tc>
        <w:tc>
          <w:tcPr>
            <w:tcW w:w="747" w:type="pct"/>
            <w:tcBorders>
              <w:top w:val="nil"/>
              <w:left w:val="nil"/>
              <w:bottom w:val="single" w:sz="4" w:space="0" w:color="293F5B"/>
              <w:right w:val="nil"/>
            </w:tcBorders>
            <w:shd w:val="clear" w:color="000000" w:fill="FFFFFF"/>
            <w:noWrap/>
            <w:vAlign w:val="center"/>
            <w:hideMark/>
          </w:tcPr>
          <w:p w14:paraId="50C52A65"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$b</w:t>
            </w:r>
          </w:p>
        </w:tc>
        <w:tc>
          <w:tcPr>
            <w:tcW w:w="747" w:type="pct"/>
            <w:tcBorders>
              <w:top w:val="nil"/>
              <w:left w:val="nil"/>
              <w:bottom w:val="single" w:sz="4" w:space="0" w:color="293F5B"/>
              <w:right w:val="nil"/>
            </w:tcBorders>
            <w:shd w:val="clear" w:color="auto" w:fill="E6F2FF"/>
            <w:noWrap/>
            <w:vAlign w:val="center"/>
            <w:hideMark/>
          </w:tcPr>
          <w:p w14:paraId="36F83910"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$b</w:t>
            </w:r>
          </w:p>
        </w:tc>
        <w:tc>
          <w:tcPr>
            <w:tcW w:w="747" w:type="pct"/>
            <w:tcBorders>
              <w:top w:val="nil"/>
              <w:left w:val="nil"/>
              <w:bottom w:val="single" w:sz="4" w:space="0" w:color="293F5B"/>
              <w:right w:val="nil"/>
            </w:tcBorders>
            <w:shd w:val="clear" w:color="000000" w:fill="FFFFFF"/>
            <w:vAlign w:val="center"/>
            <w:hideMark/>
          </w:tcPr>
          <w:p w14:paraId="6BB1E284" w14:textId="77777777" w:rsidR="00D013F9" w:rsidRPr="00D013F9" w:rsidRDefault="00D013F9" w:rsidP="00D013F9">
            <w:pPr>
              <w:spacing w:before="0" w:after="0" w:line="240" w:lineRule="auto"/>
              <w:jc w:val="right"/>
              <w:rPr>
                <w:rFonts w:ascii="Arial" w:hAnsi="Arial" w:cs="Arial"/>
                <w:sz w:val="15"/>
                <w:szCs w:val="15"/>
              </w:rPr>
            </w:pPr>
            <w:r w:rsidRPr="00D013F9">
              <w:rPr>
                <w:rFonts w:ascii="Arial" w:hAnsi="Arial" w:cs="Arial"/>
                <w:sz w:val="15"/>
                <w:szCs w:val="15"/>
              </w:rPr>
              <w:t>$b</w:t>
            </w:r>
          </w:p>
        </w:tc>
      </w:tr>
      <w:tr w:rsidR="00D013F9" w:rsidRPr="00D013F9" w14:paraId="1C20F72E"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5335D574"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Financial assets</w:t>
            </w:r>
          </w:p>
        </w:tc>
        <w:tc>
          <w:tcPr>
            <w:tcW w:w="747" w:type="pct"/>
            <w:tcBorders>
              <w:top w:val="single" w:sz="4" w:space="0" w:color="293F5B"/>
              <w:left w:val="nil"/>
              <w:bottom w:val="nil"/>
              <w:right w:val="nil"/>
            </w:tcBorders>
            <w:shd w:val="clear" w:color="000000" w:fill="FFFFFF"/>
            <w:noWrap/>
            <w:vAlign w:val="center"/>
            <w:hideMark/>
          </w:tcPr>
          <w:p w14:paraId="534AA9CB"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559.9</w:t>
            </w:r>
          </w:p>
        </w:tc>
        <w:tc>
          <w:tcPr>
            <w:tcW w:w="747" w:type="pct"/>
            <w:tcBorders>
              <w:top w:val="single" w:sz="4" w:space="0" w:color="293F5B"/>
              <w:left w:val="nil"/>
              <w:bottom w:val="nil"/>
              <w:right w:val="nil"/>
            </w:tcBorders>
            <w:shd w:val="clear" w:color="auto" w:fill="E6F2FF"/>
            <w:noWrap/>
            <w:vAlign w:val="center"/>
            <w:hideMark/>
          </w:tcPr>
          <w:p w14:paraId="7260A4BD"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585.5</w:t>
            </w:r>
          </w:p>
        </w:tc>
        <w:tc>
          <w:tcPr>
            <w:tcW w:w="747" w:type="pct"/>
            <w:tcBorders>
              <w:top w:val="single" w:sz="4" w:space="0" w:color="293F5B"/>
              <w:left w:val="nil"/>
              <w:bottom w:val="nil"/>
              <w:right w:val="nil"/>
            </w:tcBorders>
            <w:shd w:val="clear" w:color="000000" w:fill="FFFFFF"/>
            <w:noWrap/>
            <w:vAlign w:val="center"/>
            <w:hideMark/>
          </w:tcPr>
          <w:p w14:paraId="009CD841"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25.6</w:t>
            </w:r>
          </w:p>
        </w:tc>
      </w:tr>
      <w:tr w:rsidR="00D013F9" w:rsidRPr="00D013F9" w14:paraId="742111C7"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37B750B7"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Per cent of GDP</w:t>
            </w:r>
          </w:p>
        </w:tc>
        <w:tc>
          <w:tcPr>
            <w:tcW w:w="747" w:type="pct"/>
            <w:tcBorders>
              <w:top w:val="nil"/>
              <w:left w:val="nil"/>
              <w:bottom w:val="nil"/>
              <w:right w:val="nil"/>
            </w:tcBorders>
            <w:shd w:val="clear" w:color="000000" w:fill="FFFFFF"/>
            <w:noWrap/>
            <w:vAlign w:val="center"/>
            <w:hideMark/>
          </w:tcPr>
          <w:p w14:paraId="0EA059E2"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22.0</w:t>
            </w:r>
          </w:p>
        </w:tc>
        <w:tc>
          <w:tcPr>
            <w:tcW w:w="747" w:type="pct"/>
            <w:tcBorders>
              <w:top w:val="nil"/>
              <w:left w:val="nil"/>
              <w:bottom w:val="nil"/>
              <w:right w:val="nil"/>
            </w:tcBorders>
            <w:shd w:val="clear" w:color="auto" w:fill="E6F2FF"/>
            <w:noWrap/>
            <w:vAlign w:val="center"/>
            <w:hideMark/>
          </w:tcPr>
          <w:p w14:paraId="38A4E35B"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23.1</w:t>
            </w:r>
          </w:p>
        </w:tc>
        <w:tc>
          <w:tcPr>
            <w:tcW w:w="747" w:type="pct"/>
            <w:tcBorders>
              <w:top w:val="nil"/>
              <w:left w:val="nil"/>
              <w:bottom w:val="nil"/>
              <w:right w:val="nil"/>
            </w:tcBorders>
            <w:shd w:val="clear" w:color="000000" w:fill="FFFFFF"/>
            <w:noWrap/>
            <w:vAlign w:val="center"/>
            <w:hideMark/>
          </w:tcPr>
          <w:p w14:paraId="28B2F300"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4849080E" w14:textId="77777777" w:rsidTr="0037739B">
        <w:trPr>
          <w:divId w:val="625819165"/>
          <w:trHeight w:hRule="exact" w:val="60"/>
        </w:trPr>
        <w:tc>
          <w:tcPr>
            <w:tcW w:w="2759" w:type="pct"/>
            <w:tcBorders>
              <w:top w:val="nil"/>
              <w:left w:val="nil"/>
              <w:bottom w:val="nil"/>
              <w:right w:val="nil"/>
            </w:tcBorders>
            <w:shd w:val="clear" w:color="000000" w:fill="FFFFFF"/>
            <w:noWrap/>
            <w:vAlign w:val="center"/>
            <w:hideMark/>
          </w:tcPr>
          <w:p w14:paraId="33B3E3C6"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 </w:t>
            </w:r>
          </w:p>
        </w:tc>
        <w:tc>
          <w:tcPr>
            <w:tcW w:w="747" w:type="pct"/>
            <w:tcBorders>
              <w:top w:val="nil"/>
              <w:left w:val="nil"/>
              <w:bottom w:val="nil"/>
              <w:right w:val="nil"/>
            </w:tcBorders>
            <w:shd w:val="clear" w:color="000000" w:fill="FFFFFF"/>
            <w:noWrap/>
            <w:vAlign w:val="center"/>
            <w:hideMark/>
          </w:tcPr>
          <w:p w14:paraId="1735ECBD"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auto" w:fill="E6F2FF"/>
            <w:noWrap/>
            <w:vAlign w:val="center"/>
            <w:hideMark/>
          </w:tcPr>
          <w:p w14:paraId="0AC7BEEB"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2BF3EFF3"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7219DB95"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34C6E591" w14:textId="4A3672FF"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Non</w:t>
            </w:r>
            <w:r w:rsidR="006B57C6">
              <w:rPr>
                <w:rFonts w:ascii="Arial" w:hAnsi="Arial" w:cs="Arial"/>
                <w:b/>
                <w:bCs/>
                <w:sz w:val="16"/>
                <w:szCs w:val="16"/>
              </w:rPr>
              <w:noBreakHyphen/>
            </w:r>
            <w:r w:rsidRPr="00D013F9">
              <w:rPr>
                <w:rFonts w:ascii="Arial" w:hAnsi="Arial" w:cs="Arial"/>
                <w:b/>
                <w:bCs/>
                <w:sz w:val="16"/>
                <w:szCs w:val="16"/>
              </w:rPr>
              <w:t>financial assets</w:t>
            </w:r>
          </w:p>
        </w:tc>
        <w:tc>
          <w:tcPr>
            <w:tcW w:w="747" w:type="pct"/>
            <w:tcBorders>
              <w:top w:val="nil"/>
              <w:left w:val="nil"/>
              <w:bottom w:val="nil"/>
              <w:right w:val="nil"/>
            </w:tcBorders>
            <w:shd w:val="clear" w:color="000000" w:fill="FFFFFF"/>
            <w:noWrap/>
            <w:vAlign w:val="center"/>
            <w:hideMark/>
          </w:tcPr>
          <w:p w14:paraId="4D61B568"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203.9</w:t>
            </w:r>
          </w:p>
        </w:tc>
        <w:tc>
          <w:tcPr>
            <w:tcW w:w="747" w:type="pct"/>
            <w:tcBorders>
              <w:top w:val="nil"/>
              <w:left w:val="nil"/>
              <w:bottom w:val="nil"/>
              <w:right w:val="nil"/>
            </w:tcBorders>
            <w:shd w:val="clear" w:color="auto" w:fill="E6F2FF"/>
            <w:noWrap/>
            <w:vAlign w:val="center"/>
            <w:hideMark/>
          </w:tcPr>
          <w:p w14:paraId="3879266E"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204.9</w:t>
            </w:r>
          </w:p>
        </w:tc>
        <w:tc>
          <w:tcPr>
            <w:tcW w:w="747" w:type="pct"/>
            <w:tcBorders>
              <w:top w:val="nil"/>
              <w:left w:val="nil"/>
              <w:bottom w:val="nil"/>
              <w:right w:val="nil"/>
            </w:tcBorders>
            <w:shd w:val="clear" w:color="000000" w:fill="FFFFFF"/>
            <w:noWrap/>
            <w:vAlign w:val="center"/>
            <w:hideMark/>
          </w:tcPr>
          <w:p w14:paraId="1AC42706"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1.0</w:t>
            </w:r>
          </w:p>
        </w:tc>
      </w:tr>
      <w:tr w:rsidR="00D013F9" w:rsidRPr="00D013F9" w14:paraId="480E5DE8"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6509CB21"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Per cent of GDP</w:t>
            </w:r>
          </w:p>
        </w:tc>
        <w:tc>
          <w:tcPr>
            <w:tcW w:w="747" w:type="pct"/>
            <w:tcBorders>
              <w:top w:val="nil"/>
              <w:left w:val="nil"/>
              <w:bottom w:val="nil"/>
              <w:right w:val="nil"/>
            </w:tcBorders>
            <w:shd w:val="clear" w:color="000000" w:fill="FFFFFF"/>
            <w:noWrap/>
            <w:vAlign w:val="center"/>
            <w:hideMark/>
          </w:tcPr>
          <w:p w14:paraId="43C28F53"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8.0</w:t>
            </w:r>
          </w:p>
        </w:tc>
        <w:tc>
          <w:tcPr>
            <w:tcW w:w="747" w:type="pct"/>
            <w:tcBorders>
              <w:top w:val="nil"/>
              <w:left w:val="nil"/>
              <w:bottom w:val="nil"/>
              <w:right w:val="nil"/>
            </w:tcBorders>
            <w:shd w:val="clear" w:color="auto" w:fill="E6F2FF"/>
            <w:noWrap/>
            <w:vAlign w:val="center"/>
            <w:hideMark/>
          </w:tcPr>
          <w:p w14:paraId="1A0130EE"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8.1</w:t>
            </w:r>
          </w:p>
        </w:tc>
        <w:tc>
          <w:tcPr>
            <w:tcW w:w="747" w:type="pct"/>
            <w:tcBorders>
              <w:top w:val="nil"/>
              <w:left w:val="nil"/>
              <w:bottom w:val="nil"/>
              <w:right w:val="nil"/>
            </w:tcBorders>
            <w:shd w:val="clear" w:color="000000" w:fill="FFFFFF"/>
            <w:noWrap/>
            <w:vAlign w:val="center"/>
            <w:hideMark/>
          </w:tcPr>
          <w:p w14:paraId="3ABEE2C4"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5600CF9F" w14:textId="77777777" w:rsidTr="0037739B">
        <w:trPr>
          <w:divId w:val="625819165"/>
          <w:trHeight w:hRule="exact" w:val="60"/>
        </w:trPr>
        <w:tc>
          <w:tcPr>
            <w:tcW w:w="2759" w:type="pct"/>
            <w:tcBorders>
              <w:top w:val="nil"/>
              <w:left w:val="nil"/>
              <w:bottom w:val="nil"/>
              <w:right w:val="nil"/>
            </w:tcBorders>
            <w:shd w:val="clear" w:color="000000" w:fill="FFFFFF"/>
            <w:noWrap/>
            <w:vAlign w:val="center"/>
            <w:hideMark/>
          </w:tcPr>
          <w:p w14:paraId="6A356BEA"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 </w:t>
            </w:r>
          </w:p>
        </w:tc>
        <w:tc>
          <w:tcPr>
            <w:tcW w:w="747" w:type="pct"/>
            <w:tcBorders>
              <w:top w:val="nil"/>
              <w:left w:val="nil"/>
              <w:bottom w:val="nil"/>
              <w:right w:val="nil"/>
            </w:tcBorders>
            <w:shd w:val="clear" w:color="000000" w:fill="FFFFFF"/>
            <w:noWrap/>
            <w:vAlign w:val="center"/>
            <w:hideMark/>
          </w:tcPr>
          <w:p w14:paraId="1E79D9A9"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auto" w:fill="E6F2FF"/>
            <w:noWrap/>
            <w:vAlign w:val="center"/>
            <w:hideMark/>
          </w:tcPr>
          <w:p w14:paraId="439FE037"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6769842E"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513D7F00"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7829EAB7" w14:textId="77777777" w:rsidR="00D013F9" w:rsidRPr="00D013F9" w:rsidRDefault="00D013F9" w:rsidP="00D013F9">
            <w:pPr>
              <w:spacing w:before="0" w:after="0" w:line="240" w:lineRule="auto"/>
              <w:rPr>
                <w:noProof/>
              </w:rPr>
            </w:pPr>
            <w:r w:rsidRPr="00D013F9">
              <w:rPr>
                <w:rFonts w:ascii="Arial" w:hAnsi="Arial" w:cs="Arial"/>
                <w:b/>
                <w:bCs/>
                <w:sz w:val="16"/>
                <w:szCs w:val="16"/>
              </w:rPr>
              <w:t>Total assets</w:t>
            </w:r>
          </w:p>
        </w:tc>
        <w:tc>
          <w:tcPr>
            <w:tcW w:w="747" w:type="pct"/>
            <w:tcBorders>
              <w:top w:val="nil"/>
              <w:left w:val="nil"/>
              <w:bottom w:val="nil"/>
              <w:right w:val="nil"/>
            </w:tcBorders>
            <w:shd w:val="clear" w:color="000000" w:fill="FFFFFF"/>
            <w:noWrap/>
            <w:vAlign w:val="center"/>
            <w:hideMark/>
          </w:tcPr>
          <w:p w14:paraId="7B1E5428"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763.8</w:t>
            </w:r>
          </w:p>
        </w:tc>
        <w:tc>
          <w:tcPr>
            <w:tcW w:w="747" w:type="pct"/>
            <w:tcBorders>
              <w:top w:val="nil"/>
              <w:left w:val="nil"/>
              <w:bottom w:val="nil"/>
              <w:right w:val="nil"/>
            </w:tcBorders>
            <w:shd w:val="clear" w:color="auto" w:fill="E6F2FF"/>
            <w:noWrap/>
            <w:vAlign w:val="center"/>
            <w:hideMark/>
          </w:tcPr>
          <w:p w14:paraId="558F6F1A"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790.4</w:t>
            </w:r>
          </w:p>
        </w:tc>
        <w:tc>
          <w:tcPr>
            <w:tcW w:w="747" w:type="pct"/>
            <w:tcBorders>
              <w:top w:val="nil"/>
              <w:left w:val="nil"/>
              <w:bottom w:val="nil"/>
              <w:right w:val="nil"/>
            </w:tcBorders>
            <w:shd w:val="clear" w:color="000000" w:fill="FFFFFF"/>
            <w:noWrap/>
            <w:vAlign w:val="center"/>
            <w:hideMark/>
          </w:tcPr>
          <w:p w14:paraId="7AA619EC"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26.6</w:t>
            </w:r>
          </w:p>
        </w:tc>
      </w:tr>
      <w:tr w:rsidR="00D013F9" w:rsidRPr="00D013F9" w14:paraId="4B17B121"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3F3DFE0A"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Per cent of GDP</w:t>
            </w:r>
          </w:p>
        </w:tc>
        <w:tc>
          <w:tcPr>
            <w:tcW w:w="747" w:type="pct"/>
            <w:tcBorders>
              <w:top w:val="nil"/>
              <w:left w:val="nil"/>
              <w:bottom w:val="nil"/>
              <w:right w:val="nil"/>
            </w:tcBorders>
            <w:shd w:val="clear" w:color="000000" w:fill="FFFFFF"/>
            <w:noWrap/>
            <w:vAlign w:val="center"/>
            <w:hideMark/>
          </w:tcPr>
          <w:p w14:paraId="484793B5"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30.0</w:t>
            </w:r>
          </w:p>
        </w:tc>
        <w:tc>
          <w:tcPr>
            <w:tcW w:w="747" w:type="pct"/>
            <w:tcBorders>
              <w:top w:val="nil"/>
              <w:left w:val="nil"/>
              <w:bottom w:val="nil"/>
              <w:right w:val="nil"/>
            </w:tcBorders>
            <w:shd w:val="clear" w:color="auto" w:fill="E6F2FF"/>
            <w:noWrap/>
            <w:vAlign w:val="center"/>
            <w:hideMark/>
          </w:tcPr>
          <w:p w14:paraId="7CFA6AEE"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31.2</w:t>
            </w:r>
          </w:p>
        </w:tc>
        <w:tc>
          <w:tcPr>
            <w:tcW w:w="747" w:type="pct"/>
            <w:tcBorders>
              <w:top w:val="nil"/>
              <w:left w:val="nil"/>
              <w:bottom w:val="nil"/>
              <w:right w:val="nil"/>
            </w:tcBorders>
            <w:shd w:val="clear" w:color="000000" w:fill="FFFFFF"/>
            <w:noWrap/>
            <w:vAlign w:val="center"/>
            <w:hideMark/>
          </w:tcPr>
          <w:p w14:paraId="2DE5270C"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78BC3942" w14:textId="77777777" w:rsidTr="0037739B">
        <w:trPr>
          <w:divId w:val="625819165"/>
          <w:trHeight w:hRule="exact" w:val="60"/>
        </w:trPr>
        <w:tc>
          <w:tcPr>
            <w:tcW w:w="2759" w:type="pct"/>
            <w:tcBorders>
              <w:top w:val="nil"/>
              <w:left w:val="nil"/>
              <w:bottom w:val="nil"/>
              <w:right w:val="nil"/>
            </w:tcBorders>
            <w:shd w:val="clear" w:color="000000" w:fill="FFFFFF"/>
            <w:noWrap/>
            <w:vAlign w:val="center"/>
            <w:hideMark/>
          </w:tcPr>
          <w:p w14:paraId="66F31A8C"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174E6BB7"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auto" w:fill="E6F2FF"/>
            <w:noWrap/>
            <w:vAlign w:val="center"/>
            <w:hideMark/>
          </w:tcPr>
          <w:p w14:paraId="368712D0"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76E98C67"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76F8B210"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67EDA444"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Total liabilities</w:t>
            </w:r>
          </w:p>
        </w:tc>
        <w:tc>
          <w:tcPr>
            <w:tcW w:w="747" w:type="pct"/>
            <w:tcBorders>
              <w:top w:val="nil"/>
              <w:left w:val="nil"/>
              <w:bottom w:val="nil"/>
              <w:right w:val="nil"/>
            </w:tcBorders>
            <w:shd w:val="clear" w:color="000000" w:fill="FFFFFF"/>
            <w:noWrap/>
            <w:vAlign w:val="center"/>
            <w:hideMark/>
          </w:tcPr>
          <w:p w14:paraId="22C3B852"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1,310.6</w:t>
            </w:r>
          </w:p>
        </w:tc>
        <w:tc>
          <w:tcPr>
            <w:tcW w:w="747" w:type="pct"/>
            <w:tcBorders>
              <w:top w:val="nil"/>
              <w:left w:val="nil"/>
              <w:bottom w:val="nil"/>
              <w:right w:val="nil"/>
            </w:tcBorders>
            <w:shd w:val="clear" w:color="auto" w:fill="E6F2FF"/>
            <w:noWrap/>
            <w:vAlign w:val="center"/>
            <w:hideMark/>
          </w:tcPr>
          <w:p w14:paraId="4982DFAE"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1,328.8</w:t>
            </w:r>
          </w:p>
        </w:tc>
        <w:tc>
          <w:tcPr>
            <w:tcW w:w="747" w:type="pct"/>
            <w:tcBorders>
              <w:top w:val="nil"/>
              <w:left w:val="nil"/>
              <w:bottom w:val="nil"/>
              <w:right w:val="nil"/>
            </w:tcBorders>
            <w:shd w:val="clear" w:color="000000" w:fill="FFFFFF"/>
            <w:noWrap/>
            <w:vAlign w:val="center"/>
            <w:hideMark/>
          </w:tcPr>
          <w:p w14:paraId="3CCBF166"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18.2</w:t>
            </w:r>
          </w:p>
        </w:tc>
      </w:tr>
      <w:tr w:rsidR="00D013F9" w:rsidRPr="00D013F9" w14:paraId="0C4ADC80"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3DD4121D"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Per cent of GDP</w:t>
            </w:r>
          </w:p>
        </w:tc>
        <w:tc>
          <w:tcPr>
            <w:tcW w:w="747" w:type="pct"/>
            <w:tcBorders>
              <w:top w:val="nil"/>
              <w:left w:val="nil"/>
              <w:bottom w:val="nil"/>
              <w:right w:val="nil"/>
            </w:tcBorders>
            <w:shd w:val="clear" w:color="000000" w:fill="FFFFFF"/>
            <w:noWrap/>
            <w:vAlign w:val="center"/>
            <w:hideMark/>
          </w:tcPr>
          <w:p w14:paraId="0BC7B795"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51.5</w:t>
            </w:r>
          </w:p>
        </w:tc>
        <w:tc>
          <w:tcPr>
            <w:tcW w:w="747" w:type="pct"/>
            <w:tcBorders>
              <w:top w:val="nil"/>
              <w:left w:val="nil"/>
              <w:bottom w:val="nil"/>
              <w:right w:val="nil"/>
            </w:tcBorders>
            <w:shd w:val="clear" w:color="auto" w:fill="E6F2FF"/>
            <w:noWrap/>
            <w:vAlign w:val="center"/>
            <w:hideMark/>
          </w:tcPr>
          <w:p w14:paraId="07DA88D4"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52.5</w:t>
            </w:r>
          </w:p>
        </w:tc>
        <w:tc>
          <w:tcPr>
            <w:tcW w:w="747" w:type="pct"/>
            <w:tcBorders>
              <w:top w:val="nil"/>
              <w:left w:val="nil"/>
              <w:bottom w:val="nil"/>
              <w:right w:val="nil"/>
            </w:tcBorders>
            <w:shd w:val="clear" w:color="000000" w:fill="FFFFFF"/>
            <w:noWrap/>
            <w:vAlign w:val="center"/>
            <w:hideMark/>
          </w:tcPr>
          <w:p w14:paraId="65BFDB3F"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63BFC9BD" w14:textId="77777777" w:rsidTr="0037739B">
        <w:trPr>
          <w:divId w:val="625819165"/>
          <w:trHeight w:hRule="exact" w:val="60"/>
        </w:trPr>
        <w:tc>
          <w:tcPr>
            <w:tcW w:w="2759" w:type="pct"/>
            <w:tcBorders>
              <w:top w:val="nil"/>
              <w:left w:val="nil"/>
              <w:bottom w:val="nil"/>
              <w:right w:val="nil"/>
            </w:tcBorders>
            <w:shd w:val="clear" w:color="000000" w:fill="FFFFFF"/>
            <w:noWrap/>
            <w:vAlign w:val="center"/>
            <w:hideMark/>
          </w:tcPr>
          <w:p w14:paraId="2EF9E175"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434B1FDE"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auto" w:fill="E6F2FF"/>
            <w:noWrap/>
            <w:vAlign w:val="center"/>
            <w:hideMark/>
          </w:tcPr>
          <w:p w14:paraId="341263BD"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40890634"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5ADE035A"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4FAB3120"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Net worth</w:t>
            </w:r>
          </w:p>
        </w:tc>
        <w:tc>
          <w:tcPr>
            <w:tcW w:w="747" w:type="pct"/>
            <w:tcBorders>
              <w:top w:val="nil"/>
              <w:left w:val="nil"/>
              <w:bottom w:val="nil"/>
              <w:right w:val="nil"/>
            </w:tcBorders>
            <w:shd w:val="clear" w:color="000000" w:fill="FFFFFF"/>
            <w:noWrap/>
            <w:vAlign w:val="center"/>
            <w:hideMark/>
          </w:tcPr>
          <w:p w14:paraId="75886DD1" w14:textId="1394076A" w:rsidR="00D013F9" w:rsidRPr="00D013F9" w:rsidRDefault="006B57C6" w:rsidP="00D013F9">
            <w:pPr>
              <w:spacing w:before="0" w:after="0" w:line="240" w:lineRule="auto"/>
              <w:jc w:val="right"/>
              <w:rPr>
                <w:rFonts w:ascii="Arial" w:hAnsi="Arial" w:cs="Arial"/>
                <w:b/>
                <w:bCs/>
                <w:sz w:val="16"/>
                <w:szCs w:val="16"/>
              </w:rPr>
            </w:pPr>
            <w:r>
              <w:rPr>
                <w:rFonts w:ascii="Arial" w:hAnsi="Arial" w:cs="Arial"/>
                <w:b/>
                <w:bCs/>
                <w:sz w:val="16"/>
                <w:szCs w:val="16"/>
              </w:rPr>
              <w:noBreakHyphen/>
            </w:r>
            <w:r w:rsidR="00D013F9" w:rsidRPr="00D013F9">
              <w:rPr>
                <w:rFonts w:ascii="Arial" w:hAnsi="Arial" w:cs="Arial"/>
                <w:b/>
                <w:bCs/>
                <w:sz w:val="16"/>
                <w:szCs w:val="16"/>
              </w:rPr>
              <w:t>546.9</w:t>
            </w:r>
          </w:p>
        </w:tc>
        <w:tc>
          <w:tcPr>
            <w:tcW w:w="747" w:type="pct"/>
            <w:tcBorders>
              <w:top w:val="nil"/>
              <w:left w:val="nil"/>
              <w:bottom w:val="nil"/>
              <w:right w:val="nil"/>
            </w:tcBorders>
            <w:shd w:val="clear" w:color="auto" w:fill="E6F2FF"/>
            <w:noWrap/>
            <w:vAlign w:val="center"/>
            <w:hideMark/>
          </w:tcPr>
          <w:p w14:paraId="0DE9D8ED" w14:textId="12B88500" w:rsidR="00D013F9" w:rsidRPr="00D013F9" w:rsidRDefault="006B57C6" w:rsidP="00D013F9">
            <w:pPr>
              <w:spacing w:before="0" w:after="0" w:line="240" w:lineRule="auto"/>
              <w:jc w:val="right"/>
              <w:rPr>
                <w:rFonts w:ascii="Arial" w:hAnsi="Arial" w:cs="Arial"/>
                <w:b/>
                <w:bCs/>
                <w:sz w:val="16"/>
                <w:szCs w:val="16"/>
              </w:rPr>
            </w:pPr>
            <w:r>
              <w:rPr>
                <w:rFonts w:ascii="Arial" w:hAnsi="Arial" w:cs="Arial"/>
                <w:b/>
                <w:bCs/>
                <w:sz w:val="16"/>
                <w:szCs w:val="16"/>
              </w:rPr>
              <w:noBreakHyphen/>
            </w:r>
            <w:r w:rsidR="00D013F9" w:rsidRPr="00D013F9">
              <w:rPr>
                <w:rFonts w:ascii="Arial" w:hAnsi="Arial" w:cs="Arial"/>
                <w:b/>
                <w:bCs/>
                <w:sz w:val="16"/>
                <w:szCs w:val="16"/>
              </w:rPr>
              <w:t>538.4</w:t>
            </w:r>
          </w:p>
        </w:tc>
        <w:tc>
          <w:tcPr>
            <w:tcW w:w="747" w:type="pct"/>
            <w:tcBorders>
              <w:top w:val="nil"/>
              <w:left w:val="nil"/>
              <w:bottom w:val="nil"/>
              <w:right w:val="nil"/>
            </w:tcBorders>
            <w:shd w:val="clear" w:color="000000" w:fill="FFFFFF"/>
            <w:noWrap/>
            <w:vAlign w:val="center"/>
            <w:hideMark/>
          </w:tcPr>
          <w:p w14:paraId="5F33A216"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8.5</w:t>
            </w:r>
          </w:p>
        </w:tc>
      </w:tr>
      <w:tr w:rsidR="00D013F9" w:rsidRPr="00D013F9" w14:paraId="474E81F3"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123379FA"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Per cent of GDP</w:t>
            </w:r>
          </w:p>
        </w:tc>
        <w:tc>
          <w:tcPr>
            <w:tcW w:w="747" w:type="pct"/>
            <w:tcBorders>
              <w:top w:val="nil"/>
              <w:left w:val="nil"/>
              <w:bottom w:val="nil"/>
              <w:right w:val="nil"/>
            </w:tcBorders>
            <w:shd w:val="clear" w:color="000000" w:fill="FFFFFF"/>
            <w:noWrap/>
            <w:vAlign w:val="center"/>
            <w:hideMark/>
          </w:tcPr>
          <w:p w14:paraId="5BDB1CF9" w14:textId="79E987C8" w:rsidR="00D013F9" w:rsidRPr="00D013F9" w:rsidRDefault="006B57C6" w:rsidP="00D013F9">
            <w:pPr>
              <w:spacing w:before="0" w:after="0" w:line="240" w:lineRule="auto"/>
              <w:jc w:val="right"/>
              <w:rPr>
                <w:rFonts w:ascii="Arial" w:hAnsi="Arial" w:cs="Arial"/>
                <w:sz w:val="16"/>
                <w:szCs w:val="16"/>
              </w:rPr>
            </w:pPr>
            <w:r>
              <w:rPr>
                <w:rFonts w:ascii="Arial" w:hAnsi="Arial" w:cs="Arial"/>
                <w:sz w:val="16"/>
                <w:szCs w:val="16"/>
              </w:rPr>
              <w:noBreakHyphen/>
            </w:r>
            <w:r w:rsidR="00D013F9" w:rsidRPr="00D013F9">
              <w:rPr>
                <w:rFonts w:ascii="Arial" w:hAnsi="Arial" w:cs="Arial"/>
                <w:sz w:val="16"/>
                <w:szCs w:val="16"/>
              </w:rPr>
              <w:t>21.5</w:t>
            </w:r>
          </w:p>
        </w:tc>
        <w:tc>
          <w:tcPr>
            <w:tcW w:w="747" w:type="pct"/>
            <w:tcBorders>
              <w:top w:val="nil"/>
              <w:left w:val="nil"/>
              <w:bottom w:val="nil"/>
              <w:right w:val="nil"/>
            </w:tcBorders>
            <w:shd w:val="clear" w:color="auto" w:fill="E6F2FF"/>
            <w:noWrap/>
            <w:vAlign w:val="center"/>
            <w:hideMark/>
          </w:tcPr>
          <w:p w14:paraId="7FF35C49" w14:textId="33A8ABCB" w:rsidR="00D013F9" w:rsidRPr="00D013F9" w:rsidRDefault="006B57C6" w:rsidP="00D013F9">
            <w:pPr>
              <w:spacing w:before="0" w:after="0" w:line="240" w:lineRule="auto"/>
              <w:jc w:val="right"/>
              <w:rPr>
                <w:rFonts w:ascii="Arial" w:hAnsi="Arial" w:cs="Arial"/>
                <w:sz w:val="16"/>
                <w:szCs w:val="16"/>
              </w:rPr>
            </w:pPr>
            <w:r>
              <w:rPr>
                <w:rFonts w:ascii="Arial" w:hAnsi="Arial" w:cs="Arial"/>
                <w:sz w:val="16"/>
                <w:szCs w:val="16"/>
              </w:rPr>
              <w:noBreakHyphen/>
            </w:r>
            <w:r w:rsidR="00D013F9" w:rsidRPr="00D013F9">
              <w:rPr>
                <w:rFonts w:ascii="Arial" w:hAnsi="Arial" w:cs="Arial"/>
                <w:sz w:val="16"/>
                <w:szCs w:val="16"/>
              </w:rPr>
              <w:t>21.3</w:t>
            </w:r>
          </w:p>
        </w:tc>
        <w:tc>
          <w:tcPr>
            <w:tcW w:w="747" w:type="pct"/>
            <w:tcBorders>
              <w:top w:val="nil"/>
              <w:left w:val="nil"/>
              <w:bottom w:val="nil"/>
              <w:right w:val="nil"/>
            </w:tcBorders>
            <w:shd w:val="clear" w:color="000000" w:fill="FFFFFF"/>
            <w:noWrap/>
            <w:vAlign w:val="center"/>
            <w:hideMark/>
          </w:tcPr>
          <w:p w14:paraId="362868F0"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483A454D" w14:textId="77777777" w:rsidTr="0037739B">
        <w:trPr>
          <w:divId w:val="625819165"/>
          <w:trHeight w:hRule="exact" w:val="60"/>
        </w:trPr>
        <w:tc>
          <w:tcPr>
            <w:tcW w:w="2759" w:type="pct"/>
            <w:tcBorders>
              <w:top w:val="nil"/>
              <w:left w:val="nil"/>
              <w:bottom w:val="nil"/>
              <w:right w:val="nil"/>
            </w:tcBorders>
            <w:shd w:val="clear" w:color="000000" w:fill="FFFFFF"/>
            <w:noWrap/>
            <w:vAlign w:val="center"/>
            <w:hideMark/>
          </w:tcPr>
          <w:p w14:paraId="29DC1B0D"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7C06780B"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auto" w:fill="E6F2FF"/>
            <w:noWrap/>
            <w:vAlign w:val="center"/>
            <w:hideMark/>
          </w:tcPr>
          <w:p w14:paraId="1F38324A"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49EDF0C3"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6A829DD0"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7E817A5A"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 xml:space="preserve">Net financial worth(a) </w:t>
            </w:r>
          </w:p>
        </w:tc>
        <w:tc>
          <w:tcPr>
            <w:tcW w:w="747" w:type="pct"/>
            <w:tcBorders>
              <w:top w:val="nil"/>
              <w:left w:val="nil"/>
              <w:bottom w:val="nil"/>
              <w:right w:val="nil"/>
            </w:tcBorders>
            <w:shd w:val="clear" w:color="000000" w:fill="FFFFFF"/>
            <w:noWrap/>
            <w:vAlign w:val="center"/>
            <w:hideMark/>
          </w:tcPr>
          <w:p w14:paraId="483FD7AA" w14:textId="0D5FA75A" w:rsidR="00D013F9" w:rsidRPr="00D013F9" w:rsidRDefault="006B57C6" w:rsidP="00D013F9">
            <w:pPr>
              <w:spacing w:before="0" w:after="0" w:line="240" w:lineRule="auto"/>
              <w:jc w:val="right"/>
              <w:rPr>
                <w:rFonts w:ascii="Arial" w:hAnsi="Arial" w:cs="Arial"/>
                <w:b/>
                <w:bCs/>
                <w:sz w:val="16"/>
                <w:szCs w:val="16"/>
              </w:rPr>
            </w:pPr>
            <w:r>
              <w:rPr>
                <w:rFonts w:ascii="Arial" w:hAnsi="Arial" w:cs="Arial"/>
                <w:b/>
                <w:bCs/>
                <w:sz w:val="16"/>
                <w:szCs w:val="16"/>
              </w:rPr>
              <w:noBreakHyphen/>
            </w:r>
            <w:r w:rsidR="00D013F9" w:rsidRPr="00D013F9">
              <w:rPr>
                <w:rFonts w:ascii="Arial" w:hAnsi="Arial" w:cs="Arial"/>
                <w:b/>
                <w:bCs/>
                <w:sz w:val="16"/>
                <w:szCs w:val="16"/>
              </w:rPr>
              <w:t>750.7</w:t>
            </w:r>
          </w:p>
        </w:tc>
        <w:tc>
          <w:tcPr>
            <w:tcW w:w="747" w:type="pct"/>
            <w:tcBorders>
              <w:top w:val="nil"/>
              <w:left w:val="nil"/>
              <w:bottom w:val="nil"/>
              <w:right w:val="nil"/>
            </w:tcBorders>
            <w:shd w:val="clear" w:color="auto" w:fill="E6F2FF"/>
            <w:noWrap/>
            <w:vAlign w:val="center"/>
            <w:hideMark/>
          </w:tcPr>
          <w:p w14:paraId="54417018" w14:textId="11327518" w:rsidR="00D013F9" w:rsidRPr="00D013F9" w:rsidRDefault="006B57C6" w:rsidP="00D013F9">
            <w:pPr>
              <w:spacing w:before="0" w:after="0" w:line="240" w:lineRule="auto"/>
              <w:jc w:val="right"/>
              <w:rPr>
                <w:rFonts w:ascii="Arial" w:hAnsi="Arial" w:cs="Arial"/>
                <w:b/>
                <w:bCs/>
                <w:sz w:val="16"/>
                <w:szCs w:val="16"/>
              </w:rPr>
            </w:pPr>
            <w:r>
              <w:rPr>
                <w:rFonts w:ascii="Arial" w:hAnsi="Arial" w:cs="Arial"/>
                <w:b/>
                <w:bCs/>
                <w:sz w:val="16"/>
                <w:szCs w:val="16"/>
              </w:rPr>
              <w:noBreakHyphen/>
            </w:r>
            <w:r w:rsidR="00D013F9" w:rsidRPr="00D013F9">
              <w:rPr>
                <w:rFonts w:ascii="Arial" w:hAnsi="Arial" w:cs="Arial"/>
                <w:b/>
                <w:bCs/>
                <w:sz w:val="16"/>
                <w:szCs w:val="16"/>
              </w:rPr>
              <w:t>743.3</w:t>
            </w:r>
          </w:p>
        </w:tc>
        <w:tc>
          <w:tcPr>
            <w:tcW w:w="747" w:type="pct"/>
            <w:tcBorders>
              <w:top w:val="nil"/>
              <w:left w:val="nil"/>
              <w:bottom w:val="nil"/>
              <w:right w:val="nil"/>
            </w:tcBorders>
            <w:shd w:val="clear" w:color="000000" w:fill="FFFFFF"/>
            <w:noWrap/>
            <w:vAlign w:val="center"/>
            <w:hideMark/>
          </w:tcPr>
          <w:p w14:paraId="6D7632AA"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7.4</w:t>
            </w:r>
          </w:p>
        </w:tc>
      </w:tr>
      <w:tr w:rsidR="00D013F9" w:rsidRPr="00D013F9" w14:paraId="25C9D0CA"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2FED30B8"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Per cent of GDP</w:t>
            </w:r>
          </w:p>
        </w:tc>
        <w:tc>
          <w:tcPr>
            <w:tcW w:w="747" w:type="pct"/>
            <w:tcBorders>
              <w:top w:val="nil"/>
              <w:left w:val="nil"/>
              <w:bottom w:val="nil"/>
              <w:right w:val="nil"/>
            </w:tcBorders>
            <w:shd w:val="clear" w:color="000000" w:fill="FFFFFF"/>
            <w:noWrap/>
            <w:vAlign w:val="center"/>
            <w:hideMark/>
          </w:tcPr>
          <w:p w14:paraId="3972DBDC" w14:textId="69D90B38" w:rsidR="00D013F9" w:rsidRPr="00D013F9" w:rsidRDefault="006B57C6" w:rsidP="00D013F9">
            <w:pPr>
              <w:spacing w:before="0" w:after="0" w:line="240" w:lineRule="auto"/>
              <w:jc w:val="right"/>
              <w:rPr>
                <w:rFonts w:ascii="Arial" w:hAnsi="Arial" w:cs="Arial"/>
                <w:sz w:val="16"/>
                <w:szCs w:val="16"/>
              </w:rPr>
            </w:pPr>
            <w:r>
              <w:rPr>
                <w:rFonts w:ascii="Arial" w:hAnsi="Arial" w:cs="Arial"/>
                <w:sz w:val="16"/>
                <w:szCs w:val="16"/>
              </w:rPr>
              <w:noBreakHyphen/>
            </w:r>
            <w:r w:rsidR="00D013F9" w:rsidRPr="00D013F9">
              <w:rPr>
                <w:rFonts w:ascii="Arial" w:hAnsi="Arial" w:cs="Arial"/>
                <w:sz w:val="16"/>
                <w:szCs w:val="16"/>
              </w:rPr>
              <w:t>29.5</w:t>
            </w:r>
          </w:p>
        </w:tc>
        <w:tc>
          <w:tcPr>
            <w:tcW w:w="747" w:type="pct"/>
            <w:tcBorders>
              <w:top w:val="nil"/>
              <w:left w:val="nil"/>
              <w:bottom w:val="nil"/>
              <w:right w:val="nil"/>
            </w:tcBorders>
            <w:shd w:val="clear" w:color="auto" w:fill="E6F2FF"/>
            <w:noWrap/>
            <w:vAlign w:val="center"/>
            <w:hideMark/>
          </w:tcPr>
          <w:p w14:paraId="066958AC" w14:textId="28C40C03" w:rsidR="00D013F9" w:rsidRPr="00D013F9" w:rsidRDefault="006B57C6" w:rsidP="00D013F9">
            <w:pPr>
              <w:spacing w:before="0" w:after="0" w:line="240" w:lineRule="auto"/>
              <w:jc w:val="right"/>
              <w:rPr>
                <w:rFonts w:ascii="Arial" w:hAnsi="Arial" w:cs="Arial"/>
                <w:sz w:val="16"/>
                <w:szCs w:val="16"/>
              </w:rPr>
            </w:pPr>
            <w:r>
              <w:rPr>
                <w:rFonts w:ascii="Arial" w:hAnsi="Arial" w:cs="Arial"/>
                <w:sz w:val="16"/>
                <w:szCs w:val="16"/>
              </w:rPr>
              <w:noBreakHyphen/>
            </w:r>
            <w:r w:rsidR="00D013F9" w:rsidRPr="00D013F9">
              <w:rPr>
                <w:rFonts w:ascii="Arial" w:hAnsi="Arial" w:cs="Arial"/>
                <w:sz w:val="16"/>
                <w:szCs w:val="16"/>
              </w:rPr>
              <w:t>29.4</w:t>
            </w:r>
          </w:p>
        </w:tc>
        <w:tc>
          <w:tcPr>
            <w:tcW w:w="747" w:type="pct"/>
            <w:tcBorders>
              <w:top w:val="nil"/>
              <w:left w:val="nil"/>
              <w:bottom w:val="nil"/>
              <w:right w:val="nil"/>
            </w:tcBorders>
            <w:shd w:val="clear" w:color="000000" w:fill="FFFFFF"/>
            <w:noWrap/>
            <w:vAlign w:val="center"/>
            <w:hideMark/>
          </w:tcPr>
          <w:p w14:paraId="127B787B"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575456C8" w14:textId="77777777" w:rsidTr="0037739B">
        <w:trPr>
          <w:divId w:val="625819165"/>
          <w:trHeight w:hRule="exact" w:val="60"/>
        </w:trPr>
        <w:tc>
          <w:tcPr>
            <w:tcW w:w="2759" w:type="pct"/>
            <w:tcBorders>
              <w:top w:val="nil"/>
              <w:left w:val="nil"/>
              <w:bottom w:val="nil"/>
              <w:right w:val="nil"/>
            </w:tcBorders>
            <w:shd w:val="clear" w:color="000000" w:fill="FFFFFF"/>
            <w:noWrap/>
            <w:vAlign w:val="center"/>
            <w:hideMark/>
          </w:tcPr>
          <w:p w14:paraId="4A5BA182"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384FE70C"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auto" w:fill="E6F2FF"/>
            <w:noWrap/>
            <w:vAlign w:val="center"/>
            <w:hideMark/>
          </w:tcPr>
          <w:p w14:paraId="6C5F83A2"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2749DA9C"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3666D36A"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599214C4"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Gross debt(b)</w:t>
            </w:r>
          </w:p>
        </w:tc>
        <w:tc>
          <w:tcPr>
            <w:tcW w:w="747" w:type="pct"/>
            <w:tcBorders>
              <w:top w:val="nil"/>
              <w:left w:val="nil"/>
              <w:bottom w:val="nil"/>
              <w:right w:val="nil"/>
            </w:tcBorders>
            <w:shd w:val="clear" w:color="000000" w:fill="FFFFFF"/>
            <w:noWrap/>
            <w:vAlign w:val="center"/>
            <w:hideMark/>
          </w:tcPr>
          <w:p w14:paraId="54338270"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887.0</w:t>
            </w:r>
          </w:p>
        </w:tc>
        <w:tc>
          <w:tcPr>
            <w:tcW w:w="747" w:type="pct"/>
            <w:tcBorders>
              <w:top w:val="nil"/>
              <w:left w:val="nil"/>
              <w:bottom w:val="nil"/>
              <w:right w:val="nil"/>
            </w:tcBorders>
            <w:shd w:val="clear" w:color="auto" w:fill="E6F2FF"/>
            <w:noWrap/>
            <w:vAlign w:val="center"/>
            <w:hideMark/>
          </w:tcPr>
          <w:p w14:paraId="571FD75B"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889.8</w:t>
            </w:r>
          </w:p>
        </w:tc>
        <w:tc>
          <w:tcPr>
            <w:tcW w:w="747" w:type="pct"/>
            <w:tcBorders>
              <w:top w:val="nil"/>
              <w:left w:val="nil"/>
              <w:bottom w:val="nil"/>
              <w:right w:val="nil"/>
            </w:tcBorders>
            <w:shd w:val="clear" w:color="000000" w:fill="FFFFFF"/>
            <w:noWrap/>
            <w:vAlign w:val="center"/>
            <w:hideMark/>
          </w:tcPr>
          <w:p w14:paraId="7B95A1A3"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2.8</w:t>
            </w:r>
          </w:p>
        </w:tc>
      </w:tr>
      <w:tr w:rsidR="00D013F9" w:rsidRPr="00D013F9" w14:paraId="7BE151C8"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21C96440"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Per cent of GDP</w:t>
            </w:r>
          </w:p>
        </w:tc>
        <w:tc>
          <w:tcPr>
            <w:tcW w:w="747" w:type="pct"/>
            <w:tcBorders>
              <w:top w:val="nil"/>
              <w:left w:val="nil"/>
              <w:bottom w:val="nil"/>
              <w:right w:val="nil"/>
            </w:tcBorders>
            <w:shd w:val="clear" w:color="000000" w:fill="FFFFFF"/>
            <w:noWrap/>
            <w:vAlign w:val="center"/>
            <w:hideMark/>
          </w:tcPr>
          <w:p w14:paraId="46179D74"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34.9</w:t>
            </w:r>
          </w:p>
        </w:tc>
        <w:tc>
          <w:tcPr>
            <w:tcW w:w="747" w:type="pct"/>
            <w:tcBorders>
              <w:top w:val="nil"/>
              <w:left w:val="nil"/>
              <w:bottom w:val="nil"/>
              <w:right w:val="nil"/>
            </w:tcBorders>
            <w:shd w:val="clear" w:color="auto" w:fill="E6F2FF"/>
            <w:noWrap/>
            <w:vAlign w:val="center"/>
            <w:hideMark/>
          </w:tcPr>
          <w:p w14:paraId="13003972"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35.2</w:t>
            </w:r>
          </w:p>
        </w:tc>
        <w:tc>
          <w:tcPr>
            <w:tcW w:w="747" w:type="pct"/>
            <w:tcBorders>
              <w:top w:val="nil"/>
              <w:left w:val="nil"/>
              <w:bottom w:val="nil"/>
              <w:right w:val="nil"/>
            </w:tcBorders>
            <w:shd w:val="clear" w:color="000000" w:fill="FFFFFF"/>
            <w:noWrap/>
            <w:vAlign w:val="center"/>
            <w:hideMark/>
          </w:tcPr>
          <w:p w14:paraId="0AA876C6"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0DE9E53F" w14:textId="77777777" w:rsidTr="0037739B">
        <w:trPr>
          <w:divId w:val="625819165"/>
          <w:trHeight w:hRule="exact" w:val="60"/>
        </w:trPr>
        <w:tc>
          <w:tcPr>
            <w:tcW w:w="2759" w:type="pct"/>
            <w:tcBorders>
              <w:top w:val="nil"/>
              <w:left w:val="nil"/>
              <w:bottom w:val="nil"/>
              <w:right w:val="nil"/>
            </w:tcBorders>
            <w:shd w:val="clear" w:color="000000" w:fill="FFFFFF"/>
            <w:noWrap/>
            <w:vAlign w:val="center"/>
            <w:hideMark/>
          </w:tcPr>
          <w:p w14:paraId="0E0B6D48" w14:textId="77777777" w:rsidR="00D013F9" w:rsidRPr="00D013F9" w:rsidRDefault="00D013F9" w:rsidP="00D013F9">
            <w:pPr>
              <w:spacing w:before="0" w:after="0" w:line="240" w:lineRule="auto"/>
              <w:rPr>
                <w:rFonts w:ascii="Arial" w:hAnsi="Arial" w:cs="Arial"/>
                <w:color w:val="0000FF"/>
                <w:sz w:val="16"/>
                <w:szCs w:val="16"/>
              </w:rPr>
            </w:pPr>
            <w:r w:rsidRPr="00D013F9">
              <w:rPr>
                <w:rFonts w:ascii="Arial" w:hAnsi="Arial" w:cs="Arial"/>
                <w:color w:val="0000FF"/>
                <w:sz w:val="16"/>
                <w:szCs w:val="16"/>
              </w:rPr>
              <w:t> </w:t>
            </w:r>
          </w:p>
        </w:tc>
        <w:tc>
          <w:tcPr>
            <w:tcW w:w="747" w:type="pct"/>
            <w:tcBorders>
              <w:top w:val="nil"/>
              <w:left w:val="nil"/>
              <w:bottom w:val="nil"/>
              <w:right w:val="nil"/>
            </w:tcBorders>
            <w:shd w:val="clear" w:color="000000" w:fill="FFFFFF"/>
            <w:noWrap/>
            <w:vAlign w:val="center"/>
            <w:hideMark/>
          </w:tcPr>
          <w:p w14:paraId="676C0DF0"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auto" w:fill="E6F2FF"/>
            <w:noWrap/>
            <w:vAlign w:val="center"/>
            <w:hideMark/>
          </w:tcPr>
          <w:p w14:paraId="375FA587"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6B5DF0C0"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1E578FC3"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610C6027"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Net debt(c)</w:t>
            </w:r>
          </w:p>
        </w:tc>
        <w:tc>
          <w:tcPr>
            <w:tcW w:w="747" w:type="pct"/>
            <w:tcBorders>
              <w:top w:val="nil"/>
              <w:left w:val="nil"/>
              <w:bottom w:val="nil"/>
              <w:right w:val="nil"/>
            </w:tcBorders>
            <w:shd w:val="clear" w:color="000000" w:fill="FFFFFF"/>
            <w:noWrap/>
            <w:vAlign w:val="center"/>
            <w:hideMark/>
          </w:tcPr>
          <w:p w14:paraId="32D18FD6"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548.6</w:t>
            </w:r>
          </w:p>
        </w:tc>
        <w:tc>
          <w:tcPr>
            <w:tcW w:w="747" w:type="pct"/>
            <w:tcBorders>
              <w:top w:val="nil"/>
              <w:left w:val="nil"/>
              <w:bottom w:val="nil"/>
              <w:right w:val="nil"/>
            </w:tcBorders>
            <w:shd w:val="clear" w:color="auto" w:fill="E6F2FF"/>
            <w:noWrap/>
            <w:vAlign w:val="center"/>
            <w:hideMark/>
          </w:tcPr>
          <w:p w14:paraId="2C87CC26"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491.0</w:t>
            </w:r>
          </w:p>
        </w:tc>
        <w:tc>
          <w:tcPr>
            <w:tcW w:w="747" w:type="pct"/>
            <w:tcBorders>
              <w:top w:val="nil"/>
              <w:left w:val="nil"/>
              <w:bottom w:val="nil"/>
              <w:right w:val="nil"/>
            </w:tcBorders>
            <w:shd w:val="clear" w:color="000000" w:fill="FFFFFF"/>
            <w:noWrap/>
            <w:vAlign w:val="center"/>
            <w:hideMark/>
          </w:tcPr>
          <w:p w14:paraId="70AFAB9D" w14:textId="18DA7DDF" w:rsidR="00D013F9" w:rsidRPr="00D013F9" w:rsidRDefault="006B57C6" w:rsidP="00D013F9">
            <w:pPr>
              <w:spacing w:before="0" w:after="0" w:line="240" w:lineRule="auto"/>
              <w:jc w:val="right"/>
              <w:rPr>
                <w:rFonts w:ascii="Arial" w:hAnsi="Arial" w:cs="Arial"/>
                <w:b/>
                <w:bCs/>
                <w:sz w:val="16"/>
                <w:szCs w:val="16"/>
              </w:rPr>
            </w:pPr>
            <w:r>
              <w:rPr>
                <w:rFonts w:ascii="Arial" w:hAnsi="Arial" w:cs="Arial"/>
                <w:b/>
                <w:bCs/>
                <w:sz w:val="16"/>
                <w:szCs w:val="16"/>
              </w:rPr>
              <w:noBreakHyphen/>
            </w:r>
            <w:r w:rsidR="00D013F9" w:rsidRPr="00D013F9">
              <w:rPr>
                <w:rFonts w:ascii="Arial" w:hAnsi="Arial" w:cs="Arial"/>
                <w:b/>
                <w:bCs/>
                <w:sz w:val="16"/>
                <w:szCs w:val="16"/>
              </w:rPr>
              <w:t>57.6</w:t>
            </w:r>
          </w:p>
        </w:tc>
      </w:tr>
      <w:tr w:rsidR="00D013F9" w:rsidRPr="00D013F9" w14:paraId="7BD616E9"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2032EAB5"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Per cent of GDP</w:t>
            </w:r>
          </w:p>
        </w:tc>
        <w:tc>
          <w:tcPr>
            <w:tcW w:w="747" w:type="pct"/>
            <w:tcBorders>
              <w:top w:val="nil"/>
              <w:left w:val="nil"/>
              <w:bottom w:val="nil"/>
              <w:right w:val="nil"/>
            </w:tcBorders>
            <w:shd w:val="clear" w:color="000000" w:fill="FFFFFF"/>
            <w:noWrap/>
            <w:vAlign w:val="center"/>
            <w:hideMark/>
          </w:tcPr>
          <w:p w14:paraId="5C62E470"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21.6</w:t>
            </w:r>
          </w:p>
        </w:tc>
        <w:tc>
          <w:tcPr>
            <w:tcW w:w="747" w:type="pct"/>
            <w:tcBorders>
              <w:top w:val="nil"/>
              <w:left w:val="nil"/>
              <w:bottom w:val="nil"/>
              <w:right w:val="nil"/>
            </w:tcBorders>
            <w:shd w:val="clear" w:color="auto" w:fill="E6F2FF"/>
            <w:noWrap/>
            <w:vAlign w:val="center"/>
            <w:hideMark/>
          </w:tcPr>
          <w:p w14:paraId="58E28FDA"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19.4</w:t>
            </w:r>
          </w:p>
        </w:tc>
        <w:tc>
          <w:tcPr>
            <w:tcW w:w="747" w:type="pct"/>
            <w:tcBorders>
              <w:top w:val="nil"/>
              <w:left w:val="nil"/>
              <w:bottom w:val="nil"/>
              <w:right w:val="nil"/>
            </w:tcBorders>
            <w:shd w:val="clear" w:color="000000" w:fill="FFFFFF"/>
            <w:noWrap/>
            <w:vAlign w:val="center"/>
            <w:hideMark/>
          </w:tcPr>
          <w:p w14:paraId="06B57F02"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0AE27FE6" w14:textId="77777777" w:rsidTr="0037739B">
        <w:trPr>
          <w:divId w:val="625819165"/>
          <w:trHeight w:hRule="exact" w:val="60"/>
        </w:trPr>
        <w:tc>
          <w:tcPr>
            <w:tcW w:w="2759" w:type="pct"/>
            <w:tcBorders>
              <w:top w:val="nil"/>
              <w:left w:val="nil"/>
              <w:bottom w:val="nil"/>
              <w:right w:val="nil"/>
            </w:tcBorders>
            <w:shd w:val="clear" w:color="000000" w:fill="FFFFFF"/>
            <w:noWrap/>
            <w:vAlign w:val="center"/>
            <w:hideMark/>
          </w:tcPr>
          <w:p w14:paraId="5F39E8C5" w14:textId="77777777" w:rsidR="00D013F9" w:rsidRPr="00D013F9" w:rsidRDefault="00D013F9" w:rsidP="00D013F9">
            <w:pPr>
              <w:spacing w:before="0" w:after="0" w:line="240" w:lineRule="auto"/>
              <w:rPr>
                <w:rFonts w:ascii="Arial" w:hAnsi="Arial" w:cs="Arial"/>
                <w:color w:val="0000FF"/>
                <w:sz w:val="16"/>
                <w:szCs w:val="16"/>
              </w:rPr>
            </w:pPr>
            <w:r w:rsidRPr="00D013F9">
              <w:rPr>
                <w:rFonts w:ascii="Arial" w:hAnsi="Arial" w:cs="Arial"/>
                <w:color w:val="0000FF"/>
                <w:sz w:val="16"/>
                <w:szCs w:val="16"/>
              </w:rPr>
              <w:t> </w:t>
            </w:r>
          </w:p>
        </w:tc>
        <w:tc>
          <w:tcPr>
            <w:tcW w:w="747" w:type="pct"/>
            <w:tcBorders>
              <w:top w:val="nil"/>
              <w:left w:val="nil"/>
              <w:bottom w:val="nil"/>
              <w:right w:val="nil"/>
            </w:tcBorders>
            <w:shd w:val="clear" w:color="000000" w:fill="FFFFFF"/>
            <w:noWrap/>
            <w:vAlign w:val="center"/>
            <w:hideMark/>
          </w:tcPr>
          <w:p w14:paraId="4BA3BEC8"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auto" w:fill="E6F2FF"/>
            <w:noWrap/>
            <w:vAlign w:val="center"/>
            <w:hideMark/>
          </w:tcPr>
          <w:p w14:paraId="63DAEA1A"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6053D36A"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1196EC24"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2E514DBB"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Total interest payments</w:t>
            </w:r>
          </w:p>
        </w:tc>
        <w:tc>
          <w:tcPr>
            <w:tcW w:w="747" w:type="pct"/>
            <w:tcBorders>
              <w:top w:val="nil"/>
              <w:left w:val="nil"/>
              <w:bottom w:val="nil"/>
              <w:right w:val="nil"/>
            </w:tcBorders>
            <w:shd w:val="clear" w:color="000000" w:fill="FFFFFF"/>
            <w:noWrap/>
            <w:vAlign w:val="center"/>
            <w:hideMark/>
          </w:tcPr>
          <w:p w14:paraId="001FDB1A"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18.8</w:t>
            </w:r>
          </w:p>
        </w:tc>
        <w:tc>
          <w:tcPr>
            <w:tcW w:w="747" w:type="pct"/>
            <w:tcBorders>
              <w:top w:val="nil"/>
              <w:left w:val="nil"/>
              <w:bottom w:val="nil"/>
              <w:right w:val="nil"/>
            </w:tcBorders>
            <w:shd w:val="clear" w:color="auto" w:fill="E6F2FF"/>
            <w:noWrap/>
            <w:vAlign w:val="center"/>
            <w:hideMark/>
          </w:tcPr>
          <w:p w14:paraId="61251197"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18.9</w:t>
            </w:r>
          </w:p>
        </w:tc>
        <w:tc>
          <w:tcPr>
            <w:tcW w:w="747" w:type="pct"/>
            <w:tcBorders>
              <w:top w:val="nil"/>
              <w:left w:val="nil"/>
              <w:bottom w:val="nil"/>
              <w:right w:val="nil"/>
            </w:tcBorders>
            <w:shd w:val="clear" w:color="000000" w:fill="FFFFFF"/>
            <w:noWrap/>
            <w:vAlign w:val="center"/>
            <w:hideMark/>
          </w:tcPr>
          <w:p w14:paraId="6620C0F2"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0.1</w:t>
            </w:r>
          </w:p>
        </w:tc>
      </w:tr>
      <w:tr w:rsidR="00D013F9" w:rsidRPr="00D013F9" w14:paraId="77C12AB7"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65EDEDF4"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Per cent of GDP</w:t>
            </w:r>
          </w:p>
        </w:tc>
        <w:tc>
          <w:tcPr>
            <w:tcW w:w="747" w:type="pct"/>
            <w:tcBorders>
              <w:top w:val="nil"/>
              <w:left w:val="nil"/>
              <w:bottom w:val="nil"/>
              <w:right w:val="nil"/>
            </w:tcBorders>
            <w:shd w:val="clear" w:color="000000" w:fill="FFFFFF"/>
            <w:noWrap/>
            <w:vAlign w:val="center"/>
            <w:hideMark/>
          </w:tcPr>
          <w:p w14:paraId="73CE916A"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0.7</w:t>
            </w:r>
          </w:p>
        </w:tc>
        <w:tc>
          <w:tcPr>
            <w:tcW w:w="747" w:type="pct"/>
            <w:tcBorders>
              <w:top w:val="nil"/>
              <w:left w:val="nil"/>
              <w:bottom w:val="nil"/>
              <w:right w:val="nil"/>
            </w:tcBorders>
            <w:shd w:val="clear" w:color="auto" w:fill="E6F2FF"/>
            <w:noWrap/>
            <w:vAlign w:val="center"/>
            <w:hideMark/>
          </w:tcPr>
          <w:p w14:paraId="56AD7F4D"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0.7</w:t>
            </w:r>
          </w:p>
        </w:tc>
        <w:tc>
          <w:tcPr>
            <w:tcW w:w="747" w:type="pct"/>
            <w:tcBorders>
              <w:top w:val="nil"/>
              <w:left w:val="nil"/>
              <w:bottom w:val="nil"/>
              <w:right w:val="nil"/>
            </w:tcBorders>
            <w:shd w:val="clear" w:color="000000" w:fill="FFFFFF"/>
            <w:noWrap/>
            <w:vAlign w:val="center"/>
            <w:hideMark/>
          </w:tcPr>
          <w:p w14:paraId="58F9871C"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53698361" w14:textId="77777777" w:rsidTr="0037739B">
        <w:trPr>
          <w:divId w:val="625819165"/>
          <w:trHeight w:hRule="exact" w:val="60"/>
        </w:trPr>
        <w:tc>
          <w:tcPr>
            <w:tcW w:w="2759" w:type="pct"/>
            <w:tcBorders>
              <w:top w:val="nil"/>
              <w:left w:val="nil"/>
              <w:bottom w:val="nil"/>
              <w:right w:val="nil"/>
            </w:tcBorders>
            <w:shd w:val="clear" w:color="000000" w:fill="FFFFFF"/>
            <w:noWrap/>
            <w:vAlign w:val="center"/>
            <w:hideMark/>
          </w:tcPr>
          <w:p w14:paraId="48909DC0" w14:textId="77777777" w:rsidR="00D013F9" w:rsidRPr="00D013F9" w:rsidRDefault="00D013F9" w:rsidP="00D013F9">
            <w:pPr>
              <w:spacing w:before="0" w:after="0" w:line="240" w:lineRule="auto"/>
              <w:rPr>
                <w:rFonts w:ascii="Arial" w:hAnsi="Arial" w:cs="Arial"/>
                <w:color w:val="0000FF"/>
                <w:sz w:val="16"/>
                <w:szCs w:val="16"/>
              </w:rPr>
            </w:pPr>
            <w:r w:rsidRPr="00D013F9">
              <w:rPr>
                <w:rFonts w:ascii="Arial" w:hAnsi="Arial" w:cs="Arial"/>
                <w:color w:val="0000FF"/>
                <w:sz w:val="16"/>
                <w:szCs w:val="16"/>
              </w:rPr>
              <w:t> </w:t>
            </w:r>
          </w:p>
        </w:tc>
        <w:tc>
          <w:tcPr>
            <w:tcW w:w="747" w:type="pct"/>
            <w:tcBorders>
              <w:top w:val="nil"/>
              <w:left w:val="nil"/>
              <w:bottom w:val="nil"/>
              <w:right w:val="nil"/>
            </w:tcBorders>
            <w:shd w:val="clear" w:color="000000" w:fill="FFFFFF"/>
            <w:noWrap/>
            <w:vAlign w:val="center"/>
            <w:hideMark/>
          </w:tcPr>
          <w:p w14:paraId="6F009E8C"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auto" w:fill="E6F2FF"/>
            <w:noWrap/>
            <w:vAlign w:val="center"/>
            <w:hideMark/>
          </w:tcPr>
          <w:p w14:paraId="05CF4BDC"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c>
          <w:tcPr>
            <w:tcW w:w="747" w:type="pct"/>
            <w:tcBorders>
              <w:top w:val="nil"/>
              <w:left w:val="nil"/>
              <w:bottom w:val="nil"/>
              <w:right w:val="nil"/>
            </w:tcBorders>
            <w:shd w:val="clear" w:color="000000" w:fill="FFFFFF"/>
            <w:noWrap/>
            <w:vAlign w:val="center"/>
            <w:hideMark/>
          </w:tcPr>
          <w:p w14:paraId="7C9DF915"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r w:rsidR="00D013F9" w:rsidRPr="00D013F9" w14:paraId="7DD49937" w14:textId="77777777" w:rsidTr="0037739B">
        <w:trPr>
          <w:divId w:val="625819165"/>
          <w:trHeight w:hRule="exact" w:val="225"/>
        </w:trPr>
        <w:tc>
          <w:tcPr>
            <w:tcW w:w="2759" w:type="pct"/>
            <w:tcBorders>
              <w:top w:val="nil"/>
              <w:left w:val="nil"/>
              <w:bottom w:val="nil"/>
              <w:right w:val="nil"/>
            </w:tcBorders>
            <w:shd w:val="clear" w:color="000000" w:fill="FFFFFF"/>
            <w:noWrap/>
            <w:vAlign w:val="center"/>
            <w:hideMark/>
          </w:tcPr>
          <w:p w14:paraId="11E1F7AF" w14:textId="77777777" w:rsidR="00D013F9" w:rsidRPr="00D013F9" w:rsidRDefault="00D013F9" w:rsidP="00D013F9">
            <w:pPr>
              <w:spacing w:before="0" w:after="0" w:line="240" w:lineRule="auto"/>
              <w:rPr>
                <w:rFonts w:ascii="Arial" w:hAnsi="Arial" w:cs="Arial"/>
                <w:b/>
                <w:bCs/>
                <w:sz w:val="16"/>
                <w:szCs w:val="16"/>
              </w:rPr>
            </w:pPr>
            <w:r w:rsidRPr="00D013F9">
              <w:rPr>
                <w:rFonts w:ascii="Arial" w:hAnsi="Arial" w:cs="Arial"/>
                <w:b/>
                <w:bCs/>
                <w:sz w:val="16"/>
                <w:szCs w:val="16"/>
              </w:rPr>
              <w:t>Net interest payments(d)</w:t>
            </w:r>
          </w:p>
        </w:tc>
        <w:tc>
          <w:tcPr>
            <w:tcW w:w="747" w:type="pct"/>
            <w:tcBorders>
              <w:top w:val="nil"/>
              <w:left w:val="nil"/>
              <w:bottom w:val="nil"/>
              <w:right w:val="nil"/>
            </w:tcBorders>
            <w:shd w:val="clear" w:color="000000" w:fill="FFFFFF"/>
            <w:noWrap/>
            <w:vAlign w:val="center"/>
            <w:hideMark/>
          </w:tcPr>
          <w:p w14:paraId="24E7A714"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12.7</w:t>
            </w:r>
          </w:p>
        </w:tc>
        <w:tc>
          <w:tcPr>
            <w:tcW w:w="747" w:type="pct"/>
            <w:tcBorders>
              <w:top w:val="nil"/>
              <w:left w:val="nil"/>
              <w:bottom w:val="nil"/>
              <w:right w:val="nil"/>
            </w:tcBorders>
            <w:shd w:val="clear" w:color="auto" w:fill="E6F2FF"/>
            <w:noWrap/>
            <w:vAlign w:val="center"/>
            <w:hideMark/>
          </w:tcPr>
          <w:p w14:paraId="66016E13"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11.9</w:t>
            </w:r>
          </w:p>
        </w:tc>
        <w:tc>
          <w:tcPr>
            <w:tcW w:w="747" w:type="pct"/>
            <w:tcBorders>
              <w:top w:val="nil"/>
              <w:left w:val="nil"/>
              <w:bottom w:val="nil"/>
              <w:right w:val="nil"/>
            </w:tcBorders>
            <w:shd w:val="clear" w:color="000000" w:fill="FFFFFF"/>
            <w:noWrap/>
            <w:vAlign w:val="center"/>
            <w:hideMark/>
          </w:tcPr>
          <w:p w14:paraId="5FE8B780" w14:textId="6A431FE5" w:rsidR="00D013F9" w:rsidRPr="00D013F9" w:rsidRDefault="006B57C6" w:rsidP="00D013F9">
            <w:pPr>
              <w:spacing w:before="0" w:after="0" w:line="240" w:lineRule="auto"/>
              <w:jc w:val="right"/>
              <w:rPr>
                <w:rFonts w:ascii="Arial" w:hAnsi="Arial" w:cs="Arial"/>
                <w:b/>
                <w:bCs/>
                <w:sz w:val="16"/>
                <w:szCs w:val="16"/>
              </w:rPr>
            </w:pPr>
            <w:r>
              <w:rPr>
                <w:rFonts w:ascii="Arial" w:hAnsi="Arial" w:cs="Arial"/>
                <w:b/>
                <w:bCs/>
                <w:sz w:val="16"/>
                <w:szCs w:val="16"/>
              </w:rPr>
              <w:noBreakHyphen/>
            </w:r>
            <w:r w:rsidR="00D013F9" w:rsidRPr="00D013F9">
              <w:rPr>
                <w:rFonts w:ascii="Arial" w:hAnsi="Arial" w:cs="Arial"/>
                <w:b/>
                <w:bCs/>
                <w:sz w:val="16"/>
                <w:szCs w:val="16"/>
              </w:rPr>
              <w:t>0.8</w:t>
            </w:r>
          </w:p>
        </w:tc>
      </w:tr>
      <w:tr w:rsidR="00D013F9" w:rsidRPr="00D013F9" w14:paraId="62F22160" w14:textId="77777777" w:rsidTr="0037739B">
        <w:trPr>
          <w:divId w:val="625819165"/>
          <w:trHeight w:hRule="exact" w:val="225"/>
        </w:trPr>
        <w:tc>
          <w:tcPr>
            <w:tcW w:w="2759" w:type="pct"/>
            <w:tcBorders>
              <w:top w:val="nil"/>
              <w:left w:val="nil"/>
              <w:bottom w:val="single" w:sz="4" w:space="0" w:color="293F5B"/>
              <w:right w:val="nil"/>
            </w:tcBorders>
            <w:shd w:val="clear" w:color="000000" w:fill="FFFFFF"/>
            <w:noWrap/>
            <w:vAlign w:val="center"/>
            <w:hideMark/>
          </w:tcPr>
          <w:p w14:paraId="6006CC83" w14:textId="77777777" w:rsidR="00D013F9" w:rsidRPr="00D013F9" w:rsidRDefault="00D013F9" w:rsidP="00D013F9">
            <w:pPr>
              <w:spacing w:before="0" w:after="0" w:line="240" w:lineRule="auto"/>
              <w:rPr>
                <w:rFonts w:ascii="Arial" w:hAnsi="Arial" w:cs="Arial"/>
                <w:sz w:val="16"/>
                <w:szCs w:val="16"/>
              </w:rPr>
            </w:pPr>
            <w:r w:rsidRPr="00D013F9">
              <w:rPr>
                <w:rFonts w:ascii="Arial" w:hAnsi="Arial" w:cs="Arial"/>
                <w:sz w:val="16"/>
                <w:szCs w:val="16"/>
              </w:rPr>
              <w:t>Per cent of GDP</w:t>
            </w:r>
          </w:p>
        </w:tc>
        <w:tc>
          <w:tcPr>
            <w:tcW w:w="747" w:type="pct"/>
            <w:tcBorders>
              <w:top w:val="nil"/>
              <w:left w:val="nil"/>
              <w:bottom w:val="single" w:sz="4" w:space="0" w:color="293F5B"/>
              <w:right w:val="nil"/>
            </w:tcBorders>
            <w:shd w:val="clear" w:color="000000" w:fill="FFFFFF"/>
            <w:noWrap/>
            <w:vAlign w:val="center"/>
            <w:hideMark/>
          </w:tcPr>
          <w:p w14:paraId="7FE0AF67"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0.5</w:t>
            </w:r>
          </w:p>
        </w:tc>
        <w:tc>
          <w:tcPr>
            <w:tcW w:w="747" w:type="pct"/>
            <w:tcBorders>
              <w:top w:val="nil"/>
              <w:left w:val="nil"/>
              <w:bottom w:val="single" w:sz="4" w:space="0" w:color="293F5B"/>
              <w:right w:val="nil"/>
            </w:tcBorders>
            <w:shd w:val="clear" w:color="auto" w:fill="E6F2FF"/>
            <w:noWrap/>
            <w:vAlign w:val="center"/>
            <w:hideMark/>
          </w:tcPr>
          <w:p w14:paraId="69B5FF3F" w14:textId="77777777" w:rsidR="00D013F9" w:rsidRPr="00D013F9" w:rsidRDefault="00D013F9" w:rsidP="00D013F9">
            <w:pPr>
              <w:spacing w:before="0" w:after="0" w:line="240" w:lineRule="auto"/>
              <w:jc w:val="right"/>
              <w:rPr>
                <w:rFonts w:ascii="Arial" w:hAnsi="Arial" w:cs="Arial"/>
                <w:sz w:val="16"/>
                <w:szCs w:val="16"/>
              </w:rPr>
            </w:pPr>
            <w:r w:rsidRPr="00D013F9">
              <w:rPr>
                <w:rFonts w:ascii="Arial" w:hAnsi="Arial" w:cs="Arial"/>
                <w:sz w:val="16"/>
                <w:szCs w:val="16"/>
              </w:rPr>
              <w:t>0.5</w:t>
            </w:r>
          </w:p>
        </w:tc>
        <w:tc>
          <w:tcPr>
            <w:tcW w:w="747" w:type="pct"/>
            <w:tcBorders>
              <w:top w:val="nil"/>
              <w:left w:val="nil"/>
              <w:bottom w:val="single" w:sz="4" w:space="0" w:color="293F5B"/>
              <w:right w:val="nil"/>
            </w:tcBorders>
            <w:shd w:val="clear" w:color="000000" w:fill="FFFFFF"/>
            <w:noWrap/>
            <w:vAlign w:val="center"/>
            <w:hideMark/>
          </w:tcPr>
          <w:p w14:paraId="060E0568" w14:textId="77777777" w:rsidR="00D013F9" w:rsidRPr="00D013F9" w:rsidRDefault="00D013F9" w:rsidP="00D013F9">
            <w:pPr>
              <w:spacing w:before="0" w:after="0" w:line="240" w:lineRule="auto"/>
              <w:jc w:val="right"/>
              <w:rPr>
                <w:rFonts w:ascii="Arial" w:hAnsi="Arial" w:cs="Arial"/>
                <w:b/>
                <w:bCs/>
                <w:sz w:val="16"/>
                <w:szCs w:val="16"/>
              </w:rPr>
            </w:pPr>
            <w:r w:rsidRPr="00D013F9">
              <w:rPr>
                <w:rFonts w:ascii="Arial" w:hAnsi="Arial" w:cs="Arial"/>
                <w:b/>
                <w:bCs/>
                <w:sz w:val="16"/>
                <w:szCs w:val="16"/>
              </w:rPr>
              <w:t> </w:t>
            </w:r>
          </w:p>
        </w:tc>
      </w:tr>
    </w:tbl>
    <w:p w14:paraId="60B62E84" w14:textId="0E0CE397" w:rsidR="002959E6" w:rsidRPr="001F3096" w:rsidRDefault="002959E6">
      <w:pPr>
        <w:pStyle w:val="ChartandTableFootnoteAlpha"/>
        <w:numPr>
          <w:ilvl w:val="0"/>
          <w:numId w:val="10"/>
        </w:numPr>
      </w:pPr>
      <w:r w:rsidRPr="001F3096">
        <w:t>Net financial worth equals total financial assets minus total liabilities.</w:t>
      </w:r>
    </w:p>
    <w:p w14:paraId="48237B28" w14:textId="77777777" w:rsidR="002959E6" w:rsidRPr="001F3096" w:rsidRDefault="002959E6" w:rsidP="001F3096">
      <w:pPr>
        <w:pStyle w:val="ChartandTableFootnoteAlpha"/>
      </w:pPr>
      <w:r w:rsidRPr="001F3096">
        <w:t>Gross debt measures the face value of Australian Government Securities (AGS) on issue.</w:t>
      </w:r>
    </w:p>
    <w:p w14:paraId="14389B61" w14:textId="77777777" w:rsidR="002959E6" w:rsidRPr="001F3096" w:rsidRDefault="002959E6" w:rsidP="001F3096">
      <w:pPr>
        <w:pStyle w:val="ChartandTableFootnoteAlpha"/>
      </w:pPr>
      <w:r w:rsidRPr="001F3096">
        <w:t>Net debt is the sum of interest bearing liabilities (which includes AGS on issue measured at market value) less the sum of selected financial assets (cash and deposits, advances paid and investments, loans and placements).</w:t>
      </w:r>
    </w:p>
    <w:p w14:paraId="5AAD96A7" w14:textId="41444F9B" w:rsidR="006B57C6" w:rsidRPr="006B57C6" w:rsidRDefault="002959E6" w:rsidP="006B57C6">
      <w:pPr>
        <w:pStyle w:val="ChartandTableFootnoteAlpha"/>
      </w:pPr>
      <w:r w:rsidRPr="001F3096">
        <w:t xml:space="preserve">Net interest payments are equal to the difference between interest payments and interest receipts. Net interest payments are largely tied to the existing stock of </w:t>
      </w:r>
      <w:r w:rsidRPr="006B57C6">
        <w:t>Australian</w:t>
      </w:r>
      <w:r w:rsidRPr="001F3096">
        <w:t xml:space="preserve"> Government Securities, meaning there was little change from the </w:t>
      </w:r>
      <w:r w:rsidR="00CB0FA6">
        <w:t>2023</w:t>
      </w:r>
      <w:r w:rsidR="00590D77">
        <w:t>–</w:t>
      </w:r>
      <w:r w:rsidR="00CB0FA6">
        <w:t>24</w:t>
      </w:r>
      <w:r w:rsidRPr="001F3096">
        <w:t xml:space="preserve"> Budget estimates</w:t>
      </w:r>
      <w:r w:rsidR="000D0F58" w:rsidRPr="001F3096">
        <w:t>.</w:t>
      </w:r>
      <w:r w:rsidRPr="001F3096">
        <w:t xml:space="preserve"> </w:t>
      </w:r>
    </w:p>
    <w:sectPr w:rsidR="006B57C6" w:rsidRPr="006B57C6" w:rsidSect="00B84EA4">
      <w:headerReference w:type="even" r:id="rId11"/>
      <w:headerReference w:type="default" r:id="rId12"/>
      <w:footerReference w:type="even" r:id="rId13"/>
      <w:footerReference w:type="default" r:id="rId14"/>
      <w:footerReference w:type="first" r:id="rId15"/>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A688" w14:textId="77777777" w:rsidR="00C32B76" w:rsidRDefault="00C32B76" w:rsidP="00E40261">
      <w:pPr>
        <w:spacing w:after="0" w:line="240" w:lineRule="auto"/>
      </w:pPr>
      <w:r>
        <w:separator/>
      </w:r>
    </w:p>
  </w:endnote>
  <w:endnote w:type="continuationSeparator" w:id="0">
    <w:p w14:paraId="4215F913" w14:textId="77777777" w:rsidR="00C32B76" w:rsidRDefault="00C32B76" w:rsidP="00E40261">
      <w:pPr>
        <w:spacing w:after="0" w:line="240" w:lineRule="auto"/>
      </w:pPr>
      <w:r>
        <w:continuationSeparator/>
      </w:r>
    </w:p>
  </w:endnote>
  <w:endnote w:type="continuationNotice" w:id="1">
    <w:p w14:paraId="271F388B" w14:textId="77777777" w:rsidR="00C32B76" w:rsidRDefault="00C32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CF73" w14:textId="78419A2F" w:rsidR="0099074A" w:rsidRDefault="0099074A"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FE6183">
      <w:fldChar w:fldCharType="begin"/>
    </w:r>
    <w:r w:rsidR="00FE6183">
      <w:instrText>SUBJECT   \* MERGEFORMAT</w:instrText>
    </w:r>
    <w:r w:rsidR="00FE6183">
      <w:fldChar w:fldCharType="separate"/>
    </w:r>
    <w:r w:rsidR="00BE58D0">
      <w:t>Part 1: Australian Government Budget Outcome 2022–23</w:t>
    </w:r>
    <w:r w:rsidR="00FE61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C1F8" w14:textId="2AC263B7" w:rsidR="0099074A" w:rsidRDefault="00FE6183" w:rsidP="002A6A16">
    <w:pPr>
      <w:pStyle w:val="FooterOdd"/>
    </w:pPr>
    <w:r>
      <w:fldChar w:fldCharType="begin"/>
    </w:r>
    <w:r>
      <w:instrText>SUBJECT   \* MERGEFORMAT</w:instrText>
    </w:r>
    <w:r>
      <w:fldChar w:fldCharType="separate"/>
    </w:r>
    <w:r w:rsidR="00BE58D0">
      <w:t>Part 1: Australian Government Budget Outcome 2022–23</w:t>
    </w:r>
    <w:r>
      <w:fldChar w:fldCharType="end"/>
    </w:r>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DABE" w14:textId="62C487C4" w:rsidR="0099074A" w:rsidRPr="00176907" w:rsidRDefault="00FE6183" w:rsidP="00176907">
    <w:pPr>
      <w:pStyle w:val="FooterOdd"/>
    </w:pPr>
    <w:r>
      <w:fldChar w:fldCharType="begin"/>
    </w:r>
    <w:r>
      <w:instrText>SUBJECT   \* MERGEFORMAT</w:instrText>
    </w:r>
    <w:r>
      <w:fldChar w:fldCharType="separate"/>
    </w:r>
    <w:r w:rsidR="00BE58D0">
      <w:t>Part 1: Australian Government Budget Outcome 2022–23</w:t>
    </w:r>
    <w:r>
      <w:fldChar w:fldCharType="end"/>
    </w:r>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2852" w14:textId="77777777" w:rsidR="00C32B76" w:rsidRDefault="00C32B76" w:rsidP="00E40261">
      <w:pPr>
        <w:spacing w:after="0" w:line="240" w:lineRule="auto"/>
      </w:pPr>
      <w:r>
        <w:separator/>
      </w:r>
    </w:p>
  </w:footnote>
  <w:footnote w:type="continuationSeparator" w:id="0">
    <w:p w14:paraId="5A1DA15D" w14:textId="77777777" w:rsidR="00C32B76" w:rsidRDefault="00C32B76" w:rsidP="00E40261">
      <w:pPr>
        <w:spacing w:after="0" w:line="240" w:lineRule="auto"/>
      </w:pPr>
      <w:r>
        <w:continuationSeparator/>
      </w:r>
    </w:p>
  </w:footnote>
  <w:footnote w:type="continuationNotice" w:id="1">
    <w:p w14:paraId="31EC8AB9" w14:textId="77777777" w:rsidR="00C32B76" w:rsidRDefault="00C32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6260A" w14:paraId="078769BE" w14:textId="77777777" w:rsidTr="002A6A16">
      <w:trPr>
        <w:trHeight w:hRule="exact" w:val="340"/>
      </w:trPr>
      <w:tc>
        <w:tcPr>
          <w:tcW w:w="7797" w:type="dxa"/>
        </w:tcPr>
        <w:p w14:paraId="629EF770" w14:textId="3D8E706B" w:rsidR="0056260A" w:rsidRDefault="0056260A" w:rsidP="008F55F8">
          <w:pPr>
            <w:pStyle w:val="HeaderEven"/>
            <w:ind w:left="-113"/>
          </w:pPr>
          <w:r w:rsidRPr="000635BE">
            <w:rPr>
              <w:rFonts w:ascii="Arial Bold" w:hAnsi="Arial Bold"/>
              <w:b/>
              <w:bCs/>
              <w:noProof/>
              <w:position w:val="-10"/>
            </w:rPr>
            <w:drawing>
              <wp:inline distT="0" distB="0" distL="0" distR="0" wp14:anchorId="36652621" wp14:editId="7B81B794">
                <wp:extent cx="988770" cy="225870"/>
                <wp:effectExtent l="0" t="0" r="1905" b="3175"/>
                <wp:docPr id="455" name="Picture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r>
            <w:t xml:space="preserve">  |  </w:t>
          </w:r>
          <w:r w:rsidR="00FE6183">
            <w:fldChar w:fldCharType="begin"/>
          </w:r>
          <w:r w:rsidR="00FE6183">
            <w:instrText>TITLE   \* MERGEFORMAT</w:instrText>
          </w:r>
          <w:r w:rsidR="00FE6183">
            <w:fldChar w:fldCharType="separate"/>
          </w:r>
          <w:r w:rsidR="00BE58D0">
            <w:t>Final Budget Outcome</w:t>
          </w:r>
          <w:r w:rsidR="00FE6183">
            <w:fldChar w:fldCharType="end"/>
          </w:r>
        </w:p>
      </w:tc>
    </w:tr>
  </w:tbl>
  <w:p w14:paraId="70F060A2" w14:textId="238C8E00" w:rsidR="0099074A" w:rsidRPr="00AA5439" w:rsidRDefault="0099074A" w:rsidP="00AA5439">
    <w:pPr>
      <w:pStyle w:val="HeaderEven"/>
      <w:rPr>
        <w:sz w:val="2"/>
        <w:szCs w:val="2"/>
      </w:rPr>
    </w:pPr>
  </w:p>
  <w:p w14:paraId="50B8130C" w14:textId="77777777" w:rsidR="0099074A" w:rsidRPr="007703C7" w:rsidRDefault="0099074A"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6260A" w14:paraId="303B48BC" w14:textId="77777777" w:rsidTr="008276DF">
      <w:trPr>
        <w:trHeight w:hRule="exact" w:val="340"/>
      </w:trPr>
      <w:tc>
        <w:tcPr>
          <w:tcW w:w="7797" w:type="dxa"/>
        </w:tcPr>
        <w:p w14:paraId="11421C10" w14:textId="4CA996ED" w:rsidR="0056260A" w:rsidRDefault="00FE6183" w:rsidP="000635BE">
          <w:pPr>
            <w:pStyle w:val="HeaderOdd"/>
          </w:pPr>
          <w:r>
            <w:fldChar w:fldCharType="begin"/>
          </w:r>
          <w:r>
            <w:instrText>TITLE   \* MERGEFORMAT</w:instrText>
          </w:r>
          <w:r>
            <w:fldChar w:fldCharType="separate"/>
          </w:r>
          <w:r w:rsidR="00BE58D0">
            <w:t>Final Budget Outcome</w:t>
          </w:r>
          <w:r>
            <w:fldChar w:fldCharType="end"/>
          </w:r>
          <w:r w:rsidR="0056260A">
            <w:t xml:space="preserve">  |  </w:t>
          </w:r>
          <w:r w:rsidR="0056260A" w:rsidRPr="000635BE">
            <w:rPr>
              <w:rFonts w:ascii="Arial Bold" w:hAnsi="Arial Bold"/>
              <w:b/>
              <w:bCs/>
              <w:noProof/>
              <w:position w:val="-10"/>
            </w:rPr>
            <w:drawing>
              <wp:inline distT="0" distB="0" distL="0" distR="0" wp14:anchorId="3EF5E80F" wp14:editId="21B6C3C9">
                <wp:extent cx="988770" cy="225870"/>
                <wp:effectExtent l="0" t="0" r="1905" b="3175"/>
                <wp:docPr id="556" name="Picture 5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55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p>
      </w:tc>
    </w:tr>
  </w:tbl>
  <w:p w14:paraId="6D62339A" w14:textId="6507210C" w:rsidR="0099074A" w:rsidRPr="0056260A" w:rsidRDefault="0099074A" w:rsidP="0056260A">
    <w:pPr>
      <w:pStyle w:val="HeaderOdd"/>
      <w:rPr>
        <w:sz w:val="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1EC5123"/>
    <w:multiLevelType w:val="multilevel"/>
    <w:tmpl w:val="E434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EFA24F9"/>
    <w:multiLevelType w:val="hybridMultilevel"/>
    <w:tmpl w:val="A94E87E6"/>
    <w:lvl w:ilvl="0" w:tplc="17C4FA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616A4F"/>
    <w:multiLevelType w:val="multilevel"/>
    <w:tmpl w:val="BB56801A"/>
    <w:lvl w:ilvl="0">
      <w:numFmt w:val="decimal"/>
      <w:lvlText w:val="•"/>
      <w:lvlJc w:val="left"/>
      <w:pPr>
        <w:tabs>
          <w:tab w:val="num" w:pos="567"/>
        </w:tabs>
        <w:ind w:left="567" w:hanging="567"/>
      </w:pPr>
      <w:rPr>
        <w:rFonts w:ascii="Times New Roman" w:hAnsi="Times New Roman" w:cs="Times New Roman"/>
      </w:rPr>
    </w:lvl>
    <w:lvl w:ilvl="1">
      <w:numFmt w:val="decimal"/>
      <w:lvlText w:val="–"/>
      <w:lvlJc w:val="left"/>
      <w:pPr>
        <w:tabs>
          <w:tab w:val="num" w:pos="1134"/>
        </w:tabs>
        <w:ind w:left="1134" w:hanging="567"/>
      </w:pPr>
      <w:rPr>
        <w:rFonts w:ascii="Times New Roman" w:hAnsi="Times New Roman" w:cs="Times New Roman"/>
      </w:rPr>
    </w:lvl>
    <w:lvl w:ilvl="2">
      <w:numFmt w:val="decimal"/>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2E19AC"/>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7" w15:restartNumberingAfterBreak="0">
    <w:nsid w:val="43AA0E74"/>
    <w:multiLevelType w:val="multilevel"/>
    <w:tmpl w:val="412C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B49B7"/>
    <w:multiLevelType w:val="singleLevel"/>
    <w:tmpl w:val="36CA40D0"/>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9" w15:restartNumberingAfterBreak="0">
    <w:nsid w:val="524A303B"/>
    <w:multiLevelType w:val="hybridMultilevel"/>
    <w:tmpl w:val="25047FFC"/>
    <w:lvl w:ilvl="0" w:tplc="89EECFA4">
      <w:start w:val="1"/>
      <w:numFmt w:val="bullet"/>
      <w:lvlText w:val="•"/>
      <w:lvlJc w:val="left"/>
      <w:pPr>
        <w:ind w:left="720" w:hanging="360"/>
      </w:pPr>
      <w:rPr>
        <w:rFonts w:ascii="Cambria" w:hAnsi="Cambria" w:hint="default"/>
      </w:rPr>
    </w:lvl>
    <w:lvl w:ilvl="1" w:tplc="3B7EAC64">
      <w:start w:val="1"/>
      <w:numFmt w:val="bullet"/>
      <w:lvlText w:val="o"/>
      <w:lvlJc w:val="left"/>
      <w:pPr>
        <w:ind w:left="1440" w:hanging="360"/>
      </w:pPr>
      <w:rPr>
        <w:rFonts w:ascii="Courier New" w:hAnsi="Courier New" w:hint="default"/>
      </w:rPr>
    </w:lvl>
    <w:lvl w:ilvl="2" w:tplc="F2D2EC60">
      <w:start w:val="1"/>
      <w:numFmt w:val="bullet"/>
      <w:lvlText w:val=""/>
      <w:lvlJc w:val="left"/>
      <w:pPr>
        <w:ind w:left="2160" w:hanging="360"/>
      </w:pPr>
      <w:rPr>
        <w:rFonts w:ascii="Wingdings" w:hAnsi="Wingdings" w:hint="default"/>
      </w:rPr>
    </w:lvl>
    <w:lvl w:ilvl="3" w:tplc="B3C29EB0">
      <w:start w:val="1"/>
      <w:numFmt w:val="bullet"/>
      <w:lvlText w:val=""/>
      <w:lvlJc w:val="left"/>
      <w:pPr>
        <w:ind w:left="2880" w:hanging="360"/>
      </w:pPr>
      <w:rPr>
        <w:rFonts w:ascii="Symbol" w:hAnsi="Symbol" w:hint="default"/>
      </w:rPr>
    </w:lvl>
    <w:lvl w:ilvl="4" w:tplc="73969D90">
      <w:start w:val="1"/>
      <w:numFmt w:val="bullet"/>
      <w:lvlText w:val="o"/>
      <w:lvlJc w:val="left"/>
      <w:pPr>
        <w:ind w:left="3600" w:hanging="360"/>
      </w:pPr>
      <w:rPr>
        <w:rFonts w:ascii="Courier New" w:hAnsi="Courier New" w:hint="default"/>
      </w:rPr>
    </w:lvl>
    <w:lvl w:ilvl="5" w:tplc="2FBA7178">
      <w:start w:val="1"/>
      <w:numFmt w:val="bullet"/>
      <w:lvlText w:val=""/>
      <w:lvlJc w:val="left"/>
      <w:pPr>
        <w:ind w:left="4320" w:hanging="360"/>
      </w:pPr>
      <w:rPr>
        <w:rFonts w:ascii="Wingdings" w:hAnsi="Wingdings" w:hint="default"/>
      </w:rPr>
    </w:lvl>
    <w:lvl w:ilvl="6" w:tplc="8A9CE552">
      <w:start w:val="1"/>
      <w:numFmt w:val="bullet"/>
      <w:lvlText w:val=""/>
      <w:lvlJc w:val="left"/>
      <w:pPr>
        <w:ind w:left="5040" w:hanging="360"/>
      </w:pPr>
      <w:rPr>
        <w:rFonts w:ascii="Symbol" w:hAnsi="Symbol" w:hint="default"/>
      </w:rPr>
    </w:lvl>
    <w:lvl w:ilvl="7" w:tplc="0FF68E0E">
      <w:start w:val="1"/>
      <w:numFmt w:val="bullet"/>
      <w:lvlText w:val="o"/>
      <w:lvlJc w:val="left"/>
      <w:pPr>
        <w:ind w:left="5760" w:hanging="360"/>
      </w:pPr>
      <w:rPr>
        <w:rFonts w:ascii="Courier New" w:hAnsi="Courier New" w:hint="default"/>
      </w:rPr>
    </w:lvl>
    <w:lvl w:ilvl="8" w:tplc="195E876A">
      <w:start w:val="1"/>
      <w:numFmt w:val="bullet"/>
      <w:lvlText w:val=""/>
      <w:lvlJc w:val="left"/>
      <w:pPr>
        <w:ind w:left="6480" w:hanging="360"/>
      </w:pPr>
      <w:rPr>
        <w:rFonts w:ascii="Wingdings" w:hAnsi="Wingdings" w:hint="default"/>
      </w:rPr>
    </w:lvl>
  </w:abstractNum>
  <w:abstractNum w:abstractNumId="10" w15:restartNumberingAfterBreak="0">
    <w:nsid w:val="58B60B8B"/>
    <w:multiLevelType w:val="singleLevel"/>
    <w:tmpl w:val="D8C6BBB2"/>
    <w:lvl w:ilvl="0">
      <w:start w:val="1"/>
      <w:numFmt w:val="lowerLetter"/>
      <w:lvlText w:val="(%1)"/>
      <w:lvlJc w:val="left"/>
      <w:pPr>
        <w:ind w:left="360" w:hanging="360"/>
      </w:pPr>
      <w:rPr>
        <w:rFonts w:hint="default"/>
        <w:b w:val="0"/>
        <w:i w:val="0"/>
        <w:color w:val="000000"/>
        <w:sz w:val="16"/>
      </w:rPr>
    </w:lvl>
  </w:abstractNum>
  <w:abstractNum w:abstractNumId="11" w15:restartNumberingAfterBreak="0">
    <w:nsid w:val="61A71A9A"/>
    <w:multiLevelType w:val="multilevel"/>
    <w:tmpl w:val="654CA8F8"/>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72B717D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C593808"/>
    <w:multiLevelType w:val="multilevel"/>
    <w:tmpl w:val="8F180622"/>
    <w:name w:val="StandardBulletedList"/>
    <w:lvl w:ilvl="0">
      <w:start w:val="1"/>
      <w:numFmt w:val="bullet"/>
      <w:lvlText w:val="•"/>
      <w:lvlJc w:val="left"/>
      <w:pPr>
        <w:tabs>
          <w:tab w:val="num" w:pos="520"/>
        </w:tabs>
        <w:ind w:left="520" w:hanging="520"/>
      </w:pPr>
      <w:rPr>
        <w:rFonts w:ascii="Cambria" w:hAnsi="Cambria" w:cs="Cambria"/>
      </w:rPr>
    </w:lvl>
    <w:lvl w:ilvl="1">
      <w:start w:val="1"/>
      <w:numFmt w:val="bullet"/>
      <w:lvlText w:val="–"/>
      <w:lvlJc w:val="left"/>
      <w:pPr>
        <w:tabs>
          <w:tab w:val="num" w:pos="1040"/>
        </w:tabs>
        <w:ind w:left="1040" w:hanging="520"/>
      </w:pPr>
      <w:rPr>
        <w:rFonts w:ascii="Cambria" w:hAnsi="Cambria" w:cs="Cambria"/>
      </w:rPr>
    </w:lvl>
    <w:lvl w:ilvl="2">
      <w:start w:val="1"/>
      <w:numFmt w:val="bullet"/>
      <w:lvlText w:val=":"/>
      <w:lvlJc w:val="left"/>
      <w:pPr>
        <w:tabs>
          <w:tab w:val="num" w:pos="1560"/>
        </w:tabs>
        <w:ind w:left="1560" w:hanging="520"/>
      </w:pPr>
      <w:rPr>
        <w:rFonts w:ascii="Cambria" w:hAnsi="Cambria" w:cs="Cambri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
  </w:num>
  <w:num w:numId="3">
    <w:abstractNumId w:val="0"/>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3"/>
  </w:num>
  <w:num w:numId="15">
    <w:abstractNumId w:val="9"/>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4"/>
  </w:num>
  <w:num w:numId="22">
    <w:abstractNumId w:val="14"/>
  </w:num>
  <w:num w:numId="23">
    <w:abstractNumId w:val="2"/>
  </w:num>
  <w:num w:numId="24">
    <w:abstractNumId w:val="7"/>
  </w:num>
  <w:num w:numId="25">
    <w:abstractNumId w:val="6"/>
    <w:lvlOverride w:ilvl="0">
      <w:startOverride w:val="1"/>
    </w:lvlOverride>
  </w:num>
  <w:num w:numId="26">
    <w:abstractNumId w:val="6"/>
    <w:lvlOverride w:ilvl="0">
      <w:startOverride w:val="1"/>
    </w:lvlOverride>
  </w:num>
  <w:num w:numId="27">
    <w:abstractNumId w:val="13"/>
  </w:num>
  <w:num w:numId="2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10"/>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comment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2959E6"/>
    <w:rsid w:val="00000777"/>
    <w:rsid w:val="000009AE"/>
    <w:rsid w:val="00000ADB"/>
    <w:rsid w:val="00001CB3"/>
    <w:rsid w:val="0000213A"/>
    <w:rsid w:val="0000228B"/>
    <w:rsid w:val="00002387"/>
    <w:rsid w:val="000027C2"/>
    <w:rsid w:val="0000286F"/>
    <w:rsid w:val="00002AE1"/>
    <w:rsid w:val="00002B8B"/>
    <w:rsid w:val="000036D2"/>
    <w:rsid w:val="00003B4E"/>
    <w:rsid w:val="00004669"/>
    <w:rsid w:val="00004A5B"/>
    <w:rsid w:val="000057DB"/>
    <w:rsid w:val="00005A6A"/>
    <w:rsid w:val="000068FA"/>
    <w:rsid w:val="00007402"/>
    <w:rsid w:val="00007509"/>
    <w:rsid w:val="00007AF6"/>
    <w:rsid w:val="00007F69"/>
    <w:rsid w:val="00010610"/>
    <w:rsid w:val="0001067D"/>
    <w:rsid w:val="00010C02"/>
    <w:rsid w:val="00011DBB"/>
    <w:rsid w:val="00011FE2"/>
    <w:rsid w:val="00012100"/>
    <w:rsid w:val="000121AD"/>
    <w:rsid w:val="00012CA8"/>
    <w:rsid w:val="00012F85"/>
    <w:rsid w:val="0001318C"/>
    <w:rsid w:val="00013414"/>
    <w:rsid w:val="00013B65"/>
    <w:rsid w:val="00013EA8"/>
    <w:rsid w:val="00014525"/>
    <w:rsid w:val="000150D8"/>
    <w:rsid w:val="00015185"/>
    <w:rsid w:val="00015435"/>
    <w:rsid w:val="00015536"/>
    <w:rsid w:val="0001613E"/>
    <w:rsid w:val="00016432"/>
    <w:rsid w:val="00016B4A"/>
    <w:rsid w:val="000176D3"/>
    <w:rsid w:val="00020ACF"/>
    <w:rsid w:val="00020C25"/>
    <w:rsid w:val="000210FE"/>
    <w:rsid w:val="00022BC5"/>
    <w:rsid w:val="00022C09"/>
    <w:rsid w:val="000237C3"/>
    <w:rsid w:val="000241F1"/>
    <w:rsid w:val="0002421F"/>
    <w:rsid w:val="000244A3"/>
    <w:rsid w:val="0002477A"/>
    <w:rsid w:val="00024A0A"/>
    <w:rsid w:val="000260F0"/>
    <w:rsid w:val="00026607"/>
    <w:rsid w:val="000274A5"/>
    <w:rsid w:val="0002769E"/>
    <w:rsid w:val="00027918"/>
    <w:rsid w:val="00027B2D"/>
    <w:rsid w:val="00027C08"/>
    <w:rsid w:val="00027D5E"/>
    <w:rsid w:val="00027EC4"/>
    <w:rsid w:val="000302A9"/>
    <w:rsid w:val="00030569"/>
    <w:rsid w:val="0003066A"/>
    <w:rsid w:val="00030A66"/>
    <w:rsid w:val="00030BB6"/>
    <w:rsid w:val="00031608"/>
    <w:rsid w:val="00031638"/>
    <w:rsid w:val="00031AF7"/>
    <w:rsid w:val="00032770"/>
    <w:rsid w:val="00032D25"/>
    <w:rsid w:val="00032E41"/>
    <w:rsid w:val="00032F0A"/>
    <w:rsid w:val="00033286"/>
    <w:rsid w:val="00033614"/>
    <w:rsid w:val="00033C32"/>
    <w:rsid w:val="00033C37"/>
    <w:rsid w:val="00034C71"/>
    <w:rsid w:val="00034D27"/>
    <w:rsid w:val="00034DB3"/>
    <w:rsid w:val="000359BC"/>
    <w:rsid w:val="00035D8D"/>
    <w:rsid w:val="0003716C"/>
    <w:rsid w:val="0003799A"/>
    <w:rsid w:val="00037A83"/>
    <w:rsid w:val="00037CAC"/>
    <w:rsid w:val="000401E1"/>
    <w:rsid w:val="0004080D"/>
    <w:rsid w:val="00040EB0"/>
    <w:rsid w:val="00041B06"/>
    <w:rsid w:val="00042349"/>
    <w:rsid w:val="00042F24"/>
    <w:rsid w:val="0004361F"/>
    <w:rsid w:val="00043810"/>
    <w:rsid w:val="0004389D"/>
    <w:rsid w:val="00043FFE"/>
    <w:rsid w:val="00044424"/>
    <w:rsid w:val="000444E2"/>
    <w:rsid w:val="0004503B"/>
    <w:rsid w:val="00045D2C"/>
    <w:rsid w:val="000460DC"/>
    <w:rsid w:val="00046DA4"/>
    <w:rsid w:val="0004703F"/>
    <w:rsid w:val="00050438"/>
    <w:rsid w:val="000506CA"/>
    <w:rsid w:val="00050EB6"/>
    <w:rsid w:val="00050EB7"/>
    <w:rsid w:val="000519BB"/>
    <w:rsid w:val="00052AF8"/>
    <w:rsid w:val="000538A0"/>
    <w:rsid w:val="000538CA"/>
    <w:rsid w:val="00053A5A"/>
    <w:rsid w:val="00053C07"/>
    <w:rsid w:val="000540B9"/>
    <w:rsid w:val="00054441"/>
    <w:rsid w:val="00054CD4"/>
    <w:rsid w:val="00054DFD"/>
    <w:rsid w:val="00055493"/>
    <w:rsid w:val="000555EA"/>
    <w:rsid w:val="00055657"/>
    <w:rsid w:val="0005633F"/>
    <w:rsid w:val="00056994"/>
    <w:rsid w:val="000601C1"/>
    <w:rsid w:val="0006200E"/>
    <w:rsid w:val="000622DA"/>
    <w:rsid w:val="000635BE"/>
    <w:rsid w:val="00064269"/>
    <w:rsid w:val="0006516F"/>
    <w:rsid w:val="00065C7A"/>
    <w:rsid w:val="00065EE3"/>
    <w:rsid w:val="000663DA"/>
    <w:rsid w:val="00066C1B"/>
    <w:rsid w:val="000701C2"/>
    <w:rsid w:val="0007055F"/>
    <w:rsid w:val="000706E3"/>
    <w:rsid w:val="00070AFC"/>
    <w:rsid w:val="00070C12"/>
    <w:rsid w:val="00071224"/>
    <w:rsid w:val="0007155B"/>
    <w:rsid w:val="00071561"/>
    <w:rsid w:val="00071D23"/>
    <w:rsid w:val="00072113"/>
    <w:rsid w:val="000729F8"/>
    <w:rsid w:val="000734F9"/>
    <w:rsid w:val="00073640"/>
    <w:rsid w:val="00074DAD"/>
    <w:rsid w:val="00074FEB"/>
    <w:rsid w:val="0007517A"/>
    <w:rsid w:val="00075AD9"/>
    <w:rsid w:val="00076AF9"/>
    <w:rsid w:val="00076F57"/>
    <w:rsid w:val="00077632"/>
    <w:rsid w:val="00077E4A"/>
    <w:rsid w:val="000813A7"/>
    <w:rsid w:val="000818E1"/>
    <w:rsid w:val="00081FEE"/>
    <w:rsid w:val="0008293C"/>
    <w:rsid w:val="00082FB9"/>
    <w:rsid w:val="0008365A"/>
    <w:rsid w:val="000855DE"/>
    <w:rsid w:val="00085778"/>
    <w:rsid w:val="00085EA2"/>
    <w:rsid w:val="000869D4"/>
    <w:rsid w:val="0008713B"/>
    <w:rsid w:val="0008729B"/>
    <w:rsid w:val="00087B12"/>
    <w:rsid w:val="000900B2"/>
    <w:rsid w:val="00090F94"/>
    <w:rsid w:val="00090FC2"/>
    <w:rsid w:val="000913FB"/>
    <w:rsid w:val="0009191D"/>
    <w:rsid w:val="000919D7"/>
    <w:rsid w:val="00091A4B"/>
    <w:rsid w:val="00092164"/>
    <w:rsid w:val="000933B6"/>
    <w:rsid w:val="000937B6"/>
    <w:rsid w:val="00093B71"/>
    <w:rsid w:val="00094148"/>
    <w:rsid w:val="000942E4"/>
    <w:rsid w:val="00094502"/>
    <w:rsid w:val="00094E08"/>
    <w:rsid w:val="0009528A"/>
    <w:rsid w:val="00095977"/>
    <w:rsid w:val="00095AE0"/>
    <w:rsid w:val="00095B8D"/>
    <w:rsid w:val="0009681E"/>
    <w:rsid w:val="00096BB1"/>
    <w:rsid w:val="00096D93"/>
    <w:rsid w:val="000A000E"/>
    <w:rsid w:val="000A066A"/>
    <w:rsid w:val="000A13F3"/>
    <w:rsid w:val="000A18CE"/>
    <w:rsid w:val="000A1A32"/>
    <w:rsid w:val="000A28F5"/>
    <w:rsid w:val="000A2AA7"/>
    <w:rsid w:val="000A2C6F"/>
    <w:rsid w:val="000A2F47"/>
    <w:rsid w:val="000A34FE"/>
    <w:rsid w:val="000A4204"/>
    <w:rsid w:val="000A5D29"/>
    <w:rsid w:val="000A6148"/>
    <w:rsid w:val="000A6EB2"/>
    <w:rsid w:val="000A714C"/>
    <w:rsid w:val="000A7484"/>
    <w:rsid w:val="000B02F5"/>
    <w:rsid w:val="000B0B22"/>
    <w:rsid w:val="000B136D"/>
    <w:rsid w:val="000B1F67"/>
    <w:rsid w:val="000B24A0"/>
    <w:rsid w:val="000B2EFD"/>
    <w:rsid w:val="000B30F6"/>
    <w:rsid w:val="000B3716"/>
    <w:rsid w:val="000B45B2"/>
    <w:rsid w:val="000B540E"/>
    <w:rsid w:val="000B55ED"/>
    <w:rsid w:val="000B579E"/>
    <w:rsid w:val="000B618F"/>
    <w:rsid w:val="000B6963"/>
    <w:rsid w:val="000B712B"/>
    <w:rsid w:val="000B74B3"/>
    <w:rsid w:val="000B7C1F"/>
    <w:rsid w:val="000B7FB9"/>
    <w:rsid w:val="000C0381"/>
    <w:rsid w:val="000C2A18"/>
    <w:rsid w:val="000C2BF4"/>
    <w:rsid w:val="000C3016"/>
    <w:rsid w:val="000C48D6"/>
    <w:rsid w:val="000C4EBC"/>
    <w:rsid w:val="000C4EE8"/>
    <w:rsid w:val="000C5916"/>
    <w:rsid w:val="000C5A26"/>
    <w:rsid w:val="000C5D33"/>
    <w:rsid w:val="000C6A8B"/>
    <w:rsid w:val="000C6C6C"/>
    <w:rsid w:val="000C70E8"/>
    <w:rsid w:val="000C7BE4"/>
    <w:rsid w:val="000D028B"/>
    <w:rsid w:val="000D046E"/>
    <w:rsid w:val="000D0632"/>
    <w:rsid w:val="000D0F58"/>
    <w:rsid w:val="000D106A"/>
    <w:rsid w:val="000D17C1"/>
    <w:rsid w:val="000D1828"/>
    <w:rsid w:val="000D1847"/>
    <w:rsid w:val="000D1FDC"/>
    <w:rsid w:val="000D2631"/>
    <w:rsid w:val="000D2EC5"/>
    <w:rsid w:val="000D377E"/>
    <w:rsid w:val="000D3A9D"/>
    <w:rsid w:val="000D422B"/>
    <w:rsid w:val="000D4253"/>
    <w:rsid w:val="000D5F37"/>
    <w:rsid w:val="000D6080"/>
    <w:rsid w:val="000D6556"/>
    <w:rsid w:val="000D6D04"/>
    <w:rsid w:val="000E00B3"/>
    <w:rsid w:val="000E0525"/>
    <w:rsid w:val="000E05A6"/>
    <w:rsid w:val="000E0727"/>
    <w:rsid w:val="000E0BA8"/>
    <w:rsid w:val="000E105B"/>
    <w:rsid w:val="000E1106"/>
    <w:rsid w:val="000E1183"/>
    <w:rsid w:val="000E11B3"/>
    <w:rsid w:val="000E1215"/>
    <w:rsid w:val="000E1484"/>
    <w:rsid w:val="000E149B"/>
    <w:rsid w:val="000E16F5"/>
    <w:rsid w:val="000E1754"/>
    <w:rsid w:val="000E1FE7"/>
    <w:rsid w:val="000E2104"/>
    <w:rsid w:val="000E22E9"/>
    <w:rsid w:val="000E2BA0"/>
    <w:rsid w:val="000E2BF8"/>
    <w:rsid w:val="000E2C38"/>
    <w:rsid w:val="000E2D4A"/>
    <w:rsid w:val="000E3277"/>
    <w:rsid w:val="000E3487"/>
    <w:rsid w:val="000E3CBA"/>
    <w:rsid w:val="000E4045"/>
    <w:rsid w:val="000E4F0E"/>
    <w:rsid w:val="000E56F4"/>
    <w:rsid w:val="000E571D"/>
    <w:rsid w:val="000E5737"/>
    <w:rsid w:val="000E5745"/>
    <w:rsid w:val="000E5B38"/>
    <w:rsid w:val="000E5CC0"/>
    <w:rsid w:val="000E622E"/>
    <w:rsid w:val="000E674B"/>
    <w:rsid w:val="000E67D4"/>
    <w:rsid w:val="000E720B"/>
    <w:rsid w:val="000E73B4"/>
    <w:rsid w:val="000E762F"/>
    <w:rsid w:val="000F091E"/>
    <w:rsid w:val="000F0CF8"/>
    <w:rsid w:val="000F125B"/>
    <w:rsid w:val="000F235E"/>
    <w:rsid w:val="000F256F"/>
    <w:rsid w:val="000F262B"/>
    <w:rsid w:val="000F2AC2"/>
    <w:rsid w:val="000F2B41"/>
    <w:rsid w:val="000F36FE"/>
    <w:rsid w:val="000F40E8"/>
    <w:rsid w:val="000F551F"/>
    <w:rsid w:val="000F59D2"/>
    <w:rsid w:val="000F5AE0"/>
    <w:rsid w:val="000F6052"/>
    <w:rsid w:val="000F6E45"/>
    <w:rsid w:val="000F7349"/>
    <w:rsid w:val="000F7A2C"/>
    <w:rsid w:val="000F7E48"/>
    <w:rsid w:val="00100A72"/>
    <w:rsid w:val="00100F17"/>
    <w:rsid w:val="0010112C"/>
    <w:rsid w:val="00101997"/>
    <w:rsid w:val="00101D5A"/>
    <w:rsid w:val="00102506"/>
    <w:rsid w:val="00102C2F"/>
    <w:rsid w:val="00103599"/>
    <w:rsid w:val="0010372F"/>
    <w:rsid w:val="00103F4F"/>
    <w:rsid w:val="00103F65"/>
    <w:rsid w:val="00104186"/>
    <w:rsid w:val="001046A4"/>
    <w:rsid w:val="00104F9B"/>
    <w:rsid w:val="00105DBF"/>
    <w:rsid w:val="00105E7B"/>
    <w:rsid w:val="00106175"/>
    <w:rsid w:val="001061B1"/>
    <w:rsid w:val="0010673A"/>
    <w:rsid w:val="00107C53"/>
    <w:rsid w:val="00110598"/>
    <w:rsid w:val="00110681"/>
    <w:rsid w:val="00110AB7"/>
    <w:rsid w:val="00110DE1"/>
    <w:rsid w:val="0011134A"/>
    <w:rsid w:val="0011175D"/>
    <w:rsid w:val="001118D2"/>
    <w:rsid w:val="0011304E"/>
    <w:rsid w:val="00113D52"/>
    <w:rsid w:val="00114EE9"/>
    <w:rsid w:val="001155AC"/>
    <w:rsid w:val="00116305"/>
    <w:rsid w:val="00116339"/>
    <w:rsid w:val="001163D8"/>
    <w:rsid w:val="00116A0B"/>
    <w:rsid w:val="00116AD4"/>
    <w:rsid w:val="00116CE2"/>
    <w:rsid w:val="00117140"/>
    <w:rsid w:val="00117976"/>
    <w:rsid w:val="00117DBE"/>
    <w:rsid w:val="001204A9"/>
    <w:rsid w:val="00120548"/>
    <w:rsid w:val="00120A64"/>
    <w:rsid w:val="00120EE8"/>
    <w:rsid w:val="001214E0"/>
    <w:rsid w:val="00122237"/>
    <w:rsid w:val="00124439"/>
    <w:rsid w:val="0012449C"/>
    <w:rsid w:val="00125CEB"/>
    <w:rsid w:val="001260AA"/>
    <w:rsid w:val="00126309"/>
    <w:rsid w:val="001264B5"/>
    <w:rsid w:val="00126CB7"/>
    <w:rsid w:val="00126E6F"/>
    <w:rsid w:val="00127057"/>
    <w:rsid w:val="00127248"/>
    <w:rsid w:val="00127E32"/>
    <w:rsid w:val="001303BB"/>
    <w:rsid w:val="001305B8"/>
    <w:rsid w:val="001307A9"/>
    <w:rsid w:val="00130C1D"/>
    <w:rsid w:val="00130D67"/>
    <w:rsid w:val="001310AA"/>
    <w:rsid w:val="00131808"/>
    <w:rsid w:val="001323DD"/>
    <w:rsid w:val="00132969"/>
    <w:rsid w:val="00132CF7"/>
    <w:rsid w:val="00132FA6"/>
    <w:rsid w:val="00133164"/>
    <w:rsid w:val="00133858"/>
    <w:rsid w:val="00133D59"/>
    <w:rsid w:val="00134174"/>
    <w:rsid w:val="00134D3E"/>
    <w:rsid w:val="00134ED9"/>
    <w:rsid w:val="00134FB7"/>
    <w:rsid w:val="00135504"/>
    <w:rsid w:val="00135D9A"/>
    <w:rsid w:val="00135E3D"/>
    <w:rsid w:val="001363B2"/>
    <w:rsid w:val="0013727F"/>
    <w:rsid w:val="00137ACF"/>
    <w:rsid w:val="00137CDB"/>
    <w:rsid w:val="00137E95"/>
    <w:rsid w:val="00140735"/>
    <w:rsid w:val="001409D8"/>
    <w:rsid w:val="00140DAB"/>
    <w:rsid w:val="0014116A"/>
    <w:rsid w:val="001416F3"/>
    <w:rsid w:val="00141C71"/>
    <w:rsid w:val="00142C3D"/>
    <w:rsid w:val="001433E5"/>
    <w:rsid w:val="00143AA7"/>
    <w:rsid w:val="00143CEC"/>
    <w:rsid w:val="001449C9"/>
    <w:rsid w:val="00144AA3"/>
    <w:rsid w:val="001458F0"/>
    <w:rsid w:val="00145988"/>
    <w:rsid w:val="001461E5"/>
    <w:rsid w:val="0014621D"/>
    <w:rsid w:val="00146CEB"/>
    <w:rsid w:val="00150407"/>
    <w:rsid w:val="00150C07"/>
    <w:rsid w:val="001510DF"/>
    <w:rsid w:val="001514CD"/>
    <w:rsid w:val="0015246E"/>
    <w:rsid w:val="0015315E"/>
    <w:rsid w:val="00153C82"/>
    <w:rsid w:val="0015465C"/>
    <w:rsid w:val="00155017"/>
    <w:rsid w:val="0015505B"/>
    <w:rsid w:val="00155707"/>
    <w:rsid w:val="0015739F"/>
    <w:rsid w:val="00157A88"/>
    <w:rsid w:val="00157EA7"/>
    <w:rsid w:val="00160194"/>
    <w:rsid w:val="00160244"/>
    <w:rsid w:val="00160AE2"/>
    <w:rsid w:val="00160E65"/>
    <w:rsid w:val="0016167B"/>
    <w:rsid w:val="0016230E"/>
    <w:rsid w:val="0016237A"/>
    <w:rsid w:val="00162752"/>
    <w:rsid w:val="00162B1A"/>
    <w:rsid w:val="00163B0D"/>
    <w:rsid w:val="00163DA6"/>
    <w:rsid w:val="001645BF"/>
    <w:rsid w:val="0016473D"/>
    <w:rsid w:val="00164946"/>
    <w:rsid w:val="001650F0"/>
    <w:rsid w:val="00165738"/>
    <w:rsid w:val="00165853"/>
    <w:rsid w:val="00165C09"/>
    <w:rsid w:val="00165F3A"/>
    <w:rsid w:val="00166D9A"/>
    <w:rsid w:val="00167944"/>
    <w:rsid w:val="0017126D"/>
    <w:rsid w:val="0017143F"/>
    <w:rsid w:val="00171EBF"/>
    <w:rsid w:val="0017225E"/>
    <w:rsid w:val="00172423"/>
    <w:rsid w:val="00172554"/>
    <w:rsid w:val="00172CFE"/>
    <w:rsid w:val="00173162"/>
    <w:rsid w:val="00173197"/>
    <w:rsid w:val="001737F3"/>
    <w:rsid w:val="001738FA"/>
    <w:rsid w:val="00173E19"/>
    <w:rsid w:val="0017460E"/>
    <w:rsid w:val="00174B03"/>
    <w:rsid w:val="00174BED"/>
    <w:rsid w:val="00174C0A"/>
    <w:rsid w:val="00175571"/>
    <w:rsid w:val="0017560C"/>
    <w:rsid w:val="0017560E"/>
    <w:rsid w:val="0017564A"/>
    <w:rsid w:val="00175F54"/>
    <w:rsid w:val="00175FE9"/>
    <w:rsid w:val="001760F4"/>
    <w:rsid w:val="00176907"/>
    <w:rsid w:val="00176C19"/>
    <w:rsid w:val="00177754"/>
    <w:rsid w:val="001779E3"/>
    <w:rsid w:val="00180412"/>
    <w:rsid w:val="001817EA"/>
    <w:rsid w:val="00182A50"/>
    <w:rsid w:val="00182EB7"/>
    <w:rsid w:val="00182F0C"/>
    <w:rsid w:val="00182FB3"/>
    <w:rsid w:val="00183304"/>
    <w:rsid w:val="00183473"/>
    <w:rsid w:val="00183972"/>
    <w:rsid w:val="00184794"/>
    <w:rsid w:val="001848C3"/>
    <w:rsid w:val="001848C5"/>
    <w:rsid w:val="001875F3"/>
    <w:rsid w:val="0018767E"/>
    <w:rsid w:val="001877ED"/>
    <w:rsid w:val="00187D40"/>
    <w:rsid w:val="001902EA"/>
    <w:rsid w:val="00190DEE"/>
    <w:rsid w:val="00190EF4"/>
    <w:rsid w:val="0019115B"/>
    <w:rsid w:val="00191626"/>
    <w:rsid w:val="00191C90"/>
    <w:rsid w:val="00194495"/>
    <w:rsid w:val="00195A09"/>
    <w:rsid w:val="001970E6"/>
    <w:rsid w:val="00197777"/>
    <w:rsid w:val="00197C53"/>
    <w:rsid w:val="001A04F1"/>
    <w:rsid w:val="001A0D30"/>
    <w:rsid w:val="001A0DE1"/>
    <w:rsid w:val="001A169F"/>
    <w:rsid w:val="001A1957"/>
    <w:rsid w:val="001A1D99"/>
    <w:rsid w:val="001A1EA7"/>
    <w:rsid w:val="001A282F"/>
    <w:rsid w:val="001A2EB8"/>
    <w:rsid w:val="001A2F72"/>
    <w:rsid w:val="001A3265"/>
    <w:rsid w:val="001A34DC"/>
    <w:rsid w:val="001A4398"/>
    <w:rsid w:val="001A5333"/>
    <w:rsid w:val="001A576D"/>
    <w:rsid w:val="001A5C36"/>
    <w:rsid w:val="001A5C37"/>
    <w:rsid w:val="001A60D8"/>
    <w:rsid w:val="001A6A84"/>
    <w:rsid w:val="001A744F"/>
    <w:rsid w:val="001A75FF"/>
    <w:rsid w:val="001A7C3B"/>
    <w:rsid w:val="001B06C5"/>
    <w:rsid w:val="001B203C"/>
    <w:rsid w:val="001B24B6"/>
    <w:rsid w:val="001B2C34"/>
    <w:rsid w:val="001B3193"/>
    <w:rsid w:val="001B38EF"/>
    <w:rsid w:val="001B3B88"/>
    <w:rsid w:val="001B4D39"/>
    <w:rsid w:val="001B533D"/>
    <w:rsid w:val="001B560F"/>
    <w:rsid w:val="001B6223"/>
    <w:rsid w:val="001B6C31"/>
    <w:rsid w:val="001B6C67"/>
    <w:rsid w:val="001B6EB8"/>
    <w:rsid w:val="001B782D"/>
    <w:rsid w:val="001B7BC5"/>
    <w:rsid w:val="001C1319"/>
    <w:rsid w:val="001C144C"/>
    <w:rsid w:val="001C23CB"/>
    <w:rsid w:val="001C2973"/>
    <w:rsid w:val="001C29BA"/>
    <w:rsid w:val="001C2DE7"/>
    <w:rsid w:val="001C43AA"/>
    <w:rsid w:val="001C4482"/>
    <w:rsid w:val="001C4785"/>
    <w:rsid w:val="001C4A27"/>
    <w:rsid w:val="001C5409"/>
    <w:rsid w:val="001C5530"/>
    <w:rsid w:val="001C557B"/>
    <w:rsid w:val="001C5F01"/>
    <w:rsid w:val="001C6218"/>
    <w:rsid w:val="001C689B"/>
    <w:rsid w:val="001C6A76"/>
    <w:rsid w:val="001C6D6B"/>
    <w:rsid w:val="001C7333"/>
    <w:rsid w:val="001C7618"/>
    <w:rsid w:val="001C7702"/>
    <w:rsid w:val="001C7830"/>
    <w:rsid w:val="001C7C9B"/>
    <w:rsid w:val="001C7CB2"/>
    <w:rsid w:val="001D0FB7"/>
    <w:rsid w:val="001D167A"/>
    <w:rsid w:val="001D197D"/>
    <w:rsid w:val="001D1E0E"/>
    <w:rsid w:val="001D2B19"/>
    <w:rsid w:val="001D33D6"/>
    <w:rsid w:val="001D35FC"/>
    <w:rsid w:val="001D386F"/>
    <w:rsid w:val="001D3C2C"/>
    <w:rsid w:val="001D3EED"/>
    <w:rsid w:val="001D402D"/>
    <w:rsid w:val="001D4914"/>
    <w:rsid w:val="001D4BD5"/>
    <w:rsid w:val="001D5EB8"/>
    <w:rsid w:val="001D6BFE"/>
    <w:rsid w:val="001D73C5"/>
    <w:rsid w:val="001D75E1"/>
    <w:rsid w:val="001D7B9A"/>
    <w:rsid w:val="001E027C"/>
    <w:rsid w:val="001E0E63"/>
    <w:rsid w:val="001E11C9"/>
    <w:rsid w:val="001E12AB"/>
    <w:rsid w:val="001E13AD"/>
    <w:rsid w:val="001E1E16"/>
    <w:rsid w:val="001E2215"/>
    <w:rsid w:val="001E2B03"/>
    <w:rsid w:val="001E3AAC"/>
    <w:rsid w:val="001E43D4"/>
    <w:rsid w:val="001E4493"/>
    <w:rsid w:val="001E5320"/>
    <w:rsid w:val="001E561E"/>
    <w:rsid w:val="001E58DB"/>
    <w:rsid w:val="001E5B1D"/>
    <w:rsid w:val="001E6097"/>
    <w:rsid w:val="001E635A"/>
    <w:rsid w:val="001E664A"/>
    <w:rsid w:val="001E76ED"/>
    <w:rsid w:val="001F08E1"/>
    <w:rsid w:val="001F10BE"/>
    <w:rsid w:val="001F26FC"/>
    <w:rsid w:val="001F2A9A"/>
    <w:rsid w:val="001F3096"/>
    <w:rsid w:val="001F381B"/>
    <w:rsid w:val="001F3B7B"/>
    <w:rsid w:val="001F47A5"/>
    <w:rsid w:val="001F48AC"/>
    <w:rsid w:val="001F4E80"/>
    <w:rsid w:val="001F4FA9"/>
    <w:rsid w:val="001F503C"/>
    <w:rsid w:val="001F53B2"/>
    <w:rsid w:val="001F57E6"/>
    <w:rsid w:val="001F5CAD"/>
    <w:rsid w:val="001F6627"/>
    <w:rsid w:val="001F697C"/>
    <w:rsid w:val="001F6CF5"/>
    <w:rsid w:val="00200978"/>
    <w:rsid w:val="002029C3"/>
    <w:rsid w:val="00202A9F"/>
    <w:rsid w:val="00203C96"/>
    <w:rsid w:val="0020504B"/>
    <w:rsid w:val="00205880"/>
    <w:rsid w:val="00205915"/>
    <w:rsid w:val="002061B2"/>
    <w:rsid w:val="002066DA"/>
    <w:rsid w:val="00206BB8"/>
    <w:rsid w:val="002075D1"/>
    <w:rsid w:val="0020786C"/>
    <w:rsid w:val="0020795C"/>
    <w:rsid w:val="00207EB6"/>
    <w:rsid w:val="0021029E"/>
    <w:rsid w:val="0021037A"/>
    <w:rsid w:val="00210A66"/>
    <w:rsid w:val="00210EB0"/>
    <w:rsid w:val="0021142E"/>
    <w:rsid w:val="002123EC"/>
    <w:rsid w:val="00212FA2"/>
    <w:rsid w:val="00213154"/>
    <w:rsid w:val="00213655"/>
    <w:rsid w:val="00213EAD"/>
    <w:rsid w:val="00214B78"/>
    <w:rsid w:val="00215CC8"/>
    <w:rsid w:val="00216361"/>
    <w:rsid w:val="00216E0D"/>
    <w:rsid w:val="00217463"/>
    <w:rsid w:val="00217A13"/>
    <w:rsid w:val="00220774"/>
    <w:rsid w:val="00220B92"/>
    <w:rsid w:val="00220C49"/>
    <w:rsid w:val="00220D14"/>
    <w:rsid w:val="00220F4B"/>
    <w:rsid w:val="00221000"/>
    <w:rsid w:val="002217EA"/>
    <w:rsid w:val="00221A8B"/>
    <w:rsid w:val="00221ABC"/>
    <w:rsid w:val="0022298A"/>
    <w:rsid w:val="00222F97"/>
    <w:rsid w:val="00223700"/>
    <w:rsid w:val="00224290"/>
    <w:rsid w:val="00224540"/>
    <w:rsid w:val="00225F91"/>
    <w:rsid w:val="00225FFF"/>
    <w:rsid w:val="00226EC8"/>
    <w:rsid w:val="0022776C"/>
    <w:rsid w:val="00227E8C"/>
    <w:rsid w:val="00230024"/>
    <w:rsid w:val="002304C2"/>
    <w:rsid w:val="0023052A"/>
    <w:rsid w:val="0023066E"/>
    <w:rsid w:val="00230763"/>
    <w:rsid w:val="00230C01"/>
    <w:rsid w:val="002310EF"/>
    <w:rsid w:val="00231BAB"/>
    <w:rsid w:val="00231FDF"/>
    <w:rsid w:val="00232316"/>
    <w:rsid w:val="00233083"/>
    <w:rsid w:val="00233820"/>
    <w:rsid w:val="0023400B"/>
    <w:rsid w:val="0023400C"/>
    <w:rsid w:val="00234ABD"/>
    <w:rsid w:val="00234C17"/>
    <w:rsid w:val="00234E22"/>
    <w:rsid w:val="00234E74"/>
    <w:rsid w:val="0023561C"/>
    <w:rsid w:val="00235BEC"/>
    <w:rsid w:val="00235D91"/>
    <w:rsid w:val="00237A1D"/>
    <w:rsid w:val="00237B86"/>
    <w:rsid w:val="00237F04"/>
    <w:rsid w:val="00240B86"/>
    <w:rsid w:val="00241A3A"/>
    <w:rsid w:val="00241B44"/>
    <w:rsid w:val="0024312F"/>
    <w:rsid w:val="00244544"/>
    <w:rsid w:val="002453F5"/>
    <w:rsid w:val="002454DA"/>
    <w:rsid w:val="00245985"/>
    <w:rsid w:val="00245D1A"/>
    <w:rsid w:val="00245DA2"/>
    <w:rsid w:val="00246023"/>
    <w:rsid w:val="00246C38"/>
    <w:rsid w:val="00247857"/>
    <w:rsid w:val="00247E14"/>
    <w:rsid w:val="0025065E"/>
    <w:rsid w:val="00250E8C"/>
    <w:rsid w:val="00252AB6"/>
    <w:rsid w:val="00252E58"/>
    <w:rsid w:val="00253146"/>
    <w:rsid w:val="002550C7"/>
    <w:rsid w:val="00255194"/>
    <w:rsid w:val="00255294"/>
    <w:rsid w:val="002554B9"/>
    <w:rsid w:val="00255972"/>
    <w:rsid w:val="00255A07"/>
    <w:rsid w:val="00255E91"/>
    <w:rsid w:val="00256527"/>
    <w:rsid w:val="002565BE"/>
    <w:rsid w:val="0025669D"/>
    <w:rsid w:val="00257A8A"/>
    <w:rsid w:val="00260810"/>
    <w:rsid w:val="00261D31"/>
    <w:rsid w:val="002623DD"/>
    <w:rsid w:val="002635D7"/>
    <w:rsid w:val="002643C5"/>
    <w:rsid w:val="0026443F"/>
    <w:rsid w:val="00264F27"/>
    <w:rsid w:val="00267200"/>
    <w:rsid w:val="00267290"/>
    <w:rsid w:val="0026742E"/>
    <w:rsid w:val="00267909"/>
    <w:rsid w:val="00267D50"/>
    <w:rsid w:val="00270C25"/>
    <w:rsid w:val="00270D00"/>
    <w:rsid w:val="002717AE"/>
    <w:rsid w:val="002748DE"/>
    <w:rsid w:val="00274E0C"/>
    <w:rsid w:val="00274E64"/>
    <w:rsid w:val="00274EEA"/>
    <w:rsid w:val="00275370"/>
    <w:rsid w:val="002762C6"/>
    <w:rsid w:val="00276C85"/>
    <w:rsid w:val="00276F8E"/>
    <w:rsid w:val="002779B4"/>
    <w:rsid w:val="00277BE6"/>
    <w:rsid w:val="00280269"/>
    <w:rsid w:val="002806BE"/>
    <w:rsid w:val="00280B13"/>
    <w:rsid w:val="002812BF"/>
    <w:rsid w:val="002815FE"/>
    <w:rsid w:val="00281716"/>
    <w:rsid w:val="00281E9D"/>
    <w:rsid w:val="0028236C"/>
    <w:rsid w:val="00282684"/>
    <w:rsid w:val="002826FA"/>
    <w:rsid w:val="00282808"/>
    <w:rsid w:val="00283131"/>
    <w:rsid w:val="00285E06"/>
    <w:rsid w:val="00285E10"/>
    <w:rsid w:val="00285E81"/>
    <w:rsid w:val="00286FCF"/>
    <w:rsid w:val="002876B8"/>
    <w:rsid w:val="00287B25"/>
    <w:rsid w:val="0029089A"/>
    <w:rsid w:val="00290B37"/>
    <w:rsid w:val="00290CE9"/>
    <w:rsid w:val="0029140B"/>
    <w:rsid w:val="00291529"/>
    <w:rsid w:val="0029166E"/>
    <w:rsid w:val="00291A28"/>
    <w:rsid w:val="00292BF2"/>
    <w:rsid w:val="00292E60"/>
    <w:rsid w:val="00293BED"/>
    <w:rsid w:val="00294549"/>
    <w:rsid w:val="00294768"/>
    <w:rsid w:val="0029508D"/>
    <w:rsid w:val="002954A5"/>
    <w:rsid w:val="0029569D"/>
    <w:rsid w:val="002959E6"/>
    <w:rsid w:val="00295D17"/>
    <w:rsid w:val="00296114"/>
    <w:rsid w:val="00296B52"/>
    <w:rsid w:val="002972B9"/>
    <w:rsid w:val="00297368"/>
    <w:rsid w:val="00297970"/>
    <w:rsid w:val="002A0347"/>
    <w:rsid w:val="002A11D3"/>
    <w:rsid w:val="002A1A1A"/>
    <w:rsid w:val="002A1C15"/>
    <w:rsid w:val="002A285D"/>
    <w:rsid w:val="002A2B59"/>
    <w:rsid w:val="002A343E"/>
    <w:rsid w:val="002A35EC"/>
    <w:rsid w:val="002A36D1"/>
    <w:rsid w:val="002A5136"/>
    <w:rsid w:val="002A586B"/>
    <w:rsid w:val="002A5C5C"/>
    <w:rsid w:val="002A6A16"/>
    <w:rsid w:val="002A6CA0"/>
    <w:rsid w:val="002A7E1D"/>
    <w:rsid w:val="002B055B"/>
    <w:rsid w:val="002B057B"/>
    <w:rsid w:val="002B0A98"/>
    <w:rsid w:val="002B0AAE"/>
    <w:rsid w:val="002B13F9"/>
    <w:rsid w:val="002B1419"/>
    <w:rsid w:val="002B1600"/>
    <w:rsid w:val="002B30A1"/>
    <w:rsid w:val="002B3A20"/>
    <w:rsid w:val="002B4B47"/>
    <w:rsid w:val="002B53C3"/>
    <w:rsid w:val="002B5508"/>
    <w:rsid w:val="002B5F03"/>
    <w:rsid w:val="002B6106"/>
    <w:rsid w:val="002B69AB"/>
    <w:rsid w:val="002B730F"/>
    <w:rsid w:val="002B7344"/>
    <w:rsid w:val="002B74C5"/>
    <w:rsid w:val="002B787D"/>
    <w:rsid w:val="002B7B9E"/>
    <w:rsid w:val="002C12D3"/>
    <w:rsid w:val="002C15B7"/>
    <w:rsid w:val="002C1717"/>
    <w:rsid w:val="002C1776"/>
    <w:rsid w:val="002C27CC"/>
    <w:rsid w:val="002C3103"/>
    <w:rsid w:val="002C3510"/>
    <w:rsid w:val="002C3D9A"/>
    <w:rsid w:val="002C3DEB"/>
    <w:rsid w:val="002C416F"/>
    <w:rsid w:val="002C48DC"/>
    <w:rsid w:val="002C4A6F"/>
    <w:rsid w:val="002C4C06"/>
    <w:rsid w:val="002C4D9F"/>
    <w:rsid w:val="002C5969"/>
    <w:rsid w:val="002C5EBA"/>
    <w:rsid w:val="002C622B"/>
    <w:rsid w:val="002C62C8"/>
    <w:rsid w:val="002C63D3"/>
    <w:rsid w:val="002C65A4"/>
    <w:rsid w:val="002C6FF0"/>
    <w:rsid w:val="002C7209"/>
    <w:rsid w:val="002C722A"/>
    <w:rsid w:val="002C73A7"/>
    <w:rsid w:val="002C7CC8"/>
    <w:rsid w:val="002D01D7"/>
    <w:rsid w:val="002D0F39"/>
    <w:rsid w:val="002D0F7E"/>
    <w:rsid w:val="002D17C5"/>
    <w:rsid w:val="002D1C43"/>
    <w:rsid w:val="002D2AC6"/>
    <w:rsid w:val="002D304B"/>
    <w:rsid w:val="002D37CF"/>
    <w:rsid w:val="002D3B43"/>
    <w:rsid w:val="002D473A"/>
    <w:rsid w:val="002D52B9"/>
    <w:rsid w:val="002D574D"/>
    <w:rsid w:val="002D7ADC"/>
    <w:rsid w:val="002D7FEB"/>
    <w:rsid w:val="002E0466"/>
    <w:rsid w:val="002E05E1"/>
    <w:rsid w:val="002E0672"/>
    <w:rsid w:val="002E0963"/>
    <w:rsid w:val="002E10F5"/>
    <w:rsid w:val="002E1C63"/>
    <w:rsid w:val="002E20CF"/>
    <w:rsid w:val="002E217A"/>
    <w:rsid w:val="002E2467"/>
    <w:rsid w:val="002E2DB0"/>
    <w:rsid w:val="002E328D"/>
    <w:rsid w:val="002E3514"/>
    <w:rsid w:val="002E3806"/>
    <w:rsid w:val="002E3FC1"/>
    <w:rsid w:val="002E41D6"/>
    <w:rsid w:val="002E46A1"/>
    <w:rsid w:val="002E4712"/>
    <w:rsid w:val="002E49F7"/>
    <w:rsid w:val="002E4A41"/>
    <w:rsid w:val="002E638A"/>
    <w:rsid w:val="002E75A3"/>
    <w:rsid w:val="002E7B71"/>
    <w:rsid w:val="002E7D66"/>
    <w:rsid w:val="002F0A47"/>
    <w:rsid w:val="002F13A0"/>
    <w:rsid w:val="002F1476"/>
    <w:rsid w:val="002F1DB3"/>
    <w:rsid w:val="002F1EC7"/>
    <w:rsid w:val="002F1EEC"/>
    <w:rsid w:val="002F2FA7"/>
    <w:rsid w:val="002F3479"/>
    <w:rsid w:val="002F34F6"/>
    <w:rsid w:val="002F404C"/>
    <w:rsid w:val="002F576F"/>
    <w:rsid w:val="002F58B1"/>
    <w:rsid w:val="002F6B12"/>
    <w:rsid w:val="002F7046"/>
    <w:rsid w:val="002F7229"/>
    <w:rsid w:val="002F79B5"/>
    <w:rsid w:val="0030032F"/>
    <w:rsid w:val="00300855"/>
    <w:rsid w:val="00300A90"/>
    <w:rsid w:val="00301CD9"/>
    <w:rsid w:val="00302A1B"/>
    <w:rsid w:val="00302BEB"/>
    <w:rsid w:val="00302F56"/>
    <w:rsid w:val="00304FBB"/>
    <w:rsid w:val="0030504A"/>
    <w:rsid w:val="00305105"/>
    <w:rsid w:val="0030542D"/>
    <w:rsid w:val="00305ADB"/>
    <w:rsid w:val="00306092"/>
    <w:rsid w:val="003065A7"/>
    <w:rsid w:val="0030689C"/>
    <w:rsid w:val="00306DED"/>
    <w:rsid w:val="003073CC"/>
    <w:rsid w:val="00307C7D"/>
    <w:rsid w:val="003104AC"/>
    <w:rsid w:val="003107AC"/>
    <w:rsid w:val="003108B9"/>
    <w:rsid w:val="00310BCB"/>
    <w:rsid w:val="00311540"/>
    <w:rsid w:val="003116B5"/>
    <w:rsid w:val="00311ED6"/>
    <w:rsid w:val="0031265B"/>
    <w:rsid w:val="00312C83"/>
    <w:rsid w:val="00312FC1"/>
    <w:rsid w:val="00313C26"/>
    <w:rsid w:val="00314B3D"/>
    <w:rsid w:val="003160BC"/>
    <w:rsid w:val="003169F2"/>
    <w:rsid w:val="003179DC"/>
    <w:rsid w:val="00320103"/>
    <w:rsid w:val="0032018B"/>
    <w:rsid w:val="003219E7"/>
    <w:rsid w:val="00322FD8"/>
    <w:rsid w:val="00323188"/>
    <w:rsid w:val="00323890"/>
    <w:rsid w:val="00323ED2"/>
    <w:rsid w:val="00323F2E"/>
    <w:rsid w:val="003245BC"/>
    <w:rsid w:val="003246E1"/>
    <w:rsid w:val="00324A19"/>
    <w:rsid w:val="00324C1D"/>
    <w:rsid w:val="00324D0B"/>
    <w:rsid w:val="00324FA6"/>
    <w:rsid w:val="00324FAE"/>
    <w:rsid w:val="00325D2C"/>
    <w:rsid w:val="00326454"/>
    <w:rsid w:val="003264CD"/>
    <w:rsid w:val="00326909"/>
    <w:rsid w:val="00326B3A"/>
    <w:rsid w:val="00326CB3"/>
    <w:rsid w:val="00327553"/>
    <w:rsid w:val="0032763C"/>
    <w:rsid w:val="00327F68"/>
    <w:rsid w:val="003303B0"/>
    <w:rsid w:val="003304F5"/>
    <w:rsid w:val="00330A67"/>
    <w:rsid w:val="00330D94"/>
    <w:rsid w:val="003320BB"/>
    <w:rsid w:val="003328C7"/>
    <w:rsid w:val="0033398B"/>
    <w:rsid w:val="00333FBD"/>
    <w:rsid w:val="0033497B"/>
    <w:rsid w:val="003352FB"/>
    <w:rsid w:val="00335C70"/>
    <w:rsid w:val="00335DC8"/>
    <w:rsid w:val="003378F5"/>
    <w:rsid w:val="00340144"/>
    <w:rsid w:val="003402BD"/>
    <w:rsid w:val="003410B4"/>
    <w:rsid w:val="0034132E"/>
    <w:rsid w:val="00341AA7"/>
    <w:rsid w:val="003421CD"/>
    <w:rsid w:val="0034221F"/>
    <w:rsid w:val="003423C1"/>
    <w:rsid w:val="00342FEB"/>
    <w:rsid w:val="0034322C"/>
    <w:rsid w:val="00343F0C"/>
    <w:rsid w:val="0034438C"/>
    <w:rsid w:val="0034484D"/>
    <w:rsid w:val="003451F5"/>
    <w:rsid w:val="00345379"/>
    <w:rsid w:val="003458CA"/>
    <w:rsid w:val="00345E5D"/>
    <w:rsid w:val="00345E6D"/>
    <w:rsid w:val="003468C3"/>
    <w:rsid w:val="00346A9F"/>
    <w:rsid w:val="00346BCE"/>
    <w:rsid w:val="00347191"/>
    <w:rsid w:val="00347768"/>
    <w:rsid w:val="00347847"/>
    <w:rsid w:val="003478ED"/>
    <w:rsid w:val="00347CCA"/>
    <w:rsid w:val="003506C0"/>
    <w:rsid w:val="00350F49"/>
    <w:rsid w:val="00351997"/>
    <w:rsid w:val="00351CCB"/>
    <w:rsid w:val="00352127"/>
    <w:rsid w:val="00352D18"/>
    <w:rsid w:val="00352F01"/>
    <w:rsid w:val="00353AF4"/>
    <w:rsid w:val="00354896"/>
    <w:rsid w:val="003550D6"/>
    <w:rsid w:val="003554E8"/>
    <w:rsid w:val="0035554E"/>
    <w:rsid w:val="00355F06"/>
    <w:rsid w:val="00356891"/>
    <w:rsid w:val="00357422"/>
    <w:rsid w:val="00360151"/>
    <w:rsid w:val="00360947"/>
    <w:rsid w:val="0036096B"/>
    <w:rsid w:val="00361202"/>
    <w:rsid w:val="003618D8"/>
    <w:rsid w:val="00361B0C"/>
    <w:rsid w:val="003625DB"/>
    <w:rsid w:val="00362A54"/>
    <w:rsid w:val="00364201"/>
    <w:rsid w:val="003648A6"/>
    <w:rsid w:val="00364C21"/>
    <w:rsid w:val="00364E79"/>
    <w:rsid w:val="00365322"/>
    <w:rsid w:val="00365861"/>
    <w:rsid w:val="00366756"/>
    <w:rsid w:val="003667FD"/>
    <w:rsid w:val="00366B08"/>
    <w:rsid w:val="003670B2"/>
    <w:rsid w:val="00370299"/>
    <w:rsid w:val="003706AE"/>
    <w:rsid w:val="00370AB6"/>
    <w:rsid w:val="00370F83"/>
    <w:rsid w:val="00372371"/>
    <w:rsid w:val="00373325"/>
    <w:rsid w:val="0037398A"/>
    <w:rsid w:val="0037404F"/>
    <w:rsid w:val="0037449D"/>
    <w:rsid w:val="00374650"/>
    <w:rsid w:val="00376B8C"/>
    <w:rsid w:val="00376BD5"/>
    <w:rsid w:val="00377038"/>
    <w:rsid w:val="0037707F"/>
    <w:rsid w:val="003770A6"/>
    <w:rsid w:val="0037739B"/>
    <w:rsid w:val="003773F9"/>
    <w:rsid w:val="00377744"/>
    <w:rsid w:val="00377842"/>
    <w:rsid w:val="00377A0C"/>
    <w:rsid w:val="003804D6"/>
    <w:rsid w:val="0038058F"/>
    <w:rsid w:val="003805A8"/>
    <w:rsid w:val="00380690"/>
    <w:rsid w:val="003808DD"/>
    <w:rsid w:val="00380B1E"/>
    <w:rsid w:val="00380C32"/>
    <w:rsid w:val="00380E9F"/>
    <w:rsid w:val="00381D29"/>
    <w:rsid w:val="00382075"/>
    <w:rsid w:val="0038244E"/>
    <w:rsid w:val="0038262E"/>
    <w:rsid w:val="00382E3D"/>
    <w:rsid w:val="003830CA"/>
    <w:rsid w:val="00383554"/>
    <w:rsid w:val="0038362F"/>
    <w:rsid w:val="003836A8"/>
    <w:rsid w:val="00383A32"/>
    <w:rsid w:val="00383C65"/>
    <w:rsid w:val="00383F88"/>
    <w:rsid w:val="003842FA"/>
    <w:rsid w:val="00385C44"/>
    <w:rsid w:val="00385EC3"/>
    <w:rsid w:val="00385F28"/>
    <w:rsid w:val="003866EE"/>
    <w:rsid w:val="0038672E"/>
    <w:rsid w:val="00387684"/>
    <w:rsid w:val="003877AD"/>
    <w:rsid w:val="00387FD5"/>
    <w:rsid w:val="0039054B"/>
    <w:rsid w:val="00390B7D"/>
    <w:rsid w:val="003915D9"/>
    <w:rsid w:val="003915F9"/>
    <w:rsid w:val="00391D28"/>
    <w:rsid w:val="00391D35"/>
    <w:rsid w:val="00391E75"/>
    <w:rsid w:val="003930DF"/>
    <w:rsid w:val="00393136"/>
    <w:rsid w:val="00393226"/>
    <w:rsid w:val="00393E86"/>
    <w:rsid w:val="0039459A"/>
    <w:rsid w:val="00394F52"/>
    <w:rsid w:val="003950A1"/>
    <w:rsid w:val="00395D07"/>
    <w:rsid w:val="00395EF8"/>
    <w:rsid w:val="00395FA1"/>
    <w:rsid w:val="0039646A"/>
    <w:rsid w:val="00397C86"/>
    <w:rsid w:val="00397C8F"/>
    <w:rsid w:val="003A0372"/>
    <w:rsid w:val="003A062C"/>
    <w:rsid w:val="003A0EA8"/>
    <w:rsid w:val="003A1FEC"/>
    <w:rsid w:val="003A2301"/>
    <w:rsid w:val="003A24B3"/>
    <w:rsid w:val="003A2FB2"/>
    <w:rsid w:val="003A30DB"/>
    <w:rsid w:val="003A32F0"/>
    <w:rsid w:val="003A350E"/>
    <w:rsid w:val="003A3AC2"/>
    <w:rsid w:val="003A5C57"/>
    <w:rsid w:val="003A5FCD"/>
    <w:rsid w:val="003A6033"/>
    <w:rsid w:val="003A632E"/>
    <w:rsid w:val="003A6511"/>
    <w:rsid w:val="003A7527"/>
    <w:rsid w:val="003A75FE"/>
    <w:rsid w:val="003A7CC5"/>
    <w:rsid w:val="003B01EF"/>
    <w:rsid w:val="003B0380"/>
    <w:rsid w:val="003B0664"/>
    <w:rsid w:val="003B10F6"/>
    <w:rsid w:val="003B1540"/>
    <w:rsid w:val="003B1960"/>
    <w:rsid w:val="003B1BB1"/>
    <w:rsid w:val="003B1DCF"/>
    <w:rsid w:val="003B1F62"/>
    <w:rsid w:val="003B24E5"/>
    <w:rsid w:val="003B2AD6"/>
    <w:rsid w:val="003B2CA1"/>
    <w:rsid w:val="003B3670"/>
    <w:rsid w:val="003B36E3"/>
    <w:rsid w:val="003B433C"/>
    <w:rsid w:val="003B4F95"/>
    <w:rsid w:val="003B5308"/>
    <w:rsid w:val="003B5CD3"/>
    <w:rsid w:val="003B607A"/>
    <w:rsid w:val="003B7111"/>
    <w:rsid w:val="003B79BA"/>
    <w:rsid w:val="003C11DB"/>
    <w:rsid w:val="003C13AF"/>
    <w:rsid w:val="003C2A29"/>
    <w:rsid w:val="003C39E3"/>
    <w:rsid w:val="003C5710"/>
    <w:rsid w:val="003C5A41"/>
    <w:rsid w:val="003C5C30"/>
    <w:rsid w:val="003C5EA1"/>
    <w:rsid w:val="003C635D"/>
    <w:rsid w:val="003C6CA3"/>
    <w:rsid w:val="003C7042"/>
    <w:rsid w:val="003C782D"/>
    <w:rsid w:val="003D0743"/>
    <w:rsid w:val="003D0C1F"/>
    <w:rsid w:val="003D1378"/>
    <w:rsid w:val="003D1975"/>
    <w:rsid w:val="003D1B99"/>
    <w:rsid w:val="003D213C"/>
    <w:rsid w:val="003D25D9"/>
    <w:rsid w:val="003D27A1"/>
    <w:rsid w:val="003D30C3"/>
    <w:rsid w:val="003D3337"/>
    <w:rsid w:val="003D3812"/>
    <w:rsid w:val="003D39E8"/>
    <w:rsid w:val="003D3B60"/>
    <w:rsid w:val="003D3E52"/>
    <w:rsid w:val="003D3EC2"/>
    <w:rsid w:val="003D4047"/>
    <w:rsid w:val="003D5D68"/>
    <w:rsid w:val="003D6C2E"/>
    <w:rsid w:val="003D78C9"/>
    <w:rsid w:val="003E007D"/>
    <w:rsid w:val="003E01D7"/>
    <w:rsid w:val="003E0639"/>
    <w:rsid w:val="003E0722"/>
    <w:rsid w:val="003E09C9"/>
    <w:rsid w:val="003E0C3D"/>
    <w:rsid w:val="003E243D"/>
    <w:rsid w:val="003E24F6"/>
    <w:rsid w:val="003E3222"/>
    <w:rsid w:val="003E3884"/>
    <w:rsid w:val="003E4653"/>
    <w:rsid w:val="003E4F89"/>
    <w:rsid w:val="003E5B43"/>
    <w:rsid w:val="003E60F4"/>
    <w:rsid w:val="003E6B0C"/>
    <w:rsid w:val="003F0256"/>
    <w:rsid w:val="003F0334"/>
    <w:rsid w:val="003F1D52"/>
    <w:rsid w:val="003F2E17"/>
    <w:rsid w:val="003F3109"/>
    <w:rsid w:val="003F3174"/>
    <w:rsid w:val="003F4115"/>
    <w:rsid w:val="003F44BF"/>
    <w:rsid w:val="003F4873"/>
    <w:rsid w:val="003F4D26"/>
    <w:rsid w:val="003F4E00"/>
    <w:rsid w:val="003F55B5"/>
    <w:rsid w:val="003F5C5D"/>
    <w:rsid w:val="003F6881"/>
    <w:rsid w:val="003F68D3"/>
    <w:rsid w:val="003F761F"/>
    <w:rsid w:val="004007D8"/>
    <w:rsid w:val="00400861"/>
    <w:rsid w:val="004011CB"/>
    <w:rsid w:val="00401369"/>
    <w:rsid w:val="004016E7"/>
    <w:rsid w:val="00401E97"/>
    <w:rsid w:val="00402359"/>
    <w:rsid w:val="004025B7"/>
    <w:rsid w:val="004029E4"/>
    <w:rsid w:val="00402ABA"/>
    <w:rsid w:val="00402B9B"/>
    <w:rsid w:val="00405948"/>
    <w:rsid w:val="00405B1A"/>
    <w:rsid w:val="004061CC"/>
    <w:rsid w:val="00406A14"/>
    <w:rsid w:val="00406A93"/>
    <w:rsid w:val="00406CDA"/>
    <w:rsid w:val="00407F1A"/>
    <w:rsid w:val="00410369"/>
    <w:rsid w:val="00410675"/>
    <w:rsid w:val="004107A6"/>
    <w:rsid w:val="00412F46"/>
    <w:rsid w:val="004142F5"/>
    <w:rsid w:val="00414D61"/>
    <w:rsid w:val="00414DA3"/>
    <w:rsid w:val="0041501F"/>
    <w:rsid w:val="00415406"/>
    <w:rsid w:val="00415D9E"/>
    <w:rsid w:val="004165B6"/>
    <w:rsid w:val="004174E3"/>
    <w:rsid w:val="004175E0"/>
    <w:rsid w:val="0042022B"/>
    <w:rsid w:val="00420884"/>
    <w:rsid w:val="00420979"/>
    <w:rsid w:val="00420BFC"/>
    <w:rsid w:val="004212E6"/>
    <w:rsid w:val="004214A1"/>
    <w:rsid w:val="00421867"/>
    <w:rsid w:val="00421D93"/>
    <w:rsid w:val="0042229A"/>
    <w:rsid w:val="00422BA9"/>
    <w:rsid w:val="00422C22"/>
    <w:rsid w:val="0042317C"/>
    <w:rsid w:val="0042318F"/>
    <w:rsid w:val="004231D8"/>
    <w:rsid w:val="004233DE"/>
    <w:rsid w:val="0042377F"/>
    <w:rsid w:val="004241ED"/>
    <w:rsid w:val="004251AA"/>
    <w:rsid w:val="004259A2"/>
    <w:rsid w:val="00425B95"/>
    <w:rsid w:val="004262A4"/>
    <w:rsid w:val="004272E5"/>
    <w:rsid w:val="00427571"/>
    <w:rsid w:val="00430422"/>
    <w:rsid w:val="00430CBF"/>
    <w:rsid w:val="004325DE"/>
    <w:rsid w:val="00433AF1"/>
    <w:rsid w:val="00433CD2"/>
    <w:rsid w:val="0043410E"/>
    <w:rsid w:val="0043464E"/>
    <w:rsid w:val="004351DC"/>
    <w:rsid w:val="00436A82"/>
    <w:rsid w:val="00437935"/>
    <w:rsid w:val="00440C72"/>
    <w:rsid w:val="0044159E"/>
    <w:rsid w:val="00441A91"/>
    <w:rsid w:val="004420FB"/>
    <w:rsid w:val="0044221B"/>
    <w:rsid w:val="004436A3"/>
    <w:rsid w:val="004437B7"/>
    <w:rsid w:val="004442DF"/>
    <w:rsid w:val="0044452D"/>
    <w:rsid w:val="00444ECC"/>
    <w:rsid w:val="0044535E"/>
    <w:rsid w:val="00445A36"/>
    <w:rsid w:val="004460C8"/>
    <w:rsid w:val="0044787A"/>
    <w:rsid w:val="00447E2C"/>
    <w:rsid w:val="00450504"/>
    <w:rsid w:val="00451AF4"/>
    <w:rsid w:val="00451CFE"/>
    <w:rsid w:val="00451D1B"/>
    <w:rsid w:val="00451F85"/>
    <w:rsid w:val="004524D4"/>
    <w:rsid w:val="00453F86"/>
    <w:rsid w:val="00453FEA"/>
    <w:rsid w:val="00454399"/>
    <w:rsid w:val="0045460B"/>
    <w:rsid w:val="0045488A"/>
    <w:rsid w:val="004549A7"/>
    <w:rsid w:val="00454F41"/>
    <w:rsid w:val="00455B15"/>
    <w:rsid w:val="004569D8"/>
    <w:rsid w:val="00457219"/>
    <w:rsid w:val="004573EC"/>
    <w:rsid w:val="0045788A"/>
    <w:rsid w:val="0046115D"/>
    <w:rsid w:val="00461184"/>
    <w:rsid w:val="004612A8"/>
    <w:rsid w:val="004613E1"/>
    <w:rsid w:val="004615D1"/>
    <w:rsid w:val="004615D6"/>
    <w:rsid w:val="00461CC7"/>
    <w:rsid w:val="00461D53"/>
    <w:rsid w:val="004626C8"/>
    <w:rsid w:val="004631FF"/>
    <w:rsid w:val="00463505"/>
    <w:rsid w:val="0046566E"/>
    <w:rsid w:val="00465751"/>
    <w:rsid w:val="00465986"/>
    <w:rsid w:val="00465B7C"/>
    <w:rsid w:val="004662C3"/>
    <w:rsid w:val="004662E6"/>
    <w:rsid w:val="00466BCC"/>
    <w:rsid w:val="00470263"/>
    <w:rsid w:val="0047075F"/>
    <w:rsid w:val="00470A0A"/>
    <w:rsid w:val="0047183C"/>
    <w:rsid w:val="004720BF"/>
    <w:rsid w:val="00472663"/>
    <w:rsid w:val="00472A6D"/>
    <w:rsid w:val="00472B02"/>
    <w:rsid w:val="00472C97"/>
    <w:rsid w:val="00472F26"/>
    <w:rsid w:val="004737FF"/>
    <w:rsid w:val="0047427D"/>
    <w:rsid w:val="00474D64"/>
    <w:rsid w:val="00474DE2"/>
    <w:rsid w:val="0047544E"/>
    <w:rsid w:val="00475FF0"/>
    <w:rsid w:val="00476DCB"/>
    <w:rsid w:val="00477B3F"/>
    <w:rsid w:val="004801B2"/>
    <w:rsid w:val="004802A2"/>
    <w:rsid w:val="00480810"/>
    <w:rsid w:val="00481121"/>
    <w:rsid w:val="00482102"/>
    <w:rsid w:val="00482994"/>
    <w:rsid w:val="00482FD8"/>
    <w:rsid w:val="0048323D"/>
    <w:rsid w:val="004838C6"/>
    <w:rsid w:val="004838DB"/>
    <w:rsid w:val="00483F38"/>
    <w:rsid w:val="00484548"/>
    <w:rsid w:val="00484B17"/>
    <w:rsid w:val="00484B61"/>
    <w:rsid w:val="00484F34"/>
    <w:rsid w:val="0048563A"/>
    <w:rsid w:val="00485C4E"/>
    <w:rsid w:val="0048677D"/>
    <w:rsid w:val="004867F1"/>
    <w:rsid w:val="00486E87"/>
    <w:rsid w:val="004877CE"/>
    <w:rsid w:val="00487CD8"/>
    <w:rsid w:val="00487F1F"/>
    <w:rsid w:val="0049026D"/>
    <w:rsid w:val="004902B5"/>
    <w:rsid w:val="0049115F"/>
    <w:rsid w:val="00491643"/>
    <w:rsid w:val="00491F73"/>
    <w:rsid w:val="004926D5"/>
    <w:rsid w:val="004927AE"/>
    <w:rsid w:val="00492F79"/>
    <w:rsid w:val="0049350E"/>
    <w:rsid w:val="00493A08"/>
    <w:rsid w:val="004940B2"/>
    <w:rsid w:val="004950AA"/>
    <w:rsid w:val="004950F7"/>
    <w:rsid w:val="0049583F"/>
    <w:rsid w:val="004960EE"/>
    <w:rsid w:val="004A2079"/>
    <w:rsid w:val="004A327B"/>
    <w:rsid w:val="004A345C"/>
    <w:rsid w:val="004A3528"/>
    <w:rsid w:val="004A401D"/>
    <w:rsid w:val="004A40C9"/>
    <w:rsid w:val="004A51C8"/>
    <w:rsid w:val="004A57C8"/>
    <w:rsid w:val="004A6408"/>
    <w:rsid w:val="004A6EE8"/>
    <w:rsid w:val="004A6FCD"/>
    <w:rsid w:val="004A7441"/>
    <w:rsid w:val="004A76CA"/>
    <w:rsid w:val="004A7FC6"/>
    <w:rsid w:val="004B0243"/>
    <w:rsid w:val="004B0D53"/>
    <w:rsid w:val="004B13DD"/>
    <w:rsid w:val="004B2582"/>
    <w:rsid w:val="004B27DB"/>
    <w:rsid w:val="004B36CB"/>
    <w:rsid w:val="004B4A59"/>
    <w:rsid w:val="004B5468"/>
    <w:rsid w:val="004B672A"/>
    <w:rsid w:val="004B67DC"/>
    <w:rsid w:val="004B796F"/>
    <w:rsid w:val="004C2439"/>
    <w:rsid w:val="004C288A"/>
    <w:rsid w:val="004C30E7"/>
    <w:rsid w:val="004C37F8"/>
    <w:rsid w:val="004C3DA2"/>
    <w:rsid w:val="004C3F32"/>
    <w:rsid w:val="004C45FB"/>
    <w:rsid w:val="004C4C4B"/>
    <w:rsid w:val="004C6996"/>
    <w:rsid w:val="004C75B8"/>
    <w:rsid w:val="004C7998"/>
    <w:rsid w:val="004C79A5"/>
    <w:rsid w:val="004C7B7A"/>
    <w:rsid w:val="004D166A"/>
    <w:rsid w:val="004D1A4E"/>
    <w:rsid w:val="004D1C34"/>
    <w:rsid w:val="004D1F99"/>
    <w:rsid w:val="004D2516"/>
    <w:rsid w:val="004D263E"/>
    <w:rsid w:val="004D2910"/>
    <w:rsid w:val="004D33A9"/>
    <w:rsid w:val="004D38A8"/>
    <w:rsid w:val="004D3B52"/>
    <w:rsid w:val="004D3BF5"/>
    <w:rsid w:val="004D434F"/>
    <w:rsid w:val="004D4A0D"/>
    <w:rsid w:val="004D547B"/>
    <w:rsid w:val="004D55C6"/>
    <w:rsid w:val="004D5675"/>
    <w:rsid w:val="004D57FB"/>
    <w:rsid w:val="004D5A8A"/>
    <w:rsid w:val="004D5AE4"/>
    <w:rsid w:val="004D6A4A"/>
    <w:rsid w:val="004D7A68"/>
    <w:rsid w:val="004D7EBE"/>
    <w:rsid w:val="004E0429"/>
    <w:rsid w:val="004E081B"/>
    <w:rsid w:val="004E0942"/>
    <w:rsid w:val="004E0CC3"/>
    <w:rsid w:val="004E1A39"/>
    <w:rsid w:val="004E1ADF"/>
    <w:rsid w:val="004E1CCC"/>
    <w:rsid w:val="004E1D0C"/>
    <w:rsid w:val="004E1FAF"/>
    <w:rsid w:val="004E30D1"/>
    <w:rsid w:val="004E3AB9"/>
    <w:rsid w:val="004E42B0"/>
    <w:rsid w:val="004E462C"/>
    <w:rsid w:val="004E4F1C"/>
    <w:rsid w:val="004E547E"/>
    <w:rsid w:val="004E5507"/>
    <w:rsid w:val="004E559E"/>
    <w:rsid w:val="004E581F"/>
    <w:rsid w:val="004E5997"/>
    <w:rsid w:val="004E603D"/>
    <w:rsid w:val="004E7F3A"/>
    <w:rsid w:val="004F00BC"/>
    <w:rsid w:val="004F0103"/>
    <w:rsid w:val="004F03AE"/>
    <w:rsid w:val="004F0751"/>
    <w:rsid w:val="004F1303"/>
    <w:rsid w:val="004F186F"/>
    <w:rsid w:val="004F24A8"/>
    <w:rsid w:val="004F2C14"/>
    <w:rsid w:val="004F2D14"/>
    <w:rsid w:val="004F2D2C"/>
    <w:rsid w:val="004F31F0"/>
    <w:rsid w:val="004F3826"/>
    <w:rsid w:val="004F3FD9"/>
    <w:rsid w:val="004F479D"/>
    <w:rsid w:val="004F4883"/>
    <w:rsid w:val="004F4A54"/>
    <w:rsid w:val="004F4EFF"/>
    <w:rsid w:val="004F5178"/>
    <w:rsid w:val="004F5C6D"/>
    <w:rsid w:val="004F60DD"/>
    <w:rsid w:val="004F6762"/>
    <w:rsid w:val="004F6847"/>
    <w:rsid w:val="004F774D"/>
    <w:rsid w:val="004F782F"/>
    <w:rsid w:val="004F7C8B"/>
    <w:rsid w:val="0050059C"/>
    <w:rsid w:val="00500FA3"/>
    <w:rsid w:val="0050117B"/>
    <w:rsid w:val="0050146F"/>
    <w:rsid w:val="00501D7F"/>
    <w:rsid w:val="0050207B"/>
    <w:rsid w:val="00502A8E"/>
    <w:rsid w:val="00503F1B"/>
    <w:rsid w:val="00504A03"/>
    <w:rsid w:val="00505B3E"/>
    <w:rsid w:val="00506545"/>
    <w:rsid w:val="0050664C"/>
    <w:rsid w:val="00506742"/>
    <w:rsid w:val="0050727A"/>
    <w:rsid w:val="005076BC"/>
    <w:rsid w:val="00507A7F"/>
    <w:rsid w:val="00507C97"/>
    <w:rsid w:val="00507FC4"/>
    <w:rsid w:val="0051019B"/>
    <w:rsid w:val="005105BD"/>
    <w:rsid w:val="0051109C"/>
    <w:rsid w:val="005118AF"/>
    <w:rsid w:val="0051283A"/>
    <w:rsid w:val="00512998"/>
    <w:rsid w:val="00512DA0"/>
    <w:rsid w:val="005134B7"/>
    <w:rsid w:val="005137C7"/>
    <w:rsid w:val="00513D1B"/>
    <w:rsid w:val="00514958"/>
    <w:rsid w:val="00514B42"/>
    <w:rsid w:val="00514E32"/>
    <w:rsid w:val="005151D9"/>
    <w:rsid w:val="0051536A"/>
    <w:rsid w:val="005159A5"/>
    <w:rsid w:val="00515D01"/>
    <w:rsid w:val="005166B4"/>
    <w:rsid w:val="00517341"/>
    <w:rsid w:val="005175EC"/>
    <w:rsid w:val="00517EFA"/>
    <w:rsid w:val="00520078"/>
    <w:rsid w:val="00520267"/>
    <w:rsid w:val="00520FEC"/>
    <w:rsid w:val="00521071"/>
    <w:rsid w:val="00521751"/>
    <w:rsid w:val="00522217"/>
    <w:rsid w:val="00522A53"/>
    <w:rsid w:val="00522CAA"/>
    <w:rsid w:val="00523808"/>
    <w:rsid w:val="00523C63"/>
    <w:rsid w:val="005248E5"/>
    <w:rsid w:val="0052510B"/>
    <w:rsid w:val="00525111"/>
    <w:rsid w:val="005257E8"/>
    <w:rsid w:val="005261C6"/>
    <w:rsid w:val="00526B0F"/>
    <w:rsid w:val="00526BFF"/>
    <w:rsid w:val="00526DEF"/>
    <w:rsid w:val="00527EC0"/>
    <w:rsid w:val="005302AB"/>
    <w:rsid w:val="00530D51"/>
    <w:rsid w:val="00530FF4"/>
    <w:rsid w:val="00531440"/>
    <w:rsid w:val="0053158B"/>
    <w:rsid w:val="00531AD7"/>
    <w:rsid w:val="0053207E"/>
    <w:rsid w:val="005346E1"/>
    <w:rsid w:val="00534BAF"/>
    <w:rsid w:val="0053527E"/>
    <w:rsid w:val="00536673"/>
    <w:rsid w:val="00536E36"/>
    <w:rsid w:val="005372A7"/>
    <w:rsid w:val="005372F8"/>
    <w:rsid w:val="005374D4"/>
    <w:rsid w:val="00537AAE"/>
    <w:rsid w:val="00540A05"/>
    <w:rsid w:val="00540B90"/>
    <w:rsid w:val="00541C69"/>
    <w:rsid w:val="005425FA"/>
    <w:rsid w:val="0054306A"/>
    <w:rsid w:val="00543358"/>
    <w:rsid w:val="00544BA8"/>
    <w:rsid w:val="00544DCC"/>
    <w:rsid w:val="005457C7"/>
    <w:rsid w:val="00546B9B"/>
    <w:rsid w:val="00547B2E"/>
    <w:rsid w:val="0055018F"/>
    <w:rsid w:val="00550DCA"/>
    <w:rsid w:val="00551497"/>
    <w:rsid w:val="00552332"/>
    <w:rsid w:val="0055265C"/>
    <w:rsid w:val="00552E33"/>
    <w:rsid w:val="005531CF"/>
    <w:rsid w:val="0055323B"/>
    <w:rsid w:val="005536E2"/>
    <w:rsid w:val="00553D7A"/>
    <w:rsid w:val="0055408A"/>
    <w:rsid w:val="0055421B"/>
    <w:rsid w:val="00554FFD"/>
    <w:rsid w:val="005556A1"/>
    <w:rsid w:val="00555813"/>
    <w:rsid w:val="00555855"/>
    <w:rsid w:val="00555E01"/>
    <w:rsid w:val="00556449"/>
    <w:rsid w:val="00556D20"/>
    <w:rsid w:val="0055783D"/>
    <w:rsid w:val="00557A98"/>
    <w:rsid w:val="00557A9F"/>
    <w:rsid w:val="00557D68"/>
    <w:rsid w:val="00557F3C"/>
    <w:rsid w:val="00560E1A"/>
    <w:rsid w:val="00560F9F"/>
    <w:rsid w:val="005613D9"/>
    <w:rsid w:val="005620F5"/>
    <w:rsid w:val="0056260A"/>
    <w:rsid w:val="0056357E"/>
    <w:rsid w:val="0056382E"/>
    <w:rsid w:val="00563F13"/>
    <w:rsid w:val="00564685"/>
    <w:rsid w:val="00565034"/>
    <w:rsid w:val="005650CC"/>
    <w:rsid w:val="00565BA9"/>
    <w:rsid w:val="005660D5"/>
    <w:rsid w:val="0056616A"/>
    <w:rsid w:val="0056655B"/>
    <w:rsid w:val="005668C8"/>
    <w:rsid w:val="00566CEE"/>
    <w:rsid w:val="00567EE6"/>
    <w:rsid w:val="00570113"/>
    <w:rsid w:val="005701C0"/>
    <w:rsid w:val="00570456"/>
    <w:rsid w:val="005706B3"/>
    <w:rsid w:val="005707F7"/>
    <w:rsid w:val="00570F6D"/>
    <w:rsid w:val="00571568"/>
    <w:rsid w:val="00571A5A"/>
    <w:rsid w:val="00571EA2"/>
    <w:rsid w:val="00572966"/>
    <w:rsid w:val="00572AAB"/>
    <w:rsid w:val="00572EFA"/>
    <w:rsid w:val="00572FBB"/>
    <w:rsid w:val="00573C66"/>
    <w:rsid w:val="00573D04"/>
    <w:rsid w:val="005742B6"/>
    <w:rsid w:val="0057438D"/>
    <w:rsid w:val="00574D03"/>
    <w:rsid w:val="005760E1"/>
    <w:rsid w:val="005764EE"/>
    <w:rsid w:val="0057688B"/>
    <w:rsid w:val="00576A0F"/>
    <w:rsid w:val="0057706D"/>
    <w:rsid w:val="00577864"/>
    <w:rsid w:val="005779AB"/>
    <w:rsid w:val="00577ADE"/>
    <w:rsid w:val="00580067"/>
    <w:rsid w:val="005806D6"/>
    <w:rsid w:val="005816FF"/>
    <w:rsid w:val="0058176F"/>
    <w:rsid w:val="00583672"/>
    <w:rsid w:val="00583716"/>
    <w:rsid w:val="00584F77"/>
    <w:rsid w:val="00585292"/>
    <w:rsid w:val="005852F2"/>
    <w:rsid w:val="005854B4"/>
    <w:rsid w:val="00585E1D"/>
    <w:rsid w:val="0058619A"/>
    <w:rsid w:val="00586346"/>
    <w:rsid w:val="00586EA2"/>
    <w:rsid w:val="005902C2"/>
    <w:rsid w:val="005908E3"/>
    <w:rsid w:val="00590D77"/>
    <w:rsid w:val="0059143C"/>
    <w:rsid w:val="0059161D"/>
    <w:rsid w:val="00591C2A"/>
    <w:rsid w:val="00591CEB"/>
    <w:rsid w:val="00591F19"/>
    <w:rsid w:val="005925CD"/>
    <w:rsid w:val="00592CFC"/>
    <w:rsid w:val="00593790"/>
    <w:rsid w:val="00593998"/>
    <w:rsid w:val="00593C46"/>
    <w:rsid w:val="00593E81"/>
    <w:rsid w:val="00594C78"/>
    <w:rsid w:val="005950F8"/>
    <w:rsid w:val="00595C81"/>
    <w:rsid w:val="00595F62"/>
    <w:rsid w:val="005968ED"/>
    <w:rsid w:val="00596D79"/>
    <w:rsid w:val="00596F51"/>
    <w:rsid w:val="00597588"/>
    <w:rsid w:val="00597E3C"/>
    <w:rsid w:val="005A0392"/>
    <w:rsid w:val="005A0AAD"/>
    <w:rsid w:val="005A1449"/>
    <w:rsid w:val="005A1BDC"/>
    <w:rsid w:val="005A2569"/>
    <w:rsid w:val="005A29B1"/>
    <w:rsid w:val="005A2BF5"/>
    <w:rsid w:val="005A2D82"/>
    <w:rsid w:val="005A3142"/>
    <w:rsid w:val="005A31C7"/>
    <w:rsid w:val="005A382D"/>
    <w:rsid w:val="005A38AA"/>
    <w:rsid w:val="005A3F05"/>
    <w:rsid w:val="005A4317"/>
    <w:rsid w:val="005A43A4"/>
    <w:rsid w:val="005A53A3"/>
    <w:rsid w:val="005A6554"/>
    <w:rsid w:val="005A6AEF"/>
    <w:rsid w:val="005A6AF0"/>
    <w:rsid w:val="005A7A5A"/>
    <w:rsid w:val="005A7EAB"/>
    <w:rsid w:val="005B018A"/>
    <w:rsid w:val="005B06D7"/>
    <w:rsid w:val="005B0BCF"/>
    <w:rsid w:val="005B0C4F"/>
    <w:rsid w:val="005B1083"/>
    <w:rsid w:val="005B140D"/>
    <w:rsid w:val="005B1DAA"/>
    <w:rsid w:val="005B25B2"/>
    <w:rsid w:val="005B2E4C"/>
    <w:rsid w:val="005B2E58"/>
    <w:rsid w:val="005B3010"/>
    <w:rsid w:val="005B340F"/>
    <w:rsid w:val="005B3412"/>
    <w:rsid w:val="005B3CB1"/>
    <w:rsid w:val="005B40E8"/>
    <w:rsid w:val="005B52A9"/>
    <w:rsid w:val="005B583B"/>
    <w:rsid w:val="005B6195"/>
    <w:rsid w:val="005B652B"/>
    <w:rsid w:val="005B6A05"/>
    <w:rsid w:val="005B79BA"/>
    <w:rsid w:val="005B7F12"/>
    <w:rsid w:val="005C0177"/>
    <w:rsid w:val="005C086D"/>
    <w:rsid w:val="005C0BCF"/>
    <w:rsid w:val="005C17E4"/>
    <w:rsid w:val="005C185D"/>
    <w:rsid w:val="005C1B17"/>
    <w:rsid w:val="005C1BAE"/>
    <w:rsid w:val="005C2584"/>
    <w:rsid w:val="005C3219"/>
    <w:rsid w:val="005C3556"/>
    <w:rsid w:val="005C373B"/>
    <w:rsid w:val="005C4A9E"/>
    <w:rsid w:val="005C530B"/>
    <w:rsid w:val="005C5513"/>
    <w:rsid w:val="005C62D9"/>
    <w:rsid w:val="005C6937"/>
    <w:rsid w:val="005C79E0"/>
    <w:rsid w:val="005C7EC8"/>
    <w:rsid w:val="005D013C"/>
    <w:rsid w:val="005D0231"/>
    <w:rsid w:val="005D143A"/>
    <w:rsid w:val="005D1BD8"/>
    <w:rsid w:val="005D23CB"/>
    <w:rsid w:val="005D258E"/>
    <w:rsid w:val="005D2654"/>
    <w:rsid w:val="005D274C"/>
    <w:rsid w:val="005D293B"/>
    <w:rsid w:val="005D2992"/>
    <w:rsid w:val="005D2DF1"/>
    <w:rsid w:val="005D321F"/>
    <w:rsid w:val="005D3242"/>
    <w:rsid w:val="005D4536"/>
    <w:rsid w:val="005D4DF7"/>
    <w:rsid w:val="005D4FC5"/>
    <w:rsid w:val="005D5153"/>
    <w:rsid w:val="005D5E1C"/>
    <w:rsid w:val="005D5F4A"/>
    <w:rsid w:val="005D6A81"/>
    <w:rsid w:val="005D6FD2"/>
    <w:rsid w:val="005D7B71"/>
    <w:rsid w:val="005E0234"/>
    <w:rsid w:val="005E0C15"/>
    <w:rsid w:val="005E1AFD"/>
    <w:rsid w:val="005E24E0"/>
    <w:rsid w:val="005E3759"/>
    <w:rsid w:val="005E3B1C"/>
    <w:rsid w:val="005E45CE"/>
    <w:rsid w:val="005E4FF4"/>
    <w:rsid w:val="005E50C1"/>
    <w:rsid w:val="005E598B"/>
    <w:rsid w:val="005E5EF0"/>
    <w:rsid w:val="005E6785"/>
    <w:rsid w:val="005E6941"/>
    <w:rsid w:val="005E7452"/>
    <w:rsid w:val="005E77C2"/>
    <w:rsid w:val="005E792C"/>
    <w:rsid w:val="005E7BCA"/>
    <w:rsid w:val="005F04AD"/>
    <w:rsid w:val="005F07E5"/>
    <w:rsid w:val="005F181D"/>
    <w:rsid w:val="005F2052"/>
    <w:rsid w:val="005F23AB"/>
    <w:rsid w:val="005F338E"/>
    <w:rsid w:val="005F46CF"/>
    <w:rsid w:val="005F494B"/>
    <w:rsid w:val="005F4F3F"/>
    <w:rsid w:val="005F5739"/>
    <w:rsid w:val="005F5B02"/>
    <w:rsid w:val="005F5D99"/>
    <w:rsid w:val="005F603F"/>
    <w:rsid w:val="005F6B1E"/>
    <w:rsid w:val="005F6D0D"/>
    <w:rsid w:val="005F779A"/>
    <w:rsid w:val="005F7C9A"/>
    <w:rsid w:val="00600A77"/>
    <w:rsid w:val="00600B51"/>
    <w:rsid w:val="00602951"/>
    <w:rsid w:val="00602A12"/>
    <w:rsid w:val="0060305C"/>
    <w:rsid w:val="00603837"/>
    <w:rsid w:val="00603B70"/>
    <w:rsid w:val="00604553"/>
    <w:rsid w:val="00604EC3"/>
    <w:rsid w:val="0060571A"/>
    <w:rsid w:val="00605D86"/>
    <w:rsid w:val="006066D3"/>
    <w:rsid w:val="00606A95"/>
    <w:rsid w:val="00606F40"/>
    <w:rsid w:val="00606FAC"/>
    <w:rsid w:val="00607FE7"/>
    <w:rsid w:val="00610259"/>
    <w:rsid w:val="00611312"/>
    <w:rsid w:val="00612BD6"/>
    <w:rsid w:val="006132C9"/>
    <w:rsid w:val="0061359E"/>
    <w:rsid w:val="00614554"/>
    <w:rsid w:val="00615030"/>
    <w:rsid w:val="00615FEE"/>
    <w:rsid w:val="0061728B"/>
    <w:rsid w:val="0061744C"/>
    <w:rsid w:val="00620A94"/>
    <w:rsid w:val="00621180"/>
    <w:rsid w:val="00621876"/>
    <w:rsid w:val="00621F48"/>
    <w:rsid w:val="00622CDB"/>
    <w:rsid w:val="006243E1"/>
    <w:rsid w:val="00624BCD"/>
    <w:rsid w:val="0062706E"/>
    <w:rsid w:val="0062709F"/>
    <w:rsid w:val="00627E2A"/>
    <w:rsid w:val="00630033"/>
    <w:rsid w:val="00630A18"/>
    <w:rsid w:val="006310CE"/>
    <w:rsid w:val="006323DB"/>
    <w:rsid w:val="00632A3F"/>
    <w:rsid w:val="00632E57"/>
    <w:rsid w:val="0063393E"/>
    <w:rsid w:val="0063416E"/>
    <w:rsid w:val="006341D0"/>
    <w:rsid w:val="006347D9"/>
    <w:rsid w:val="00634B56"/>
    <w:rsid w:val="006356FA"/>
    <w:rsid w:val="006362AF"/>
    <w:rsid w:val="006365DC"/>
    <w:rsid w:val="006368FF"/>
    <w:rsid w:val="006377AE"/>
    <w:rsid w:val="0064075E"/>
    <w:rsid w:val="00640784"/>
    <w:rsid w:val="00640A6C"/>
    <w:rsid w:val="00640C16"/>
    <w:rsid w:val="00641836"/>
    <w:rsid w:val="00642F11"/>
    <w:rsid w:val="00643682"/>
    <w:rsid w:val="00643C8A"/>
    <w:rsid w:val="00643D9B"/>
    <w:rsid w:val="00643FEF"/>
    <w:rsid w:val="00644EFA"/>
    <w:rsid w:val="00646033"/>
    <w:rsid w:val="0064604E"/>
    <w:rsid w:val="0064731F"/>
    <w:rsid w:val="00650090"/>
    <w:rsid w:val="0065039F"/>
    <w:rsid w:val="00650D5B"/>
    <w:rsid w:val="00650FAA"/>
    <w:rsid w:val="0065166D"/>
    <w:rsid w:val="00651A45"/>
    <w:rsid w:val="00652130"/>
    <w:rsid w:val="006524AA"/>
    <w:rsid w:val="006529C4"/>
    <w:rsid w:val="00652B58"/>
    <w:rsid w:val="00652B63"/>
    <w:rsid w:val="00652D3C"/>
    <w:rsid w:val="00653EA7"/>
    <w:rsid w:val="00655066"/>
    <w:rsid w:val="006555C8"/>
    <w:rsid w:val="0065572E"/>
    <w:rsid w:val="0065580F"/>
    <w:rsid w:val="006568AA"/>
    <w:rsid w:val="006573D3"/>
    <w:rsid w:val="0066023A"/>
    <w:rsid w:val="006605F0"/>
    <w:rsid w:val="00660DF8"/>
    <w:rsid w:val="006614F8"/>
    <w:rsid w:val="00661947"/>
    <w:rsid w:val="00661C85"/>
    <w:rsid w:val="006626EB"/>
    <w:rsid w:val="006629E4"/>
    <w:rsid w:val="00662BC2"/>
    <w:rsid w:val="00663395"/>
    <w:rsid w:val="006643B5"/>
    <w:rsid w:val="00664789"/>
    <w:rsid w:val="00664F1B"/>
    <w:rsid w:val="00666252"/>
    <w:rsid w:val="006668E5"/>
    <w:rsid w:val="00666921"/>
    <w:rsid w:val="00666BD3"/>
    <w:rsid w:val="00666CE6"/>
    <w:rsid w:val="00666EFD"/>
    <w:rsid w:val="00667014"/>
    <w:rsid w:val="0066769B"/>
    <w:rsid w:val="00667D4D"/>
    <w:rsid w:val="00667F56"/>
    <w:rsid w:val="00667F5F"/>
    <w:rsid w:val="0067037D"/>
    <w:rsid w:val="006705C6"/>
    <w:rsid w:val="006712F6"/>
    <w:rsid w:val="006716C5"/>
    <w:rsid w:val="006718C3"/>
    <w:rsid w:val="006720AB"/>
    <w:rsid w:val="00672466"/>
    <w:rsid w:val="006726EB"/>
    <w:rsid w:val="00672D01"/>
    <w:rsid w:val="0067405A"/>
    <w:rsid w:val="00675704"/>
    <w:rsid w:val="00675A91"/>
    <w:rsid w:val="00675BC3"/>
    <w:rsid w:val="00675C7A"/>
    <w:rsid w:val="00675FBF"/>
    <w:rsid w:val="006770A7"/>
    <w:rsid w:val="00677D80"/>
    <w:rsid w:val="00677EBB"/>
    <w:rsid w:val="00680768"/>
    <w:rsid w:val="00681394"/>
    <w:rsid w:val="00681D40"/>
    <w:rsid w:val="006829C7"/>
    <w:rsid w:val="00682D05"/>
    <w:rsid w:val="0068325A"/>
    <w:rsid w:val="006835C5"/>
    <w:rsid w:val="00683E65"/>
    <w:rsid w:val="0068426E"/>
    <w:rsid w:val="00685151"/>
    <w:rsid w:val="0068515C"/>
    <w:rsid w:val="00685203"/>
    <w:rsid w:val="00686985"/>
    <w:rsid w:val="0068713E"/>
    <w:rsid w:val="00687264"/>
    <w:rsid w:val="006873AF"/>
    <w:rsid w:val="006876E6"/>
    <w:rsid w:val="0069055A"/>
    <w:rsid w:val="006908CC"/>
    <w:rsid w:val="006917F1"/>
    <w:rsid w:val="00691FFD"/>
    <w:rsid w:val="00692105"/>
    <w:rsid w:val="006938C4"/>
    <w:rsid w:val="00693B54"/>
    <w:rsid w:val="00693C63"/>
    <w:rsid w:val="0069437B"/>
    <w:rsid w:val="00695BFB"/>
    <w:rsid w:val="00697BCD"/>
    <w:rsid w:val="00697D6F"/>
    <w:rsid w:val="00697F54"/>
    <w:rsid w:val="006A03EB"/>
    <w:rsid w:val="006A0667"/>
    <w:rsid w:val="006A0987"/>
    <w:rsid w:val="006A19F3"/>
    <w:rsid w:val="006A1DA7"/>
    <w:rsid w:val="006A1F4F"/>
    <w:rsid w:val="006A2016"/>
    <w:rsid w:val="006A2B61"/>
    <w:rsid w:val="006A3A62"/>
    <w:rsid w:val="006A3FBF"/>
    <w:rsid w:val="006A41B3"/>
    <w:rsid w:val="006A4F68"/>
    <w:rsid w:val="006A5764"/>
    <w:rsid w:val="006A626F"/>
    <w:rsid w:val="006A63E2"/>
    <w:rsid w:val="006A6BBD"/>
    <w:rsid w:val="006A731D"/>
    <w:rsid w:val="006B045B"/>
    <w:rsid w:val="006B0A66"/>
    <w:rsid w:val="006B1336"/>
    <w:rsid w:val="006B280B"/>
    <w:rsid w:val="006B2EC7"/>
    <w:rsid w:val="006B385F"/>
    <w:rsid w:val="006B3D27"/>
    <w:rsid w:val="006B43B3"/>
    <w:rsid w:val="006B52F6"/>
    <w:rsid w:val="006B56B7"/>
    <w:rsid w:val="006B57C6"/>
    <w:rsid w:val="006B5AA2"/>
    <w:rsid w:val="006B5E6A"/>
    <w:rsid w:val="006B6DDD"/>
    <w:rsid w:val="006B747B"/>
    <w:rsid w:val="006B7B92"/>
    <w:rsid w:val="006B7CE0"/>
    <w:rsid w:val="006C0532"/>
    <w:rsid w:val="006C0A53"/>
    <w:rsid w:val="006C136B"/>
    <w:rsid w:val="006C1623"/>
    <w:rsid w:val="006C2297"/>
    <w:rsid w:val="006C22F3"/>
    <w:rsid w:val="006C2815"/>
    <w:rsid w:val="006C2881"/>
    <w:rsid w:val="006C2AAA"/>
    <w:rsid w:val="006C3380"/>
    <w:rsid w:val="006C3E1F"/>
    <w:rsid w:val="006C42A4"/>
    <w:rsid w:val="006C4A90"/>
    <w:rsid w:val="006C5107"/>
    <w:rsid w:val="006C5545"/>
    <w:rsid w:val="006C5E32"/>
    <w:rsid w:val="006C5EA4"/>
    <w:rsid w:val="006C5F72"/>
    <w:rsid w:val="006C6159"/>
    <w:rsid w:val="006C632D"/>
    <w:rsid w:val="006C6E26"/>
    <w:rsid w:val="006C70E7"/>
    <w:rsid w:val="006C7C61"/>
    <w:rsid w:val="006D0B01"/>
    <w:rsid w:val="006D2286"/>
    <w:rsid w:val="006D33C6"/>
    <w:rsid w:val="006D3C58"/>
    <w:rsid w:val="006D3F38"/>
    <w:rsid w:val="006D4203"/>
    <w:rsid w:val="006D488C"/>
    <w:rsid w:val="006D4B33"/>
    <w:rsid w:val="006D4FA5"/>
    <w:rsid w:val="006D532E"/>
    <w:rsid w:val="006D5D72"/>
    <w:rsid w:val="006D60FC"/>
    <w:rsid w:val="006D634B"/>
    <w:rsid w:val="006D6EBA"/>
    <w:rsid w:val="006E0310"/>
    <w:rsid w:val="006E0929"/>
    <w:rsid w:val="006E09B3"/>
    <w:rsid w:val="006E121B"/>
    <w:rsid w:val="006E1346"/>
    <w:rsid w:val="006E1985"/>
    <w:rsid w:val="006E23CE"/>
    <w:rsid w:val="006E39AE"/>
    <w:rsid w:val="006E3D43"/>
    <w:rsid w:val="006E4462"/>
    <w:rsid w:val="006E4FBF"/>
    <w:rsid w:val="006E523A"/>
    <w:rsid w:val="006E58F0"/>
    <w:rsid w:val="006E61F0"/>
    <w:rsid w:val="006E637F"/>
    <w:rsid w:val="006E69ED"/>
    <w:rsid w:val="006E7A37"/>
    <w:rsid w:val="006E7DD9"/>
    <w:rsid w:val="006E7F46"/>
    <w:rsid w:val="006F1186"/>
    <w:rsid w:val="006F1E03"/>
    <w:rsid w:val="006F297D"/>
    <w:rsid w:val="006F2B78"/>
    <w:rsid w:val="006F30B4"/>
    <w:rsid w:val="006F311F"/>
    <w:rsid w:val="006F3166"/>
    <w:rsid w:val="006F4F86"/>
    <w:rsid w:val="006F5824"/>
    <w:rsid w:val="006F58C0"/>
    <w:rsid w:val="006F5BB4"/>
    <w:rsid w:val="006F6235"/>
    <w:rsid w:val="006F68FC"/>
    <w:rsid w:val="006F6F0A"/>
    <w:rsid w:val="006F759E"/>
    <w:rsid w:val="006F7ED3"/>
    <w:rsid w:val="00700FBF"/>
    <w:rsid w:val="0070205F"/>
    <w:rsid w:val="007020C9"/>
    <w:rsid w:val="00702304"/>
    <w:rsid w:val="00702DD3"/>
    <w:rsid w:val="0070302A"/>
    <w:rsid w:val="007038C7"/>
    <w:rsid w:val="007038E3"/>
    <w:rsid w:val="007039B4"/>
    <w:rsid w:val="00703DAE"/>
    <w:rsid w:val="00703F25"/>
    <w:rsid w:val="00704542"/>
    <w:rsid w:val="00704B04"/>
    <w:rsid w:val="007050CE"/>
    <w:rsid w:val="00706725"/>
    <w:rsid w:val="00706BC1"/>
    <w:rsid w:val="00707364"/>
    <w:rsid w:val="00707478"/>
    <w:rsid w:val="007079AE"/>
    <w:rsid w:val="00707A33"/>
    <w:rsid w:val="00707B44"/>
    <w:rsid w:val="00710AE9"/>
    <w:rsid w:val="0071112F"/>
    <w:rsid w:val="00713603"/>
    <w:rsid w:val="007137BC"/>
    <w:rsid w:val="00713CAD"/>
    <w:rsid w:val="00714655"/>
    <w:rsid w:val="00714A8E"/>
    <w:rsid w:val="007150DF"/>
    <w:rsid w:val="007155CE"/>
    <w:rsid w:val="00715765"/>
    <w:rsid w:val="00715AA4"/>
    <w:rsid w:val="00715D9A"/>
    <w:rsid w:val="00716003"/>
    <w:rsid w:val="0071622E"/>
    <w:rsid w:val="007164FE"/>
    <w:rsid w:val="00716653"/>
    <w:rsid w:val="00717F64"/>
    <w:rsid w:val="007201DC"/>
    <w:rsid w:val="00720A00"/>
    <w:rsid w:val="00720FC3"/>
    <w:rsid w:val="00721719"/>
    <w:rsid w:val="007221AC"/>
    <w:rsid w:val="00722DE4"/>
    <w:rsid w:val="00722FE3"/>
    <w:rsid w:val="00723511"/>
    <w:rsid w:val="00723B16"/>
    <w:rsid w:val="00723D95"/>
    <w:rsid w:val="00724373"/>
    <w:rsid w:val="0072449F"/>
    <w:rsid w:val="007252A1"/>
    <w:rsid w:val="00725D1C"/>
    <w:rsid w:val="00726575"/>
    <w:rsid w:val="00726A4C"/>
    <w:rsid w:val="00726D08"/>
    <w:rsid w:val="0072705A"/>
    <w:rsid w:val="007274AD"/>
    <w:rsid w:val="0072773E"/>
    <w:rsid w:val="007279EB"/>
    <w:rsid w:val="00727EAE"/>
    <w:rsid w:val="0073076D"/>
    <w:rsid w:val="00730D94"/>
    <w:rsid w:val="00731B15"/>
    <w:rsid w:val="00732527"/>
    <w:rsid w:val="007326AB"/>
    <w:rsid w:val="00732A32"/>
    <w:rsid w:val="00732A6A"/>
    <w:rsid w:val="007330E8"/>
    <w:rsid w:val="00733468"/>
    <w:rsid w:val="0073431A"/>
    <w:rsid w:val="00734468"/>
    <w:rsid w:val="00734B9C"/>
    <w:rsid w:val="00734E77"/>
    <w:rsid w:val="00734EF1"/>
    <w:rsid w:val="007351B1"/>
    <w:rsid w:val="007351DF"/>
    <w:rsid w:val="007355EF"/>
    <w:rsid w:val="00735ABD"/>
    <w:rsid w:val="00735AFD"/>
    <w:rsid w:val="0073658E"/>
    <w:rsid w:val="00736AD0"/>
    <w:rsid w:val="007370DB"/>
    <w:rsid w:val="00737385"/>
    <w:rsid w:val="0073746B"/>
    <w:rsid w:val="00737984"/>
    <w:rsid w:val="00737AA4"/>
    <w:rsid w:val="007405F0"/>
    <w:rsid w:val="0074178E"/>
    <w:rsid w:val="007419D0"/>
    <w:rsid w:val="00741E86"/>
    <w:rsid w:val="00742DA1"/>
    <w:rsid w:val="007430D8"/>
    <w:rsid w:val="007434F5"/>
    <w:rsid w:val="00743BAF"/>
    <w:rsid w:val="00744B8F"/>
    <w:rsid w:val="00744BB5"/>
    <w:rsid w:val="0074518E"/>
    <w:rsid w:val="00745424"/>
    <w:rsid w:val="0074654D"/>
    <w:rsid w:val="00746BB0"/>
    <w:rsid w:val="00746BCE"/>
    <w:rsid w:val="00746E96"/>
    <w:rsid w:val="007473F5"/>
    <w:rsid w:val="00747EF9"/>
    <w:rsid w:val="0075085D"/>
    <w:rsid w:val="00751571"/>
    <w:rsid w:val="0075169C"/>
    <w:rsid w:val="00751AD5"/>
    <w:rsid w:val="00752330"/>
    <w:rsid w:val="00752CA1"/>
    <w:rsid w:val="00752E4F"/>
    <w:rsid w:val="00753146"/>
    <w:rsid w:val="00753262"/>
    <w:rsid w:val="00754CF2"/>
    <w:rsid w:val="00754F43"/>
    <w:rsid w:val="007556A8"/>
    <w:rsid w:val="00755F34"/>
    <w:rsid w:val="00756778"/>
    <w:rsid w:val="00756F4C"/>
    <w:rsid w:val="007571EF"/>
    <w:rsid w:val="00757434"/>
    <w:rsid w:val="007576FD"/>
    <w:rsid w:val="007579C8"/>
    <w:rsid w:val="00760AAA"/>
    <w:rsid w:val="00760AB0"/>
    <w:rsid w:val="00760D90"/>
    <w:rsid w:val="007635BE"/>
    <w:rsid w:val="00763C18"/>
    <w:rsid w:val="0076449A"/>
    <w:rsid w:val="00764F40"/>
    <w:rsid w:val="00765E8D"/>
    <w:rsid w:val="00766057"/>
    <w:rsid w:val="007664E1"/>
    <w:rsid w:val="007677F7"/>
    <w:rsid w:val="0076792C"/>
    <w:rsid w:val="00767CF3"/>
    <w:rsid w:val="007700E9"/>
    <w:rsid w:val="007703C7"/>
    <w:rsid w:val="00771F9F"/>
    <w:rsid w:val="007724E2"/>
    <w:rsid w:val="00772579"/>
    <w:rsid w:val="00772815"/>
    <w:rsid w:val="00772CBF"/>
    <w:rsid w:val="007739FB"/>
    <w:rsid w:val="00773F52"/>
    <w:rsid w:val="007747BA"/>
    <w:rsid w:val="00775033"/>
    <w:rsid w:val="007756A8"/>
    <w:rsid w:val="00775C3E"/>
    <w:rsid w:val="00776552"/>
    <w:rsid w:val="007771E4"/>
    <w:rsid w:val="00777BF7"/>
    <w:rsid w:val="00780C4D"/>
    <w:rsid w:val="00781EFE"/>
    <w:rsid w:val="0078265C"/>
    <w:rsid w:val="00782D0F"/>
    <w:rsid w:val="00783191"/>
    <w:rsid w:val="007831CD"/>
    <w:rsid w:val="007833D7"/>
    <w:rsid w:val="007833E1"/>
    <w:rsid w:val="007836AA"/>
    <w:rsid w:val="00784308"/>
    <w:rsid w:val="007847F3"/>
    <w:rsid w:val="00784948"/>
    <w:rsid w:val="00784AE2"/>
    <w:rsid w:val="00785586"/>
    <w:rsid w:val="00785EB3"/>
    <w:rsid w:val="00786C96"/>
    <w:rsid w:val="00787D69"/>
    <w:rsid w:val="0079079B"/>
    <w:rsid w:val="00791178"/>
    <w:rsid w:val="00791222"/>
    <w:rsid w:val="00791275"/>
    <w:rsid w:val="0079127E"/>
    <w:rsid w:val="00791469"/>
    <w:rsid w:val="00791BE8"/>
    <w:rsid w:val="00792157"/>
    <w:rsid w:val="00792951"/>
    <w:rsid w:val="00792F0C"/>
    <w:rsid w:val="007935DB"/>
    <w:rsid w:val="00793924"/>
    <w:rsid w:val="007946B8"/>
    <w:rsid w:val="007949E9"/>
    <w:rsid w:val="00794C3B"/>
    <w:rsid w:val="00794CC1"/>
    <w:rsid w:val="00794E1C"/>
    <w:rsid w:val="007950C9"/>
    <w:rsid w:val="007953CA"/>
    <w:rsid w:val="00795742"/>
    <w:rsid w:val="00795AE1"/>
    <w:rsid w:val="00795C9F"/>
    <w:rsid w:val="00795EE5"/>
    <w:rsid w:val="0079606F"/>
    <w:rsid w:val="00796208"/>
    <w:rsid w:val="0079622C"/>
    <w:rsid w:val="00796C3A"/>
    <w:rsid w:val="00796D27"/>
    <w:rsid w:val="00797469"/>
    <w:rsid w:val="00797CE1"/>
    <w:rsid w:val="007A01B9"/>
    <w:rsid w:val="007A020F"/>
    <w:rsid w:val="007A0B28"/>
    <w:rsid w:val="007A13C0"/>
    <w:rsid w:val="007A1E42"/>
    <w:rsid w:val="007A2B2A"/>
    <w:rsid w:val="007A3773"/>
    <w:rsid w:val="007A428D"/>
    <w:rsid w:val="007A6157"/>
    <w:rsid w:val="007A6796"/>
    <w:rsid w:val="007A67CF"/>
    <w:rsid w:val="007A7159"/>
    <w:rsid w:val="007A73FB"/>
    <w:rsid w:val="007B00AE"/>
    <w:rsid w:val="007B01E2"/>
    <w:rsid w:val="007B044D"/>
    <w:rsid w:val="007B05C8"/>
    <w:rsid w:val="007B0786"/>
    <w:rsid w:val="007B2018"/>
    <w:rsid w:val="007B2432"/>
    <w:rsid w:val="007B2771"/>
    <w:rsid w:val="007B2C7B"/>
    <w:rsid w:val="007B2FF6"/>
    <w:rsid w:val="007B39C7"/>
    <w:rsid w:val="007B46B7"/>
    <w:rsid w:val="007B4D3F"/>
    <w:rsid w:val="007B55BF"/>
    <w:rsid w:val="007B68B9"/>
    <w:rsid w:val="007B6F11"/>
    <w:rsid w:val="007B7443"/>
    <w:rsid w:val="007B786E"/>
    <w:rsid w:val="007C065E"/>
    <w:rsid w:val="007C0D67"/>
    <w:rsid w:val="007C10CE"/>
    <w:rsid w:val="007C23A2"/>
    <w:rsid w:val="007C25C8"/>
    <w:rsid w:val="007C2CBF"/>
    <w:rsid w:val="007C2D97"/>
    <w:rsid w:val="007C2F39"/>
    <w:rsid w:val="007C3E0D"/>
    <w:rsid w:val="007C43C2"/>
    <w:rsid w:val="007C4C63"/>
    <w:rsid w:val="007C5483"/>
    <w:rsid w:val="007C58D7"/>
    <w:rsid w:val="007C5D1B"/>
    <w:rsid w:val="007C5F77"/>
    <w:rsid w:val="007C60B9"/>
    <w:rsid w:val="007C611D"/>
    <w:rsid w:val="007C63BA"/>
    <w:rsid w:val="007C661E"/>
    <w:rsid w:val="007C66C6"/>
    <w:rsid w:val="007C69C7"/>
    <w:rsid w:val="007C7134"/>
    <w:rsid w:val="007C76C9"/>
    <w:rsid w:val="007C789E"/>
    <w:rsid w:val="007C799E"/>
    <w:rsid w:val="007D0418"/>
    <w:rsid w:val="007D080D"/>
    <w:rsid w:val="007D081D"/>
    <w:rsid w:val="007D1936"/>
    <w:rsid w:val="007D1B5D"/>
    <w:rsid w:val="007D1CCA"/>
    <w:rsid w:val="007D2ECD"/>
    <w:rsid w:val="007D315C"/>
    <w:rsid w:val="007D480F"/>
    <w:rsid w:val="007D52BE"/>
    <w:rsid w:val="007D58C8"/>
    <w:rsid w:val="007D5AF8"/>
    <w:rsid w:val="007D6A27"/>
    <w:rsid w:val="007D6E46"/>
    <w:rsid w:val="007D7DBD"/>
    <w:rsid w:val="007E0346"/>
    <w:rsid w:val="007E04D2"/>
    <w:rsid w:val="007E0FD3"/>
    <w:rsid w:val="007E1281"/>
    <w:rsid w:val="007E1AEC"/>
    <w:rsid w:val="007E1E91"/>
    <w:rsid w:val="007E2F99"/>
    <w:rsid w:val="007E317B"/>
    <w:rsid w:val="007E36DE"/>
    <w:rsid w:val="007E4C06"/>
    <w:rsid w:val="007E545C"/>
    <w:rsid w:val="007E5662"/>
    <w:rsid w:val="007E658B"/>
    <w:rsid w:val="007E6E20"/>
    <w:rsid w:val="007E7096"/>
    <w:rsid w:val="007E71E4"/>
    <w:rsid w:val="007E7975"/>
    <w:rsid w:val="007E7C0F"/>
    <w:rsid w:val="007F07B9"/>
    <w:rsid w:val="007F0C21"/>
    <w:rsid w:val="007F0ECA"/>
    <w:rsid w:val="007F1040"/>
    <w:rsid w:val="007F132F"/>
    <w:rsid w:val="007F234F"/>
    <w:rsid w:val="007F2E86"/>
    <w:rsid w:val="007F4514"/>
    <w:rsid w:val="007F53D6"/>
    <w:rsid w:val="007F678B"/>
    <w:rsid w:val="007F6FCD"/>
    <w:rsid w:val="007F7165"/>
    <w:rsid w:val="007F72C9"/>
    <w:rsid w:val="007F7437"/>
    <w:rsid w:val="007F7BA0"/>
    <w:rsid w:val="007F7EB6"/>
    <w:rsid w:val="007F7F5F"/>
    <w:rsid w:val="00800978"/>
    <w:rsid w:val="0080098A"/>
    <w:rsid w:val="00800CD1"/>
    <w:rsid w:val="00801257"/>
    <w:rsid w:val="008019FA"/>
    <w:rsid w:val="00801B71"/>
    <w:rsid w:val="008028BE"/>
    <w:rsid w:val="0080300A"/>
    <w:rsid w:val="0080305D"/>
    <w:rsid w:val="0080337E"/>
    <w:rsid w:val="008049EF"/>
    <w:rsid w:val="00804ABC"/>
    <w:rsid w:val="00804DD7"/>
    <w:rsid w:val="00805034"/>
    <w:rsid w:val="00805D73"/>
    <w:rsid w:val="0080611F"/>
    <w:rsid w:val="00806209"/>
    <w:rsid w:val="00810647"/>
    <w:rsid w:val="00810ACF"/>
    <w:rsid w:val="00810AD5"/>
    <w:rsid w:val="0081168F"/>
    <w:rsid w:val="0081195F"/>
    <w:rsid w:val="00811EB9"/>
    <w:rsid w:val="00812069"/>
    <w:rsid w:val="0081241E"/>
    <w:rsid w:val="00812B81"/>
    <w:rsid w:val="008136FF"/>
    <w:rsid w:val="0081384D"/>
    <w:rsid w:val="00813A8C"/>
    <w:rsid w:val="00813C29"/>
    <w:rsid w:val="00814C09"/>
    <w:rsid w:val="0081521D"/>
    <w:rsid w:val="008157D8"/>
    <w:rsid w:val="00815BA2"/>
    <w:rsid w:val="00815CA2"/>
    <w:rsid w:val="00817205"/>
    <w:rsid w:val="008177BA"/>
    <w:rsid w:val="00820B1F"/>
    <w:rsid w:val="0082120E"/>
    <w:rsid w:val="0082124B"/>
    <w:rsid w:val="00821459"/>
    <w:rsid w:val="0082183C"/>
    <w:rsid w:val="00822550"/>
    <w:rsid w:val="00822693"/>
    <w:rsid w:val="008229E1"/>
    <w:rsid w:val="0082411C"/>
    <w:rsid w:val="00824E07"/>
    <w:rsid w:val="008253FB"/>
    <w:rsid w:val="0082626B"/>
    <w:rsid w:val="0082633A"/>
    <w:rsid w:val="00826A79"/>
    <w:rsid w:val="00826F27"/>
    <w:rsid w:val="008276DF"/>
    <w:rsid w:val="00827BD9"/>
    <w:rsid w:val="00827E8E"/>
    <w:rsid w:val="00830252"/>
    <w:rsid w:val="008306D6"/>
    <w:rsid w:val="00830B6C"/>
    <w:rsid w:val="008310FC"/>
    <w:rsid w:val="008311CA"/>
    <w:rsid w:val="0083124D"/>
    <w:rsid w:val="00831718"/>
    <w:rsid w:val="008318D3"/>
    <w:rsid w:val="00832F3A"/>
    <w:rsid w:val="00833186"/>
    <w:rsid w:val="0083364A"/>
    <w:rsid w:val="00833BB4"/>
    <w:rsid w:val="00834541"/>
    <w:rsid w:val="0083530B"/>
    <w:rsid w:val="0083540E"/>
    <w:rsid w:val="00835CD0"/>
    <w:rsid w:val="008369CA"/>
    <w:rsid w:val="00836C1E"/>
    <w:rsid w:val="0083759C"/>
    <w:rsid w:val="00837655"/>
    <w:rsid w:val="00837A7A"/>
    <w:rsid w:val="008413B1"/>
    <w:rsid w:val="00842A32"/>
    <w:rsid w:val="00843174"/>
    <w:rsid w:val="00843944"/>
    <w:rsid w:val="008444E5"/>
    <w:rsid w:val="00844B09"/>
    <w:rsid w:val="0084510F"/>
    <w:rsid w:val="008457C8"/>
    <w:rsid w:val="00845A44"/>
    <w:rsid w:val="00845D39"/>
    <w:rsid w:val="00846536"/>
    <w:rsid w:val="00846870"/>
    <w:rsid w:val="00846D7E"/>
    <w:rsid w:val="00847252"/>
    <w:rsid w:val="0084794D"/>
    <w:rsid w:val="00847C79"/>
    <w:rsid w:val="00847E0B"/>
    <w:rsid w:val="0085092E"/>
    <w:rsid w:val="0085135C"/>
    <w:rsid w:val="00851744"/>
    <w:rsid w:val="0085202B"/>
    <w:rsid w:val="0085221C"/>
    <w:rsid w:val="008522B2"/>
    <w:rsid w:val="0085246F"/>
    <w:rsid w:val="0085344E"/>
    <w:rsid w:val="0085362D"/>
    <w:rsid w:val="008547AE"/>
    <w:rsid w:val="0085489F"/>
    <w:rsid w:val="00854FE6"/>
    <w:rsid w:val="0085519A"/>
    <w:rsid w:val="00855512"/>
    <w:rsid w:val="0085572D"/>
    <w:rsid w:val="00855ACF"/>
    <w:rsid w:val="00855B76"/>
    <w:rsid w:val="00855C66"/>
    <w:rsid w:val="0085648B"/>
    <w:rsid w:val="00856E0F"/>
    <w:rsid w:val="00857BE0"/>
    <w:rsid w:val="00857EBE"/>
    <w:rsid w:val="00860BC7"/>
    <w:rsid w:val="00861C04"/>
    <w:rsid w:val="00861DEC"/>
    <w:rsid w:val="00861E04"/>
    <w:rsid w:val="008636E9"/>
    <w:rsid w:val="00863C52"/>
    <w:rsid w:val="00864257"/>
    <w:rsid w:val="008644E8"/>
    <w:rsid w:val="00864BAE"/>
    <w:rsid w:val="00864D5E"/>
    <w:rsid w:val="008655FD"/>
    <w:rsid w:val="00866D80"/>
    <w:rsid w:val="00867329"/>
    <w:rsid w:val="00870F49"/>
    <w:rsid w:val="00871436"/>
    <w:rsid w:val="00871894"/>
    <w:rsid w:val="00872943"/>
    <w:rsid w:val="00872EB5"/>
    <w:rsid w:val="00873246"/>
    <w:rsid w:val="0087394B"/>
    <w:rsid w:val="00873E79"/>
    <w:rsid w:val="0087449D"/>
    <w:rsid w:val="008745BF"/>
    <w:rsid w:val="00874726"/>
    <w:rsid w:val="00874C28"/>
    <w:rsid w:val="00875370"/>
    <w:rsid w:val="00875E61"/>
    <w:rsid w:val="008768EE"/>
    <w:rsid w:val="00877004"/>
    <w:rsid w:val="008774D2"/>
    <w:rsid w:val="00877577"/>
    <w:rsid w:val="00877D25"/>
    <w:rsid w:val="00880336"/>
    <w:rsid w:val="00880ADC"/>
    <w:rsid w:val="00880CA5"/>
    <w:rsid w:val="00880FEC"/>
    <w:rsid w:val="008810FC"/>
    <w:rsid w:val="00881124"/>
    <w:rsid w:val="00881D59"/>
    <w:rsid w:val="00884003"/>
    <w:rsid w:val="0088431F"/>
    <w:rsid w:val="00884E38"/>
    <w:rsid w:val="0088535C"/>
    <w:rsid w:val="00885620"/>
    <w:rsid w:val="00885CD9"/>
    <w:rsid w:val="00885DC0"/>
    <w:rsid w:val="00886F10"/>
    <w:rsid w:val="00886F5B"/>
    <w:rsid w:val="008906C4"/>
    <w:rsid w:val="008907D8"/>
    <w:rsid w:val="0089179D"/>
    <w:rsid w:val="008919BA"/>
    <w:rsid w:val="00891A60"/>
    <w:rsid w:val="008924BD"/>
    <w:rsid w:val="00892945"/>
    <w:rsid w:val="00893272"/>
    <w:rsid w:val="00893AD5"/>
    <w:rsid w:val="008944F0"/>
    <w:rsid w:val="00894A6A"/>
    <w:rsid w:val="00894C0D"/>
    <w:rsid w:val="00894F80"/>
    <w:rsid w:val="00895152"/>
    <w:rsid w:val="008951E4"/>
    <w:rsid w:val="00895833"/>
    <w:rsid w:val="00895B51"/>
    <w:rsid w:val="00895C70"/>
    <w:rsid w:val="008968D5"/>
    <w:rsid w:val="008969B9"/>
    <w:rsid w:val="00896D93"/>
    <w:rsid w:val="008971CC"/>
    <w:rsid w:val="00897621"/>
    <w:rsid w:val="00897E7A"/>
    <w:rsid w:val="008A0167"/>
    <w:rsid w:val="008A0341"/>
    <w:rsid w:val="008A0EE1"/>
    <w:rsid w:val="008A0FE3"/>
    <w:rsid w:val="008A191D"/>
    <w:rsid w:val="008A2805"/>
    <w:rsid w:val="008A2A2E"/>
    <w:rsid w:val="008A2EAC"/>
    <w:rsid w:val="008A38BE"/>
    <w:rsid w:val="008A40E6"/>
    <w:rsid w:val="008A4B98"/>
    <w:rsid w:val="008A5B1D"/>
    <w:rsid w:val="008A5D89"/>
    <w:rsid w:val="008A6BE9"/>
    <w:rsid w:val="008A6C90"/>
    <w:rsid w:val="008A73F2"/>
    <w:rsid w:val="008A742E"/>
    <w:rsid w:val="008A7FC6"/>
    <w:rsid w:val="008B00E7"/>
    <w:rsid w:val="008B028C"/>
    <w:rsid w:val="008B06D2"/>
    <w:rsid w:val="008B08C4"/>
    <w:rsid w:val="008B109B"/>
    <w:rsid w:val="008B1234"/>
    <w:rsid w:val="008B14ED"/>
    <w:rsid w:val="008B1E90"/>
    <w:rsid w:val="008B214F"/>
    <w:rsid w:val="008B254D"/>
    <w:rsid w:val="008B2C0B"/>
    <w:rsid w:val="008B30C9"/>
    <w:rsid w:val="008B4046"/>
    <w:rsid w:val="008B4ACC"/>
    <w:rsid w:val="008B6898"/>
    <w:rsid w:val="008B73A5"/>
    <w:rsid w:val="008B767F"/>
    <w:rsid w:val="008C014A"/>
    <w:rsid w:val="008C09A1"/>
    <w:rsid w:val="008C11B6"/>
    <w:rsid w:val="008C2808"/>
    <w:rsid w:val="008C29B3"/>
    <w:rsid w:val="008C2E4B"/>
    <w:rsid w:val="008C2ED2"/>
    <w:rsid w:val="008C36D1"/>
    <w:rsid w:val="008C3C41"/>
    <w:rsid w:val="008C3E1D"/>
    <w:rsid w:val="008C44DC"/>
    <w:rsid w:val="008C4991"/>
    <w:rsid w:val="008C4FB9"/>
    <w:rsid w:val="008C60A3"/>
    <w:rsid w:val="008C6354"/>
    <w:rsid w:val="008C6663"/>
    <w:rsid w:val="008C6B61"/>
    <w:rsid w:val="008C6E4B"/>
    <w:rsid w:val="008C72F0"/>
    <w:rsid w:val="008C763F"/>
    <w:rsid w:val="008C7DDA"/>
    <w:rsid w:val="008D0486"/>
    <w:rsid w:val="008D0C9D"/>
    <w:rsid w:val="008D0EBA"/>
    <w:rsid w:val="008D0F94"/>
    <w:rsid w:val="008D11F8"/>
    <w:rsid w:val="008D13A4"/>
    <w:rsid w:val="008D15D8"/>
    <w:rsid w:val="008D1D1C"/>
    <w:rsid w:val="008D2BD3"/>
    <w:rsid w:val="008D2DF3"/>
    <w:rsid w:val="008D3317"/>
    <w:rsid w:val="008D386C"/>
    <w:rsid w:val="008D3D9F"/>
    <w:rsid w:val="008D423A"/>
    <w:rsid w:val="008D45DE"/>
    <w:rsid w:val="008D5EB0"/>
    <w:rsid w:val="008D6A4C"/>
    <w:rsid w:val="008D6BF7"/>
    <w:rsid w:val="008D6C22"/>
    <w:rsid w:val="008D71E5"/>
    <w:rsid w:val="008D74B9"/>
    <w:rsid w:val="008D78D0"/>
    <w:rsid w:val="008E07D6"/>
    <w:rsid w:val="008E0A49"/>
    <w:rsid w:val="008E0EC6"/>
    <w:rsid w:val="008E168C"/>
    <w:rsid w:val="008E1842"/>
    <w:rsid w:val="008E1997"/>
    <w:rsid w:val="008E225B"/>
    <w:rsid w:val="008E23CD"/>
    <w:rsid w:val="008E29DF"/>
    <w:rsid w:val="008E2BD4"/>
    <w:rsid w:val="008E2F16"/>
    <w:rsid w:val="008E35C4"/>
    <w:rsid w:val="008E3B3E"/>
    <w:rsid w:val="008E43AC"/>
    <w:rsid w:val="008E4FBF"/>
    <w:rsid w:val="008E5613"/>
    <w:rsid w:val="008E5A3E"/>
    <w:rsid w:val="008E7225"/>
    <w:rsid w:val="008E7B31"/>
    <w:rsid w:val="008E7E93"/>
    <w:rsid w:val="008F0B3F"/>
    <w:rsid w:val="008F0BB7"/>
    <w:rsid w:val="008F1960"/>
    <w:rsid w:val="008F2E2E"/>
    <w:rsid w:val="008F3AEC"/>
    <w:rsid w:val="008F43B5"/>
    <w:rsid w:val="008F4937"/>
    <w:rsid w:val="008F51DB"/>
    <w:rsid w:val="008F5484"/>
    <w:rsid w:val="008F55F8"/>
    <w:rsid w:val="008F5F00"/>
    <w:rsid w:val="008F6775"/>
    <w:rsid w:val="008F7695"/>
    <w:rsid w:val="008F7AC7"/>
    <w:rsid w:val="00900781"/>
    <w:rsid w:val="00900A9D"/>
    <w:rsid w:val="00900EF4"/>
    <w:rsid w:val="00900FDF"/>
    <w:rsid w:val="0090151C"/>
    <w:rsid w:val="00901551"/>
    <w:rsid w:val="00901F0A"/>
    <w:rsid w:val="0090261D"/>
    <w:rsid w:val="00902FD1"/>
    <w:rsid w:val="009044B0"/>
    <w:rsid w:val="00904EB0"/>
    <w:rsid w:val="00904FB0"/>
    <w:rsid w:val="00905053"/>
    <w:rsid w:val="009051D3"/>
    <w:rsid w:val="00905984"/>
    <w:rsid w:val="009059DD"/>
    <w:rsid w:val="00905D87"/>
    <w:rsid w:val="00907639"/>
    <w:rsid w:val="009076B7"/>
    <w:rsid w:val="00907984"/>
    <w:rsid w:val="00907F00"/>
    <w:rsid w:val="009101C4"/>
    <w:rsid w:val="009105E8"/>
    <w:rsid w:val="009108A8"/>
    <w:rsid w:val="00911A78"/>
    <w:rsid w:val="009124DB"/>
    <w:rsid w:val="00912620"/>
    <w:rsid w:val="0091298C"/>
    <w:rsid w:val="0091378C"/>
    <w:rsid w:val="0091451E"/>
    <w:rsid w:val="00914564"/>
    <w:rsid w:val="00914642"/>
    <w:rsid w:val="009156AB"/>
    <w:rsid w:val="009156F5"/>
    <w:rsid w:val="00915886"/>
    <w:rsid w:val="00915D6F"/>
    <w:rsid w:val="0091631C"/>
    <w:rsid w:val="00916E76"/>
    <w:rsid w:val="00916F43"/>
    <w:rsid w:val="009201CD"/>
    <w:rsid w:val="00920228"/>
    <w:rsid w:val="00920249"/>
    <w:rsid w:val="00920C5C"/>
    <w:rsid w:val="00920EB1"/>
    <w:rsid w:val="0092162E"/>
    <w:rsid w:val="00921940"/>
    <w:rsid w:val="00921DA1"/>
    <w:rsid w:val="009224DC"/>
    <w:rsid w:val="00922A2E"/>
    <w:rsid w:val="00922A6A"/>
    <w:rsid w:val="00922CB1"/>
    <w:rsid w:val="0092398D"/>
    <w:rsid w:val="009243EA"/>
    <w:rsid w:val="00924C06"/>
    <w:rsid w:val="0092516B"/>
    <w:rsid w:val="00925A1D"/>
    <w:rsid w:val="00925E96"/>
    <w:rsid w:val="00926D61"/>
    <w:rsid w:val="009275A4"/>
    <w:rsid w:val="00927886"/>
    <w:rsid w:val="00927C48"/>
    <w:rsid w:val="00927D0C"/>
    <w:rsid w:val="00927FB3"/>
    <w:rsid w:val="0093087C"/>
    <w:rsid w:val="0093132B"/>
    <w:rsid w:val="009313B1"/>
    <w:rsid w:val="0093259D"/>
    <w:rsid w:val="0093271E"/>
    <w:rsid w:val="00932E49"/>
    <w:rsid w:val="009333B5"/>
    <w:rsid w:val="0093363A"/>
    <w:rsid w:val="00933717"/>
    <w:rsid w:val="009345C5"/>
    <w:rsid w:val="00935E63"/>
    <w:rsid w:val="009360F1"/>
    <w:rsid w:val="00936111"/>
    <w:rsid w:val="0093623C"/>
    <w:rsid w:val="009373B5"/>
    <w:rsid w:val="009377C1"/>
    <w:rsid w:val="009400B6"/>
    <w:rsid w:val="00941504"/>
    <w:rsid w:val="00943323"/>
    <w:rsid w:val="0094380C"/>
    <w:rsid w:val="009439F8"/>
    <w:rsid w:val="00943BA4"/>
    <w:rsid w:val="00943C8B"/>
    <w:rsid w:val="009441D5"/>
    <w:rsid w:val="00944CB8"/>
    <w:rsid w:val="009460E1"/>
    <w:rsid w:val="0094644F"/>
    <w:rsid w:val="00947021"/>
    <w:rsid w:val="00947F19"/>
    <w:rsid w:val="00947FC1"/>
    <w:rsid w:val="0095004C"/>
    <w:rsid w:val="00950A49"/>
    <w:rsid w:val="00951027"/>
    <w:rsid w:val="00951925"/>
    <w:rsid w:val="009519B3"/>
    <w:rsid w:val="00951A7A"/>
    <w:rsid w:val="0095213A"/>
    <w:rsid w:val="0095286E"/>
    <w:rsid w:val="00953E24"/>
    <w:rsid w:val="00955181"/>
    <w:rsid w:val="00955BA4"/>
    <w:rsid w:val="00956238"/>
    <w:rsid w:val="00956877"/>
    <w:rsid w:val="009579A9"/>
    <w:rsid w:val="00960063"/>
    <w:rsid w:val="00961574"/>
    <w:rsid w:val="009619BC"/>
    <w:rsid w:val="00961EF9"/>
    <w:rsid w:val="00961F1E"/>
    <w:rsid w:val="009624BB"/>
    <w:rsid w:val="00962AD6"/>
    <w:rsid w:val="00963E4B"/>
    <w:rsid w:val="00964389"/>
    <w:rsid w:val="009648A9"/>
    <w:rsid w:val="00965042"/>
    <w:rsid w:val="009654C7"/>
    <w:rsid w:val="00965525"/>
    <w:rsid w:val="0096553A"/>
    <w:rsid w:val="00966458"/>
    <w:rsid w:val="00966A1F"/>
    <w:rsid w:val="00967012"/>
    <w:rsid w:val="00967441"/>
    <w:rsid w:val="0096765D"/>
    <w:rsid w:val="0097033E"/>
    <w:rsid w:val="00971167"/>
    <w:rsid w:val="0097226A"/>
    <w:rsid w:val="009732C1"/>
    <w:rsid w:val="0097444F"/>
    <w:rsid w:val="00974650"/>
    <w:rsid w:val="00974C24"/>
    <w:rsid w:val="00974C64"/>
    <w:rsid w:val="009752C7"/>
    <w:rsid w:val="0097611B"/>
    <w:rsid w:val="0097659F"/>
    <w:rsid w:val="009775E2"/>
    <w:rsid w:val="0097778C"/>
    <w:rsid w:val="00977CA4"/>
    <w:rsid w:val="009804F5"/>
    <w:rsid w:val="009805A9"/>
    <w:rsid w:val="009809D2"/>
    <w:rsid w:val="00981F9D"/>
    <w:rsid w:val="00982145"/>
    <w:rsid w:val="00982B54"/>
    <w:rsid w:val="00982F10"/>
    <w:rsid w:val="00984851"/>
    <w:rsid w:val="00984FC2"/>
    <w:rsid w:val="00985031"/>
    <w:rsid w:val="00985578"/>
    <w:rsid w:val="00985737"/>
    <w:rsid w:val="00986179"/>
    <w:rsid w:val="0098749D"/>
    <w:rsid w:val="0099074A"/>
    <w:rsid w:val="00990A2C"/>
    <w:rsid w:val="00990B1A"/>
    <w:rsid w:val="00990C2C"/>
    <w:rsid w:val="009911D9"/>
    <w:rsid w:val="009918FA"/>
    <w:rsid w:val="009925B1"/>
    <w:rsid w:val="0099297D"/>
    <w:rsid w:val="00992B17"/>
    <w:rsid w:val="00992FDE"/>
    <w:rsid w:val="00993213"/>
    <w:rsid w:val="0099334B"/>
    <w:rsid w:val="00993532"/>
    <w:rsid w:val="00994110"/>
    <w:rsid w:val="009942A3"/>
    <w:rsid w:val="009943C9"/>
    <w:rsid w:val="009947F3"/>
    <w:rsid w:val="00995B61"/>
    <w:rsid w:val="00995F11"/>
    <w:rsid w:val="0099644F"/>
    <w:rsid w:val="009970D9"/>
    <w:rsid w:val="0099710B"/>
    <w:rsid w:val="00997A11"/>
    <w:rsid w:val="009A0831"/>
    <w:rsid w:val="009A2C5A"/>
    <w:rsid w:val="009A4154"/>
    <w:rsid w:val="009A553C"/>
    <w:rsid w:val="009A63AD"/>
    <w:rsid w:val="009A68EA"/>
    <w:rsid w:val="009A6D29"/>
    <w:rsid w:val="009A716A"/>
    <w:rsid w:val="009A7815"/>
    <w:rsid w:val="009B1293"/>
    <w:rsid w:val="009B1B20"/>
    <w:rsid w:val="009B2389"/>
    <w:rsid w:val="009B2461"/>
    <w:rsid w:val="009B2C87"/>
    <w:rsid w:val="009B3BBC"/>
    <w:rsid w:val="009B4990"/>
    <w:rsid w:val="009B4A5F"/>
    <w:rsid w:val="009B741F"/>
    <w:rsid w:val="009B7EC8"/>
    <w:rsid w:val="009C036F"/>
    <w:rsid w:val="009C09F8"/>
    <w:rsid w:val="009C0D8C"/>
    <w:rsid w:val="009C1608"/>
    <w:rsid w:val="009C22C6"/>
    <w:rsid w:val="009C2685"/>
    <w:rsid w:val="009C27DE"/>
    <w:rsid w:val="009C2A1F"/>
    <w:rsid w:val="009C318F"/>
    <w:rsid w:val="009C3679"/>
    <w:rsid w:val="009C37E9"/>
    <w:rsid w:val="009C4875"/>
    <w:rsid w:val="009C4905"/>
    <w:rsid w:val="009C4921"/>
    <w:rsid w:val="009C4CA3"/>
    <w:rsid w:val="009C4FE9"/>
    <w:rsid w:val="009C585A"/>
    <w:rsid w:val="009C6061"/>
    <w:rsid w:val="009C6374"/>
    <w:rsid w:val="009C66C2"/>
    <w:rsid w:val="009C756A"/>
    <w:rsid w:val="009D262D"/>
    <w:rsid w:val="009D26BF"/>
    <w:rsid w:val="009D2E34"/>
    <w:rsid w:val="009D3C82"/>
    <w:rsid w:val="009D3C93"/>
    <w:rsid w:val="009D3CCF"/>
    <w:rsid w:val="009D439D"/>
    <w:rsid w:val="009D4D39"/>
    <w:rsid w:val="009D4F37"/>
    <w:rsid w:val="009D59EC"/>
    <w:rsid w:val="009D5EA7"/>
    <w:rsid w:val="009D5F9A"/>
    <w:rsid w:val="009D6916"/>
    <w:rsid w:val="009D6F36"/>
    <w:rsid w:val="009D72FF"/>
    <w:rsid w:val="009D758F"/>
    <w:rsid w:val="009D7662"/>
    <w:rsid w:val="009E01E7"/>
    <w:rsid w:val="009E0938"/>
    <w:rsid w:val="009E11FD"/>
    <w:rsid w:val="009E204B"/>
    <w:rsid w:val="009E2A96"/>
    <w:rsid w:val="009E35AC"/>
    <w:rsid w:val="009E39C5"/>
    <w:rsid w:val="009E43D0"/>
    <w:rsid w:val="009E4E2F"/>
    <w:rsid w:val="009E4E94"/>
    <w:rsid w:val="009E57C9"/>
    <w:rsid w:val="009E5A86"/>
    <w:rsid w:val="009E63B7"/>
    <w:rsid w:val="009E695C"/>
    <w:rsid w:val="009E6CEE"/>
    <w:rsid w:val="009E6D4E"/>
    <w:rsid w:val="009E737C"/>
    <w:rsid w:val="009E766A"/>
    <w:rsid w:val="009F01AE"/>
    <w:rsid w:val="009F0399"/>
    <w:rsid w:val="009F105C"/>
    <w:rsid w:val="009F12BD"/>
    <w:rsid w:val="009F2585"/>
    <w:rsid w:val="009F2E46"/>
    <w:rsid w:val="009F4F3B"/>
    <w:rsid w:val="009F573C"/>
    <w:rsid w:val="009F6585"/>
    <w:rsid w:val="009F6713"/>
    <w:rsid w:val="009F79B0"/>
    <w:rsid w:val="009F7E99"/>
    <w:rsid w:val="009F7EA6"/>
    <w:rsid w:val="00A00878"/>
    <w:rsid w:val="00A01349"/>
    <w:rsid w:val="00A01B00"/>
    <w:rsid w:val="00A01C26"/>
    <w:rsid w:val="00A030E3"/>
    <w:rsid w:val="00A03984"/>
    <w:rsid w:val="00A0482B"/>
    <w:rsid w:val="00A05DA9"/>
    <w:rsid w:val="00A06224"/>
    <w:rsid w:val="00A06945"/>
    <w:rsid w:val="00A069CD"/>
    <w:rsid w:val="00A0717D"/>
    <w:rsid w:val="00A0725A"/>
    <w:rsid w:val="00A07518"/>
    <w:rsid w:val="00A07566"/>
    <w:rsid w:val="00A07DBF"/>
    <w:rsid w:val="00A10868"/>
    <w:rsid w:val="00A109F8"/>
    <w:rsid w:val="00A1182C"/>
    <w:rsid w:val="00A11C24"/>
    <w:rsid w:val="00A11DB5"/>
    <w:rsid w:val="00A13784"/>
    <w:rsid w:val="00A140A6"/>
    <w:rsid w:val="00A14160"/>
    <w:rsid w:val="00A15164"/>
    <w:rsid w:val="00A160A4"/>
    <w:rsid w:val="00A16B0A"/>
    <w:rsid w:val="00A171E4"/>
    <w:rsid w:val="00A176F7"/>
    <w:rsid w:val="00A207D9"/>
    <w:rsid w:val="00A20B75"/>
    <w:rsid w:val="00A20D37"/>
    <w:rsid w:val="00A21948"/>
    <w:rsid w:val="00A21A8A"/>
    <w:rsid w:val="00A22347"/>
    <w:rsid w:val="00A236DF"/>
    <w:rsid w:val="00A237A5"/>
    <w:rsid w:val="00A240D4"/>
    <w:rsid w:val="00A2549F"/>
    <w:rsid w:val="00A259B2"/>
    <w:rsid w:val="00A25F28"/>
    <w:rsid w:val="00A2610B"/>
    <w:rsid w:val="00A268AC"/>
    <w:rsid w:val="00A26AD4"/>
    <w:rsid w:val="00A30463"/>
    <w:rsid w:val="00A30AC3"/>
    <w:rsid w:val="00A30FE3"/>
    <w:rsid w:val="00A32A0D"/>
    <w:rsid w:val="00A33102"/>
    <w:rsid w:val="00A33F17"/>
    <w:rsid w:val="00A34658"/>
    <w:rsid w:val="00A34902"/>
    <w:rsid w:val="00A34B6E"/>
    <w:rsid w:val="00A34C7F"/>
    <w:rsid w:val="00A35080"/>
    <w:rsid w:val="00A35489"/>
    <w:rsid w:val="00A359FF"/>
    <w:rsid w:val="00A35B11"/>
    <w:rsid w:val="00A36880"/>
    <w:rsid w:val="00A379C3"/>
    <w:rsid w:val="00A37D6F"/>
    <w:rsid w:val="00A40615"/>
    <w:rsid w:val="00A40BD9"/>
    <w:rsid w:val="00A40C3C"/>
    <w:rsid w:val="00A411BA"/>
    <w:rsid w:val="00A41C75"/>
    <w:rsid w:val="00A41CE0"/>
    <w:rsid w:val="00A41E6C"/>
    <w:rsid w:val="00A424BD"/>
    <w:rsid w:val="00A42C26"/>
    <w:rsid w:val="00A43408"/>
    <w:rsid w:val="00A43766"/>
    <w:rsid w:val="00A445BB"/>
    <w:rsid w:val="00A4480B"/>
    <w:rsid w:val="00A44CE6"/>
    <w:rsid w:val="00A45262"/>
    <w:rsid w:val="00A45291"/>
    <w:rsid w:val="00A457CC"/>
    <w:rsid w:val="00A45A43"/>
    <w:rsid w:val="00A45B14"/>
    <w:rsid w:val="00A4676F"/>
    <w:rsid w:val="00A46F67"/>
    <w:rsid w:val="00A46FEA"/>
    <w:rsid w:val="00A47199"/>
    <w:rsid w:val="00A503C6"/>
    <w:rsid w:val="00A509A8"/>
    <w:rsid w:val="00A50B13"/>
    <w:rsid w:val="00A51308"/>
    <w:rsid w:val="00A5181F"/>
    <w:rsid w:val="00A51C70"/>
    <w:rsid w:val="00A51EFD"/>
    <w:rsid w:val="00A51F8C"/>
    <w:rsid w:val="00A51FB2"/>
    <w:rsid w:val="00A52746"/>
    <w:rsid w:val="00A531BA"/>
    <w:rsid w:val="00A53248"/>
    <w:rsid w:val="00A532A6"/>
    <w:rsid w:val="00A5404B"/>
    <w:rsid w:val="00A543FD"/>
    <w:rsid w:val="00A54D54"/>
    <w:rsid w:val="00A54EA5"/>
    <w:rsid w:val="00A55614"/>
    <w:rsid w:val="00A55BDF"/>
    <w:rsid w:val="00A55CD1"/>
    <w:rsid w:val="00A561D3"/>
    <w:rsid w:val="00A56216"/>
    <w:rsid w:val="00A56A2A"/>
    <w:rsid w:val="00A56D76"/>
    <w:rsid w:val="00A5710E"/>
    <w:rsid w:val="00A600A4"/>
    <w:rsid w:val="00A602B6"/>
    <w:rsid w:val="00A60327"/>
    <w:rsid w:val="00A60D0B"/>
    <w:rsid w:val="00A60E22"/>
    <w:rsid w:val="00A617A1"/>
    <w:rsid w:val="00A61A42"/>
    <w:rsid w:val="00A61E54"/>
    <w:rsid w:val="00A63F3A"/>
    <w:rsid w:val="00A65692"/>
    <w:rsid w:val="00A65AC1"/>
    <w:rsid w:val="00A66728"/>
    <w:rsid w:val="00A66BC3"/>
    <w:rsid w:val="00A66DE9"/>
    <w:rsid w:val="00A67569"/>
    <w:rsid w:val="00A67802"/>
    <w:rsid w:val="00A678B9"/>
    <w:rsid w:val="00A70398"/>
    <w:rsid w:val="00A7055D"/>
    <w:rsid w:val="00A70659"/>
    <w:rsid w:val="00A70727"/>
    <w:rsid w:val="00A71CB7"/>
    <w:rsid w:val="00A73490"/>
    <w:rsid w:val="00A73E5B"/>
    <w:rsid w:val="00A747EA"/>
    <w:rsid w:val="00A74C37"/>
    <w:rsid w:val="00A756A8"/>
    <w:rsid w:val="00A77729"/>
    <w:rsid w:val="00A777E8"/>
    <w:rsid w:val="00A77DD7"/>
    <w:rsid w:val="00A8083F"/>
    <w:rsid w:val="00A80A40"/>
    <w:rsid w:val="00A80DCA"/>
    <w:rsid w:val="00A811A8"/>
    <w:rsid w:val="00A81409"/>
    <w:rsid w:val="00A81BBB"/>
    <w:rsid w:val="00A81F8C"/>
    <w:rsid w:val="00A82519"/>
    <w:rsid w:val="00A831CF"/>
    <w:rsid w:val="00A83DB7"/>
    <w:rsid w:val="00A85048"/>
    <w:rsid w:val="00A8518B"/>
    <w:rsid w:val="00A85DF4"/>
    <w:rsid w:val="00A861EA"/>
    <w:rsid w:val="00A86272"/>
    <w:rsid w:val="00A86B26"/>
    <w:rsid w:val="00A86D86"/>
    <w:rsid w:val="00A87024"/>
    <w:rsid w:val="00A87CB4"/>
    <w:rsid w:val="00A87CF0"/>
    <w:rsid w:val="00A87E56"/>
    <w:rsid w:val="00A91126"/>
    <w:rsid w:val="00A912FA"/>
    <w:rsid w:val="00A91735"/>
    <w:rsid w:val="00A91869"/>
    <w:rsid w:val="00A9195F"/>
    <w:rsid w:val="00A91EBF"/>
    <w:rsid w:val="00A91F79"/>
    <w:rsid w:val="00A92395"/>
    <w:rsid w:val="00A923FA"/>
    <w:rsid w:val="00A924FF"/>
    <w:rsid w:val="00A9279F"/>
    <w:rsid w:val="00A93833"/>
    <w:rsid w:val="00A9404A"/>
    <w:rsid w:val="00A94B8F"/>
    <w:rsid w:val="00A95F2D"/>
    <w:rsid w:val="00A96125"/>
    <w:rsid w:val="00A96C7F"/>
    <w:rsid w:val="00A96DEC"/>
    <w:rsid w:val="00AA009D"/>
    <w:rsid w:val="00AA036C"/>
    <w:rsid w:val="00AA0C97"/>
    <w:rsid w:val="00AA13AB"/>
    <w:rsid w:val="00AA164D"/>
    <w:rsid w:val="00AA1861"/>
    <w:rsid w:val="00AA18B9"/>
    <w:rsid w:val="00AA2899"/>
    <w:rsid w:val="00AA28D5"/>
    <w:rsid w:val="00AA2A2A"/>
    <w:rsid w:val="00AA2FBB"/>
    <w:rsid w:val="00AA3405"/>
    <w:rsid w:val="00AA385F"/>
    <w:rsid w:val="00AA3C05"/>
    <w:rsid w:val="00AA50D5"/>
    <w:rsid w:val="00AA5439"/>
    <w:rsid w:val="00AA5DCD"/>
    <w:rsid w:val="00AA6113"/>
    <w:rsid w:val="00AA68BD"/>
    <w:rsid w:val="00AA6BCB"/>
    <w:rsid w:val="00AA6BD3"/>
    <w:rsid w:val="00AA755D"/>
    <w:rsid w:val="00AB03D3"/>
    <w:rsid w:val="00AB0C61"/>
    <w:rsid w:val="00AB1139"/>
    <w:rsid w:val="00AB17DB"/>
    <w:rsid w:val="00AB1B9A"/>
    <w:rsid w:val="00AB1CEC"/>
    <w:rsid w:val="00AB1D40"/>
    <w:rsid w:val="00AB2547"/>
    <w:rsid w:val="00AB4296"/>
    <w:rsid w:val="00AB4B64"/>
    <w:rsid w:val="00AB4E12"/>
    <w:rsid w:val="00AB4EB6"/>
    <w:rsid w:val="00AB57D1"/>
    <w:rsid w:val="00AB5FBE"/>
    <w:rsid w:val="00AB5FE3"/>
    <w:rsid w:val="00AB63E5"/>
    <w:rsid w:val="00AB6F6B"/>
    <w:rsid w:val="00AB74C5"/>
    <w:rsid w:val="00AB7635"/>
    <w:rsid w:val="00AB774F"/>
    <w:rsid w:val="00AC03CB"/>
    <w:rsid w:val="00AC0512"/>
    <w:rsid w:val="00AC1ABE"/>
    <w:rsid w:val="00AC1C06"/>
    <w:rsid w:val="00AC2AD2"/>
    <w:rsid w:val="00AC2C4E"/>
    <w:rsid w:val="00AC3C6D"/>
    <w:rsid w:val="00AC464A"/>
    <w:rsid w:val="00AC46E0"/>
    <w:rsid w:val="00AC4AD4"/>
    <w:rsid w:val="00AC4E00"/>
    <w:rsid w:val="00AC5036"/>
    <w:rsid w:val="00AC557A"/>
    <w:rsid w:val="00AC6146"/>
    <w:rsid w:val="00AC6805"/>
    <w:rsid w:val="00AC6E31"/>
    <w:rsid w:val="00AC71D1"/>
    <w:rsid w:val="00AC75CA"/>
    <w:rsid w:val="00AC7927"/>
    <w:rsid w:val="00AC7B88"/>
    <w:rsid w:val="00AD07B4"/>
    <w:rsid w:val="00AD09EF"/>
    <w:rsid w:val="00AD11E4"/>
    <w:rsid w:val="00AD1E3C"/>
    <w:rsid w:val="00AD241B"/>
    <w:rsid w:val="00AD3C59"/>
    <w:rsid w:val="00AD3EEC"/>
    <w:rsid w:val="00AD497B"/>
    <w:rsid w:val="00AD4CAE"/>
    <w:rsid w:val="00AD5AF6"/>
    <w:rsid w:val="00AD649C"/>
    <w:rsid w:val="00AD68DA"/>
    <w:rsid w:val="00AD6CFB"/>
    <w:rsid w:val="00AD6FFA"/>
    <w:rsid w:val="00AE08BC"/>
    <w:rsid w:val="00AE0C3A"/>
    <w:rsid w:val="00AE0C73"/>
    <w:rsid w:val="00AE11A5"/>
    <w:rsid w:val="00AE1892"/>
    <w:rsid w:val="00AE19DF"/>
    <w:rsid w:val="00AE1D79"/>
    <w:rsid w:val="00AE214E"/>
    <w:rsid w:val="00AE2682"/>
    <w:rsid w:val="00AE2D03"/>
    <w:rsid w:val="00AE3557"/>
    <w:rsid w:val="00AE3A5E"/>
    <w:rsid w:val="00AE3F50"/>
    <w:rsid w:val="00AE400E"/>
    <w:rsid w:val="00AE403F"/>
    <w:rsid w:val="00AE418D"/>
    <w:rsid w:val="00AE4301"/>
    <w:rsid w:val="00AE45F5"/>
    <w:rsid w:val="00AE481A"/>
    <w:rsid w:val="00AE4973"/>
    <w:rsid w:val="00AE4C2B"/>
    <w:rsid w:val="00AE4E9A"/>
    <w:rsid w:val="00AE5192"/>
    <w:rsid w:val="00AE6419"/>
    <w:rsid w:val="00AE6420"/>
    <w:rsid w:val="00AE6811"/>
    <w:rsid w:val="00AE6AE3"/>
    <w:rsid w:val="00AE70BD"/>
    <w:rsid w:val="00AE7942"/>
    <w:rsid w:val="00AE7ECF"/>
    <w:rsid w:val="00AF1050"/>
    <w:rsid w:val="00AF1336"/>
    <w:rsid w:val="00AF174F"/>
    <w:rsid w:val="00AF18E6"/>
    <w:rsid w:val="00AF1ED9"/>
    <w:rsid w:val="00AF207F"/>
    <w:rsid w:val="00AF22C3"/>
    <w:rsid w:val="00AF2647"/>
    <w:rsid w:val="00AF2957"/>
    <w:rsid w:val="00AF2E48"/>
    <w:rsid w:val="00AF3083"/>
    <w:rsid w:val="00AF367D"/>
    <w:rsid w:val="00AF3790"/>
    <w:rsid w:val="00AF3CEA"/>
    <w:rsid w:val="00AF425C"/>
    <w:rsid w:val="00AF42E5"/>
    <w:rsid w:val="00AF49DB"/>
    <w:rsid w:val="00AF525A"/>
    <w:rsid w:val="00AF575B"/>
    <w:rsid w:val="00AF5E9A"/>
    <w:rsid w:val="00AF6B44"/>
    <w:rsid w:val="00AF7531"/>
    <w:rsid w:val="00AF781D"/>
    <w:rsid w:val="00AF7927"/>
    <w:rsid w:val="00AF7E71"/>
    <w:rsid w:val="00B0005C"/>
    <w:rsid w:val="00B00997"/>
    <w:rsid w:val="00B01167"/>
    <w:rsid w:val="00B01949"/>
    <w:rsid w:val="00B02F30"/>
    <w:rsid w:val="00B03C06"/>
    <w:rsid w:val="00B04B24"/>
    <w:rsid w:val="00B04D1D"/>
    <w:rsid w:val="00B05D59"/>
    <w:rsid w:val="00B05FDF"/>
    <w:rsid w:val="00B06650"/>
    <w:rsid w:val="00B07478"/>
    <w:rsid w:val="00B078CB"/>
    <w:rsid w:val="00B102C4"/>
    <w:rsid w:val="00B11419"/>
    <w:rsid w:val="00B11703"/>
    <w:rsid w:val="00B11EC8"/>
    <w:rsid w:val="00B125EC"/>
    <w:rsid w:val="00B13476"/>
    <w:rsid w:val="00B143AE"/>
    <w:rsid w:val="00B1504C"/>
    <w:rsid w:val="00B15327"/>
    <w:rsid w:val="00B15B1A"/>
    <w:rsid w:val="00B15BFF"/>
    <w:rsid w:val="00B15FC8"/>
    <w:rsid w:val="00B162F8"/>
    <w:rsid w:val="00B16325"/>
    <w:rsid w:val="00B16A07"/>
    <w:rsid w:val="00B16BB3"/>
    <w:rsid w:val="00B17D91"/>
    <w:rsid w:val="00B17E2A"/>
    <w:rsid w:val="00B2026B"/>
    <w:rsid w:val="00B20B56"/>
    <w:rsid w:val="00B2168D"/>
    <w:rsid w:val="00B21A9E"/>
    <w:rsid w:val="00B22636"/>
    <w:rsid w:val="00B2268D"/>
    <w:rsid w:val="00B23321"/>
    <w:rsid w:val="00B2356B"/>
    <w:rsid w:val="00B235A2"/>
    <w:rsid w:val="00B23670"/>
    <w:rsid w:val="00B23A82"/>
    <w:rsid w:val="00B245E4"/>
    <w:rsid w:val="00B248F1"/>
    <w:rsid w:val="00B25D41"/>
    <w:rsid w:val="00B26042"/>
    <w:rsid w:val="00B31B50"/>
    <w:rsid w:val="00B32B9D"/>
    <w:rsid w:val="00B32C03"/>
    <w:rsid w:val="00B32CCB"/>
    <w:rsid w:val="00B3393F"/>
    <w:rsid w:val="00B33A68"/>
    <w:rsid w:val="00B34090"/>
    <w:rsid w:val="00B3666D"/>
    <w:rsid w:val="00B36A6A"/>
    <w:rsid w:val="00B36F28"/>
    <w:rsid w:val="00B37D38"/>
    <w:rsid w:val="00B404C8"/>
    <w:rsid w:val="00B40820"/>
    <w:rsid w:val="00B4161B"/>
    <w:rsid w:val="00B419FD"/>
    <w:rsid w:val="00B426AF"/>
    <w:rsid w:val="00B44302"/>
    <w:rsid w:val="00B445A2"/>
    <w:rsid w:val="00B446DC"/>
    <w:rsid w:val="00B44DB7"/>
    <w:rsid w:val="00B450F6"/>
    <w:rsid w:val="00B4549E"/>
    <w:rsid w:val="00B45E2F"/>
    <w:rsid w:val="00B46AA8"/>
    <w:rsid w:val="00B47CAF"/>
    <w:rsid w:val="00B511A3"/>
    <w:rsid w:val="00B51F80"/>
    <w:rsid w:val="00B527D5"/>
    <w:rsid w:val="00B53032"/>
    <w:rsid w:val="00B5331B"/>
    <w:rsid w:val="00B533C7"/>
    <w:rsid w:val="00B54956"/>
    <w:rsid w:val="00B54D8C"/>
    <w:rsid w:val="00B55049"/>
    <w:rsid w:val="00B5523F"/>
    <w:rsid w:val="00B5525A"/>
    <w:rsid w:val="00B55984"/>
    <w:rsid w:val="00B5642D"/>
    <w:rsid w:val="00B56634"/>
    <w:rsid w:val="00B566E1"/>
    <w:rsid w:val="00B56968"/>
    <w:rsid w:val="00B56DF4"/>
    <w:rsid w:val="00B57157"/>
    <w:rsid w:val="00B5733C"/>
    <w:rsid w:val="00B57AFB"/>
    <w:rsid w:val="00B601D3"/>
    <w:rsid w:val="00B60C6D"/>
    <w:rsid w:val="00B61891"/>
    <w:rsid w:val="00B62358"/>
    <w:rsid w:val="00B62A1B"/>
    <w:rsid w:val="00B62FA2"/>
    <w:rsid w:val="00B637E4"/>
    <w:rsid w:val="00B6416B"/>
    <w:rsid w:val="00B65E63"/>
    <w:rsid w:val="00B66D6C"/>
    <w:rsid w:val="00B67001"/>
    <w:rsid w:val="00B67D19"/>
    <w:rsid w:val="00B71260"/>
    <w:rsid w:val="00B71773"/>
    <w:rsid w:val="00B71CA7"/>
    <w:rsid w:val="00B72133"/>
    <w:rsid w:val="00B727AA"/>
    <w:rsid w:val="00B7378B"/>
    <w:rsid w:val="00B738A6"/>
    <w:rsid w:val="00B73E40"/>
    <w:rsid w:val="00B742E3"/>
    <w:rsid w:val="00B74F75"/>
    <w:rsid w:val="00B7507F"/>
    <w:rsid w:val="00B75BF0"/>
    <w:rsid w:val="00B765F1"/>
    <w:rsid w:val="00B76636"/>
    <w:rsid w:val="00B7677E"/>
    <w:rsid w:val="00B76B56"/>
    <w:rsid w:val="00B76F0F"/>
    <w:rsid w:val="00B76F8C"/>
    <w:rsid w:val="00B776C9"/>
    <w:rsid w:val="00B778D6"/>
    <w:rsid w:val="00B77F99"/>
    <w:rsid w:val="00B8086A"/>
    <w:rsid w:val="00B80ECD"/>
    <w:rsid w:val="00B81325"/>
    <w:rsid w:val="00B8234C"/>
    <w:rsid w:val="00B825A3"/>
    <w:rsid w:val="00B826DF"/>
    <w:rsid w:val="00B82E62"/>
    <w:rsid w:val="00B8315D"/>
    <w:rsid w:val="00B83FA3"/>
    <w:rsid w:val="00B841A6"/>
    <w:rsid w:val="00B84EA4"/>
    <w:rsid w:val="00B8574E"/>
    <w:rsid w:val="00B85888"/>
    <w:rsid w:val="00B859FC"/>
    <w:rsid w:val="00B85A0A"/>
    <w:rsid w:val="00B8601F"/>
    <w:rsid w:val="00B860E6"/>
    <w:rsid w:val="00B86753"/>
    <w:rsid w:val="00B86A86"/>
    <w:rsid w:val="00B86D02"/>
    <w:rsid w:val="00B8734E"/>
    <w:rsid w:val="00B874ED"/>
    <w:rsid w:val="00B87CB4"/>
    <w:rsid w:val="00B916AF"/>
    <w:rsid w:val="00B9185C"/>
    <w:rsid w:val="00B91925"/>
    <w:rsid w:val="00B91AB9"/>
    <w:rsid w:val="00B91AED"/>
    <w:rsid w:val="00B91E3F"/>
    <w:rsid w:val="00B91E4B"/>
    <w:rsid w:val="00B92ED7"/>
    <w:rsid w:val="00B93F56"/>
    <w:rsid w:val="00B948F9"/>
    <w:rsid w:val="00B957FD"/>
    <w:rsid w:val="00B95FE3"/>
    <w:rsid w:val="00B967C6"/>
    <w:rsid w:val="00B96A23"/>
    <w:rsid w:val="00B97390"/>
    <w:rsid w:val="00B9740C"/>
    <w:rsid w:val="00B97C90"/>
    <w:rsid w:val="00BA0C95"/>
    <w:rsid w:val="00BA1177"/>
    <w:rsid w:val="00BA13EF"/>
    <w:rsid w:val="00BA2147"/>
    <w:rsid w:val="00BA22BA"/>
    <w:rsid w:val="00BA2A98"/>
    <w:rsid w:val="00BA2AA5"/>
    <w:rsid w:val="00BA34C1"/>
    <w:rsid w:val="00BA3A92"/>
    <w:rsid w:val="00BA613B"/>
    <w:rsid w:val="00BA614E"/>
    <w:rsid w:val="00BA6A37"/>
    <w:rsid w:val="00BA7E09"/>
    <w:rsid w:val="00BB0116"/>
    <w:rsid w:val="00BB01A1"/>
    <w:rsid w:val="00BB115D"/>
    <w:rsid w:val="00BB11AA"/>
    <w:rsid w:val="00BB1EB7"/>
    <w:rsid w:val="00BB207D"/>
    <w:rsid w:val="00BB2326"/>
    <w:rsid w:val="00BB2451"/>
    <w:rsid w:val="00BB3672"/>
    <w:rsid w:val="00BB3A44"/>
    <w:rsid w:val="00BB428E"/>
    <w:rsid w:val="00BB463F"/>
    <w:rsid w:val="00BB49DF"/>
    <w:rsid w:val="00BB4A75"/>
    <w:rsid w:val="00BB4C9E"/>
    <w:rsid w:val="00BB4D89"/>
    <w:rsid w:val="00BB50CA"/>
    <w:rsid w:val="00BB532B"/>
    <w:rsid w:val="00BB606E"/>
    <w:rsid w:val="00BB68F5"/>
    <w:rsid w:val="00BB6B5B"/>
    <w:rsid w:val="00BB721C"/>
    <w:rsid w:val="00BB7302"/>
    <w:rsid w:val="00BB738A"/>
    <w:rsid w:val="00BB7CEC"/>
    <w:rsid w:val="00BB7E6D"/>
    <w:rsid w:val="00BC006E"/>
    <w:rsid w:val="00BC0B51"/>
    <w:rsid w:val="00BC1D31"/>
    <w:rsid w:val="00BC24FA"/>
    <w:rsid w:val="00BC2565"/>
    <w:rsid w:val="00BC2A65"/>
    <w:rsid w:val="00BC2BAA"/>
    <w:rsid w:val="00BC36EF"/>
    <w:rsid w:val="00BC3C9D"/>
    <w:rsid w:val="00BC4247"/>
    <w:rsid w:val="00BC4422"/>
    <w:rsid w:val="00BC4705"/>
    <w:rsid w:val="00BC4A1B"/>
    <w:rsid w:val="00BC4B38"/>
    <w:rsid w:val="00BC4C9A"/>
    <w:rsid w:val="00BC524D"/>
    <w:rsid w:val="00BC5C18"/>
    <w:rsid w:val="00BC671B"/>
    <w:rsid w:val="00BC68E2"/>
    <w:rsid w:val="00BC6DBF"/>
    <w:rsid w:val="00BC731D"/>
    <w:rsid w:val="00BC7AB7"/>
    <w:rsid w:val="00BC7C37"/>
    <w:rsid w:val="00BD1165"/>
    <w:rsid w:val="00BD1891"/>
    <w:rsid w:val="00BD21F5"/>
    <w:rsid w:val="00BD257E"/>
    <w:rsid w:val="00BD2743"/>
    <w:rsid w:val="00BD2989"/>
    <w:rsid w:val="00BD3AE9"/>
    <w:rsid w:val="00BD43EA"/>
    <w:rsid w:val="00BD4439"/>
    <w:rsid w:val="00BD4624"/>
    <w:rsid w:val="00BD4D1C"/>
    <w:rsid w:val="00BD5638"/>
    <w:rsid w:val="00BD59EC"/>
    <w:rsid w:val="00BD5B66"/>
    <w:rsid w:val="00BD772E"/>
    <w:rsid w:val="00BE0AD3"/>
    <w:rsid w:val="00BE0BB7"/>
    <w:rsid w:val="00BE17BE"/>
    <w:rsid w:val="00BE1A1F"/>
    <w:rsid w:val="00BE1A65"/>
    <w:rsid w:val="00BE1C90"/>
    <w:rsid w:val="00BE1F36"/>
    <w:rsid w:val="00BE1F8D"/>
    <w:rsid w:val="00BE2436"/>
    <w:rsid w:val="00BE2451"/>
    <w:rsid w:val="00BE2D4C"/>
    <w:rsid w:val="00BE3061"/>
    <w:rsid w:val="00BE30F7"/>
    <w:rsid w:val="00BE387A"/>
    <w:rsid w:val="00BE436B"/>
    <w:rsid w:val="00BE4AD6"/>
    <w:rsid w:val="00BE562A"/>
    <w:rsid w:val="00BE58D0"/>
    <w:rsid w:val="00BE64A6"/>
    <w:rsid w:val="00BE65A8"/>
    <w:rsid w:val="00BF01A7"/>
    <w:rsid w:val="00BF0DB1"/>
    <w:rsid w:val="00BF1367"/>
    <w:rsid w:val="00BF20B8"/>
    <w:rsid w:val="00BF2D27"/>
    <w:rsid w:val="00BF2EA4"/>
    <w:rsid w:val="00BF33A1"/>
    <w:rsid w:val="00BF3844"/>
    <w:rsid w:val="00BF4082"/>
    <w:rsid w:val="00BF494D"/>
    <w:rsid w:val="00BF4D03"/>
    <w:rsid w:val="00BF4DDC"/>
    <w:rsid w:val="00BF4F3D"/>
    <w:rsid w:val="00BF5641"/>
    <w:rsid w:val="00BF56A3"/>
    <w:rsid w:val="00BF676D"/>
    <w:rsid w:val="00BF67F5"/>
    <w:rsid w:val="00BF68B7"/>
    <w:rsid w:val="00BF6929"/>
    <w:rsid w:val="00BF76A5"/>
    <w:rsid w:val="00BF7BC5"/>
    <w:rsid w:val="00C00892"/>
    <w:rsid w:val="00C00DDC"/>
    <w:rsid w:val="00C01BAD"/>
    <w:rsid w:val="00C0232E"/>
    <w:rsid w:val="00C023A4"/>
    <w:rsid w:val="00C0280E"/>
    <w:rsid w:val="00C02A02"/>
    <w:rsid w:val="00C02C39"/>
    <w:rsid w:val="00C02F3A"/>
    <w:rsid w:val="00C03FF3"/>
    <w:rsid w:val="00C04064"/>
    <w:rsid w:val="00C04248"/>
    <w:rsid w:val="00C043AA"/>
    <w:rsid w:val="00C04C94"/>
    <w:rsid w:val="00C04E6E"/>
    <w:rsid w:val="00C04FC6"/>
    <w:rsid w:val="00C051BE"/>
    <w:rsid w:val="00C05206"/>
    <w:rsid w:val="00C055F3"/>
    <w:rsid w:val="00C059C7"/>
    <w:rsid w:val="00C060D7"/>
    <w:rsid w:val="00C069CE"/>
    <w:rsid w:val="00C108FC"/>
    <w:rsid w:val="00C121B8"/>
    <w:rsid w:val="00C122F3"/>
    <w:rsid w:val="00C12381"/>
    <w:rsid w:val="00C12AA7"/>
    <w:rsid w:val="00C12AD6"/>
    <w:rsid w:val="00C12CFC"/>
    <w:rsid w:val="00C12D30"/>
    <w:rsid w:val="00C13EB9"/>
    <w:rsid w:val="00C14444"/>
    <w:rsid w:val="00C15091"/>
    <w:rsid w:val="00C15E94"/>
    <w:rsid w:val="00C16E36"/>
    <w:rsid w:val="00C17EA5"/>
    <w:rsid w:val="00C202BC"/>
    <w:rsid w:val="00C20452"/>
    <w:rsid w:val="00C2055D"/>
    <w:rsid w:val="00C21034"/>
    <w:rsid w:val="00C211EA"/>
    <w:rsid w:val="00C219E9"/>
    <w:rsid w:val="00C21A45"/>
    <w:rsid w:val="00C21CC8"/>
    <w:rsid w:val="00C21FB2"/>
    <w:rsid w:val="00C22216"/>
    <w:rsid w:val="00C22373"/>
    <w:rsid w:val="00C22E05"/>
    <w:rsid w:val="00C231F3"/>
    <w:rsid w:val="00C23CBE"/>
    <w:rsid w:val="00C244C5"/>
    <w:rsid w:val="00C24DEE"/>
    <w:rsid w:val="00C24F82"/>
    <w:rsid w:val="00C258B1"/>
    <w:rsid w:val="00C258DB"/>
    <w:rsid w:val="00C26938"/>
    <w:rsid w:val="00C26A3A"/>
    <w:rsid w:val="00C3048E"/>
    <w:rsid w:val="00C30F0E"/>
    <w:rsid w:val="00C31CA1"/>
    <w:rsid w:val="00C32073"/>
    <w:rsid w:val="00C32B76"/>
    <w:rsid w:val="00C33129"/>
    <w:rsid w:val="00C3433E"/>
    <w:rsid w:val="00C34734"/>
    <w:rsid w:val="00C34B00"/>
    <w:rsid w:val="00C35425"/>
    <w:rsid w:val="00C35899"/>
    <w:rsid w:val="00C35BB5"/>
    <w:rsid w:val="00C36813"/>
    <w:rsid w:val="00C3737D"/>
    <w:rsid w:val="00C378E6"/>
    <w:rsid w:val="00C4068E"/>
    <w:rsid w:val="00C41697"/>
    <w:rsid w:val="00C41986"/>
    <w:rsid w:val="00C422FA"/>
    <w:rsid w:val="00C4274B"/>
    <w:rsid w:val="00C4293F"/>
    <w:rsid w:val="00C43596"/>
    <w:rsid w:val="00C4365E"/>
    <w:rsid w:val="00C43F98"/>
    <w:rsid w:val="00C44195"/>
    <w:rsid w:val="00C4484A"/>
    <w:rsid w:val="00C44A4B"/>
    <w:rsid w:val="00C44E0A"/>
    <w:rsid w:val="00C45952"/>
    <w:rsid w:val="00C461BE"/>
    <w:rsid w:val="00C46670"/>
    <w:rsid w:val="00C46D2B"/>
    <w:rsid w:val="00C46F9D"/>
    <w:rsid w:val="00C47791"/>
    <w:rsid w:val="00C47DE1"/>
    <w:rsid w:val="00C50603"/>
    <w:rsid w:val="00C50AF5"/>
    <w:rsid w:val="00C50C2D"/>
    <w:rsid w:val="00C50FA3"/>
    <w:rsid w:val="00C51D41"/>
    <w:rsid w:val="00C52581"/>
    <w:rsid w:val="00C52BC5"/>
    <w:rsid w:val="00C5306E"/>
    <w:rsid w:val="00C534AE"/>
    <w:rsid w:val="00C53ACB"/>
    <w:rsid w:val="00C540C0"/>
    <w:rsid w:val="00C5432D"/>
    <w:rsid w:val="00C54943"/>
    <w:rsid w:val="00C55069"/>
    <w:rsid w:val="00C5513D"/>
    <w:rsid w:val="00C55B87"/>
    <w:rsid w:val="00C55DF5"/>
    <w:rsid w:val="00C569CC"/>
    <w:rsid w:val="00C573CD"/>
    <w:rsid w:val="00C5759B"/>
    <w:rsid w:val="00C57751"/>
    <w:rsid w:val="00C57E8C"/>
    <w:rsid w:val="00C601D0"/>
    <w:rsid w:val="00C6039B"/>
    <w:rsid w:val="00C6128A"/>
    <w:rsid w:val="00C61388"/>
    <w:rsid w:val="00C61B3D"/>
    <w:rsid w:val="00C6264B"/>
    <w:rsid w:val="00C6406C"/>
    <w:rsid w:val="00C64AD3"/>
    <w:rsid w:val="00C64CC1"/>
    <w:rsid w:val="00C64DEE"/>
    <w:rsid w:val="00C65417"/>
    <w:rsid w:val="00C65463"/>
    <w:rsid w:val="00C65948"/>
    <w:rsid w:val="00C659F7"/>
    <w:rsid w:val="00C65E5F"/>
    <w:rsid w:val="00C66D46"/>
    <w:rsid w:val="00C66FD0"/>
    <w:rsid w:val="00C67086"/>
    <w:rsid w:val="00C67680"/>
    <w:rsid w:val="00C67913"/>
    <w:rsid w:val="00C7080B"/>
    <w:rsid w:val="00C70A85"/>
    <w:rsid w:val="00C70BB4"/>
    <w:rsid w:val="00C710E4"/>
    <w:rsid w:val="00C71252"/>
    <w:rsid w:val="00C712CC"/>
    <w:rsid w:val="00C71C5E"/>
    <w:rsid w:val="00C722AA"/>
    <w:rsid w:val="00C72DA4"/>
    <w:rsid w:val="00C72F47"/>
    <w:rsid w:val="00C7303F"/>
    <w:rsid w:val="00C731C2"/>
    <w:rsid w:val="00C73D71"/>
    <w:rsid w:val="00C7405F"/>
    <w:rsid w:val="00C745F9"/>
    <w:rsid w:val="00C74825"/>
    <w:rsid w:val="00C74880"/>
    <w:rsid w:val="00C754F9"/>
    <w:rsid w:val="00C75ABC"/>
    <w:rsid w:val="00C75B79"/>
    <w:rsid w:val="00C75CB1"/>
    <w:rsid w:val="00C7651C"/>
    <w:rsid w:val="00C80874"/>
    <w:rsid w:val="00C80F8A"/>
    <w:rsid w:val="00C81FD5"/>
    <w:rsid w:val="00C824A3"/>
    <w:rsid w:val="00C82C9C"/>
    <w:rsid w:val="00C837D4"/>
    <w:rsid w:val="00C842A1"/>
    <w:rsid w:val="00C843F9"/>
    <w:rsid w:val="00C84B87"/>
    <w:rsid w:val="00C84E71"/>
    <w:rsid w:val="00C85138"/>
    <w:rsid w:val="00C854CD"/>
    <w:rsid w:val="00C85AA8"/>
    <w:rsid w:val="00C85F65"/>
    <w:rsid w:val="00C8718A"/>
    <w:rsid w:val="00C87519"/>
    <w:rsid w:val="00C87702"/>
    <w:rsid w:val="00C87A46"/>
    <w:rsid w:val="00C87DD4"/>
    <w:rsid w:val="00C91746"/>
    <w:rsid w:val="00C918FC"/>
    <w:rsid w:val="00C924BF"/>
    <w:rsid w:val="00C926BF"/>
    <w:rsid w:val="00C93398"/>
    <w:rsid w:val="00C93470"/>
    <w:rsid w:val="00C93B4D"/>
    <w:rsid w:val="00C945BE"/>
    <w:rsid w:val="00C95598"/>
    <w:rsid w:val="00C95968"/>
    <w:rsid w:val="00C95A9E"/>
    <w:rsid w:val="00C96858"/>
    <w:rsid w:val="00C9756C"/>
    <w:rsid w:val="00C976E0"/>
    <w:rsid w:val="00C9795E"/>
    <w:rsid w:val="00C9798C"/>
    <w:rsid w:val="00C97CE1"/>
    <w:rsid w:val="00C97E93"/>
    <w:rsid w:val="00CA0024"/>
    <w:rsid w:val="00CA09B5"/>
    <w:rsid w:val="00CA18E2"/>
    <w:rsid w:val="00CA313E"/>
    <w:rsid w:val="00CA323E"/>
    <w:rsid w:val="00CA36A8"/>
    <w:rsid w:val="00CA3B66"/>
    <w:rsid w:val="00CA4839"/>
    <w:rsid w:val="00CA4FE5"/>
    <w:rsid w:val="00CA5096"/>
    <w:rsid w:val="00CA524B"/>
    <w:rsid w:val="00CA524E"/>
    <w:rsid w:val="00CA6B62"/>
    <w:rsid w:val="00CA71C4"/>
    <w:rsid w:val="00CA7440"/>
    <w:rsid w:val="00CA77E0"/>
    <w:rsid w:val="00CA7977"/>
    <w:rsid w:val="00CA7C03"/>
    <w:rsid w:val="00CB00E0"/>
    <w:rsid w:val="00CB02B9"/>
    <w:rsid w:val="00CB0FA6"/>
    <w:rsid w:val="00CB0FEF"/>
    <w:rsid w:val="00CB110B"/>
    <w:rsid w:val="00CB19A3"/>
    <w:rsid w:val="00CB24D0"/>
    <w:rsid w:val="00CB2AF6"/>
    <w:rsid w:val="00CB35A2"/>
    <w:rsid w:val="00CB4CE7"/>
    <w:rsid w:val="00CB4EE6"/>
    <w:rsid w:val="00CB547C"/>
    <w:rsid w:val="00CB559E"/>
    <w:rsid w:val="00CB6CD4"/>
    <w:rsid w:val="00CB7402"/>
    <w:rsid w:val="00CB79C2"/>
    <w:rsid w:val="00CB7B71"/>
    <w:rsid w:val="00CC11B4"/>
    <w:rsid w:val="00CC13D2"/>
    <w:rsid w:val="00CC2B42"/>
    <w:rsid w:val="00CC2C51"/>
    <w:rsid w:val="00CC3661"/>
    <w:rsid w:val="00CC3880"/>
    <w:rsid w:val="00CC399F"/>
    <w:rsid w:val="00CC3AA5"/>
    <w:rsid w:val="00CC3C51"/>
    <w:rsid w:val="00CC4152"/>
    <w:rsid w:val="00CC4BE3"/>
    <w:rsid w:val="00CC50E0"/>
    <w:rsid w:val="00CC5157"/>
    <w:rsid w:val="00CC6004"/>
    <w:rsid w:val="00CC63DB"/>
    <w:rsid w:val="00CC64C1"/>
    <w:rsid w:val="00CC6533"/>
    <w:rsid w:val="00CC6EB7"/>
    <w:rsid w:val="00CC70BE"/>
    <w:rsid w:val="00CD0A57"/>
    <w:rsid w:val="00CD0B99"/>
    <w:rsid w:val="00CD2852"/>
    <w:rsid w:val="00CD2932"/>
    <w:rsid w:val="00CD3188"/>
    <w:rsid w:val="00CD31D8"/>
    <w:rsid w:val="00CD321D"/>
    <w:rsid w:val="00CD351D"/>
    <w:rsid w:val="00CD36AC"/>
    <w:rsid w:val="00CD3878"/>
    <w:rsid w:val="00CD47EF"/>
    <w:rsid w:val="00CD4DAD"/>
    <w:rsid w:val="00CD53CA"/>
    <w:rsid w:val="00CD5416"/>
    <w:rsid w:val="00CD5A50"/>
    <w:rsid w:val="00CD5A81"/>
    <w:rsid w:val="00CD7008"/>
    <w:rsid w:val="00CD740C"/>
    <w:rsid w:val="00CD76DE"/>
    <w:rsid w:val="00CD7EE3"/>
    <w:rsid w:val="00CE1F86"/>
    <w:rsid w:val="00CE2E4E"/>
    <w:rsid w:val="00CE30FB"/>
    <w:rsid w:val="00CE35F1"/>
    <w:rsid w:val="00CE5F73"/>
    <w:rsid w:val="00CE5FE4"/>
    <w:rsid w:val="00CE62BF"/>
    <w:rsid w:val="00CE645E"/>
    <w:rsid w:val="00CE6CE5"/>
    <w:rsid w:val="00CE6EA3"/>
    <w:rsid w:val="00CE7DE9"/>
    <w:rsid w:val="00CF0B2C"/>
    <w:rsid w:val="00CF11C8"/>
    <w:rsid w:val="00CF17FE"/>
    <w:rsid w:val="00CF1B1F"/>
    <w:rsid w:val="00CF1CB4"/>
    <w:rsid w:val="00CF2AFA"/>
    <w:rsid w:val="00CF32A7"/>
    <w:rsid w:val="00CF35C4"/>
    <w:rsid w:val="00CF37E6"/>
    <w:rsid w:val="00CF3E66"/>
    <w:rsid w:val="00CF3EDD"/>
    <w:rsid w:val="00CF4FF4"/>
    <w:rsid w:val="00CF5EAE"/>
    <w:rsid w:val="00CF60E2"/>
    <w:rsid w:val="00CF67F5"/>
    <w:rsid w:val="00CF7308"/>
    <w:rsid w:val="00D00199"/>
    <w:rsid w:val="00D00766"/>
    <w:rsid w:val="00D01383"/>
    <w:rsid w:val="00D013F9"/>
    <w:rsid w:val="00D0155D"/>
    <w:rsid w:val="00D016E5"/>
    <w:rsid w:val="00D01917"/>
    <w:rsid w:val="00D02596"/>
    <w:rsid w:val="00D0353D"/>
    <w:rsid w:val="00D041F9"/>
    <w:rsid w:val="00D04BF5"/>
    <w:rsid w:val="00D04C24"/>
    <w:rsid w:val="00D05BB5"/>
    <w:rsid w:val="00D0619E"/>
    <w:rsid w:val="00D066B0"/>
    <w:rsid w:val="00D07944"/>
    <w:rsid w:val="00D10D0D"/>
    <w:rsid w:val="00D10DC5"/>
    <w:rsid w:val="00D1133C"/>
    <w:rsid w:val="00D114A5"/>
    <w:rsid w:val="00D11AE3"/>
    <w:rsid w:val="00D11DF1"/>
    <w:rsid w:val="00D124DD"/>
    <w:rsid w:val="00D12514"/>
    <w:rsid w:val="00D127DE"/>
    <w:rsid w:val="00D1282E"/>
    <w:rsid w:val="00D12981"/>
    <w:rsid w:val="00D13531"/>
    <w:rsid w:val="00D13BCA"/>
    <w:rsid w:val="00D1426C"/>
    <w:rsid w:val="00D150B3"/>
    <w:rsid w:val="00D15144"/>
    <w:rsid w:val="00D154DB"/>
    <w:rsid w:val="00D15591"/>
    <w:rsid w:val="00D15C89"/>
    <w:rsid w:val="00D1685E"/>
    <w:rsid w:val="00D16CB8"/>
    <w:rsid w:val="00D17DE9"/>
    <w:rsid w:val="00D201CE"/>
    <w:rsid w:val="00D2085D"/>
    <w:rsid w:val="00D21FBE"/>
    <w:rsid w:val="00D228C9"/>
    <w:rsid w:val="00D229FC"/>
    <w:rsid w:val="00D235A0"/>
    <w:rsid w:val="00D241CC"/>
    <w:rsid w:val="00D251F9"/>
    <w:rsid w:val="00D26041"/>
    <w:rsid w:val="00D26284"/>
    <w:rsid w:val="00D262E6"/>
    <w:rsid w:val="00D2645F"/>
    <w:rsid w:val="00D266FC"/>
    <w:rsid w:val="00D26BFF"/>
    <w:rsid w:val="00D2703F"/>
    <w:rsid w:val="00D27078"/>
    <w:rsid w:val="00D27B8E"/>
    <w:rsid w:val="00D303C4"/>
    <w:rsid w:val="00D3159B"/>
    <w:rsid w:val="00D3307D"/>
    <w:rsid w:val="00D345D8"/>
    <w:rsid w:val="00D3561E"/>
    <w:rsid w:val="00D35CF4"/>
    <w:rsid w:val="00D35F5C"/>
    <w:rsid w:val="00D36486"/>
    <w:rsid w:val="00D36512"/>
    <w:rsid w:val="00D3660A"/>
    <w:rsid w:val="00D3716E"/>
    <w:rsid w:val="00D37617"/>
    <w:rsid w:val="00D37643"/>
    <w:rsid w:val="00D37919"/>
    <w:rsid w:val="00D37AC0"/>
    <w:rsid w:val="00D4027C"/>
    <w:rsid w:val="00D40F95"/>
    <w:rsid w:val="00D40FCB"/>
    <w:rsid w:val="00D412D3"/>
    <w:rsid w:val="00D4162C"/>
    <w:rsid w:val="00D42380"/>
    <w:rsid w:val="00D42895"/>
    <w:rsid w:val="00D42F6B"/>
    <w:rsid w:val="00D43F5C"/>
    <w:rsid w:val="00D44E50"/>
    <w:rsid w:val="00D45D64"/>
    <w:rsid w:val="00D46177"/>
    <w:rsid w:val="00D46D62"/>
    <w:rsid w:val="00D47C68"/>
    <w:rsid w:val="00D50072"/>
    <w:rsid w:val="00D50393"/>
    <w:rsid w:val="00D5074B"/>
    <w:rsid w:val="00D50F52"/>
    <w:rsid w:val="00D51460"/>
    <w:rsid w:val="00D51CCA"/>
    <w:rsid w:val="00D522B8"/>
    <w:rsid w:val="00D52C29"/>
    <w:rsid w:val="00D53607"/>
    <w:rsid w:val="00D536A2"/>
    <w:rsid w:val="00D5439F"/>
    <w:rsid w:val="00D545FA"/>
    <w:rsid w:val="00D54952"/>
    <w:rsid w:val="00D54B62"/>
    <w:rsid w:val="00D60150"/>
    <w:rsid w:val="00D602CB"/>
    <w:rsid w:val="00D61327"/>
    <w:rsid w:val="00D628E2"/>
    <w:rsid w:val="00D637BE"/>
    <w:rsid w:val="00D63B2B"/>
    <w:rsid w:val="00D63D85"/>
    <w:rsid w:val="00D63DAB"/>
    <w:rsid w:val="00D63DED"/>
    <w:rsid w:val="00D642E6"/>
    <w:rsid w:val="00D6530C"/>
    <w:rsid w:val="00D655EE"/>
    <w:rsid w:val="00D65C18"/>
    <w:rsid w:val="00D65D81"/>
    <w:rsid w:val="00D66D92"/>
    <w:rsid w:val="00D700A3"/>
    <w:rsid w:val="00D700B7"/>
    <w:rsid w:val="00D70843"/>
    <w:rsid w:val="00D71F43"/>
    <w:rsid w:val="00D7282B"/>
    <w:rsid w:val="00D72A63"/>
    <w:rsid w:val="00D72B49"/>
    <w:rsid w:val="00D734FA"/>
    <w:rsid w:val="00D7363B"/>
    <w:rsid w:val="00D736D0"/>
    <w:rsid w:val="00D73916"/>
    <w:rsid w:val="00D73AEF"/>
    <w:rsid w:val="00D73C97"/>
    <w:rsid w:val="00D73CB8"/>
    <w:rsid w:val="00D74C58"/>
    <w:rsid w:val="00D7511B"/>
    <w:rsid w:val="00D762FB"/>
    <w:rsid w:val="00D7643C"/>
    <w:rsid w:val="00D766B3"/>
    <w:rsid w:val="00D76C80"/>
    <w:rsid w:val="00D76EA6"/>
    <w:rsid w:val="00D76FE2"/>
    <w:rsid w:val="00D771E9"/>
    <w:rsid w:val="00D77201"/>
    <w:rsid w:val="00D7737D"/>
    <w:rsid w:val="00D809E5"/>
    <w:rsid w:val="00D811BC"/>
    <w:rsid w:val="00D814D3"/>
    <w:rsid w:val="00D81E48"/>
    <w:rsid w:val="00D82B0F"/>
    <w:rsid w:val="00D82E7E"/>
    <w:rsid w:val="00D83A1D"/>
    <w:rsid w:val="00D83C50"/>
    <w:rsid w:val="00D84D96"/>
    <w:rsid w:val="00D85652"/>
    <w:rsid w:val="00D870E7"/>
    <w:rsid w:val="00D87C1C"/>
    <w:rsid w:val="00D87DFA"/>
    <w:rsid w:val="00D90909"/>
    <w:rsid w:val="00D918EA"/>
    <w:rsid w:val="00D91EBC"/>
    <w:rsid w:val="00D92383"/>
    <w:rsid w:val="00D923F2"/>
    <w:rsid w:val="00D923FB"/>
    <w:rsid w:val="00D92B43"/>
    <w:rsid w:val="00D92CA2"/>
    <w:rsid w:val="00D92F31"/>
    <w:rsid w:val="00D933E8"/>
    <w:rsid w:val="00D9356F"/>
    <w:rsid w:val="00D93F0B"/>
    <w:rsid w:val="00D94104"/>
    <w:rsid w:val="00D9463D"/>
    <w:rsid w:val="00D94AE5"/>
    <w:rsid w:val="00D94B05"/>
    <w:rsid w:val="00D94B4D"/>
    <w:rsid w:val="00D94CC8"/>
    <w:rsid w:val="00D9511A"/>
    <w:rsid w:val="00D95939"/>
    <w:rsid w:val="00D96A6F"/>
    <w:rsid w:val="00D96F66"/>
    <w:rsid w:val="00D9708F"/>
    <w:rsid w:val="00D97186"/>
    <w:rsid w:val="00D97E8F"/>
    <w:rsid w:val="00D97FC9"/>
    <w:rsid w:val="00DA1558"/>
    <w:rsid w:val="00DA19A6"/>
    <w:rsid w:val="00DA1FC5"/>
    <w:rsid w:val="00DA2176"/>
    <w:rsid w:val="00DA2622"/>
    <w:rsid w:val="00DA3B71"/>
    <w:rsid w:val="00DA3E7B"/>
    <w:rsid w:val="00DA42A3"/>
    <w:rsid w:val="00DA484D"/>
    <w:rsid w:val="00DA4D4C"/>
    <w:rsid w:val="00DA58C6"/>
    <w:rsid w:val="00DA5A8E"/>
    <w:rsid w:val="00DA5CFA"/>
    <w:rsid w:val="00DA69E8"/>
    <w:rsid w:val="00DA6A9A"/>
    <w:rsid w:val="00DA6E85"/>
    <w:rsid w:val="00DA79A5"/>
    <w:rsid w:val="00DA7B15"/>
    <w:rsid w:val="00DA7C80"/>
    <w:rsid w:val="00DB008B"/>
    <w:rsid w:val="00DB09F7"/>
    <w:rsid w:val="00DB11FE"/>
    <w:rsid w:val="00DB166B"/>
    <w:rsid w:val="00DB27A4"/>
    <w:rsid w:val="00DB320B"/>
    <w:rsid w:val="00DB39A5"/>
    <w:rsid w:val="00DB3AF1"/>
    <w:rsid w:val="00DB47DD"/>
    <w:rsid w:val="00DB4E5F"/>
    <w:rsid w:val="00DB4EEE"/>
    <w:rsid w:val="00DB580B"/>
    <w:rsid w:val="00DB59B2"/>
    <w:rsid w:val="00DB5D10"/>
    <w:rsid w:val="00DC0C24"/>
    <w:rsid w:val="00DC19B7"/>
    <w:rsid w:val="00DC2598"/>
    <w:rsid w:val="00DC368E"/>
    <w:rsid w:val="00DC4A1B"/>
    <w:rsid w:val="00DC58BA"/>
    <w:rsid w:val="00DC5A43"/>
    <w:rsid w:val="00DC6301"/>
    <w:rsid w:val="00DC63B8"/>
    <w:rsid w:val="00DC6BEE"/>
    <w:rsid w:val="00DC6C61"/>
    <w:rsid w:val="00DC6CCB"/>
    <w:rsid w:val="00DC72EC"/>
    <w:rsid w:val="00DC7517"/>
    <w:rsid w:val="00DD05CF"/>
    <w:rsid w:val="00DD11B7"/>
    <w:rsid w:val="00DD1682"/>
    <w:rsid w:val="00DD1CA8"/>
    <w:rsid w:val="00DD2C31"/>
    <w:rsid w:val="00DD2D2B"/>
    <w:rsid w:val="00DD2DBA"/>
    <w:rsid w:val="00DD31A0"/>
    <w:rsid w:val="00DD32B8"/>
    <w:rsid w:val="00DD3902"/>
    <w:rsid w:val="00DD41F1"/>
    <w:rsid w:val="00DD41FB"/>
    <w:rsid w:val="00DD69A3"/>
    <w:rsid w:val="00DD79DE"/>
    <w:rsid w:val="00DD7B2A"/>
    <w:rsid w:val="00DE0AE4"/>
    <w:rsid w:val="00DE107D"/>
    <w:rsid w:val="00DE1786"/>
    <w:rsid w:val="00DE26CE"/>
    <w:rsid w:val="00DE2A2D"/>
    <w:rsid w:val="00DE2D86"/>
    <w:rsid w:val="00DE336C"/>
    <w:rsid w:val="00DE348F"/>
    <w:rsid w:val="00DE34B4"/>
    <w:rsid w:val="00DE4AB5"/>
    <w:rsid w:val="00DE5639"/>
    <w:rsid w:val="00DE6798"/>
    <w:rsid w:val="00DE71D2"/>
    <w:rsid w:val="00DE732F"/>
    <w:rsid w:val="00DE7B5A"/>
    <w:rsid w:val="00DE7D63"/>
    <w:rsid w:val="00DF0040"/>
    <w:rsid w:val="00DF01C1"/>
    <w:rsid w:val="00DF0C1A"/>
    <w:rsid w:val="00DF0F25"/>
    <w:rsid w:val="00DF127F"/>
    <w:rsid w:val="00DF2BC1"/>
    <w:rsid w:val="00DF2E5B"/>
    <w:rsid w:val="00DF4DD7"/>
    <w:rsid w:val="00DF4E3E"/>
    <w:rsid w:val="00DF5590"/>
    <w:rsid w:val="00DF6731"/>
    <w:rsid w:val="00DF69AC"/>
    <w:rsid w:val="00DF6F66"/>
    <w:rsid w:val="00DF76E3"/>
    <w:rsid w:val="00E00398"/>
    <w:rsid w:val="00E013E5"/>
    <w:rsid w:val="00E0150E"/>
    <w:rsid w:val="00E01513"/>
    <w:rsid w:val="00E01912"/>
    <w:rsid w:val="00E01A52"/>
    <w:rsid w:val="00E01BB2"/>
    <w:rsid w:val="00E020FF"/>
    <w:rsid w:val="00E025E3"/>
    <w:rsid w:val="00E02B86"/>
    <w:rsid w:val="00E0313B"/>
    <w:rsid w:val="00E03835"/>
    <w:rsid w:val="00E03FED"/>
    <w:rsid w:val="00E0449C"/>
    <w:rsid w:val="00E04850"/>
    <w:rsid w:val="00E048B2"/>
    <w:rsid w:val="00E04BD9"/>
    <w:rsid w:val="00E05247"/>
    <w:rsid w:val="00E061AD"/>
    <w:rsid w:val="00E062EF"/>
    <w:rsid w:val="00E075A4"/>
    <w:rsid w:val="00E10174"/>
    <w:rsid w:val="00E105DB"/>
    <w:rsid w:val="00E11FAE"/>
    <w:rsid w:val="00E126EE"/>
    <w:rsid w:val="00E13625"/>
    <w:rsid w:val="00E140E8"/>
    <w:rsid w:val="00E147A5"/>
    <w:rsid w:val="00E1491D"/>
    <w:rsid w:val="00E1530C"/>
    <w:rsid w:val="00E15CC6"/>
    <w:rsid w:val="00E16204"/>
    <w:rsid w:val="00E17183"/>
    <w:rsid w:val="00E171CA"/>
    <w:rsid w:val="00E176F7"/>
    <w:rsid w:val="00E20C00"/>
    <w:rsid w:val="00E20FEE"/>
    <w:rsid w:val="00E215A8"/>
    <w:rsid w:val="00E228EC"/>
    <w:rsid w:val="00E228FD"/>
    <w:rsid w:val="00E23498"/>
    <w:rsid w:val="00E236E9"/>
    <w:rsid w:val="00E23896"/>
    <w:rsid w:val="00E23A94"/>
    <w:rsid w:val="00E23BC1"/>
    <w:rsid w:val="00E23DD8"/>
    <w:rsid w:val="00E24701"/>
    <w:rsid w:val="00E24820"/>
    <w:rsid w:val="00E248C5"/>
    <w:rsid w:val="00E256EC"/>
    <w:rsid w:val="00E25CAA"/>
    <w:rsid w:val="00E25DF5"/>
    <w:rsid w:val="00E26028"/>
    <w:rsid w:val="00E26567"/>
    <w:rsid w:val="00E26AF2"/>
    <w:rsid w:val="00E26DC2"/>
    <w:rsid w:val="00E2767B"/>
    <w:rsid w:val="00E27849"/>
    <w:rsid w:val="00E2784F"/>
    <w:rsid w:val="00E27AE7"/>
    <w:rsid w:val="00E27B08"/>
    <w:rsid w:val="00E27BF7"/>
    <w:rsid w:val="00E304DC"/>
    <w:rsid w:val="00E30EDE"/>
    <w:rsid w:val="00E31CAA"/>
    <w:rsid w:val="00E31D55"/>
    <w:rsid w:val="00E32159"/>
    <w:rsid w:val="00E3223B"/>
    <w:rsid w:val="00E3238C"/>
    <w:rsid w:val="00E349C3"/>
    <w:rsid w:val="00E35108"/>
    <w:rsid w:val="00E3522E"/>
    <w:rsid w:val="00E35BE2"/>
    <w:rsid w:val="00E360A8"/>
    <w:rsid w:val="00E3687C"/>
    <w:rsid w:val="00E37026"/>
    <w:rsid w:val="00E37161"/>
    <w:rsid w:val="00E37415"/>
    <w:rsid w:val="00E40261"/>
    <w:rsid w:val="00E403CA"/>
    <w:rsid w:val="00E40522"/>
    <w:rsid w:val="00E4052B"/>
    <w:rsid w:val="00E4131C"/>
    <w:rsid w:val="00E414C4"/>
    <w:rsid w:val="00E41974"/>
    <w:rsid w:val="00E43186"/>
    <w:rsid w:val="00E43798"/>
    <w:rsid w:val="00E43AE0"/>
    <w:rsid w:val="00E43C5D"/>
    <w:rsid w:val="00E440A3"/>
    <w:rsid w:val="00E45202"/>
    <w:rsid w:val="00E459FA"/>
    <w:rsid w:val="00E45B85"/>
    <w:rsid w:val="00E45B97"/>
    <w:rsid w:val="00E4612B"/>
    <w:rsid w:val="00E46526"/>
    <w:rsid w:val="00E4685E"/>
    <w:rsid w:val="00E46950"/>
    <w:rsid w:val="00E47C69"/>
    <w:rsid w:val="00E501CD"/>
    <w:rsid w:val="00E504EB"/>
    <w:rsid w:val="00E51057"/>
    <w:rsid w:val="00E511C8"/>
    <w:rsid w:val="00E51238"/>
    <w:rsid w:val="00E514EE"/>
    <w:rsid w:val="00E517BB"/>
    <w:rsid w:val="00E52A80"/>
    <w:rsid w:val="00E52EE3"/>
    <w:rsid w:val="00E545AB"/>
    <w:rsid w:val="00E54817"/>
    <w:rsid w:val="00E557BF"/>
    <w:rsid w:val="00E55B00"/>
    <w:rsid w:val="00E55CCC"/>
    <w:rsid w:val="00E57BF0"/>
    <w:rsid w:val="00E6011B"/>
    <w:rsid w:val="00E6032D"/>
    <w:rsid w:val="00E60D70"/>
    <w:rsid w:val="00E60F64"/>
    <w:rsid w:val="00E60FB0"/>
    <w:rsid w:val="00E6195F"/>
    <w:rsid w:val="00E61DB1"/>
    <w:rsid w:val="00E61E1E"/>
    <w:rsid w:val="00E62BAD"/>
    <w:rsid w:val="00E63178"/>
    <w:rsid w:val="00E638A1"/>
    <w:rsid w:val="00E63C3F"/>
    <w:rsid w:val="00E63FF3"/>
    <w:rsid w:val="00E65433"/>
    <w:rsid w:val="00E654B6"/>
    <w:rsid w:val="00E65522"/>
    <w:rsid w:val="00E6619B"/>
    <w:rsid w:val="00E6675C"/>
    <w:rsid w:val="00E66821"/>
    <w:rsid w:val="00E668C3"/>
    <w:rsid w:val="00E66D2D"/>
    <w:rsid w:val="00E66D96"/>
    <w:rsid w:val="00E66DA5"/>
    <w:rsid w:val="00E672AC"/>
    <w:rsid w:val="00E67E37"/>
    <w:rsid w:val="00E7025E"/>
    <w:rsid w:val="00E706C2"/>
    <w:rsid w:val="00E716E1"/>
    <w:rsid w:val="00E71A8B"/>
    <w:rsid w:val="00E722C7"/>
    <w:rsid w:val="00E7234F"/>
    <w:rsid w:val="00E7286C"/>
    <w:rsid w:val="00E729C5"/>
    <w:rsid w:val="00E72CDA"/>
    <w:rsid w:val="00E73155"/>
    <w:rsid w:val="00E73EC7"/>
    <w:rsid w:val="00E74946"/>
    <w:rsid w:val="00E74F3B"/>
    <w:rsid w:val="00E7506E"/>
    <w:rsid w:val="00E75600"/>
    <w:rsid w:val="00E75652"/>
    <w:rsid w:val="00E77660"/>
    <w:rsid w:val="00E80210"/>
    <w:rsid w:val="00E80784"/>
    <w:rsid w:val="00E81E3E"/>
    <w:rsid w:val="00E82DAF"/>
    <w:rsid w:val="00E82F68"/>
    <w:rsid w:val="00E841E9"/>
    <w:rsid w:val="00E84E18"/>
    <w:rsid w:val="00E84ECF"/>
    <w:rsid w:val="00E84F2F"/>
    <w:rsid w:val="00E8558D"/>
    <w:rsid w:val="00E85F2B"/>
    <w:rsid w:val="00E87A6C"/>
    <w:rsid w:val="00E87A80"/>
    <w:rsid w:val="00E87B84"/>
    <w:rsid w:val="00E901C7"/>
    <w:rsid w:val="00E90303"/>
    <w:rsid w:val="00E90F57"/>
    <w:rsid w:val="00E912CE"/>
    <w:rsid w:val="00E917BC"/>
    <w:rsid w:val="00E91D0D"/>
    <w:rsid w:val="00E91F73"/>
    <w:rsid w:val="00E92F19"/>
    <w:rsid w:val="00E9308C"/>
    <w:rsid w:val="00E932ED"/>
    <w:rsid w:val="00E93ABF"/>
    <w:rsid w:val="00E94249"/>
    <w:rsid w:val="00E94486"/>
    <w:rsid w:val="00E94A5E"/>
    <w:rsid w:val="00E94C9D"/>
    <w:rsid w:val="00E958CE"/>
    <w:rsid w:val="00E96108"/>
    <w:rsid w:val="00EA1457"/>
    <w:rsid w:val="00EA1522"/>
    <w:rsid w:val="00EA169E"/>
    <w:rsid w:val="00EA2D8D"/>
    <w:rsid w:val="00EA2DA9"/>
    <w:rsid w:val="00EA311F"/>
    <w:rsid w:val="00EA3C67"/>
    <w:rsid w:val="00EA474A"/>
    <w:rsid w:val="00EA52E4"/>
    <w:rsid w:val="00EA586E"/>
    <w:rsid w:val="00EA5C2C"/>
    <w:rsid w:val="00EA5D46"/>
    <w:rsid w:val="00EA6F50"/>
    <w:rsid w:val="00EA7044"/>
    <w:rsid w:val="00EA7240"/>
    <w:rsid w:val="00EA73A3"/>
    <w:rsid w:val="00EA7470"/>
    <w:rsid w:val="00EA77C8"/>
    <w:rsid w:val="00EA7DD7"/>
    <w:rsid w:val="00EB0176"/>
    <w:rsid w:val="00EB0503"/>
    <w:rsid w:val="00EB0721"/>
    <w:rsid w:val="00EB0E8A"/>
    <w:rsid w:val="00EB0F68"/>
    <w:rsid w:val="00EB15A0"/>
    <w:rsid w:val="00EB1BF9"/>
    <w:rsid w:val="00EB2152"/>
    <w:rsid w:val="00EB22A0"/>
    <w:rsid w:val="00EB22F7"/>
    <w:rsid w:val="00EB2579"/>
    <w:rsid w:val="00EB2C8B"/>
    <w:rsid w:val="00EB35F0"/>
    <w:rsid w:val="00EB375D"/>
    <w:rsid w:val="00EB3EC4"/>
    <w:rsid w:val="00EB41A6"/>
    <w:rsid w:val="00EB439F"/>
    <w:rsid w:val="00EB4538"/>
    <w:rsid w:val="00EB5D2A"/>
    <w:rsid w:val="00EB5DE9"/>
    <w:rsid w:val="00EB68E7"/>
    <w:rsid w:val="00EB6A67"/>
    <w:rsid w:val="00EB6C55"/>
    <w:rsid w:val="00EB74A6"/>
    <w:rsid w:val="00EB788C"/>
    <w:rsid w:val="00EC020D"/>
    <w:rsid w:val="00EC149C"/>
    <w:rsid w:val="00EC1855"/>
    <w:rsid w:val="00EC2188"/>
    <w:rsid w:val="00EC2729"/>
    <w:rsid w:val="00EC2FC1"/>
    <w:rsid w:val="00EC30C5"/>
    <w:rsid w:val="00EC36FB"/>
    <w:rsid w:val="00EC3A80"/>
    <w:rsid w:val="00EC3E7C"/>
    <w:rsid w:val="00EC478D"/>
    <w:rsid w:val="00EC50DC"/>
    <w:rsid w:val="00EC5784"/>
    <w:rsid w:val="00EC5BBD"/>
    <w:rsid w:val="00EC63C3"/>
    <w:rsid w:val="00EC71DE"/>
    <w:rsid w:val="00EC7C2C"/>
    <w:rsid w:val="00ED0577"/>
    <w:rsid w:val="00ED09A6"/>
    <w:rsid w:val="00ED1001"/>
    <w:rsid w:val="00ED1198"/>
    <w:rsid w:val="00ED1272"/>
    <w:rsid w:val="00ED1484"/>
    <w:rsid w:val="00ED188A"/>
    <w:rsid w:val="00ED21C9"/>
    <w:rsid w:val="00ED2C23"/>
    <w:rsid w:val="00ED3199"/>
    <w:rsid w:val="00ED4206"/>
    <w:rsid w:val="00ED486B"/>
    <w:rsid w:val="00ED5AC0"/>
    <w:rsid w:val="00ED5C38"/>
    <w:rsid w:val="00ED6B13"/>
    <w:rsid w:val="00ED6CC8"/>
    <w:rsid w:val="00ED6D18"/>
    <w:rsid w:val="00ED7188"/>
    <w:rsid w:val="00ED7D65"/>
    <w:rsid w:val="00ED7F65"/>
    <w:rsid w:val="00EE03E7"/>
    <w:rsid w:val="00EE0667"/>
    <w:rsid w:val="00EE0D2B"/>
    <w:rsid w:val="00EE172A"/>
    <w:rsid w:val="00EE3CE4"/>
    <w:rsid w:val="00EE5195"/>
    <w:rsid w:val="00EE5269"/>
    <w:rsid w:val="00EE5884"/>
    <w:rsid w:val="00EE5E97"/>
    <w:rsid w:val="00EE5F06"/>
    <w:rsid w:val="00EE7158"/>
    <w:rsid w:val="00EE7FE3"/>
    <w:rsid w:val="00EF03D9"/>
    <w:rsid w:val="00EF0C55"/>
    <w:rsid w:val="00EF0D48"/>
    <w:rsid w:val="00EF226A"/>
    <w:rsid w:val="00EF2443"/>
    <w:rsid w:val="00EF255F"/>
    <w:rsid w:val="00EF2BB9"/>
    <w:rsid w:val="00EF4C8A"/>
    <w:rsid w:val="00EF4FB0"/>
    <w:rsid w:val="00EF50F4"/>
    <w:rsid w:val="00EF5D8E"/>
    <w:rsid w:val="00EF6271"/>
    <w:rsid w:val="00EF7CF8"/>
    <w:rsid w:val="00F00011"/>
    <w:rsid w:val="00F006A2"/>
    <w:rsid w:val="00F00BE3"/>
    <w:rsid w:val="00F01266"/>
    <w:rsid w:val="00F01ED2"/>
    <w:rsid w:val="00F028B3"/>
    <w:rsid w:val="00F02D39"/>
    <w:rsid w:val="00F032F5"/>
    <w:rsid w:val="00F03831"/>
    <w:rsid w:val="00F03AFA"/>
    <w:rsid w:val="00F03EF9"/>
    <w:rsid w:val="00F0411F"/>
    <w:rsid w:val="00F04255"/>
    <w:rsid w:val="00F04D86"/>
    <w:rsid w:val="00F05B44"/>
    <w:rsid w:val="00F05B64"/>
    <w:rsid w:val="00F0605E"/>
    <w:rsid w:val="00F0620D"/>
    <w:rsid w:val="00F06431"/>
    <w:rsid w:val="00F0671A"/>
    <w:rsid w:val="00F06728"/>
    <w:rsid w:val="00F07093"/>
    <w:rsid w:val="00F07B99"/>
    <w:rsid w:val="00F104B0"/>
    <w:rsid w:val="00F1063E"/>
    <w:rsid w:val="00F108B9"/>
    <w:rsid w:val="00F10906"/>
    <w:rsid w:val="00F10987"/>
    <w:rsid w:val="00F10D42"/>
    <w:rsid w:val="00F123EC"/>
    <w:rsid w:val="00F1247F"/>
    <w:rsid w:val="00F12A59"/>
    <w:rsid w:val="00F12A69"/>
    <w:rsid w:val="00F12DFB"/>
    <w:rsid w:val="00F13609"/>
    <w:rsid w:val="00F1370B"/>
    <w:rsid w:val="00F140A9"/>
    <w:rsid w:val="00F147EC"/>
    <w:rsid w:val="00F14E92"/>
    <w:rsid w:val="00F15B0B"/>
    <w:rsid w:val="00F16561"/>
    <w:rsid w:val="00F1699D"/>
    <w:rsid w:val="00F17388"/>
    <w:rsid w:val="00F178AB"/>
    <w:rsid w:val="00F17D81"/>
    <w:rsid w:val="00F20BC5"/>
    <w:rsid w:val="00F20E24"/>
    <w:rsid w:val="00F214F8"/>
    <w:rsid w:val="00F2195C"/>
    <w:rsid w:val="00F21ECF"/>
    <w:rsid w:val="00F228F3"/>
    <w:rsid w:val="00F23168"/>
    <w:rsid w:val="00F23C83"/>
    <w:rsid w:val="00F244D7"/>
    <w:rsid w:val="00F246C4"/>
    <w:rsid w:val="00F252DA"/>
    <w:rsid w:val="00F25652"/>
    <w:rsid w:val="00F26541"/>
    <w:rsid w:val="00F271A7"/>
    <w:rsid w:val="00F2728B"/>
    <w:rsid w:val="00F272C2"/>
    <w:rsid w:val="00F2773B"/>
    <w:rsid w:val="00F30175"/>
    <w:rsid w:val="00F3087B"/>
    <w:rsid w:val="00F308FB"/>
    <w:rsid w:val="00F30BA0"/>
    <w:rsid w:val="00F30D9E"/>
    <w:rsid w:val="00F31226"/>
    <w:rsid w:val="00F31671"/>
    <w:rsid w:val="00F318CF"/>
    <w:rsid w:val="00F32397"/>
    <w:rsid w:val="00F33B50"/>
    <w:rsid w:val="00F342E9"/>
    <w:rsid w:val="00F34422"/>
    <w:rsid w:val="00F34BFB"/>
    <w:rsid w:val="00F35323"/>
    <w:rsid w:val="00F35EBD"/>
    <w:rsid w:val="00F36126"/>
    <w:rsid w:val="00F362DE"/>
    <w:rsid w:val="00F368B9"/>
    <w:rsid w:val="00F40267"/>
    <w:rsid w:val="00F404ED"/>
    <w:rsid w:val="00F4069C"/>
    <w:rsid w:val="00F40BDA"/>
    <w:rsid w:val="00F4169B"/>
    <w:rsid w:val="00F41880"/>
    <w:rsid w:val="00F4242D"/>
    <w:rsid w:val="00F42452"/>
    <w:rsid w:val="00F43554"/>
    <w:rsid w:val="00F436DF"/>
    <w:rsid w:val="00F44133"/>
    <w:rsid w:val="00F4454C"/>
    <w:rsid w:val="00F44E37"/>
    <w:rsid w:val="00F44F75"/>
    <w:rsid w:val="00F45326"/>
    <w:rsid w:val="00F45C98"/>
    <w:rsid w:val="00F469BA"/>
    <w:rsid w:val="00F46C3B"/>
    <w:rsid w:val="00F4742E"/>
    <w:rsid w:val="00F47EDC"/>
    <w:rsid w:val="00F51A6F"/>
    <w:rsid w:val="00F51DA2"/>
    <w:rsid w:val="00F51F26"/>
    <w:rsid w:val="00F5254B"/>
    <w:rsid w:val="00F52735"/>
    <w:rsid w:val="00F52B6E"/>
    <w:rsid w:val="00F53BB2"/>
    <w:rsid w:val="00F53C4F"/>
    <w:rsid w:val="00F540A3"/>
    <w:rsid w:val="00F54499"/>
    <w:rsid w:val="00F54742"/>
    <w:rsid w:val="00F557DF"/>
    <w:rsid w:val="00F55FC3"/>
    <w:rsid w:val="00F563A1"/>
    <w:rsid w:val="00F56F3F"/>
    <w:rsid w:val="00F5709D"/>
    <w:rsid w:val="00F57494"/>
    <w:rsid w:val="00F57BB1"/>
    <w:rsid w:val="00F57D85"/>
    <w:rsid w:val="00F57F3B"/>
    <w:rsid w:val="00F603BD"/>
    <w:rsid w:val="00F60DED"/>
    <w:rsid w:val="00F623C5"/>
    <w:rsid w:val="00F62537"/>
    <w:rsid w:val="00F6273E"/>
    <w:rsid w:val="00F62C13"/>
    <w:rsid w:val="00F62C52"/>
    <w:rsid w:val="00F63613"/>
    <w:rsid w:val="00F63816"/>
    <w:rsid w:val="00F67024"/>
    <w:rsid w:val="00F67D9F"/>
    <w:rsid w:val="00F67F89"/>
    <w:rsid w:val="00F703CB"/>
    <w:rsid w:val="00F71646"/>
    <w:rsid w:val="00F71706"/>
    <w:rsid w:val="00F71C21"/>
    <w:rsid w:val="00F728BA"/>
    <w:rsid w:val="00F73BFE"/>
    <w:rsid w:val="00F73F2C"/>
    <w:rsid w:val="00F74D98"/>
    <w:rsid w:val="00F74E8C"/>
    <w:rsid w:val="00F75823"/>
    <w:rsid w:val="00F75BEA"/>
    <w:rsid w:val="00F75F31"/>
    <w:rsid w:val="00F76130"/>
    <w:rsid w:val="00F762B0"/>
    <w:rsid w:val="00F7642A"/>
    <w:rsid w:val="00F76578"/>
    <w:rsid w:val="00F773BF"/>
    <w:rsid w:val="00F77E79"/>
    <w:rsid w:val="00F80A4F"/>
    <w:rsid w:val="00F821E7"/>
    <w:rsid w:val="00F8282B"/>
    <w:rsid w:val="00F832CE"/>
    <w:rsid w:val="00F832FC"/>
    <w:rsid w:val="00F843B2"/>
    <w:rsid w:val="00F84B03"/>
    <w:rsid w:val="00F84DA5"/>
    <w:rsid w:val="00F84F40"/>
    <w:rsid w:val="00F851B4"/>
    <w:rsid w:val="00F85A17"/>
    <w:rsid w:val="00F85AE5"/>
    <w:rsid w:val="00F85CDF"/>
    <w:rsid w:val="00F85E76"/>
    <w:rsid w:val="00F902D0"/>
    <w:rsid w:val="00F905D8"/>
    <w:rsid w:val="00F91001"/>
    <w:rsid w:val="00F93518"/>
    <w:rsid w:val="00F9543F"/>
    <w:rsid w:val="00F95634"/>
    <w:rsid w:val="00F956AE"/>
    <w:rsid w:val="00F95F8E"/>
    <w:rsid w:val="00F964FD"/>
    <w:rsid w:val="00F9690E"/>
    <w:rsid w:val="00F969E3"/>
    <w:rsid w:val="00F979A5"/>
    <w:rsid w:val="00F97CB7"/>
    <w:rsid w:val="00F97EB6"/>
    <w:rsid w:val="00FA010F"/>
    <w:rsid w:val="00FA0F5B"/>
    <w:rsid w:val="00FA105D"/>
    <w:rsid w:val="00FA204E"/>
    <w:rsid w:val="00FA20A6"/>
    <w:rsid w:val="00FA2AF0"/>
    <w:rsid w:val="00FA2D47"/>
    <w:rsid w:val="00FA4507"/>
    <w:rsid w:val="00FA4E41"/>
    <w:rsid w:val="00FA4E60"/>
    <w:rsid w:val="00FA518D"/>
    <w:rsid w:val="00FA5C8C"/>
    <w:rsid w:val="00FA5D6F"/>
    <w:rsid w:val="00FA5FE3"/>
    <w:rsid w:val="00FA5FEB"/>
    <w:rsid w:val="00FA60A4"/>
    <w:rsid w:val="00FA6630"/>
    <w:rsid w:val="00FA6759"/>
    <w:rsid w:val="00FA6949"/>
    <w:rsid w:val="00FA6CBA"/>
    <w:rsid w:val="00FA74BE"/>
    <w:rsid w:val="00FA7F13"/>
    <w:rsid w:val="00FA7FA9"/>
    <w:rsid w:val="00FB02BB"/>
    <w:rsid w:val="00FB04CA"/>
    <w:rsid w:val="00FB0FE7"/>
    <w:rsid w:val="00FB16E6"/>
    <w:rsid w:val="00FB1AF3"/>
    <w:rsid w:val="00FB2ACD"/>
    <w:rsid w:val="00FB315A"/>
    <w:rsid w:val="00FB31ED"/>
    <w:rsid w:val="00FB3610"/>
    <w:rsid w:val="00FB36E0"/>
    <w:rsid w:val="00FB3874"/>
    <w:rsid w:val="00FB3B19"/>
    <w:rsid w:val="00FB4A94"/>
    <w:rsid w:val="00FB603E"/>
    <w:rsid w:val="00FB66F0"/>
    <w:rsid w:val="00FB6BBB"/>
    <w:rsid w:val="00FB6EAA"/>
    <w:rsid w:val="00FB7583"/>
    <w:rsid w:val="00FB7B29"/>
    <w:rsid w:val="00FB7CF2"/>
    <w:rsid w:val="00FC00A0"/>
    <w:rsid w:val="00FC06CC"/>
    <w:rsid w:val="00FC0E3A"/>
    <w:rsid w:val="00FC1708"/>
    <w:rsid w:val="00FC2035"/>
    <w:rsid w:val="00FC2042"/>
    <w:rsid w:val="00FC2421"/>
    <w:rsid w:val="00FC250A"/>
    <w:rsid w:val="00FC2CC8"/>
    <w:rsid w:val="00FC3966"/>
    <w:rsid w:val="00FC3BC4"/>
    <w:rsid w:val="00FC4AE5"/>
    <w:rsid w:val="00FC51CD"/>
    <w:rsid w:val="00FC5685"/>
    <w:rsid w:val="00FC5C41"/>
    <w:rsid w:val="00FC5E36"/>
    <w:rsid w:val="00FC5F95"/>
    <w:rsid w:val="00FC6314"/>
    <w:rsid w:val="00FC7234"/>
    <w:rsid w:val="00FC7371"/>
    <w:rsid w:val="00FC78FA"/>
    <w:rsid w:val="00FD0028"/>
    <w:rsid w:val="00FD152E"/>
    <w:rsid w:val="00FD1B2B"/>
    <w:rsid w:val="00FD1BEB"/>
    <w:rsid w:val="00FD2333"/>
    <w:rsid w:val="00FD244F"/>
    <w:rsid w:val="00FD2648"/>
    <w:rsid w:val="00FD2823"/>
    <w:rsid w:val="00FD29C8"/>
    <w:rsid w:val="00FD3715"/>
    <w:rsid w:val="00FD3BC2"/>
    <w:rsid w:val="00FD4178"/>
    <w:rsid w:val="00FD43A9"/>
    <w:rsid w:val="00FD45B5"/>
    <w:rsid w:val="00FD495E"/>
    <w:rsid w:val="00FD4B25"/>
    <w:rsid w:val="00FD4DC3"/>
    <w:rsid w:val="00FD4FAA"/>
    <w:rsid w:val="00FD6E1E"/>
    <w:rsid w:val="00FD724C"/>
    <w:rsid w:val="00FD756B"/>
    <w:rsid w:val="00FD7CAE"/>
    <w:rsid w:val="00FE0705"/>
    <w:rsid w:val="00FE176E"/>
    <w:rsid w:val="00FE22C6"/>
    <w:rsid w:val="00FE2565"/>
    <w:rsid w:val="00FE2833"/>
    <w:rsid w:val="00FE2AFF"/>
    <w:rsid w:val="00FE2F36"/>
    <w:rsid w:val="00FE350E"/>
    <w:rsid w:val="00FE3C1F"/>
    <w:rsid w:val="00FE3D35"/>
    <w:rsid w:val="00FE411B"/>
    <w:rsid w:val="00FE48A3"/>
    <w:rsid w:val="00FE538C"/>
    <w:rsid w:val="00FE55EA"/>
    <w:rsid w:val="00FE591E"/>
    <w:rsid w:val="00FE5D44"/>
    <w:rsid w:val="00FE60D4"/>
    <w:rsid w:val="00FE6183"/>
    <w:rsid w:val="00FE682F"/>
    <w:rsid w:val="00FE7D41"/>
    <w:rsid w:val="00FE7EA9"/>
    <w:rsid w:val="00FE7FB6"/>
    <w:rsid w:val="00FF05C4"/>
    <w:rsid w:val="00FF0734"/>
    <w:rsid w:val="00FF0880"/>
    <w:rsid w:val="00FF0976"/>
    <w:rsid w:val="00FF22F1"/>
    <w:rsid w:val="00FF2D33"/>
    <w:rsid w:val="00FF31ED"/>
    <w:rsid w:val="00FF31F7"/>
    <w:rsid w:val="00FF6362"/>
    <w:rsid w:val="00FF6433"/>
    <w:rsid w:val="00FF646A"/>
    <w:rsid w:val="00FF6476"/>
    <w:rsid w:val="00FF6851"/>
    <w:rsid w:val="00FF7820"/>
    <w:rsid w:val="00FF7CD9"/>
    <w:rsid w:val="02DF8E31"/>
    <w:rsid w:val="083B3700"/>
    <w:rsid w:val="09DA1F54"/>
    <w:rsid w:val="0D364550"/>
    <w:rsid w:val="0D823432"/>
    <w:rsid w:val="18EA95D9"/>
    <w:rsid w:val="1C2057AF"/>
    <w:rsid w:val="21BA5B72"/>
    <w:rsid w:val="23A0B16D"/>
    <w:rsid w:val="2716CC40"/>
    <w:rsid w:val="27700649"/>
    <w:rsid w:val="2851D227"/>
    <w:rsid w:val="2A972FC7"/>
    <w:rsid w:val="2DE8AF66"/>
    <w:rsid w:val="2F5DD279"/>
    <w:rsid w:val="31AF4B21"/>
    <w:rsid w:val="37374D60"/>
    <w:rsid w:val="3AEF2800"/>
    <w:rsid w:val="3BE91818"/>
    <w:rsid w:val="3D175FC8"/>
    <w:rsid w:val="41F44977"/>
    <w:rsid w:val="43906748"/>
    <w:rsid w:val="4CFFBA78"/>
    <w:rsid w:val="4FCE4794"/>
    <w:rsid w:val="52C5F3BE"/>
    <w:rsid w:val="55EBA69A"/>
    <w:rsid w:val="56C86C3F"/>
    <w:rsid w:val="602C9E3C"/>
    <w:rsid w:val="6506D4B3"/>
    <w:rsid w:val="65096C92"/>
    <w:rsid w:val="671E9576"/>
    <w:rsid w:val="6931CC08"/>
    <w:rsid w:val="70A5D980"/>
    <w:rsid w:val="7155D22A"/>
    <w:rsid w:val="71B4DDE5"/>
    <w:rsid w:val="746CF6CB"/>
    <w:rsid w:val="76944752"/>
    <w:rsid w:val="77F27821"/>
    <w:rsid w:val="7AB65E0A"/>
    <w:rsid w:val="7C78C41D"/>
    <w:rsid w:val="7D94CF7B"/>
    <w:rsid w:val="7DF48A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6C75A"/>
  <w15:chartTrackingRefBased/>
  <w15:docId w15:val="{5E97DB33-022D-49B9-9343-5A611F31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07"/>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176907"/>
    <w:pPr>
      <w:spacing w:after="240"/>
      <w:outlineLvl w:val="0"/>
    </w:pPr>
    <w:rPr>
      <w:rFonts w:ascii="Arial Bold" w:hAnsi="Arial Bold"/>
      <w:b/>
      <w:kern w:val="34"/>
      <w:sz w:val="36"/>
    </w:rPr>
  </w:style>
  <w:style w:type="paragraph" w:styleId="Heading2">
    <w:name w:val="heading 2"/>
    <w:basedOn w:val="HeadingBase"/>
    <w:next w:val="Normal"/>
    <w:link w:val="Heading2Char"/>
    <w:qFormat/>
    <w:rsid w:val="00176907"/>
    <w:pPr>
      <w:spacing w:before="240" w:after="240"/>
      <w:outlineLvl w:val="1"/>
    </w:pPr>
    <w:rPr>
      <w:rFonts w:ascii="Arial Bold" w:hAnsi="Arial Bold"/>
      <w:b/>
      <w:sz w:val="26"/>
    </w:rPr>
  </w:style>
  <w:style w:type="paragraph" w:styleId="Heading3">
    <w:name w:val="heading 3"/>
    <w:basedOn w:val="HeadingBase"/>
    <w:next w:val="Normal"/>
    <w:link w:val="Heading3Char"/>
    <w:qFormat/>
    <w:rsid w:val="00176907"/>
    <w:pPr>
      <w:spacing w:before="120" w:after="120"/>
      <w:outlineLvl w:val="2"/>
    </w:pPr>
    <w:rPr>
      <w:rFonts w:ascii="Arial Bold" w:hAnsi="Arial Bold"/>
      <w:b/>
      <w:sz w:val="22"/>
    </w:rPr>
  </w:style>
  <w:style w:type="paragraph" w:styleId="Heading4">
    <w:name w:val="heading 4"/>
    <w:basedOn w:val="HeadingBase"/>
    <w:next w:val="Normal"/>
    <w:link w:val="Heading4Char"/>
    <w:qFormat/>
    <w:rsid w:val="00176907"/>
    <w:pPr>
      <w:spacing w:after="120"/>
      <w:outlineLvl w:val="3"/>
    </w:pPr>
    <w:rPr>
      <w:rFonts w:ascii="Arial Bold" w:hAnsi="Arial Bold"/>
      <w:b/>
      <w:sz w:val="20"/>
    </w:rPr>
  </w:style>
  <w:style w:type="paragraph" w:styleId="Heading5">
    <w:name w:val="heading 5"/>
    <w:basedOn w:val="HeadingBase"/>
    <w:next w:val="Normal"/>
    <w:link w:val="Heading5Char"/>
    <w:qFormat/>
    <w:rsid w:val="00176907"/>
    <w:pPr>
      <w:spacing w:after="120"/>
      <w:outlineLvl w:val="4"/>
    </w:pPr>
    <w:rPr>
      <w:bCs/>
      <w:i/>
      <w:iCs/>
      <w:sz w:val="20"/>
      <w:szCs w:val="26"/>
    </w:rPr>
  </w:style>
  <w:style w:type="paragraph" w:styleId="Heading6">
    <w:name w:val="heading 6"/>
    <w:basedOn w:val="HeadingBase"/>
    <w:next w:val="Normal"/>
    <w:link w:val="Heading6Char"/>
    <w:rsid w:val="00176907"/>
    <w:pPr>
      <w:spacing w:after="120"/>
      <w:outlineLvl w:val="5"/>
    </w:pPr>
    <w:rPr>
      <w:bCs/>
      <w:sz w:val="20"/>
      <w:szCs w:val="22"/>
    </w:rPr>
  </w:style>
  <w:style w:type="paragraph" w:styleId="Heading7">
    <w:name w:val="heading 7"/>
    <w:basedOn w:val="HeadingBase"/>
    <w:next w:val="Normal"/>
    <w:link w:val="Heading7Char"/>
    <w:rsid w:val="00176907"/>
    <w:pPr>
      <w:spacing w:before="120"/>
      <w:outlineLvl w:val="6"/>
    </w:pPr>
    <w:rPr>
      <w:sz w:val="20"/>
      <w:szCs w:val="24"/>
    </w:rPr>
  </w:style>
  <w:style w:type="paragraph" w:styleId="Heading8">
    <w:name w:val="heading 8"/>
    <w:basedOn w:val="HeadingBase"/>
    <w:next w:val="Normal"/>
    <w:link w:val="Heading8Char"/>
    <w:rsid w:val="00176907"/>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176907"/>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176907"/>
    <w:pPr>
      <w:tabs>
        <w:tab w:val="center" w:pos="4153"/>
        <w:tab w:val="right" w:pos="8306"/>
      </w:tabs>
    </w:pPr>
  </w:style>
  <w:style w:type="character" w:customStyle="1" w:styleId="HeaderChar">
    <w:name w:val="Header Char"/>
    <w:basedOn w:val="DefaultParagraphFont"/>
    <w:link w:val="Header"/>
    <w:rsid w:val="00176907"/>
    <w:rPr>
      <w:rFonts w:ascii="Arial" w:eastAsia="Times New Roman" w:hAnsi="Arial" w:cs="Times New Roman"/>
      <w:color w:val="002A54" w:themeColor="text2"/>
      <w:sz w:val="18"/>
      <w:szCs w:val="20"/>
      <w:lang w:eastAsia="en-AU"/>
    </w:rPr>
  </w:style>
  <w:style w:type="paragraph" w:styleId="Footer">
    <w:name w:val="footer"/>
    <w:basedOn w:val="FooterBase"/>
    <w:link w:val="FooterChar"/>
    <w:rsid w:val="00176907"/>
    <w:pPr>
      <w:tabs>
        <w:tab w:val="center" w:pos="4153"/>
        <w:tab w:val="right" w:pos="8306"/>
      </w:tabs>
    </w:pPr>
  </w:style>
  <w:style w:type="character" w:customStyle="1" w:styleId="FooterChar">
    <w:name w:val="Footer Char"/>
    <w:basedOn w:val="DefaultParagraphFont"/>
    <w:link w:val="Footer"/>
    <w:rsid w:val="00176907"/>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176907"/>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176907"/>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176907"/>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176907"/>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176907"/>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176907"/>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176907"/>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176907"/>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176907"/>
    <w:pPr>
      <w:jc w:val="center"/>
    </w:pPr>
    <w:rPr>
      <w:rFonts w:ascii="Arial Bold" w:hAnsi="Arial Bold"/>
      <w:b/>
      <w:caps/>
      <w:sz w:val="22"/>
    </w:rPr>
  </w:style>
  <w:style w:type="paragraph" w:customStyle="1" w:styleId="FileProperties">
    <w:name w:val="File Properties"/>
    <w:basedOn w:val="Normal"/>
    <w:rsid w:val="00176907"/>
    <w:pPr>
      <w:spacing w:before="0"/>
    </w:pPr>
    <w:rPr>
      <w:i/>
    </w:rPr>
  </w:style>
  <w:style w:type="paragraph" w:customStyle="1" w:styleId="AlphaParagraph">
    <w:name w:val="Alpha Paragraph"/>
    <w:basedOn w:val="Normal"/>
    <w:rsid w:val="00176907"/>
    <w:pPr>
      <w:numPr>
        <w:numId w:val="1"/>
      </w:numPr>
      <w:tabs>
        <w:tab w:val="clear" w:pos="567"/>
        <w:tab w:val="num" w:pos="360"/>
      </w:tabs>
    </w:pPr>
  </w:style>
  <w:style w:type="paragraph" w:customStyle="1" w:styleId="HeadingBase">
    <w:name w:val="Heading Base"/>
    <w:rsid w:val="00176907"/>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176907"/>
    <w:pPr>
      <w:spacing w:after="240"/>
      <w:jc w:val="center"/>
      <w:outlineLvl w:val="3"/>
    </w:pPr>
    <w:rPr>
      <w:b/>
      <w:smallCaps/>
      <w:sz w:val="30"/>
    </w:rPr>
  </w:style>
  <w:style w:type="paragraph" w:styleId="BalloonText">
    <w:name w:val="Balloon Text"/>
    <w:basedOn w:val="Normal"/>
    <w:link w:val="BalloonTextChar"/>
    <w:rsid w:val="00176907"/>
    <w:rPr>
      <w:rFonts w:ascii="Tahoma" w:hAnsi="Tahoma" w:cs="Tahoma"/>
      <w:sz w:val="16"/>
      <w:szCs w:val="16"/>
    </w:rPr>
  </w:style>
  <w:style w:type="character" w:customStyle="1" w:styleId="BalloonTextChar">
    <w:name w:val="Balloon Text Char"/>
    <w:basedOn w:val="DefaultParagraphFont"/>
    <w:link w:val="BalloonText"/>
    <w:rsid w:val="00176907"/>
    <w:rPr>
      <w:rFonts w:ascii="Tahoma" w:eastAsia="Times New Roman" w:hAnsi="Tahoma" w:cs="Tahoma"/>
      <w:sz w:val="16"/>
      <w:szCs w:val="16"/>
      <w:lang w:eastAsia="en-AU"/>
    </w:rPr>
  </w:style>
  <w:style w:type="paragraph" w:customStyle="1" w:styleId="BlockedQuotation">
    <w:name w:val="Blocked Quotation"/>
    <w:basedOn w:val="Normal"/>
    <w:rsid w:val="00176907"/>
    <w:pPr>
      <w:ind w:left="567"/>
    </w:pPr>
  </w:style>
  <w:style w:type="paragraph" w:customStyle="1" w:styleId="BoxText">
    <w:name w:val="Box Text"/>
    <w:basedOn w:val="Normal"/>
    <w:qFormat/>
    <w:rsid w:val="00176907"/>
    <w:pPr>
      <w:spacing w:before="120" w:after="120" w:line="240" w:lineRule="auto"/>
    </w:pPr>
  </w:style>
  <w:style w:type="paragraph" w:customStyle="1" w:styleId="BoxBullet">
    <w:name w:val="Box Bullet"/>
    <w:basedOn w:val="BoxText"/>
    <w:rsid w:val="00176907"/>
    <w:pPr>
      <w:numPr>
        <w:numId w:val="2"/>
      </w:numPr>
    </w:pPr>
  </w:style>
  <w:style w:type="paragraph" w:customStyle="1" w:styleId="BoxHeading">
    <w:name w:val="Box Heading"/>
    <w:basedOn w:val="HeadingBase"/>
    <w:next w:val="BoxText"/>
    <w:rsid w:val="00176907"/>
    <w:pPr>
      <w:spacing w:before="120" w:after="120"/>
    </w:pPr>
    <w:rPr>
      <w:b/>
      <w:sz w:val="20"/>
    </w:rPr>
  </w:style>
  <w:style w:type="character" w:customStyle="1" w:styleId="Heading6Char">
    <w:name w:val="Heading 6 Char"/>
    <w:basedOn w:val="DefaultParagraphFont"/>
    <w:link w:val="Heading6"/>
    <w:rsid w:val="00176907"/>
    <w:rPr>
      <w:rFonts w:ascii="Arial" w:eastAsia="Times New Roman" w:hAnsi="Arial" w:cs="Times New Roman"/>
      <w:bCs/>
      <w:sz w:val="20"/>
      <w:lang w:eastAsia="en-AU"/>
    </w:rPr>
  </w:style>
  <w:style w:type="paragraph" w:customStyle="1" w:styleId="BoxSubHeading">
    <w:name w:val="Box Sub Heading"/>
    <w:basedOn w:val="Heading6"/>
    <w:rsid w:val="00176907"/>
    <w:pPr>
      <w:spacing w:before="120" w:after="40"/>
    </w:pPr>
  </w:style>
  <w:style w:type="paragraph" w:customStyle="1" w:styleId="Bullet">
    <w:name w:val="Bullet"/>
    <w:aliases w:val="b"/>
    <w:basedOn w:val="Normal"/>
    <w:link w:val="BulletChar"/>
    <w:qFormat/>
    <w:rsid w:val="00176907"/>
    <w:pPr>
      <w:numPr>
        <w:numId w:val="3"/>
      </w:numPr>
      <w:spacing w:after="160"/>
    </w:pPr>
  </w:style>
  <w:style w:type="paragraph" w:styleId="Caption">
    <w:name w:val="caption"/>
    <w:basedOn w:val="Normal"/>
    <w:next w:val="Normal"/>
    <w:rsid w:val="00176907"/>
    <w:rPr>
      <w:b/>
      <w:bCs/>
    </w:rPr>
  </w:style>
  <w:style w:type="paragraph" w:customStyle="1" w:styleId="ChartandTableFootnote">
    <w:name w:val="Chart and Table Footnote"/>
    <w:basedOn w:val="HeadingBase"/>
    <w:next w:val="Normal"/>
    <w:rsid w:val="00176907"/>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176907"/>
    <w:pPr>
      <w:keepNext w:val="0"/>
      <w:numPr>
        <w:numId w:val="14"/>
      </w:numPr>
      <w:spacing w:before="30"/>
    </w:pPr>
    <w:rPr>
      <w:color w:val="000000"/>
      <w:sz w:val="16"/>
    </w:rPr>
  </w:style>
  <w:style w:type="paragraph" w:customStyle="1" w:styleId="ChartandTableFootnoteSmall">
    <w:name w:val="Chart and Table Footnote Small"/>
    <w:basedOn w:val="HeadingBase"/>
    <w:next w:val="Normal"/>
    <w:rsid w:val="00176907"/>
    <w:pPr>
      <w:keepNext w:val="0"/>
      <w:tabs>
        <w:tab w:val="left" w:pos="284"/>
      </w:tabs>
      <w:jc w:val="both"/>
    </w:pPr>
    <w:rPr>
      <w:color w:val="000000"/>
      <w:sz w:val="15"/>
    </w:rPr>
  </w:style>
  <w:style w:type="paragraph" w:customStyle="1" w:styleId="ChartGraphic">
    <w:name w:val="Chart Graphic"/>
    <w:basedOn w:val="HeadingBase"/>
    <w:rsid w:val="00176907"/>
    <w:rPr>
      <w:sz w:val="20"/>
    </w:rPr>
  </w:style>
  <w:style w:type="paragraph" w:customStyle="1" w:styleId="ChartHeading">
    <w:name w:val="Chart Heading"/>
    <w:basedOn w:val="HeadingBase"/>
    <w:next w:val="ChartGraphic"/>
    <w:qFormat/>
    <w:rsid w:val="00176907"/>
    <w:pPr>
      <w:spacing w:before="120" w:after="20"/>
      <w:jc w:val="center"/>
    </w:pPr>
    <w:rPr>
      <w:b/>
      <w:sz w:val="20"/>
    </w:rPr>
  </w:style>
  <w:style w:type="paragraph" w:customStyle="1" w:styleId="ChartMainHeading">
    <w:name w:val="Chart Main Heading"/>
    <w:basedOn w:val="Normal"/>
    <w:next w:val="ChartGraphic"/>
    <w:rsid w:val="00176907"/>
    <w:pPr>
      <w:keepNext/>
      <w:spacing w:before="120" w:after="20" w:line="240" w:lineRule="auto"/>
    </w:pPr>
    <w:rPr>
      <w:rFonts w:asciiTheme="majorHAnsi" w:hAnsiTheme="majorHAnsi"/>
      <w:b/>
      <w:sz w:val="20"/>
    </w:rPr>
  </w:style>
  <w:style w:type="paragraph" w:customStyle="1" w:styleId="ChartSecondHeading">
    <w:name w:val="Chart Second Heading"/>
    <w:basedOn w:val="HeadingBase"/>
    <w:next w:val="ChartGraphic"/>
    <w:rsid w:val="00176907"/>
    <w:pPr>
      <w:spacing w:after="60"/>
    </w:pPr>
    <w:rPr>
      <w:sz w:val="19"/>
    </w:rPr>
  </w:style>
  <w:style w:type="character" w:styleId="CommentReference">
    <w:name w:val="annotation reference"/>
    <w:basedOn w:val="DefaultParagraphFont"/>
    <w:semiHidden/>
    <w:rsid w:val="00176907"/>
    <w:rPr>
      <w:sz w:val="16"/>
      <w:szCs w:val="16"/>
    </w:rPr>
  </w:style>
  <w:style w:type="paragraph" w:styleId="CommentText">
    <w:name w:val="annotation text"/>
    <w:basedOn w:val="Normal"/>
    <w:link w:val="CommentTextChar"/>
    <w:rsid w:val="00176907"/>
  </w:style>
  <w:style w:type="character" w:customStyle="1" w:styleId="CommentTextChar">
    <w:name w:val="Comment Text Char"/>
    <w:basedOn w:val="DefaultParagraphFont"/>
    <w:link w:val="CommentText"/>
    <w:rsid w:val="00176907"/>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176907"/>
    <w:rPr>
      <w:b/>
      <w:bCs/>
    </w:rPr>
  </w:style>
  <w:style w:type="character" w:customStyle="1" w:styleId="CommentSubjectChar">
    <w:name w:val="Comment Subject Char"/>
    <w:basedOn w:val="CommentTextChar"/>
    <w:link w:val="CommentSubject"/>
    <w:semiHidden/>
    <w:rsid w:val="00176907"/>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176907"/>
    <w:pPr>
      <w:spacing w:after="720"/>
      <w:outlineLvl w:val="9"/>
    </w:pPr>
  </w:style>
  <w:style w:type="paragraph" w:customStyle="1" w:styleId="ContentsnoToC">
    <w:name w:val="Contents no ToC"/>
    <w:basedOn w:val="ContentsHeading"/>
    <w:rsid w:val="00176907"/>
  </w:style>
  <w:style w:type="paragraph" w:customStyle="1" w:styleId="Dash">
    <w:name w:val="Dash"/>
    <w:basedOn w:val="Normal"/>
    <w:qFormat/>
    <w:rsid w:val="00176907"/>
    <w:pPr>
      <w:numPr>
        <w:ilvl w:val="1"/>
        <w:numId w:val="3"/>
      </w:numPr>
      <w:tabs>
        <w:tab w:val="left" w:pos="567"/>
      </w:tabs>
    </w:pPr>
  </w:style>
  <w:style w:type="paragraph" w:styleId="DocumentMap">
    <w:name w:val="Document Map"/>
    <w:basedOn w:val="Normal"/>
    <w:link w:val="DocumentMapChar"/>
    <w:semiHidden/>
    <w:rsid w:val="00176907"/>
    <w:pPr>
      <w:shd w:val="clear" w:color="auto" w:fill="000080"/>
    </w:pPr>
    <w:rPr>
      <w:rFonts w:ascii="Tahoma" w:hAnsi="Tahoma" w:cs="Tahoma"/>
    </w:rPr>
  </w:style>
  <w:style w:type="character" w:customStyle="1" w:styleId="DocumentMapChar">
    <w:name w:val="Document Map Char"/>
    <w:basedOn w:val="DefaultParagraphFont"/>
    <w:link w:val="DocumentMap"/>
    <w:semiHidden/>
    <w:rsid w:val="00176907"/>
    <w:rPr>
      <w:rFonts w:ascii="Tahoma" w:eastAsia="Times New Roman" w:hAnsi="Tahoma" w:cs="Tahoma"/>
      <w:sz w:val="19"/>
      <w:szCs w:val="20"/>
      <w:shd w:val="clear" w:color="auto" w:fill="000080"/>
      <w:lang w:eastAsia="en-AU"/>
    </w:rPr>
  </w:style>
  <w:style w:type="paragraph" w:customStyle="1" w:styleId="DoubleDot">
    <w:name w:val="Double Dot"/>
    <w:basedOn w:val="Normal"/>
    <w:rsid w:val="00176907"/>
    <w:pPr>
      <w:numPr>
        <w:ilvl w:val="2"/>
        <w:numId w:val="3"/>
      </w:numPr>
      <w:tabs>
        <w:tab w:val="clear" w:pos="850"/>
        <w:tab w:val="num" w:pos="360"/>
        <w:tab w:val="left" w:pos="851"/>
      </w:tabs>
    </w:pPr>
  </w:style>
  <w:style w:type="character" w:styleId="EndnoteReference">
    <w:name w:val="endnote reference"/>
    <w:basedOn w:val="DefaultParagraphFont"/>
    <w:unhideWhenUsed/>
    <w:rsid w:val="00176907"/>
    <w:rPr>
      <w:vertAlign w:val="superscript"/>
    </w:rPr>
  </w:style>
  <w:style w:type="paragraph" w:styleId="EndnoteText">
    <w:name w:val="endnote text"/>
    <w:basedOn w:val="Normal"/>
    <w:link w:val="EndnoteTextChar"/>
    <w:unhideWhenUsed/>
    <w:rsid w:val="00176907"/>
  </w:style>
  <w:style w:type="character" w:customStyle="1" w:styleId="EndnoteTextChar">
    <w:name w:val="Endnote Text Char"/>
    <w:basedOn w:val="DefaultParagraphFont"/>
    <w:link w:val="EndnoteText"/>
    <w:rsid w:val="00176907"/>
    <w:rPr>
      <w:rFonts w:ascii="Book Antiqua" w:eastAsia="Times New Roman" w:hAnsi="Book Antiqua" w:cs="Times New Roman"/>
      <w:sz w:val="19"/>
      <w:szCs w:val="20"/>
      <w:lang w:eastAsia="en-AU"/>
    </w:rPr>
  </w:style>
  <w:style w:type="paragraph" w:customStyle="1" w:styleId="FigureHeading">
    <w:name w:val="Figure Heading"/>
    <w:basedOn w:val="HeadingBase"/>
    <w:next w:val="ChartGraphic"/>
    <w:rsid w:val="00176907"/>
    <w:pPr>
      <w:spacing w:before="120" w:after="20"/>
    </w:pPr>
    <w:rPr>
      <w:b/>
      <w:sz w:val="20"/>
    </w:rPr>
  </w:style>
  <w:style w:type="paragraph" w:customStyle="1" w:styleId="FooterBase">
    <w:name w:val="Footer Base"/>
    <w:rsid w:val="00176907"/>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link w:val="FooterEvenChar"/>
    <w:rsid w:val="00176907"/>
    <w:pPr>
      <w:pBdr>
        <w:top w:val="single" w:sz="4" w:space="10" w:color="002A54" w:themeColor="text2"/>
      </w:pBdr>
      <w:jc w:val="left"/>
    </w:pPr>
    <w:rPr>
      <w:sz w:val="18"/>
    </w:rPr>
  </w:style>
  <w:style w:type="paragraph" w:customStyle="1" w:styleId="FooterOdd">
    <w:name w:val="Footer Odd"/>
    <w:basedOn w:val="Footer"/>
    <w:qFormat/>
    <w:rsid w:val="00176907"/>
    <w:pPr>
      <w:pBdr>
        <w:top w:val="single" w:sz="4" w:space="10" w:color="002A54" w:themeColor="text2"/>
      </w:pBdr>
      <w:jc w:val="right"/>
    </w:pPr>
    <w:rPr>
      <w:sz w:val="18"/>
    </w:rPr>
  </w:style>
  <w:style w:type="character" w:styleId="FootnoteReference">
    <w:name w:val="footnote reference"/>
    <w:basedOn w:val="DefaultParagraphFont"/>
    <w:rsid w:val="00176907"/>
    <w:rPr>
      <w:vertAlign w:val="superscript"/>
    </w:rPr>
  </w:style>
  <w:style w:type="paragraph" w:styleId="FootnoteText">
    <w:name w:val="footnote text"/>
    <w:basedOn w:val="Normal"/>
    <w:link w:val="FootnoteTextChar"/>
    <w:rsid w:val="00176907"/>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176907"/>
    <w:rPr>
      <w:rFonts w:ascii="Book Antiqua" w:eastAsia="Times New Roman" w:hAnsi="Book Antiqua" w:cs="Times New Roman"/>
      <w:sz w:val="18"/>
      <w:szCs w:val="20"/>
      <w:lang w:eastAsia="en-AU"/>
    </w:rPr>
  </w:style>
  <w:style w:type="character" w:customStyle="1" w:styleId="FramedHeader">
    <w:name w:val="Framed Header"/>
    <w:basedOn w:val="DefaultParagraphFont"/>
    <w:rsid w:val="00176907"/>
    <w:rPr>
      <w:rFonts w:ascii="Book Antiqua" w:hAnsi="Book Antiqua"/>
      <w:i/>
      <w:dstrike w:val="0"/>
      <w:color w:val="auto"/>
      <w:sz w:val="20"/>
      <w:vertAlign w:val="baseline"/>
    </w:rPr>
  </w:style>
  <w:style w:type="paragraph" w:customStyle="1" w:styleId="HeaderBase">
    <w:name w:val="Header Base"/>
    <w:rsid w:val="00176907"/>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176907"/>
  </w:style>
  <w:style w:type="paragraph" w:customStyle="1" w:styleId="HeaderOdd">
    <w:name w:val="Header Odd"/>
    <w:basedOn w:val="HeaderBase"/>
    <w:rsid w:val="00176907"/>
    <w:pPr>
      <w:jc w:val="right"/>
    </w:pPr>
  </w:style>
  <w:style w:type="character" w:customStyle="1" w:styleId="Heading1Char">
    <w:name w:val="Heading 1 Char"/>
    <w:basedOn w:val="DefaultParagraphFont"/>
    <w:link w:val="Heading1"/>
    <w:rsid w:val="00176907"/>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176907"/>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176907"/>
    <w:rPr>
      <w:rFonts w:ascii="Arial Bold" w:eastAsia="Times New Roman" w:hAnsi="Arial Bold" w:cs="Times New Roman"/>
      <w:b/>
      <w:szCs w:val="20"/>
      <w:lang w:eastAsia="en-AU"/>
    </w:rPr>
  </w:style>
  <w:style w:type="paragraph" w:customStyle="1" w:styleId="Heading3noTOC">
    <w:name w:val="Heading 3 no TOC"/>
    <w:basedOn w:val="Heading3"/>
    <w:rsid w:val="00176907"/>
    <w:pPr>
      <w:outlineLvl w:val="9"/>
    </w:pPr>
  </w:style>
  <w:style w:type="character" w:customStyle="1" w:styleId="Heading4Char">
    <w:name w:val="Heading 4 Char"/>
    <w:basedOn w:val="DefaultParagraphFont"/>
    <w:link w:val="Heading4"/>
    <w:rsid w:val="00176907"/>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76907"/>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176907"/>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176907"/>
    <w:rPr>
      <w:rFonts w:ascii="Times New Roman" w:eastAsia="Times New Roman" w:hAnsi="Times New Roman" w:cs="Times New Roman"/>
      <w:i/>
      <w:iCs/>
      <w:sz w:val="16"/>
      <w:szCs w:val="24"/>
      <w:lang w:eastAsia="en-AU"/>
    </w:rPr>
  </w:style>
  <w:style w:type="character" w:styleId="Hyperlink">
    <w:name w:val="Hyperlink"/>
    <w:basedOn w:val="DefaultParagraphFont"/>
    <w:uiPriority w:val="99"/>
    <w:unhideWhenUsed/>
    <w:rsid w:val="00176907"/>
    <w:rPr>
      <w:color w:val="auto"/>
      <w:u w:val="single"/>
    </w:rPr>
  </w:style>
  <w:style w:type="paragraph" w:styleId="Index1">
    <w:name w:val="index 1"/>
    <w:basedOn w:val="Normal"/>
    <w:next w:val="Normal"/>
    <w:rsid w:val="00176907"/>
    <w:pPr>
      <w:ind w:left="200" w:hanging="200"/>
    </w:pPr>
  </w:style>
  <w:style w:type="paragraph" w:styleId="Index2">
    <w:name w:val="index 2"/>
    <w:basedOn w:val="Normal"/>
    <w:next w:val="Normal"/>
    <w:rsid w:val="00176907"/>
    <w:pPr>
      <w:ind w:left="400" w:hanging="200"/>
    </w:pPr>
  </w:style>
  <w:style w:type="paragraph" w:styleId="Index3">
    <w:name w:val="index 3"/>
    <w:basedOn w:val="Normal"/>
    <w:next w:val="Normal"/>
    <w:rsid w:val="00176907"/>
    <w:pPr>
      <w:ind w:left="600" w:hanging="200"/>
    </w:pPr>
  </w:style>
  <w:style w:type="paragraph" w:styleId="Index4">
    <w:name w:val="index 4"/>
    <w:basedOn w:val="Normal"/>
    <w:next w:val="Normal"/>
    <w:autoRedefine/>
    <w:semiHidden/>
    <w:rsid w:val="00176907"/>
    <w:pPr>
      <w:ind w:left="800" w:hanging="200"/>
    </w:pPr>
  </w:style>
  <w:style w:type="paragraph" w:styleId="Index5">
    <w:name w:val="index 5"/>
    <w:basedOn w:val="Normal"/>
    <w:next w:val="Normal"/>
    <w:autoRedefine/>
    <w:semiHidden/>
    <w:rsid w:val="00176907"/>
    <w:pPr>
      <w:ind w:left="1000" w:hanging="200"/>
    </w:pPr>
  </w:style>
  <w:style w:type="paragraph" w:styleId="Index6">
    <w:name w:val="index 6"/>
    <w:basedOn w:val="Normal"/>
    <w:next w:val="Normal"/>
    <w:autoRedefine/>
    <w:semiHidden/>
    <w:rsid w:val="00176907"/>
    <w:pPr>
      <w:ind w:left="1200" w:hanging="200"/>
    </w:pPr>
  </w:style>
  <w:style w:type="paragraph" w:styleId="Index7">
    <w:name w:val="index 7"/>
    <w:basedOn w:val="Normal"/>
    <w:next w:val="Normal"/>
    <w:autoRedefine/>
    <w:semiHidden/>
    <w:rsid w:val="00176907"/>
    <w:pPr>
      <w:ind w:left="1400" w:hanging="200"/>
    </w:pPr>
  </w:style>
  <w:style w:type="paragraph" w:styleId="Index8">
    <w:name w:val="index 8"/>
    <w:basedOn w:val="Normal"/>
    <w:next w:val="Normal"/>
    <w:autoRedefine/>
    <w:semiHidden/>
    <w:rsid w:val="00176907"/>
    <w:pPr>
      <w:ind w:left="1600" w:hanging="200"/>
    </w:pPr>
  </w:style>
  <w:style w:type="paragraph" w:styleId="Index9">
    <w:name w:val="index 9"/>
    <w:basedOn w:val="Normal"/>
    <w:next w:val="Normal"/>
    <w:autoRedefine/>
    <w:semiHidden/>
    <w:rsid w:val="00176907"/>
    <w:pPr>
      <w:ind w:left="1800" w:hanging="200"/>
    </w:pPr>
  </w:style>
  <w:style w:type="paragraph" w:styleId="IndexHeading">
    <w:name w:val="index heading"/>
    <w:basedOn w:val="Normal"/>
    <w:next w:val="Index1"/>
    <w:rsid w:val="00176907"/>
    <w:rPr>
      <w:rFonts w:ascii="Arial Bold" w:hAnsi="Arial Bold" w:cs="Arial"/>
      <w:b/>
      <w:bCs/>
      <w:color w:val="002B54"/>
    </w:rPr>
  </w:style>
  <w:style w:type="paragraph" w:styleId="MacroText">
    <w:name w:val="macro"/>
    <w:link w:val="MacroTextChar"/>
    <w:unhideWhenUsed/>
    <w:rsid w:val="0017690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176907"/>
    <w:rPr>
      <w:rFonts w:ascii="Courier New" w:eastAsia="Times New Roman" w:hAnsi="Courier New" w:cs="Courier New"/>
      <w:sz w:val="20"/>
      <w:szCs w:val="20"/>
      <w:lang w:eastAsia="en-AU"/>
    </w:rPr>
  </w:style>
  <w:style w:type="paragraph" w:styleId="NormalIndent">
    <w:name w:val="Normal Indent"/>
    <w:basedOn w:val="Normal"/>
    <w:rsid w:val="00176907"/>
    <w:pPr>
      <w:ind w:left="567"/>
    </w:pPr>
  </w:style>
  <w:style w:type="paragraph" w:customStyle="1" w:styleId="NoteTableHeading">
    <w:name w:val="Note Table Heading"/>
    <w:basedOn w:val="HeadingBase"/>
    <w:next w:val="Normal"/>
    <w:rsid w:val="00176907"/>
    <w:pPr>
      <w:spacing w:before="240"/>
    </w:pPr>
    <w:rPr>
      <w:b/>
      <w:sz w:val="20"/>
    </w:rPr>
  </w:style>
  <w:style w:type="paragraph" w:customStyle="1" w:styleId="OverviewParagraph">
    <w:name w:val="Overview Paragraph"/>
    <w:basedOn w:val="Normal"/>
    <w:rsid w:val="00176907"/>
    <w:pPr>
      <w:spacing w:before="120" w:after="120" w:line="240" w:lineRule="auto"/>
    </w:pPr>
  </w:style>
  <w:style w:type="character" w:styleId="PageNumber">
    <w:name w:val="page number"/>
    <w:basedOn w:val="DefaultParagraphFont"/>
    <w:rsid w:val="00176907"/>
    <w:rPr>
      <w:rFonts w:ascii="Arial" w:hAnsi="Arial" w:cs="Arial"/>
    </w:rPr>
  </w:style>
  <w:style w:type="paragraph" w:customStyle="1" w:styleId="SingleParagraph">
    <w:name w:val="Single Paragraph"/>
    <w:basedOn w:val="Normal"/>
    <w:rsid w:val="00176907"/>
    <w:pPr>
      <w:spacing w:before="0" w:after="0"/>
    </w:pPr>
  </w:style>
  <w:style w:type="paragraph" w:customStyle="1" w:styleId="Source">
    <w:name w:val="Source"/>
    <w:basedOn w:val="Normal"/>
    <w:rsid w:val="00176907"/>
    <w:pPr>
      <w:tabs>
        <w:tab w:val="left" w:pos="709"/>
      </w:tabs>
      <w:spacing w:before="30" w:line="240" w:lineRule="auto"/>
      <w:ind w:left="709" w:hanging="709"/>
    </w:pPr>
    <w:rPr>
      <w:rFonts w:ascii="Arial" w:hAnsi="Arial"/>
      <w:sz w:val="16"/>
    </w:rPr>
  </w:style>
  <w:style w:type="paragraph" w:customStyle="1" w:styleId="SourceBox">
    <w:name w:val="Source Box"/>
    <w:basedOn w:val="Source"/>
    <w:rsid w:val="00176907"/>
    <w:pPr>
      <w:spacing w:after="120"/>
    </w:pPr>
  </w:style>
  <w:style w:type="paragraph" w:customStyle="1" w:styleId="TableColumnHeadingBase">
    <w:name w:val="Table Column Heading Base"/>
    <w:basedOn w:val="Normal"/>
    <w:rsid w:val="00176907"/>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176907"/>
    <w:pPr>
      <w:jc w:val="center"/>
    </w:pPr>
  </w:style>
  <w:style w:type="paragraph" w:customStyle="1" w:styleId="TableColumnHeadingLeft">
    <w:name w:val="Table Column Heading Left"/>
    <w:basedOn w:val="TableColumnHeadingBase"/>
    <w:next w:val="Normal"/>
    <w:rsid w:val="00176907"/>
  </w:style>
  <w:style w:type="paragraph" w:customStyle="1" w:styleId="TableColumnHeadingRight">
    <w:name w:val="Table Column Heading Right"/>
    <w:basedOn w:val="TableColumnHeadingBase"/>
    <w:next w:val="Normal"/>
    <w:rsid w:val="00176907"/>
    <w:pPr>
      <w:jc w:val="right"/>
    </w:pPr>
  </w:style>
  <w:style w:type="paragraph" w:customStyle="1" w:styleId="TableColumnHeadingS118pt">
    <w:name w:val="Table Column Heading S11 8 pt"/>
    <w:basedOn w:val="TableColumnHeadingBase"/>
    <w:rsid w:val="00176907"/>
    <w:pPr>
      <w:spacing w:after="0"/>
    </w:pPr>
    <w:rPr>
      <w:rFonts w:ascii="Arial" w:hAnsi="Arial"/>
    </w:rPr>
  </w:style>
  <w:style w:type="paragraph" w:customStyle="1" w:styleId="TableColumnHeadingS119pt">
    <w:name w:val="Table Column Heading S11 9 pt"/>
    <w:basedOn w:val="TableColumnHeadingBase"/>
    <w:rsid w:val="00176907"/>
    <w:pPr>
      <w:spacing w:before="60" w:after="60"/>
    </w:pPr>
    <w:rPr>
      <w:rFonts w:ascii="Arial" w:hAnsi="Arial"/>
      <w:sz w:val="18"/>
    </w:rPr>
  </w:style>
  <w:style w:type="paragraph" w:customStyle="1" w:styleId="TableGraphic">
    <w:name w:val="Table Graphic"/>
    <w:basedOn w:val="Normal"/>
    <w:next w:val="Normal"/>
    <w:rsid w:val="00176907"/>
    <w:pPr>
      <w:spacing w:after="0" w:line="240" w:lineRule="auto"/>
      <w:ind w:right="-113"/>
    </w:pPr>
  </w:style>
  <w:style w:type="table" w:styleId="TableGrid">
    <w:name w:val="Table Grid"/>
    <w:basedOn w:val="TableNormal"/>
    <w:rsid w:val="00176907"/>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link w:val="TableHeadingChar"/>
    <w:qFormat/>
    <w:rsid w:val="00176907"/>
    <w:pPr>
      <w:spacing w:before="120" w:after="20"/>
    </w:pPr>
    <w:rPr>
      <w:b/>
      <w:sz w:val="20"/>
    </w:rPr>
  </w:style>
  <w:style w:type="paragraph" w:customStyle="1" w:styleId="TableHeadingcontinued">
    <w:name w:val="Table Heading continued"/>
    <w:basedOn w:val="HeadingBase"/>
    <w:next w:val="TableGraphic"/>
    <w:rsid w:val="00176907"/>
    <w:pPr>
      <w:spacing w:before="120" w:after="20"/>
    </w:pPr>
    <w:rPr>
      <w:rFonts w:ascii="Arial Bold" w:hAnsi="Arial Bold"/>
      <w:b/>
      <w:sz w:val="20"/>
    </w:rPr>
  </w:style>
  <w:style w:type="paragraph" w:styleId="TableofAuthorities">
    <w:name w:val="table of authorities"/>
    <w:basedOn w:val="Normal"/>
    <w:next w:val="Normal"/>
    <w:rsid w:val="00176907"/>
    <w:pPr>
      <w:ind w:left="200" w:hanging="200"/>
    </w:pPr>
  </w:style>
  <w:style w:type="paragraph" w:styleId="TableofFigures">
    <w:name w:val="table of figures"/>
    <w:basedOn w:val="Normal"/>
    <w:next w:val="Normal"/>
    <w:rsid w:val="00176907"/>
  </w:style>
  <w:style w:type="paragraph" w:customStyle="1" w:styleId="TableTextBase">
    <w:name w:val="Table Text Base"/>
    <w:basedOn w:val="Normal"/>
    <w:rsid w:val="00176907"/>
    <w:pPr>
      <w:spacing w:before="20" w:after="20" w:line="240" w:lineRule="auto"/>
    </w:pPr>
    <w:rPr>
      <w:rFonts w:ascii="Arial" w:hAnsi="Arial"/>
      <w:sz w:val="16"/>
    </w:rPr>
  </w:style>
  <w:style w:type="paragraph" w:customStyle="1" w:styleId="TableTextCentred">
    <w:name w:val="Table Text Centred"/>
    <w:basedOn w:val="TableTextBase"/>
    <w:rsid w:val="00176907"/>
    <w:pPr>
      <w:jc w:val="center"/>
    </w:pPr>
  </w:style>
  <w:style w:type="paragraph" w:customStyle="1" w:styleId="TableTextIndented">
    <w:name w:val="Table Text Indented"/>
    <w:basedOn w:val="TableTextBase"/>
    <w:rsid w:val="00176907"/>
    <w:pPr>
      <w:ind w:left="284"/>
    </w:pPr>
  </w:style>
  <w:style w:type="paragraph" w:customStyle="1" w:styleId="TableTextLeft">
    <w:name w:val="Table Text Left"/>
    <w:basedOn w:val="TableTextBase"/>
    <w:rsid w:val="00176907"/>
  </w:style>
  <w:style w:type="paragraph" w:customStyle="1" w:styleId="TableTextRight">
    <w:name w:val="Table Text Right"/>
    <w:basedOn w:val="TableTextBase"/>
    <w:rsid w:val="00176907"/>
    <w:pPr>
      <w:jc w:val="right"/>
    </w:pPr>
  </w:style>
  <w:style w:type="paragraph" w:styleId="TOAHeading">
    <w:name w:val="toa heading"/>
    <w:basedOn w:val="Normal"/>
    <w:next w:val="Normal"/>
    <w:rsid w:val="00176907"/>
    <w:pPr>
      <w:spacing w:before="120"/>
    </w:pPr>
    <w:rPr>
      <w:rFonts w:ascii="Arial" w:hAnsi="Arial" w:cs="Arial"/>
      <w:b/>
      <w:bCs/>
      <w:sz w:val="24"/>
      <w:szCs w:val="24"/>
    </w:rPr>
  </w:style>
  <w:style w:type="paragraph" w:styleId="TOC1">
    <w:name w:val="toc 1"/>
    <w:basedOn w:val="HeaderBase"/>
    <w:next w:val="Normal"/>
    <w:uiPriority w:val="2"/>
    <w:rsid w:val="00176907"/>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176907"/>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176907"/>
    <w:pPr>
      <w:tabs>
        <w:tab w:val="right" w:leader="dot" w:pos="7700"/>
      </w:tabs>
      <w:spacing w:before="40"/>
      <w:ind w:right="851"/>
    </w:pPr>
    <w:rPr>
      <w:sz w:val="20"/>
    </w:rPr>
  </w:style>
  <w:style w:type="paragraph" w:styleId="TOC4">
    <w:name w:val="toc 4"/>
    <w:basedOn w:val="HeadingBase"/>
    <w:next w:val="Normal"/>
    <w:uiPriority w:val="2"/>
    <w:unhideWhenUsed/>
    <w:rsid w:val="00176907"/>
    <w:pPr>
      <w:tabs>
        <w:tab w:val="right" w:leader="dot" w:pos="7700"/>
      </w:tabs>
      <w:spacing w:before="40"/>
      <w:ind w:right="851"/>
    </w:pPr>
    <w:rPr>
      <w:sz w:val="20"/>
    </w:rPr>
  </w:style>
  <w:style w:type="paragraph" w:styleId="TOC5">
    <w:name w:val="toc 5"/>
    <w:basedOn w:val="Normal"/>
    <w:next w:val="Normal"/>
    <w:autoRedefine/>
    <w:uiPriority w:val="2"/>
    <w:semiHidden/>
    <w:rsid w:val="00176907"/>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176907"/>
    <w:pPr>
      <w:tabs>
        <w:tab w:val="left" w:pos="851"/>
      </w:tabs>
      <w:ind w:left="851" w:hanging="851"/>
    </w:pPr>
    <w:rPr>
      <w:color w:val="000000"/>
    </w:rPr>
  </w:style>
  <w:style w:type="paragraph" w:styleId="TOC7">
    <w:name w:val="toc 7"/>
    <w:basedOn w:val="Normal"/>
    <w:next w:val="Normal"/>
    <w:autoRedefine/>
    <w:uiPriority w:val="2"/>
    <w:semiHidden/>
    <w:rsid w:val="00176907"/>
    <w:pPr>
      <w:ind w:left="1200"/>
    </w:pPr>
  </w:style>
  <w:style w:type="paragraph" w:styleId="TOC8">
    <w:name w:val="toc 8"/>
    <w:basedOn w:val="Normal"/>
    <w:next w:val="Normal"/>
    <w:autoRedefine/>
    <w:uiPriority w:val="2"/>
    <w:semiHidden/>
    <w:rsid w:val="00176907"/>
    <w:pPr>
      <w:ind w:left="1400"/>
    </w:pPr>
  </w:style>
  <w:style w:type="paragraph" w:styleId="TOC9">
    <w:name w:val="toc 9"/>
    <w:basedOn w:val="Normal"/>
    <w:next w:val="Normal"/>
    <w:autoRedefine/>
    <w:uiPriority w:val="2"/>
    <w:semiHidden/>
    <w:rsid w:val="00176907"/>
    <w:pPr>
      <w:ind w:left="1600"/>
    </w:pPr>
  </w:style>
  <w:style w:type="paragraph" w:customStyle="1" w:styleId="TPHeading1">
    <w:name w:val="TP Heading 1"/>
    <w:basedOn w:val="HeadingBase"/>
    <w:semiHidden/>
    <w:rsid w:val="00176907"/>
    <w:pPr>
      <w:spacing w:before="60" w:after="60"/>
      <w:ind w:left="1134"/>
    </w:pPr>
    <w:rPr>
      <w:rFonts w:ascii="Arial Bold" w:hAnsi="Arial Bold"/>
      <w:b/>
      <w:caps/>
      <w:spacing w:val="-10"/>
      <w:sz w:val="28"/>
    </w:rPr>
  </w:style>
  <w:style w:type="paragraph" w:customStyle="1" w:styleId="TPHeading2">
    <w:name w:val="TP Heading 2"/>
    <w:basedOn w:val="HeadingBase"/>
    <w:semiHidden/>
    <w:rsid w:val="00176907"/>
    <w:pPr>
      <w:ind w:left="1134"/>
    </w:pPr>
    <w:rPr>
      <w:caps/>
      <w:spacing w:val="-10"/>
      <w:sz w:val="28"/>
    </w:rPr>
  </w:style>
  <w:style w:type="paragraph" w:customStyle="1" w:styleId="TPHeading3">
    <w:name w:val="TP Heading 3"/>
    <w:basedOn w:val="HeadingBase"/>
    <w:semiHidden/>
    <w:rsid w:val="00176907"/>
    <w:pPr>
      <w:ind w:left="1134"/>
    </w:pPr>
    <w:rPr>
      <w:caps/>
      <w:spacing w:val="-10"/>
    </w:rPr>
  </w:style>
  <w:style w:type="paragraph" w:customStyle="1" w:styleId="TPHeading3bold">
    <w:name w:val="TP Heading 3 bold"/>
    <w:basedOn w:val="TPHeading3"/>
    <w:semiHidden/>
    <w:rsid w:val="00176907"/>
    <w:rPr>
      <w:rFonts w:cs="Arial"/>
      <w:b/>
      <w:sz w:val="22"/>
      <w:szCs w:val="22"/>
    </w:rPr>
  </w:style>
  <w:style w:type="paragraph" w:customStyle="1" w:styleId="TPHEADING3boldspace">
    <w:name w:val="TP HEADING 3 bold space"/>
    <w:basedOn w:val="TPHeading3bold"/>
    <w:semiHidden/>
    <w:rsid w:val="00176907"/>
    <w:pPr>
      <w:spacing w:after="120"/>
    </w:pPr>
  </w:style>
  <w:style w:type="paragraph" w:customStyle="1" w:styleId="TPHEADING3space">
    <w:name w:val="TP HEADING 3 space"/>
    <w:basedOn w:val="TPHeading3"/>
    <w:semiHidden/>
    <w:rsid w:val="00176907"/>
    <w:pPr>
      <w:spacing w:before="120" w:after="120"/>
    </w:pPr>
    <w:rPr>
      <w:rFonts w:cs="Arial"/>
      <w:sz w:val="22"/>
      <w:szCs w:val="22"/>
    </w:rPr>
  </w:style>
  <w:style w:type="paragraph" w:customStyle="1" w:styleId="TPHeading4">
    <w:name w:val="TP Heading 4"/>
    <w:basedOn w:val="TPHeading3"/>
    <w:semiHidden/>
    <w:rsid w:val="00176907"/>
    <w:rPr>
      <w:sz w:val="20"/>
    </w:rPr>
  </w:style>
  <w:style w:type="paragraph" w:customStyle="1" w:styleId="TPHEADING4space">
    <w:name w:val="TP HEADING 4 space"/>
    <w:basedOn w:val="TPHEADING3space"/>
    <w:semiHidden/>
    <w:rsid w:val="00176907"/>
  </w:style>
  <w:style w:type="paragraph" w:customStyle="1" w:styleId="Boxcontinuedover">
    <w:name w:val="Box continued over"/>
    <w:basedOn w:val="BoxText"/>
    <w:qFormat/>
    <w:rsid w:val="00176907"/>
    <w:pPr>
      <w:spacing w:before="240" w:after="0"/>
      <w:jc w:val="right"/>
    </w:pPr>
    <w:rPr>
      <w:rFonts w:ascii="Arial" w:hAnsi="Arial"/>
      <w:b/>
      <w:bCs/>
      <w:sz w:val="18"/>
      <w:szCs w:val="16"/>
    </w:rPr>
  </w:style>
  <w:style w:type="character" w:customStyle="1" w:styleId="TableHeadingChar">
    <w:name w:val="Table Heading Char"/>
    <w:link w:val="TableHeading"/>
    <w:locked/>
    <w:rsid w:val="002959E6"/>
    <w:rPr>
      <w:rFonts w:ascii="Arial" w:eastAsia="Times New Roman" w:hAnsi="Arial" w:cs="Times New Roman"/>
      <w:b/>
      <w:sz w:val="20"/>
      <w:szCs w:val="20"/>
      <w:lang w:eastAsia="en-AU"/>
    </w:rPr>
  </w:style>
  <w:style w:type="paragraph" w:styleId="ListParagraph">
    <w:name w:val="List Paragraph"/>
    <w:basedOn w:val="Normal"/>
    <w:uiPriority w:val="34"/>
    <w:qFormat/>
    <w:rsid w:val="002959E6"/>
    <w:pPr>
      <w:ind w:left="720"/>
      <w:contextualSpacing/>
    </w:pPr>
  </w:style>
  <w:style w:type="character" w:customStyle="1" w:styleId="BulletChar">
    <w:name w:val="Bullet Char"/>
    <w:basedOn w:val="DefaultParagraphFont"/>
    <w:link w:val="Bullet"/>
    <w:rsid w:val="002959E6"/>
    <w:rPr>
      <w:rFonts w:ascii="Book Antiqua" w:eastAsia="Times New Roman" w:hAnsi="Book Antiqua" w:cs="Times New Roman"/>
      <w:sz w:val="19"/>
      <w:szCs w:val="20"/>
      <w:lang w:eastAsia="en-AU"/>
    </w:rPr>
  </w:style>
  <w:style w:type="paragraph" w:styleId="Revision">
    <w:name w:val="Revision"/>
    <w:hidden/>
    <w:uiPriority w:val="99"/>
    <w:semiHidden/>
    <w:rsid w:val="002959E6"/>
    <w:pPr>
      <w:spacing w:after="0" w:line="240" w:lineRule="auto"/>
    </w:pPr>
    <w:rPr>
      <w:rFonts w:ascii="Courier New" w:eastAsia="Times New Roman" w:hAnsi="Courier New" w:cs="Times New Roman"/>
      <w:sz w:val="20"/>
      <w:szCs w:val="20"/>
      <w:lang w:eastAsia="en-AU"/>
    </w:rPr>
  </w:style>
  <w:style w:type="character" w:styleId="UnresolvedMention">
    <w:name w:val="Unresolved Mention"/>
    <w:basedOn w:val="DefaultParagraphFont"/>
    <w:uiPriority w:val="99"/>
    <w:unhideWhenUsed/>
    <w:rsid w:val="002959E6"/>
    <w:rPr>
      <w:color w:val="605E5C"/>
      <w:shd w:val="clear" w:color="auto" w:fill="E1DFDD"/>
    </w:rPr>
  </w:style>
  <w:style w:type="character" w:styleId="Mention">
    <w:name w:val="Mention"/>
    <w:basedOn w:val="DefaultParagraphFont"/>
    <w:uiPriority w:val="99"/>
    <w:unhideWhenUsed/>
    <w:rsid w:val="002959E6"/>
    <w:rPr>
      <w:color w:val="2B579A"/>
      <w:shd w:val="clear" w:color="auto" w:fill="E1DFDD"/>
    </w:rPr>
  </w:style>
  <w:style w:type="paragraph" w:customStyle="1" w:styleId="OutlineNumbered1">
    <w:name w:val="Outline Numbered 1"/>
    <w:basedOn w:val="Normal"/>
    <w:link w:val="OutlineNumbered1Char"/>
    <w:rsid w:val="002959E6"/>
    <w:pPr>
      <w:numPr>
        <w:numId w:val="4"/>
      </w:numPr>
    </w:pPr>
    <w:rPr>
      <w:b/>
      <w:bCs/>
    </w:rPr>
  </w:style>
  <w:style w:type="character" w:customStyle="1" w:styleId="FooterEvenChar">
    <w:name w:val="Footer Even Char"/>
    <w:basedOn w:val="FooterChar"/>
    <w:link w:val="FooterEven"/>
    <w:rsid w:val="002959E6"/>
    <w:rPr>
      <w:rFonts w:ascii="Arial" w:eastAsia="Times New Roman" w:hAnsi="Arial" w:cs="Times New Roman"/>
      <w:color w:val="002A54" w:themeColor="text2"/>
      <w:sz w:val="18"/>
      <w:szCs w:val="20"/>
      <w:lang w:eastAsia="en-AU"/>
    </w:rPr>
  </w:style>
  <w:style w:type="character" w:customStyle="1" w:styleId="OutlineNumbered1Char">
    <w:name w:val="Outline Numbered 1 Char"/>
    <w:basedOn w:val="FooterEvenChar"/>
    <w:link w:val="OutlineNumbered1"/>
    <w:rsid w:val="002959E6"/>
    <w:rPr>
      <w:rFonts w:ascii="Book Antiqua" w:eastAsia="Times New Roman" w:hAnsi="Book Antiqua" w:cs="Times New Roman"/>
      <w:b/>
      <w:bCs/>
      <w:color w:val="002A54" w:themeColor="text2"/>
      <w:sz w:val="19"/>
      <w:szCs w:val="20"/>
      <w:lang w:eastAsia="en-AU"/>
    </w:rPr>
  </w:style>
  <w:style w:type="paragraph" w:customStyle="1" w:styleId="OutlineNumbered2">
    <w:name w:val="Outline Numbered 2"/>
    <w:basedOn w:val="Normal"/>
    <w:link w:val="OutlineNumbered2Char"/>
    <w:rsid w:val="002959E6"/>
    <w:pPr>
      <w:numPr>
        <w:ilvl w:val="1"/>
        <w:numId w:val="4"/>
      </w:numPr>
    </w:pPr>
    <w:rPr>
      <w:b/>
      <w:bCs/>
    </w:rPr>
  </w:style>
  <w:style w:type="character" w:customStyle="1" w:styleId="OutlineNumbered2Char">
    <w:name w:val="Outline Numbered 2 Char"/>
    <w:basedOn w:val="FooterEvenChar"/>
    <w:link w:val="OutlineNumbered2"/>
    <w:rsid w:val="002959E6"/>
    <w:rPr>
      <w:rFonts w:ascii="Book Antiqua" w:eastAsia="Times New Roman" w:hAnsi="Book Antiqua" w:cs="Times New Roman"/>
      <w:b/>
      <w:bCs/>
      <w:color w:val="002A54" w:themeColor="text2"/>
      <w:sz w:val="19"/>
      <w:szCs w:val="20"/>
      <w:lang w:eastAsia="en-AU"/>
    </w:rPr>
  </w:style>
  <w:style w:type="paragraph" w:customStyle="1" w:styleId="OutlineNumbered3">
    <w:name w:val="Outline Numbered 3"/>
    <w:basedOn w:val="Normal"/>
    <w:link w:val="OutlineNumbered3Char"/>
    <w:rsid w:val="002959E6"/>
    <w:rPr>
      <w:b/>
      <w:bCs/>
    </w:rPr>
  </w:style>
  <w:style w:type="character" w:customStyle="1" w:styleId="OutlineNumbered3Char">
    <w:name w:val="Outline Numbered 3 Char"/>
    <w:basedOn w:val="FooterEvenChar"/>
    <w:link w:val="OutlineNumbered3"/>
    <w:rsid w:val="002959E6"/>
    <w:rPr>
      <w:rFonts w:ascii="Book Antiqua" w:eastAsia="Times New Roman" w:hAnsi="Book Antiqua" w:cs="Times New Roman"/>
      <w:b/>
      <w:bCs/>
      <w:color w:val="002A54" w:themeColor="text2"/>
      <w:sz w:val="20"/>
      <w:szCs w:val="20"/>
      <w:lang w:eastAsia="en-AU"/>
    </w:rPr>
  </w:style>
  <w:style w:type="paragraph" w:styleId="NormalWeb">
    <w:name w:val="Normal (Web)"/>
    <w:basedOn w:val="Normal"/>
    <w:uiPriority w:val="99"/>
    <w:semiHidden/>
    <w:unhideWhenUsed/>
    <w:rsid w:val="002959E6"/>
    <w:rPr>
      <w:rFonts w:ascii="Times New Roman" w:hAnsi="Times New Roman"/>
      <w:sz w:val="24"/>
      <w:szCs w:val="24"/>
    </w:rPr>
  </w:style>
  <w:style w:type="character" w:styleId="Strong">
    <w:name w:val="Strong"/>
    <w:basedOn w:val="DefaultParagraphFont"/>
    <w:uiPriority w:val="22"/>
    <w:qFormat/>
    <w:rsid w:val="00176907"/>
    <w:rPr>
      <w:b/>
      <w:bCs/>
      <w:color w:val="002A54" w:themeColor="text2"/>
    </w:rPr>
  </w:style>
  <w:style w:type="character" w:customStyle="1" w:styleId="Heading9Char">
    <w:name w:val="Heading 9 Char"/>
    <w:basedOn w:val="DefaultParagraphFont"/>
    <w:link w:val="Heading9"/>
    <w:uiPriority w:val="9"/>
    <w:rsid w:val="00176907"/>
    <w:rPr>
      <w:rFonts w:ascii="Cambria" w:eastAsia="Times New Roman" w:hAnsi="Cambria" w:cs="Times New Roman"/>
      <w:lang w:eastAsia="en-AU"/>
    </w:rPr>
  </w:style>
  <w:style w:type="character" w:customStyle="1" w:styleId="HiddenSequenceCode">
    <w:name w:val="Hidden Sequence Code"/>
    <w:basedOn w:val="DefaultParagraphFont"/>
    <w:rsid w:val="00176907"/>
    <w:rPr>
      <w:rFonts w:ascii="Times New Roman" w:hAnsi="Times New Roman"/>
      <w:vanish/>
      <w:sz w:val="16"/>
    </w:rPr>
  </w:style>
  <w:style w:type="paragraph" w:customStyle="1" w:styleId="Box-continuedon">
    <w:name w:val="Box - continued on"/>
    <w:basedOn w:val="Normal"/>
    <w:qFormat/>
    <w:rsid w:val="00176907"/>
    <w:pPr>
      <w:jc w:val="right"/>
    </w:pPr>
    <w:rPr>
      <w:rFonts w:asciiTheme="majorHAnsi" w:hAnsiTheme="majorHAnsi" w:cstheme="majorHAnsi"/>
      <w:i/>
      <w:iCs/>
      <w:sz w:val="18"/>
      <w:szCs w:val="24"/>
    </w:rPr>
  </w:style>
  <w:style w:type="character" w:customStyle="1" w:styleId="BoxHeading-Continued">
    <w:name w:val="Box Heading - Continued"/>
    <w:uiPriority w:val="1"/>
    <w:qFormat/>
    <w:rsid w:val="00176907"/>
    <w:rPr>
      <w:sz w:val="16"/>
    </w:rPr>
  </w:style>
  <w:style w:type="paragraph" w:customStyle="1" w:styleId="BoxHeading2">
    <w:name w:val="Box Heading 2"/>
    <w:basedOn w:val="BoxHeading"/>
    <w:autoRedefine/>
    <w:rsid w:val="00176907"/>
    <w:pPr>
      <w:spacing w:after="0"/>
    </w:pPr>
    <w:rPr>
      <w:b w:val="0"/>
      <w:bCs/>
      <w:szCs w:val="14"/>
    </w:rPr>
  </w:style>
  <w:style w:type="paragraph" w:customStyle="1" w:styleId="ChartLine">
    <w:name w:val="Chart Line"/>
    <w:basedOn w:val="Normal"/>
    <w:autoRedefine/>
    <w:qFormat/>
    <w:rsid w:val="00176907"/>
    <w:pPr>
      <w:pBdr>
        <w:bottom w:val="single" w:sz="4" w:space="2" w:color="626A77" w:themeColor="background2" w:themeShade="E6"/>
      </w:pBdr>
      <w:spacing w:before="0" w:line="240" w:lineRule="auto"/>
    </w:pPr>
    <w:rPr>
      <w:noProof/>
      <w:sz w:val="4"/>
      <w:szCs w:val="4"/>
    </w:rPr>
  </w:style>
  <w:style w:type="paragraph" w:styleId="NoSpacing">
    <w:name w:val="No Spacing"/>
    <w:uiPriority w:val="1"/>
    <w:qFormat/>
    <w:rsid w:val="00176907"/>
    <w:pPr>
      <w:spacing w:after="0" w:line="240" w:lineRule="auto"/>
    </w:pPr>
    <w:rPr>
      <w:rFonts w:eastAsia="Times New Roman" w:cs="Times New Roman"/>
      <w:sz w:val="19"/>
      <w:szCs w:val="20"/>
      <w:lang w:eastAsia="en-AU"/>
    </w:rPr>
  </w:style>
  <w:style w:type="paragraph" w:customStyle="1" w:styleId="GhostLine">
    <w:name w:val="Ghost Line"/>
    <w:basedOn w:val="NoSpacing"/>
    <w:qFormat/>
    <w:rsid w:val="00176907"/>
    <w:pPr>
      <w:jc w:val="both"/>
    </w:pPr>
    <w:rPr>
      <w:rFonts w:ascii="Book Antiqua" w:hAnsi="Book Antiqua"/>
      <w:sz w:val="2"/>
    </w:rPr>
  </w:style>
  <w:style w:type="paragraph" w:customStyle="1" w:styleId="Heading1-Statement">
    <w:name w:val="Heading 1 - Statement"/>
    <w:basedOn w:val="Heading1"/>
    <w:next w:val="Normal"/>
    <w:autoRedefine/>
    <w:qFormat/>
    <w:rsid w:val="00176907"/>
    <w:rPr>
      <w:bCs/>
      <w:color w:val="002A54" w:themeColor="text2"/>
      <w:szCs w:val="52"/>
    </w:rPr>
  </w:style>
  <w:style w:type="paragraph" w:customStyle="1" w:styleId="TableLine">
    <w:name w:val="Table Line"/>
    <w:basedOn w:val="Normal"/>
    <w:next w:val="Normal"/>
    <w:autoRedefine/>
    <w:rsid w:val="00176907"/>
    <w:pPr>
      <w:pBdr>
        <w:bottom w:val="single" w:sz="4" w:space="2" w:color="626A77" w:themeColor="background2" w:themeShade="E6"/>
      </w:pBdr>
      <w:spacing w:before="0" w:line="240" w:lineRule="auto"/>
    </w:pPr>
    <w:rPr>
      <w:noProof/>
      <w:sz w:val="4"/>
      <w:szCs w:val="4"/>
    </w:rPr>
  </w:style>
  <w:style w:type="character" w:customStyle="1" w:styleId="ui-provider">
    <w:name w:val="ui-provider"/>
    <w:basedOn w:val="DefaultParagraphFont"/>
    <w:rsid w:val="009C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597">
      <w:bodyDiv w:val="1"/>
      <w:marLeft w:val="0"/>
      <w:marRight w:val="0"/>
      <w:marTop w:val="0"/>
      <w:marBottom w:val="0"/>
      <w:divBdr>
        <w:top w:val="none" w:sz="0" w:space="0" w:color="auto"/>
        <w:left w:val="none" w:sz="0" w:space="0" w:color="auto"/>
        <w:bottom w:val="none" w:sz="0" w:space="0" w:color="auto"/>
        <w:right w:val="none" w:sz="0" w:space="0" w:color="auto"/>
      </w:divBdr>
    </w:div>
    <w:div w:id="40980217">
      <w:bodyDiv w:val="1"/>
      <w:marLeft w:val="0"/>
      <w:marRight w:val="0"/>
      <w:marTop w:val="0"/>
      <w:marBottom w:val="0"/>
      <w:divBdr>
        <w:top w:val="none" w:sz="0" w:space="0" w:color="auto"/>
        <w:left w:val="none" w:sz="0" w:space="0" w:color="auto"/>
        <w:bottom w:val="none" w:sz="0" w:space="0" w:color="auto"/>
        <w:right w:val="none" w:sz="0" w:space="0" w:color="auto"/>
      </w:divBdr>
    </w:div>
    <w:div w:id="89355398">
      <w:bodyDiv w:val="1"/>
      <w:marLeft w:val="0"/>
      <w:marRight w:val="0"/>
      <w:marTop w:val="0"/>
      <w:marBottom w:val="0"/>
      <w:divBdr>
        <w:top w:val="none" w:sz="0" w:space="0" w:color="auto"/>
        <w:left w:val="none" w:sz="0" w:space="0" w:color="auto"/>
        <w:bottom w:val="none" w:sz="0" w:space="0" w:color="auto"/>
        <w:right w:val="none" w:sz="0" w:space="0" w:color="auto"/>
      </w:divBdr>
    </w:div>
    <w:div w:id="95954497">
      <w:bodyDiv w:val="1"/>
      <w:marLeft w:val="0"/>
      <w:marRight w:val="0"/>
      <w:marTop w:val="0"/>
      <w:marBottom w:val="0"/>
      <w:divBdr>
        <w:top w:val="none" w:sz="0" w:space="0" w:color="auto"/>
        <w:left w:val="none" w:sz="0" w:space="0" w:color="auto"/>
        <w:bottom w:val="none" w:sz="0" w:space="0" w:color="auto"/>
        <w:right w:val="none" w:sz="0" w:space="0" w:color="auto"/>
      </w:divBdr>
    </w:div>
    <w:div w:id="121074275">
      <w:bodyDiv w:val="1"/>
      <w:marLeft w:val="0"/>
      <w:marRight w:val="0"/>
      <w:marTop w:val="0"/>
      <w:marBottom w:val="0"/>
      <w:divBdr>
        <w:top w:val="none" w:sz="0" w:space="0" w:color="auto"/>
        <w:left w:val="none" w:sz="0" w:space="0" w:color="auto"/>
        <w:bottom w:val="none" w:sz="0" w:space="0" w:color="auto"/>
        <w:right w:val="none" w:sz="0" w:space="0" w:color="auto"/>
      </w:divBdr>
    </w:div>
    <w:div w:id="148904183">
      <w:bodyDiv w:val="1"/>
      <w:marLeft w:val="0"/>
      <w:marRight w:val="0"/>
      <w:marTop w:val="0"/>
      <w:marBottom w:val="0"/>
      <w:divBdr>
        <w:top w:val="none" w:sz="0" w:space="0" w:color="auto"/>
        <w:left w:val="none" w:sz="0" w:space="0" w:color="auto"/>
        <w:bottom w:val="none" w:sz="0" w:space="0" w:color="auto"/>
        <w:right w:val="none" w:sz="0" w:space="0" w:color="auto"/>
      </w:divBdr>
    </w:div>
    <w:div w:id="185991685">
      <w:bodyDiv w:val="1"/>
      <w:marLeft w:val="0"/>
      <w:marRight w:val="0"/>
      <w:marTop w:val="0"/>
      <w:marBottom w:val="0"/>
      <w:divBdr>
        <w:top w:val="none" w:sz="0" w:space="0" w:color="auto"/>
        <w:left w:val="none" w:sz="0" w:space="0" w:color="auto"/>
        <w:bottom w:val="none" w:sz="0" w:space="0" w:color="auto"/>
        <w:right w:val="none" w:sz="0" w:space="0" w:color="auto"/>
      </w:divBdr>
    </w:div>
    <w:div w:id="206987765">
      <w:bodyDiv w:val="1"/>
      <w:marLeft w:val="0"/>
      <w:marRight w:val="0"/>
      <w:marTop w:val="0"/>
      <w:marBottom w:val="0"/>
      <w:divBdr>
        <w:top w:val="none" w:sz="0" w:space="0" w:color="auto"/>
        <w:left w:val="none" w:sz="0" w:space="0" w:color="auto"/>
        <w:bottom w:val="none" w:sz="0" w:space="0" w:color="auto"/>
        <w:right w:val="none" w:sz="0" w:space="0" w:color="auto"/>
      </w:divBdr>
    </w:div>
    <w:div w:id="275135453">
      <w:bodyDiv w:val="1"/>
      <w:marLeft w:val="0"/>
      <w:marRight w:val="0"/>
      <w:marTop w:val="0"/>
      <w:marBottom w:val="0"/>
      <w:divBdr>
        <w:top w:val="none" w:sz="0" w:space="0" w:color="auto"/>
        <w:left w:val="none" w:sz="0" w:space="0" w:color="auto"/>
        <w:bottom w:val="none" w:sz="0" w:space="0" w:color="auto"/>
        <w:right w:val="none" w:sz="0" w:space="0" w:color="auto"/>
      </w:divBdr>
    </w:div>
    <w:div w:id="291641320">
      <w:bodyDiv w:val="1"/>
      <w:marLeft w:val="0"/>
      <w:marRight w:val="0"/>
      <w:marTop w:val="0"/>
      <w:marBottom w:val="0"/>
      <w:divBdr>
        <w:top w:val="none" w:sz="0" w:space="0" w:color="auto"/>
        <w:left w:val="none" w:sz="0" w:space="0" w:color="auto"/>
        <w:bottom w:val="none" w:sz="0" w:space="0" w:color="auto"/>
        <w:right w:val="none" w:sz="0" w:space="0" w:color="auto"/>
      </w:divBdr>
    </w:div>
    <w:div w:id="387844962">
      <w:bodyDiv w:val="1"/>
      <w:marLeft w:val="0"/>
      <w:marRight w:val="0"/>
      <w:marTop w:val="0"/>
      <w:marBottom w:val="0"/>
      <w:divBdr>
        <w:top w:val="none" w:sz="0" w:space="0" w:color="auto"/>
        <w:left w:val="none" w:sz="0" w:space="0" w:color="auto"/>
        <w:bottom w:val="none" w:sz="0" w:space="0" w:color="auto"/>
        <w:right w:val="none" w:sz="0" w:space="0" w:color="auto"/>
      </w:divBdr>
    </w:div>
    <w:div w:id="425885446">
      <w:bodyDiv w:val="1"/>
      <w:marLeft w:val="0"/>
      <w:marRight w:val="0"/>
      <w:marTop w:val="0"/>
      <w:marBottom w:val="0"/>
      <w:divBdr>
        <w:top w:val="none" w:sz="0" w:space="0" w:color="auto"/>
        <w:left w:val="none" w:sz="0" w:space="0" w:color="auto"/>
        <w:bottom w:val="none" w:sz="0" w:space="0" w:color="auto"/>
        <w:right w:val="none" w:sz="0" w:space="0" w:color="auto"/>
      </w:divBdr>
    </w:div>
    <w:div w:id="426343555">
      <w:bodyDiv w:val="1"/>
      <w:marLeft w:val="0"/>
      <w:marRight w:val="0"/>
      <w:marTop w:val="0"/>
      <w:marBottom w:val="0"/>
      <w:divBdr>
        <w:top w:val="none" w:sz="0" w:space="0" w:color="auto"/>
        <w:left w:val="none" w:sz="0" w:space="0" w:color="auto"/>
        <w:bottom w:val="none" w:sz="0" w:space="0" w:color="auto"/>
        <w:right w:val="none" w:sz="0" w:space="0" w:color="auto"/>
      </w:divBdr>
    </w:div>
    <w:div w:id="432746054">
      <w:bodyDiv w:val="1"/>
      <w:marLeft w:val="0"/>
      <w:marRight w:val="0"/>
      <w:marTop w:val="0"/>
      <w:marBottom w:val="0"/>
      <w:divBdr>
        <w:top w:val="none" w:sz="0" w:space="0" w:color="auto"/>
        <w:left w:val="none" w:sz="0" w:space="0" w:color="auto"/>
        <w:bottom w:val="none" w:sz="0" w:space="0" w:color="auto"/>
        <w:right w:val="none" w:sz="0" w:space="0" w:color="auto"/>
      </w:divBdr>
    </w:div>
    <w:div w:id="451095210">
      <w:bodyDiv w:val="1"/>
      <w:marLeft w:val="0"/>
      <w:marRight w:val="0"/>
      <w:marTop w:val="0"/>
      <w:marBottom w:val="0"/>
      <w:divBdr>
        <w:top w:val="none" w:sz="0" w:space="0" w:color="auto"/>
        <w:left w:val="none" w:sz="0" w:space="0" w:color="auto"/>
        <w:bottom w:val="none" w:sz="0" w:space="0" w:color="auto"/>
        <w:right w:val="none" w:sz="0" w:space="0" w:color="auto"/>
      </w:divBdr>
    </w:div>
    <w:div w:id="453209288">
      <w:bodyDiv w:val="1"/>
      <w:marLeft w:val="0"/>
      <w:marRight w:val="0"/>
      <w:marTop w:val="0"/>
      <w:marBottom w:val="0"/>
      <w:divBdr>
        <w:top w:val="none" w:sz="0" w:space="0" w:color="auto"/>
        <w:left w:val="none" w:sz="0" w:space="0" w:color="auto"/>
        <w:bottom w:val="none" w:sz="0" w:space="0" w:color="auto"/>
        <w:right w:val="none" w:sz="0" w:space="0" w:color="auto"/>
      </w:divBdr>
    </w:div>
    <w:div w:id="506558128">
      <w:bodyDiv w:val="1"/>
      <w:marLeft w:val="0"/>
      <w:marRight w:val="0"/>
      <w:marTop w:val="0"/>
      <w:marBottom w:val="0"/>
      <w:divBdr>
        <w:top w:val="none" w:sz="0" w:space="0" w:color="auto"/>
        <w:left w:val="none" w:sz="0" w:space="0" w:color="auto"/>
        <w:bottom w:val="none" w:sz="0" w:space="0" w:color="auto"/>
        <w:right w:val="none" w:sz="0" w:space="0" w:color="auto"/>
      </w:divBdr>
    </w:div>
    <w:div w:id="537201152">
      <w:bodyDiv w:val="1"/>
      <w:marLeft w:val="0"/>
      <w:marRight w:val="0"/>
      <w:marTop w:val="0"/>
      <w:marBottom w:val="0"/>
      <w:divBdr>
        <w:top w:val="none" w:sz="0" w:space="0" w:color="auto"/>
        <w:left w:val="none" w:sz="0" w:space="0" w:color="auto"/>
        <w:bottom w:val="none" w:sz="0" w:space="0" w:color="auto"/>
        <w:right w:val="none" w:sz="0" w:space="0" w:color="auto"/>
      </w:divBdr>
    </w:div>
    <w:div w:id="563371070">
      <w:bodyDiv w:val="1"/>
      <w:marLeft w:val="0"/>
      <w:marRight w:val="0"/>
      <w:marTop w:val="0"/>
      <w:marBottom w:val="0"/>
      <w:divBdr>
        <w:top w:val="none" w:sz="0" w:space="0" w:color="auto"/>
        <w:left w:val="none" w:sz="0" w:space="0" w:color="auto"/>
        <w:bottom w:val="none" w:sz="0" w:space="0" w:color="auto"/>
        <w:right w:val="none" w:sz="0" w:space="0" w:color="auto"/>
      </w:divBdr>
    </w:div>
    <w:div w:id="611088565">
      <w:bodyDiv w:val="1"/>
      <w:marLeft w:val="0"/>
      <w:marRight w:val="0"/>
      <w:marTop w:val="0"/>
      <w:marBottom w:val="0"/>
      <w:divBdr>
        <w:top w:val="none" w:sz="0" w:space="0" w:color="auto"/>
        <w:left w:val="none" w:sz="0" w:space="0" w:color="auto"/>
        <w:bottom w:val="none" w:sz="0" w:space="0" w:color="auto"/>
        <w:right w:val="none" w:sz="0" w:space="0" w:color="auto"/>
      </w:divBdr>
    </w:div>
    <w:div w:id="625819165">
      <w:bodyDiv w:val="1"/>
      <w:marLeft w:val="0"/>
      <w:marRight w:val="0"/>
      <w:marTop w:val="0"/>
      <w:marBottom w:val="0"/>
      <w:divBdr>
        <w:top w:val="none" w:sz="0" w:space="0" w:color="auto"/>
        <w:left w:val="none" w:sz="0" w:space="0" w:color="auto"/>
        <w:bottom w:val="none" w:sz="0" w:space="0" w:color="auto"/>
        <w:right w:val="none" w:sz="0" w:space="0" w:color="auto"/>
      </w:divBdr>
    </w:div>
    <w:div w:id="629096904">
      <w:bodyDiv w:val="1"/>
      <w:marLeft w:val="0"/>
      <w:marRight w:val="0"/>
      <w:marTop w:val="0"/>
      <w:marBottom w:val="0"/>
      <w:divBdr>
        <w:top w:val="none" w:sz="0" w:space="0" w:color="auto"/>
        <w:left w:val="none" w:sz="0" w:space="0" w:color="auto"/>
        <w:bottom w:val="none" w:sz="0" w:space="0" w:color="auto"/>
        <w:right w:val="none" w:sz="0" w:space="0" w:color="auto"/>
      </w:divBdr>
    </w:div>
    <w:div w:id="702024607">
      <w:bodyDiv w:val="1"/>
      <w:marLeft w:val="0"/>
      <w:marRight w:val="0"/>
      <w:marTop w:val="0"/>
      <w:marBottom w:val="0"/>
      <w:divBdr>
        <w:top w:val="none" w:sz="0" w:space="0" w:color="auto"/>
        <w:left w:val="none" w:sz="0" w:space="0" w:color="auto"/>
        <w:bottom w:val="none" w:sz="0" w:space="0" w:color="auto"/>
        <w:right w:val="none" w:sz="0" w:space="0" w:color="auto"/>
      </w:divBdr>
    </w:div>
    <w:div w:id="704720481">
      <w:bodyDiv w:val="1"/>
      <w:marLeft w:val="0"/>
      <w:marRight w:val="0"/>
      <w:marTop w:val="0"/>
      <w:marBottom w:val="0"/>
      <w:divBdr>
        <w:top w:val="none" w:sz="0" w:space="0" w:color="auto"/>
        <w:left w:val="none" w:sz="0" w:space="0" w:color="auto"/>
        <w:bottom w:val="none" w:sz="0" w:space="0" w:color="auto"/>
        <w:right w:val="none" w:sz="0" w:space="0" w:color="auto"/>
      </w:divBdr>
    </w:div>
    <w:div w:id="705831934">
      <w:bodyDiv w:val="1"/>
      <w:marLeft w:val="0"/>
      <w:marRight w:val="0"/>
      <w:marTop w:val="0"/>
      <w:marBottom w:val="0"/>
      <w:divBdr>
        <w:top w:val="none" w:sz="0" w:space="0" w:color="auto"/>
        <w:left w:val="none" w:sz="0" w:space="0" w:color="auto"/>
        <w:bottom w:val="none" w:sz="0" w:space="0" w:color="auto"/>
        <w:right w:val="none" w:sz="0" w:space="0" w:color="auto"/>
      </w:divBdr>
    </w:div>
    <w:div w:id="731199149">
      <w:bodyDiv w:val="1"/>
      <w:marLeft w:val="0"/>
      <w:marRight w:val="0"/>
      <w:marTop w:val="0"/>
      <w:marBottom w:val="0"/>
      <w:divBdr>
        <w:top w:val="none" w:sz="0" w:space="0" w:color="auto"/>
        <w:left w:val="none" w:sz="0" w:space="0" w:color="auto"/>
        <w:bottom w:val="none" w:sz="0" w:space="0" w:color="auto"/>
        <w:right w:val="none" w:sz="0" w:space="0" w:color="auto"/>
      </w:divBdr>
    </w:div>
    <w:div w:id="732314816">
      <w:bodyDiv w:val="1"/>
      <w:marLeft w:val="0"/>
      <w:marRight w:val="0"/>
      <w:marTop w:val="0"/>
      <w:marBottom w:val="0"/>
      <w:divBdr>
        <w:top w:val="none" w:sz="0" w:space="0" w:color="auto"/>
        <w:left w:val="none" w:sz="0" w:space="0" w:color="auto"/>
        <w:bottom w:val="none" w:sz="0" w:space="0" w:color="auto"/>
        <w:right w:val="none" w:sz="0" w:space="0" w:color="auto"/>
      </w:divBdr>
    </w:div>
    <w:div w:id="743256868">
      <w:bodyDiv w:val="1"/>
      <w:marLeft w:val="0"/>
      <w:marRight w:val="0"/>
      <w:marTop w:val="0"/>
      <w:marBottom w:val="0"/>
      <w:divBdr>
        <w:top w:val="none" w:sz="0" w:space="0" w:color="auto"/>
        <w:left w:val="none" w:sz="0" w:space="0" w:color="auto"/>
        <w:bottom w:val="none" w:sz="0" w:space="0" w:color="auto"/>
        <w:right w:val="none" w:sz="0" w:space="0" w:color="auto"/>
      </w:divBdr>
    </w:div>
    <w:div w:id="772894167">
      <w:bodyDiv w:val="1"/>
      <w:marLeft w:val="0"/>
      <w:marRight w:val="0"/>
      <w:marTop w:val="0"/>
      <w:marBottom w:val="0"/>
      <w:divBdr>
        <w:top w:val="none" w:sz="0" w:space="0" w:color="auto"/>
        <w:left w:val="none" w:sz="0" w:space="0" w:color="auto"/>
        <w:bottom w:val="none" w:sz="0" w:space="0" w:color="auto"/>
        <w:right w:val="none" w:sz="0" w:space="0" w:color="auto"/>
      </w:divBdr>
    </w:div>
    <w:div w:id="820389217">
      <w:bodyDiv w:val="1"/>
      <w:marLeft w:val="0"/>
      <w:marRight w:val="0"/>
      <w:marTop w:val="0"/>
      <w:marBottom w:val="0"/>
      <w:divBdr>
        <w:top w:val="none" w:sz="0" w:space="0" w:color="auto"/>
        <w:left w:val="none" w:sz="0" w:space="0" w:color="auto"/>
        <w:bottom w:val="none" w:sz="0" w:space="0" w:color="auto"/>
        <w:right w:val="none" w:sz="0" w:space="0" w:color="auto"/>
      </w:divBdr>
    </w:div>
    <w:div w:id="820393248">
      <w:bodyDiv w:val="1"/>
      <w:marLeft w:val="0"/>
      <w:marRight w:val="0"/>
      <w:marTop w:val="0"/>
      <w:marBottom w:val="0"/>
      <w:divBdr>
        <w:top w:val="none" w:sz="0" w:space="0" w:color="auto"/>
        <w:left w:val="none" w:sz="0" w:space="0" w:color="auto"/>
        <w:bottom w:val="none" w:sz="0" w:space="0" w:color="auto"/>
        <w:right w:val="none" w:sz="0" w:space="0" w:color="auto"/>
      </w:divBdr>
    </w:div>
    <w:div w:id="903835845">
      <w:bodyDiv w:val="1"/>
      <w:marLeft w:val="0"/>
      <w:marRight w:val="0"/>
      <w:marTop w:val="0"/>
      <w:marBottom w:val="0"/>
      <w:divBdr>
        <w:top w:val="none" w:sz="0" w:space="0" w:color="auto"/>
        <w:left w:val="none" w:sz="0" w:space="0" w:color="auto"/>
        <w:bottom w:val="none" w:sz="0" w:space="0" w:color="auto"/>
        <w:right w:val="none" w:sz="0" w:space="0" w:color="auto"/>
      </w:divBdr>
    </w:div>
    <w:div w:id="938173747">
      <w:bodyDiv w:val="1"/>
      <w:marLeft w:val="0"/>
      <w:marRight w:val="0"/>
      <w:marTop w:val="0"/>
      <w:marBottom w:val="0"/>
      <w:divBdr>
        <w:top w:val="none" w:sz="0" w:space="0" w:color="auto"/>
        <w:left w:val="none" w:sz="0" w:space="0" w:color="auto"/>
        <w:bottom w:val="none" w:sz="0" w:space="0" w:color="auto"/>
        <w:right w:val="none" w:sz="0" w:space="0" w:color="auto"/>
      </w:divBdr>
    </w:div>
    <w:div w:id="968631832">
      <w:bodyDiv w:val="1"/>
      <w:marLeft w:val="0"/>
      <w:marRight w:val="0"/>
      <w:marTop w:val="0"/>
      <w:marBottom w:val="0"/>
      <w:divBdr>
        <w:top w:val="none" w:sz="0" w:space="0" w:color="auto"/>
        <w:left w:val="none" w:sz="0" w:space="0" w:color="auto"/>
        <w:bottom w:val="none" w:sz="0" w:space="0" w:color="auto"/>
        <w:right w:val="none" w:sz="0" w:space="0" w:color="auto"/>
      </w:divBdr>
    </w:div>
    <w:div w:id="977804795">
      <w:bodyDiv w:val="1"/>
      <w:marLeft w:val="0"/>
      <w:marRight w:val="0"/>
      <w:marTop w:val="0"/>
      <w:marBottom w:val="0"/>
      <w:divBdr>
        <w:top w:val="none" w:sz="0" w:space="0" w:color="auto"/>
        <w:left w:val="none" w:sz="0" w:space="0" w:color="auto"/>
        <w:bottom w:val="none" w:sz="0" w:space="0" w:color="auto"/>
        <w:right w:val="none" w:sz="0" w:space="0" w:color="auto"/>
      </w:divBdr>
    </w:div>
    <w:div w:id="1002776285">
      <w:bodyDiv w:val="1"/>
      <w:marLeft w:val="0"/>
      <w:marRight w:val="0"/>
      <w:marTop w:val="0"/>
      <w:marBottom w:val="0"/>
      <w:divBdr>
        <w:top w:val="none" w:sz="0" w:space="0" w:color="auto"/>
        <w:left w:val="none" w:sz="0" w:space="0" w:color="auto"/>
        <w:bottom w:val="none" w:sz="0" w:space="0" w:color="auto"/>
        <w:right w:val="none" w:sz="0" w:space="0" w:color="auto"/>
      </w:divBdr>
    </w:div>
    <w:div w:id="1006399343">
      <w:bodyDiv w:val="1"/>
      <w:marLeft w:val="0"/>
      <w:marRight w:val="0"/>
      <w:marTop w:val="0"/>
      <w:marBottom w:val="0"/>
      <w:divBdr>
        <w:top w:val="none" w:sz="0" w:space="0" w:color="auto"/>
        <w:left w:val="none" w:sz="0" w:space="0" w:color="auto"/>
        <w:bottom w:val="none" w:sz="0" w:space="0" w:color="auto"/>
        <w:right w:val="none" w:sz="0" w:space="0" w:color="auto"/>
      </w:divBdr>
    </w:div>
    <w:div w:id="1006516477">
      <w:bodyDiv w:val="1"/>
      <w:marLeft w:val="0"/>
      <w:marRight w:val="0"/>
      <w:marTop w:val="0"/>
      <w:marBottom w:val="0"/>
      <w:divBdr>
        <w:top w:val="none" w:sz="0" w:space="0" w:color="auto"/>
        <w:left w:val="none" w:sz="0" w:space="0" w:color="auto"/>
        <w:bottom w:val="none" w:sz="0" w:space="0" w:color="auto"/>
        <w:right w:val="none" w:sz="0" w:space="0" w:color="auto"/>
      </w:divBdr>
    </w:div>
    <w:div w:id="1089422608">
      <w:bodyDiv w:val="1"/>
      <w:marLeft w:val="0"/>
      <w:marRight w:val="0"/>
      <w:marTop w:val="0"/>
      <w:marBottom w:val="0"/>
      <w:divBdr>
        <w:top w:val="none" w:sz="0" w:space="0" w:color="auto"/>
        <w:left w:val="none" w:sz="0" w:space="0" w:color="auto"/>
        <w:bottom w:val="none" w:sz="0" w:space="0" w:color="auto"/>
        <w:right w:val="none" w:sz="0" w:space="0" w:color="auto"/>
      </w:divBdr>
    </w:div>
    <w:div w:id="1162354614">
      <w:bodyDiv w:val="1"/>
      <w:marLeft w:val="0"/>
      <w:marRight w:val="0"/>
      <w:marTop w:val="0"/>
      <w:marBottom w:val="0"/>
      <w:divBdr>
        <w:top w:val="none" w:sz="0" w:space="0" w:color="auto"/>
        <w:left w:val="none" w:sz="0" w:space="0" w:color="auto"/>
        <w:bottom w:val="none" w:sz="0" w:space="0" w:color="auto"/>
        <w:right w:val="none" w:sz="0" w:space="0" w:color="auto"/>
      </w:divBdr>
    </w:div>
    <w:div w:id="1199048064">
      <w:bodyDiv w:val="1"/>
      <w:marLeft w:val="0"/>
      <w:marRight w:val="0"/>
      <w:marTop w:val="0"/>
      <w:marBottom w:val="0"/>
      <w:divBdr>
        <w:top w:val="none" w:sz="0" w:space="0" w:color="auto"/>
        <w:left w:val="none" w:sz="0" w:space="0" w:color="auto"/>
        <w:bottom w:val="none" w:sz="0" w:space="0" w:color="auto"/>
        <w:right w:val="none" w:sz="0" w:space="0" w:color="auto"/>
      </w:divBdr>
    </w:div>
    <w:div w:id="1212889486">
      <w:bodyDiv w:val="1"/>
      <w:marLeft w:val="0"/>
      <w:marRight w:val="0"/>
      <w:marTop w:val="0"/>
      <w:marBottom w:val="0"/>
      <w:divBdr>
        <w:top w:val="none" w:sz="0" w:space="0" w:color="auto"/>
        <w:left w:val="none" w:sz="0" w:space="0" w:color="auto"/>
        <w:bottom w:val="none" w:sz="0" w:space="0" w:color="auto"/>
        <w:right w:val="none" w:sz="0" w:space="0" w:color="auto"/>
      </w:divBdr>
    </w:div>
    <w:div w:id="1225023726">
      <w:bodyDiv w:val="1"/>
      <w:marLeft w:val="0"/>
      <w:marRight w:val="0"/>
      <w:marTop w:val="0"/>
      <w:marBottom w:val="0"/>
      <w:divBdr>
        <w:top w:val="none" w:sz="0" w:space="0" w:color="auto"/>
        <w:left w:val="none" w:sz="0" w:space="0" w:color="auto"/>
        <w:bottom w:val="none" w:sz="0" w:space="0" w:color="auto"/>
        <w:right w:val="none" w:sz="0" w:space="0" w:color="auto"/>
      </w:divBdr>
    </w:div>
    <w:div w:id="1228344818">
      <w:bodyDiv w:val="1"/>
      <w:marLeft w:val="0"/>
      <w:marRight w:val="0"/>
      <w:marTop w:val="0"/>
      <w:marBottom w:val="0"/>
      <w:divBdr>
        <w:top w:val="none" w:sz="0" w:space="0" w:color="auto"/>
        <w:left w:val="none" w:sz="0" w:space="0" w:color="auto"/>
        <w:bottom w:val="none" w:sz="0" w:space="0" w:color="auto"/>
        <w:right w:val="none" w:sz="0" w:space="0" w:color="auto"/>
      </w:divBdr>
    </w:div>
    <w:div w:id="1247693648">
      <w:bodyDiv w:val="1"/>
      <w:marLeft w:val="0"/>
      <w:marRight w:val="0"/>
      <w:marTop w:val="0"/>
      <w:marBottom w:val="0"/>
      <w:divBdr>
        <w:top w:val="none" w:sz="0" w:space="0" w:color="auto"/>
        <w:left w:val="none" w:sz="0" w:space="0" w:color="auto"/>
        <w:bottom w:val="none" w:sz="0" w:space="0" w:color="auto"/>
        <w:right w:val="none" w:sz="0" w:space="0" w:color="auto"/>
      </w:divBdr>
    </w:div>
    <w:div w:id="1272126655">
      <w:bodyDiv w:val="1"/>
      <w:marLeft w:val="0"/>
      <w:marRight w:val="0"/>
      <w:marTop w:val="0"/>
      <w:marBottom w:val="0"/>
      <w:divBdr>
        <w:top w:val="none" w:sz="0" w:space="0" w:color="auto"/>
        <w:left w:val="none" w:sz="0" w:space="0" w:color="auto"/>
        <w:bottom w:val="none" w:sz="0" w:space="0" w:color="auto"/>
        <w:right w:val="none" w:sz="0" w:space="0" w:color="auto"/>
      </w:divBdr>
    </w:div>
    <w:div w:id="1272202347">
      <w:bodyDiv w:val="1"/>
      <w:marLeft w:val="0"/>
      <w:marRight w:val="0"/>
      <w:marTop w:val="0"/>
      <w:marBottom w:val="0"/>
      <w:divBdr>
        <w:top w:val="none" w:sz="0" w:space="0" w:color="auto"/>
        <w:left w:val="none" w:sz="0" w:space="0" w:color="auto"/>
        <w:bottom w:val="none" w:sz="0" w:space="0" w:color="auto"/>
        <w:right w:val="none" w:sz="0" w:space="0" w:color="auto"/>
      </w:divBdr>
    </w:div>
    <w:div w:id="1326933213">
      <w:bodyDiv w:val="1"/>
      <w:marLeft w:val="0"/>
      <w:marRight w:val="0"/>
      <w:marTop w:val="0"/>
      <w:marBottom w:val="0"/>
      <w:divBdr>
        <w:top w:val="none" w:sz="0" w:space="0" w:color="auto"/>
        <w:left w:val="none" w:sz="0" w:space="0" w:color="auto"/>
        <w:bottom w:val="none" w:sz="0" w:space="0" w:color="auto"/>
        <w:right w:val="none" w:sz="0" w:space="0" w:color="auto"/>
      </w:divBdr>
    </w:div>
    <w:div w:id="1342463241">
      <w:bodyDiv w:val="1"/>
      <w:marLeft w:val="0"/>
      <w:marRight w:val="0"/>
      <w:marTop w:val="0"/>
      <w:marBottom w:val="0"/>
      <w:divBdr>
        <w:top w:val="none" w:sz="0" w:space="0" w:color="auto"/>
        <w:left w:val="none" w:sz="0" w:space="0" w:color="auto"/>
        <w:bottom w:val="none" w:sz="0" w:space="0" w:color="auto"/>
        <w:right w:val="none" w:sz="0" w:space="0" w:color="auto"/>
      </w:divBdr>
    </w:div>
    <w:div w:id="1376277409">
      <w:bodyDiv w:val="1"/>
      <w:marLeft w:val="0"/>
      <w:marRight w:val="0"/>
      <w:marTop w:val="0"/>
      <w:marBottom w:val="0"/>
      <w:divBdr>
        <w:top w:val="none" w:sz="0" w:space="0" w:color="auto"/>
        <w:left w:val="none" w:sz="0" w:space="0" w:color="auto"/>
        <w:bottom w:val="none" w:sz="0" w:space="0" w:color="auto"/>
        <w:right w:val="none" w:sz="0" w:space="0" w:color="auto"/>
      </w:divBdr>
    </w:div>
    <w:div w:id="1410349306">
      <w:bodyDiv w:val="1"/>
      <w:marLeft w:val="0"/>
      <w:marRight w:val="0"/>
      <w:marTop w:val="0"/>
      <w:marBottom w:val="0"/>
      <w:divBdr>
        <w:top w:val="none" w:sz="0" w:space="0" w:color="auto"/>
        <w:left w:val="none" w:sz="0" w:space="0" w:color="auto"/>
        <w:bottom w:val="none" w:sz="0" w:space="0" w:color="auto"/>
        <w:right w:val="none" w:sz="0" w:space="0" w:color="auto"/>
      </w:divBdr>
    </w:div>
    <w:div w:id="1413896432">
      <w:bodyDiv w:val="1"/>
      <w:marLeft w:val="0"/>
      <w:marRight w:val="0"/>
      <w:marTop w:val="0"/>
      <w:marBottom w:val="0"/>
      <w:divBdr>
        <w:top w:val="none" w:sz="0" w:space="0" w:color="auto"/>
        <w:left w:val="none" w:sz="0" w:space="0" w:color="auto"/>
        <w:bottom w:val="none" w:sz="0" w:space="0" w:color="auto"/>
        <w:right w:val="none" w:sz="0" w:space="0" w:color="auto"/>
      </w:divBdr>
    </w:div>
    <w:div w:id="1428846281">
      <w:bodyDiv w:val="1"/>
      <w:marLeft w:val="0"/>
      <w:marRight w:val="0"/>
      <w:marTop w:val="0"/>
      <w:marBottom w:val="0"/>
      <w:divBdr>
        <w:top w:val="none" w:sz="0" w:space="0" w:color="auto"/>
        <w:left w:val="none" w:sz="0" w:space="0" w:color="auto"/>
        <w:bottom w:val="none" w:sz="0" w:space="0" w:color="auto"/>
        <w:right w:val="none" w:sz="0" w:space="0" w:color="auto"/>
      </w:divBdr>
    </w:div>
    <w:div w:id="1437943714">
      <w:bodyDiv w:val="1"/>
      <w:marLeft w:val="0"/>
      <w:marRight w:val="0"/>
      <w:marTop w:val="0"/>
      <w:marBottom w:val="0"/>
      <w:divBdr>
        <w:top w:val="none" w:sz="0" w:space="0" w:color="auto"/>
        <w:left w:val="none" w:sz="0" w:space="0" w:color="auto"/>
        <w:bottom w:val="none" w:sz="0" w:space="0" w:color="auto"/>
        <w:right w:val="none" w:sz="0" w:space="0" w:color="auto"/>
      </w:divBdr>
    </w:div>
    <w:div w:id="1507356908">
      <w:bodyDiv w:val="1"/>
      <w:marLeft w:val="0"/>
      <w:marRight w:val="0"/>
      <w:marTop w:val="0"/>
      <w:marBottom w:val="0"/>
      <w:divBdr>
        <w:top w:val="none" w:sz="0" w:space="0" w:color="auto"/>
        <w:left w:val="none" w:sz="0" w:space="0" w:color="auto"/>
        <w:bottom w:val="none" w:sz="0" w:space="0" w:color="auto"/>
        <w:right w:val="none" w:sz="0" w:space="0" w:color="auto"/>
      </w:divBdr>
    </w:div>
    <w:div w:id="1539394652">
      <w:bodyDiv w:val="1"/>
      <w:marLeft w:val="0"/>
      <w:marRight w:val="0"/>
      <w:marTop w:val="0"/>
      <w:marBottom w:val="0"/>
      <w:divBdr>
        <w:top w:val="none" w:sz="0" w:space="0" w:color="auto"/>
        <w:left w:val="none" w:sz="0" w:space="0" w:color="auto"/>
        <w:bottom w:val="none" w:sz="0" w:space="0" w:color="auto"/>
        <w:right w:val="none" w:sz="0" w:space="0" w:color="auto"/>
      </w:divBdr>
    </w:div>
    <w:div w:id="1551457509">
      <w:bodyDiv w:val="1"/>
      <w:marLeft w:val="0"/>
      <w:marRight w:val="0"/>
      <w:marTop w:val="0"/>
      <w:marBottom w:val="0"/>
      <w:divBdr>
        <w:top w:val="none" w:sz="0" w:space="0" w:color="auto"/>
        <w:left w:val="none" w:sz="0" w:space="0" w:color="auto"/>
        <w:bottom w:val="none" w:sz="0" w:space="0" w:color="auto"/>
        <w:right w:val="none" w:sz="0" w:space="0" w:color="auto"/>
      </w:divBdr>
    </w:div>
    <w:div w:id="1575159746">
      <w:bodyDiv w:val="1"/>
      <w:marLeft w:val="0"/>
      <w:marRight w:val="0"/>
      <w:marTop w:val="0"/>
      <w:marBottom w:val="0"/>
      <w:divBdr>
        <w:top w:val="none" w:sz="0" w:space="0" w:color="auto"/>
        <w:left w:val="none" w:sz="0" w:space="0" w:color="auto"/>
        <w:bottom w:val="none" w:sz="0" w:space="0" w:color="auto"/>
        <w:right w:val="none" w:sz="0" w:space="0" w:color="auto"/>
      </w:divBdr>
    </w:div>
    <w:div w:id="1584488064">
      <w:bodyDiv w:val="1"/>
      <w:marLeft w:val="0"/>
      <w:marRight w:val="0"/>
      <w:marTop w:val="0"/>
      <w:marBottom w:val="0"/>
      <w:divBdr>
        <w:top w:val="none" w:sz="0" w:space="0" w:color="auto"/>
        <w:left w:val="none" w:sz="0" w:space="0" w:color="auto"/>
        <w:bottom w:val="none" w:sz="0" w:space="0" w:color="auto"/>
        <w:right w:val="none" w:sz="0" w:space="0" w:color="auto"/>
      </w:divBdr>
    </w:div>
    <w:div w:id="1598561492">
      <w:bodyDiv w:val="1"/>
      <w:marLeft w:val="0"/>
      <w:marRight w:val="0"/>
      <w:marTop w:val="0"/>
      <w:marBottom w:val="0"/>
      <w:divBdr>
        <w:top w:val="none" w:sz="0" w:space="0" w:color="auto"/>
        <w:left w:val="none" w:sz="0" w:space="0" w:color="auto"/>
        <w:bottom w:val="none" w:sz="0" w:space="0" w:color="auto"/>
        <w:right w:val="none" w:sz="0" w:space="0" w:color="auto"/>
      </w:divBdr>
    </w:div>
    <w:div w:id="1647860003">
      <w:bodyDiv w:val="1"/>
      <w:marLeft w:val="0"/>
      <w:marRight w:val="0"/>
      <w:marTop w:val="0"/>
      <w:marBottom w:val="0"/>
      <w:divBdr>
        <w:top w:val="none" w:sz="0" w:space="0" w:color="auto"/>
        <w:left w:val="none" w:sz="0" w:space="0" w:color="auto"/>
        <w:bottom w:val="none" w:sz="0" w:space="0" w:color="auto"/>
        <w:right w:val="none" w:sz="0" w:space="0" w:color="auto"/>
      </w:divBdr>
    </w:div>
    <w:div w:id="1654987854">
      <w:bodyDiv w:val="1"/>
      <w:marLeft w:val="0"/>
      <w:marRight w:val="0"/>
      <w:marTop w:val="0"/>
      <w:marBottom w:val="0"/>
      <w:divBdr>
        <w:top w:val="none" w:sz="0" w:space="0" w:color="auto"/>
        <w:left w:val="none" w:sz="0" w:space="0" w:color="auto"/>
        <w:bottom w:val="none" w:sz="0" w:space="0" w:color="auto"/>
        <w:right w:val="none" w:sz="0" w:space="0" w:color="auto"/>
      </w:divBdr>
    </w:div>
    <w:div w:id="1682974244">
      <w:bodyDiv w:val="1"/>
      <w:marLeft w:val="0"/>
      <w:marRight w:val="0"/>
      <w:marTop w:val="0"/>
      <w:marBottom w:val="0"/>
      <w:divBdr>
        <w:top w:val="none" w:sz="0" w:space="0" w:color="auto"/>
        <w:left w:val="none" w:sz="0" w:space="0" w:color="auto"/>
        <w:bottom w:val="none" w:sz="0" w:space="0" w:color="auto"/>
        <w:right w:val="none" w:sz="0" w:space="0" w:color="auto"/>
      </w:divBdr>
    </w:div>
    <w:div w:id="1708531328">
      <w:bodyDiv w:val="1"/>
      <w:marLeft w:val="0"/>
      <w:marRight w:val="0"/>
      <w:marTop w:val="0"/>
      <w:marBottom w:val="0"/>
      <w:divBdr>
        <w:top w:val="none" w:sz="0" w:space="0" w:color="auto"/>
        <w:left w:val="none" w:sz="0" w:space="0" w:color="auto"/>
        <w:bottom w:val="none" w:sz="0" w:space="0" w:color="auto"/>
        <w:right w:val="none" w:sz="0" w:space="0" w:color="auto"/>
      </w:divBdr>
    </w:div>
    <w:div w:id="1782800948">
      <w:bodyDiv w:val="1"/>
      <w:marLeft w:val="0"/>
      <w:marRight w:val="0"/>
      <w:marTop w:val="0"/>
      <w:marBottom w:val="0"/>
      <w:divBdr>
        <w:top w:val="none" w:sz="0" w:space="0" w:color="auto"/>
        <w:left w:val="none" w:sz="0" w:space="0" w:color="auto"/>
        <w:bottom w:val="none" w:sz="0" w:space="0" w:color="auto"/>
        <w:right w:val="none" w:sz="0" w:space="0" w:color="auto"/>
      </w:divBdr>
    </w:div>
    <w:div w:id="1844472628">
      <w:bodyDiv w:val="1"/>
      <w:marLeft w:val="0"/>
      <w:marRight w:val="0"/>
      <w:marTop w:val="0"/>
      <w:marBottom w:val="0"/>
      <w:divBdr>
        <w:top w:val="none" w:sz="0" w:space="0" w:color="auto"/>
        <w:left w:val="none" w:sz="0" w:space="0" w:color="auto"/>
        <w:bottom w:val="none" w:sz="0" w:space="0" w:color="auto"/>
        <w:right w:val="none" w:sz="0" w:space="0" w:color="auto"/>
      </w:divBdr>
    </w:div>
    <w:div w:id="1861774263">
      <w:bodyDiv w:val="1"/>
      <w:marLeft w:val="0"/>
      <w:marRight w:val="0"/>
      <w:marTop w:val="0"/>
      <w:marBottom w:val="0"/>
      <w:divBdr>
        <w:top w:val="none" w:sz="0" w:space="0" w:color="auto"/>
        <w:left w:val="none" w:sz="0" w:space="0" w:color="auto"/>
        <w:bottom w:val="none" w:sz="0" w:space="0" w:color="auto"/>
        <w:right w:val="none" w:sz="0" w:space="0" w:color="auto"/>
      </w:divBdr>
    </w:div>
    <w:div w:id="1885679148">
      <w:bodyDiv w:val="1"/>
      <w:marLeft w:val="0"/>
      <w:marRight w:val="0"/>
      <w:marTop w:val="0"/>
      <w:marBottom w:val="0"/>
      <w:divBdr>
        <w:top w:val="none" w:sz="0" w:space="0" w:color="auto"/>
        <w:left w:val="none" w:sz="0" w:space="0" w:color="auto"/>
        <w:bottom w:val="none" w:sz="0" w:space="0" w:color="auto"/>
        <w:right w:val="none" w:sz="0" w:space="0" w:color="auto"/>
      </w:divBdr>
    </w:div>
    <w:div w:id="1906985033">
      <w:bodyDiv w:val="1"/>
      <w:marLeft w:val="0"/>
      <w:marRight w:val="0"/>
      <w:marTop w:val="0"/>
      <w:marBottom w:val="0"/>
      <w:divBdr>
        <w:top w:val="none" w:sz="0" w:space="0" w:color="auto"/>
        <w:left w:val="none" w:sz="0" w:space="0" w:color="auto"/>
        <w:bottom w:val="none" w:sz="0" w:space="0" w:color="auto"/>
        <w:right w:val="none" w:sz="0" w:space="0" w:color="auto"/>
      </w:divBdr>
    </w:div>
    <w:div w:id="1932161165">
      <w:bodyDiv w:val="1"/>
      <w:marLeft w:val="0"/>
      <w:marRight w:val="0"/>
      <w:marTop w:val="0"/>
      <w:marBottom w:val="0"/>
      <w:divBdr>
        <w:top w:val="none" w:sz="0" w:space="0" w:color="auto"/>
        <w:left w:val="none" w:sz="0" w:space="0" w:color="auto"/>
        <w:bottom w:val="none" w:sz="0" w:space="0" w:color="auto"/>
        <w:right w:val="none" w:sz="0" w:space="0" w:color="auto"/>
      </w:divBdr>
    </w:div>
    <w:div w:id="1971746781">
      <w:bodyDiv w:val="1"/>
      <w:marLeft w:val="0"/>
      <w:marRight w:val="0"/>
      <w:marTop w:val="0"/>
      <w:marBottom w:val="0"/>
      <w:divBdr>
        <w:top w:val="none" w:sz="0" w:space="0" w:color="auto"/>
        <w:left w:val="none" w:sz="0" w:space="0" w:color="auto"/>
        <w:bottom w:val="none" w:sz="0" w:space="0" w:color="auto"/>
        <w:right w:val="none" w:sz="0" w:space="0" w:color="auto"/>
      </w:divBdr>
    </w:div>
    <w:div w:id="2078280544">
      <w:bodyDiv w:val="1"/>
      <w:marLeft w:val="0"/>
      <w:marRight w:val="0"/>
      <w:marTop w:val="0"/>
      <w:marBottom w:val="0"/>
      <w:divBdr>
        <w:top w:val="none" w:sz="0" w:space="0" w:color="auto"/>
        <w:left w:val="none" w:sz="0" w:space="0" w:color="auto"/>
        <w:bottom w:val="none" w:sz="0" w:space="0" w:color="auto"/>
        <w:right w:val="none" w:sz="0" w:space="0" w:color="auto"/>
      </w:divBdr>
    </w:div>
    <w:div w:id="2095201202">
      <w:bodyDiv w:val="1"/>
      <w:marLeft w:val="0"/>
      <w:marRight w:val="0"/>
      <w:marTop w:val="0"/>
      <w:marBottom w:val="0"/>
      <w:divBdr>
        <w:top w:val="none" w:sz="0" w:space="0" w:color="auto"/>
        <w:left w:val="none" w:sz="0" w:space="0" w:color="auto"/>
        <w:bottom w:val="none" w:sz="0" w:space="0" w:color="auto"/>
        <w:right w:val="none" w:sz="0" w:space="0" w:color="auto"/>
      </w:divBdr>
    </w:div>
    <w:div w:id="2096703340">
      <w:bodyDiv w:val="1"/>
      <w:marLeft w:val="0"/>
      <w:marRight w:val="0"/>
      <w:marTop w:val="0"/>
      <w:marBottom w:val="0"/>
      <w:divBdr>
        <w:top w:val="none" w:sz="0" w:space="0" w:color="auto"/>
        <w:left w:val="none" w:sz="0" w:space="0" w:color="auto"/>
        <w:bottom w:val="none" w:sz="0" w:space="0" w:color="auto"/>
        <w:right w:val="none" w:sz="0" w:space="0" w:color="auto"/>
      </w:divBdr>
    </w:div>
    <w:div w:id="2111774195">
      <w:bodyDiv w:val="1"/>
      <w:marLeft w:val="0"/>
      <w:marRight w:val="0"/>
      <w:marTop w:val="0"/>
      <w:marBottom w:val="0"/>
      <w:divBdr>
        <w:top w:val="none" w:sz="0" w:space="0" w:color="auto"/>
        <w:left w:val="none" w:sz="0" w:space="0" w:color="auto"/>
        <w:bottom w:val="none" w:sz="0" w:space="0" w:color="auto"/>
        <w:right w:val="none" w:sz="0" w:space="0" w:color="auto"/>
      </w:divBdr>
    </w:div>
    <w:div w:id="2113474752">
      <w:bodyDiv w:val="1"/>
      <w:marLeft w:val="0"/>
      <w:marRight w:val="0"/>
      <w:marTop w:val="0"/>
      <w:marBottom w:val="0"/>
      <w:divBdr>
        <w:top w:val="none" w:sz="0" w:space="0" w:color="auto"/>
        <w:left w:val="none" w:sz="0" w:space="0" w:color="auto"/>
        <w:bottom w:val="none" w:sz="0" w:space="0" w:color="auto"/>
        <w:right w:val="none" w:sz="0" w:space="0" w:color="auto"/>
      </w:divBdr>
    </w:div>
    <w:div w:id="2118911545">
      <w:bodyDiv w:val="1"/>
      <w:marLeft w:val="0"/>
      <w:marRight w:val="0"/>
      <w:marTop w:val="0"/>
      <w:marBottom w:val="0"/>
      <w:divBdr>
        <w:top w:val="none" w:sz="0" w:space="0" w:color="auto"/>
        <w:left w:val="none" w:sz="0" w:space="0" w:color="auto"/>
        <w:bottom w:val="none" w:sz="0" w:space="0" w:color="auto"/>
        <w:right w:val="none" w:sz="0" w:space="0" w:color="auto"/>
      </w:divBdr>
    </w:div>
    <w:div w:id="2125801773">
      <w:bodyDiv w:val="1"/>
      <w:marLeft w:val="0"/>
      <w:marRight w:val="0"/>
      <w:marTop w:val="0"/>
      <w:marBottom w:val="0"/>
      <w:divBdr>
        <w:top w:val="none" w:sz="0" w:space="0" w:color="auto"/>
        <w:left w:val="none" w:sz="0" w:space="0" w:color="auto"/>
        <w:bottom w:val="none" w:sz="0" w:space="0" w:color="auto"/>
        <w:right w:val="none" w:sz="0" w:space="0" w:color="auto"/>
      </w:divBdr>
    </w:div>
    <w:div w:id="2126001945">
      <w:bodyDiv w:val="1"/>
      <w:marLeft w:val="0"/>
      <w:marRight w:val="0"/>
      <w:marTop w:val="0"/>
      <w:marBottom w:val="0"/>
      <w:divBdr>
        <w:top w:val="none" w:sz="0" w:space="0" w:color="auto"/>
        <w:left w:val="none" w:sz="0" w:space="0" w:color="auto"/>
        <w:bottom w:val="none" w:sz="0" w:space="0" w:color="auto"/>
        <w:right w:val="none" w:sz="0" w:space="0" w:color="auto"/>
      </w:divBdr>
    </w:div>
    <w:div w:id="2132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FBO%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5" ma:contentTypeDescription="Create a new document." ma:contentTypeScope="" ma:versionID="a11db13ca413e515761eb589cc68d577">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221823ec07f0a5cff04b66099ed6c72"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Date_x005f_x0020_of_x005f_x0020_Creation xmlns="244fe85f-b655-4145-9b20-543b75dc1c24" xsi:nil="true"/>
    <Image xmlns="9115ddca-c623-419f-a3c0-6a1c58c4dac8" xsi:nil="true"/>
  </documentManagement>
</p:properties>
</file>

<file path=customXml/itemProps1.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2.xml><?xml version="1.0" encoding="utf-8"?>
<ds:datastoreItem xmlns:ds="http://schemas.openxmlformats.org/officeDocument/2006/customXml" ds:itemID="{D74A2431-37E2-4BF8-8A4F-D4796CF40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976BE-7406-441C-876D-4DA948F9B41C}">
  <ds:schemaRefs>
    <ds:schemaRef ds:uri="http://schemas.microsoft.com/sharepoint/v3/contenttype/forms"/>
  </ds:schemaRefs>
</ds:datastoreItem>
</file>

<file path=customXml/itemProps4.xml><?xml version="1.0" encoding="utf-8"?>
<ds:datastoreItem xmlns:ds="http://schemas.openxmlformats.org/officeDocument/2006/customXml" ds:itemID="{4336F6B4-BFD0-444A-98B5-D696DD971C11}">
  <ds:schemaRefs>
    <ds:schemaRef ds:uri="http://purl.org/dc/terms/"/>
    <ds:schemaRef ds:uri="http://purl.org/dc/dcmitype/"/>
    <ds:schemaRef ds:uri="http://www.w3.org/XML/1998/namespace"/>
    <ds:schemaRef ds:uri="9115ddca-c623-419f-a3c0-6a1c58c4dac8"/>
    <ds:schemaRef ds:uri="http://purl.org/dc/elements/1.1/"/>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244fe85f-b655-4145-9b20-543b75dc1c2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FBO Template.dotm</Template>
  <TotalTime>3624</TotalTime>
  <Pages>16</Pages>
  <Words>4362</Words>
  <Characters>24426</Characters>
  <Application>Microsoft Office Word</Application>
  <DocSecurity>0</DocSecurity>
  <Lines>1474</Lines>
  <Paragraphs>1012</Paragraphs>
  <ScaleCrop>false</ScaleCrop>
  <HeadingPairs>
    <vt:vector size="2" baseType="variant">
      <vt:variant>
        <vt:lpstr>Title</vt:lpstr>
      </vt:variant>
      <vt:variant>
        <vt:i4>1</vt:i4>
      </vt:variant>
    </vt:vector>
  </HeadingPairs>
  <TitlesOfParts>
    <vt:vector size="1" baseType="lpstr">
      <vt:lpstr>Final Budget Outcome 2022-23</vt:lpstr>
    </vt:vector>
  </TitlesOfParts>
  <Company>Australian Government - The Treasury</Company>
  <LinksUpToDate>false</LinksUpToDate>
  <CharactersWithSpaces>28080</CharactersWithSpaces>
  <SharedDoc>false</SharedDoc>
  <HLinks>
    <vt:vector size="12" baseType="variant">
      <vt:variant>
        <vt:i4>8192065</vt:i4>
      </vt:variant>
      <vt:variant>
        <vt:i4>3</vt:i4>
      </vt:variant>
      <vt:variant>
        <vt:i4>0</vt:i4>
      </vt:variant>
      <vt:variant>
        <vt:i4>5</vt:i4>
      </vt:variant>
      <vt:variant>
        <vt:lpwstr>mailto:Ben.Kennedy@TREASURY.GOV.AU</vt:lpwstr>
      </vt:variant>
      <vt:variant>
        <vt:lpwstr/>
      </vt:variant>
      <vt:variant>
        <vt:i4>5308524</vt:i4>
      </vt:variant>
      <vt:variant>
        <vt:i4>0</vt:i4>
      </vt:variant>
      <vt:variant>
        <vt:i4>0</vt:i4>
      </vt:variant>
      <vt:variant>
        <vt:i4>5</vt:i4>
      </vt:variant>
      <vt:variant>
        <vt:lpwstr>mailto:Snezana.Petreski@TREASURY.GOV.AU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 2022-23</dc:title>
  <dc:subject>Part 1: Australian Government Budget Outcome 2022–23</dc:subject>
  <dc:creator>Australian Government</dc:creator>
  <cp:keywords/>
  <dc:description/>
  <cp:lastModifiedBy>Hill, Christine</cp:lastModifiedBy>
  <cp:revision>1422</cp:revision>
  <cp:lastPrinted>2023-09-22T15:47:00Z</cp:lastPrinted>
  <dcterms:created xsi:type="dcterms:W3CDTF">2023-09-14T09:45:00Z</dcterms:created>
  <dcterms:modified xsi:type="dcterms:W3CDTF">2023-09-21T07:49:00Z</dcterms:modified>
</cp:coreProperties>
</file>