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608" w14:textId="18045AD8" w:rsidR="009175F2" w:rsidRPr="00934CF0" w:rsidRDefault="002B460C" w:rsidP="00545EC6">
      <w:pPr>
        <w:pStyle w:val="Heading1"/>
      </w:pPr>
      <w:r w:rsidRPr="002B460C">
        <w:rPr>
          <w:sz w:val="16"/>
        </w:rPr>
        <w:fldChar w:fldCharType="begin"/>
      </w:r>
      <w:r w:rsidRPr="002B460C">
        <w:rPr>
          <w:sz w:val="16"/>
        </w:rPr>
        <w:instrText xml:space="preserve"> :Start Index: </w:instrText>
      </w:r>
      <w:r w:rsidRPr="002B460C">
        <w:rPr>
          <w:sz w:val="16"/>
        </w:rPr>
        <w:fldChar w:fldCharType="end"/>
      </w:r>
      <w:r w:rsidR="006F3DA2">
        <w:rPr>
          <w:sz w:val="16"/>
        </w:rPr>
        <w:fldChar w:fldCharType="begin"/>
      </w:r>
      <w:r w:rsidR="006F3DA2">
        <w:rPr>
          <w:sz w:val="16"/>
        </w:rPr>
        <w:instrText xml:space="preserve"> :Accountability:|TAD_MS1|Treasury|TAD|Mosfequs Salehin|Scott Richards|Peter Robjent (x3618)|x2037 </w:instrText>
      </w:r>
      <w:r w:rsidR="006F3DA2">
        <w:rPr>
          <w:sz w:val="16"/>
        </w:rPr>
        <w:fldChar w:fldCharType="end"/>
      </w:r>
      <w:r w:rsidR="000921C1">
        <w:rPr>
          <w:sz w:val="16"/>
        </w:rPr>
        <w:fldChar w:fldCharType="begin"/>
      </w:r>
      <w:r w:rsidR="000921C1">
        <w:rPr>
          <w:sz w:val="16"/>
        </w:rPr>
        <w:instrText xml:space="preserve"> :Accountability:|PITCD_EB1|Treasury|PITCD|Emma Baudinette|Victoria Henry|Philip Hu (x4125)|x2086 </w:instrText>
      </w:r>
      <w:r w:rsidR="000921C1">
        <w:rPr>
          <w:sz w:val="16"/>
        </w:rPr>
        <w:fldChar w:fldCharType="end"/>
      </w:r>
      <w:r w:rsidR="00AA0006">
        <w:rPr>
          <w:sz w:val="16"/>
        </w:rPr>
        <w:fldChar w:fldCharType="begin"/>
      </w:r>
      <w:r w:rsidR="00AA0006">
        <w:rPr>
          <w:sz w:val="16"/>
        </w:rPr>
        <w:instrText xml:space="preserve"> :Accountability:|CSPD_MB3|Treasury|CSPD|Melissa Bray|Ian Amalo|Alyyar Khan (x2497)|x4128 </w:instrText>
      </w:r>
      <w:r w:rsidR="00AA0006">
        <w:rPr>
          <w:sz w:val="16"/>
        </w:rPr>
        <w:fldChar w:fldCharType="end"/>
      </w:r>
      <w:r w:rsidR="00195778">
        <w:rPr>
          <w:sz w:val="16"/>
        </w:rPr>
        <w:fldChar w:fldCharType="begin"/>
      </w:r>
      <w:r w:rsidR="00195778">
        <w:rPr>
          <w:sz w:val="16"/>
        </w:rPr>
        <w:instrText xml:space="preserve"> :Accountability:|CSPD_MB2|Treasury|CSPD|Melissa Bray|Matthew Burston|Alyyar Khan (x2497)|x2810 </w:instrText>
      </w:r>
      <w:r w:rsidR="00195778">
        <w:rPr>
          <w:sz w:val="16"/>
        </w:rPr>
        <w:fldChar w:fldCharType="end"/>
      </w:r>
      <w:r w:rsidR="00195778">
        <w:rPr>
          <w:sz w:val="16"/>
        </w:rPr>
        <w:fldChar w:fldCharType="begin"/>
      </w:r>
      <w:r w:rsidR="00195778">
        <w:rPr>
          <w:sz w:val="16"/>
        </w:rPr>
        <w:instrText xml:space="preserve"> :Accountability:|CSPD_MB1|Treasury|CSPD|Melissa Bray|Carly Tse|Alyyar Khan (x2491)|x4272 </w:instrText>
      </w:r>
      <w:r w:rsidR="00195778">
        <w:rPr>
          <w:sz w:val="16"/>
        </w:rPr>
        <w:fldChar w:fldCharType="end"/>
      </w:r>
      <w:r w:rsidR="00195778" w:rsidRPr="00195778">
        <w:rPr>
          <w:sz w:val="16"/>
        </w:rPr>
        <w:fldChar w:fldCharType="begin"/>
      </w:r>
      <w:r w:rsidR="00195778" w:rsidRPr="00195778">
        <w:rPr>
          <w:sz w:val="16"/>
        </w:rPr>
        <w:instrText xml:space="preserve"> :End Index: </w:instrText>
      </w:r>
      <w:r w:rsidR="00195778" w:rsidRPr="00195778">
        <w:rPr>
          <w:sz w:val="16"/>
        </w:rPr>
        <w:fldChar w:fldCharType="end"/>
      </w:r>
      <w:r w:rsidR="00E12BE3">
        <w:fldChar w:fldCharType="begin"/>
      </w:r>
      <w:r w:rsidR="00E12BE3">
        <w:instrText xml:space="preserve"> :Start:CSPD_MB1 </w:instrText>
      </w:r>
      <w:r w:rsidR="00E12BE3">
        <w:fldChar w:fldCharType="end"/>
      </w:r>
      <w:r w:rsidR="009175F2" w:rsidRPr="00934CF0">
        <w:t>Part 3: Australia</w:t>
      </w:r>
      <w:r w:rsidR="00BD648E" w:rsidRPr="00934CF0">
        <w:t>’</w:t>
      </w:r>
      <w:r w:rsidR="009175F2" w:rsidRPr="00934CF0">
        <w:t>s Federal</w:t>
      </w:r>
      <w:r w:rsidR="006E54D9" w:rsidRPr="00934CF0">
        <w:t xml:space="preserve"> </w:t>
      </w:r>
      <w:r w:rsidR="009175F2" w:rsidRPr="00934CF0">
        <w:t>Financial Relations</w:t>
      </w:r>
    </w:p>
    <w:p w14:paraId="5A381637" w14:textId="5B547339" w:rsidR="009175F2" w:rsidRPr="00934CF0" w:rsidRDefault="009175F2" w:rsidP="009175F2">
      <w:r w:rsidRPr="00934CF0">
        <w:t>This part provides information on payments to state and territory governments (the states) for specific purposes and general revenue assistance, including the GST entitlement.</w:t>
      </w:r>
    </w:p>
    <w:p w14:paraId="34B9167F" w14:textId="306BD527" w:rsidR="009175F2" w:rsidRPr="00934CF0" w:rsidRDefault="009175F2" w:rsidP="009175F2">
      <w:r w:rsidRPr="00934CF0">
        <w:t xml:space="preserve">Australian Government payments to the states are framed by the Intergovernmental Agreement on Federal Financial Relations (the Intergovernmental Agreement), which has been in place since 1 January 2009. The Intergovernmental Agreement recognises the states have primary responsibility for many areas of service delivery, but coordinated action is necessary to address Australia’s economic and social challenges. </w:t>
      </w:r>
    </w:p>
    <w:p w14:paraId="3BA0C9CC" w14:textId="0D2ABC08" w:rsidR="009175F2" w:rsidRPr="00934CF0" w:rsidRDefault="009175F2" w:rsidP="009175F2">
      <w:r w:rsidRPr="00934CF0">
        <w:t>The Council on Federal Financial Relations (CFFR)</w:t>
      </w:r>
      <w:r w:rsidRPr="00934CF0" w:rsidDel="00AA6807">
        <w:t xml:space="preserve"> </w:t>
      </w:r>
      <w:r w:rsidRPr="00934CF0">
        <w:t>is responsible for overseeing the financial relationship between the Commonwealth and the states. On 28 August 2020, CFFR implemented the Federation Funding Agreements (FFA) Framework to govern Commonwealth</w:t>
      </w:r>
      <w:r w:rsidRPr="00934CF0">
        <w:noBreakHyphen/>
        <w:t xml:space="preserve">state funding agreements. The FFA Framework complements the Intergovernmental Agreement. </w:t>
      </w:r>
    </w:p>
    <w:p w14:paraId="226A71C6" w14:textId="43B61F52" w:rsidR="009175F2" w:rsidRPr="00934CF0" w:rsidRDefault="009175F2" w:rsidP="009175F2">
      <w:r w:rsidRPr="00934CF0">
        <w:t xml:space="preserve">More detailed information on Australia’s federal relations can be found in Budget Paper No. 3, </w:t>
      </w:r>
      <w:r w:rsidRPr="00934CF0">
        <w:rPr>
          <w:i/>
        </w:rPr>
        <w:t>Federal Financial Relations 202</w:t>
      </w:r>
      <w:r w:rsidR="000437F9" w:rsidRPr="00934CF0">
        <w:rPr>
          <w:i/>
        </w:rPr>
        <w:t>3</w:t>
      </w:r>
      <w:r w:rsidR="00A91F9D" w:rsidRPr="00934CF0">
        <w:rPr>
          <w:i/>
        </w:rPr>
        <w:t>–</w:t>
      </w:r>
      <w:r w:rsidRPr="00934CF0">
        <w:rPr>
          <w:i/>
        </w:rPr>
        <w:t>2</w:t>
      </w:r>
      <w:r w:rsidR="000437F9" w:rsidRPr="00934CF0">
        <w:rPr>
          <w:i/>
        </w:rPr>
        <w:t>4</w:t>
      </w:r>
      <w:r w:rsidRPr="00934CF0">
        <w:t xml:space="preserve"> and on the Federal Financial Relations website at: www.federalfinancialrelations.gov.au. </w:t>
      </w:r>
    </w:p>
    <w:p w14:paraId="689B8A86" w14:textId="77777777" w:rsidR="009175F2" w:rsidRPr="00934CF0" w:rsidRDefault="009175F2" w:rsidP="009175F2">
      <w:pPr>
        <w:pStyle w:val="Heading2"/>
      </w:pPr>
      <w:r w:rsidRPr="00934CF0">
        <w:t>Overview of payments to the states</w:t>
      </w:r>
    </w:p>
    <w:p w14:paraId="321E2F77" w14:textId="5B0FA921" w:rsidR="009175F2" w:rsidRPr="00934CF0" w:rsidRDefault="009175F2" w:rsidP="009175F2">
      <w:r w:rsidRPr="00934CF0">
        <w:t>The states receive substantial financial support from the Australian Government. In</w:t>
      </w:r>
      <w:r w:rsidR="006E54D9" w:rsidRPr="00934CF0">
        <w:t> </w:t>
      </w:r>
      <w:r w:rsidRPr="00934CF0">
        <w:t>202</w:t>
      </w:r>
      <w:r w:rsidR="000437F9" w:rsidRPr="00934CF0">
        <w:t>2</w:t>
      </w:r>
      <w:r w:rsidR="00C06828" w:rsidRPr="00934CF0">
        <w:t>–</w:t>
      </w:r>
      <w:r w:rsidR="006E54D9" w:rsidRPr="00934CF0">
        <w:rPr>
          <w:rFonts w:ascii="Times New Roman" w:hAnsi="Times New Roman"/>
        </w:rPr>
        <w:t>‍</w:t>
      </w:r>
      <w:r w:rsidRPr="00934CF0">
        <w:t>2</w:t>
      </w:r>
      <w:r w:rsidR="000437F9" w:rsidRPr="00934CF0">
        <w:t>3</w:t>
      </w:r>
      <w:r w:rsidRPr="00934CF0">
        <w:t>, the Australian Government provided the states with payments totalling $</w:t>
      </w:r>
      <w:r w:rsidR="00DC5935" w:rsidRPr="00934CF0">
        <w:t>170</w:t>
      </w:r>
      <w:r w:rsidRPr="00934CF0">
        <w:t>.</w:t>
      </w:r>
      <w:r w:rsidR="001B192A" w:rsidRPr="00934CF0">
        <w:t>3</w:t>
      </w:r>
      <w:r w:rsidRPr="00934CF0">
        <w:t> billion, comprising specific purpose payments of $8</w:t>
      </w:r>
      <w:r w:rsidR="00B61B92" w:rsidRPr="00934CF0">
        <w:t>2</w:t>
      </w:r>
      <w:r w:rsidRPr="00934CF0">
        <w:t>.</w:t>
      </w:r>
      <w:r w:rsidR="00B61B92" w:rsidRPr="00934CF0">
        <w:t>7</w:t>
      </w:r>
      <w:r w:rsidR="00C13976" w:rsidRPr="00934CF0">
        <w:t> </w:t>
      </w:r>
      <w:r w:rsidRPr="00934CF0">
        <w:t>billion and general revenue assistance (including GST entitlements) of $</w:t>
      </w:r>
      <w:r w:rsidR="00F50291" w:rsidRPr="00934CF0">
        <w:t>87.</w:t>
      </w:r>
      <w:r w:rsidR="00C13976" w:rsidRPr="00934CF0">
        <w:t>6</w:t>
      </w:r>
      <w:r w:rsidRPr="00934CF0">
        <w:t xml:space="preserve"> billion, as shown in Table 3.1. Payments to</w:t>
      </w:r>
      <w:r w:rsidR="006E54D9" w:rsidRPr="00934CF0">
        <w:t> </w:t>
      </w:r>
      <w:r w:rsidRPr="00934CF0">
        <w:t xml:space="preserve">the states constituted </w:t>
      </w:r>
      <w:r w:rsidR="00714BA6" w:rsidRPr="00934CF0">
        <w:t>26</w:t>
      </w:r>
      <w:r w:rsidRPr="00934CF0">
        <w:t>.</w:t>
      </w:r>
      <w:r w:rsidR="0059075D" w:rsidRPr="00934CF0">
        <w:t>7</w:t>
      </w:r>
      <w:r w:rsidR="00BF7A56" w:rsidRPr="00934CF0">
        <w:t> </w:t>
      </w:r>
      <w:r w:rsidRPr="00934CF0">
        <w:t>per</w:t>
      </w:r>
      <w:r w:rsidR="00AB373B" w:rsidRPr="00934CF0">
        <w:t> </w:t>
      </w:r>
      <w:r w:rsidRPr="00934CF0">
        <w:t>cent of total Australian Government expenditure in 202</w:t>
      </w:r>
      <w:r w:rsidR="00D165FC" w:rsidRPr="00934CF0">
        <w:t>2</w:t>
      </w:r>
      <w:r w:rsidR="00B3301B" w:rsidRPr="00934CF0">
        <w:t>–</w:t>
      </w:r>
      <w:r w:rsidR="006E54D9" w:rsidRPr="00934CF0">
        <w:rPr>
          <w:rFonts w:ascii="Times New Roman" w:hAnsi="Times New Roman"/>
        </w:rPr>
        <w:t>‍</w:t>
      </w:r>
      <w:r w:rsidRPr="00934CF0">
        <w:t>2</w:t>
      </w:r>
      <w:r w:rsidR="00D165FC" w:rsidRPr="00934CF0">
        <w:t>3</w:t>
      </w:r>
      <w:r w:rsidRPr="00934CF0">
        <w:t xml:space="preserve">. </w:t>
      </w:r>
    </w:p>
    <w:p w14:paraId="1C9DE36A" w14:textId="37F273BA" w:rsidR="00962648" w:rsidRPr="00934CF0" w:rsidRDefault="009175F2" w:rsidP="00034FD6">
      <w:pPr>
        <w:pStyle w:val="TableHeading"/>
      </w:pPr>
      <w:r w:rsidRPr="00934CF0">
        <w:t>Table 3.1: Australian Government payments to the states, 20</w:t>
      </w:r>
      <w:r w:rsidR="00F50291" w:rsidRPr="00934CF0">
        <w:t>2</w:t>
      </w:r>
      <w:r w:rsidR="00D12723" w:rsidRPr="00934CF0">
        <w:t>2</w:t>
      </w:r>
      <w:r w:rsidR="00AD6E45" w:rsidRPr="00934CF0">
        <w:t>–</w:t>
      </w:r>
      <w:r w:rsidRPr="00934CF0">
        <w:t>2</w:t>
      </w:r>
      <w:r w:rsidR="00D12723" w:rsidRPr="00934CF0">
        <w:t>3</w:t>
      </w:r>
      <w:r w:rsidR="00962648" w:rsidRPr="00934CF0">
        <w:fldChar w:fldCharType="begin" w:fldLock="1"/>
      </w:r>
      <w:r w:rsidR="00962648" w:rsidRPr="00934CF0">
        <w:instrText xml:space="preserve"> LINK Excel.Sheet.8 "https://austreasury.sharepoint.com/sites/Budget/Shared%20Documents/2022-23%20FBO/03%20Part%203/Master%20Tables/3.1%20Cth%20payments%20to%20states.xls" "PY!R8C4:R14C14" \a \f 4 \h </w:instrText>
      </w:r>
      <w:r w:rsidR="00962648" w:rsidRPr="00934CF0">
        <w:fldChar w:fldCharType="separate"/>
      </w:r>
      <w:bookmarkStart w:id="0" w:name="_1756626514"/>
      <w:bookmarkEnd w:id="0"/>
    </w:p>
    <w:tbl>
      <w:tblPr>
        <w:tblW w:w="5000" w:type="pct"/>
        <w:tblCellMar>
          <w:left w:w="0" w:type="dxa"/>
          <w:right w:w="28" w:type="dxa"/>
        </w:tblCellMar>
        <w:tblLook w:val="04A0" w:firstRow="1" w:lastRow="0" w:firstColumn="1" w:lastColumn="0" w:noHBand="0" w:noVBand="1"/>
      </w:tblPr>
      <w:tblGrid>
        <w:gridCol w:w="1549"/>
        <w:gridCol w:w="291"/>
        <w:gridCol w:w="723"/>
        <w:gridCol w:w="692"/>
        <w:gridCol w:w="692"/>
        <w:gridCol w:w="614"/>
        <w:gridCol w:w="614"/>
        <w:gridCol w:w="614"/>
        <w:gridCol w:w="614"/>
        <w:gridCol w:w="614"/>
        <w:gridCol w:w="693"/>
      </w:tblGrid>
      <w:tr w:rsidR="00962648" w:rsidRPr="00934CF0" w14:paraId="07F50057" w14:textId="77777777" w:rsidTr="00962648">
        <w:trPr>
          <w:trHeight w:hRule="exact" w:val="225"/>
        </w:trPr>
        <w:tc>
          <w:tcPr>
            <w:tcW w:w="845" w:type="pct"/>
            <w:tcBorders>
              <w:top w:val="single" w:sz="4" w:space="0" w:color="293F5B"/>
              <w:left w:val="nil"/>
              <w:bottom w:val="nil"/>
              <w:right w:val="nil"/>
            </w:tcBorders>
            <w:shd w:val="clear" w:color="auto" w:fill="auto"/>
            <w:noWrap/>
            <w:vAlign w:val="center"/>
            <w:hideMark/>
          </w:tcPr>
          <w:p w14:paraId="38D79DA6" w14:textId="0AB6A9D4" w:rsidR="00962648" w:rsidRPr="00934CF0" w:rsidRDefault="00962648" w:rsidP="00962648">
            <w:pPr>
              <w:spacing w:before="0" w:after="0" w:line="240" w:lineRule="auto"/>
              <w:rPr>
                <w:rFonts w:ascii="Arial" w:hAnsi="Arial" w:cs="Arial"/>
                <w:sz w:val="16"/>
                <w:szCs w:val="16"/>
              </w:rPr>
            </w:pPr>
            <w:r w:rsidRPr="00934CF0">
              <w:rPr>
                <w:rFonts w:ascii="Arial" w:hAnsi="Arial" w:cs="Arial"/>
                <w:sz w:val="16"/>
                <w:szCs w:val="16"/>
              </w:rPr>
              <w:t>$million</w:t>
            </w:r>
          </w:p>
        </w:tc>
        <w:tc>
          <w:tcPr>
            <w:tcW w:w="205" w:type="pct"/>
            <w:tcBorders>
              <w:top w:val="single" w:sz="4" w:space="0" w:color="293F5B"/>
              <w:left w:val="nil"/>
              <w:bottom w:val="nil"/>
              <w:right w:val="nil"/>
            </w:tcBorders>
            <w:shd w:val="clear" w:color="auto" w:fill="auto"/>
            <w:noWrap/>
            <w:vAlign w:val="center"/>
            <w:hideMark/>
          </w:tcPr>
          <w:p w14:paraId="42C7B5CE" w14:textId="77777777" w:rsidR="00962648" w:rsidRPr="00934CF0" w:rsidRDefault="00962648" w:rsidP="00962648">
            <w:pPr>
              <w:spacing w:before="0" w:after="0" w:line="240" w:lineRule="auto"/>
              <w:rPr>
                <w:rFonts w:ascii="Arial" w:hAnsi="Arial" w:cs="Arial"/>
                <w:sz w:val="16"/>
                <w:szCs w:val="16"/>
              </w:rPr>
            </w:pPr>
            <w:r w:rsidRPr="00934CF0">
              <w:rPr>
                <w:rFonts w:ascii="Arial" w:hAnsi="Arial" w:cs="Arial"/>
                <w:sz w:val="16"/>
                <w:szCs w:val="16"/>
              </w:rPr>
              <w:t> </w:t>
            </w:r>
          </w:p>
        </w:tc>
        <w:tc>
          <w:tcPr>
            <w:tcW w:w="485" w:type="pct"/>
            <w:tcBorders>
              <w:top w:val="single" w:sz="4" w:space="0" w:color="293F5B"/>
              <w:left w:val="nil"/>
              <w:bottom w:val="single" w:sz="4" w:space="0" w:color="000000"/>
              <w:right w:val="nil"/>
            </w:tcBorders>
            <w:shd w:val="clear" w:color="auto" w:fill="auto"/>
            <w:noWrap/>
            <w:vAlign w:val="center"/>
            <w:hideMark/>
          </w:tcPr>
          <w:p w14:paraId="02968B23"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NSW</w:t>
            </w:r>
          </w:p>
        </w:tc>
        <w:tc>
          <w:tcPr>
            <w:tcW w:w="465" w:type="pct"/>
            <w:tcBorders>
              <w:top w:val="single" w:sz="4" w:space="0" w:color="293F5B"/>
              <w:left w:val="nil"/>
              <w:bottom w:val="single" w:sz="4" w:space="0" w:color="000000"/>
              <w:right w:val="nil"/>
            </w:tcBorders>
            <w:shd w:val="clear" w:color="auto" w:fill="auto"/>
            <w:noWrap/>
            <w:vAlign w:val="center"/>
            <w:hideMark/>
          </w:tcPr>
          <w:p w14:paraId="64647562"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VIC</w:t>
            </w:r>
          </w:p>
        </w:tc>
        <w:tc>
          <w:tcPr>
            <w:tcW w:w="465" w:type="pct"/>
            <w:tcBorders>
              <w:top w:val="single" w:sz="4" w:space="0" w:color="293F5B"/>
              <w:left w:val="nil"/>
              <w:bottom w:val="single" w:sz="4" w:space="0" w:color="000000"/>
              <w:right w:val="nil"/>
            </w:tcBorders>
            <w:shd w:val="clear" w:color="auto" w:fill="auto"/>
            <w:noWrap/>
            <w:vAlign w:val="center"/>
            <w:hideMark/>
          </w:tcPr>
          <w:p w14:paraId="7CF82F3B"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QLD</w:t>
            </w:r>
          </w:p>
        </w:tc>
        <w:tc>
          <w:tcPr>
            <w:tcW w:w="414" w:type="pct"/>
            <w:tcBorders>
              <w:top w:val="single" w:sz="4" w:space="0" w:color="293F5B"/>
              <w:left w:val="nil"/>
              <w:bottom w:val="single" w:sz="4" w:space="0" w:color="000000"/>
              <w:right w:val="nil"/>
            </w:tcBorders>
            <w:shd w:val="clear" w:color="auto" w:fill="auto"/>
            <w:noWrap/>
            <w:vAlign w:val="center"/>
            <w:hideMark/>
          </w:tcPr>
          <w:p w14:paraId="5838DA3A"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WA</w:t>
            </w:r>
          </w:p>
        </w:tc>
        <w:tc>
          <w:tcPr>
            <w:tcW w:w="414" w:type="pct"/>
            <w:tcBorders>
              <w:top w:val="single" w:sz="4" w:space="0" w:color="293F5B"/>
              <w:left w:val="nil"/>
              <w:bottom w:val="single" w:sz="4" w:space="0" w:color="000000"/>
              <w:right w:val="nil"/>
            </w:tcBorders>
            <w:shd w:val="clear" w:color="auto" w:fill="auto"/>
            <w:noWrap/>
            <w:vAlign w:val="center"/>
            <w:hideMark/>
          </w:tcPr>
          <w:p w14:paraId="1818BD36"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SA</w:t>
            </w:r>
          </w:p>
        </w:tc>
        <w:tc>
          <w:tcPr>
            <w:tcW w:w="414" w:type="pct"/>
            <w:tcBorders>
              <w:top w:val="single" w:sz="4" w:space="0" w:color="293F5B"/>
              <w:left w:val="nil"/>
              <w:bottom w:val="single" w:sz="4" w:space="0" w:color="000000"/>
              <w:right w:val="nil"/>
            </w:tcBorders>
            <w:shd w:val="clear" w:color="auto" w:fill="auto"/>
            <w:noWrap/>
            <w:vAlign w:val="center"/>
            <w:hideMark/>
          </w:tcPr>
          <w:p w14:paraId="081F87CE"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TAS</w:t>
            </w:r>
          </w:p>
        </w:tc>
        <w:tc>
          <w:tcPr>
            <w:tcW w:w="414" w:type="pct"/>
            <w:tcBorders>
              <w:top w:val="single" w:sz="4" w:space="0" w:color="293F5B"/>
              <w:left w:val="nil"/>
              <w:bottom w:val="single" w:sz="4" w:space="0" w:color="000000"/>
              <w:right w:val="nil"/>
            </w:tcBorders>
            <w:shd w:val="clear" w:color="auto" w:fill="auto"/>
            <w:noWrap/>
            <w:vAlign w:val="center"/>
            <w:hideMark/>
          </w:tcPr>
          <w:p w14:paraId="3CA98C61"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ACT</w:t>
            </w:r>
          </w:p>
        </w:tc>
        <w:tc>
          <w:tcPr>
            <w:tcW w:w="414" w:type="pct"/>
            <w:tcBorders>
              <w:top w:val="single" w:sz="4" w:space="0" w:color="293F5B"/>
              <w:left w:val="nil"/>
              <w:bottom w:val="single" w:sz="4" w:space="0" w:color="000000"/>
              <w:right w:val="nil"/>
            </w:tcBorders>
            <w:shd w:val="clear" w:color="auto" w:fill="auto"/>
            <w:noWrap/>
            <w:vAlign w:val="center"/>
            <w:hideMark/>
          </w:tcPr>
          <w:p w14:paraId="4F7B34F6"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NT</w:t>
            </w:r>
          </w:p>
        </w:tc>
        <w:tc>
          <w:tcPr>
            <w:tcW w:w="465" w:type="pct"/>
            <w:tcBorders>
              <w:top w:val="single" w:sz="4" w:space="0" w:color="293F5B"/>
              <w:left w:val="nil"/>
              <w:bottom w:val="single" w:sz="4" w:space="0" w:color="000000"/>
              <w:right w:val="nil"/>
            </w:tcBorders>
            <w:shd w:val="clear" w:color="000000" w:fill="E6F2FF"/>
            <w:noWrap/>
            <w:vAlign w:val="center"/>
            <w:hideMark/>
          </w:tcPr>
          <w:p w14:paraId="44ABA566"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Total</w:t>
            </w:r>
          </w:p>
        </w:tc>
      </w:tr>
      <w:tr w:rsidR="00962648" w:rsidRPr="00934CF0" w14:paraId="7B1185EF" w14:textId="77777777" w:rsidTr="00962648">
        <w:trPr>
          <w:trHeight w:hRule="exact" w:val="225"/>
        </w:trPr>
        <w:tc>
          <w:tcPr>
            <w:tcW w:w="845" w:type="pct"/>
            <w:tcBorders>
              <w:top w:val="nil"/>
              <w:left w:val="nil"/>
              <w:bottom w:val="nil"/>
              <w:right w:val="nil"/>
            </w:tcBorders>
            <w:shd w:val="clear" w:color="auto" w:fill="auto"/>
            <w:noWrap/>
            <w:vAlign w:val="center"/>
            <w:hideMark/>
          </w:tcPr>
          <w:p w14:paraId="5D1ACB9E" w14:textId="77777777" w:rsidR="00962648" w:rsidRPr="00934CF0" w:rsidRDefault="00962648" w:rsidP="00962648">
            <w:pPr>
              <w:spacing w:before="0" w:after="0" w:line="240" w:lineRule="auto"/>
              <w:rPr>
                <w:rFonts w:ascii="Arial" w:hAnsi="Arial" w:cs="Arial"/>
                <w:sz w:val="16"/>
                <w:szCs w:val="16"/>
              </w:rPr>
            </w:pPr>
            <w:r w:rsidRPr="00934CF0">
              <w:rPr>
                <w:rFonts w:ascii="Arial" w:hAnsi="Arial" w:cs="Arial"/>
                <w:sz w:val="16"/>
                <w:szCs w:val="16"/>
              </w:rPr>
              <w:t>Payments for specific</w:t>
            </w:r>
          </w:p>
        </w:tc>
        <w:tc>
          <w:tcPr>
            <w:tcW w:w="205" w:type="pct"/>
            <w:tcBorders>
              <w:top w:val="nil"/>
              <w:left w:val="nil"/>
              <w:bottom w:val="nil"/>
              <w:right w:val="nil"/>
            </w:tcBorders>
            <w:shd w:val="clear" w:color="auto" w:fill="auto"/>
            <w:noWrap/>
            <w:vAlign w:val="center"/>
            <w:hideMark/>
          </w:tcPr>
          <w:p w14:paraId="68024736" w14:textId="77777777" w:rsidR="00962648" w:rsidRPr="00934CF0" w:rsidRDefault="00962648" w:rsidP="00962648">
            <w:pPr>
              <w:spacing w:before="0" w:after="0" w:line="240" w:lineRule="auto"/>
              <w:rPr>
                <w:rFonts w:ascii="Arial" w:hAnsi="Arial" w:cs="Arial"/>
                <w:sz w:val="16"/>
                <w:szCs w:val="16"/>
              </w:rPr>
            </w:pPr>
          </w:p>
        </w:tc>
        <w:tc>
          <w:tcPr>
            <w:tcW w:w="485" w:type="pct"/>
            <w:tcBorders>
              <w:top w:val="nil"/>
              <w:left w:val="nil"/>
              <w:bottom w:val="nil"/>
              <w:right w:val="nil"/>
            </w:tcBorders>
            <w:shd w:val="clear" w:color="auto" w:fill="auto"/>
            <w:noWrap/>
            <w:vAlign w:val="center"/>
            <w:hideMark/>
          </w:tcPr>
          <w:p w14:paraId="3A72C227" w14:textId="77777777" w:rsidR="00962648" w:rsidRPr="00934CF0" w:rsidRDefault="00962648" w:rsidP="00962648">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5F8F1C58" w14:textId="77777777" w:rsidR="00962648" w:rsidRPr="00934CF0" w:rsidRDefault="00962648" w:rsidP="00962648">
            <w:pPr>
              <w:spacing w:before="0" w:after="0" w:line="240" w:lineRule="auto"/>
              <w:jc w:val="right"/>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103F556E"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68BD214B"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3AB32D43"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06DC3637"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49188B69"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4DA91429" w14:textId="77777777" w:rsidR="00962648" w:rsidRPr="00934CF0" w:rsidRDefault="00962648" w:rsidP="00962648">
            <w:pPr>
              <w:spacing w:before="0" w:after="0" w:line="240" w:lineRule="auto"/>
              <w:jc w:val="right"/>
              <w:rPr>
                <w:rFonts w:ascii="Times New Roman" w:hAnsi="Times New Roman"/>
                <w:sz w:val="20"/>
              </w:rPr>
            </w:pPr>
          </w:p>
        </w:tc>
        <w:tc>
          <w:tcPr>
            <w:tcW w:w="465" w:type="pct"/>
            <w:tcBorders>
              <w:top w:val="nil"/>
              <w:left w:val="nil"/>
              <w:bottom w:val="nil"/>
              <w:right w:val="nil"/>
            </w:tcBorders>
            <w:shd w:val="clear" w:color="000000" w:fill="E6F2FF"/>
            <w:noWrap/>
            <w:vAlign w:val="center"/>
            <w:hideMark/>
          </w:tcPr>
          <w:p w14:paraId="6A773AA4"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 </w:t>
            </w:r>
          </w:p>
        </w:tc>
      </w:tr>
      <w:tr w:rsidR="00962648" w:rsidRPr="00934CF0" w14:paraId="14EE3226" w14:textId="77777777" w:rsidTr="00962648">
        <w:trPr>
          <w:trHeight w:hRule="exact" w:val="225"/>
        </w:trPr>
        <w:tc>
          <w:tcPr>
            <w:tcW w:w="845" w:type="pct"/>
            <w:tcBorders>
              <w:top w:val="nil"/>
              <w:left w:val="nil"/>
              <w:bottom w:val="nil"/>
              <w:right w:val="nil"/>
            </w:tcBorders>
            <w:shd w:val="clear" w:color="auto" w:fill="auto"/>
            <w:noWrap/>
            <w:vAlign w:val="center"/>
            <w:hideMark/>
          </w:tcPr>
          <w:p w14:paraId="6A4C124A" w14:textId="77777777" w:rsidR="00962648" w:rsidRPr="00934CF0" w:rsidRDefault="00962648" w:rsidP="00962648">
            <w:pPr>
              <w:spacing w:before="0" w:after="0" w:line="240" w:lineRule="auto"/>
              <w:ind w:left="170"/>
              <w:rPr>
                <w:rFonts w:ascii="Arial" w:hAnsi="Arial" w:cs="Arial"/>
                <w:sz w:val="16"/>
                <w:szCs w:val="16"/>
              </w:rPr>
            </w:pPr>
            <w:r w:rsidRPr="00934CF0">
              <w:rPr>
                <w:rFonts w:ascii="Arial" w:hAnsi="Arial" w:cs="Arial"/>
                <w:sz w:val="16"/>
                <w:szCs w:val="16"/>
              </w:rPr>
              <w:t>purposes</w:t>
            </w:r>
          </w:p>
        </w:tc>
        <w:tc>
          <w:tcPr>
            <w:tcW w:w="205" w:type="pct"/>
            <w:tcBorders>
              <w:top w:val="nil"/>
              <w:left w:val="nil"/>
              <w:bottom w:val="nil"/>
              <w:right w:val="nil"/>
            </w:tcBorders>
            <w:shd w:val="clear" w:color="auto" w:fill="auto"/>
            <w:noWrap/>
            <w:vAlign w:val="center"/>
            <w:hideMark/>
          </w:tcPr>
          <w:p w14:paraId="03669374" w14:textId="77777777" w:rsidR="00962648" w:rsidRPr="00934CF0" w:rsidRDefault="00962648" w:rsidP="00962648">
            <w:pPr>
              <w:spacing w:before="0" w:after="0" w:line="240" w:lineRule="auto"/>
              <w:ind w:firstLineChars="100" w:firstLine="160"/>
              <w:rPr>
                <w:rFonts w:ascii="Arial" w:hAnsi="Arial" w:cs="Arial"/>
                <w:sz w:val="16"/>
                <w:szCs w:val="16"/>
              </w:rPr>
            </w:pPr>
          </w:p>
        </w:tc>
        <w:tc>
          <w:tcPr>
            <w:tcW w:w="485" w:type="pct"/>
            <w:tcBorders>
              <w:top w:val="nil"/>
              <w:left w:val="nil"/>
              <w:bottom w:val="nil"/>
              <w:right w:val="nil"/>
            </w:tcBorders>
            <w:shd w:val="clear" w:color="auto" w:fill="auto"/>
            <w:noWrap/>
            <w:vAlign w:val="center"/>
            <w:hideMark/>
          </w:tcPr>
          <w:p w14:paraId="11337234"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24,031</w:t>
            </w:r>
          </w:p>
        </w:tc>
        <w:tc>
          <w:tcPr>
            <w:tcW w:w="465" w:type="pct"/>
            <w:tcBorders>
              <w:top w:val="nil"/>
              <w:left w:val="nil"/>
              <w:bottom w:val="nil"/>
              <w:right w:val="nil"/>
            </w:tcBorders>
            <w:shd w:val="clear" w:color="auto" w:fill="auto"/>
            <w:noWrap/>
            <w:vAlign w:val="center"/>
            <w:hideMark/>
          </w:tcPr>
          <w:p w14:paraId="7DB0FD0B"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20,707</w:t>
            </w:r>
          </w:p>
        </w:tc>
        <w:tc>
          <w:tcPr>
            <w:tcW w:w="465" w:type="pct"/>
            <w:tcBorders>
              <w:top w:val="nil"/>
              <w:left w:val="nil"/>
              <w:bottom w:val="nil"/>
              <w:right w:val="nil"/>
            </w:tcBorders>
            <w:shd w:val="clear" w:color="auto" w:fill="auto"/>
            <w:noWrap/>
            <w:vAlign w:val="center"/>
            <w:hideMark/>
          </w:tcPr>
          <w:p w14:paraId="09E88C21"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17,710</w:t>
            </w:r>
          </w:p>
        </w:tc>
        <w:tc>
          <w:tcPr>
            <w:tcW w:w="414" w:type="pct"/>
            <w:tcBorders>
              <w:top w:val="nil"/>
              <w:left w:val="nil"/>
              <w:bottom w:val="nil"/>
              <w:right w:val="nil"/>
            </w:tcBorders>
            <w:shd w:val="clear" w:color="auto" w:fill="auto"/>
            <w:noWrap/>
            <w:vAlign w:val="center"/>
            <w:hideMark/>
          </w:tcPr>
          <w:p w14:paraId="39548EA7"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9,276</w:t>
            </w:r>
          </w:p>
        </w:tc>
        <w:tc>
          <w:tcPr>
            <w:tcW w:w="414" w:type="pct"/>
            <w:tcBorders>
              <w:top w:val="nil"/>
              <w:left w:val="nil"/>
              <w:bottom w:val="nil"/>
              <w:right w:val="nil"/>
            </w:tcBorders>
            <w:shd w:val="clear" w:color="auto" w:fill="auto"/>
            <w:noWrap/>
            <w:vAlign w:val="center"/>
            <w:hideMark/>
          </w:tcPr>
          <w:p w14:paraId="7BF16D23"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5,804</w:t>
            </w:r>
          </w:p>
        </w:tc>
        <w:tc>
          <w:tcPr>
            <w:tcW w:w="414" w:type="pct"/>
            <w:tcBorders>
              <w:top w:val="nil"/>
              <w:left w:val="nil"/>
              <w:bottom w:val="nil"/>
              <w:right w:val="nil"/>
            </w:tcBorders>
            <w:shd w:val="clear" w:color="auto" w:fill="auto"/>
            <w:noWrap/>
            <w:vAlign w:val="center"/>
            <w:hideMark/>
          </w:tcPr>
          <w:p w14:paraId="77F4DB10"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2,141</w:t>
            </w:r>
          </w:p>
        </w:tc>
        <w:tc>
          <w:tcPr>
            <w:tcW w:w="414" w:type="pct"/>
            <w:tcBorders>
              <w:top w:val="nil"/>
              <w:left w:val="nil"/>
              <w:bottom w:val="nil"/>
              <w:right w:val="nil"/>
            </w:tcBorders>
            <w:shd w:val="clear" w:color="auto" w:fill="auto"/>
            <w:noWrap/>
            <w:vAlign w:val="center"/>
            <w:hideMark/>
          </w:tcPr>
          <w:p w14:paraId="0784DEB1"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1,307</w:t>
            </w:r>
          </w:p>
        </w:tc>
        <w:tc>
          <w:tcPr>
            <w:tcW w:w="414" w:type="pct"/>
            <w:tcBorders>
              <w:top w:val="nil"/>
              <w:left w:val="nil"/>
              <w:bottom w:val="nil"/>
              <w:right w:val="nil"/>
            </w:tcBorders>
            <w:shd w:val="clear" w:color="auto" w:fill="auto"/>
            <w:noWrap/>
            <w:vAlign w:val="center"/>
            <w:hideMark/>
          </w:tcPr>
          <w:p w14:paraId="0F5FD2BE"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1,704</w:t>
            </w:r>
          </w:p>
        </w:tc>
        <w:tc>
          <w:tcPr>
            <w:tcW w:w="465" w:type="pct"/>
            <w:tcBorders>
              <w:top w:val="nil"/>
              <w:left w:val="nil"/>
              <w:bottom w:val="nil"/>
              <w:right w:val="nil"/>
            </w:tcBorders>
            <w:shd w:val="clear" w:color="000000" w:fill="E6F2FF"/>
            <w:noWrap/>
            <w:vAlign w:val="center"/>
            <w:hideMark/>
          </w:tcPr>
          <w:p w14:paraId="6A247D77"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82,679</w:t>
            </w:r>
          </w:p>
        </w:tc>
      </w:tr>
      <w:tr w:rsidR="00962648" w:rsidRPr="00934CF0" w14:paraId="5EC86252" w14:textId="77777777" w:rsidTr="00962648">
        <w:trPr>
          <w:trHeight w:hRule="exact" w:val="225"/>
        </w:trPr>
        <w:tc>
          <w:tcPr>
            <w:tcW w:w="845" w:type="pct"/>
            <w:tcBorders>
              <w:top w:val="nil"/>
              <w:left w:val="nil"/>
              <w:bottom w:val="nil"/>
              <w:right w:val="nil"/>
            </w:tcBorders>
            <w:shd w:val="clear" w:color="auto" w:fill="auto"/>
            <w:noWrap/>
            <w:vAlign w:val="center"/>
            <w:hideMark/>
          </w:tcPr>
          <w:p w14:paraId="11068F35" w14:textId="77777777" w:rsidR="00962648" w:rsidRPr="00934CF0" w:rsidRDefault="00962648" w:rsidP="00962648">
            <w:pPr>
              <w:spacing w:before="0" w:after="0" w:line="240" w:lineRule="auto"/>
              <w:rPr>
                <w:rFonts w:ascii="Arial" w:hAnsi="Arial" w:cs="Arial"/>
                <w:sz w:val="16"/>
                <w:szCs w:val="16"/>
              </w:rPr>
            </w:pPr>
            <w:r w:rsidRPr="00934CF0">
              <w:rPr>
                <w:rFonts w:ascii="Arial" w:hAnsi="Arial" w:cs="Arial"/>
                <w:sz w:val="16"/>
                <w:szCs w:val="16"/>
              </w:rPr>
              <w:t>General revenue</w:t>
            </w:r>
          </w:p>
        </w:tc>
        <w:tc>
          <w:tcPr>
            <w:tcW w:w="205" w:type="pct"/>
            <w:tcBorders>
              <w:top w:val="nil"/>
              <w:left w:val="nil"/>
              <w:bottom w:val="nil"/>
              <w:right w:val="nil"/>
            </w:tcBorders>
            <w:shd w:val="clear" w:color="auto" w:fill="auto"/>
            <w:noWrap/>
            <w:vAlign w:val="center"/>
            <w:hideMark/>
          </w:tcPr>
          <w:p w14:paraId="43B0AEF5" w14:textId="77777777" w:rsidR="00962648" w:rsidRPr="00934CF0" w:rsidRDefault="00962648" w:rsidP="00962648">
            <w:pPr>
              <w:spacing w:before="0" w:after="0" w:line="240" w:lineRule="auto"/>
              <w:rPr>
                <w:rFonts w:ascii="Arial" w:hAnsi="Arial" w:cs="Arial"/>
                <w:sz w:val="16"/>
                <w:szCs w:val="16"/>
              </w:rPr>
            </w:pPr>
          </w:p>
        </w:tc>
        <w:tc>
          <w:tcPr>
            <w:tcW w:w="485" w:type="pct"/>
            <w:tcBorders>
              <w:top w:val="nil"/>
              <w:left w:val="nil"/>
              <w:bottom w:val="nil"/>
              <w:right w:val="nil"/>
            </w:tcBorders>
            <w:shd w:val="clear" w:color="auto" w:fill="auto"/>
            <w:noWrap/>
            <w:vAlign w:val="center"/>
            <w:hideMark/>
          </w:tcPr>
          <w:p w14:paraId="6C34CA83" w14:textId="77777777" w:rsidR="00962648" w:rsidRPr="00934CF0" w:rsidRDefault="00962648" w:rsidP="00962648">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4049F7CE" w14:textId="77777777" w:rsidR="00962648" w:rsidRPr="00934CF0" w:rsidRDefault="00962648" w:rsidP="00962648">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70B4692F"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543417A0"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6D7B3029"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29F38956"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7EE86634" w14:textId="77777777" w:rsidR="00962648" w:rsidRPr="00934CF0" w:rsidRDefault="00962648" w:rsidP="00962648">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34A5E169" w14:textId="77777777" w:rsidR="00962648" w:rsidRPr="00934CF0" w:rsidRDefault="00962648" w:rsidP="00962648">
            <w:pPr>
              <w:spacing w:before="0" w:after="0" w:line="240" w:lineRule="auto"/>
              <w:jc w:val="right"/>
              <w:rPr>
                <w:rFonts w:ascii="Times New Roman" w:hAnsi="Times New Roman"/>
                <w:sz w:val="20"/>
              </w:rPr>
            </w:pPr>
          </w:p>
        </w:tc>
        <w:tc>
          <w:tcPr>
            <w:tcW w:w="465" w:type="pct"/>
            <w:tcBorders>
              <w:top w:val="nil"/>
              <w:left w:val="nil"/>
              <w:bottom w:val="nil"/>
              <w:right w:val="nil"/>
            </w:tcBorders>
            <w:shd w:val="clear" w:color="000000" w:fill="E6F2FF"/>
            <w:noWrap/>
            <w:vAlign w:val="center"/>
            <w:hideMark/>
          </w:tcPr>
          <w:p w14:paraId="5AC5512F"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 </w:t>
            </w:r>
          </w:p>
        </w:tc>
      </w:tr>
      <w:tr w:rsidR="00962648" w:rsidRPr="00934CF0" w14:paraId="0EF755B4" w14:textId="77777777" w:rsidTr="00962648">
        <w:trPr>
          <w:trHeight w:hRule="exact" w:val="225"/>
        </w:trPr>
        <w:tc>
          <w:tcPr>
            <w:tcW w:w="845" w:type="pct"/>
            <w:tcBorders>
              <w:top w:val="nil"/>
              <w:left w:val="nil"/>
              <w:bottom w:val="nil"/>
              <w:right w:val="nil"/>
            </w:tcBorders>
            <w:shd w:val="clear" w:color="auto" w:fill="auto"/>
            <w:noWrap/>
            <w:vAlign w:val="center"/>
            <w:hideMark/>
          </w:tcPr>
          <w:p w14:paraId="4870D35B" w14:textId="77777777" w:rsidR="00962648" w:rsidRPr="00934CF0" w:rsidRDefault="00962648" w:rsidP="00962648">
            <w:pPr>
              <w:spacing w:before="0" w:after="0" w:line="240" w:lineRule="auto"/>
              <w:ind w:left="170"/>
              <w:rPr>
                <w:rFonts w:ascii="Arial" w:hAnsi="Arial" w:cs="Arial"/>
                <w:sz w:val="16"/>
                <w:szCs w:val="16"/>
              </w:rPr>
            </w:pPr>
            <w:r w:rsidRPr="00934CF0">
              <w:rPr>
                <w:rFonts w:ascii="Arial" w:hAnsi="Arial" w:cs="Arial"/>
                <w:sz w:val="16"/>
                <w:szCs w:val="16"/>
              </w:rPr>
              <w:t>assistance</w:t>
            </w:r>
          </w:p>
        </w:tc>
        <w:tc>
          <w:tcPr>
            <w:tcW w:w="205" w:type="pct"/>
            <w:tcBorders>
              <w:top w:val="nil"/>
              <w:left w:val="nil"/>
              <w:bottom w:val="nil"/>
              <w:right w:val="nil"/>
            </w:tcBorders>
            <w:shd w:val="clear" w:color="auto" w:fill="auto"/>
            <w:noWrap/>
            <w:vAlign w:val="center"/>
            <w:hideMark/>
          </w:tcPr>
          <w:p w14:paraId="2B6935A8" w14:textId="77777777" w:rsidR="00962648" w:rsidRPr="00934CF0" w:rsidRDefault="00962648" w:rsidP="00962648">
            <w:pPr>
              <w:spacing w:before="0" w:after="0" w:line="240" w:lineRule="auto"/>
              <w:ind w:firstLineChars="100" w:firstLine="160"/>
              <w:rPr>
                <w:rFonts w:ascii="Arial" w:hAnsi="Arial" w:cs="Arial"/>
                <w:sz w:val="16"/>
                <w:szCs w:val="16"/>
              </w:rPr>
            </w:pPr>
          </w:p>
        </w:tc>
        <w:tc>
          <w:tcPr>
            <w:tcW w:w="485" w:type="pct"/>
            <w:tcBorders>
              <w:top w:val="nil"/>
              <w:left w:val="nil"/>
              <w:bottom w:val="nil"/>
              <w:right w:val="nil"/>
            </w:tcBorders>
            <w:shd w:val="clear" w:color="auto" w:fill="auto"/>
            <w:noWrap/>
            <w:vAlign w:val="center"/>
            <w:hideMark/>
          </w:tcPr>
          <w:p w14:paraId="7E3C4193"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25,917</w:t>
            </w:r>
          </w:p>
        </w:tc>
        <w:tc>
          <w:tcPr>
            <w:tcW w:w="465" w:type="pct"/>
            <w:tcBorders>
              <w:top w:val="nil"/>
              <w:left w:val="nil"/>
              <w:bottom w:val="nil"/>
              <w:right w:val="nil"/>
            </w:tcBorders>
            <w:shd w:val="clear" w:color="auto" w:fill="auto"/>
            <w:noWrap/>
            <w:vAlign w:val="center"/>
            <w:hideMark/>
          </w:tcPr>
          <w:p w14:paraId="68AC928B"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19,175</w:t>
            </w:r>
          </w:p>
        </w:tc>
        <w:tc>
          <w:tcPr>
            <w:tcW w:w="465" w:type="pct"/>
            <w:tcBorders>
              <w:top w:val="nil"/>
              <w:left w:val="nil"/>
              <w:bottom w:val="nil"/>
              <w:right w:val="nil"/>
            </w:tcBorders>
            <w:shd w:val="clear" w:color="auto" w:fill="auto"/>
            <w:noWrap/>
            <w:vAlign w:val="center"/>
            <w:hideMark/>
          </w:tcPr>
          <w:p w14:paraId="3F7EDF4C"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18,306</w:t>
            </w:r>
          </w:p>
        </w:tc>
        <w:tc>
          <w:tcPr>
            <w:tcW w:w="414" w:type="pct"/>
            <w:tcBorders>
              <w:top w:val="nil"/>
              <w:left w:val="nil"/>
              <w:bottom w:val="nil"/>
              <w:right w:val="nil"/>
            </w:tcBorders>
            <w:shd w:val="clear" w:color="auto" w:fill="auto"/>
            <w:noWrap/>
            <w:vAlign w:val="center"/>
            <w:hideMark/>
          </w:tcPr>
          <w:p w14:paraId="014949AB"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7,648</w:t>
            </w:r>
          </w:p>
        </w:tc>
        <w:tc>
          <w:tcPr>
            <w:tcW w:w="414" w:type="pct"/>
            <w:tcBorders>
              <w:top w:val="nil"/>
              <w:left w:val="nil"/>
              <w:bottom w:val="nil"/>
              <w:right w:val="nil"/>
            </w:tcBorders>
            <w:shd w:val="clear" w:color="auto" w:fill="auto"/>
            <w:noWrap/>
            <w:vAlign w:val="center"/>
            <w:hideMark/>
          </w:tcPr>
          <w:p w14:paraId="739BDD8A"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7,668</w:t>
            </w:r>
          </w:p>
        </w:tc>
        <w:tc>
          <w:tcPr>
            <w:tcW w:w="414" w:type="pct"/>
            <w:tcBorders>
              <w:top w:val="nil"/>
              <w:left w:val="nil"/>
              <w:bottom w:val="nil"/>
              <w:right w:val="nil"/>
            </w:tcBorders>
            <w:shd w:val="clear" w:color="auto" w:fill="auto"/>
            <w:noWrap/>
            <w:vAlign w:val="center"/>
            <w:hideMark/>
          </w:tcPr>
          <w:p w14:paraId="3D8EEEB8"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3,395</w:t>
            </w:r>
          </w:p>
        </w:tc>
        <w:tc>
          <w:tcPr>
            <w:tcW w:w="414" w:type="pct"/>
            <w:tcBorders>
              <w:top w:val="nil"/>
              <w:left w:val="nil"/>
              <w:bottom w:val="nil"/>
              <w:right w:val="nil"/>
            </w:tcBorders>
            <w:shd w:val="clear" w:color="auto" w:fill="auto"/>
            <w:noWrap/>
            <w:vAlign w:val="center"/>
            <w:hideMark/>
          </w:tcPr>
          <w:p w14:paraId="2F68EA54"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1,695</w:t>
            </w:r>
          </w:p>
        </w:tc>
        <w:tc>
          <w:tcPr>
            <w:tcW w:w="414" w:type="pct"/>
            <w:tcBorders>
              <w:top w:val="nil"/>
              <w:left w:val="nil"/>
              <w:bottom w:val="nil"/>
              <w:right w:val="nil"/>
            </w:tcBorders>
            <w:shd w:val="clear" w:color="auto" w:fill="auto"/>
            <w:noWrap/>
            <w:vAlign w:val="center"/>
            <w:hideMark/>
          </w:tcPr>
          <w:p w14:paraId="66F2580E"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3,815</w:t>
            </w:r>
          </w:p>
        </w:tc>
        <w:tc>
          <w:tcPr>
            <w:tcW w:w="465" w:type="pct"/>
            <w:tcBorders>
              <w:top w:val="nil"/>
              <w:left w:val="nil"/>
              <w:bottom w:val="nil"/>
              <w:right w:val="nil"/>
            </w:tcBorders>
            <w:shd w:val="clear" w:color="000000" w:fill="E6F2FF"/>
            <w:noWrap/>
            <w:vAlign w:val="center"/>
            <w:hideMark/>
          </w:tcPr>
          <w:p w14:paraId="7A28EC1F" w14:textId="77777777" w:rsidR="00962648" w:rsidRPr="00934CF0" w:rsidRDefault="00962648" w:rsidP="00962648">
            <w:pPr>
              <w:spacing w:before="0" w:after="0" w:line="240" w:lineRule="auto"/>
              <w:jc w:val="right"/>
              <w:rPr>
                <w:rFonts w:ascii="Arial" w:hAnsi="Arial" w:cs="Arial"/>
                <w:sz w:val="16"/>
                <w:szCs w:val="16"/>
              </w:rPr>
            </w:pPr>
            <w:r w:rsidRPr="00934CF0">
              <w:rPr>
                <w:rFonts w:ascii="Arial" w:hAnsi="Arial" w:cs="Arial"/>
                <w:sz w:val="16"/>
                <w:szCs w:val="16"/>
              </w:rPr>
              <w:t>87,618</w:t>
            </w:r>
          </w:p>
        </w:tc>
      </w:tr>
      <w:tr w:rsidR="00962648" w:rsidRPr="00934CF0" w14:paraId="37CF6600" w14:textId="77777777" w:rsidTr="00962648">
        <w:trPr>
          <w:trHeight w:hRule="exact" w:val="225"/>
        </w:trPr>
        <w:tc>
          <w:tcPr>
            <w:tcW w:w="845" w:type="pct"/>
            <w:tcBorders>
              <w:top w:val="nil"/>
              <w:left w:val="nil"/>
              <w:bottom w:val="nil"/>
              <w:right w:val="nil"/>
            </w:tcBorders>
            <w:shd w:val="clear" w:color="auto" w:fill="auto"/>
            <w:noWrap/>
            <w:vAlign w:val="center"/>
            <w:hideMark/>
          </w:tcPr>
          <w:p w14:paraId="419F985B" w14:textId="77777777" w:rsidR="00962648" w:rsidRPr="00934CF0" w:rsidRDefault="00962648" w:rsidP="00962648">
            <w:pPr>
              <w:spacing w:before="0" w:after="0" w:line="240" w:lineRule="auto"/>
              <w:rPr>
                <w:rFonts w:ascii="Arial" w:hAnsi="Arial" w:cs="Arial"/>
                <w:b/>
                <w:sz w:val="16"/>
                <w:szCs w:val="16"/>
              </w:rPr>
            </w:pPr>
            <w:r w:rsidRPr="00934CF0">
              <w:rPr>
                <w:rFonts w:ascii="Arial" w:hAnsi="Arial" w:cs="Arial"/>
                <w:b/>
                <w:sz w:val="16"/>
                <w:szCs w:val="16"/>
              </w:rPr>
              <w:t>Total payments to</w:t>
            </w:r>
          </w:p>
        </w:tc>
        <w:tc>
          <w:tcPr>
            <w:tcW w:w="205" w:type="pct"/>
            <w:tcBorders>
              <w:top w:val="nil"/>
              <w:left w:val="nil"/>
              <w:bottom w:val="nil"/>
              <w:right w:val="nil"/>
            </w:tcBorders>
            <w:shd w:val="clear" w:color="auto" w:fill="auto"/>
            <w:noWrap/>
            <w:vAlign w:val="center"/>
            <w:hideMark/>
          </w:tcPr>
          <w:p w14:paraId="22A4BD37" w14:textId="77777777" w:rsidR="00962648" w:rsidRPr="00934CF0" w:rsidRDefault="00962648" w:rsidP="00962648">
            <w:pPr>
              <w:spacing w:before="0" w:after="0" w:line="240" w:lineRule="auto"/>
              <w:rPr>
                <w:rFonts w:ascii="Arial" w:hAnsi="Arial" w:cs="Arial"/>
                <w:b/>
                <w:sz w:val="16"/>
                <w:szCs w:val="16"/>
              </w:rPr>
            </w:pPr>
          </w:p>
        </w:tc>
        <w:tc>
          <w:tcPr>
            <w:tcW w:w="485" w:type="pct"/>
            <w:tcBorders>
              <w:top w:val="single" w:sz="4" w:space="0" w:color="000000"/>
              <w:left w:val="nil"/>
              <w:bottom w:val="nil"/>
              <w:right w:val="nil"/>
            </w:tcBorders>
            <w:shd w:val="clear" w:color="auto" w:fill="auto"/>
            <w:noWrap/>
            <w:vAlign w:val="center"/>
            <w:hideMark/>
          </w:tcPr>
          <w:p w14:paraId="24FBBEE0"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65" w:type="pct"/>
            <w:tcBorders>
              <w:top w:val="single" w:sz="4" w:space="0" w:color="000000"/>
              <w:left w:val="nil"/>
              <w:bottom w:val="nil"/>
              <w:right w:val="nil"/>
            </w:tcBorders>
            <w:shd w:val="clear" w:color="auto" w:fill="auto"/>
            <w:noWrap/>
            <w:vAlign w:val="center"/>
            <w:hideMark/>
          </w:tcPr>
          <w:p w14:paraId="68D64D52"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65" w:type="pct"/>
            <w:tcBorders>
              <w:top w:val="single" w:sz="4" w:space="0" w:color="000000"/>
              <w:left w:val="nil"/>
              <w:bottom w:val="nil"/>
              <w:right w:val="nil"/>
            </w:tcBorders>
            <w:shd w:val="clear" w:color="auto" w:fill="auto"/>
            <w:noWrap/>
            <w:vAlign w:val="center"/>
            <w:hideMark/>
          </w:tcPr>
          <w:p w14:paraId="00613A9B"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14" w:type="pct"/>
            <w:tcBorders>
              <w:top w:val="single" w:sz="4" w:space="0" w:color="000000"/>
              <w:left w:val="nil"/>
              <w:bottom w:val="nil"/>
              <w:right w:val="nil"/>
            </w:tcBorders>
            <w:shd w:val="clear" w:color="auto" w:fill="auto"/>
            <w:noWrap/>
            <w:vAlign w:val="center"/>
            <w:hideMark/>
          </w:tcPr>
          <w:p w14:paraId="2D11EA6E"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14" w:type="pct"/>
            <w:tcBorders>
              <w:top w:val="single" w:sz="4" w:space="0" w:color="000000"/>
              <w:left w:val="nil"/>
              <w:bottom w:val="nil"/>
              <w:right w:val="nil"/>
            </w:tcBorders>
            <w:shd w:val="clear" w:color="auto" w:fill="auto"/>
            <w:noWrap/>
            <w:vAlign w:val="center"/>
            <w:hideMark/>
          </w:tcPr>
          <w:p w14:paraId="235B588E"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14" w:type="pct"/>
            <w:tcBorders>
              <w:top w:val="single" w:sz="4" w:space="0" w:color="000000"/>
              <w:left w:val="nil"/>
              <w:bottom w:val="nil"/>
              <w:right w:val="nil"/>
            </w:tcBorders>
            <w:shd w:val="clear" w:color="auto" w:fill="auto"/>
            <w:noWrap/>
            <w:vAlign w:val="center"/>
            <w:hideMark/>
          </w:tcPr>
          <w:p w14:paraId="0260F23E"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14" w:type="pct"/>
            <w:tcBorders>
              <w:top w:val="single" w:sz="4" w:space="0" w:color="000000"/>
              <w:left w:val="nil"/>
              <w:bottom w:val="nil"/>
              <w:right w:val="nil"/>
            </w:tcBorders>
            <w:shd w:val="clear" w:color="auto" w:fill="auto"/>
            <w:noWrap/>
            <w:vAlign w:val="center"/>
            <w:hideMark/>
          </w:tcPr>
          <w:p w14:paraId="5C39DFE8"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14" w:type="pct"/>
            <w:tcBorders>
              <w:top w:val="single" w:sz="4" w:space="0" w:color="000000"/>
              <w:left w:val="nil"/>
              <w:bottom w:val="nil"/>
              <w:right w:val="nil"/>
            </w:tcBorders>
            <w:shd w:val="clear" w:color="auto" w:fill="auto"/>
            <w:noWrap/>
            <w:vAlign w:val="center"/>
            <w:hideMark/>
          </w:tcPr>
          <w:p w14:paraId="334FA7A4"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c>
          <w:tcPr>
            <w:tcW w:w="465" w:type="pct"/>
            <w:tcBorders>
              <w:top w:val="single" w:sz="4" w:space="0" w:color="000000"/>
              <w:left w:val="nil"/>
              <w:bottom w:val="nil"/>
              <w:right w:val="nil"/>
            </w:tcBorders>
            <w:shd w:val="clear" w:color="000000" w:fill="E6F2FF"/>
            <w:noWrap/>
            <w:vAlign w:val="center"/>
            <w:hideMark/>
          </w:tcPr>
          <w:p w14:paraId="11DF1FB0"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 </w:t>
            </w:r>
          </w:p>
        </w:tc>
      </w:tr>
      <w:tr w:rsidR="00962648" w:rsidRPr="00934CF0" w14:paraId="77566291" w14:textId="77777777" w:rsidTr="00962648">
        <w:trPr>
          <w:trHeight w:hRule="exact" w:val="225"/>
        </w:trPr>
        <w:tc>
          <w:tcPr>
            <w:tcW w:w="845" w:type="pct"/>
            <w:tcBorders>
              <w:top w:val="nil"/>
              <w:left w:val="nil"/>
              <w:bottom w:val="single" w:sz="4" w:space="0" w:color="293F5B"/>
              <w:right w:val="nil"/>
            </w:tcBorders>
            <w:shd w:val="clear" w:color="auto" w:fill="auto"/>
            <w:noWrap/>
            <w:vAlign w:val="center"/>
            <w:hideMark/>
          </w:tcPr>
          <w:p w14:paraId="2A88D748" w14:textId="77777777" w:rsidR="00962648" w:rsidRPr="00934CF0" w:rsidRDefault="00962648" w:rsidP="00962648">
            <w:pPr>
              <w:spacing w:before="0" w:after="0" w:line="240" w:lineRule="auto"/>
              <w:ind w:left="170"/>
              <w:rPr>
                <w:rFonts w:ascii="Arial" w:hAnsi="Arial" w:cs="Arial"/>
                <w:b/>
                <w:sz w:val="16"/>
                <w:szCs w:val="16"/>
              </w:rPr>
            </w:pPr>
            <w:r w:rsidRPr="00934CF0">
              <w:rPr>
                <w:rFonts w:ascii="Arial" w:hAnsi="Arial" w:cs="Arial"/>
                <w:b/>
                <w:sz w:val="16"/>
                <w:szCs w:val="16"/>
              </w:rPr>
              <w:t>the states</w:t>
            </w:r>
          </w:p>
        </w:tc>
        <w:tc>
          <w:tcPr>
            <w:tcW w:w="205" w:type="pct"/>
            <w:tcBorders>
              <w:top w:val="nil"/>
              <w:left w:val="nil"/>
              <w:bottom w:val="single" w:sz="4" w:space="0" w:color="293F5B"/>
              <w:right w:val="nil"/>
            </w:tcBorders>
            <w:shd w:val="clear" w:color="auto" w:fill="auto"/>
            <w:noWrap/>
            <w:vAlign w:val="center"/>
            <w:hideMark/>
          </w:tcPr>
          <w:p w14:paraId="5EB7B15B" w14:textId="77777777" w:rsidR="00962648" w:rsidRPr="00934CF0" w:rsidRDefault="00962648" w:rsidP="00962648">
            <w:pPr>
              <w:spacing w:before="0" w:after="0" w:line="240" w:lineRule="auto"/>
              <w:ind w:firstLineChars="100" w:firstLine="161"/>
              <w:rPr>
                <w:rFonts w:ascii="Arial" w:hAnsi="Arial" w:cs="Arial"/>
                <w:b/>
                <w:sz w:val="16"/>
                <w:szCs w:val="16"/>
              </w:rPr>
            </w:pPr>
            <w:r w:rsidRPr="00934CF0">
              <w:rPr>
                <w:rFonts w:ascii="Arial" w:hAnsi="Arial" w:cs="Arial"/>
                <w:b/>
                <w:sz w:val="16"/>
                <w:szCs w:val="16"/>
              </w:rPr>
              <w:t> </w:t>
            </w:r>
          </w:p>
        </w:tc>
        <w:tc>
          <w:tcPr>
            <w:tcW w:w="485" w:type="pct"/>
            <w:tcBorders>
              <w:top w:val="nil"/>
              <w:left w:val="nil"/>
              <w:bottom w:val="single" w:sz="4" w:space="0" w:color="293F5B"/>
              <w:right w:val="nil"/>
            </w:tcBorders>
            <w:shd w:val="clear" w:color="auto" w:fill="auto"/>
            <w:noWrap/>
            <w:vAlign w:val="center"/>
            <w:hideMark/>
          </w:tcPr>
          <w:p w14:paraId="481BE5D8"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49,948</w:t>
            </w:r>
          </w:p>
        </w:tc>
        <w:tc>
          <w:tcPr>
            <w:tcW w:w="465" w:type="pct"/>
            <w:tcBorders>
              <w:top w:val="nil"/>
              <w:left w:val="nil"/>
              <w:bottom w:val="single" w:sz="4" w:space="0" w:color="293F5B"/>
              <w:right w:val="nil"/>
            </w:tcBorders>
            <w:shd w:val="clear" w:color="auto" w:fill="auto"/>
            <w:noWrap/>
            <w:vAlign w:val="center"/>
            <w:hideMark/>
          </w:tcPr>
          <w:p w14:paraId="714D7DFC"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39,882</w:t>
            </w:r>
          </w:p>
        </w:tc>
        <w:tc>
          <w:tcPr>
            <w:tcW w:w="465" w:type="pct"/>
            <w:tcBorders>
              <w:top w:val="nil"/>
              <w:left w:val="nil"/>
              <w:bottom w:val="single" w:sz="4" w:space="0" w:color="293F5B"/>
              <w:right w:val="nil"/>
            </w:tcBorders>
            <w:shd w:val="clear" w:color="auto" w:fill="auto"/>
            <w:noWrap/>
            <w:vAlign w:val="center"/>
            <w:hideMark/>
          </w:tcPr>
          <w:p w14:paraId="44E729AD"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36,015</w:t>
            </w:r>
          </w:p>
        </w:tc>
        <w:tc>
          <w:tcPr>
            <w:tcW w:w="414" w:type="pct"/>
            <w:tcBorders>
              <w:top w:val="nil"/>
              <w:left w:val="nil"/>
              <w:bottom w:val="single" w:sz="4" w:space="0" w:color="293F5B"/>
              <w:right w:val="nil"/>
            </w:tcBorders>
            <w:shd w:val="clear" w:color="auto" w:fill="auto"/>
            <w:noWrap/>
            <w:vAlign w:val="center"/>
            <w:hideMark/>
          </w:tcPr>
          <w:p w14:paraId="7336B8DF"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16,924</w:t>
            </w:r>
          </w:p>
        </w:tc>
        <w:tc>
          <w:tcPr>
            <w:tcW w:w="414" w:type="pct"/>
            <w:tcBorders>
              <w:top w:val="nil"/>
              <w:left w:val="nil"/>
              <w:bottom w:val="single" w:sz="4" w:space="0" w:color="293F5B"/>
              <w:right w:val="nil"/>
            </w:tcBorders>
            <w:shd w:val="clear" w:color="auto" w:fill="auto"/>
            <w:noWrap/>
            <w:vAlign w:val="center"/>
            <w:hideMark/>
          </w:tcPr>
          <w:p w14:paraId="155F39DA"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13,472</w:t>
            </w:r>
          </w:p>
        </w:tc>
        <w:tc>
          <w:tcPr>
            <w:tcW w:w="414" w:type="pct"/>
            <w:tcBorders>
              <w:top w:val="nil"/>
              <w:left w:val="nil"/>
              <w:bottom w:val="single" w:sz="4" w:space="0" w:color="293F5B"/>
              <w:right w:val="nil"/>
            </w:tcBorders>
            <w:shd w:val="clear" w:color="auto" w:fill="auto"/>
            <w:noWrap/>
            <w:vAlign w:val="center"/>
            <w:hideMark/>
          </w:tcPr>
          <w:p w14:paraId="013B16F9"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5,535</w:t>
            </w:r>
          </w:p>
        </w:tc>
        <w:tc>
          <w:tcPr>
            <w:tcW w:w="414" w:type="pct"/>
            <w:tcBorders>
              <w:top w:val="nil"/>
              <w:left w:val="nil"/>
              <w:bottom w:val="single" w:sz="4" w:space="0" w:color="293F5B"/>
              <w:right w:val="nil"/>
            </w:tcBorders>
            <w:shd w:val="clear" w:color="auto" w:fill="auto"/>
            <w:noWrap/>
            <w:vAlign w:val="center"/>
            <w:hideMark/>
          </w:tcPr>
          <w:p w14:paraId="52ECF977"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3,002</w:t>
            </w:r>
          </w:p>
        </w:tc>
        <w:tc>
          <w:tcPr>
            <w:tcW w:w="414" w:type="pct"/>
            <w:tcBorders>
              <w:top w:val="nil"/>
              <w:left w:val="nil"/>
              <w:bottom w:val="single" w:sz="4" w:space="0" w:color="293F5B"/>
              <w:right w:val="nil"/>
            </w:tcBorders>
            <w:shd w:val="clear" w:color="auto" w:fill="auto"/>
            <w:noWrap/>
            <w:vAlign w:val="center"/>
            <w:hideMark/>
          </w:tcPr>
          <w:p w14:paraId="682B2E1C"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5,519</w:t>
            </w:r>
          </w:p>
        </w:tc>
        <w:tc>
          <w:tcPr>
            <w:tcW w:w="465" w:type="pct"/>
            <w:tcBorders>
              <w:top w:val="nil"/>
              <w:left w:val="nil"/>
              <w:bottom w:val="single" w:sz="4" w:space="0" w:color="293F5B"/>
              <w:right w:val="nil"/>
            </w:tcBorders>
            <w:shd w:val="clear" w:color="000000" w:fill="E6F2FF"/>
            <w:noWrap/>
            <w:vAlign w:val="center"/>
            <w:hideMark/>
          </w:tcPr>
          <w:p w14:paraId="5B94D258" w14:textId="77777777" w:rsidR="00962648" w:rsidRPr="00934CF0" w:rsidRDefault="00962648" w:rsidP="00962648">
            <w:pPr>
              <w:spacing w:before="0" w:after="0" w:line="240" w:lineRule="auto"/>
              <w:jc w:val="right"/>
              <w:rPr>
                <w:rFonts w:ascii="Arial" w:hAnsi="Arial" w:cs="Arial"/>
                <w:b/>
                <w:sz w:val="16"/>
                <w:szCs w:val="16"/>
              </w:rPr>
            </w:pPr>
            <w:r w:rsidRPr="00934CF0">
              <w:rPr>
                <w:rFonts w:ascii="Arial" w:hAnsi="Arial" w:cs="Arial"/>
                <w:b/>
                <w:sz w:val="16"/>
                <w:szCs w:val="16"/>
              </w:rPr>
              <w:t>170,297</w:t>
            </w:r>
          </w:p>
        </w:tc>
      </w:tr>
    </w:tbl>
    <w:p w14:paraId="0052DA6F" w14:textId="3B6C4EA0" w:rsidR="00C33C1E" w:rsidRDefault="00962648" w:rsidP="001745DD">
      <w:pPr>
        <w:pStyle w:val="SingleParagraph"/>
      </w:pPr>
      <w:r w:rsidRPr="00934CF0">
        <w:fldChar w:fldCharType="end"/>
      </w:r>
      <w:r w:rsidR="00195778">
        <w:fldChar w:fldCharType="begin"/>
      </w:r>
      <w:r w:rsidR="00195778">
        <w:instrText xml:space="preserve"> :End:CSPD_MB1 </w:instrText>
      </w:r>
      <w:r w:rsidR="00195778">
        <w:fldChar w:fldCharType="end"/>
      </w:r>
    </w:p>
    <w:p w14:paraId="6084DFC0" w14:textId="77777777" w:rsidR="00C33C1E" w:rsidRPr="002D662F" w:rsidRDefault="00C33C1E" w:rsidP="002D662F">
      <w:r>
        <w:br w:type="page"/>
      </w:r>
    </w:p>
    <w:p w14:paraId="5572807B" w14:textId="1E050E70" w:rsidR="009175F2" w:rsidRPr="00934CF0" w:rsidRDefault="00195778" w:rsidP="002258E7">
      <w:pPr>
        <w:pStyle w:val="Heading2"/>
      </w:pPr>
      <w:r>
        <w:lastRenderedPageBreak/>
        <w:fldChar w:fldCharType="begin"/>
      </w:r>
      <w:r>
        <w:instrText xml:space="preserve"> :Start:CSPD_MB2 </w:instrText>
      </w:r>
      <w:r>
        <w:fldChar w:fldCharType="end"/>
      </w:r>
      <w:r w:rsidR="009175F2" w:rsidRPr="00934CF0">
        <w:t xml:space="preserve">Payments for specific purposes </w:t>
      </w:r>
    </w:p>
    <w:p w14:paraId="24B7D8DC" w14:textId="6478906E" w:rsidR="009175F2" w:rsidRPr="00934CF0" w:rsidRDefault="009175F2" w:rsidP="009175F2">
      <w:r w:rsidRPr="00934CF0">
        <w:t>The Australian Government provides payments to the states for specific purposes in policy areas administered by the states, including health, education, skills and workforce development, community services, housing, Indigenous affairs, infrastructure and the environment.</w:t>
      </w:r>
    </w:p>
    <w:p w14:paraId="3C073229" w14:textId="49724EE2" w:rsidR="009175F2" w:rsidRPr="00934CF0" w:rsidRDefault="009175F2" w:rsidP="009175F2">
      <w:r w:rsidRPr="00934CF0">
        <w:t>In 202</w:t>
      </w:r>
      <w:r w:rsidR="00F74132" w:rsidRPr="00934CF0">
        <w:t>2</w:t>
      </w:r>
      <w:r w:rsidR="00175423" w:rsidRPr="00934CF0">
        <w:t>–</w:t>
      </w:r>
      <w:r w:rsidRPr="00934CF0">
        <w:t>2</w:t>
      </w:r>
      <w:r w:rsidR="00F74132" w:rsidRPr="00934CF0">
        <w:t>3</w:t>
      </w:r>
      <w:r w:rsidRPr="00934CF0">
        <w:t>, the Australian Government provided the following types of specific purpose payments to the states:</w:t>
      </w:r>
    </w:p>
    <w:p w14:paraId="7FDB226B" w14:textId="2574F8FC" w:rsidR="009175F2" w:rsidRPr="00934CF0" w:rsidRDefault="009175F2" w:rsidP="009175F2">
      <w:pPr>
        <w:pStyle w:val="Bullet"/>
      </w:pPr>
      <w:r w:rsidRPr="00934CF0">
        <w:t xml:space="preserve">National Health Reform funding for public hospitals and </w:t>
      </w:r>
      <w:r w:rsidR="00954EE1" w:rsidRPr="00934CF0">
        <w:t xml:space="preserve">the </w:t>
      </w:r>
      <w:r w:rsidRPr="00934CF0">
        <w:t>COVID</w:t>
      </w:r>
      <w:r w:rsidRPr="00934CF0">
        <w:noBreakHyphen/>
        <w:t>19 response</w:t>
      </w:r>
    </w:p>
    <w:p w14:paraId="14C454B1" w14:textId="48239205" w:rsidR="009175F2" w:rsidRPr="00934CF0" w:rsidRDefault="009175F2" w:rsidP="009175F2">
      <w:pPr>
        <w:pStyle w:val="Bullet"/>
      </w:pPr>
      <w:r w:rsidRPr="00934CF0">
        <w:t>Quality Schools funding for government and non</w:t>
      </w:r>
      <w:r w:rsidRPr="00934CF0">
        <w:noBreakHyphen/>
        <w:t>government schools</w:t>
      </w:r>
    </w:p>
    <w:p w14:paraId="4AF1BA7B" w14:textId="77777777" w:rsidR="009175F2" w:rsidRPr="00934CF0" w:rsidRDefault="009175F2" w:rsidP="009175F2">
      <w:pPr>
        <w:pStyle w:val="Bullet"/>
      </w:pPr>
      <w:r w:rsidRPr="00934CF0">
        <w:t>National Housing and Homelessness funding</w:t>
      </w:r>
    </w:p>
    <w:p w14:paraId="5FD3DE3C" w14:textId="77777777" w:rsidR="00BF3620" w:rsidRPr="00934CF0" w:rsidRDefault="00BF3620" w:rsidP="00BF3620">
      <w:pPr>
        <w:pStyle w:val="Bullet"/>
      </w:pPr>
      <w:r w:rsidRPr="00934CF0">
        <w:t>National Specific Purpose Payments (National SPPs) in respect of skills and workforce development</w:t>
      </w:r>
    </w:p>
    <w:p w14:paraId="368BD2A8" w14:textId="03CAF56E" w:rsidR="009175F2" w:rsidRPr="00934CF0" w:rsidRDefault="009175F2" w:rsidP="006E54D9">
      <w:pPr>
        <w:pStyle w:val="Bullet"/>
        <w:spacing w:after="240"/>
      </w:pPr>
      <w:r w:rsidRPr="00934CF0">
        <w:t xml:space="preserve">National Partnership payments across a wide range of policy areas, including </w:t>
      </w:r>
      <w:r w:rsidR="00762D5A" w:rsidRPr="00934CF0">
        <w:t>infrastructure</w:t>
      </w:r>
      <w:r w:rsidRPr="00934CF0">
        <w:t>.</w:t>
      </w:r>
    </w:p>
    <w:p w14:paraId="2D1D45EF" w14:textId="762DB6AC" w:rsidR="009175F2" w:rsidRPr="00934CF0" w:rsidRDefault="009175F2" w:rsidP="006E54D9">
      <w:pPr>
        <w:pStyle w:val="Heading3"/>
        <w:spacing w:before="240"/>
      </w:pPr>
      <w:r w:rsidRPr="00934CF0">
        <w:t>National Health Reform, Quality Schools</w:t>
      </w:r>
      <w:r w:rsidR="009542F3" w:rsidRPr="00934CF0">
        <w:t>,</w:t>
      </w:r>
      <w:r w:rsidRPr="00934CF0">
        <w:t xml:space="preserve"> National Housing and Homelessness funding </w:t>
      </w:r>
      <w:r w:rsidR="009542F3" w:rsidRPr="00934CF0">
        <w:t xml:space="preserve">and National </w:t>
      </w:r>
      <w:r w:rsidR="003A04CB" w:rsidRPr="00934CF0">
        <w:t xml:space="preserve">Skills and </w:t>
      </w:r>
      <w:r w:rsidR="00997CAB" w:rsidRPr="00934CF0">
        <w:t>Workforce</w:t>
      </w:r>
      <w:r w:rsidR="009542F3" w:rsidRPr="00934CF0">
        <w:t xml:space="preserve"> SPP</w:t>
      </w:r>
    </w:p>
    <w:p w14:paraId="57109F90" w14:textId="60645082" w:rsidR="009175F2" w:rsidRPr="00934CF0" w:rsidRDefault="009175F2" w:rsidP="009175F2">
      <w:r w:rsidRPr="00934CF0">
        <w:t xml:space="preserve">In </w:t>
      </w:r>
      <w:r w:rsidR="00C13976" w:rsidRPr="00934CF0">
        <w:t>2022</w:t>
      </w:r>
      <w:r w:rsidR="000C6F84" w:rsidRPr="00934CF0">
        <w:t>–</w:t>
      </w:r>
      <w:r w:rsidR="00C13976" w:rsidRPr="00934CF0">
        <w:t>23</w:t>
      </w:r>
      <w:r w:rsidRPr="00934CF0">
        <w:t>, the Australian Government continued to provide funding for key service delivery sectors through National Health Reform funding, Quality Schools funding</w:t>
      </w:r>
      <w:r w:rsidR="009542F3" w:rsidRPr="00934CF0">
        <w:t>,</w:t>
      </w:r>
      <w:r w:rsidRPr="00934CF0">
        <w:t xml:space="preserve"> National Housing and Homelessness funding</w:t>
      </w:r>
      <w:r w:rsidR="009542F3" w:rsidRPr="00934CF0">
        <w:t xml:space="preserve"> and the National Skills and Workforce Development SPP</w:t>
      </w:r>
      <w:r w:rsidRPr="00934CF0">
        <w:t xml:space="preserve">. </w:t>
      </w:r>
    </w:p>
    <w:p w14:paraId="75236F1C" w14:textId="6E00E42B" w:rsidR="009175F2" w:rsidRPr="00934CF0" w:rsidRDefault="009175F2" w:rsidP="009175F2">
      <w:r w:rsidRPr="00934CF0">
        <w:t xml:space="preserve">Payments made throughout the year for National Health Reform were made in advance on the basis of advice from the Administrator of the National Health Funding Pool. This funding is calculated by reference to growth in public hospital activity and the national efficient price determined by the Independent Hospital Pricing Authority. The amounts published are for payments made in respect of services delivered in </w:t>
      </w:r>
      <w:r w:rsidR="00732270" w:rsidRPr="00934CF0">
        <w:t>2022</w:t>
      </w:r>
      <w:r w:rsidR="00863F4D" w:rsidRPr="00934CF0">
        <w:t>–</w:t>
      </w:r>
      <w:r w:rsidR="00732270" w:rsidRPr="00934CF0">
        <w:t>23</w:t>
      </w:r>
      <w:r w:rsidRPr="00934CF0">
        <w:t xml:space="preserve">, and previous years. The Treasurer will determine the final amount and state allocations for </w:t>
      </w:r>
      <w:r w:rsidR="00732270" w:rsidRPr="00934CF0">
        <w:t>2022</w:t>
      </w:r>
      <w:r w:rsidR="00863F4D" w:rsidRPr="00934CF0">
        <w:t>–</w:t>
      </w:r>
      <w:r w:rsidR="00732270" w:rsidRPr="00934CF0">
        <w:t>23</w:t>
      </w:r>
      <w:r w:rsidRPr="00934CF0">
        <w:t xml:space="preserve"> following the Administrator’s final reconciliation of activity data. </w:t>
      </w:r>
    </w:p>
    <w:p w14:paraId="6B6A8778" w14:textId="5D2EF398" w:rsidR="009175F2" w:rsidRPr="00934CF0" w:rsidRDefault="009175F2" w:rsidP="009175F2">
      <w:r w:rsidRPr="00934CF0">
        <w:t>Quality Schools funding includes recurrent and capital funding for government and non</w:t>
      </w:r>
      <w:r w:rsidRPr="00934CF0">
        <w:noBreakHyphen/>
        <w:t>government schools, funding for non</w:t>
      </w:r>
      <w:r w:rsidRPr="00934CF0">
        <w:noBreakHyphen/>
        <w:t xml:space="preserve">government representative bodies and other prescribed purpose funding. Quality Schools funding is distributed among the states in accordance with the </w:t>
      </w:r>
      <w:r w:rsidRPr="00934CF0">
        <w:rPr>
          <w:i/>
        </w:rPr>
        <w:t>Australian Education Act 2013</w:t>
      </w:r>
      <w:r w:rsidRPr="00934CF0">
        <w:t xml:space="preserve"> and agreements made under that Act. </w:t>
      </w:r>
    </w:p>
    <w:p w14:paraId="70DC01FF" w14:textId="0F221609" w:rsidR="009175F2" w:rsidRPr="00934CF0" w:rsidRDefault="009175F2" w:rsidP="009175F2">
      <w:r w:rsidRPr="00934CF0">
        <w:t>Quality Schools is a needs</w:t>
      </w:r>
      <w:r w:rsidRPr="00934CF0">
        <w:noBreakHyphen/>
        <w:t>based funding model introduced in the 2017</w:t>
      </w:r>
      <w:r w:rsidR="00863F4D" w:rsidRPr="00934CF0">
        <w:t>–</w:t>
      </w:r>
      <w:r w:rsidRPr="00934CF0">
        <w:t>18 Budget that aims to improve the educational outcomes of Australian students. Funding is provided to government and non</w:t>
      </w:r>
      <w:r w:rsidRPr="00934CF0">
        <w:noBreakHyphen/>
        <w:t xml:space="preserve">government schools in all states, which includes recurrent funding, </w:t>
      </w:r>
      <w:r w:rsidRPr="00934CF0">
        <w:lastRenderedPageBreak/>
        <w:t>capital funding and special circumstances funding for non</w:t>
      </w:r>
      <w:r w:rsidRPr="00934CF0">
        <w:noBreakHyphen/>
        <w:t>government schools, funding for non</w:t>
      </w:r>
      <w:r w:rsidRPr="00934CF0">
        <w:noBreakHyphen/>
        <w:t>government representative bodies and other prescribed purpose funding.</w:t>
      </w:r>
    </w:p>
    <w:p w14:paraId="43459A22" w14:textId="1196C2D8" w:rsidR="009175F2" w:rsidRPr="00934CF0" w:rsidRDefault="009175F2" w:rsidP="009175F2">
      <w:r w:rsidRPr="00934CF0">
        <w:t xml:space="preserve">Payments made throughout the year for National Housing and Homelessness </w:t>
      </w:r>
      <w:r w:rsidR="004C431C" w:rsidRPr="00934CF0">
        <w:t xml:space="preserve">purposes </w:t>
      </w:r>
      <w:r w:rsidRPr="00934CF0">
        <w:t>were made in advance based on Australian Government estimates of the relevant growth factors. A balancing adjustment is made after the end of the financial year once final growth factor data is available.</w:t>
      </w:r>
    </w:p>
    <w:p w14:paraId="3144C885" w14:textId="4B5DEDE3" w:rsidR="009175F2" w:rsidRPr="00934CF0" w:rsidRDefault="009175F2" w:rsidP="009175F2">
      <w:pPr>
        <w:spacing w:line="240" w:lineRule="auto"/>
        <w:contextualSpacing/>
      </w:pPr>
      <w:r w:rsidRPr="00934CF0">
        <w:t>National Housing and Homelessness funding was introduced in 2018</w:t>
      </w:r>
      <w:r w:rsidR="00863F4D" w:rsidRPr="00934CF0">
        <w:t>–</w:t>
      </w:r>
      <w:r w:rsidRPr="00934CF0">
        <w:t>19 and is made up of a general funding component and a homelessness funding component which is matched by the states. The general funding is allocated to the states in accordance with population shares based on the Australian Statistician’s determination as at 31 December of that year. The homelessness funding is allocated in accordance with the state’s share of total homelessness based on 2006 Australian Bureau of Statistics Census homelessness estimates.</w:t>
      </w:r>
    </w:p>
    <w:p w14:paraId="7D2041D9" w14:textId="77777777" w:rsidR="009542F3" w:rsidRPr="00934CF0" w:rsidRDefault="009542F3" w:rsidP="009542F3">
      <w:pPr>
        <w:spacing w:line="240" w:lineRule="auto"/>
        <w:contextualSpacing/>
      </w:pPr>
    </w:p>
    <w:p w14:paraId="5EB93A3C" w14:textId="795266F9" w:rsidR="009542F3" w:rsidRPr="00934CF0" w:rsidRDefault="0066526B" w:rsidP="009542F3">
      <w:r w:rsidRPr="00934CF0">
        <w:t>The National Agreement for Skills and Workforce Development identifies the long</w:t>
      </w:r>
      <w:r w:rsidR="00BD648E" w:rsidRPr="00934CF0">
        <w:noBreakHyphen/>
      </w:r>
      <w:r w:rsidRPr="00934CF0">
        <w:t xml:space="preserve">term objectives of the Australian Government and the states in the areas of skills and workforce development. </w:t>
      </w:r>
      <w:r w:rsidR="009542F3" w:rsidRPr="00934CF0">
        <w:t>The states are required to spend the N</w:t>
      </w:r>
      <w:r w:rsidR="009B513E" w:rsidRPr="00934CF0">
        <w:t>ational Skills and Workforce Development</w:t>
      </w:r>
      <w:r w:rsidR="009542F3" w:rsidRPr="00934CF0">
        <w:t xml:space="preserve"> SPP </w:t>
      </w:r>
      <w:r w:rsidR="009B513E" w:rsidRPr="00934CF0">
        <w:t>in the</w:t>
      </w:r>
      <w:r w:rsidR="004A3B9D" w:rsidRPr="00934CF0">
        <w:t>se areas</w:t>
      </w:r>
      <w:r w:rsidR="009542F3" w:rsidRPr="00934CF0">
        <w:t xml:space="preserve">. The </w:t>
      </w:r>
      <w:r w:rsidR="009B513E" w:rsidRPr="00934CF0">
        <w:t>National Skills and Workforce Development</w:t>
      </w:r>
      <w:r w:rsidR="009542F3" w:rsidRPr="00934CF0">
        <w:t xml:space="preserve"> SPP is indexed each year by growth factors specified in the Intergovernmental Agreement.</w:t>
      </w:r>
    </w:p>
    <w:p w14:paraId="02FBF5A1" w14:textId="66747344" w:rsidR="009542F3" w:rsidRPr="00934CF0" w:rsidRDefault="009542F3" w:rsidP="009542F3">
      <w:r w:rsidRPr="00934CF0">
        <w:t xml:space="preserve">Payments made throughout the year for the </w:t>
      </w:r>
      <w:r w:rsidR="00664CA2" w:rsidRPr="00934CF0">
        <w:t>National Skills and Workforce Development</w:t>
      </w:r>
      <w:r w:rsidRPr="00934CF0">
        <w:t xml:space="preserve"> SPP were made in advance based on Australian Government estimates of the relevant growth factors. A balancing adjustment is made after the end of the financial year once final growth factor data is available.</w:t>
      </w:r>
    </w:p>
    <w:p w14:paraId="23523AC2" w14:textId="481BB963" w:rsidR="009542F3" w:rsidRPr="00934CF0" w:rsidRDefault="009542F3" w:rsidP="005A20DF">
      <w:r w:rsidRPr="00934CF0">
        <w:t xml:space="preserve">The </w:t>
      </w:r>
      <w:r w:rsidR="00664CA2" w:rsidRPr="00934CF0">
        <w:t>National Skills and Workforce Development</w:t>
      </w:r>
      <w:r w:rsidRPr="00934CF0">
        <w:t xml:space="preserve"> SPP is distributed among the states in accordance with population shares based on the Australian Statistician’s determination as at 31 December of that year.</w:t>
      </w:r>
    </w:p>
    <w:p w14:paraId="3521FA5F" w14:textId="77777777" w:rsidR="009175F2" w:rsidRPr="00934CF0" w:rsidRDefault="009175F2" w:rsidP="009175F2">
      <w:pPr>
        <w:pStyle w:val="Heading3"/>
      </w:pPr>
      <w:r w:rsidRPr="00934CF0">
        <w:t xml:space="preserve">National Partnership payments </w:t>
      </w:r>
    </w:p>
    <w:p w14:paraId="738ED1B8" w14:textId="77777777" w:rsidR="009175F2" w:rsidRPr="00934CF0" w:rsidRDefault="009175F2" w:rsidP="009175F2">
      <w:r w:rsidRPr="00934CF0">
        <w:t>Under the Intergovernmental Agreement, National Partnership payments to the states are the key vehicle to support the delivery of specified projects, facilitate reforms or reward jurisdictions that deliver on nationally significant reforms.</w:t>
      </w:r>
    </w:p>
    <w:p w14:paraId="49107D6C" w14:textId="346282B5" w:rsidR="009175F2" w:rsidRPr="00934CF0" w:rsidRDefault="009175F2" w:rsidP="009175F2">
      <w:r w:rsidRPr="00934CF0">
        <w:t>National Partnership payments are typically time limited, reflecting the nature of the project or reform involved. Funding agreements are publicly available at: www.federalfinancialrelations.gov.au.</w:t>
      </w:r>
    </w:p>
    <w:p w14:paraId="18A8828F" w14:textId="77777777" w:rsidR="009175F2" w:rsidRPr="00934CF0" w:rsidRDefault="009175F2" w:rsidP="009175F2">
      <w:pPr>
        <w:pStyle w:val="Heading3"/>
      </w:pPr>
      <w:r w:rsidRPr="00934CF0">
        <w:t xml:space="preserve">Total payments for specific purposes </w:t>
      </w:r>
    </w:p>
    <w:p w14:paraId="13A57820" w14:textId="3D9EE69D" w:rsidR="009175F2" w:rsidRPr="00934CF0" w:rsidRDefault="009175F2" w:rsidP="009175F2">
      <w:r w:rsidRPr="00934CF0">
        <w:t>In 202</w:t>
      </w:r>
      <w:r w:rsidR="00044D90" w:rsidRPr="00934CF0">
        <w:t>2</w:t>
      </w:r>
      <w:r w:rsidR="00863F4D" w:rsidRPr="00934CF0">
        <w:t>–</w:t>
      </w:r>
      <w:r w:rsidRPr="00934CF0">
        <w:t>2</w:t>
      </w:r>
      <w:r w:rsidR="00044D90" w:rsidRPr="00934CF0">
        <w:t>3</w:t>
      </w:r>
      <w:r w:rsidRPr="00934CF0">
        <w:t>, the states received $8</w:t>
      </w:r>
      <w:r w:rsidR="00C763CB" w:rsidRPr="00934CF0">
        <w:t>2</w:t>
      </w:r>
      <w:r w:rsidRPr="00934CF0">
        <w:t>.</w:t>
      </w:r>
      <w:r w:rsidR="00C763CB" w:rsidRPr="00934CF0">
        <w:t>7</w:t>
      </w:r>
      <w:r w:rsidRPr="00934CF0">
        <w:t xml:space="preserve"> billion in payments for specific purposes, which constituted 13.</w:t>
      </w:r>
      <w:r w:rsidR="005F6097" w:rsidRPr="00934CF0">
        <w:t>0</w:t>
      </w:r>
      <w:r w:rsidR="00BF7A56" w:rsidRPr="00934CF0">
        <w:t> </w:t>
      </w:r>
      <w:r w:rsidRPr="00934CF0">
        <w:t>per</w:t>
      </w:r>
      <w:r w:rsidR="00BF7A56" w:rsidRPr="00934CF0">
        <w:t> </w:t>
      </w:r>
      <w:r w:rsidRPr="00934CF0">
        <w:t>cent of total Australian Government expenditure. Total payments for specific purposes by category are shown in Table 3.2.</w:t>
      </w:r>
    </w:p>
    <w:p w14:paraId="36D12291" w14:textId="1027F4BD" w:rsidR="00E028E9" w:rsidRPr="00934CF0" w:rsidRDefault="00E028E9">
      <w:pPr>
        <w:spacing w:before="0" w:after="160" w:line="259" w:lineRule="auto"/>
      </w:pPr>
      <w:r w:rsidRPr="00934CF0">
        <w:br w:type="page"/>
      </w:r>
    </w:p>
    <w:p w14:paraId="712ADA58" w14:textId="41DB6416" w:rsidR="00490D9A" w:rsidRPr="00934CF0" w:rsidRDefault="009175F2" w:rsidP="00490D9A">
      <w:pPr>
        <w:pStyle w:val="TableHeading"/>
        <w:rPr>
          <w:sz w:val="16"/>
        </w:rPr>
      </w:pPr>
      <w:r w:rsidRPr="00934CF0">
        <w:lastRenderedPageBreak/>
        <w:t>Table 3.2: Total payments for specific purposes by category, 202</w:t>
      </w:r>
      <w:r w:rsidR="00D81CFB" w:rsidRPr="00934CF0">
        <w:t>2</w:t>
      </w:r>
      <w:r w:rsidR="00491576" w:rsidRPr="00934CF0">
        <w:softHyphen/>
      </w:r>
      <w:r w:rsidR="00B36FCD" w:rsidRPr="00934CF0">
        <w:t>–</w:t>
      </w:r>
      <w:r w:rsidRPr="00934CF0">
        <w:t>2</w:t>
      </w:r>
      <w:r w:rsidR="00D81CFB" w:rsidRPr="00934CF0">
        <w:t>3</w:t>
      </w:r>
      <w:r w:rsidR="00491576" w:rsidRPr="00934CF0">
        <w:t xml:space="preserve"> </w:t>
      </w:r>
      <w:r w:rsidR="00490D9A" w:rsidRPr="00934CF0">
        <w:fldChar w:fldCharType="begin" w:fldLock="1"/>
      </w:r>
      <w:r w:rsidR="00490D9A" w:rsidRPr="00934CF0">
        <w:instrText xml:space="preserve"> LINK Excel.Sheet.12 "https://austreasury.sharepoint.com/sites/Budget/Shared%20Documents/2022-23%20FBO/03%20Part%203/Master%20Tables/3.2%20SPP%20categories.xlsx" "Table!R8C4:R20C14" \a \f 4 \h </w:instrText>
      </w:r>
      <w:r w:rsidR="00490D9A" w:rsidRPr="00934CF0">
        <w:fldChar w:fldCharType="separate"/>
      </w:r>
    </w:p>
    <w:tbl>
      <w:tblPr>
        <w:tblW w:w="5000" w:type="pct"/>
        <w:tblCellMar>
          <w:left w:w="0" w:type="dxa"/>
          <w:right w:w="28" w:type="dxa"/>
        </w:tblCellMar>
        <w:tblLook w:val="04A0" w:firstRow="1" w:lastRow="0" w:firstColumn="1" w:lastColumn="0" w:noHBand="0" w:noVBand="1"/>
      </w:tblPr>
      <w:tblGrid>
        <w:gridCol w:w="1702"/>
        <w:gridCol w:w="547"/>
        <w:gridCol w:w="599"/>
        <w:gridCol w:w="599"/>
        <w:gridCol w:w="599"/>
        <w:gridCol w:w="599"/>
        <w:gridCol w:w="599"/>
        <w:gridCol w:w="600"/>
        <w:gridCol w:w="600"/>
        <w:gridCol w:w="600"/>
        <w:gridCol w:w="666"/>
      </w:tblGrid>
      <w:tr w:rsidR="00490D9A" w:rsidRPr="00934CF0" w14:paraId="4DC2A272" w14:textId="77777777" w:rsidTr="00490D9A">
        <w:trPr>
          <w:trHeight w:hRule="exact" w:val="225"/>
        </w:trPr>
        <w:tc>
          <w:tcPr>
            <w:tcW w:w="1041" w:type="pct"/>
            <w:tcBorders>
              <w:top w:val="single" w:sz="4" w:space="0" w:color="293F5B"/>
              <w:left w:val="nil"/>
              <w:bottom w:val="nil"/>
              <w:right w:val="nil"/>
            </w:tcBorders>
            <w:shd w:val="clear" w:color="auto" w:fill="auto"/>
            <w:noWrap/>
            <w:vAlign w:val="center"/>
            <w:hideMark/>
          </w:tcPr>
          <w:p w14:paraId="06FF41A9" w14:textId="17F6C68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$million</w:t>
            </w:r>
          </w:p>
        </w:tc>
        <w:tc>
          <w:tcPr>
            <w:tcW w:w="361" w:type="pct"/>
            <w:tcBorders>
              <w:top w:val="single" w:sz="4" w:space="0" w:color="293F5B"/>
              <w:left w:val="nil"/>
              <w:bottom w:val="nil"/>
              <w:right w:val="nil"/>
            </w:tcBorders>
            <w:shd w:val="clear" w:color="auto" w:fill="auto"/>
            <w:noWrap/>
            <w:vAlign w:val="center"/>
            <w:hideMark/>
          </w:tcPr>
          <w:p w14:paraId="0986AEE3" w14:textId="7777777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single" w:sz="4" w:space="0" w:color="293F5B"/>
              <w:right w:val="nil"/>
            </w:tcBorders>
            <w:shd w:val="clear" w:color="auto" w:fill="auto"/>
            <w:noWrap/>
            <w:vAlign w:val="center"/>
            <w:hideMark/>
          </w:tcPr>
          <w:p w14:paraId="0EF000AD"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NSW</w:t>
            </w:r>
          </w:p>
        </w:tc>
        <w:tc>
          <w:tcPr>
            <w:tcW w:w="395" w:type="pct"/>
            <w:tcBorders>
              <w:top w:val="single" w:sz="4" w:space="0" w:color="293F5B"/>
              <w:left w:val="nil"/>
              <w:bottom w:val="single" w:sz="4" w:space="0" w:color="293F5B"/>
              <w:right w:val="nil"/>
            </w:tcBorders>
            <w:shd w:val="clear" w:color="auto" w:fill="auto"/>
            <w:noWrap/>
            <w:vAlign w:val="center"/>
            <w:hideMark/>
          </w:tcPr>
          <w:p w14:paraId="2856A7E5"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VIC</w:t>
            </w:r>
          </w:p>
        </w:tc>
        <w:tc>
          <w:tcPr>
            <w:tcW w:w="395" w:type="pct"/>
            <w:tcBorders>
              <w:top w:val="single" w:sz="4" w:space="0" w:color="293F5B"/>
              <w:left w:val="nil"/>
              <w:bottom w:val="single" w:sz="4" w:space="0" w:color="293F5B"/>
              <w:right w:val="nil"/>
            </w:tcBorders>
            <w:shd w:val="clear" w:color="auto" w:fill="auto"/>
            <w:noWrap/>
            <w:vAlign w:val="center"/>
            <w:hideMark/>
          </w:tcPr>
          <w:p w14:paraId="1F73B4C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QLD</w:t>
            </w:r>
          </w:p>
        </w:tc>
        <w:tc>
          <w:tcPr>
            <w:tcW w:w="395" w:type="pct"/>
            <w:tcBorders>
              <w:top w:val="single" w:sz="4" w:space="0" w:color="293F5B"/>
              <w:left w:val="nil"/>
              <w:bottom w:val="single" w:sz="4" w:space="0" w:color="293F5B"/>
              <w:right w:val="nil"/>
            </w:tcBorders>
            <w:shd w:val="clear" w:color="auto" w:fill="auto"/>
            <w:noWrap/>
            <w:vAlign w:val="center"/>
            <w:hideMark/>
          </w:tcPr>
          <w:p w14:paraId="34EA7C00"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WA</w:t>
            </w:r>
          </w:p>
        </w:tc>
        <w:tc>
          <w:tcPr>
            <w:tcW w:w="395" w:type="pct"/>
            <w:tcBorders>
              <w:top w:val="single" w:sz="4" w:space="0" w:color="293F5B"/>
              <w:left w:val="nil"/>
              <w:bottom w:val="single" w:sz="4" w:space="0" w:color="293F5B"/>
              <w:right w:val="nil"/>
            </w:tcBorders>
            <w:shd w:val="clear" w:color="auto" w:fill="auto"/>
            <w:noWrap/>
            <w:vAlign w:val="center"/>
            <w:hideMark/>
          </w:tcPr>
          <w:p w14:paraId="22A3D9B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SA</w:t>
            </w:r>
          </w:p>
        </w:tc>
        <w:tc>
          <w:tcPr>
            <w:tcW w:w="395" w:type="pct"/>
            <w:tcBorders>
              <w:top w:val="single" w:sz="4" w:space="0" w:color="293F5B"/>
              <w:left w:val="nil"/>
              <w:bottom w:val="single" w:sz="4" w:space="0" w:color="293F5B"/>
              <w:right w:val="nil"/>
            </w:tcBorders>
            <w:shd w:val="clear" w:color="auto" w:fill="auto"/>
            <w:noWrap/>
            <w:vAlign w:val="center"/>
            <w:hideMark/>
          </w:tcPr>
          <w:p w14:paraId="02E38FBB"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TAS</w:t>
            </w:r>
          </w:p>
        </w:tc>
        <w:tc>
          <w:tcPr>
            <w:tcW w:w="395" w:type="pct"/>
            <w:tcBorders>
              <w:top w:val="single" w:sz="4" w:space="0" w:color="293F5B"/>
              <w:left w:val="nil"/>
              <w:bottom w:val="single" w:sz="4" w:space="0" w:color="293F5B"/>
              <w:right w:val="nil"/>
            </w:tcBorders>
            <w:shd w:val="clear" w:color="auto" w:fill="auto"/>
            <w:noWrap/>
            <w:vAlign w:val="center"/>
            <w:hideMark/>
          </w:tcPr>
          <w:p w14:paraId="6F0DBB6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ACT</w:t>
            </w:r>
          </w:p>
        </w:tc>
        <w:tc>
          <w:tcPr>
            <w:tcW w:w="395" w:type="pct"/>
            <w:tcBorders>
              <w:top w:val="single" w:sz="4" w:space="0" w:color="293F5B"/>
              <w:left w:val="nil"/>
              <w:bottom w:val="single" w:sz="4" w:space="0" w:color="293F5B"/>
              <w:right w:val="nil"/>
            </w:tcBorders>
            <w:shd w:val="clear" w:color="auto" w:fill="auto"/>
            <w:noWrap/>
            <w:vAlign w:val="center"/>
            <w:hideMark/>
          </w:tcPr>
          <w:p w14:paraId="7CDAEFF3"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NT</w:t>
            </w:r>
          </w:p>
        </w:tc>
        <w:tc>
          <w:tcPr>
            <w:tcW w:w="439" w:type="pct"/>
            <w:tcBorders>
              <w:top w:val="single" w:sz="4" w:space="0" w:color="293F5B"/>
              <w:left w:val="nil"/>
              <w:bottom w:val="single" w:sz="4" w:space="0" w:color="293F5B"/>
              <w:right w:val="nil"/>
            </w:tcBorders>
            <w:shd w:val="clear" w:color="000000" w:fill="E6F2FF"/>
            <w:noWrap/>
            <w:vAlign w:val="center"/>
            <w:hideMark/>
          </w:tcPr>
          <w:p w14:paraId="76344186"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Total</w:t>
            </w:r>
          </w:p>
        </w:tc>
      </w:tr>
      <w:tr w:rsidR="00490D9A" w:rsidRPr="00934CF0" w14:paraId="6B505BF4" w14:textId="77777777" w:rsidTr="00490D9A">
        <w:trPr>
          <w:trHeight w:hRule="exact" w:val="225"/>
        </w:trPr>
        <w:tc>
          <w:tcPr>
            <w:tcW w:w="1402" w:type="pct"/>
            <w:gridSpan w:val="2"/>
            <w:tcBorders>
              <w:top w:val="nil"/>
              <w:left w:val="nil"/>
              <w:bottom w:val="nil"/>
              <w:right w:val="nil"/>
            </w:tcBorders>
            <w:shd w:val="clear" w:color="auto" w:fill="auto"/>
            <w:noWrap/>
            <w:vAlign w:val="center"/>
            <w:hideMark/>
          </w:tcPr>
          <w:p w14:paraId="3EDED77D" w14:textId="7777777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National Skills and Workforce</w:t>
            </w:r>
          </w:p>
        </w:tc>
        <w:tc>
          <w:tcPr>
            <w:tcW w:w="395" w:type="pct"/>
            <w:tcBorders>
              <w:top w:val="nil"/>
              <w:left w:val="nil"/>
              <w:bottom w:val="nil"/>
              <w:right w:val="nil"/>
            </w:tcBorders>
            <w:shd w:val="clear" w:color="auto" w:fill="auto"/>
            <w:noWrap/>
            <w:vAlign w:val="center"/>
            <w:hideMark/>
          </w:tcPr>
          <w:p w14:paraId="05FDBBB8" w14:textId="77777777" w:rsidR="00490D9A" w:rsidRPr="00934CF0" w:rsidRDefault="00490D9A" w:rsidP="00490D9A">
            <w:pPr>
              <w:spacing w:before="0" w:after="0" w:line="240" w:lineRule="auto"/>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72172522"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CF87864"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32F9C05"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34816A39"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3D4D097"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653206C"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E0FBAD4" w14:textId="77777777" w:rsidR="00490D9A" w:rsidRPr="00934CF0" w:rsidRDefault="00490D9A" w:rsidP="00490D9A">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000000" w:fill="E6F2FF"/>
            <w:noWrap/>
            <w:vAlign w:val="center"/>
            <w:hideMark/>
          </w:tcPr>
          <w:p w14:paraId="6C7F50E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r>
      <w:tr w:rsidR="00490D9A" w:rsidRPr="00934CF0" w14:paraId="17B51515" w14:textId="77777777" w:rsidTr="00490D9A">
        <w:trPr>
          <w:trHeight w:hRule="exact" w:val="225"/>
        </w:trPr>
        <w:tc>
          <w:tcPr>
            <w:tcW w:w="1041" w:type="pct"/>
            <w:tcBorders>
              <w:top w:val="nil"/>
              <w:left w:val="nil"/>
              <w:bottom w:val="nil"/>
              <w:right w:val="nil"/>
            </w:tcBorders>
            <w:shd w:val="clear" w:color="auto" w:fill="auto"/>
            <w:noWrap/>
            <w:vAlign w:val="bottom"/>
            <w:hideMark/>
          </w:tcPr>
          <w:p w14:paraId="04E480FA" w14:textId="77777777" w:rsidR="00490D9A" w:rsidRPr="00934CF0" w:rsidRDefault="00490D9A" w:rsidP="00490D9A">
            <w:pPr>
              <w:spacing w:before="0" w:after="0" w:line="240" w:lineRule="auto"/>
              <w:ind w:left="170"/>
              <w:rPr>
                <w:rFonts w:ascii="Arial" w:hAnsi="Arial" w:cs="Arial"/>
                <w:sz w:val="16"/>
                <w:szCs w:val="16"/>
              </w:rPr>
            </w:pPr>
            <w:r w:rsidRPr="00934CF0">
              <w:rPr>
                <w:rFonts w:ascii="Arial" w:hAnsi="Arial" w:cs="Arial"/>
                <w:sz w:val="16"/>
                <w:szCs w:val="16"/>
              </w:rPr>
              <w:t>Development SPP(a)</w:t>
            </w:r>
          </w:p>
        </w:tc>
        <w:tc>
          <w:tcPr>
            <w:tcW w:w="361" w:type="pct"/>
            <w:tcBorders>
              <w:top w:val="nil"/>
              <w:left w:val="nil"/>
              <w:bottom w:val="nil"/>
              <w:right w:val="nil"/>
            </w:tcBorders>
            <w:shd w:val="clear" w:color="auto" w:fill="auto"/>
            <w:noWrap/>
            <w:vAlign w:val="bottom"/>
            <w:hideMark/>
          </w:tcPr>
          <w:p w14:paraId="4D34A87F" w14:textId="77777777" w:rsidR="00490D9A" w:rsidRPr="00934CF0" w:rsidRDefault="00490D9A" w:rsidP="00490D9A">
            <w:pPr>
              <w:spacing w:before="0" w:after="0" w:line="240" w:lineRule="auto"/>
              <w:ind w:firstLineChars="100" w:firstLine="160"/>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7830FA62"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504</w:t>
            </w:r>
          </w:p>
        </w:tc>
        <w:tc>
          <w:tcPr>
            <w:tcW w:w="395" w:type="pct"/>
            <w:tcBorders>
              <w:top w:val="nil"/>
              <w:left w:val="nil"/>
              <w:bottom w:val="nil"/>
              <w:right w:val="nil"/>
            </w:tcBorders>
            <w:shd w:val="clear" w:color="auto" w:fill="auto"/>
            <w:noWrap/>
            <w:vAlign w:val="center"/>
            <w:hideMark/>
          </w:tcPr>
          <w:p w14:paraId="0A02712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410</w:t>
            </w:r>
          </w:p>
        </w:tc>
        <w:tc>
          <w:tcPr>
            <w:tcW w:w="395" w:type="pct"/>
            <w:tcBorders>
              <w:top w:val="nil"/>
              <w:left w:val="nil"/>
              <w:bottom w:val="nil"/>
              <w:right w:val="nil"/>
            </w:tcBorders>
            <w:shd w:val="clear" w:color="auto" w:fill="auto"/>
            <w:noWrap/>
            <w:vAlign w:val="center"/>
            <w:hideMark/>
          </w:tcPr>
          <w:p w14:paraId="1ABC6A4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329</w:t>
            </w:r>
          </w:p>
        </w:tc>
        <w:tc>
          <w:tcPr>
            <w:tcW w:w="395" w:type="pct"/>
            <w:tcBorders>
              <w:top w:val="nil"/>
              <w:left w:val="nil"/>
              <w:bottom w:val="nil"/>
              <w:right w:val="nil"/>
            </w:tcBorders>
            <w:shd w:val="clear" w:color="auto" w:fill="auto"/>
            <w:noWrap/>
            <w:vAlign w:val="center"/>
            <w:hideMark/>
          </w:tcPr>
          <w:p w14:paraId="494699C2"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173</w:t>
            </w:r>
          </w:p>
        </w:tc>
        <w:tc>
          <w:tcPr>
            <w:tcW w:w="395" w:type="pct"/>
            <w:tcBorders>
              <w:top w:val="nil"/>
              <w:left w:val="nil"/>
              <w:bottom w:val="nil"/>
              <w:right w:val="nil"/>
            </w:tcBorders>
            <w:shd w:val="clear" w:color="auto" w:fill="auto"/>
            <w:noWrap/>
            <w:vAlign w:val="center"/>
            <w:hideMark/>
          </w:tcPr>
          <w:p w14:paraId="34859180"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112</w:t>
            </w:r>
          </w:p>
        </w:tc>
        <w:tc>
          <w:tcPr>
            <w:tcW w:w="395" w:type="pct"/>
            <w:tcBorders>
              <w:top w:val="nil"/>
              <w:left w:val="nil"/>
              <w:bottom w:val="nil"/>
              <w:right w:val="nil"/>
            </w:tcBorders>
            <w:shd w:val="clear" w:color="auto" w:fill="auto"/>
            <w:noWrap/>
            <w:vAlign w:val="center"/>
            <w:hideMark/>
          </w:tcPr>
          <w:p w14:paraId="032BB62B"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35</w:t>
            </w:r>
          </w:p>
        </w:tc>
        <w:tc>
          <w:tcPr>
            <w:tcW w:w="395" w:type="pct"/>
            <w:tcBorders>
              <w:top w:val="nil"/>
              <w:left w:val="nil"/>
              <w:bottom w:val="nil"/>
              <w:right w:val="nil"/>
            </w:tcBorders>
            <w:shd w:val="clear" w:color="auto" w:fill="auto"/>
            <w:noWrap/>
            <w:vAlign w:val="center"/>
            <w:hideMark/>
          </w:tcPr>
          <w:p w14:paraId="3EF83ADB"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28</w:t>
            </w:r>
          </w:p>
        </w:tc>
        <w:tc>
          <w:tcPr>
            <w:tcW w:w="395" w:type="pct"/>
            <w:tcBorders>
              <w:top w:val="nil"/>
              <w:left w:val="nil"/>
              <w:bottom w:val="nil"/>
              <w:right w:val="nil"/>
            </w:tcBorders>
            <w:shd w:val="clear" w:color="auto" w:fill="auto"/>
            <w:noWrap/>
            <w:vAlign w:val="center"/>
            <w:hideMark/>
          </w:tcPr>
          <w:p w14:paraId="53F6B5FB"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15</w:t>
            </w:r>
          </w:p>
        </w:tc>
        <w:tc>
          <w:tcPr>
            <w:tcW w:w="439" w:type="pct"/>
            <w:tcBorders>
              <w:top w:val="nil"/>
              <w:left w:val="nil"/>
              <w:bottom w:val="nil"/>
              <w:right w:val="nil"/>
            </w:tcBorders>
            <w:shd w:val="clear" w:color="000000" w:fill="E6F2FF"/>
            <w:noWrap/>
            <w:vAlign w:val="center"/>
            <w:hideMark/>
          </w:tcPr>
          <w:p w14:paraId="3AB04789"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1,608</w:t>
            </w:r>
          </w:p>
        </w:tc>
      </w:tr>
      <w:tr w:rsidR="00490D9A" w:rsidRPr="00934CF0" w14:paraId="1F8538CA" w14:textId="77777777" w:rsidTr="00490D9A">
        <w:trPr>
          <w:trHeight w:hRule="exact" w:val="225"/>
        </w:trPr>
        <w:tc>
          <w:tcPr>
            <w:tcW w:w="1041" w:type="pct"/>
            <w:tcBorders>
              <w:top w:val="nil"/>
              <w:left w:val="nil"/>
              <w:bottom w:val="nil"/>
              <w:right w:val="nil"/>
            </w:tcBorders>
            <w:shd w:val="clear" w:color="auto" w:fill="auto"/>
            <w:noWrap/>
            <w:vAlign w:val="center"/>
            <w:hideMark/>
          </w:tcPr>
          <w:p w14:paraId="18F696F4" w14:textId="7777777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National Health Reform</w:t>
            </w:r>
          </w:p>
        </w:tc>
        <w:tc>
          <w:tcPr>
            <w:tcW w:w="361" w:type="pct"/>
            <w:tcBorders>
              <w:top w:val="nil"/>
              <w:left w:val="nil"/>
              <w:bottom w:val="nil"/>
              <w:right w:val="nil"/>
            </w:tcBorders>
            <w:shd w:val="clear" w:color="auto" w:fill="auto"/>
            <w:noWrap/>
            <w:vAlign w:val="center"/>
            <w:hideMark/>
          </w:tcPr>
          <w:p w14:paraId="4709DDB1" w14:textId="77777777" w:rsidR="00490D9A" w:rsidRPr="00934CF0" w:rsidRDefault="00490D9A" w:rsidP="00490D9A">
            <w:pPr>
              <w:spacing w:before="0" w:after="0" w:line="240" w:lineRule="auto"/>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608A9AFA" w14:textId="77777777" w:rsidR="00490D9A" w:rsidRPr="00934CF0" w:rsidRDefault="00490D9A" w:rsidP="00490D9A">
            <w:pPr>
              <w:spacing w:before="0" w:after="0" w:line="240" w:lineRule="auto"/>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40685431"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D72C0CD"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365B72FB"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D56E06C"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38EC75E3"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273599C"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E418ED5" w14:textId="77777777" w:rsidR="00490D9A" w:rsidRPr="00934CF0" w:rsidRDefault="00490D9A" w:rsidP="00490D9A">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000000" w:fill="E6F2FF"/>
            <w:noWrap/>
            <w:vAlign w:val="center"/>
            <w:hideMark/>
          </w:tcPr>
          <w:p w14:paraId="3411876D"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r>
      <w:tr w:rsidR="00490D9A" w:rsidRPr="00934CF0" w14:paraId="3057FCA4" w14:textId="77777777" w:rsidTr="00490D9A">
        <w:trPr>
          <w:trHeight w:hRule="exact" w:val="225"/>
        </w:trPr>
        <w:tc>
          <w:tcPr>
            <w:tcW w:w="1041" w:type="pct"/>
            <w:tcBorders>
              <w:top w:val="nil"/>
              <w:left w:val="nil"/>
              <w:bottom w:val="nil"/>
              <w:right w:val="nil"/>
            </w:tcBorders>
            <w:shd w:val="clear" w:color="auto" w:fill="auto"/>
            <w:noWrap/>
            <w:vAlign w:val="bottom"/>
            <w:hideMark/>
          </w:tcPr>
          <w:p w14:paraId="54E06F34" w14:textId="77777777" w:rsidR="00490D9A" w:rsidRPr="00934CF0" w:rsidRDefault="00490D9A" w:rsidP="00490D9A">
            <w:pPr>
              <w:spacing w:before="0" w:after="0" w:line="240" w:lineRule="auto"/>
              <w:ind w:left="170"/>
              <w:rPr>
                <w:rFonts w:ascii="Arial" w:hAnsi="Arial" w:cs="Arial"/>
                <w:sz w:val="16"/>
                <w:szCs w:val="16"/>
              </w:rPr>
            </w:pPr>
            <w:r w:rsidRPr="00934CF0">
              <w:rPr>
                <w:rFonts w:ascii="Arial" w:hAnsi="Arial" w:cs="Arial"/>
                <w:sz w:val="16"/>
                <w:szCs w:val="16"/>
              </w:rPr>
              <w:t>funding(b)</w:t>
            </w:r>
          </w:p>
        </w:tc>
        <w:tc>
          <w:tcPr>
            <w:tcW w:w="361" w:type="pct"/>
            <w:tcBorders>
              <w:top w:val="nil"/>
              <w:left w:val="nil"/>
              <w:bottom w:val="nil"/>
              <w:right w:val="nil"/>
            </w:tcBorders>
            <w:shd w:val="clear" w:color="auto" w:fill="auto"/>
            <w:noWrap/>
            <w:vAlign w:val="bottom"/>
            <w:hideMark/>
          </w:tcPr>
          <w:p w14:paraId="41170538" w14:textId="77777777" w:rsidR="00490D9A" w:rsidRPr="00934CF0" w:rsidRDefault="00490D9A" w:rsidP="00490D9A">
            <w:pPr>
              <w:spacing w:before="0" w:after="0" w:line="240" w:lineRule="auto"/>
              <w:ind w:firstLineChars="100" w:firstLine="160"/>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2B2FFB5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8,618</w:t>
            </w:r>
          </w:p>
        </w:tc>
        <w:tc>
          <w:tcPr>
            <w:tcW w:w="395" w:type="pct"/>
            <w:tcBorders>
              <w:top w:val="nil"/>
              <w:left w:val="nil"/>
              <w:bottom w:val="nil"/>
              <w:right w:val="nil"/>
            </w:tcBorders>
            <w:shd w:val="clear" w:color="auto" w:fill="auto"/>
            <w:noWrap/>
            <w:vAlign w:val="center"/>
            <w:hideMark/>
          </w:tcPr>
          <w:p w14:paraId="6AC9920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7,830</w:t>
            </w:r>
          </w:p>
        </w:tc>
        <w:tc>
          <w:tcPr>
            <w:tcW w:w="395" w:type="pct"/>
            <w:tcBorders>
              <w:top w:val="nil"/>
              <w:left w:val="nil"/>
              <w:bottom w:val="nil"/>
              <w:right w:val="nil"/>
            </w:tcBorders>
            <w:shd w:val="clear" w:color="auto" w:fill="auto"/>
            <w:noWrap/>
            <w:vAlign w:val="center"/>
            <w:hideMark/>
          </w:tcPr>
          <w:p w14:paraId="51F38EC0"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6,226</w:t>
            </w:r>
          </w:p>
        </w:tc>
        <w:tc>
          <w:tcPr>
            <w:tcW w:w="395" w:type="pct"/>
            <w:tcBorders>
              <w:top w:val="nil"/>
              <w:left w:val="nil"/>
              <w:bottom w:val="nil"/>
              <w:right w:val="nil"/>
            </w:tcBorders>
            <w:shd w:val="clear" w:color="auto" w:fill="auto"/>
            <w:noWrap/>
            <w:vAlign w:val="center"/>
            <w:hideMark/>
          </w:tcPr>
          <w:p w14:paraId="07B839CA"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2,869</w:t>
            </w:r>
          </w:p>
        </w:tc>
        <w:tc>
          <w:tcPr>
            <w:tcW w:w="395" w:type="pct"/>
            <w:tcBorders>
              <w:top w:val="nil"/>
              <w:left w:val="nil"/>
              <w:bottom w:val="nil"/>
              <w:right w:val="nil"/>
            </w:tcBorders>
            <w:shd w:val="clear" w:color="auto" w:fill="auto"/>
            <w:noWrap/>
            <w:vAlign w:val="center"/>
            <w:hideMark/>
          </w:tcPr>
          <w:p w14:paraId="418DAC49"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1,871</w:t>
            </w:r>
          </w:p>
        </w:tc>
        <w:tc>
          <w:tcPr>
            <w:tcW w:w="395" w:type="pct"/>
            <w:tcBorders>
              <w:top w:val="nil"/>
              <w:left w:val="nil"/>
              <w:bottom w:val="nil"/>
              <w:right w:val="nil"/>
            </w:tcBorders>
            <w:shd w:val="clear" w:color="auto" w:fill="auto"/>
            <w:noWrap/>
            <w:vAlign w:val="center"/>
            <w:hideMark/>
          </w:tcPr>
          <w:p w14:paraId="7317454F"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612</w:t>
            </w:r>
          </w:p>
        </w:tc>
        <w:tc>
          <w:tcPr>
            <w:tcW w:w="395" w:type="pct"/>
            <w:tcBorders>
              <w:top w:val="nil"/>
              <w:left w:val="nil"/>
              <w:bottom w:val="nil"/>
              <w:right w:val="nil"/>
            </w:tcBorders>
            <w:shd w:val="clear" w:color="auto" w:fill="auto"/>
            <w:noWrap/>
            <w:vAlign w:val="center"/>
            <w:hideMark/>
          </w:tcPr>
          <w:p w14:paraId="5ECACAE7"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522</w:t>
            </w:r>
          </w:p>
        </w:tc>
        <w:tc>
          <w:tcPr>
            <w:tcW w:w="395" w:type="pct"/>
            <w:tcBorders>
              <w:top w:val="nil"/>
              <w:left w:val="nil"/>
              <w:bottom w:val="nil"/>
              <w:right w:val="nil"/>
            </w:tcBorders>
            <w:shd w:val="clear" w:color="auto" w:fill="auto"/>
            <w:noWrap/>
            <w:vAlign w:val="center"/>
            <w:hideMark/>
          </w:tcPr>
          <w:p w14:paraId="24D6ECA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407</w:t>
            </w:r>
          </w:p>
        </w:tc>
        <w:tc>
          <w:tcPr>
            <w:tcW w:w="439" w:type="pct"/>
            <w:tcBorders>
              <w:top w:val="nil"/>
              <w:left w:val="nil"/>
              <w:bottom w:val="nil"/>
              <w:right w:val="nil"/>
            </w:tcBorders>
            <w:shd w:val="clear" w:color="000000" w:fill="E6F2FF"/>
            <w:noWrap/>
            <w:vAlign w:val="center"/>
            <w:hideMark/>
          </w:tcPr>
          <w:p w14:paraId="6441188E"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28,954</w:t>
            </w:r>
          </w:p>
        </w:tc>
      </w:tr>
      <w:tr w:rsidR="00490D9A" w:rsidRPr="00934CF0" w14:paraId="1A82946A" w14:textId="77777777" w:rsidTr="00490D9A">
        <w:trPr>
          <w:trHeight w:hRule="exact" w:val="225"/>
        </w:trPr>
        <w:tc>
          <w:tcPr>
            <w:tcW w:w="1402" w:type="pct"/>
            <w:gridSpan w:val="2"/>
            <w:tcBorders>
              <w:top w:val="nil"/>
              <w:left w:val="nil"/>
              <w:bottom w:val="nil"/>
              <w:right w:val="nil"/>
            </w:tcBorders>
            <w:shd w:val="clear" w:color="auto" w:fill="auto"/>
            <w:noWrap/>
            <w:vAlign w:val="center"/>
            <w:hideMark/>
          </w:tcPr>
          <w:p w14:paraId="3A83FF7D" w14:textId="7777777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Quality Schools funding(c)</w:t>
            </w:r>
          </w:p>
        </w:tc>
        <w:tc>
          <w:tcPr>
            <w:tcW w:w="395" w:type="pct"/>
            <w:tcBorders>
              <w:top w:val="nil"/>
              <w:left w:val="nil"/>
              <w:bottom w:val="nil"/>
              <w:right w:val="nil"/>
            </w:tcBorders>
            <w:shd w:val="clear" w:color="auto" w:fill="auto"/>
            <w:noWrap/>
            <w:vAlign w:val="center"/>
            <w:hideMark/>
          </w:tcPr>
          <w:p w14:paraId="74ED2511"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8,143</w:t>
            </w:r>
          </w:p>
        </w:tc>
        <w:tc>
          <w:tcPr>
            <w:tcW w:w="395" w:type="pct"/>
            <w:tcBorders>
              <w:top w:val="nil"/>
              <w:left w:val="nil"/>
              <w:bottom w:val="nil"/>
              <w:right w:val="nil"/>
            </w:tcBorders>
            <w:shd w:val="clear" w:color="auto" w:fill="auto"/>
            <w:noWrap/>
            <w:vAlign w:val="center"/>
            <w:hideMark/>
          </w:tcPr>
          <w:p w14:paraId="48B3E207"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6,712</w:t>
            </w:r>
          </w:p>
        </w:tc>
        <w:tc>
          <w:tcPr>
            <w:tcW w:w="395" w:type="pct"/>
            <w:tcBorders>
              <w:top w:val="nil"/>
              <w:left w:val="nil"/>
              <w:bottom w:val="nil"/>
              <w:right w:val="nil"/>
            </w:tcBorders>
            <w:shd w:val="clear" w:color="auto" w:fill="auto"/>
            <w:noWrap/>
            <w:vAlign w:val="center"/>
            <w:hideMark/>
          </w:tcPr>
          <w:p w14:paraId="37F3134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5,895</w:t>
            </w:r>
          </w:p>
        </w:tc>
        <w:tc>
          <w:tcPr>
            <w:tcW w:w="395" w:type="pct"/>
            <w:tcBorders>
              <w:top w:val="nil"/>
              <w:left w:val="nil"/>
              <w:bottom w:val="nil"/>
              <w:right w:val="nil"/>
            </w:tcBorders>
            <w:shd w:val="clear" w:color="auto" w:fill="auto"/>
            <w:noWrap/>
            <w:vAlign w:val="center"/>
            <w:hideMark/>
          </w:tcPr>
          <w:p w14:paraId="0336E0B0"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2,822</w:t>
            </w:r>
          </w:p>
        </w:tc>
        <w:tc>
          <w:tcPr>
            <w:tcW w:w="395" w:type="pct"/>
            <w:tcBorders>
              <w:top w:val="nil"/>
              <w:left w:val="nil"/>
              <w:bottom w:val="nil"/>
              <w:right w:val="nil"/>
            </w:tcBorders>
            <w:shd w:val="clear" w:color="auto" w:fill="auto"/>
            <w:noWrap/>
            <w:vAlign w:val="center"/>
            <w:hideMark/>
          </w:tcPr>
          <w:p w14:paraId="6B56704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1,969</w:t>
            </w:r>
          </w:p>
        </w:tc>
        <w:tc>
          <w:tcPr>
            <w:tcW w:w="395" w:type="pct"/>
            <w:tcBorders>
              <w:top w:val="nil"/>
              <w:left w:val="nil"/>
              <w:bottom w:val="nil"/>
              <w:right w:val="nil"/>
            </w:tcBorders>
            <w:shd w:val="clear" w:color="auto" w:fill="auto"/>
            <w:noWrap/>
            <w:vAlign w:val="center"/>
            <w:hideMark/>
          </w:tcPr>
          <w:p w14:paraId="6E1DC09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602</w:t>
            </w:r>
          </w:p>
        </w:tc>
        <w:tc>
          <w:tcPr>
            <w:tcW w:w="395" w:type="pct"/>
            <w:tcBorders>
              <w:top w:val="nil"/>
              <w:left w:val="nil"/>
              <w:bottom w:val="nil"/>
              <w:right w:val="nil"/>
            </w:tcBorders>
            <w:shd w:val="clear" w:color="auto" w:fill="auto"/>
            <w:noWrap/>
            <w:vAlign w:val="center"/>
            <w:hideMark/>
          </w:tcPr>
          <w:p w14:paraId="067324C6"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414</w:t>
            </w:r>
          </w:p>
        </w:tc>
        <w:tc>
          <w:tcPr>
            <w:tcW w:w="395" w:type="pct"/>
            <w:tcBorders>
              <w:top w:val="nil"/>
              <w:left w:val="nil"/>
              <w:bottom w:val="nil"/>
              <w:right w:val="nil"/>
            </w:tcBorders>
            <w:shd w:val="clear" w:color="auto" w:fill="auto"/>
            <w:noWrap/>
            <w:vAlign w:val="center"/>
            <w:hideMark/>
          </w:tcPr>
          <w:p w14:paraId="0A567C67"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442</w:t>
            </w:r>
          </w:p>
        </w:tc>
        <w:tc>
          <w:tcPr>
            <w:tcW w:w="439" w:type="pct"/>
            <w:tcBorders>
              <w:top w:val="nil"/>
              <w:left w:val="nil"/>
              <w:bottom w:val="nil"/>
              <w:right w:val="nil"/>
            </w:tcBorders>
            <w:shd w:val="clear" w:color="000000" w:fill="E6F2FF"/>
            <w:noWrap/>
            <w:vAlign w:val="center"/>
            <w:hideMark/>
          </w:tcPr>
          <w:p w14:paraId="32EF1EEF"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27,000</w:t>
            </w:r>
          </w:p>
        </w:tc>
      </w:tr>
      <w:tr w:rsidR="00490D9A" w:rsidRPr="00934CF0" w14:paraId="640B3FEF" w14:textId="77777777" w:rsidTr="00490D9A">
        <w:trPr>
          <w:trHeight w:hRule="exact" w:val="225"/>
        </w:trPr>
        <w:tc>
          <w:tcPr>
            <w:tcW w:w="1041" w:type="pct"/>
            <w:tcBorders>
              <w:top w:val="nil"/>
              <w:left w:val="nil"/>
              <w:bottom w:val="nil"/>
              <w:right w:val="nil"/>
            </w:tcBorders>
            <w:shd w:val="clear" w:color="auto" w:fill="auto"/>
            <w:noWrap/>
            <w:vAlign w:val="center"/>
            <w:hideMark/>
          </w:tcPr>
          <w:p w14:paraId="1E8454F7" w14:textId="7777777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National Housing and</w:t>
            </w:r>
          </w:p>
        </w:tc>
        <w:tc>
          <w:tcPr>
            <w:tcW w:w="361" w:type="pct"/>
            <w:tcBorders>
              <w:top w:val="nil"/>
              <w:left w:val="nil"/>
              <w:bottom w:val="nil"/>
              <w:right w:val="nil"/>
            </w:tcBorders>
            <w:shd w:val="clear" w:color="auto" w:fill="auto"/>
            <w:noWrap/>
            <w:vAlign w:val="center"/>
            <w:hideMark/>
          </w:tcPr>
          <w:p w14:paraId="55BC52E2" w14:textId="77777777" w:rsidR="00490D9A" w:rsidRPr="00934CF0" w:rsidRDefault="00490D9A" w:rsidP="00490D9A">
            <w:pPr>
              <w:spacing w:before="0" w:after="0" w:line="240" w:lineRule="auto"/>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34C4890F" w14:textId="77777777" w:rsidR="00490D9A" w:rsidRPr="00934CF0" w:rsidRDefault="00490D9A" w:rsidP="00490D9A">
            <w:pPr>
              <w:spacing w:before="0" w:after="0" w:line="240" w:lineRule="auto"/>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2CADFEF"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BFDCBB5"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027CD093"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095A4796"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778F11A"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25C65857"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4537CD5C" w14:textId="77777777" w:rsidR="00490D9A" w:rsidRPr="00934CF0" w:rsidRDefault="00490D9A" w:rsidP="00490D9A">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000000" w:fill="E6F2FF"/>
            <w:noWrap/>
            <w:vAlign w:val="center"/>
            <w:hideMark/>
          </w:tcPr>
          <w:p w14:paraId="08CE0E67"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r>
      <w:tr w:rsidR="00490D9A" w:rsidRPr="00934CF0" w14:paraId="043E7FC9" w14:textId="77777777" w:rsidTr="00490D9A">
        <w:trPr>
          <w:trHeight w:hRule="exact" w:val="225"/>
        </w:trPr>
        <w:tc>
          <w:tcPr>
            <w:tcW w:w="1041" w:type="pct"/>
            <w:tcBorders>
              <w:top w:val="nil"/>
              <w:left w:val="nil"/>
              <w:bottom w:val="nil"/>
              <w:right w:val="nil"/>
            </w:tcBorders>
            <w:shd w:val="clear" w:color="auto" w:fill="auto"/>
            <w:noWrap/>
            <w:vAlign w:val="center"/>
            <w:hideMark/>
          </w:tcPr>
          <w:p w14:paraId="1EA0AEB5" w14:textId="77777777" w:rsidR="00490D9A" w:rsidRPr="00934CF0" w:rsidRDefault="00490D9A" w:rsidP="00490D9A">
            <w:pPr>
              <w:spacing w:before="0" w:after="0" w:line="240" w:lineRule="auto"/>
              <w:ind w:left="170"/>
              <w:rPr>
                <w:rFonts w:ascii="Arial" w:hAnsi="Arial" w:cs="Arial"/>
                <w:sz w:val="16"/>
                <w:szCs w:val="16"/>
              </w:rPr>
            </w:pPr>
            <w:r w:rsidRPr="00934CF0">
              <w:rPr>
                <w:rFonts w:ascii="Arial" w:hAnsi="Arial" w:cs="Arial"/>
                <w:sz w:val="16"/>
                <w:szCs w:val="16"/>
              </w:rPr>
              <w:t xml:space="preserve">Homelessness </w:t>
            </w:r>
          </w:p>
        </w:tc>
        <w:tc>
          <w:tcPr>
            <w:tcW w:w="361" w:type="pct"/>
            <w:tcBorders>
              <w:top w:val="nil"/>
              <w:left w:val="nil"/>
              <w:bottom w:val="nil"/>
              <w:right w:val="nil"/>
            </w:tcBorders>
            <w:shd w:val="clear" w:color="auto" w:fill="auto"/>
            <w:noWrap/>
            <w:vAlign w:val="center"/>
            <w:hideMark/>
          </w:tcPr>
          <w:p w14:paraId="155B2B66" w14:textId="77777777" w:rsidR="00490D9A" w:rsidRPr="00934CF0" w:rsidRDefault="00490D9A" w:rsidP="00490D9A">
            <w:pPr>
              <w:spacing w:before="0" w:after="0" w:line="240" w:lineRule="auto"/>
              <w:ind w:firstLineChars="100" w:firstLine="160"/>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659CB322" w14:textId="77777777" w:rsidR="00490D9A" w:rsidRPr="00934CF0" w:rsidRDefault="00490D9A" w:rsidP="00490D9A">
            <w:pPr>
              <w:spacing w:before="0" w:after="0" w:line="240" w:lineRule="auto"/>
              <w:ind w:firstLineChars="100" w:firstLine="200"/>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4790F957"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1FBA5E37"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4BBD3521"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34AC01F7"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45D42571"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6AD292E"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C11AE56" w14:textId="77777777" w:rsidR="00490D9A" w:rsidRPr="00934CF0" w:rsidRDefault="00490D9A" w:rsidP="00490D9A">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000000" w:fill="E6F2FF"/>
            <w:noWrap/>
            <w:vAlign w:val="center"/>
            <w:hideMark/>
          </w:tcPr>
          <w:p w14:paraId="7D5A1758"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r>
      <w:tr w:rsidR="00490D9A" w:rsidRPr="00934CF0" w14:paraId="4FD15E00" w14:textId="77777777" w:rsidTr="00490D9A">
        <w:trPr>
          <w:trHeight w:hRule="exact" w:val="225"/>
        </w:trPr>
        <w:tc>
          <w:tcPr>
            <w:tcW w:w="1041" w:type="pct"/>
            <w:tcBorders>
              <w:top w:val="nil"/>
              <w:left w:val="nil"/>
              <w:bottom w:val="nil"/>
              <w:right w:val="nil"/>
            </w:tcBorders>
            <w:shd w:val="clear" w:color="auto" w:fill="auto"/>
            <w:noWrap/>
            <w:vAlign w:val="center"/>
            <w:hideMark/>
          </w:tcPr>
          <w:p w14:paraId="6CB8FC63" w14:textId="77777777" w:rsidR="00490D9A" w:rsidRPr="00934CF0" w:rsidRDefault="00490D9A" w:rsidP="00490D9A">
            <w:pPr>
              <w:spacing w:before="0" w:after="0" w:line="240" w:lineRule="auto"/>
              <w:ind w:left="170"/>
              <w:rPr>
                <w:rFonts w:ascii="Arial" w:hAnsi="Arial" w:cs="Arial"/>
                <w:sz w:val="16"/>
                <w:szCs w:val="16"/>
              </w:rPr>
            </w:pPr>
            <w:r w:rsidRPr="00934CF0">
              <w:rPr>
                <w:rFonts w:ascii="Arial" w:hAnsi="Arial" w:cs="Arial"/>
                <w:sz w:val="16"/>
                <w:szCs w:val="16"/>
              </w:rPr>
              <w:t>funding(d)</w:t>
            </w:r>
          </w:p>
        </w:tc>
        <w:tc>
          <w:tcPr>
            <w:tcW w:w="361" w:type="pct"/>
            <w:tcBorders>
              <w:top w:val="nil"/>
              <w:left w:val="nil"/>
              <w:bottom w:val="nil"/>
              <w:right w:val="nil"/>
            </w:tcBorders>
            <w:shd w:val="clear" w:color="auto" w:fill="auto"/>
            <w:noWrap/>
            <w:vAlign w:val="center"/>
            <w:hideMark/>
          </w:tcPr>
          <w:p w14:paraId="0FB74EEA" w14:textId="77777777" w:rsidR="00490D9A" w:rsidRPr="00934CF0" w:rsidRDefault="00490D9A" w:rsidP="00490D9A">
            <w:pPr>
              <w:spacing w:before="0" w:after="0" w:line="240" w:lineRule="auto"/>
              <w:ind w:firstLineChars="100" w:firstLine="160"/>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065B1EAF"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499</w:t>
            </w:r>
          </w:p>
        </w:tc>
        <w:tc>
          <w:tcPr>
            <w:tcW w:w="395" w:type="pct"/>
            <w:tcBorders>
              <w:top w:val="nil"/>
              <w:left w:val="nil"/>
              <w:bottom w:val="nil"/>
              <w:right w:val="nil"/>
            </w:tcBorders>
            <w:shd w:val="clear" w:color="auto" w:fill="auto"/>
            <w:noWrap/>
            <w:vAlign w:val="center"/>
            <w:hideMark/>
          </w:tcPr>
          <w:p w14:paraId="70B4D179"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419</w:t>
            </w:r>
          </w:p>
        </w:tc>
        <w:tc>
          <w:tcPr>
            <w:tcW w:w="395" w:type="pct"/>
            <w:tcBorders>
              <w:top w:val="nil"/>
              <w:left w:val="nil"/>
              <w:bottom w:val="nil"/>
              <w:right w:val="nil"/>
            </w:tcBorders>
            <w:shd w:val="clear" w:color="auto" w:fill="auto"/>
            <w:noWrap/>
            <w:vAlign w:val="center"/>
            <w:hideMark/>
          </w:tcPr>
          <w:p w14:paraId="63D50E1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342</w:t>
            </w:r>
          </w:p>
        </w:tc>
        <w:tc>
          <w:tcPr>
            <w:tcW w:w="395" w:type="pct"/>
            <w:tcBorders>
              <w:top w:val="nil"/>
              <w:left w:val="nil"/>
              <w:bottom w:val="nil"/>
              <w:right w:val="nil"/>
            </w:tcBorders>
            <w:shd w:val="clear" w:color="auto" w:fill="auto"/>
            <w:noWrap/>
            <w:vAlign w:val="center"/>
            <w:hideMark/>
          </w:tcPr>
          <w:p w14:paraId="7F8B2B73"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182</w:t>
            </w:r>
          </w:p>
        </w:tc>
        <w:tc>
          <w:tcPr>
            <w:tcW w:w="395" w:type="pct"/>
            <w:tcBorders>
              <w:top w:val="nil"/>
              <w:left w:val="nil"/>
              <w:bottom w:val="nil"/>
              <w:right w:val="nil"/>
            </w:tcBorders>
            <w:shd w:val="clear" w:color="auto" w:fill="auto"/>
            <w:noWrap/>
            <w:vAlign w:val="center"/>
            <w:hideMark/>
          </w:tcPr>
          <w:p w14:paraId="190ECE78"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116</w:t>
            </w:r>
          </w:p>
        </w:tc>
        <w:tc>
          <w:tcPr>
            <w:tcW w:w="395" w:type="pct"/>
            <w:tcBorders>
              <w:top w:val="nil"/>
              <w:left w:val="nil"/>
              <w:bottom w:val="nil"/>
              <w:right w:val="nil"/>
            </w:tcBorders>
            <w:shd w:val="clear" w:color="auto" w:fill="auto"/>
            <w:noWrap/>
            <w:vAlign w:val="center"/>
            <w:hideMark/>
          </w:tcPr>
          <w:p w14:paraId="68139673"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37</w:t>
            </w:r>
          </w:p>
        </w:tc>
        <w:tc>
          <w:tcPr>
            <w:tcW w:w="395" w:type="pct"/>
            <w:tcBorders>
              <w:top w:val="nil"/>
              <w:left w:val="nil"/>
              <w:bottom w:val="nil"/>
              <w:right w:val="nil"/>
            </w:tcBorders>
            <w:shd w:val="clear" w:color="auto" w:fill="auto"/>
            <w:noWrap/>
            <w:vAlign w:val="center"/>
            <w:hideMark/>
          </w:tcPr>
          <w:p w14:paraId="527FB735"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29</w:t>
            </w:r>
          </w:p>
        </w:tc>
        <w:tc>
          <w:tcPr>
            <w:tcW w:w="395" w:type="pct"/>
            <w:tcBorders>
              <w:top w:val="nil"/>
              <w:left w:val="nil"/>
              <w:bottom w:val="nil"/>
              <w:right w:val="nil"/>
            </w:tcBorders>
            <w:shd w:val="clear" w:color="auto" w:fill="auto"/>
            <w:noWrap/>
            <w:vAlign w:val="center"/>
            <w:hideMark/>
          </w:tcPr>
          <w:p w14:paraId="08A448A5"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21</w:t>
            </w:r>
          </w:p>
        </w:tc>
        <w:tc>
          <w:tcPr>
            <w:tcW w:w="439" w:type="pct"/>
            <w:tcBorders>
              <w:top w:val="nil"/>
              <w:left w:val="nil"/>
              <w:bottom w:val="nil"/>
              <w:right w:val="nil"/>
            </w:tcBorders>
            <w:shd w:val="clear" w:color="000000" w:fill="E6F2FF"/>
            <w:noWrap/>
            <w:vAlign w:val="center"/>
            <w:hideMark/>
          </w:tcPr>
          <w:p w14:paraId="218393FF"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1,646</w:t>
            </w:r>
          </w:p>
        </w:tc>
      </w:tr>
      <w:tr w:rsidR="00490D9A" w:rsidRPr="00934CF0" w14:paraId="5643D62F" w14:textId="77777777" w:rsidTr="00490D9A">
        <w:trPr>
          <w:trHeight w:hRule="exact" w:val="225"/>
        </w:trPr>
        <w:tc>
          <w:tcPr>
            <w:tcW w:w="1041" w:type="pct"/>
            <w:tcBorders>
              <w:top w:val="nil"/>
              <w:left w:val="nil"/>
              <w:bottom w:val="nil"/>
              <w:right w:val="nil"/>
            </w:tcBorders>
            <w:shd w:val="clear" w:color="auto" w:fill="auto"/>
            <w:noWrap/>
            <w:vAlign w:val="center"/>
            <w:hideMark/>
          </w:tcPr>
          <w:p w14:paraId="2E1000F7" w14:textId="77777777" w:rsidR="00490D9A" w:rsidRPr="00934CF0" w:rsidRDefault="00490D9A" w:rsidP="00490D9A">
            <w:pPr>
              <w:spacing w:before="0" w:after="0" w:line="240" w:lineRule="auto"/>
              <w:rPr>
                <w:rFonts w:ascii="Arial" w:hAnsi="Arial" w:cs="Arial"/>
                <w:sz w:val="16"/>
                <w:szCs w:val="16"/>
              </w:rPr>
            </w:pPr>
            <w:r w:rsidRPr="00934CF0">
              <w:rPr>
                <w:rFonts w:ascii="Arial" w:hAnsi="Arial" w:cs="Arial"/>
                <w:sz w:val="16"/>
                <w:szCs w:val="16"/>
              </w:rPr>
              <w:t>National Partnership</w:t>
            </w:r>
          </w:p>
        </w:tc>
        <w:tc>
          <w:tcPr>
            <w:tcW w:w="361" w:type="pct"/>
            <w:tcBorders>
              <w:top w:val="nil"/>
              <w:left w:val="nil"/>
              <w:bottom w:val="nil"/>
              <w:right w:val="nil"/>
            </w:tcBorders>
            <w:shd w:val="clear" w:color="auto" w:fill="auto"/>
            <w:noWrap/>
            <w:vAlign w:val="center"/>
            <w:hideMark/>
          </w:tcPr>
          <w:p w14:paraId="3701CAD7" w14:textId="77777777" w:rsidR="00490D9A" w:rsidRPr="00934CF0" w:rsidRDefault="00490D9A" w:rsidP="00490D9A">
            <w:pPr>
              <w:spacing w:before="0" w:after="0" w:line="240" w:lineRule="auto"/>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5ACF5C0B" w14:textId="77777777" w:rsidR="00490D9A" w:rsidRPr="00934CF0" w:rsidRDefault="00490D9A" w:rsidP="00490D9A">
            <w:pPr>
              <w:spacing w:before="0" w:after="0" w:line="240" w:lineRule="auto"/>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600AE5D7" w14:textId="77777777" w:rsidR="00490D9A" w:rsidRPr="00934CF0" w:rsidRDefault="00490D9A" w:rsidP="00490D9A">
            <w:pPr>
              <w:spacing w:before="0" w:after="0" w:line="240" w:lineRule="auto"/>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1D204CC3"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7B2D9EA4"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202BF690"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519EA4E3"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4E28899B" w14:textId="77777777" w:rsidR="00490D9A" w:rsidRPr="00934CF0" w:rsidRDefault="00490D9A" w:rsidP="00490D9A">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auto" w:fill="auto"/>
            <w:noWrap/>
            <w:vAlign w:val="center"/>
            <w:hideMark/>
          </w:tcPr>
          <w:p w14:paraId="0433E3CB" w14:textId="77777777" w:rsidR="00490D9A" w:rsidRPr="00934CF0" w:rsidRDefault="00490D9A" w:rsidP="00490D9A">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000000" w:fill="E6F2FF"/>
            <w:noWrap/>
            <w:vAlign w:val="center"/>
            <w:hideMark/>
          </w:tcPr>
          <w:p w14:paraId="55B6861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r>
      <w:tr w:rsidR="00490D9A" w:rsidRPr="00934CF0" w14:paraId="6159A016" w14:textId="77777777" w:rsidTr="00490D9A">
        <w:trPr>
          <w:trHeight w:hRule="exact" w:val="225"/>
        </w:trPr>
        <w:tc>
          <w:tcPr>
            <w:tcW w:w="1041" w:type="pct"/>
            <w:tcBorders>
              <w:top w:val="nil"/>
              <w:left w:val="nil"/>
              <w:bottom w:val="nil"/>
              <w:right w:val="nil"/>
            </w:tcBorders>
            <w:shd w:val="clear" w:color="auto" w:fill="auto"/>
            <w:noWrap/>
            <w:vAlign w:val="center"/>
            <w:hideMark/>
          </w:tcPr>
          <w:p w14:paraId="037CA624" w14:textId="77777777" w:rsidR="00490D9A" w:rsidRPr="00934CF0" w:rsidRDefault="00490D9A" w:rsidP="00490D9A">
            <w:pPr>
              <w:spacing w:before="0" w:after="0" w:line="240" w:lineRule="auto"/>
              <w:ind w:left="170"/>
              <w:rPr>
                <w:rFonts w:ascii="Arial" w:hAnsi="Arial" w:cs="Arial"/>
                <w:sz w:val="16"/>
                <w:szCs w:val="16"/>
              </w:rPr>
            </w:pPr>
            <w:r w:rsidRPr="00934CF0">
              <w:rPr>
                <w:rFonts w:ascii="Arial" w:hAnsi="Arial" w:cs="Arial"/>
                <w:sz w:val="16"/>
                <w:szCs w:val="16"/>
              </w:rPr>
              <w:t>payments(e)</w:t>
            </w:r>
          </w:p>
        </w:tc>
        <w:tc>
          <w:tcPr>
            <w:tcW w:w="361" w:type="pct"/>
            <w:tcBorders>
              <w:top w:val="nil"/>
              <w:left w:val="nil"/>
              <w:bottom w:val="nil"/>
              <w:right w:val="nil"/>
            </w:tcBorders>
            <w:shd w:val="clear" w:color="auto" w:fill="auto"/>
            <w:noWrap/>
            <w:vAlign w:val="center"/>
            <w:hideMark/>
          </w:tcPr>
          <w:p w14:paraId="5FFE571E" w14:textId="77777777" w:rsidR="00490D9A" w:rsidRPr="00934CF0" w:rsidRDefault="00490D9A" w:rsidP="00490D9A">
            <w:pPr>
              <w:spacing w:before="0" w:after="0" w:line="240" w:lineRule="auto"/>
              <w:ind w:firstLineChars="100" w:firstLine="160"/>
              <w:rPr>
                <w:rFonts w:ascii="Arial" w:hAnsi="Arial" w:cs="Arial"/>
                <w:sz w:val="16"/>
                <w:szCs w:val="16"/>
              </w:rPr>
            </w:pPr>
          </w:p>
        </w:tc>
        <w:tc>
          <w:tcPr>
            <w:tcW w:w="395" w:type="pct"/>
            <w:tcBorders>
              <w:top w:val="nil"/>
              <w:left w:val="nil"/>
              <w:bottom w:val="nil"/>
              <w:right w:val="nil"/>
            </w:tcBorders>
            <w:shd w:val="clear" w:color="auto" w:fill="auto"/>
            <w:noWrap/>
            <w:vAlign w:val="center"/>
            <w:hideMark/>
          </w:tcPr>
          <w:p w14:paraId="3B6101E6"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6,267</w:t>
            </w:r>
          </w:p>
        </w:tc>
        <w:tc>
          <w:tcPr>
            <w:tcW w:w="395" w:type="pct"/>
            <w:tcBorders>
              <w:top w:val="nil"/>
              <w:left w:val="nil"/>
              <w:bottom w:val="nil"/>
              <w:right w:val="nil"/>
            </w:tcBorders>
            <w:shd w:val="clear" w:color="auto" w:fill="auto"/>
            <w:noWrap/>
            <w:vAlign w:val="center"/>
            <w:hideMark/>
          </w:tcPr>
          <w:p w14:paraId="1392B2E4"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5,335</w:t>
            </w:r>
          </w:p>
        </w:tc>
        <w:tc>
          <w:tcPr>
            <w:tcW w:w="395" w:type="pct"/>
            <w:tcBorders>
              <w:top w:val="nil"/>
              <w:left w:val="nil"/>
              <w:bottom w:val="nil"/>
              <w:right w:val="nil"/>
            </w:tcBorders>
            <w:shd w:val="clear" w:color="auto" w:fill="auto"/>
            <w:noWrap/>
            <w:vAlign w:val="center"/>
            <w:hideMark/>
          </w:tcPr>
          <w:p w14:paraId="7DE5A29A"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4,917</w:t>
            </w:r>
          </w:p>
        </w:tc>
        <w:tc>
          <w:tcPr>
            <w:tcW w:w="395" w:type="pct"/>
            <w:tcBorders>
              <w:top w:val="nil"/>
              <w:left w:val="nil"/>
              <w:bottom w:val="nil"/>
              <w:right w:val="nil"/>
            </w:tcBorders>
            <w:shd w:val="clear" w:color="auto" w:fill="auto"/>
            <w:noWrap/>
            <w:vAlign w:val="center"/>
            <w:hideMark/>
          </w:tcPr>
          <w:p w14:paraId="6D9BDC9D"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3,229</w:t>
            </w:r>
          </w:p>
        </w:tc>
        <w:tc>
          <w:tcPr>
            <w:tcW w:w="395" w:type="pct"/>
            <w:tcBorders>
              <w:top w:val="nil"/>
              <w:left w:val="nil"/>
              <w:bottom w:val="nil"/>
              <w:right w:val="nil"/>
            </w:tcBorders>
            <w:shd w:val="clear" w:color="auto" w:fill="auto"/>
            <w:noWrap/>
            <w:vAlign w:val="center"/>
            <w:hideMark/>
          </w:tcPr>
          <w:p w14:paraId="0F6B57D1"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1,736</w:t>
            </w:r>
          </w:p>
        </w:tc>
        <w:tc>
          <w:tcPr>
            <w:tcW w:w="395" w:type="pct"/>
            <w:tcBorders>
              <w:top w:val="nil"/>
              <w:left w:val="nil"/>
              <w:bottom w:val="nil"/>
              <w:right w:val="nil"/>
            </w:tcBorders>
            <w:shd w:val="clear" w:color="auto" w:fill="auto"/>
            <w:noWrap/>
            <w:vAlign w:val="center"/>
            <w:hideMark/>
          </w:tcPr>
          <w:p w14:paraId="2414AC3E"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855</w:t>
            </w:r>
          </w:p>
        </w:tc>
        <w:tc>
          <w:tcPr>
            <w:tcW w:w="395" w:type="pct"/>
            <w:tcBorders>
              <w:top w:val="nil"/>
              <w:left w:val="nil"/>
              <w:bottom w:val="nil"/>
              <w:right w:val="nil"/>
            </w:tcBorders>
            <w:shd w:val="clear" w:color="auto" w:fill="auto"/>
            <w:noWrap/>
            <w:vAlign w:val="center"/>
            <w:hideMark/>
          </w:tcPr>
          <w:p w14:paraId="48208CA8"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313</w:t>
            </w:r>
          </w:p>
        </w:tc>
        <w:tc>
          <w:tcPr>
            <w:tcW w:w="395" w:type="pct"/>
            <w:tcBorders>
              <w:top w:val="nil"/>
              <w:left w:val="nil"/>
              <w:bottom w:val="nil"/>
              <w:right w:val="nil"/>
            </w:tcBorders>
            <w:shd w:val="clear" w:color="auto" w:fill="auto"/>
            <w:noWrap/>
            <w:vAlign w:val="center"/>
            <w:hideMark/>
          </w:tcPr>
          <w:p w14:paraId="23C0E379"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819</w:t>
            </w:r>
          </w:p>
        </w:tc>
        <w:tc>
          <w:tcPr>
            <w:tcW w:w="439" w:type="pct"/>
            <w:tcBorders>
              <w:top w:val="nil"/>
              <w:left w:val="nil"/>
              <w:bottom w:val="nil"/>
              <w:right w:val="nil"/>
            </w:tcBorders>
            <w:shd w:val="clear" w:color="000000" w:fill="E6F2FF"/>
            <w:noWrap/>
            <w:vAlign w:val="center"/>
            <w:hideMark/>
          </w:tcPr>
          <w:p w14:paraId="39E355A6"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23,471</w:t>
            </w:r>
          </w:p>
        </w:tc>
      </w:tr>
      <w:tr w:rsidR="00490D9A" w:rsidRPr="00934CF0" w14:paraId="38C8A4F6" w14:textId="77777777" w:rsidTr="00490D9A">
        <w:trPr>
          <w:trHeight w:hRule="exact" w:val="225"/>
        </w:trPr>
        <w:tc>
          <w:tcPr>
            <w:tcW w:w="1041" w:type="pct"/>
            <w:tcBorders>
              <w:top w:val="nil"/>
              <w:left w:val="nil"/>
              <w:bottom w:val="nil"/>
              <w:right w:val="nil"/>
            </w:tcBorders>
            <w:shd w:val="clear" w:color="auto" w:fill="auto"/>
            <w:noWrap/>
            <w:vAlign w:val="center"/>
            <w:hideMark/>
          </w:tcPr>
          <w:p w14:paraId="465F6394" w14:textId="77777777" w:rsidR="00490D9A" w:rsidRPr="00934CF0" w:rsidRDefault="00490D9A" w:rsidP="00490D9A">
            <w:pPr>
              <w:spacing w:before="0" w:after="0" w:line="240" w:lineRule="auto"/>
              <w:rPr>
                <w:rFonts w:ascii="Arial" w:hAnsi="Arial" w:cs="Arial"/>
                <w:b/>
                <w:sz w:val="16"/>
                <w:szCs w:val="16"/>
              </w:rPr>
            </w:pPr>
            <w:r w:rsidRPr="00934CF0">
              <w:rPr>
                <w:rFonts w:ascii="Arial" w:hAnsi="Arial" w:cs="Arial"/>
                <w:b/>
                <w:sz w:val="16"/>
                <w:szCs w:val="16"/>
              </w:rPr>
              <w:t>Total payments for</w:t>
            </w:r>
          </w:p>
        </w:tc>
        <w:tc>
          <w:tcPr>
            <w:tcW w:w="361" w:type="pct"/>
            <w:tcBorders>
              <w:top w:val="nil"/>
              <w:left w:val="nil"/>
              <w:bottom w:val="nil"/>
              <w:right w:val="nil"/>
            </w:tcBorders>
            <w:shd w:val="clear" w:color="auto" w:fill="auto"/>
            <w:noWrap/>
            <w:vAlign w:val="center"/>
            <w:hideMark/>
          </w:tcPr>
          <w:p w14:paraId="547BFAB5" w14:textId="77777777" w:rsidR="00490D9A" w:rsidRPr="00934CF0" w:rsidRDefault="00490D9A" w:rsidP="00490D9A">
            <w:pPr>
              <w:spacing w:before="0" w:after="0" w:line="240" w:lineRule="auto"/>
              <w:rPr>
                <w:rFonts w:ascii="Arial" w:hAnsi="Arial" w:cs="Arial"/>
                <w:b/>
                <w:sz w:val="16"/>
                <w:szCs w:val="16"/>
              </w:rPr>
            </w:pPr>
          </w:p>
        </w:tc>
        <w:tc>
          <w:tcPr>
            <w:tcW w:w="395" w:type="pct"/>
            <w:tcBorders>
              <w:top w:val="single" w:sz="4" w:space="0" w:color="293F5B"/>
              <w:left w:val="nil"/>
              <w:bottom w:val="nil"/>
              <w:right w:val="nil"/>
            </w:tcBorders>
            <w:shd w:val="clear" w:color="auto" w:fill="auto"/>
            <w:noWrap/>
            <w:vAlign w:val="center"/>
            <w:hideMark/>
          </w:tcPr>
          <w:p w14:paraId="334DD8B5"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4C7F6142"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4DC30215"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4D33C90D"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56B4E75D"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751CCD59"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6CFEC51E"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395" w:type="pct"/>
            <w:tcBorders>
              <w:top w:val="single" w:sz="4" w:space="0" w:color="293F5B"/>
              <w:left w:val="nil"/>
              <w:bottom w:val="nil"/>
              <w:right w:val="nil"/>
            </w:tcBorders>
            <w:shd w:val="clear" w:color="auto" w:fill="auto"/>
            <w:noWrap/>
            <w:vAlign w:val="center"/>
            <w:hideMark/>
          </w:tcPr>
          <w:p w14:paraId="04DCFE6C"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c>
          <w:tcPr>
            <w:tcW w:w="439" w:type="pct"/>
            <w:tcBorders>
              <w:top w:val="single" w:sz="4" w:space="0" w:color="293F5B"/>
              <w:left w:val="nil"/>
              <w:bottom w:val="nil"/>
              <w:right w:val="nil"/>
            </w:tcBorders>
            <w:shd w:val="clear" w:color="000000" w:fill="E6F2FF"/>
            <w:noWrap/>
            <w:vAlign w:val="center"/>
            <w:hideMark/>
          </w:tcPr>
          <w:p w14:paraId="2D1925B7" w14:textId="77777777" w:rsidR="00490D9A" w:rsidRPr="00934CF0" w:rsidRDefault="00490D9A" w:rsidP="00490D9A">
            <w:pPr>
              <w:spacing w:before="0" w:after="0" w:line="240" w:lineRule="auto"/>
              <w:jc w:val="right"/>
              <w:rPr>
                <w:rFonts w:ascii="Arial" w:hAnsi="Arial" w:cs="Arial"/>
                <w:sz w:val="16"/>
                <w:szCs w:val="16"/>
              </w:rPr>
            </w:pPr>
            <w:r w:rsidRPr="00934CF0">
              <w:rPr>
                <w:rFonts w:ascii="Arial" w:hAnsi="Arial" w:cs="Arial"/>
                <w:sz w:val="16"/>
                <w:szCs w:val="16"/>
              </w:rPr>
              <w:t> </w:t>
            </w:r>
          </w:p>
        </w:tc>
      </w:tr>
      <w:tr w:rsidR="00490D9A" w:rsidRPr="00934CF0" w14:paraId="234BB9C4" w14:textId="77777777" w:rsidTr="00490D9A">
        <w:trPr>
          <w:trHeight w:hRule="exact" w:val="225"/>
        </w:trPr>
        <w:tc>
          <w:tcPr>
            <w:tcW w:w="1402" w:type="pct"/>
            <w:gridSpan w:val="2"/>
            <w:tcBorders>
              <w:top w:val="nil"/>
              <w:left w:val="nil"/>
              <w:bottom w:val="single" w:sz="4" w:space="0" w:color="293F5B"/>
              <w:right w:val="nil"/>
            </w:tcBorders>
            <w:shd w:val="clear" w:color="auto" w:fill="auto"/>
            <w:noWrap/>
            <w:vAlign w:val="center"/>
            <w:hideMark/>
          </w:tcPr>
          <w:p w14:paraId="046D5626" w14:textId="77777777" w:rsidR="00490D9A" w:rsidRPr="00934CF0" w:rsidRDefault="00490D9A" w:rsidP="00490D9A">
            <w:pPr>
              <w:spacing w:before="0" w:after="0" w:line="240" w:lineRule="auto"/>
              <w:ind w:left="170"/>
              <w:rPr>
                <w:rFonts w:ascii="Arial" w:hAnsi="Arial" w:cs="Arial"/>
                <w:b/>
                <w:sz w:val="16"/>
                <w:szCs w:val="16"/>
              </w:rPr>
            </w:pPr>
            <w:r w:rsidRPr="00934CF0">
              <w:rPr>
                <w:rFonts w:ascii="Arial" w:hAnsi="Arial" w:cs="Arial"/>
                <w:b/>
                <w:sz w:val="16"/>
                <w:szCs w:val="16"/>
              </w:rPr>
              <w:t>specific purposes</w:t>
            </w:r>
          </w:p>
        </w:tc>
        <w:tc>
          <w:tcPr>
            <w:tcW w:w="395" w:type="pct"/>
            <w:tcBorders>
              <w:top w:val="nil"/>
              <w:left w:val="nil"/>
              <w:bottom w:val="single" w:sz="4" w:space="0" w:color="293F5B"/>
              <w:right w:val="nil"/>
            </w:tcBorders>
            <w:shd w:val="clear" w:color="auto" w:fill="auto"/>
            <w:noWrap/>
            <w:vAlign w:val="center"/>
            <w:hideMark/>
          </w:tcPr>
          <w:p w14:paraId="718EAF0B"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24,031</w:t>
            </w:r>
          </w:p>
        </w:tc>
        <w:tc>
          <w:tcPr>
            <w:tcW w:w="395" w:type="pct"/>
            <w:tcBorders>
              <w:top w:val="nil"/>
              <w:left w:val="nil"/>
              <w:bottom w:val="single" w:sz="4" w:space="0" w:color="293F5B"/>
              <w:right w:val="nil"/>
            </w:tcBorders>
            <w:shd w:val="clear" w:color="auto" w:fill="auto"/>
            <w:noWrap/>
            <w:vAlign w:val="center"/>
            <w:hideMark/>
          </w:tcPr>
          <w:p w14:paraId="09DE1E87"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20,707</w:t>
            </w:r>
          </w:p>
        </w:tc>
        <w:tc>
          <w:tcPr>
            <w:tcW w:w="395" w:type="pct"/>
            <w:tcBorders>
              <w:top w:val="nil"/>
              <w:left w:val="nil"/>
              <w:bottom w:val="single" w:sz="4" w:space="0" w:color="293F5B"/>
              <w:right w:val="nil"/>
            </w:tcBorders>
            <w:shd w:val="clear" w:color="auto" w:fill="auto"/>
            <w:noWrap/>
            <w:vAlign w:val="center"/>
            <w:hideMark/>
          </w:tcPr>
          <w:p w14:paraId="2945D951"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17,710</w:t>
            </w:r>
          </w:p>
        </w:tc>
        <w:tc>
          <w:tcPr>
            <w:tcW w:w="395" w:type="pct"/>
            <w:tcBorders>
              <w:top w:val="nil"/>
              <w:left w:val="nil"/>
              <w:bottom w:val="single" w:sz="4" w:space="0" w:color="293F5B"/>
              <w:right w:val="nil"/>
            </w:tcBorders>
            <w:shd w:val="clear" w:color="auto" w:fill="auto"/>
            <w:noWrap/>
            <w:vAlign w:val="center"/>
            <w:hideMark/>
          </w:tcPr>
          <w:p w14:paraId="77AEBBB5"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9,276</w:t>
            </w:r>
          </w:p>
        </w:tc>
        <w:tc>
          <w:tcPr>
            <w:tcW w:w="395" w:type="pct"/>
            <w:tcBorders>
              <w:top w:val="nil"/>
              <w:left w:val="nil"/>
              <w:bottom w:val="single" w:sz="4" w:space="0" w:color="293F5B"/>
              <w:right w:val="nil"/>
            </w:tcBorders>
            <w:shd w:val="clear" w:color="auto" w:fill="auto"/>
            <w:noWrap/>
            <w:vAlign w:val="center"/>
            <w:hideMark/>
          </w:tcPr>
          <w:p w14:paraId="0564134E"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5,804</w:t>
            </w:r>
          </w:p>
        </w:tc>
        <w:tc>
          <w:tcPr>
            <w:tcW w:w="395" w:type="pct"/>
            <w:tcBorders>
              <w:top w:val="nil"/>
              <w:left w:val="nil"/>
              <w:bottom w:val="single" w:sz="4" w:space="0" w:color="293F5B"/>
              <w:right w:val="nil"/>
            </w:tcBorders>
            <w:shd w:val="clear" w:color="auto" w:fill="auto"/>
            <w:noWrap/>
            <w:vAlign w:val="center"/>
            <w:hideMark/>
          </w:tcPr>
          <w:p w14:paraId="6B45573F"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2,141</w:t>
            </w:r>
          </w:p>
        </w:tc>
        <w:tc>
          <w:tcPr>
            <w:tcW w:w="395" w:type="pct"/>
            <w:tcBorders>
              <w:top w:val="nil"/>
              <w:left w:val="nil"/>
              <w:bottom w:val="single" w:sz="4" w:space="0" w:color="293F5B"/>
              <w:right w:val="nil"/>
            </w:tcBorders>
            <w:shd w:val="clear" w:color="auto" w:fill="auto"/>
            <w:noWrap/>
            <w:vAlign w:val="center"/>
            <w:hideMark/>
          </w:tcPr>
          <w:p w14:paraId="5E3109C4"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1,307</w:t>
            </w:r>
          </w:p>
        </w:tc>
        <w:tc>
          <w:tcPr>
            <w:tcW w:w="395" w:type="pct"/>
            <w:tcBorders>
              <w:top w:val="nil"/>
              <w:left w:val="nil"/>
              <w:bottom w:val="single" w:sz="4" w:space="0" w:color="293F5B"/>
              <w:right w:val="nil"/>
            </w:tcBorders>
            <w:shd w:val="clear" w:color="auto" w:fill="auto"/>
            <w:noWrap/>
            <w:vAlign w:val="center"/>
            <w:hideMark/>
          </w:tcPr>
          <w:p w14:paraId="1A50840A"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1,704</w:t>
            </w:r>
          </w:p>
        </w:tc>
        <w:tc>
          <w:tcPr>
            <w:tcW w:w="439" w:type="pct"/>
            <w:tcBorders>
              <w:top w:val="nil"/>
              <w:left w:val="nil"/>
              <w:bottom w:val="single" w:sz="4" w:space="0" w:color="293F5B"/>
              <w:right w:val="nil"/>
            </w:tcBorders>
            <w:shd w:val="clear" w:color="000000" w:fill="E6F2FF"/>
            <w:noWrap/>
            <w:vAlign w:val="center"/>
            <w:hideMark/>
          </w:tcPr>
          <w:p w14:paraId="1DE63353" w14:textId="77777777" w:rsidR="00490D9A" w:rsidRPr="00934CF0" w:rsidRDefault="00490D9A" w:rsidP="00490D9A">
            <w:pPr>
              <w:spacing w:before="0" w:after="0" w:line="240" w:lineRule="auto"/>
              <w:jc w:val="right"/>
              <w:rPr>
                <w:rFonts w:ascii="Arial" w:hAnsi="Arial" w:cs="Arial"/>
                <w:b/>
                <w:sz w:val="16"/>
                <w:szCs w:val="16"/>
              </w:rPr>
            </w:pPr>
            <w:r w:rsidRPr="00934CF0">
              <w:rPr>
                <w:rFonts w:ascii="Arial" w:hAnsi="Arial" w:cs="Arial"/>
                <w:b/>
                <w:sz w:val="16"/>
                <w:szCs w:val="16"/>
              </w:rPr>
              <w:t>82,679</w:t>
            </w:r>
          </w:p>
        </w:tc>
      </w:tr>
    </w:tbl>
    <w:p w14:paraId="0806ED1C" w14:textId="2B225A0A" w:rsidR="0043710F" w:rsidRPr="00934CF0" w:rsidRDefault="00490D9A" w:rsidP="0052486B">
      <w:pPr>
        <w:pStyle w:val="ChartandTableFootnoteAlpha"/>
        <w:numPr>
          <w:ilvl w:val="0"/>
          <w:numId w:val="11"/>
        </w:numPr>
        <w:rPr>
          <w:color w:val="auto"/>
        </w:rPr>
      </w:pPr>
      <w:r w:rsidRPr="00934CF0">
        <w:rPr>
          <w:color w:val="auto"/>
        </w:rPr>
        <w:fldChar w:fldCharType="end"/>
      </w:r>
      <w:r w:rsidR="006C3124" w:rsidRPr="00934CF0">
        <w:rPr>
          <w:color w:val="auto"/>
        </w:rPr>
        <w:t>The 2022</w:t>
      </w:r>
      <w:r w:rsidR="00863F4D" w:rsidRPr="00934CF0">
        <w:rPr>
          <w:color w:val="auto"/>
        </w:rPr>
        <w:t>–</w:t>
      </w:r>
      <w:r w:rsidR="006C3124" w:rsidRPr="00934CF0">
        <w:rPr>
          <w:color w:val="auto"/>
        </w:rPr>
        <w:t>23 National Skills and Workforce Development SPP funding outcome will be finalised following a Determination by a Treasury portfolio minister.</w:t>
      </w:r>
    </w:p>
    <w:p w14:paraId="22B606DF" w14:textId="77777777" w:rsidR="0043710F" w:rsidRPr="00934CF0" w:rsidRDefault="006C3124" w:rsidP="0052486B">
      <w:pPr>
        <w:pStyle w:val="ChartandTableFootnoteAlpha"/>
        <w:numPr>
          <w:ilvl w:val="0"/>
          <w:numId w:val="11"/>
        </w:numPr>
        <w:rPr>
          <w:color w:val="auto"/>
        </w:rPr>
      </w:pPr>
      <w:r w:rsidRPr="00934CF0">
        <w:rPr>
          <w:color w:val="auto"/>
        </w:rPr>
        <w:t>Entitlements for 2022</w:t>
      </w:r>
      <w:r w:rsidR="00863F4D" w:rsidRPr="00934CF0">
        <w:rPr>
          <w:color w:val="auto"/>
        </w:rPr>
        <w:t>–</w:t>
      </w:r>
      <w:r w:rsidRPr="00934CF0">
        <w:rPr>
          <w:color w:val="auto"/>
        </w:rPr>
        <w:t>23 will be finalised following reconciliation of activity data by the Administrator of the National Health Funding Pool and a subsequent Determination by the Treasurer.</w:t>
      </w:r>
    </w:p>
    <w:p w14:paraId="0B46B7D3" w14:textId="77777777" w:rsidR="0043710F" w:rsidRPr="00934CF0" w:rsidRDefault="006C3124" w:rsidP="0052486B">
      <w:pPr>
        <w:pStyle w:val="ChartandTableFootnoteAlpha"/>
        <w:numPr>
          <w:ilvl w:val="0"/>
          <w:numId w:val="11"/>
        </w:numPr>
        <w:rPr>
          <w:color w:val="auto"/>
        </w:rPr>
      </w:pPr>
      <w:r w:rsidRPr="00934CF0">
        <w:rPr>
          <w:color w:val="auto"/>
        </w:rPr>
        <w:t>The 2022</w:t>
      </w:r>
      <w:r w:rsidR="00863F4D" w:rsidRPr="00934CF0">
        <w:rPr>
          <w:color w:val="auto"/>
        </w:rPr>
        <w:t>–</w:t>
      </w:r>
      <w:r w:rsidRPr="00934CF0">
        <w:rPr>
          <w:color w:val="auto"/>
        </w:rPr>
        <w:t>23 Quality Schools funding outcome will be finalised following a Determination by the Minister for Education.</w:t>
      </w:r>
    </w:p>
    <w:p w14:paraId="72755681" w14:textId="77777777" w:rsidR="0043710F" w:rsidRPr="00934CF0" w:rsidRDefault="006C3124" w:rsidP="0052486B">
      <w:pPr>
        <w:pStyle w:val="ChartandTableFootnoteAlpha"/>
        <w:numPr>
          <w:ilvl w:val="0"/>
          <w:numId w:val="11"/>
        </w:numPr>
        <w:rPr>
          <w:color w:val="auto"/>
        </w:rPr>
      </w:pPr>
      <w:r w:rsidRPr="00934CF0">
        <w:rPr>
          <w:color w:val="auto"/>
        </w:rPr>
        <w:t>Entitlements for 2022</w:t>
      </w:r>
      <w:r w:rsidR="00863F4D" w:rsidRPr="00934CF0">
        <w:rPr>
          <w:color w:val="auto"/>
        </w:rPr>
        <w:t>–</w:t>
      </w:r>
      <w:r w:rsidRPr="00934CF0">
        <w:rPr>
          <w:color w:val="auto"/>
        </w:rPr>
        <w:t>23 will be finalised after states report on their actual expenditure via statements of assurance and a subsequent Determination by a Treasury portfolio minister.</w:t>
      </w:r>
    </w:p>
    <w:p w14:paraId="5FB3AC4E" w14:textId="04274B03" w:rsidR="006C3124" w:rsidRPr="00934CF0" w:rsidRDefault="006C3124" w:rsidP="0052486B">
      <w:pPr>
        <w:pStyle w:val="ChartandTableFootnoteAlpha"/>
        <w:numPr>
          <w:ilvl w:val="0"/>
          <w:numId w:val="11"/>
        </w:numPr>
        <w:rPr>
          <w:color w:val="auto"/>
        </w:rPr>
      </w:pPr>
      <w:r w:rsidRPr="00934CF0">
        <w:rPr>
          <w:color w:val="auto"/>
        </w:rPr>
        <w:t xml:space="preserve">Includes financial assistance grants for local government, payments direct to local government and payments funded through appropriations including but not limited to section 16 of the </w:t>
      </w:r>
      <w:r w:rsidRPr="00934CF0">
        <w:rPr>
          <w:i/>
          <w:color w:val="auto"/>
        </w:rPr>
        <w:t>Federal Financial Relations Act 2009</w:t>
      </w:r>
      <w:r w:rsidRPr="00934CF0">
        <w:rPr>
          <w:color w:val="auto"/>
        </w:rPr>
        <w:t>.</w:t>
      </w:r>
    </w:p>
    <w:p w14:paraId="55BF21D4" w14:textId="77777777" w:rsidR="00E028E9" w:rsidRPr="00934CF0" w:rsidRDefault="00E028E9" w:rsidP="005358C9">
      <w:pPr>
        <w:pStyle w:val="ChartLine"/>
      </w:pPr>
    </w:p>
    <w:p w14:paraId="08EF88BB" w14:textId="77777777" w:rsidR="009175F2" w:rsidRPr="00934CF0" w:rsidRDefault="009175F2" w:rsidP="009175F2">
      <w:pPr>
        <w:pStyle w:val="SingleParagraph"/>
      </w:pPr>
      <w:r w:rsidRPr="00934CF0">
        <w:br w:type="page"/>
      </w:r>
    </w:p>
    <w:p w14:paraId="79333068" w14:textId="4AA17C6D" w:rsidR="00E028E9" w:rsidRPr="00934CF0" w:rsidRDefault="009175F2" w:rsidP="00E028E9">
      <w:pPr>
        <w:pStyle w:val="TableHeading"/>
        <w:rPr>
          <w:rFonts w:asciiTheme="minorHAnsi" w:eastAsiaTheme="minorHAnsi" w:hAnsiTheme="minorHAnsi" w:cstheme="minorBidi"/>
          <w:sz w:val="22"/>
          <w:szCs w:val="22"/>
          <w:lang w:eastAsia="en-US"/>
        </w:rPr>
      </w:pPr>
      <w:r w:rsidRPr="00934CF0">
        <w:lastRenderedPageBreak/>
        <w:t>Table 3.3: Total payments for specific purposes by sector and category, 202</w:t>
      </w:r>
      <w:r w:rsidR="006C3124" w:rsidRPr="00934CF0">
        <w:t>2</w:t>
      </w:r>
      <w:r w:rsidR="00AD6E45" w:rsidRPr="00934CF0">
        <w:t>–</w:t>
      </w:r>
      <w:r w:rsidRPr="00934CF0">
        <w:t>2</w:t>
      </w:r>
      <w:r w:rsidR="006C3124" w:rsidRPr="00934CF0">
        <w:t>3</w:t>
      </w:r>
      <w:r w:rsidR="009A4A3F" w:rsidRPr="00934CF0">
        <w:rPr>
          <w:rFonts w:eastAsiaTheme="minorHAnsi"/>
        </w:rPr>
        <w:fldChar w:fldCharType="begin" w:fldLock="1"/>
      </w:r>
      <w:r w:rsidR="009A4A3F" w:rsidRPr="00934CF0">
        <w:rPr>
          <w:rFonts w:eastAsiaTheme="minorHAnsi"/>
        </w:rPr>
        <w:instrText xml:space="preserve"> LINK </w:instrText>
      </w:r>
      <w:r w:rsidR="00E62EE6" w:rsidRPr="00934CF0">
        <w:rPr>
          <w:rFonts w:eastAsiaTheme="minorHAnsi"/>
        </w:rPr>
        <w:instrText xml:space="preserve">Excel.SheetMacroEnabled.12 https://austreasury.sharepoint.com/sites/Budget/Shared%20Documents/2022-23%20FBO/03%20Part%203/Master%20Tables/3.3%20SPP%20sector%20categories.xlsm Table!R10C5:R46C14 </w:instrText>
      </w:r>
      <w:r w:rsidR="009A4A3F" w:rsidRPr="00934CF0">
        <w:rPr>
          <w:rFonts w:eastAsiaTheme="minorHAnsi"/>
        </w:rPr>
        <w:instrText xml:space="preserve">\a \f 4 \h </w:instrText>
      </w:r>
      <w:r w:rsidR="00471CF7" w:rsidRPr="00934CF0">
        <w:rPr>
          <w:rFonts w:eastAsiaTheme="minorHAnsi"/>
        </w:rPr>
        <w:instrText xml:space="preserve"> \* MERGEFORMAT </w:instrText>
      </w:r>
      <w:r w:rsidR="009A4A3F" w:rsidRPr="00934CF0">
        <w:rPr>
          <w:rFonts w:eastAsiaTheme="minorHAnsi"/>
        </w:rPr>
        <w:fldChar w:fldCharType="separate"/>
      </w:r>
    </w:p>
    <w:tbl>
      <w:tblPr>
        <w:tblW w:w="5000" w:type="pct"/>
        <w:tblCellMar>
          <w:left w:w="0" w:type="dxa"/>
          <w:right w:w="28" w:type="dxa"/>
        </w:tblCellMar>
        <w:tblLook w:val="04A0" w:firstRow="1" w:lastRow="0" w:firstColumn="1" w:lastColumn="0" w:noHBand="0" w:noVBand="1"/>
      </w:tblPr>
      <w:tblGrid>
        <w:gridCol w:w="2483"/>
        <w:gridCol w:w="606"/>
        <w:gridCol w:w="606"/>
        <w:gridCol w:w="606"/>
        <w:gridCol w:w="606"/>
        <w:gridCol w:w="606"/>
        <w:gridCol w:w="524"/>
        <w:gridCol w:w="524"/>
        <w:gridCol w:w="524"/>
        <w:gridCol w:w="625"/>
      </w:tblGrid>
      <w:tr w:rsidR="00E028E9" w:rsidRPr="00934CF0" w14:paraId="25367B13" w14:textId="77777777" w:rsidTr="00E028E9">
        <w:trPr>
          <w:divId w:val="1263221947"/>
          <w:trHeight w:hRule="exact" w:val="225"/>
        </w:trPr>
        <w:tc>
          <w:tcPr>
            <w:tcW w:w="1610" w:type="pct"/>
            <w:tcBorders>
              <w:top w:val="single" w:sz="4" w:space="0" w:color="293F5B"/>
              <w:left w:val="nil"/>
              <w:bottom w:val="nil"/>
              <w:right w:val="nil"/>
            </w:tcBorders>
            <w:shd w:val="clear" w:color="000000" w:fill="FFFFFF"/>
            <w:noWrap/>
            <w:vAlign w:val="center"/>
            <w:hideMark/>
          </w:tcPr>
          <w:p w14:paraId="7E791CEA" w14:textId="1E1DD2F8"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$million</w:t>
            </w:r>
          </w:p>
        </w:tc>
        <w:tc>
          <w:tcPr>
            <w:tcW w:w="393" w:type="pct"/>
            <w:tcBorders>
              <w:top w:val="single" w:sz="4" w:space="0" w:color="293F5B"/>
              <w:left w:val="nil"/>
              <w:bottom w:val="single" w:sz="4" w:space="0" w:color="293F5B"/>
              <w:right w:val="nil"/>
            </w:tcBorders>
            <w:shd w:val="clear" w:color="000000" w:fill="FFFFFF"/>
            <w:noWrap/>
            <w:vAlign w:val="center"/>
            <w:hideMark/>
          </w:tcPr>
          <w:p w14:paraId="0757430F" w14:textId="77777777" w:rsidR="00E028E9" w:rsidRPr="00934CF0" w:rsidRDefault="00E028E9" w:rsidP="00E028E9">
            <w:pPr>
              <w:pStyle w:val="TableTextRight"/>
              <w:spacing w:before="0" w:after="0"/>
            </w:pPr>
            <w:r w:rsidRPr="00934CF0">
              <w:t>NSW</w:t>
            </w:r>
          </w:p>
        </w:tc>
        <w:tc>
          <w:tcPr>
            <w:tcW w:w="393" w:type="pct"/>
            <w:tcBorders>
              <w:top w:val="single" w:sz="4" w:space="0" w:color="293F5B"/>
              <w:left w:val="nil"/>
              <w:bottom w:val="single" w:sz="4" w:space="0" w:color="293F5B"/>
              <w:right w:val="nil"/>
            </w:tcBorders>
            <w:shd w:val="clear" w:color="auto" w:fill="auto"/>
            <w:noWrap/>
            <w:vAlign w:val="center"/>
            <w:hideMark/>
          </w:tcPr>
          <w:p w14:paraId="39B44847" w14:textId="77777777" w:rsidR="00E028E9" w:rsidRPr="00934CF0" w:rsidRDefault="00E028E9" w:rsidP="00E028E9">
            <w:pPr>
              <w:pStyle w:val="TableTextRight"/>
              <w:spacing w:before="0" w:after="0"/>
            </w:pPr>
            <w:r w:rsidRPr="00934CF0">
              <w:t>VIC</w:t>
            </w:r>
          </w:p>
        </w:tc>
        <w:tc>
          <w:tcPr>
            <w:tcW w:w="393" w:type="pct"/>
            <w:tcBorders>
              <w:top w:val="single" w:sz="4" w:space="0" w:color="293F5B"/>
              <w:left w:val="nil"/>
              <w:bottom w:val="single" w:sz="4" w:space="0" w:color="293F5B"/>
              <w:right w:val="nil"/>
            </w:tcBorders>
            <w:shd w:val="clear" w:color="000000" w:fill="FFFFFF"/>
            <w:noWrap/>
            <w:vAlign w:val="center"/>
            <w:hideMark/>
          </w:tcPr>
          <w:p w14:paraId="54459D9D" w14:textId="77777777" w:rsidR="00E028E9" w:rsidRPr="00934CF0" w:rsidRDefault="00E028E9" w:rsidP="00E028E9">
            <w:pPr>
              <w:pStyle w:val="TableTextRight"/>
              <w:spacing w:before="0" w:after="0"/>
            </w:pPr>
            <w:r w:rsidRPr="00934CF0">
              <w:t>QLD</w:t>
            </w:r>
          </w:p>
        </w:tc>
        <w:tc>
          <w:tcPr>
            <w:tcW w:w="393" w:type="pct"/>
            <w:tcBorders>
              <w:top w:val="single" w:sz="4" w:space="0" w:color="293F5B"/>
              <w:left w:val="nil"/>
              <w:bottom w:val="single" w:sz="4" w:space="0" w:color="293F5B"/>
              <w:right w:val="nil"/>
            </w:tcBorders>
            <w:shd w:val="clear" w:color="000000" w:fill="FFFFFF"/>
            <w:noWrap/>
            <w:vAlign w:val="center"/>
            <w:hideMark/>
          </w:tcPr>
          <w:p w14:paraId="0DBC775D" w14:textId="77777777" w:rsidR="00E028E9" w:rsidRPr="00934CF0" w:rsidRDefault="00E028E9" w:rsidP="00E028E9">
            <w:pPr>
              <w:pStyle w:val="TableTextRight"/>
              <w:spacing w:before="0" w:after="0"/>
            </w:pPr>
            <w:r w:rsidRPr="00934CF0">
              <w:t>WA</w:t>
            </w:r>
          </w:p>
        </w:tc>
        <w:tc>
          <w:tcPr>
            <w:tcW w:w="393" w:type="pct"/>
            <w:tcBorders>
              <w:top w:val="single" w:sz="4" w:space="0" w:color="293F5B"/>
              <w:left w:val="nil"/>
              <w:bottom w:val="single" w:sz="4" w:space="0" w:color="293F5B"/>
              <w:right w:val="nil"/>
            </w:tcBorders>
            <w:shd w:val="clear" w:color="000000" w:fill="FFFFFF"/>
            <w:noWrap/>
            <w:vAlign w:val="center"/>
            <w:hideMark/>
          </w:tcPr>
          <w:p w14:paraId="123BF0C5" w14:textId="77777777" w:rsidR="00E028E9" w:rsidRPr="00934CF0" w:rsidRDefault="00E028E9" w:rsidP="00E028E9">
            <w:pPr>
              <w:pStyle w:val="TableTextRight"/>
              <w:spacing w:before="0" w:after="0"/>
            </w:pPr>
            <w:r w:rsidRPr="00934CF0">
              <w:t>SA</w:t>
            </w:r>
          </w:p>
        </w:tc>
        <w:tc>
          <w:tcPr>
            <w:tcW w:w="340" w:type="pct"/>
            <w:tcBorders>
              <w:top w:val="single" w:sz="4" w:space="0" w:color="293F5B"/>
              <w:left w:val="nil"/>
              <w:bottom w:val="single" w:sz="4" w:space="0" w:color="293F5B"/>
              <w:right w:val="nil"/>
            </w:tcBorders>
            <w:shd w:val="clear" w:color="000000" w:fill="FFFFFF"/>
            <w:noWrap/>
            <w:vAlign w:val="center"/>
            <w:hideMark/>
          </w:tcPr>
          <w:p w14:paraId="20908212" w14:textId="77777777" w:rsidR="00E028E9" w:rsidRPr="00934CF0" w:rsidRDefault="00E028E9" w:rsidP="00E028E9">
            <w:pPr>
              <w:pStyle w:val="TableTextRight"/>
              <w:spacing w:before="0" w:after="0"/>
            </w:pPr>
            <w:r w:rsidRPr="00934CF0">
              <w:t>TAS</w:t>
            </w:r>
          </w:p>
        </w:tc>
        <w:tc>
          <w:tcPr>
            <w:tcW w:w="340" w:type="pct"/>
            <w:tcBorders>
              <w:top w:val="single" w:sz="4" w:space="0" w:color="293F5B"/>
              <w:left w:val="nil"/>
              <w:bottom w:val="single" w:sz="4" w:space="0" w:color="293F5B"/>
              <w:right w:val="nil"/>
            </w:tcBorders>
            <w:shd w:val="clear" w:color="000000" w:fill="FFFFFF"/>
            <w:noWrap/>
            <w:vAlign w:val="center"/>
            <w:hideMark/>
          </w:tcPr>
          <w:p w14:paraId="62DAB179" w14:textId="77777777" w:rsidR="00E028E9" w:rsidRPr="00934CF0" w:rsidRDefault="00E028E9" w:rsidP="00E028E9">
            <w:pPr>
              <w:pStyle w:val="TableTextRight"/>
              <w:spacing w:before="0" w:after="0"/>
            </w:pPr>
            <w:r w:rsidRPr="00934CF0">
              <w:t>ACT</w:t>
            </w:r>
          </w:p>
        </w:tc>
        <w:tc>
          <w:tcPr>
            <w:tcW w:w="340" w:type="pct"/>
            <w:tcBorders>
              <w:top w:val="single" w:sz="4" w:space="0" w:color="293F5B"/>
              <w:left w:val="nil"/>
              <w:bottom w:val="single" w:sz="4" w:space="0" w:color="293F5B"/>
              <w:right w:val="nil"/>
            </w:tcBorders>
            <w:shd w:val="clear" w:color="000000" w:fill="FFFFFF"/>
            <w:noWrap/>
            <w:vAlign w:val="center"/>
            <w:hideMark/>
          </w:tcPr>
          <w:p w14:paraId="7AD74CFD" w14:textId="77777777" w:rsidR="00E028E9" w:rsidRPr="00934CF0" w:rsidRDefault="00E028E9" w:rsidP="00E028E9">
            <w:pPr>
              <w:pStyle w:val="TableTextRight"/>
              <w:spacing w:before="0" w:after="0"/>
            </w:pPr>
            <w:r w:rsidRPr="00934CF0">
              <w:t>NT</w:t>
            </w:r>
          </w:p>
        </w:tc>
        <w:tc>
          <w:tcPr>
            <w:tcW w:w="405" w:type="pct"/>
            <w:tcBorders>
              <w:top w:val="single" w:sz="4" w:space="0" w:color="293F5B"/>
              <w:left w:val="nil"/>
              <w:bottom w:val="single" w:sz="4" w:space="0" w:color="293F5B"/>
              <w:right w:val="nil"/>
            </w:tcBorders>
            <w:shd w:val="clear" w:color="auto" w:fill="E6F2FF"/>
            <w:noWrap/>
            <w:vAlign w:val="center"/>
            <w:hideMark/>
          </w:tcPr>
          <w:p w14:paraId="30B1848A" w14:textId="77777777" w:rsidR="00E028E9" w:rsidRPr="00934CF0" w:rsidRDefault="00E028E9" w:rsidP="00E028E9">
            <w:pPr>
              <w:pStyle w:val="TableTextRight"/>
              <w:spacing w:before="0" w:after="0"/>
            </w:pPr>
            <w:r w:rsidRPr="00934CF0">
              <w:t>Total</w:t>
            </w:r>
          </w:p>
        </w:tc>
      </w:tr>
      <w:tr w:rsidR="00E028E9" w:rsidRPr="00934CF0" w14:paraId="29FB36B7"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361C52AF"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Health</w:t>
            </w:r>
          </w:p>
        </w:tc>
        <w:tc>
          <w:tcPr>
            <w:tcW w:w="393" w:type="pct"/>
            <w:tcBorders>
              <w:top w:val="single" w:sz="4" w:space="0" w:color="293F5B"/>
              <w:left w:val="nil"/>
              <w:bottom w:val="nil"/>
              <w:right w:val="nil"/>
            </w:tcBorders>
            <w:shd w:val="clear" w:color="000000" w:fill="FFFFFF"/>
            <w:noWrap/>
            <w:vAlign w:val="center"/>
            <w:hideMark/>
          </w:tcPr>
          <w:p w14:paraId="779CC1B0"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auto" w:fill="auto"/>
            <w:noWrap/>
            <w:vAlign w:val="center"/>
            <w:hideMark/>
          </w:tcPr>
          <w:p w14:paraId="53BF6D08"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000000" w:fill="FFFFFF"/>
            <w:noWrap/>
            <w:vAlign w:val="center"/>
            <w:hideMark/>
          </w:tcPr>
          <w:p w14:paraId="71C69B8D"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000000" w:fill="FFFFFF"/>
            <w:noWrap/>
            <w:vAlign w:val="center"/>
            <w:hideMark/>
          </w:tcPr>
          <w:p w14:paraId="6B4A73A5"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000000" w:fill="FFFFFF"/>
            <w:noWrap/>
            <w:vAlign w:val="center"/>
            <w:hideMark/>
          </w:tcPr>
          <w:p w14:paraId="224371DC" w14:textId="77777777" w:rsidR="00E028E9" w:rsidRPr="00934CF0" w:rsidRDefault="00E028E9" w:rsidP="00E028E9">
            <w:pPr>
              <w:pStyle w:val="TableTextRight"/>
              <w:spacing w:before="0" w:after="0"/>
            </w:pPr>
            <w:r w:rsidRPr="00934CF0">
              <w:t> </w:t>
            </w:r>
          </w:p>
        </w:tc>
        <w:tc>
          <w:tcPr>
            <w:tcW w:w="340" w:type="pct"/>
            <w:tcBorders>
              <w:top w:val="single" w:sz="4" w:space="0" w:color="293F5B"/>
              <w:left w:val="nil"/>
              <w:bottom w:val="nil"/>
              <w:right w:val="nil"/>
            </w:tcBorders>
            <w:shd w:val="clear" w:color="000000" w:fill="FFFFFF"/>
            <w:noWrap/>
            <w:vAlign w:val="center"/>
            <w:hideMark/>
          </w:tcPr>
          <w:p w14:paraId="1073D493" w14:textId="77777777" w:rsidR="00E028E9" w:rsidRPr="00934CF0" w:rsidRDefault="00E028E9" w:rsidP="00E028E9">
            <w:pPr>
              <w:pStyle w:val="TableTextRight"/>
              <w:spacing w:before="0" w:after="0"/>
            </w:pPr>
            <w:r w:rsidRPr="00934CF0">
              <w:t> </w:t>
            </w:r>
          </w:p>
        </w:tc>
        <w:tc>
          <w:tcPr>
            <w:tcW w:w="340" w:type="pct"/>
            <w:tcBorders>
              <w:top w:val="single" w:sz="4" w:space="0" w:color="293F5B"/>
              <w:left w:val="nil"/>
              <w:bottom w:val="nil"/>
              <w:right w:val="nil"/>
            </w:tcBorders>
            <w:shd w:val="clear" w:color="000000" w:fill="FFFFFF"/>
            <w:noWrap/>
            <w:vAlign w:val="center"/>
            <w:hideMark/>
          </w:tcPr>
          <w:p w14:paraId="46AEC21A" w14:textId="77777777" w:rsidR="00E028E9" w:rsidRPr="00934CF0" w:rsidRDefault="00E028E9" w:rsidP="00E028E9">
            <w:pPr>
              <w:pStyle w:val="TableTextRight"/>
              <w:spacing w:before="0" w:after="0"/>
            </w:pPr>
            <w:r w:rsidRPr="00934CF0">
              <w:t> </w:t>
            </w:r>
          </w:p>
        </w:tc>
        <w:tc>
          <w:tcPr>
            <w:tcW w:w="340" w:type="pct"/>
            <w:tcBorders>
              <w:top w:val="single" w:sz="4" w:space="0" w:color="293F5B"/>
              <w:left w:val="nil"/>
              <w:bottom w:val="nil"/>
              <w:right w:val="nil"/>
            </w:tcBorders>
            <w:shd w:val="clear" w:color="000000" w:fill="FFFFFF"/>
            <w:noWrap/>
            <w:vAlign w:val="center"/>
            <w:hideMark/>
          </w:tcPr>
          <w:p w14:paraId="395929DA" w14:textId="77777777" w:rsidR="00E028E9" w:rsidRPr="00934CF0" w:rsidRDefault="00E028E9" w:rsidP="00E028E9">
            <w:pPr>
              <w:pStyle w:val="TableTextRight"/>
              <w:spacing w:before="0" w:after="0"/>
            </w:pPr>
            <w:r w:rsidRPr="00934CF0">
              <w:t> </w:t>
            </w:r>
          </w:p>
        </w:tc>
        <w:tc>
          <w:tcPr>
            <w:tcW w:w="405" w:type="pct"/>
            <w:tcBorders>
              <w:top w:val="single" w:sz="4" w:space="0" w:color="293F5B"/>
              <w:left w:val="nil"/>
              <w:bottom w:val="nil"/>
              <w:right w:val="nil"/>
            </w:tcBorders>
            <w:shd w:val="clear" w:color="auto" w:fill="E6F2FF"/>
            <w:noWrap/>
            <w:vAlign w:val="center"/>
            <w:hideMark/>
          </w:tcPr>
          <w:p w14:paraId="2CA751D6" w14:textId="77777777" w:rsidR="00E028E9" w:rsidRPr="00934CF0" w:rsidRDefault="00E028E9" w:rsidP="00E028E9">
            <w:pPr>
              <w:pStyle w:val="TableTextRight"/>
              <w:spacing w:before="0" w:after="0"/>
            </w:pPr>
            <w:r w:rsidRPr="00934CF0">
              <w:t> </w:t>
            </w:r>
          </w:p>
        </w:tc>
      </w:tr>
      <w:tr w:rsidR="00E028E9" w:rsidRPr="00934CF0" w14:paraId="6F84365E"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256ED842"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Health Reform</w:t>
            </w:r>
          </w:p>
        </w:tc>
        <w:tc>
          <w:tcPr>
            <w:tcW w:w="393" w:type="pct"/>
            <w:tcBorders>
              <w:top w:val="nil"/>
              <w:left w:val="nil"/>
              <w:bottom w:val="nil"/>
              <w:right w:val="nil"/>
            </w:tcBorders>
            <w:shd w:val="clear" w:color="000000" w:fill="FFFFFF"/>
            <w:noWrap/>
            <w:vAlign w:val="center"/>
            <w:hideMark/>
          </w:tcPr>
          <w:p w14:paraId="286B2449" w14:textId="77777777" w:rsidR="00E028E9" w:rsidRPr="00934CF0" w:rsidRDefault="00E028E9" w:rsidP="00E028E9">
            <w:pPr>
              <w:pStyle w:val="TableTextRight"/>
              <w:spacing w:before="0" w:after="0"/>
            </w:pPr>
            <w:r w:rsidRPr="00934CF0">
              <w:t> </w:t>
            </w:r>
          </w:p>
        </w:tc>
        <w:tc>
          <w:tcPr>
            <w:tcW w:w="393" w:type="pct"/>
            <w:tcBorders>
              <w:top w:val="nil"/>
              <w:left w:val="nil"/>
              <w:bottom w:val="nil"/>
              <w:right w:val="nil"/>
            </w:tcBorders>
            <w:shd w:val="clear" w:color="auto" w:fill="auto"/>
            <w:noWrap/>
            <w:vAlign w:val="center"/>
            <w:hideMark/>
          </w:tcPr>
          <w:p w14:paraId="315BC2DC" w14:textId="77777777" w:rsidR="00E028E9" w:rsidRPr="00934CF0" w:rsidRDefault="00E028E9" w:rsidP="00E028E9">
            <w:pPr>
              <w:pStyle w:val="TableTextRight"/>
              <w:spacing w:before="0" w:after="0"/>
            </w:pPr>
          </w:p>
        </w:tc>
        <w:tc>
          <w:tcPr>
            <w:tcW w:w="393" w:type="pct"/>
            <w:tcBorders>
              <w:top w:val="nil"/>
              <w:left w:val="nil"/>
              <w:bottom w:val="nil"/>
              <w:right w:val="nil"/>
            </w:tcBorders>
            <w:shd w:val="clear" w:color="000000" w:fill="FFFFFF"/>
            <w:noWrap/>
            <w:vAlign w:val="center"/>
            <w:hideMark/>
          </w:tcPr>
          <w:p w14:paraId="284F508F" w14:textId="77777777" w:rsidR="00E028E9" w:rsidRPr="00934CF0" w:rsidRDefault="00E028E9" w:rsidP="00E028E9">
            <w:pPr>
              <w:pStyle w:val="TableTextRight"/>
              <w:spacing w:before="0" w:after="0"/>
            </w:pPr>
            <w:r w:rsidRPr="00934CF0">
              <w:t> </w:t>
            </w:r>
          </w:p>
        </w:tc>
        <w:tc>
          <w:tcPr>
            <w:tcW w:w="393" w:type="pct"/>
            <w:tcBorders>
              <w:top w:val="nil"/>
              <w:left w:val="nil"/>
              <w:bottom w:val="nil"/>
              <w:right w:val="nil"/>
            </w:tcBorders>
            <w:shd w:val="clear" w:color="000000" w:fill="FFFFFF"/>
            <w:noWrap/>
            <w:vAlign w:val="center"/>
            <w:hideMark/>
          </w:tcPr>
          <w:p w14:paraId="05D2413D" w14:textId="77777777" w:rsidR="00E028E9" w:rsidRPr="00934CF0" w:rsidRDefault="00E028E9" w:rsidP="00E028E9">
            <w:pPr>
              <w:pStyle w:val="TableTextRight"/>
              <w:spacing w:before="0" w:after="0"/>
            </w:pPr>
            <w:r w:rsidRPr="00934CF0">
              <w:t> </w:t>
            </w:r>
          </w:p>
        </w:tc>
        <w:tc>
          <w:tcPr>
            <w:tcW w:w="393" w:type="pct"/>
            <w:tcBorders>
              <w:top w:val="nil"/>
              <w:left w:val="nil"/>
              <w:bottom w:val="nil"/>
              <w:right w:val="nil"/>
            </w:tcBorders>
            <w:shd w:val="clear" w:color="000000" w:fill="FFFFFF"/>
            <w:noWrap/>
            <w:vAlign w:val="center"/>
            <w:hideMark/>
          </w:tcPr>
          <w:p w14:paraId="6E1D78FB" w14:textId="77777777" w:rsidR="00E028E9" w:rsidRPr="00934CF0" w:rsidRDefault="00E028E9" w:rsidP="00E028E9">
            <w:pPr>
              <w:pStyle w:val="TableTextRight"/>
              <w:spacing w:before="0" w:after="0"/>
            </w:pPr>
            <w:r w:rsidRPr="00934CF0">
              <w:t> </w:t>
            </w:r>
          </w:p>
        </w:tc>
        <w:tc>
          <w:tcPr>
            <w:tcW w:w="340" w:type="pct"/>
            <w:tcBorders>
              <w:top w:val="nil"/>
              <w:left w:val="nil"/>
              <w:bottom w:val="nil"/>
              <w:right w:val="nil"/>
            </w:tcBorders>
            <w:shd w:val="clear" w:color="000000" w:fill="FFFFFF"/>
            <w:noWrap/>
            <w:vAlign w:val="center"/>
            <w:hideMark/>
          </w:tcPr>
          <w:p w14:paraId="7BB71B62" w14:textId="77777777" w:rsidR="00E028E9" w:rsidRPr="00934CF0" w:rsidRDefault="00E028E9" w:rsidP="00E028E9">
            <w:pPr>
              <w:pStyle w:val="TableTextRight"/>
              <w:spacing w:before="0" w:after="0"/>
            </w:pPr>
            <w:r w:rsidRPr="00934CF0">
              <w:t> </w:t>
            </w:r>
          </w:p>
        </w:tc>
        <w:tc>
          <w:tcPr>
            <w:tcW w:w="340" w:type="pct"/>
            <w:tcBorders>
              <w:top w:val="nil"/>
              <w:left w:val="nil"/>
              <w:bottom w:val="nil"/>
              <w:right w:val="nil"/>
            </w:tcBorders>
            <w:shd w:val="clear" w:color="000000" w:fill="FFFFFF"/>
            <w:noWrap/>
            <w:vAlign w:val="center"/>
            <w:hideMark/>
          </w:tcPr>
          <w:p w14:paraId="3AA27583" w14:textId="77777777" w:rsidR="00E028E9" w:rsidRPr="00934CF0" w:rsidRDefault="00E028E9" w:rsidP="00E028E9">
            <w:pPr>
              <w:pStyle w:val="TableTextRight"/>
              <w:spacing w:before="0" w:after="0"/>
            </w:pPr>
            <w:r w:rsidRPr="00934CF0">
              <w:t> </w:t>
            </w:r>
          </w:p>
        </w:tc>
        <w:tc>
          <w:tcPr>
            <w:tcW w:w="340" w:type="pct"/>
            <w:tcBorders>
              <w:top w:val="nil"/>
              <w:left w:val="nil"/>
              <w:bottom w:val="nil"/>
              <w:right w:val="nil"/>
            </w:tcBorders>
            <w:shd w:val="clear" w:color="000000" w:fill="FFFFFF"/>
            <w:noWrap/>
            <w:vAlign w:val="center"/>
            <w:hideMark/>
          </w:tcPr>
          <w:p w14:paraId="0583069F" w14:textId="77777777" w:rsidR="00E028E9" w:rsidRPr="00934CF0" w:rsidRDefault="00E028E9" w:rsidP="00E028E9">
            <w:pPr>
              <w:pStyle w:val="TableTextRight"/>
              <w:spacing w:before="0" w:after="0"/>
            </w:pPr>
            <w:r w:rsidRPr="00934CF0">
              <w:t> </w:t>
            </w:r>
          </w:p>
        </w:tc>
        <w:tc>
          <w:tcPr>
            <w:tcW w:w="405" w:type="pct"/>
            <w:tcBorders>
              <w:top w:val="nil"/>
              <w:left w:val="nil"/>
              <w:bottom w:val="nil"/>
              <w:right w:val="nil"/>
            </w:tcBorders>
            <w:shd w:val="clear" w:color="auto" w:fill="E6F2FF"/>
            <w:noWrap/>
            <w:vAlign w:val="center"/>
            <w:hideMark/>
          </w:tcPr>
          <w:p w14:paraId="0EA1C80C" w14:textId="77777777" w:rsidR="00E028E9" w:rsidRPr="00934CF0" w:rsidRDefault="00E028E9" w:rsidP="00E028E9">
            <w:pPr>
              <w:pStyle w:val="TableTextRight"/>
              <w:spacing w:before="0" w:after="0"/>
            </w:pPr>
            <w:r w:rsidRPr="00934CF0">
              <w:t> </w:t>
            </w:r>
          </w:p>
        </w:tc>
      </w:tr>
      <w:tr w:rsidR="00E028E9" w:rsidRPr="00934CF0" w14:paraId="1D80680D"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3E26B553" w14:textId="77777777" w:rsidR="00E028E9" w:rsidRPr="00934CF0" w:rsidRDefault="00E028E9" w:rsidP="00E028E9">
            <w:pPr>
              <w:spacing w:before="0" w:after="0" w:line="240" w:lineRule="auto"/>
              <w:ind w:left="340"/>
              <w:rPr>
                <w:rFonts w:ascii="Arial" w:hAnsi="Arial" w:cs="Arial"/>
                <w:sz w:val="16"/>
                <w:szCs w:val="16"/>
              </w:rPr>
            </w:pPr>
            <w:r w:rsidRPr="00934CF0">
              <w:rPr>
                <w:rFonts w:ascii="Arial" w:hAnsi="Arial" w:cs="Arial"/>
                <w:sz w:val="16"/>
                <w:szCs w:val="16"/>
              </w:rPr>
              <w:t>funding(a)</w:t>
            </w:r>
          </w:p>
        </w:tc>
        <w:tc>
          <w:tcPr>
            <w:tcW w:w="393" w:type="pct"/>
            <w:tcBorders>
              <w:top w:val="nil"/>
              <w:left w:val="nil"/>
              <w:bottom w:val="nil"/>
              <w:right w:val="nil"/>
            </w:tcBorders>
            <w:shd w:val="clear" w:color="000000" w:fill="FFFFFF"/>
            <w:noWrap/>
            <w:vAlign w:val="center"/>
            <w:hideMark/>
          </w:tcPr>
          <w:p w14:paraId="6E0710AF" w14:textId="77777777" w:rsidR="00E028E9" w:rsidRPr="00934CF0" w:rsidRDefault="00E028E9" w:rsidP="00E028E9">
            <w:pPr>
              <w:pStyle w:val="TableTextRight"/>
              <w:spacing w:before="0" w:after="0"/>
            </w:pPr>
            <w:r w:rsidRPr="00934CF0">
              <w:t>8,618</w:t>
            </w:r>
          </w:p>
        </w:tc>
        <w:tc>
          <w:tcPr>
            <w:tcW w:w="393" w:type="pct"/>
            <w:tcBorders>
              <w:top w:val="nil"/>
              <w:left w:val="nil"/>
              <w:bottom w:val="nil"/>
              <w:right w:val="nil"/>
            </w:tcBorders>
            <w:shd w:val="clear" w:color="000000" w:fill="FFFFFF"/>
            <w:noWrap/>
            <w:vAlign w:val="center"/>
            <w:hideMark/>
          </w:tcPr>
          <w:p w14:paraId="2017FA1E" w14:textId="77777777" w:rsidR="00E028E9" w:rsidRPr="00934CF0" w:rsidRDefault="00E028E9" w:rsidP="00E028E9">
            <w:pPr>
              <w:pStyle w:val="TableTextRight"/>
              <w:spacing w:before="0" w:after="0"/>
            </w:pPr>
            <w:r w:rsidRPr="00934CF0">
              <w:t>7,830</w:t>
            </w:r>
          </w:p>
        </w:tc>
        <w:tc>
          <w:tcPr>
            <w:tcW w:w="393" w:type="pct"/>
            <w:tcBorders>
              <w:top w:val="nil"/>
              <w:left w:val="nil"/>
              <w:bottom w:val="nil"/>
              <w:right w:val="nil"/>
            </w:tcBorders>
            <w:shd w:val="clear" w:color="000000" w:fill="FFFFFF"/>
            <w:noWrap/>
            <w:vAlign w:val="center"/>
            <w:hideMark/>
          </w:tcPr>
          <w:p w14:paraId="52E32425" w14:textId="77777777" w:rsidR="00E028E9" w:rsidRPr="00934CF0" w:rsidRDefault="00E028E9" w:rsidP="00E028E9">
            <w:pPr>
              <w:pStyle w:val="TableTextRight"/>
              <w:spacing w:before="0" w:after="0"/>
            </w:pPr>
            <w:r w:rsidRPr="00934CF0">
              <w:t>6,226</w:t>
            </w:r>
          </w:p>
        </w:tc>
        <w:tc>
          <w:tcPr>
            <w:tcW w:w="393" w:type="pct"/>
            <w:tcBorders>
              <w:top w:val="nil"/>
              <w:left w:val="nil"/>
              <w:bottom w:val="nil"/>
              <w:right w:val="nil"/>
            </w:tcBorders>
            <w:shd w:val="clear" w:color="000000" w:fill="FFFFFF"/>
            <w:noWrap/>
            <w:vAlign w:val="center"/>
            <w:hideMark/>
          </w:tcPr>
          <w:p w14:paraId="6EEE71B6" w14:textId="77777777" w:rsidR="00E028E9" w:rsidRPr="00934CF0" w:rsidRDefault="00E028E9" w:rsidP="00E028E9">
            <w:pPr>
              <w:pStyle w:val="TableTextRight"/>
              <w:spacing w:before="0" w:after="0"/>
            </w:pPr>
            <w:r w:rsidRPr="00934CF0">
              <w:t>2,869</w:t>
            </w:r>
          </w:p>
        </w:tc>
        <w:tc>
          <w:tcPr>
            <w:tcW w:w="393" w:type="pct"/>
            <w:tcBorders>
              <w:top w:val="nil"/>
              <w:left w:val="nil"/>
              <w:bottom w:val="nil"/>
              <w:right w:val="nil"/>
            </w:tcBorders>
            <w:shd w:val="clear" w:color="000000" w:fill="FFFFFF"/>
            <w:noWrap/>
            <w:vAlign w:val="center"/>
            <w:hideMark/>
          </w:tcPr>
          <w:p w14:paraId="4C8D3DE4" w14:textId="77777777" w:rsidR="00E028E9" w:rsidRPr="00934CF0" w:rsidRDefault="00E028E9" w:rsidP="00E028E9">
            <w:pPr>
              <w:pStyle w:val="TableTextRight"/>
              <w:spacing w:before="0" w:after="0"/>
            </w:pPr>
            <w:r w:rsidRPr="00934CF0">
              <w:t>1,871</w:t>
            </w:r>
          </w:p>
        </w:tc>
        <w:tc>
          <w:tcPr>
            <w:tcW w:w="340" w:type="pct"/>
            <w:tcBorders>
              <w:top w:val="nil"/>
              <w:left w:val="nil"/>
              <w:bottom w:val="nil"/>
              <w:right w:val="nil"/>
            </w:tcBorders>
            <w:shd w:val="clear" w:color="000000" w:fill="FFFFFF"/>
            <w:noWrap/>
            <w:vAlign w:val="center"/>
            <w:hideMark/>
          </w:tcPr>
          <w:p w14:paraId="618C2785" w14:textId="77777777" w:rsidR="00E028E9" w:rsidRPr="00934CF0" w:rsidRDefault="00E028E9" w:rsidP="00E028E9">
            <w:pPr>
              <w:pStyle w:val="TableTextRight"/>
              <w:spacing w:before="0" w:after="0"/>
            </w:pPr>
            <w:r w:rsidRPr="00934CF0">
              <w:t>612</w:t>
            </w:r>
          </w:p>
        </w:tc>
        <w:tc>
          <w:tcPr>
            <w:tcW w:w="340" w:type="pct"/>
            <w:tcBorders>
              <w:top w:val="nil"/>
              <w:left w:val="nil"/>
              <w:bottom w:val="nil"/>
              <w:right w:val="nil"/>
            </w:tcBorders>
            <w:shd w:val="clear" w:color="000000" w:fill="FFFFFF"/>
            <w:noWrap/>
            <w:vAlign w:val="center"/>
            <w:hideMark/>
          </w:tcPr>
          <w:p w14:paraId="58D51565" w14:textId="77777777" w:rsidR="00E028E9" w:rsidRPr="00934CF0" w:rsidRDefault="00E028E9" w:rsidP="00E028E9">
            <w:pPr>
              <w:pStyle w:val="TableTextRight"/>
              <w:spacing w:before="0" w:after="0"/>
            </w:pPr>
            <w:r w:rsidRPr="00934CF0">
              <w:t>522</w:t>
            </w:r>
          </w:p>
        </w:tc>
        <w:tc>
          <w:tcPr>
            <w:tcW w:w="340" w:type="pct"/>
            <w:tcBorders>
              <w:top w:val="nil"/>
              <w:left w:val="nil"/>
              <w:bottom w:val="nil"/>
              <w:right w:val="nil"/>
            </w:tcBorders>
            <w:shd w:val="clear" w:color="000000" w:fill="FFFFFF"/>
            <w:noWrap/>
            <w:vAlign w:val="center"/>
            <w:hideMark/>
          </w:tcPr>
          <w:p w14:paraId="01A2BC1B" w14:textId="77777777" w:rsidR="00E028E9" w:rsidRPr="00934CF0" w:rsidRDefault="00E028E9" w:rsidP="00E028E9">
            <w:pPr>
              <w:pStyle w:val="TableTextRight"/>
              <w:spacing w:before="0" w:after="0"/>
            </w:pPr>
            <w:r w:rsidRPr="00934CF0">
              <w:t>407</w:t>
            </w:r>
          </w:p>
        </w:tc>
        <w:tc>
          <w:tcPr>
            <w:tcW w:w="405" w:type="pct"/>
            <w:tcBorders>
              <w:top w:val="nil"/>
              <w:left w:val="nil"/>
              <w:bottom w:val="nil"/>
              <w:right w:val="nil"/>
            </w:tcBorders>
            <w:shd w:val="clear" w:color="auto" w:fill="E6F2FF"/>
            <w:noWrap/>
            <w:vAlign w:val="center"/>
            <w:hideMark/>
          </w:tcPr>
          <w:p w14:paraId="5B170750" w14:textId="77777777" w:rsidR="00E028E9" w:rsidRPr="00934CF0" w:rsidRDefault="00E028E9" w:rsidP="00E028E9">
            <w:pPr>
              <w:pStyle w:val="TableTextRight"/>
              <w:spacing w:before="0" w:after="0"/>
            </w:pPr>
            <w:r w:rsidRPr="00934CF0">
              <w:t>28,954</w:t>
            </w:r>
          </w:p>
        </w:tc>
      </w:tr>
      <w:tr w:rsidR="00E028E9" w:rsidRPr="00934CF0" w14:paraId="7F0B06BB"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62246D73"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w:t>
            </w:r>
          </w:p>
        </w:tc>
        <w:tc>
          <w:tcPr>
            <w:tcW w:w="393" w:type="pct"/>
            <w:tcBorders>
              <w:top w:val="nil"/>
              <w:left w:val="nil"/>
              <w:bottom w:val="single" w:sz="4" w:space="0" w:color="293F5B"/>
              <w:right w:val="nil"/>
            </w:tcBorders>
            <w:shd w:val="clear" w:color="000000" w:fill="FFFFFF"/>
            <w:noWrap/>
            <w:vAlign w:val="center"/>
            <w:hideMark/>
          </w:tcPr>
          <w:p w14:paraId="2A87AD7E" w14:textId="77777777" w:rsidR="00E028E9" w:rsidRPr="00934CF0" w:rsidRDefault="00E028E9" w:rsidP="00E028E9">
            <w:pPr>
              <w:pStyle w:val="TableTextRight"/>
              <w:spacing w:before="0" w:after="0"/>
            </w:pPr>
            <w:r w:rsidRPr="00934CF0">
              <w:t>98</w:t>
            </w:r>
          </w:p>
        </w:tc>
        <w:tc>
          <w:tcPr>
            <w:tcW w:w="393" w:type="pct"/>
            <w:tcBorders>
              <w:top w:val="nil"/>
              <w:left w:val="nil"/>
              <w:bottom w:val="single" w:sz="4" w:space="0" w:color="293F5B"/>
              <w:right w:val="nil"/>
            </w:tcBorders>
            <w:shd w:val="clear" w:color="000000" w:fill="FFFFFF"/>
            <w:noWrap/>
            <w:vAlign w:val="center"/>
            <w:hideMark/>
          </w:tcPr>
          <w:p w14:paraId="32179703" w14:textId="77777777" w:rsidR="00E028E9" w:rsidRPr="00934CF0" w:rsidRDefault="00E028E9" w:rsidP="00E028E9">
            <w:pPr>
              <w:pStyle w:val="TableTextRight"/>
              <w:spacing w:before="0" w:after="0"/>
            </w:pPr>
            <w:r w:rsidRPr="00934CF0">
              <w:t>172</w:t>
            </w:r>
          </w:p>
        </w:tc>
        <w:tc>
          <w:tcPr>
            <w:tcW w:w="393" w:type="pct"/>
            <w:tcBorders>
              <w:top w:val="nil"/>
              <w:left w:val="nil"/>
              <w:bottom w:val="single" w:sz="4" w:space="0" w:color="293F5B"/>
              <w:right w:val="nil"/>
            </w:tcBorders>
            <w:shd w:val="clear" w:color="000000" w:fill="FFFFFF"/>
            <w:noWrap/>
            <w:vAlign w:val="center"/>
            <w:hideMark/>
          </w:tcPr>
          <w:p w14:paraId="4E091891" w14:textId="77777777" w:rsidR="00E028E9" w:rsidRPr="00934CF0" w:rsidRDefault="00E028E9" w:rsidP="00E028E9">
            <w:pPr>
              <w:pStyle w:val="TableTextRight"/>
              <w:spacing w:before="0" w:after="0"/>
            </w:pPr>
            <w:r w:rsidRPr="00934CF0">
              <w:t>67</w:t>
            </w:r>
          </w:p>
        </w:tc>
        <w:tc>
          <w:tcPr>
            <w:tcW w:w="393" w:type="pct"/>
            <w:tcBorders>
              <w:top w:val="nil"/>
              <w:left w:val="nil"/>
              <w:bottom w:val="single" w:sz="4" w:space="0" w:color="293F5B"/>
              <w:right w:val="nil"/>
            </w:tcBorders>
            <w:shd w:val="clear" w:color="000000" w:fill="FFFFFF"/>
            <w:noWrap/>
            <w:vAlign w:val="center"/>
            <w:hideMark/>
          </w:tcPr>
          <w:p w14:paraId="4E0061A5" w14:textId="77777777" w:rsidR="00E028E9" w:rsidRPr="00934CF0" w:rsidRDefault="00E028E9" w:rsidP="00E028E9">
            <w:pPr>
              <w:pStyle w:val="TableTextRight"/>
              <w:spacing w:before="0" w:after="0"/>
            </w:pPr>
            <w:r w:rsidRPr="00934CF0">
              <w:t>29</w:t>
            </w:r>
          </w:p>
        </w:tc>
        <w:tc>
          <w:tcPr>
            <w:tcW w:w="393" w:type="pct"/>
            <w:tcBorders>
              <w:top w:val="nil"/>
              <w:left w:val="nil"/>
              <w:bottom w:val="single" w:sz="4" w:space="0" w:color="293F5B"/>
              <w:right w:val="nil"/>
            </w:tcBorders>
            <w:shd w:val="clear" w:color="000000" w:fill="FFFFFF"/>
            <w:noWrap/>
            <w:vAlign w:val="center"/>
            <w:hideMark/>
          </w:tcPr>
          <w:p w14:paraId="7FAED127" w14:textId="77777777" w:rsidR="00E028E9" w:rsidRPr="00934CF0" w:rsidRDefault="00E028E9" w:rsidP="00E028E9">
            <w:pPr>
              <w:pStyle w:val="TableTextRight"/>
              <w:spacing w:before="0" w:after="0"/>
            </w:pPr>
            <w:r w:rsidRPr="00934CF0">
              <w:t>69</w:t>
            </w:r>
          </w:p>
        </w:tc>
        <w:tc>
          <w:tcPr>
            <w:tcW w:w="340" w:type="pct"/>
            <w:tcBorders>
              <w:top w:val="nil"/>
              <w:left w:val="nil"/>
              <w:bottom w:val="single" w:sz="4" w:space="0" w:color="293F5B"/>
              <w:right w:val="nil"/>
            </w:tcBorders>
            <w:shd w:val="clear" w:color="000000" w:fill="FFFFFF"/>
            <w:noWrap/>
            <w:vAlign w:val="center"/>
            <w:hideMark/>
          </w:tcPr>
          <w:p w14:paraId="709AB9AE" w14:textId="77777777" w:rsidR="00E028E9" w:rsidRPr="00934CF0" w:rsidRDefault="00E028E9" w:rsidP="00E028E9">
            <w:pPr>
              <w:pStyle w:val="TableTextRight"/>
              <w:spacing w:before="0" w:after="0"/>
            </w:pPr>
            <w:r w:rsidRPr="00934CF0">
              <w:t>29</w:t>
            </w:r>
          </w:p>
        </w:tc>
        <w:tc>
          <w:tcPr>
            <w:tcW w:w="340" w:type="pct"/>
            <w:tcBorders>
              <w:top w:val="nil"/>
              <w:left w:val="nil"/>
              <w:bottom w:val="single" w:sz="4" w:space="0" w:color="293F5B"/>
              <w:right w:val="nil"/>
            </w:tcBorders>
            <w:shd w:val="clear" w:color="000000" w:fill="FFFFFF"/>
            <w:noWrap/>
            <w:vAlign w:val="center"/>
            <w:hideMark/>
          </w:tcPr>
          <w:p w14:paraId="7AD2336E" w14:textId="77777777" w:rsidR="00E028E9" w:rsidRPr="00934CF0" w:rsidRDefault="00E028E9" w:rsidP="00E028E9">
            <w:pPr>
              <w:pStyle w:val="TableTextRight"/>
              <w:spacing w:before="0" w:after="0"/>
            </w:pPr>
            <w:r w:rsidRPr="00934CF0">
              <w:t>17</w:t>
            </w:r>
          </w:p>
        </w:tc>
        <w:tc>
          <w:tcPr>
            <w:tcW w:w="340" w:type="pct"/>
            <w:tcBorders>
              <w:top w:val="nil"/>
              <w:left w:val="nil"/>
              <w:bottom w:val="single" w:sz="4" w:space="0" w:color="293F5B"/>
              <w:right w:val="nil"/>
            </w:tcBorders>
            <w:shd w:val="clear" w:color="000000" w:fill="FFFFFF"/>
            <w:noWrap/>
            <w:vAlign w:val="center"/>
            <w:hideMark/>
          </w:tcPr>
          <w:p w14:paraId="6D0C0077" w14:textId="77777777" w:rsidR="00E028E9" w:rsidRPr="00934CF0" w:rsidRDefault="00E028E9" w:rsidP="00E028E9">
            <w:pPr>
              <w:pStyle w:val="TableTextRight"/>
              <w:spacing w:before="0" w:after="0"/>
            </w:pPr>
            <w:r w:rsidRPr="00934CF0">
              <w:t>49</w:t>
            </w:r>
          </w:p>
        </w:tc>
        <w:tc>
          <w:tcPr>
            <w:tcW w:w="405" w:type="pct"/>
            <w:tcBorders>
              <w:top w:val="nil"/>
              <w:left w:val="nil"/>
              <w:bottom w:val="single" w:sz="4" w:space="0" w:color="293F5B"/>
              <w:right w:val="nil"/>
            </w:tcBorders>
            <w:shd w:val="clear" w:color="auto" w:fill="E6F2FF"/>
            <w:noWrap/>
            <w:vAlign w:val="center"/>
            <w:hideMark/>
          </w:tcPr>
          <w:p w14:paraId="007AB8AA" w14:textId="77777777" w:rsidR="00E028E9" w:rsidRPr="00934CF0" w:rsidRDefault="00E028E9" w:rsidP="00E028E9">
            <w:pPr>
              <w:pStyle w:val="TableTextRight"/>
              <w:spacing w:before="0" w:after="0"/>
            </w:pPr>
            <w:r w:rsidRPr="00934CF0">
              <w:t>530</w:t>
            </w:r>
          </w:p>
        </w:tc>
      </w:tr>
      <w:tr w:rsidR="00E028E9" w:rsidRPr="00934CF0" w14:paraId="4DC7F0A7"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650E1DE2"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Total health payments</w:t>
            </w:r>
          </w:p>
        </w:tc>
        <w:tc>
          <w:tcPr>
            <w:tcW w:w="393" w:type="pct"/>
            <w:tcBorders>
              <w:top w:val="single" w:sz="4" w:space="0" w:color="293F5B"/>
              <w:left w:val="nil"/>
              <w:bottom w:val="nil"/>
              <w:right w:val="nil"/>
            </w:tcBorders>
            <w:shd w:val="clear" w:color="auto" w:fill="auto"/>
            <w:noWrap/>
            <w:vAlign w:val="center"/>
            <w:hideMark/>
          </w:tcPr>
          <w:p w14:paraId="699D4655" w14:textId="77777777" w:rsidR="00E028E9" w:rsidRPr="00934CF0" w:rsidRDefault="00E028E9" w:rsidP="00E028E9">
            <w:pPr>
              <w:pStyle w:val="TableTextRight"/>
              <w:spacing w:before="0" w:after="0"/>
            </w:pPr>
            <w:r w:rsidRPr="00934CF0">
              <w:t>8,715</w:t>
            </w:r>
          </w:p>
        </w:tc>
        <w:tc>
          <w:tcPr>
            <w:tcW w:w="393" w:type="pct"/>
            <w:tcBorders>
              <w:top w:val="single" w:sz="4" w:space="0" w:color="293F5B"/>
              <w:left w:val="nil"/>
              <w:bottom w:val="nil"/>
              <w:right w:val="nil"/>
            </w:tcBorders>
            <w:shd w:val="clear" w:color="auto" w:fill="auto"/>
            <w:noWrap/>
            <w:vAlign w:val="center"/>
            <w:hideMark/>
          </w:tcPr>
          <w:p w14:paraId="51A025E9" w14:textId="77777777" w:rsidR="00E028E9" w:rsidRPr="00934CF0" w:rsidRDefault="00E028E9" w:rsidP="00E028E9">
            <w:pPr>
              <w:pStyle w:val="TableTextRight"/>
              <w:spacing w:before="0" w:after="0"/>
            </w:pPr>
            <w:r w:rsidRPr="00934CF0">
              <w:t>8,002</w:t>
            </w:r>
          </w:p>
        </w:tc>
        <w:tc>
          <w:tcPr>
            <w:tcW w:w="393" w:type="pct"/>
            <w:tcBorders>
              <w:top w:val="single" w:sz="4" w:space="0" w:color="293F5B"/>
              <w:left w:val="nil"/>
              <w:bottom w:val="nil"/>
              <w:right w:val="nil"/>
            </w:tcBorders>
            <w:shd w:val="clear" w:color="auto" w:fill="auto"/>
            <w:noWrap/>
            <w:vAlign w:val="center"/>
            <w:hideMark/>
          </w:tcPr>
          <w:p w14:paraId="07DB3F3A" w14:textId="77777777" w:rsidR="00E028E9" w:rsidRPr="00934CF0" w:rsidRDefault="00E028E9" w:rsidP="00E028E9">
            <w:pPr>
              <w:pStyle w:val="TableTextRight"/>
              <w:spacing w:before="0" w:after="0"/>
            </w:pPr>
            <w:r w:rsidRPr="00934CF0">
              <w:t>6,293</w:t>
            </w:r>
          </w:p>
        </w:tc>
        <w:tc>
          <w:tcPr>
            <w:tcW w:w="393" w:type="pct"/>
            <w:tcBorders>
              <w:top w:val="single" w:sz="4" w:space="0" w:color="293F5B"/>
              <w:left w:val="nil"/>
              <w:bottom w:val="nil"/>
              <w:right w:val="nil"/>
            </w:tcBorders>
            <w:shd w:val="clear" w:color="auto" w:fill="auto"/>
            <w:noWrap/>
            <w:vAlign w:val="center"/>
            <w:hideMark/>
          </w:tcPr>
          <w:p w14:paraId="011556E9" w14:textId="77777777" w:rsidR="00E028E9" w:rsidRPr="00934CF0" w:rsidRDefault="00E028E9" w:rsidP="00E028E9">
            <w:pPr>
              <w:pStyle w:val="TableTextRight"/>
              <w:spacing w:before="0" w:after="0"/>
            </w:pPr>
            <w:r w:rsidRPr="00934CF0">
              <w:t>2,898</w:t>
            </w:r>
          </w:p>
        </w:tc>
        <w:tc>
          <w:tcPr>
            <w:tcW w:w="393" w:type="pct"/>
            <w:tcBorders>
              <w:top w:val="single" w:sz="4" w:space="0" w:color="293F5B"/>
              <w:left w:val="nil"/>
              <w:bottom w:val="nil"/>
              <w:right w:val="nil"/>
            </w:tcBorders>
            <w:shd w:val="clear" w:color="auto" w:fill="auto"/>
            <w:noWrap/>
            <w:vAlign w:val="center"/>
            <w:hideMark/>
          </w:tcPr>
          <w:p w14:paraId="2AB3DD05" w14:textId="77777777" w:rsidR="00E028E9" w:rsidRPr="00934CF0" w:rsidRDefault="00E028E9" w:rsidP="00E028E9">
            <w:pPr>
              <w:pStyle w:val="TableTextRight"/>
              <w:spacing w:before="0" w:after="0"/>
            </w:pPr>
            <w:r w:rsidRPr="00934CF0">
              <w:t>1,939</w:t>
            </w:r>
          </w:p>
        </w:tc>
        <w:tc>
          <w:tcPr>
            <w:tcW w:w="340" w:type="pct"/>
            <w:tcBorders>
              <w:top w:val="single" w:sz="4" w:space="0" w:color="293F5B"/>
              <w:left w:val="nil"/>
              <w:bottom w:val="nil"/>
              <w:right w:val="nil"/>
            </w:tcBorders>
            <w:shd w:val="clear" w:color="auto" w:fill="auto"/>
            <w:noWrap/>
            <w:vAlign w:val="center"/>
            <w:hideMark/>
          </w:tcPr>
          <w:p w14:paraId="5132E162" w14:textId="77777777" w:rsidR="00E028E9" w:rsidRPr="00934CF0" w:rsidRDefault="00E028E9" w:rsidP="00E028E9">
            <w:pPr>
              <w:pStyle w:val="TableTextRight"/>
              <w:spacing w:before="0" w:after="0"/>
            </w:pPr>
            <w:r w:rsidRPr="00934CF0">
              <w:t>641</w:t>
            </w:r>
          </w:p>
        </w:tc>
        <w:tc>
          <w:tcPr>
            <w:tcW w:w="340" w:type="pct"/>
            <w:tcBorders>
              <w:top w:val="single" w:sz="4" w:space="0" w:color="293F5B"/>
              <w:left w:val="nil"/>
              <w:bottom w:val="nil"/>
              <w:right w:val="nil"/>
            </w:tcBorders>
            <w:shd w:val="clear" w:color="auto" w:fill="auto"/>
            <w:noWrap/>
            <w:vAlign w:val="center"/>
            <w:hideMark/>
          </w:tcPr>
          <w:p w14:paraId="27FD4668" w14:textId="77777777" w:rsidR="00E028E9" w:rsidRPr="00934CF0" w:rsidRDefault="00E028E9" w:rsidP="00E028E9">
            <w:pPr>
              <w:pStyle w:val="TableTextRight"/>
              <w:spacing w:before="0" w:after="0"/>
            </w:pPr>
            <w:r w:rsidRPr="00934CF0">
              <w:t>539</w:t>
            </w:r>
          </w:p>
        </w:tc>
        <w:tc>
          <w:tcPr>
            <w:tcW w:w="340" w:type="pct"/>
            <w:tcBorders>
              <w:top w:val="single" w:sz="4" w:space="0" w:color="293F5B"/>
              <w:left w:val="nil"/>
              <w:bottom w:val="nil"/>
              <w:right w:val="nil"/>
            </w:tcBorders>
            <w:shd w:val="clear" w:color="auto" w:fill="auto"/>
            <w:noWrap/>
            <w:vAlign w:val="center"/>
            <w:hideMark/>
          </w:tcPr>
          <w:p w14:paraId="3A82BED3" w14:textId="77777777" w:rsidR="00E028E9" w:rsidRPr="00934CF0" w:rsidRDefault="00E028E9" w:rsidP="00E028E9">
            <w:pPr>
              <w:pStyle w:val="TableTextRight"/>
              <w:spacing w:before="0" w:after="0"/>
            </w:pPr>
            <w:r w:rsidRPr="00934CF0">
              <w:t>456</w:t>
            </w:r>
          </w:p>
        </w:tc>
        <w:tc>
          <w:tcPr>
            <w:tcW w:w="405" w:type="pct"/>
            <w:tcBorders>
              <w:top w:val="single" w:sz="4" w:space="0" w:color="293F5B"/>
              <w:left w:val="nil"/>
              <w:bottom w:val="nil"/>
              <w:right w:val="nil"/>
            </w:tcBorders>
            <w:shd w:val="clear" w:color="auto" w:fill="E6F2FF"/>
            <w:noWrap/>
            <w:vAlign w:val="center"/>
            <w:hideMark/>
          </w:tcPr>
          <w:p w14:paraId="44DF8396" w14:textId="77777777" w:rsidR="00E028E9" w:rsidRPr="00934CF0" w:rsidRDefault="00E028E9" w:rsidP="00E028E9">
            <w:pPr>
              <w:pStyle w:val="TableTextRight"/>
              <w:spacing w:before="0" w:after="0"/>
            </w:pPr>
            <w:r w:rsidRPr="00934CF0">
              <w:t>29,484</w:t>
            </w:r>
          </w:p>
        </w:tc>
      </w:tr>
      <w:tr w:rsidR="00E028E9" w:rsidRPr="00934CF0" w14:paraId="1E156612"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0A68045F"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Education</w:t>
            </w:r>
          </w:p>
        </w:tc>
        <w:tc>
          <w:tcPr>
            <w:tcW w:w="393" w:type="pct"/>
            <w:tcBorders>
              <w:top w:val="nil"/>
              <w:left w:val="nil"/>
              <w:bottom w:val="nil"/>
              <w:right w:val="nil"/>
            </w:tcBorders>
            <w:shd w:val="clear" w:color="auto" w:fill="auto"/>
            <w:noWrap/>
            <w:vAlign w:val="center"/>
            <w:hideMark/>
          </w:tcPr>
          <w:p w14:paraId="537C71D9"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68287AA8"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73F65D4A"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4D65CD0E"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55785E96"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5D18BCB"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2ECA26B"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B1FBB23"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6B5B0681" w14:textId="77777777" w:rsidR="00E028E9" w:rsidRPr="00934CF0" w:rsidRDefault="00E028E9" w:rsidP="00E028E9">
            <w:pPr>
              <w:pStyle w:val="TableTextRight"/>
              <w:spacing w:before="0" w:after="0"/>
            </w:pPr>
            <w:r w:rsidRPr="00934CF0">
              <w:t> </w:t>
            </w:r>
          </w:p>
        </w:tc>
      </w:tr>
      <w:tr w:rsidR="00E028E9" w:rsidRPr="00934CF0" w14:paraId="2B40F8C4" w14:textId="77777777" w:rsidTr="00E028E9">
        <w:trPr>
          <w:divId w:val="1263221947"/>
          <w:trHeight w:hRule="exact" w:val="225"/>
        </w:trPr>
        <w:tc>
          <w:tcPr>
            <w:tcW w:w="1610" w:type="pct"/>
            <w:tcBorders>
              <w:top w:val="nil"/>
              <w:left w:val="nil"/>
              <w:bottom w:val="nil"/>
              <w:right w:val="nil"/>
            </w:tcBorders>
            <w:shd w:val="clear" w:color="auto" w:fill="auto"/>
            <w:noWrap/>
            <w:vAlign w:val="center"/>
            <w:hideMark/>
          </w:tcPr>
          <w:p w14:paraId="35F986E6"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Quality Schools funding(b)</w:t>
            </w:r>
          </w:p>
        </w:tc>
        <w:tc>
          <w:tcPr>
            <w:tcW w:w="393" w:type="pct"/>
            <w:tcBorders>
              <w:top w:val="nil"/>
              <w:left w:val="nil"/>
              <w:bottom w:val="nil"/>
              <w:right w:val="nil"/>
            </w:tcBorders>
            <w:shd w:val="clear" w:color="000000" w:fill="FFFFFF"/>
            <w:noWrap/>
            <w:vAlign w:val="center"/>
            <w:hideMark/>
          </w:tcPr>
          <w:p w14:paraId="40B8EE89" w14:textId="77777777" w:rsidR="00E028E9" w:rsidRPr="00934CF0" w:rsidRDefault="00E028E9" w:rsidP="00E028E9">
            <w:pPr>
              <w:pStyle w:val="TableTextRight"/>
              <w:spacing w:before="0" w:after="0"/>
            </w:pPr>
            <w:r w:rsidRPr="00934CF0">
              <w:t>8,143</w:t>
            </w:r>
          </w:p>
        </w:tc>
        <w:tc>
          <w:tcPr>
            <w:tcW w:w="393" w:type="pct"/>
            <w:tcBorders>
              <w:top w:val="nil"/>
              <w:left w:val="nil"/>
              <w:bottom w:val="nil"/>
              <w:right w:val="nil"/>
            </w:tcBorders>
            <w:shd w:val="clear" w:color="000000" w:fill="FFFFFF"/>
            <w:noWrap/>
            <w:vAlign w:val="center"/>
            <w:hideMark/>
          </w:tcPr>
          <w:p w14:paraId="11A3D477" w14:textId="77777777" w:rsidR="00E028E9" w:rsidRPr="00934CF0" w:rsidRDefault="00E028E9" w:rsidP="00E028E9">
            <w:pPr>
              <w:pStyle w:val="TableTextRight"/>
              <w:spacing w:before="0" w:after="0"/>
            </w:pPr>
            <w:r w:rsidRPr="00934CF0">
              <w:t>6,712</w:t>
            </w:r>
          </w:p>
        </w:tc>
        <w:tc>
          <w:tcPr>
            <w:tcW w:w="393" w:type="pct"/>
            <w:tcBorders>
              <w:top w:val="nil"/>
              <w:left w:val="nil"/>
              <w:bottom w:val="nil"/>
              <w:right w:val="nil"/>
            </w:tcBorders>
            <w:shd w:val="clear" w:color="000000" w:fill="FFFFFF"/>
            <w:noWrap/>
            <w:vAlign w:val="center"/>
            <w:hideMark/>
          </w:tcPr>
          <w:p w14:paraId="551A92C6" w14:textId="77777777" w:rsidR="00E028E9" w:rsidRPr="00934CF0" w:rsidRDefault="00E028E9" w:rsidP="00E028E9">
            <w:pPr>
              <w:pStyle w:val="TableTextRight"/>
              <w:spacing w:before="0" w:after="0"/>
            </w:pPr>
            <w:r w:rsidRPr="00934CF0">
              <w:t>5,895</w:t>
            </w:r>
          </w:p>
        </w:tc>
        <w:tc>
          <w:tcPr>
            <w:tcW w:w="393" w:type="pct"/>
            <w:tcBorders>
              <w:top w:val="nil"/>
              <w:left w:val="nil"/>
              <w:bottom w:val="nil"/>
              <w:right w:val="nil"/>
            </w:tcBorders>
            <w:shd w:val="clear" w:color="000000" w:fill="FFFFFF"/>
            <w:noWrap/>
            <w:vAlign w:val="center"/>
            <w:hideMark/>
          </w:tcPr>
          <w:p w14:paraId="777DA2F3" w14:textId="77777777" w:rsidR="00E028E9" w:rsidRPr="00934CF0" w:rsidRDefault="00E028E9" w:rsidP="00E028E9">
            <w:pPr>
              <w:pStyle w:val="TableTextRight"/>
              <w:spacing w:before="0" w:after="0"/>
            </w:pPr>
            <w:r w:rsidRPr="00934CF0">
              <w:t>2,822</w:t>
            </w:r>
          </w:p>
        </w:tc>
        <w:tc>
          <w:tcPr>
            <w:tcW w:w="393" w:type="pct"/>
            <w:tcBorders>
              <w:top w:val="nil"/>
              <w:left w:val="nil"/>
              <w:bottom w:val="nil"/>
              <w:right w:val="nil"/>
            </w:tcBorders>
            <w:shd w:val="clear" w:color="000000" w:fill="FFFFFF"/>
            <w:noWrap/>
            <w:vAlign w:val="center"/>
            <w:hideMark/>
          </w:tcPr>
          <w:p w14:paraId="29E12922" w14:textId="77777777" w:rsidR="00E028E9" w:rsidRPr="00934CF0" w:rsidRDefault="00E028E9" w:rsidP="00E028E9">
            <w:pPr>
              <w:pStyle w:val="TableTextRight"/>
              <w:spacing w:before="0" w:after="0"/>
            </w:pPr>
            <w:r w:rsidRPr="00934CF0">
              <w:t>1,969</w:t>
            </w:r>
          </w:p>
        </w:tc>
        <w:tc>
          <w:tcPr>
            <w:tcW w:w="340" w:type="pct"/>
            <w:tcBorders>
              <w:top w:val="nil"/>
              <w:left w:val="nil"/>
              <w:bottom w:val="nil"/>
              <w:right w:val="nil"/>
            </w:tcBorders>
            <w:shd w:val="clear" w:color="000000" w:fill="FFFFFF"/>
            <w:noWrap/>
            <w:vAlign w:val="center"/>
            <w:hideMark/>
          </w:tcPr>
          <w:p w14:paraId="3DF3C3B6" w14:textId="77777777" w:rsidR="00E028E9" w:rsidRPr="00934CF0" w:rsidRDefault="00E028E9" w:rsidP="00E028E9">
            <w:pPr>
              <w:pStyle w:val="TableTextRight"/>
              <w:spacing w:before="0" w:after="0"/>
            </w:pPr>
            <w:r w:rsidRPr="00934CF0">
              <w:t>602</w:t>
            </w:r>
          </w:p>
        </w:tc>
        <w:tc>
          <w:tcPr>
            <w:tcW w:w="340" w:type="pct"/>
            <w:tcBorders>
              <w:top w:val="nil"/>
              <w:left w:val="nil"/>
              <w:bottom w:val="nil"/>
              <w:right w:val="nil"/>
            </w:tcBorders>
            <w:shd w:val="clear" w:color="000000" w:fill="FFFFFF"/>
            <w:noWrap/>
            <w:vAlign w:val="center"/>
            <w:hideMark/>
          </w:tcPr>
          <w:p w14:paraId="4BA7E619" w14:textId="77777777" w:rsidR="00E028E9" w:rsidRPr="00934CF0" w:rsidRDefault="00E028E9" w:rsidP="00E028E9">
            <w:pPr>
              <w:pStyle w:val="TableTextRight"/>
              <w:spacing w:before="0" w:after="0"/>
            </w:pPr>
            <w:r w:rsidRPr="00934CF0">
              <w:t>414</w:t>
            </w:r>
          </w:p>
        </w:tc>
        <w:tc>
          <w:tcPr>
            <w:tcW w:w="340" w:type="pct"/>
            <w:tcBorders>
              <w:top w:val="nil"/>
              <w:left w:val="nil"/>
              <w:bottom w:val="nil"/>
              <w:right w:val="nil"/>
            </w:tcBorders>
            <w:shd w:val="clear" w:color="000000" w:fill="FFFFFF"/>
            <w:noWrap/>
            <w:vAlign w:val="center"/>
            <w:hideMark/>
          </w:tcPr>
          <w:p w14:paraId="033323C7" w14:textId="77777777" w:rsidR="00E028E9" w:rsidRPr="00934CF0" w:rsidRDefault="00E028E9" w:rsidP="00E028E9">
            <w:pPr>
              <w:pStyle w:val="TableTextRight"/>
              <w:spacing w:before="0" w:after="0"/>
            </w:pPr>
            <w:r w:rsidRPr="00934CF0">
              <w:t>442</w:t>
            </w:r>
          </w:p>
        </w:tc>
        <w:tc>
          <w:tcPr>
            <w:tcW w:w="405" w:type="pct"/>
            <w:tcBorders>
              <w:top w:val="nil"/>
              <w:left w:val="nil"/>
              <w:bottom w:val="nil"/>
              <w:right w:val="nil"/>
            </w:tcBorders>
            <w:shd w:val="clear" w:color="auto" w:fill="E6F2FF"/>
            <w:noWrap/>
            <w:vAlign w:val="center"/>
            <w:hideMark/>
          </w:tcPr>
          <w:p w14:paraId="5BF042D6" w14:textId="77777777" w:rsidR="00E028E9" w:rsidRPr="00934CF0" w:rsidRDefault="00E028E9" w:rsidP="00E028E9">
            <w:pPr>
              <w:pStyle w:val="TableTextRight"/>
              <w:spacing w:before="0" w:after="0"/>
            </w:pPr>
            <w:r w:rsidRPr="00934CF0">
              <w:t>27,000</w:t>
            </w:r>
          </w:p>
        </w:tc>
      </w:tr>
      <w:tr w:rsidR="00E028E9" w:rsidRPr="00934CF0" w14:paraId="624BCEFE"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76944CB1"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Partnerships(c)</w:t>
            </w:r>
          </w:p>
        </w:tc>
        <w:tc>
          <w:tcPr>
            <w:tcW w:w="393" w:type="pct"/>
            <w:tcBorders>
              <w:top w:val="nil"/>
              <w:left w:val="nil"/>
              <w:bottom w:val="single" w:sz="4" w:space="0" w:color="293F5B"/>
              <w:right w:val="nil"/>
            </w:tcBorders>
            <w:shd w:val="clear" w:color="000000" w:fill="FFFFFF"/>
            <w:noWrap/>
            <w:vAlign w:val="center"/>
            <w:hideMark/>
          </w:tcPr>
          <w:p w14:paraId="324F2C2C" w14:textId="77777777" w:rsidR="00E028E9" w:rsidRPr="00934CF0" w:rsidRDefault="00E028E9" w:rsidP="00E028E9">
            <w:pPr>
              <w:pStyle w:val="TableTextRight"/>
              <w:spacing w:before="0" w:after="0"/>
            </w:pPr>
            <w:r w:rsidRPr="00934CF0">
              <w:t>229</w:t>
            </w:r>
          </w:p>
        </w:tc>
        <w:tc>
          <w:tcPr>
            <w:tcW w:w="393" w:type="pct"/>
            <w:tcBorders>
              <w:top w:val="nil"/>
              <w:left w:val="nil"/>
              <w:bottom w:val="single" w:sz="4" w:space="0" w:color="293F5B"/>
              <w:right w:val="nil"/>
            </w:tcBorders>
            <w:shd w:val="clear" w:color="000000" w:fill="FFFFFF"/>
            <w:noWrap/>
            <w:vAlign w:val="center"/>
            <w:hideMark/>
          </w:tcPr>
          <w:p w14:paraId="225E4FDB" w14:textId="77777777" w:rsidR="00E028E9" w:rsidRPr="00934CF0" w:rsidRDefault="00E028E9" w:rsidP="00E028E9">
            <w:pPr>
              <w:pStyle w:val="TableTextRight"/>
              <w:spacing w:before="0" w:after="0"/>
            </w:pPr>
            <w:r w:rsidRPr="00934CF0">
              <w:t>199</w:t>
            </w:r>
          </w:p>
        </w:tc>
        <w:tc>
          <w:tcPr>
            <w:tcW w:w="393" w:type="pct"/>
            <w:tcBorders>
              <w:top w:val="nil"/>
              <w:left w:val="nil"/>
              <w:bottom w:val="single" w:sz="4" w:space="0" w:color="293F5B"/>
              <w:right w:val="nil"/>
            </w:tcBorders>
            <w:shd w:val="clear" w:color="000000" w:fill="FFFFFF"/>
            <w:noWrap/>
            <w:vAlign w:val="center"/>
            <w:hideMark/>
          </w:tcPr>
          <w:p w14:paraId="172A3D0F" w14:textId="77777777" w:rsidR="00E028E9" w:rsidRPr="00934CF0" w:rsidRDefault="00E028E9" w:rsidP="00E028E9">
            <w:pPr>
              <w:pStyle w:val="TableTextRight"/>
              <w:spacing w:before="0" w:after="0"/>
            </w:pPr>
            <w:r w:rsidRPr="00934CF0">
              <w:t>150</w:t>
            </w:r>
          </w:p>
        </w:tc>
        <w:tc>
          <w:tcPr>
            <w:tcW w:w="393" w:type="pct"/>
            <w:tcBorders>
              <w:top w:val="nil"/>
              <w:left w:val="nil"/>
              <w:bottom w:val="single" w:sz="4" w:space="0" w:color="293F5B"/>
              <w:right w:val="nil"/>
            </w:tcBorders>
            <w:shd w:val="clear" w:color="000000" w:fill="FFFFFF"/>
            <w:noWrap/>
            <w:vAlign w:val="center"/>
            <w:hideMark/>
          </w:tcPr>
          <w:p w14:paraId="4A751A47" w14:textId="77777777" w:rsidR="00E028E9" w:rsidRPr="00934CF0" w:rsidRDefault="00E028E9" w:rsidP="00E028E9">
            <w:pPr>
              <w:pStyle w:val="TableTextRight"/>
              <w:spacing w:before="0" w:after="0"/>
            </w:pPr>
            <w:r w:rsidRPr="00934CF0">
              <w:t>137</w:t>
            </w:r>
          </w:p>
        </w:tc>
        <w:tc>
          <w:tcPr>
            <w:tcW w:w="393" w:type="pct"/>
            <w:tcBorders>
              <w:top w:val="nil"/>
              <w:left w:val="nil"/>
              <w:bottom w:val="single" w:sz="4" w:space="0" w:color="293F5B"/>
              <w:right w:val="nil"/>
            </w:tcBorders>
            <w:shd w:val="clear" w:color="000000" w:fill="FFFFFF"/>
            <w:noWrap/>
            <w:vAlign w:val="center"/>
            <w:hideMark/>
          </w:tcPr>
          <w:p w14:paraId="097DE79E" w14:textId="77777777" w:rsidR="00E028E9" w:rsidRPr="00934CF0" w:rsidRDefault="00E028E9" w:rsidP="00E028E9">
            <w:pPr>
              <w:pStyle w:val="TableTextRight"/>
              <w:spacing w:before="0" w:after="0"/>
            </w:pPr>
            <w:r w:rsidRPr="00934CF0">
              <w:t>55</w:t>
            </w:r>
          </w:p>
        </w:tc>
        <w:tc>
          <w:tcPr>
            <w:tcW w:w="340" w:type="pct"/>
            <w:tcBorders>
              <w:top w:val="nil"/>
              <w:left w:val="nil"/>
              <w:bottom w:val="single" w:sz="4" w:space="0" w:color="293F5B"/>
              <w:right w:val="nil"/>
            </w:tcBorders>
            <w:shd w:val="clear" w:color="000000" w:fill="FFFFFF"/>
            <w:noWrap/>
            <w:vAlign w:val="center"/>
            <w:hideMark/>
          </w:tcPr>
          <w:p w14:paraId="3E2B595D" w14:textId="77777777" w:rsidR="00E028E9" w:rsidRPr="00934CF0" w:rsidRDefault="00E028E9" w:rsidP="00E028E9">
            <w:pPr>
              <w:pStyle w:val="TableTextRight"/>
              <w:spacing w:before="0" w:after="0"/>
            </w:pPr>
            <w:r w:rsidRPr="00934CF0">
              <w:t>19</w:t>
            </w:r>
          </w:p>
        </w:tc>
        <w:tc>
          <w:tcPr>
            <w:tcW w:w="340" w:type="pct"/>
            <w:tcBorders>
              <w:top w:val="nil"/>
              <w:left w:val="nil"/>
              <w:bottom w:val="single" w:sz="4" w:space="0" w:color="293F5B"/>
              <w:right w:val="nil"/>
            </w:tcBorders>
            <w:shd w:val="clear" w:color="000000" w:fill="FFFFFF"/>
            <w:noWrap/>
            <w:vAlign w:val="center"/>
            <w:hideMark/>
          </w:tcPr>
          <w:p w14:paraId="20100AC5" w14:textId="77777777" w:rsidR="00E028E9" w:rsidRPr="00934CF0" w:rsidRDefault="00E028E9" w:rsidP="00E028E9">
            <w:pPr>
              <w:pStyle w:val="TableTextRight"/>
              <w:spacing w:before="0" w:after="0"/>
            </w:pPr>
            <w:r w:rsidRPr="00934CF0">
              <w:t>14</w:t>
            </w:r>
          </w:p>
        </w:tc>
        <w:tc>
          <w:tcPr>
            <w:tcW w:w="340" w:type="pct"/>
            <w:tcBorders>
              <w:top w:val="nil"/>
              <w:left w:val="nil"/>
              <w:bottom w:val="single" w:sz="4" w:space="0" w:color="293F5B"/>
              <w:right w:val="nil"/>
            </w:tcBorders>
            <w:shd w:val="clear" w:color="000000" w:fill="FFFFFF"/>
            <w:noWrap/>
            <w:vAlign w:val="center"/>
            <w:hideMark/>
          </w:tcPr>
          <w:p w14:paraId="2279F412" w14:textId="77777777" w:rsidR="00E028E9" w:rsidRPr="00934CF0" w:rsidRDefault="00E028E9" w:rsidP="00E028E9">
            <w:pPr>
              <w:pStyle w:val="TableTextRight"/>
              <w:spacing w:before="0" w:after="0"/>
            </w:pPr>
            <w:r w:rsidRPr="00934CF0">
              <w:t>31</w:t>
            </w:r>
          </w:p>
        </w:tc>
        <w:tc>
          <w:tcPr>
            <w:tcW w:w="405" w:type="pct"/>
            <w:tcBorders>
              <w:top w:val="nil"/>
              <w:left w:val="nil"/>
              <w:bottom w:val="single" w:sz="4" w:space="0" w:color="293F5B"/>
              <w:right w:val="nil"/>
            </w:tcBorders>
            <w:shd w:val="clear" w:color="auto" w:fill="E6F2FF"/>
            <w:noWrap/>
            <w:vAlign w:val="center"/>
            <w:hideMark/>
          </w:tcPr>
          <w:p w14:paraId="3B951B79" w14:textId="77777777" w:rsidR="00E028E9" w:rsidRPr="00934CF0" w:rsidRDefault="00E028E9" w:rsidP="00E028E9">
            <w:pPr>
              <w:pStyle w:val="TableTextRight"/>
              <w:spacing w:before="0" w:after="0"/>
            </w:pPr>
            <w:r w:rsidRPr="00934CF0">
              <w:t>835</w:t>
            </w:r>
          </w:p>
        </w:tc>
      </w:tr>
      <w:tr w:rsidR="00E028E9" w:rsidRPr="00934CF0" w14:paraId="38C027F9"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1150BE8B"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Total education payments</w:t>
            </w:r>
          </w:p>
        </w:tc>
        <w:tc>
          <w:tcPr>
            <w:tcW w:w="393" w:type="pct"/>
            <w:tcBorders>
              <w:top w:val="single" w:sz="4" w:space="0" w:color="293F5B"/>
              <w:left w:val="nil"/>
              <w:bottom w:val="nil"/>
              <w:right w:val="nil"/>
            </w:tcBorders>
            <w:shd w:val="clear" w:color="auto" w:fill="auto"/>
            <w:noWrap/>
            <w:vAlign w:val="center"/>
            <w:hideMark/>
          </w:tcPr>
          <w:p w14:paraId="61AA8CEC" w14:textId="77777777" w:rsidR="00E028E9" w:rsidRPr="00934CF0" w:rsidRDefault="00E028E9" w:rsidP="00E028E9">
            <w:pPr>
              <w:pStyle w:val="TableTextRight"/>
              <w:spacing w:before="0" w:after="0"/>
            </w:pPr>
            <w:r w:rsidRPr="00934CF0">
              <w:t>8,373</w:t>
            </w:r>
          </w:p>
        </w:tc>
        <w:tc>
          <w:tcPr>
            <w:tcW w:w="393" w:type="pct"/>
            <w:tcBorders>
              <w:top w:val="single" w:sz="4" w:space="0" w:color="293F5B"/>
              <w:left w:val="nil"/>
              <w:bottom w:val="nil"/>
              <w:right w:val="nil"/>
            </w:tcBorders>
            <w:shd w:val="clear" w:color="auto" w:fill="auto"/>
            <w:noWrap/>
            <w:vAlign w:val="center"/>
            <w:hideMark/>
          </w:tcPr>
          <w:p w14:paraId="66ED1CF0" w14:textId="77777777" w:rsidR="00E028E9" w:rsidRPr="00934CF0" w:rsidRDefault="00E028E9" w:rsidP="00E028E9">
            <w:pPr>
              <w:pStyle w:val="TableTextRight"/>
              <w:spacing w:before="0" w:after="0"/>
            </w:pPr>
            <w:r w:rsidRPr="00934CF0">
              <w:t>6,911</w:t>
            </w:r>
          </w:p>
        </w:tc>
        <w:tc>
          <w:tcPr>
            <w:tcW w:w="393" w:type="pct"/>
            <w:tcBorders>
              <w:top w:val="single" w:sz="4" w:space="0" w:color="293F5B"/>
              <w:left w:val="nil"/>
              <w:bottom w:val="nil"/>
              <w:right w:val="nil"/>
            </w:tcBorders>
            <w:shd w:val="clear" w:color="auto" w:fill="auto"/>
            <w:noWrap/>
            <w:vAlign w:val="center"/>
            <w:hideMark/>
          </w:tcPr>
          <w:p w14:paraId="317C0FE9" w14:textId="77777777" w:rsidR="00E028E9" w:rsidRPr="00934CF0" w:rsidRDefault="00E028E9" w:rsidP="00E028E9">
            <w:pPr>
              <w:pStyle w:val="TableTextRight"/>
              <w:spacing w:before="0" w:after="0"/>
            </w:pPr>
            <w:r w:rsidRPr="00934CF0">
              <w:t>6,046</w:t>
            </w:r>
          </w:p>
        </w:tc>
        <w:tc>
          <w:tcPr>
            <w:tcW w:w="393" w:type="pct"/>
            <w:tcBorders>
              <w:top w:val="single" w:sz="4" w:space="0" w:color="293F5B"/>
              <w:left w:val="nil"/>
              <w:bottom w:val="nil"/>
              <w:right w:val="nil"/>
            </w:tcBorders>
            <w:shd w:val="clear" w:color="auto" w:fill="auto"/>
            <w:noWrap/>
            <w:vAlign w:val="center"/>
            <w:hideMark/>
          </w:tcPr>
          <w:p w14:paraId="7F7B269F" w14:textId="77777777" w:rsidR="00E028E9" w:rsidRPr="00934CF0" w:rsidRDefault="00E028E9" w:rsidP="00E028E9">
            <w:pPr>
              <w:pStyle w:val="TableTextRight"/>
              <w:spacing w:before="0" w:after="0"/>
            </w:pPr>
            <w:r w:rsidRPr="00934CF0">
              <w:t>2,959</w:t>
            </w:r>
          </w:p>
        </w:tc>
        <w:tc>
          <w:tcPr>
            <w:tcW w:w="393" w:type="pct"/>
            <w:tcBorders>
              <w:top w:val="single" w:sz="4" w:space="0" w:color="293F5B"/>
              <w:left w:val="nil"/>
              <w:bottom w:val="nil"/>
              <w:right w:val="nil"/>
            </w:tcBorders>
            <w:shd w:val="clear" w:color="auto" w:fill="auto"/>
            <w:noWrap/>
            <w:vAlign w:val="center"/>
            <w:hideMark/>
          </w:tcPr>
          <w:p w14:paraId="32859ED1" w14:textId="77777777" w:rsidR="00E028E9" w:rsidRPr="00934CF0" w:rsidRDefault="00E028E9" w:rsidP="00E028E9">
            <w:pPr>
              <w:pStyle w:val="TableTextRight"/>
              <w:spacing w:before="0" w:after="0"/>
            </w:pPr>
            <w:r w:rsidRPr="00934CF0">
              <w:t>2,024</w:t>
            </w:r>
          </w:p>
        </w:tc>
        <w:tc>
          <w:tcPr>
            <w:tcW w:w="340" w:type="pct"/>
            <w:tcBorders>
              <w:top w:val="single" w:sz="4" w:space="0" w:color="293F5B"/>
              <w:left w:val="nil"/>
              <w:bottom w:val="nil"/>
              <w:right w:val="nil"/>
            </w:tcBorders>
            <w:shd w:val="clear" w:color="auto" w:fill="auto"/>
            <w:noWrap/>
            <w:vAlign w:val="center"/>
            <w:hideMark/>
          </w:tcPr>
          <w:p w14:paraId="4B2A97E9" w14:textId="77777777" w:rsidR="00E028E9" w:rsidRPr="00934CF0" w:rsidRDefault="00E028E9" w:rsidP="00E028E9">
            <w:pPr>
              <w:pStyle w:val="TableTextRight"/>
              <w:spacing w:before="0" w:after="0"/>
            </w:pPr>
            <w:r w:rsidRPr="00934CF0">
              <w:t>621</w:t>
            </w:r>
          </w:p>
        </w:tc>
        <w:tc>
          <w:tcPr>
            <w:tcW w:w="340" w:type="pct"/>
            <w:tcBorders>
              <w:top w:val="single" w:sz="4" w:space="0" w:color="293F5B"/>
              <w:left w:val="nil"/>
              <w:bottom w:val="nil"/>
              <w:right w:val="nil"/>
            </w:tcBorders>
            <w:shd w:val="clear" w:color="auto" w:fill="auto"/>
            <w:noWrap/>
            <w:vAlign w:val="center"/>
            <w:hideMark/>
          </w:tcPr>
          <w:p w14:paraId="3C129345" w14:textId="77777777" w:rsidR="00E028E9" w:rsidRPr="00934CF0" w:rsidRDefault="00E028E9" w:rsidP="00E028E9">
            <w:pPr>
              <w:pStyle w:val="TableTextRight"/>
              <w:spacing w:before="0" w:after="0"/>
            </w:pPr>
            <w:r w:rsidRPr="00934CF0">
              <w:t>428</w:t>
            </w:r>
          </w:p>
        </w:tc>
        <w:tc>
          <w:tcPr>
            <w:tcW w:w="340" w:type="pct"/>
            <w:tcBorders>
              <w:top w:val="single" w:sz="4" w:space="0" w:color="293F5B"/>
              <w:left w:val="nil"/>
              <w:bottom w:val="nil"/>
              <w:right w:val="nil"/>
            </w:tcBorders>
            <w:shd w:val="clear" w:color="auto" w:fill="auto"/>
            <w:noWrap/>
            <w:vAlign w:val="center"/>
            <w:hideMark/>
          </w:tcPr>
          <w:p w14:paraId="2FA89ECD" w14:textId="77777777" w:rsidR="00E028E9" w:rsidRPr="00934CF0" w:rsidRDefault="00E028E9" w:rsidP="00E028E9">
            <w:pPr>
              <w:pStyle w:val="TableTextRight"/>
              <w:spacing w:before="0" w:after="0"/>
            </w:pPr>
            <w:r w:rsidRPr="00934CF0">
              <w:t>473</w:t>
            </w:r>
          </w:p>
        </w:tc>
        <w:tc>
          <w:tcPr>
            <w:tcW w:w="405" w:type="pct"/>
            <w:tcBorders>
              <w:top w:val="single" w:sz="4" w:space="0" w:color="293F5B"/>
              <w:left w:val="nil"/>
              <w:bottom w:val="nil"/>
              <w:right w:val="nil"/>
            </w:tcBorders>
            <w:shd w:val="clear" w:color="auto" w:fill="E6F2FF"/>
            <w:noWrap/>
            <w:vAlign w:val="center"/>
            <w:hideMark/>
          </w:tcPr>
          <w:p w14:paraId="72E0E50D" w14:textId="77777777" w:rsidR="00E028E9" w:rsidRPr="00934CF0" w:rsidRDefault="00E028E9" w:rsidP="00E028E9">
            <w:pPr>
              <w:pStyle w:val="TableTextRight"/>
              <w:spacing w:before="0" w:after="0"/>
            </w:pPr>
            <w:r w:rsidRPr="00934CF0">
              <w:t>27,835</w:t>
            </w:r>
          </w:p>
        </w:tc>
      </w:tr>
      <w:tr w:rsidR="00E028E9" w:rsidRPr="00934CF0" w14:paraId="657578AA"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3ECA45DC"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Skills and workforce</w:t>
            </w:r>
          </w:p>
        </w:tc>
        <w:tc>
          <w:tcPr>
            <w:tcW w:w="393" w:type="pct"/>
            <w:tcBorders>
              <w:top w:val="nil"/>
              <w:left w:val="nil"/>
              <w:bottom w:val="nil"/>
              <w:right w:val="nil"/>
            </w:tcBorders>
            <w:shd w:val="clear" w:color="auto" w:fill="auto"/>
            <w:noWrap/>
            <w:vAlign w:val="center"/>
            <w:hideMark/>
          </w:tcPr>
          <w:p w14:paraId="70E6F0EB"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66B56C11"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58FFBC63"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5EB179A"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06F54F88"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BF8CD0E"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62DF51D9"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2C53E1C7"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29095102" w14:textId="77777777" w:rsidR="00E028E9" w:rsidRPr="00934CF0" w:rsidRDefault="00E028E9" w:rsidP="00E028E9">
            <w:pPr>
              <w:pStyle w:val="TableTextRight"/>
              <w:spacing w:before="0" w:after="0"/>
            </w:pPr>
            <w:r w:rsidRPr="00934CF0">
              <w:t> </w:t>
            </w:r>
          </w:p>
        </w:tc>
      </w:tr>
      <w:tr w:rsidR="00E028E9" w:rsidRPr="00934CF0" w14:paraId="304F1169"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66A301C6" w14:textId="77777777" w:rsidR="00E028E9" w:rsidRPr="00934CF0" w:rsidRDefault="00E028E9" w:rsidP="00E028E9">
            <w:pPr>
              <w:spacing w:before="0" w:after="0" w:line="240" w:lineRule="auto"/>
              <w:ind w:left="170"/>
              <w:rPr>
                <w:rFonts w:ascii="Arial" w:hAnsi="Arial" w:cs="Arial"/>
                <w:i/>
                <w:sz w:val="16"/>
                <w:szCs w:val="16"/>
              </w:rPr>
            </w:pPr>
            <w:r w:rsidRPr="00934CF0">
              <w:rPr>
                <w:rFonts w:ascii="Arial" w:hAnsi="Arial" w:cs="Arial"/>
                <w:i/>
                <w:sz w:val="16"/>
                <w:szCs w:val="16"/>
              </w:rPr>
              <w:t xml:space="preserve"> development</w:t>
            </w:r>
          </w:p>
        </w:tc>
        <w:tc>
          <w:tcPr>
            <w:tcW w:w="393" w:type="pct"/>
            <w:tcBorders>
              <w:top w:val="nil"/>
              <w:left w:val="nil"/>
              <w:bottom w:val="nil"/>
              <w:right w:val="nil"/>
            </w:tcBorders>
            <w:shd w:val="clear" w:color="auto" w:fill="auto"/>
            <w:noWrap/>
            <w:vAlign w:val="center"/>
            <w:hideMark/>
          </w:tcPr>
          <w:p w14:paraId="1687F7FA"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7940ECA3"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4AC3199B"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39BA3AD5"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386FC9F5"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33A387E8"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23A1A932"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BE4BBCF"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6105A31A" w14:textId="77777777" w:rsidR="00E028E9" w:rsidRPr="00934CF0" w:rsidRDefault="00E028E9" w:rsidP="00E028E9">
            <w:pPr>
              <w:pStyle w:val="TableTextRight"/>
              <w:spacing w:before="0" w:after="0"/>
            </w:pPr>
            <w:r w:rsidRPr="00934CF0">
              <w:t> </w:t>
            </w:r>
          </w:p>
        </w:tc>
      </w:tr>
      <w:tr w:rsidR="00E028E9" w:rsidRPr="00934CF0" w14:paraId="0DD8C3C2"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645BB160"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Skills and Workforce</w:t>
            </w:r>
          </w:p>
        </w:tc>
        <w:tc>
          <w:tcPr>
            <w:tcW w:w="393" w:type="pct"/>
            <w:tcBorders>
              <w:top w:val="nil"/>
              <w:left w:val="nil"/>
              <w:bottom w:val="nil"/>
              <w:right w:val="nil"/>
            </w:tcBorders>
            <w:shd w:val="clear" w:color="auto" w:fill="auto"/>
            <w:noWrap/>
            <w:vAlign w:val="center"/>
            <w:hideMark/>
          </w:tcPr>
          <w:p w14:paraId="2CB08D9D" w14:textId="77777777" w:rsidR="00E028E9" w:rsidRPr="00934CF0" w:rsidRDefault="00E028E9" w:rsidP="00E028E9">
            <w:pPr>
              <w:pStyle w:val="TableTextRight"/>
              <w:spacing w:before="0" w:after="0"/>
            </w:pPr>
          </w:p>
        </w:tc>
        <w:tc>
          <w:tcPr>
            <w:tcW w:w="393" w:type="pct"/>
            <w:tcBorders>
              <w:top w:val="nil"/>
              <w:left w:val="nil"/>
              <w:bottom w:val="nil"/>
              <w:right w:val="nil"/>
            </w:tcBorders>
            <w:shd w:val="clear" w:color="auto" w:fill="auto"/>
            <w:noWrap/>
            <w:vAlign w:val="center"/>
            <w:hideMark/>
          </w:tcPr>
          <w:p w14:paraId="0C357C6E"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7AF34ADE"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28C2EB7"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36E91D4A"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28156E8F"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93F3326"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689A126B"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79C175FF" w14:textId="77777777" w:rsidR="00E028E9" w:rsidRPr="00934CF0" w:rsidRDefault="00E028E9" w:rsidP="00E028E9">
            <w:pPr>
              <w:pStyle w:val="TableTextRight"/>
              <w:spacing w:before="0" w:after="0"/>
            </w:pPr>
            <w:r w:rsidRPr="00934CF0">
              <w:t> </w:t>
            </w:r>
          </w:p>
        </w:tc>
      </w:tr>
      <w:tr w:rsidR="00E028E9" w:rsidRPr="00934CF0" w14:paraId="06C32E17"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4FDA905D" w14:textId="77777777" w:rsidR="00E028E9" w:rsidRPr="00934CF0" w:rsidRDefault="00E028E9" w:rsidP="00E028E9">
            <w:pPr>
              <w:spacing w:before="0" w:after="0" w:line="240" w:lineRule="auto"/>
              <w:ind w:left="340"/>
              <w:rPr>
                <w:rFonts w:ascii="Arial" w:hAnsi="Arial" w:cs="Arial"/>
                <w:sz w:val="16"/>
                <w:szCs w:val="16"/>
              </w:rPr>
            </w:pPr>
            <w:r w:rsidRPr="00934CF0">
              <w:rPr>
                <w:rFonts w:ascii="Arial" w:hAnsi="Arial" w:cs="Arial"/>
                <w:sz w:val="16"/>
                <w:szCs w:val="16"/>
              </w:rPr>
              <w:t>Development SPP(d)</w:t>
            </w:r>
          </w:p>
        </w:tc>
        <w:tc>
          <w:tcPr>
            <w:tcW w:w="393" w:type="pct"/>
            <w:tcBorders>
              <w:top w:val="nil"/>
              <w:left w:val="nil"/>
              <w:bottom w:val="nil"/>
              <w:right w:val="nil"/>
            </w:tcBorders>
            <w:shd w:val="clear" w:color="000000" w:fill="FFFFFF"/>
            <w:noWrap/>
            <w:vAlign w:val="center"/>
            <w:hideMark/>
          </w:tcPr>
          <w:p w14:paraId="0EE1240B" w14:textId="77777777" w:rsidR="00E028E9" w:rsidRPr="00934CF0" w:rsidRDefault="00E028E9" w:rsidP="00E028E9">
            <w:pPr>
              <w:pStyle w:val="TableTextRight"/>
              <w:spacing w:before="0" w:after="0"/>
            </w:pPr>
            <w:r w:rsidRPr="00934CF0">
              <w:t>504</w:t>
            </w:r>
          </w:p>
        </w:tc>
        <w:tc>
          <w:tcPr>
            <w:tcW w:w="393" w:type="pct"/>
            <w:tcBorders>
              <w:top w:val="nil"/>
              <w:left w:val="nil"/>
              <w:bottom w:val="nil"/>
              <w:right w:val="nil"/>
            </w:tcBorders>
            <w:shd w:val="clear" w:color="000000" w:fill="FFFFFF"/>
            <w:noWrap/>
            <w:vAlign w:val="center"/>
            <w:hideMark/>
          </w:tcPr>
          <w:p w14:paraId="6E306ED1" w14:textId="77777777" w:rsidR="00E028E9" w:rsidRPr="00934CF0" w:rsidRDefault="00E028E9" w:rsidP="00E028E9">
            <w:pPr>
              <w:pStyle w:val="TableTextRight"/>
              <w:spacing w:before="0" w:after="0"/>
            </w:pPr>
            <w:r w:rsidRPr="00934CF0">
              <w:t>410</w:t>
            </w:r>
          </w:p>
        </w:tc>
        <w:tc>
          <w:tcPr>
            <w:tcW w:w="393" w:type="pct"/>
            <w:tcBorders>
              <w:top w:val="nil"/>
              <w:left w:val="nil"/>
              <w:bottom w:val="nil"/>
              <w:right w:val="nil"/>
            </w:tcBorders>
            <w:shd w:val="clear" w:color="000000" w:fill="FFFFFF"/>
            <w:noWrap/>
            <w:vAlign w:val="center"/>
            <w:hideMark/>
          </w:tcPr>
          <w:p w14:paraId="53184A4D" w14:textId="77777777" w:rsidR="00E028E9" w:rsidRPr="00934CF0" w:rsidRDefault="00E028E9" w:rsidP="00E028E9">
            <w:pPr>
              <w:pStyle w:val="TableTextRight"/>
              <w:spacing w:before="0" w:after="0"/>
            </w:pPr>
            <w:r w:rsidRPr="00934CF0">
              <w:t>329</w:t>
            </w:r>
          </w:p>
        </w:tc>
        <w:tc>
          <w:tcPr>
            <w:tcW w:w="393" w:type="pct"/>
            <w:tcBorders>
              <w:top w:val="nil"/>
              <w:left w:val="nil"/>
              <w:bottom w:val="nil"/>
              <w:right w:val="nil"/>
            </w:tcBorders>
            <w:shd w:val="clear" w:color="000000" w:fill="FFFFFF"/>
            <w:noWrap/>
            <w:vAlign w:val="center"/>
            <w:hideMark/>
          </w:tcPr>
          <w:p w14:paraId="65E747E8" w14:textId="77777777" w:rsidR="00E028E9" w:rsidRPr="00934CF0" w:rsidRDefault="00E028E9" w:rsidP="00E028E9">
            <w:pPr>
              <w:pStyle w:val="TableTextRight"/>
              <w:spacing w:before="0" w:after="0"/>
            </w:pPr>
            <w:r w:rsidRPr="00934CF0">
              <w:t>173</w:t>
            </w:r>
          </w:p>
        </w:tc>
        <w:tc>
          <w:tcPr>
            <w:tcW w:w="393" w:type="pct"/>
            <w:tcBorders>
              <w:top w:val="nil"/>
              <w:left w:val="nil"/>
              <w:bottom w:val="nil"/>
              <w:right w:val="nil"/>
            </w:tcBorders>
            <w:shd w:val="clear" w:color="000000" w:fill="FFFFFF"/>
            <w:noWrap/>
            <w:vAlign w:val="center"/>
            <w:hideMark/>
          </w:tcPr>
          <w:p w14:paraId="74BE8A9C" w14:textId="77777777" w:rsidR="00E028E9" w:rsidRPr="00934CF0" w:rsidRDefault="00E028E9" w:rsidP="00E028E9">
            <w:pPr>
              <w:pStyle w:val="TableTextRight"/>
              <w:spacing w:before="0" w:after="0"/>
            </w:pPr>
            <w:r w:rsidRPr="00934CF0">
              <w:t>112</w:t>
            </w:r>
          </w:p>
        </w:tc>
        <w:tc>
          <w:tcPr>
            <w:tcW w:w="340" w:type="pct"/>
            <w:tcBorders>
              <w:top w:val="nil"/>
              <w:left w:val="nil"/>
              <w:bottom w:val="nil"/>
              <w:right w:val="nil"/>
            </w:tcBorders>
            <w:shd w:val="clear" w:color="000000" w:fill="FFFFFF"/>
            <w:noWrap/>
            <w:vAlign w:val="center"/>
            <w:hideMark/>
          </w:tcPr>
          <w:p w14:paraId="4CD88220" w14:textId="77777777" w:rsidR="00E028E9" w:rsidRPr="00934CF0" w:rsidRDefault="00E028E9" w:rsidP="00E028E9">
            <w:pPr>
              <w:pStyle w:val="TableTextRight"/>
              <w:spacing w:before="0" w:after="0"/>
            </w:pPr>
            <w:r w:rsidRPr="00934CF0">
              <w:t>35</w:t>
            </w:r>
          </w:p>
        </w:tc>
        <w:tc>
          <w:tcPr>
            <w:tcW w:w="340" w:type="pct"/>
            <w:tcBorders>
              <w:top w:val="nil"/>
              <w:left w:val="nil"/>
              <w:bottom w:val="nil"/>
              <w:right w:val="nil"/>
            </w:tcBorders>
            <w:shd w:val="clear" w:color="000000" w:fill="FFFFFF"/>
            <w:noWrap/>
            <w:vAlign w:val="center"/>
            <w:hideMark/>
          </w:tcPr>
          <w:p w14:paraId="2904DE6B" w14:textId="77777777" w:rsidR="00E028E9" w:rsidRPr="00934CF0" w:rsidRDefault="00E028E9" w:rsidP="00E028E9">
            <w:pPr>
              <w:pStyle w:val="TableTextRight"/>
              <w:spacing w:before="0" w:after="0"/>
            </w:pPr>
            <w:r w:rsidRPr="00934CF0">
              <w:t>28</w:t>
            </w:r>
          </w:p>
        </w:tc>
        <w:tc>
          <w:tcPr>
            <w:tcW w:w="340" w:type="pct"/>
            <w:tcBorders>
              <w:top w:val="nil"/>
              <w:left w:val="nil"/>
              <w:bottom w:val="nil"/>
              <w:right w:val="nil"/>
            </w:tcBorders>
            <w:shd w:val="clear" w:color="000000" w:fill="FFFFFF"/>
            <w:noWrap/>
            <w:vAlign w:val="center"/>
            <w:hideMark/>
          </w:tcPr>
          <w:p w14:paraId="3AD56BB7" w14:textId="77777777" w:rsidR="00E028E9" w:rsidRPr="00934CF0" w:rsidRDefault="00E028E9" w:rsidP="00E028E9">
            <w:pPr>
              <w:pStyle w:val="TableTextRight"/>
              <w:spacing w:before="0" w:after="0"/>
            </w:pPr>
            <w:r w:rsidRPr="00934CF0">
              <w:t>15</w:t>
            </w:r>
          </w:p>
        </w:tc>
        <w:tc>
          <w:tcPr>
            <w:tcW w:w="405" w:type="pct"/>
            <w:tcBorders>
              <w:top w:val="nil"/>
              <w:left w:val="nil"/>
              <w:bottom w:val="nil"/>
              <w:right w:val="nil"/>
            </w:tcBorders>
            <w:shd w:val="clear" w:color="auto" w:fill="E6F2FF"/>
            <w:noWrap/>
            <w:vAlign w:val="center"/>
            <w:hideMark/>
          </w:tcPr>
          <w:p w14:paraId="289211D7" w14:textId="77777777" w:rsidR="00E028E9" w:rsidRPr="00934CF0" w:rsidRDefault="00E028E9" w:rsidP="00E028E9">
            <w:pPr>
              <w:pStyle w:val="TableTextRight"/>
              <w:spacing w:before="0" w:after="0"/>
            </w:pPr>
            <w:r w:rsidRPr="00934CF0">
              <w:t>1,608</w:t>
            </w:r>
          </w:p>
        </w:tc>
      </w:tr>
      <w:tr w:rsidR="00E028E9" w:rsidRPr="00934CF0" w14:paraId="54F709F1"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08CBD8B0"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w:t>
            </w:r>
          </w:p>
        </w:tc>
        <w:tc>
          <w:tcPr>
            <w:tcW w:w="393" w:type="pct"/>
            <w:tcBorders>
              <w:top w:val="nil"/>
              <w:left w:val="nil"/>
              <w:bottom w:val="single" w:sz="4" w:space="0" w:color="293F5B"/>
              <w:right w:val="nil"/>
            </w:tcBorders>
            <w:shd w:val="clear" w:color="000000" w:fill="FFFFFF"/>
            <w:noWrap/>
            <w:vAlign w:val="center"/>
            <w:hideMark/>
          </w:tcPr>
          <w:p w14:paraId="0F44917C" w14:textId="77777777" w:rsidR="00E028E9" w:rsidRPr="00934CF0" w:rsidRDefault="00E028E9" w:rsidP="00E028E9">
            <w:pPr>
              <w:pStyle w:val="TableTextRight"/>
              <w:spacing w:before="0" w:after="0"/>
            </w:pPr>
            <w:r w:rsidRPr="00934CF0">
              <w:t>239</w:t>
            </w:r>
          </w:p>
        </w:tc>
        <w:tc>
          <w:tcPr>
            <w:tcW w:w="393" w:type="pct"/>
            <w:tcBorders>
              <w:top w:val="nil"/>
              <w:left w:val="nil"/>
              <w:bottom w:val="single" w:sz="4" w:space="0" w:color="293F5B"/>
              <w:right w:val="nil"/>
            </w:tcBorders>
            <w:shd w:val="clear" w:color="000000" w:fill="FFFFFF"/>
            <w:noWrap/>
            <w:vAlign w:val="center"/>
            <w:hideMark/>
          </w:tcPr>
          <w:p w14:paraId="548E08B4" w14:textId="77777777" w:rsidR="00E028E9" w:rsidRPr="00934CF0" w:rsidRDefault="00E028E9" w:rsidP="00E028E9">
            <w:pPr>
              <w:pStyle w:val="TableTextRight"/>
              <w:spacing w:before="0" w:after="0"/>
            </w:pPr>
            <w:r w:rsidRPr="00934CF0">
              <w:t>144</w:t>
            </w:r>
          </w:p>
        </w:tc>
        <w:tc>
          <w:tcPr>
            <w:tcW w:w="393" w:type="pct"/>
            <w:tcBorders>
              <w:top w:val="nil"/>
              <w:left w:val="nil"/>
              <w:bottom w:val="single" w:sz="4" w:space="0" w:color="293F5B"/>
              <w:right w:val="nil"/>
            </w:tcBorders>
            <w:shd w:val="clear" w:color="000000" w:fill="FFFFFF"/>
            <w:noWrap/>
            <w:vAlign w:val="center"/>
            <w:hideMark/>
          </w:tcPr>
          <w:p w14:paraId="67F0C63E" w14:textId="77777777" w:rsidR="00E028E9" w:rsidRPr="00934CF0" w:rsidRDefault="00E028E9" w:rsidP="00E028E9">
            <w:pPr>
              <w:pStyle w:val="TableTextRight"/>
              <w:spacing w:before="0" w:after="0"/>
            </w:pPr>
            <w:r w:rsidRPr="00934CF0">
              <w:t>116</w:t>
            </w:r>
          </w:p>
        </w:tc>
        <w:tc>
          <w:tcPr>
            <w:tcW w:w="393" w:type="pct"/>
            <w:tcBorders>
              <w:top w:val="nil"/>
              <w:left w:val="nil"/>
              <w:bottom w:val="single" w:sz="4" w:space="0" w:color="293F5B"/>
              <w:right w:val="nil"/>
            </w:tcBorders>
            <w:shd w:val="clear" w:color="000000" w:fill="FFFFFF"/>
            <w:noWrap/>
            <w:vAlign w:val="center"/>
            <w:hideMark/>
          </w:tcPr>
          <w:p w14:paraId="1AF22519" w14:textId="77777777" w:rsidR="00E028E9" w:rsidRPr="00934CF0" w:rsidRDefault="00E028E9" w:rsidP="00E028E9">
            <w:pPr>
              <w:pStyle w:val="TableTextRight"/>
              <w:spacing w:before="0" w:after="0"/>
            </w:pPr>
            <w:r w:rsidRPr="00934CF0">
              <w:t>58</w:t>
            </w:r>
          </w:p>
        </w:tc>
        <w:tc>
          <w:tcPr>
            <w:tcW w:w="393" w:type="pct"/>
            <w:tcBorders>
              <w:top w:val="nil"/>
              <w:left w:val="nil"/>
              <w:bottom w:val="single" w:sz="4" w:space="0" w:color="293F5B"/>
              <w:right w:val="nil"/>
            </w:tcBorders>
            <w:shd w:val="clear" w:color="000000" w:fill="FFFFFF"/>
            <w:noWrap/>
            <w:vAlign w:val="center"/>
            <w:hideMark/>
          </w:tcPr>
          <w:p w14:paraId="5685EB20" w14:textId="77777777" w:rsidR="00E028E9" w:rsidRPr="00934CF0" w:rsidRDefault="00E028E9" w:rsidP="00E028E9">
            <w:pPr>
              <w:pStyle w:val="TableTextRight"/>
              <w:spacing w:before="0" w:after="0"/>
            </w:pPr>
            <w:r w:rsidRPr="00934CF0">
              <w:t>40</w:t>
            </w:r>
          </w:p>
        </w:tc>
        <w:tc>
          <w:tcPr>
            <w:tcW w:w="340" w:type="pct"/>
            <w:tcBorders>
              <w:top w:val="nil"/>
              <w:left w:val="nil"/>
              <w:bottom w:val="single" w:sz="4" w:space="0" w:color="293F5B"/>
              <w:right w:val="nil"/>
            </w:tcBorders>
            <w:shd w:val="clear" w:color="000000" w:fill="FFFFFF"/>
            <w:noWrap/>
            <w:vAlign w:val="center"/>
            <w:hideMark/>
          </w:tcPr>
          <w:p w14:paraId="6A9A098F" w14:textId="77777777" w:rsidR="00E028E9" w:rsidRPr="00934CF0" w:rsidRDefault="00E028E9" w:rsidP="00E028E9">
            <w:pPr>
              <w:pStyle w:val="TableTextRight"/>
              <w:spacing w:before="0" w:after="0"/>
            </w:pPr>
            <w:r w:rsidRPr="00934CF0">
              <w:t>18</w:t>
            </w:r>
          </w:p>
        </w:tc>
        <w:tc>
          <w:tcPr>
            <w:tcW w:w="340" w:type="pct"/>
            <w:tcBorders>
              <w:top w:val="nil"/>
              <w:left w:val="nil"/>
              <w:bottom w:val="single" w:sz="4" w:space="0" w:color="293F5B"/>
              <w:right w:val="nil"/>
            </w:tcBorders>
            <w:shd w:val="clear" w:color="000000" w:fill="FFFFFF"/>
            <w:noWrap/>
            <w:vAlign w:val="center"/>
            <w:hideMark/>
          </w:tcPr>
          <w:p w14:paraId="326D921C" w14:textId="77777777" w:rsidR="00E028E9" w:rsidRPr="00934CF0" w:rsidRDefault="00E028E9" w:rsidP="00E028E9">
            <w:pPr>
              <w:pStyle w:val="TableTextRight"/>
              <w:spacing w:before="0" w:after="0"/>
            </w:pPr>
            <w:r w:rsidRPr="00934CF0">
              <w:t>7</w:t>
            </w:r>
          </w:p>
        </w:tc>
        <w:tc>
          <w:tcPr>
            <w:tcW w:w="340" w:type="pct"/>
            <w:tcBorders>
              <w:top w:val="nil"/>
              <w:left w:val="nil"/>
              <w:bottom w:val="single" w:sz="4" w:space="0" w:color="293F5B"/>
              <w:right w:val="nil"/>
            </w:tcBorders>
            <w:shd w:val="clear" w:color="000000" w:fill="FFFFFF"/>
            <w:noWrap/>
            <w:vAlign w:val="center"/>
            <w:hideMark/>
          </w:tcPr>
          <w:p w14:paraId="308B09E0" w14:textId="77777777" w:rsidR="00E028E9" w:rsidRPr="00934CF0" w:rsidRDefault="00E028E9" w:rsidP="00E028E9">
            <w:pPr>
              <w:pStyle w:val="TableTextRight"/>
              <w:spacing w:before="0" w:after="0"/>
            </w:pPr>
            <w:r w:rsidRPr="00934CF0">
              <w:t>4</w:t>
            </w:r>
          </w:p>
        </w:tc>
        <w:tc>
          <w:tcPr>
            <w:tcW w:w="405" w:type="pct"/>
            <w:tcBorders>
              <w:top w:val="nil"/>
              <w:left w:val="nil"/>
              <w:bottom w:val="single" w:sz="4" w:space="0" w:color="293F5B"/>
              <w:right w:val="nil"/>
            </w:tcBorders>
            <w:shd w:val="clear" w:color="auto" w:fill="E6F2FF"/>
            <w:noWrap/>
            <w:vAlign w:val="center"/>
            <w:hideMark/>
          </w:tcPr>
          <w:p w14:paraId="610697B6" w14:textId="77777777" w:rsidR="00E028E9" w:rsidRPr="00934CF0" w:rsidRDefault="00E028E9" w:rsidP="00E028E9">
            <w:pPr>
              <w:pStyle w:val="TableTextRight"/>
              <w:spacing w:before="0" w:after="0"/>
            </w:pPr>
            <w:r w:rsidRPr="00934CF0">
              <w:t>626</w:t>
            </w:r>
          </w:p>
        </w:tc>
      </w:tr>
      <w:tr w:rsidR="00E028E9" w:rsidRPr="00934CF0" w14:paraId="55917F37"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244540D0"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Total skills and workforce</w:t>
            </w:r>
          </w:p>
        </w:tc>
        <w:tc>
          <w:tcPr>
            <w:tcW w:w="393" w:type="pct"/>
            <w:tcBorders>
              <w:top w:val="single" w:sz="4" w:space="0" w:color="293F5B"/>
              <w:left w:val="nil"/>
              <w:bottom w:val="nil"/>
              <w:right w:val="nil"/>
            </w:tcBorders>
            <w:shd w:val="clear" w:color="auto" w:fill="auto"/>
            <w:noWrap/>
            <w:vAlign w:val="center"/>
            <w:hideMark/>
          </w:tcPr>
          <w:p w14:paraId="0FD4325F"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auto" w:fill="auto"/>
            <w:noWrap/>
            <w:vAlign w:val="center"/>
            <w:hideMark/>
          </w:tcPr>
          <w:p w14:paraId="5A9D32F0"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auto" w:fill="auto"/>
            <w:noWrap/>
            <w:vAlign w:val="center"/>
            <w:hideMark/>
          </w:tcPr>
          <w:p w14:paraId="5BB80584"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auto" w:fill="auto"/>
            <w:noWrap/>
            <w:vAlign w:val="center"/>
            <w:hideMark/>
          </w:tcPr>
          <w:p w14:paraId="3DB87B1C" w14:textId="77777777" w:rsidR="00E028E9" w:rsidRPr="00934CF0" w:rsidRDefault="00E028E9" w:rsidP="00E028E9">
            <w:pPr>
              <w:pStyle w:val="TableTextRight"/>
              <w:spacing w:before="0" w:after="0"/>
            </w:pPr>
            <w:r w:rsidRPr="00934CF0">
              <w:t> </w:t>
            </w:r>
          </w:p>
        </w:tc>
        <w:tc>
          <w:tcPr>
            <w:tcW w:w="393" w:type="pct"/>
            <w:tcBorders>
              <w:top w:val="single" w:sz="4" w:space="0" w:color="293F5B"/>
              <w:left w:val="nil"/>
              <w:bottom w:val="nil"/>
              <w:right w:val="nil"/>
            </w:tcBorders>
            <w:shd w:val="clear" w:color="auto" w:fill="auto"/>
            <w:noWrap/>
            <w:vAlign w:val="center"/>
            <w:hideMark/>
          </w:tcPr>
          <w:p w14:paraId="6957B910" w14:textId="77777777" w:rsidR="00E028E9" w:rsidRPr="00934CF0" w:rsidRDefault="00E028E9" w:rsidP="00E028E9">
            <w:pPr>
              <w:pStyle w:val="TableTextRight"/>
              <w:spacing w:before="0" w:after="0"/>
            </w:pPr>
            <w:r w:rsidRPr="00934CF0">
              <w:t> </w:t>
            </w:r>
          </w:p>
        </w:tc>
        <w:tc>
          <w:tcPr>
            <w:tcW w:w="340" w:type="pct"/>
            <w:tcBorders>
              <w:top w:val="single" w:sz="4" w:space="0" w:color="293F5B"/>
              <w:left w:val="nil"/>
              <w:bottom w:val="nil"/>
              <w:right w:val="nil"/>
            </w:tcBorders>
            <w:shd w:val="clear" w:color="auto" w:fill="auto"/>
            <w:noWrap/>
            <w:vAlign w:val="center"/>
            <w:hideMark/>
          </w:tcPr>
          <w:p w14:paraId="6563771F" w14:textId="77777777" w:rsidR="00E028E9" w:rsidRPr="00934CF0" w:rsidRDefault="00E028E9" w:rsidP="00E028E9">
            <w:pPr>
              <w:pStyle w:val="TableTextRight"/>
              <w:spacing w:before="0" w:after="0"/>
            </w:pPr>
            <w:r w:rsidRPr="00934CF0">
              <w:t> </w:t>
            </w:r>
          </w:p>
        </w:tc>
        <w:tc>
          <w:tcPr>
            <w:tcW w:w="340" w:type="pct"/>
            <w:tcBorders>
              <w:top w:val="single" w:sz="4" w:space="0" w:color="293F5B"/>
              <w:left w:val="nil"/>
              <w:bottom w:val="nil"/>
              <w:right w:val="nil"/>
            </w:tcBorders>
            <w:shd w:val="clear" w:color="auto" w:fill="auto"/>
            <w:noWrap/>
            <w:vAlign w:val="center"/>
            <w:hideMark/>
          </w:tcPr>
          <w:p w14:paraId="33DDD813" w14:textId="77777777" w:rsidR="00E028E9" w:rsidRPr="00934CF0" w:rsidRDefault="00E028E9" w:rsidP="00E028E9">
            <w:pPr>
              <w:pStyle w:val="TableTextRight"/>
              <w:spacing w:before="0" w:after="0"/>
            </w:pPr>
            <w:r w:rsidRPr="00934CF0">
              <w:t> </w:t>
            </w:r>
          </w:p>
        </w:tc>
        <w:tc>
          <w:tcPr>
            <w:tcW w:w="340" w:type="pct"/>
            <w:tcBorders>
              <w:top w:val="single" w:sz="4" w:space="0" w:color="293F5B"/>
              <w:left w:val="nil"/>
              <w:bottom w:val="nil"/>
              <w:right w:val="nil"/>
            </w:tcBorders>
            <w:shd w:val="clear" w:color="auto" w:fill="auto"/>
            <w:noWrap/>
            <w:vAlign w:val="center"/>
            <w:hideMark/>
          </w:tcPr>
          <w:p w14:paraId="60B71563" w14:textId="77777777" w:rsidR="00E028E9" w:rsidRPr="00934CF0" w:rsidRDefault="00E028E9" w:rsidP="00E028E9">
            <w:pPr>
              <w:pStyle w:val="TableTextRight"/>
              <w:spacing w:before="0" w:after="0"/>
            </w:pPr>
            <w:r w:rsidRPr="00934CF0">
              <w:t> </w:t>
            </w:r>
          </w:p>
        </w:tc>
        <w:tc>
          <w:tcPr>
            <w:tcW w:w="405" w:type="pct"/>
            <w:tcBorders>
              <w:top w:val="single" w:sz="4" w:space="0" w:color="293F5B"/>
              <w:left w:val="nil"/>
              <w:bottom w:val="nil"/>
              <w:right w:val="nil"/>
            </w:tcBorders>
            <w:shd w:val="clear" w:color="auto" w:fill="E6F2FF"/>
            <w:noWrap/>
            <w:vAlign w:val="center"/>
            <w:hideMark/>
          </w:tcPr>
          <w:p w14:paraId="6ABC518D" w14:textId="77777777" w:rsidR="00E028E9" w:rsidRPr="00934CF0" w:rsidRDefault="00E028E9" w:rsidP="00E028E9">
            <w:pPr>
              <w:pStyle w:val="TableTextRight"/>
              <w:spacing w:before="0" w:after="0"/>
            </w:pPr>
            <w:r w:rsidRPr="00934CF0">
              <w:t> </w:t>
            </w:r>
          </w:p>
        </w:tc>
      </w:tr>
      <w:tr w:rsidR="00E028E9" w:rsidRPr="00934CF0" w14:paraId="24390BDE"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49CA3786" w14:textId="77777777" w:rsidR="00E028E9" w:rsidRPr="00934CF0" w:rsidRDefault="00E028E9" w:rsidP="00E028E9">
            <w:pPr>
              <w:spacing w:before="0" w:after="0" w:line="240" w:lineRule="auto"/>
              <w:ind w:left="340"/>
              <w:rPr>
                <w:rFonts w:ascii="Arial" w:hAnsi="Arial" w:cs="Arial"/>
                <w:sz w:val="16"/>
                <w:szCs w:val="16"/>
              </w:rPr>
            </w:pPr>
            <w:r w:rsidRPr="00934CF0">
              <w:rPr>
                <w:rFonts w:ascii="Arial" w:hAnsi="Arial" w:cs="Arial"/>
                <w:sz w:val="16"/>
                <w:szCs w:val="16"/>
              </w:rPr>
              <w:t xml:space="preserve">development payments  </w:t>
            </w:r>
          </w:p>
        </w:tc>
        <w:tc>
          <w:tcPr>
            <w:tcW w:w="393" w:type="pct"/>
            <w:tcBorders>
              <w:top w:val="nil"/>
              <w:left w:val="nil"/>
              <w:bottom w:val="nil"/>
              <w:right w:val="nil"/>
            </w:tcBorders>
            <w:shd w:val="clear" w:color="auto" w:fill="auto"/>
            <w:noWrap/>
            <w:vAlign w:val="center"/>
            <w:hideMark/>
          </w:tcPr>
          <w:p w14:paraId="6DC0E1A6" w14:textId="77777777" w:rsidR="00E028E9" w:rsidRPr="00934CF0" w:rsidRDefault="00E028E9" w:rsidP="00E028E9">
            <w:pPr>
              <w:pStyle w:val="TableTextRight"/>
              <w:spacing w:before="0" w:after="0"/>
            </w:pPr>
            <w:r w:rsidRPr="00934CF0">
              <w:t>743</w:t>
            </w:r>
          </w:p>
        </w:tc>
        <w:tc>
          <w:tcPr>
            <w:tcW w:w="393" w:type="pct"/>
            <w:tcBorders>
              <w:top w:val="nil"/>
              <w:left w:val="nil"/>
              <w:bottom w:val="nil"/>
              <w:right w:val="nil"/>
            </w:tcBorders>
            <w:shd w:val="clear" w:color="auto" w:fill="auto"/>
            <w:noWrap/>
            <w:vAlign w:val="center"/>
            <w:hideMark/>
          </w:tcPr>
          <w:p w14:paraId="1B9D9292" w14:textId="77777777" w:rsidR="00E028E9" w:rsidRPr="00934CF0" w:rsidRDefault="00E028E9" w:rsidP="00E028E9">
            <w:pPr>
              <w:pStyle w:val="TableTextRight"/>
              <w:spacing w:before="0" w:after="0"/>
            </w:pPr>
            <w:r w:rsidRPr="00934CF0">
              <w:t>554</w:t>
            </w:r>
          </w:p>
        </w:tc>
        <w:tc>
          <w:tcPr>
            <w:tcW w:w="393" w:type="pct"/>
            <w:tcBorders>
              <w:top w:val="nil"/>
              <w:left w:val="nil"/>
              <w:bottom w:val="nil"/>
              <w:right w:val="nil"/>
            </w:tcBorders>
            <w:shd w:val="clear" w:color="auto" w:fill="auto"/>
            <w:noWrap/>
            <w:vAlign w:val="center"/>
            <w:hideMark/>
          </w:tcPr>
          <w:p w14:paraId="070CA8DC" w14:textId="77777777" w:rsidR="00E028E9" w:rsidRPr="00934CF0" w:rsidRDefault="00E028E9" w:rsidP="00E028E9">
            <w:pPr>
              <w:pStyle w:val="TableTextRight"/>
              <w:spacing w:before="0" w:after="0"/>
            </w:pPr>
            <w:r w:rsidRPr="00934CF0">
              <w:t>445</w:t>
            </w:r>
          </w:p>
        </w:tc>
        <w:tc>
          <w:tcPr>
            <w:tcW w:w="393" w:type="pct"/>
            <w:tcBorders>
              <w:top w:val="nil"/>
              <w:left w:val="nil"/>
              <w:bottom w:val="nil"/>
              <w:right w:val="nil"/>
            </w:tcBorders>
            <w:shd w:val="clear" w:color="auto" w:fill="auto"/>
            <w:noWrap/>
            <w:vAlign w:val="center"/>
            <w:hideMark/>
          </w:tcPr>
          <w:p w14:paraId="0BB6ADC8" w14:textId="77777777" w:rsidR="00E028E9" w:rsidRPr="00934CF0" w:rsidRDefault="00E028E9" w:rsidP="00E028E9">
            <w:pPr>
              <w:pStyle w:val="TableTextRight"/>
              <w:spacing w:before="0" w:after="0"/>
            </w:pPr>
            <w:r w:rsidRPr="00934CF0">
              <w:t>231</w:t>
            </w:r>
          </w:p>
        </w:tc>
        <w:tc>
          <w:tcPr>
            <w:tcW w:w="393" w:type="pct"/>
            <w:tcBorders>
              <w:top w:val="nil"/>
              <w:left w:val="nil"/>
              <w:bottom w:val="nil"/>
              <w:right w:val="nil"/>
            </w:tcBorders>
            <w:shd w:val="clear" w:color="auto" w:fill="auto"/>
            <w:noWrap/>
            <w:vAlign w:val="center"/>
            <w:hideMark/>
          </w:tcPr>
          <w:p w14:paraId="7A358B6C" w14:textId="77777777" w:rsidR="00E028E9" w:rsidRPr="00934CF0" w:rsidRDefault="00E028E9" w:rsidP="00E028E9">
            <w:pPr>
              <w:pStyle w:val="TableTextRight"/>
              <w:spacing w:before="0" w:after="0"/>
            </w:pPr>
            <w:r w:rsidRPr="00934CF0">
              <w:t>153</w:t>
            </w:r>
          </w:p>
        </w:tc>
        <w:tc>
          <w:tcPr>
            <w:tcW w:w="340" w:type="pct"/>
            <w:tcBorders>
              <w:top w:val="nil"/>
              <w:left w:val="nil"/>
              <w:bottom w:val="nil"/>
              <w:right w:val="nil"/>
            </w:tcBorders>
            <w:shd w:val="clear" w:color="auto" w:fill="auto"/>
            <w:noWrap/>
            <w:vAlign w:val="center"/>
            <w:hideMark/>
          </w:tcPr>
          <w:p w14:paraId="7332B028" w14:textId="77777777" w:rsidR="00E028E9" w:rsidRPr="00934CF0" w:rsidRDefault="00E028E9" w:rsidP="00E028E9">
            <w:pPr>
              <w:pStyle w:val="TableTextRight"/>
              <w:spacing w:before="0" w:after="0"/>
            </w:pPr>
            <w:r w:rsidRPr="00934CF0">
              <w:t>53</w:t>
            </w:r>
          </w:p>
        </w:tc>
        <w:tc>
          <w:tcPr>
            <w:tcW w:w="340" w:type="pct"/>
            <w:tcBorders>
              <w:top w:val="nil"/>
              <w:left w:val="nil"/>
              <w:bottom w:val="nil"/>
              <w:right w:val="nil"/>
            </w:tcBorders>
            <w:shd w:val="clear" w:color="auto" w:fill="auto"/>
            <w:noWrap/>
            <w:vAlign w:val="center"/>
            <w:hideMark/>
          </w:tcPr>
          <w:p w14:paraId="7A9CED88" w14:textId="77777777" w:rsidR="00E028E9" w:rsidRPr="00934CF0" w:rsidRDefault="00E028E9" w:rsidP="00E028E9">
            <w:pPr>
              <w:pStyle w:val="TableTextRight"/>
              <w:spacing w:before="0" w:after="0"/>
            </w:pPr>
            <w:r w:rsidRPr="00934CF0">
              <w:t>35</w:t>
            </w:r>
          </w:p>
        </w:tc>
        <w:tc>
          <w:tcPr>
            <w:tcW w:w="340" w:type="pct"/>
            <w:tcBorders>
              <w:top w:val="nil"/>
              <w:left w:val="nil"/>
              <w:bottom w:val="nil"/>
              <w:right w:val="nil"/>
            </w:tcBorders>
            <w:shd w:val="clear" w:color="auto" w:fill="auto"/>
            <w:noWrap/>
            <w:vAlign w:val="center"/>
            <w:hideMark/>
          </w:tcPr>
          <w:p w14:paraId="7151761C" w14:textId="77777777" w:rsidR="00E028E9" w:rsidRPr="00934CF0" w:rsidRDefault="00E028E9" w:rsidP="00E028E9">
            <w:pPr>
              <w:pStyle w:val="TableTextRight"/>
              <w:spacing w:before="0" w:after="0"/>
            </w:pPr>
            <w:r w:rsidRPr="00934CF0">
              <w:t>19</w:t>
            </w:r>
          </w:p>
        </w:tc>
        <w:tc>
          <w:tcPr>
            <w:tcW w:w="405" w:type="pct"/>
            <w:tcBorders>
              <w:top w:val="nil"/>
              <w:left w:val="nil"/>
              <w:bottom w:val="nil"/>
              <w:right w:val="nil"/>
            </w:tcBorders>
            <w:shd w:val="clear" w:color="auto" w:fill="E6F2FF"/>
            <w:noWrap/>
            <w:vAlign w:val="center"/>
            <w:hideMark/>
          </w:tcPr>
          <w:p w14:paraId="5D2D0C2D" w14:textId="77777777" w:rsidR="00E028E9" w:rsidRPr="00934CF0" w:rsidRDefault="00E028E9" w:rsidP="00E028E9">
            <w:pPr>
              <w:pStyle w:val="TableTextRight"/>
              <w:spacing w:before="0" w:after="0"/>
            </w:pPr>
            <w:r w:rsidRPr="00934CF0">
              <w:t>2,234</w:t>
            </w:r>
          </w:p>
        </w:tc>
      </w:tr>
      <w:tr w:rsidR="00E028E9" w:rsidRPr="00934CF0" w14:paraId="71720E8B"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3B88FE3E"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Community services</w:t>
            </w:r>
          </w:p>
        </w:tc>
        <w:tc>
          <w:tcPr>
            <w:tcW w:w="393" w:type="pct"/>
            <w:tcBorders>
              <w:top w:val="nil"/>
              <w:left w:val="nil"/>
              <w:bottom w:val="nil"/>
              <w:right w:val="nil"/>
            </w:tcBorders>
            <w:shd w:val="clear" w:color="auto" w:fill="auto"/>
            <w:noWrap/>
            <w:vAlign w:val="center"/>
            <w:hideMark/>
          </w:tcPr>
          <w:p w14:paraId="118E6C04"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1FD2809D"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99CD27C"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4043DBE1"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065711BF"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550790B"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B407EBB"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444A7658"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77AAE076" w14:textId="77777777" w:rsidR="00E028E9" w:rsidRPr="00934CF0" w:rsidRDefault="00E028E9" w:rsidP="00E028E9">
            <w:pPr>
              <w:pStyle w:val="TableTextRight"/>
              <w:spacing w:before="0" w:after="0"/>
            </w:pPr>
            <w:r w:rsidRPr="00934CF0">
              <w:t> </w:t>
            </w:r>
          </w:p>
        </w:tc>
      </w:tr>
      <w:tr w:rsidR="00E028E9" w:rsidRPr="00934CF0" w14:paraId="03CDADDE"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3FA4D81E"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w:t>
            </w:r>
          </w:p>
        </w:tc>
        <w:tc>
          <w:tcPr>
            <w:tcW w:w="393" w:type="pct"/>
            <w:tcBorders>
              <w:top w:val="nil"/>
              <w:left w:val="nil"/>
              <w:bottom w:val="nil"/>
              <w:right w:val="nil"/>
            </w:tcBorders>
            <w:shd w:val="clear" w:color="000000" w:fill="FFFFFF"/>
            <w:noWrap/>
            <w:vAlign w:val="center"/>
            <w:hideMark/>
          </w:tcPr>
          <w:p w14:paraId="3203C6D9" w14:textId="77777777" w:rsidR="00E028E9" w:rsidRPr="00934CF0" w:rsidRDefault="00E028E9" w:rsidP="00E028E9">
            <w:pPr>
              <w:pStyle w:val="TableTextRight"/>
              <w:spacing w:before="0" w:after="0"/>
            </w:pPr>
            <w:r w:rsidRPr="00934CF0">
              <w:t>395</w:t>
            </w:r>
          </w:p>
        </w:tc>
        <w:tc>
          <w:tcPr>
            <w:tcW w:w="393" w:type="pct"/>
            <w:tcBorders>
              <w:top w:val="nil"/>
              <w:left w:val="nil"/>
              <w:bottom w:val="nil"/>
              <w:right w:val="nil"/>
            </w:tcBorders>
            <w:shd w:val="clear" w:color="000000" w:fill="FFFFFF"/>
            <w:noWrap/>
            <w:vAlign w:val="center"/>
            <w:hideMark/>
          </w:tcPr>
          <w:p w14:paraId="55F04567" w14:textId="77777777" w:rsidR="00E028E9" w:rsidRPr="00934CF0" w:rsidRDefault="00E028E9" w:rsidP="00E028E9">
            <w:pPr>
              <w:pStyle w:val="TableTextRight"/>
              <w:spacing w:before="0" w:after="0"/>
            </w:pPr>
            <w:r w:rsidRPr="00934CF0">
              <w:t>302</w:t>
            </w:r>
          </w:p>
        </w:tc>
        <w:tc>
          <w:tcPr>
            <w:tcW w:w="393" w:type="pct"/>
            <w:tcBorders>
              <w:top w:val="nil"/>
              <w:left w:val="nil"/>
              <w:bottom w:val="nil"/>
              <w:right w:val="nil"/>
            </w:tcBorders>
            <w:shd w:val="clear" w:color="000000" w:fill="FFFFFF"/>
            <w:noWrap/>
            <w:vAlign w:val="center"/>
            <w:hideMark/>
          </w:tcPr>
          <w:p w14:paraId="7DA360B3" w14:textId="77777777" w:rsidR="00E028E9" w:rsidRPr="00934CF0" w:rsidRDefault="00E028E9" w:rsidP="00E028E9">
            <w:pPr>
              <w:pStyle w:val="TableTextRight"/>
              <w:spacing w:before="0" w:after="0"/>
            </w:pPr>
            <w:r w:rsidRPr="00934CF0">
              <w:t>263</w:t>
            </w:r>
          </w:p>
        </w:tc>
        <w:tc>
          <w:tcPr>
            <w:tcW w:w="393" w:type="pct"/>
            <w:tcBorders>
              <w:top w:val="nil"/>
              <w:left w:val="nil"/>
              <w:bottom w:val="nil"/>
              <w:right w:val="nil"/>
            </w:tcBorders>
            <w:shd w:val="clear" w:color="000000" w:fill="FFFFFF"/>
            <w:noWrap/>
            <w:vAlign w:val="center"/>
            <w:hideMark/>
          </w:tcPr>
          <w:p w14:paraId="7FC19C86" w14:textId="77777777" w:rsidR="00E028E9" w:rsidRPr="00934CF0" w:rsidRDefault="00E028E9" w:rsidP="00E028E9">
            <w:pPr>
              <w:pStyle w:val="TableTextRight"/>
              <w:spacing w:before="0" w:after="0"/>
            </w:pPr>
            <w:r w:rsidRPr="00934CF0">
              <w:t>24</w:t>
            </w:r>
          </w:p>
        </w:tc>
        <w:tc>
          <w:tcPr>
            <w:tcW w:w="393" w:type="pct"/>
            <w:tcBorders>
              <w:top w:val="nil"/>
              <w:left w:val="nil"/>
              <w:bottom w:val="nil"/>
              <w:right w:val="nil"/>
            </w:tcBorders>
            <w:shd w:val="clear" w:color="000000" w:fill="FFFFFF"/>
            <w:noWrap/>
            <w:vAlign w:val="center"/>
            <w:hideMark/>
          </w:tcPr>
          <w:p w14:paraId="419EB74B" w14:textId="77777777" w:rsidR="00E028E9" w:rsidRPr="00934CF0" w:rsidRDefault="00E028E9" w:rsidP="00E028E9">
            <w:pPr>
              <w:pStyle w:val="TableTextRight"/>
              <w:spacing w:before="0" w:after="0"/>
            </w:pPr>
            <w:r w:rsidRPr="00934CF0">
              <w:t>92</w:t>
            </w:r>
          </w:p>
        </w:tc>
        <w:tc>
          <w:tcPr>
            <w:tcW w:w="340" w:type="pct"/>
            <w:tcBorders>
              <w:top w:val="nil"/>
              <w:left w:val="nil"/>
              <w:bottom w:val="nil"/>
              <w:right w:val="nil"/>
            </w:tcBorders>
            <w:shd w:val="clear" w:color="000000" w:fill="FFFFFF"/>
            <w:noWrap/>
            <w:vAlign w:val="center"/>
            <w:hideMark/>
          </w:tcPr>
          <w:p w14:paraId="00EA8068" w14:textId="77777777" w:rsidR="00E028E9" w:rsidRPr="00934CF0" w:rsidRDefault="00E028E9" w:rsidP="00E028E9">
            <w:pPr>
              <w:pStyle w:val="TableTextRight"/>
              <w:spacing w:before="0" w:after="0"/>
            </w:pPr>
            <w:r w:rsidRPr="00934CF0">
              <w:t>29</w:t>
            </w:r>
          </w:p>
        </w:tc>
        <w:tc>
          <w:tcPr>
            <w:tcW w:w="340" w:type="pct"/>
            <w:tcBorders>
              <w:top w:val="nil"/>
              <w:left w:val="nil"/>
              <w:bottom w:val="nil"/>
              <w:right w:val="nil"/>
            </w:tcBorders>
            <w:shd w:val="clear" w:color="000000" w:fill="FFFFFF"/>
            <w:noWrap/>
            <w:vAlign w:val="center"/>
            <w:hideMark/>
          </w:tcPr>
          <w:p w14:paraId="3F4CC62F" w14:textId="77777777" w:rsidR="00E028E9" w:rsidRPr="00934CF0" w:rsidRDefault="00E028E9" w:rsidP="00E028E9">
            <w:pPr>
              <w:pStyle w:val="TableTextRight"/>
              <w:spacing w:before="0" w:after="0"/>
            </w:pPr>
            <w:r w:rsidRPr="00934CF0">
              <w:t>22</w:t>
            </w:r>
          </w:p>
        </w:tc>
        <w:tc>
          <w:tcPr>
            <w:tcW w:w="340" w:type="pct"/>
            <w:tcBorders>
              <w:top w:val="nil"/>
              <w:left w:val="nil"/>
              <w:bottom w:val="nil"/>
              <w:right w:val="nil"/>
            </w:tcBorders>
            <w:shd w:val="clear" w:color="000000" w:fill="FFFFFF"/>
            <w:noWrap/>
            <w:vAlign w:val="center"/>
            <w:hideMark/>
          </w:tcPr>
          <w:p w14:paraId="7F5BDFF3" w14:textId="77777777" w:rsidR="00E028E9" w:rsidRPr="00934CF0" w:rsidRDefault="00E028E9" w:rsidP="00E028E9">
            <w:pPr>
              <w:pStyle w:val="TableTextRight"/>
              <w:spacing w:before="0" w:after="0"/>
            </w:pPr>
            <w:r w:rsidRPr="00934CF0">
              <w:t>84</w:t>
            </w:r>
          </w:p>
        </w:tc>
        <w:tc>
          <w:tcPr>
            <w:tcW w:w="405" w:type="pct"/>
            <w:tcBorders>
              <w:top w:val="nil"/>
              <w:left w:val="nil"/>
              <w:bottom w:val="nil"/>
              <w:right w:val="nil"/>
            </w:tcBorders>
            <w:shd w:val="clear" w:color="auto" w:fill="E6F2FF"/>
            <w:noWrap/>
            <w:vAlign w:val="center"/>
            <w:hideMark/>
          </w:tcPr>
          <w:p w14:paraId="02AB61A5" w14:textId="77777777" w:rsidR="00E028E9" w:rsidRPr="00934CF0" w:rsidRDefault="00E028E9" w:rsidP="00E028E9">
            <w:pPr>
              <w:pStyle w:val="TableTextRight"/>
              <w:spacing w:before="0" w:after="0"/>
            </w:pPr>
            <w:r w:rsidRPr="00934CF0">
              <w:t>1,212</w:t>
            </w:r>
          </w:p>
        </w:tc>
      </w:tr>
      <w:tr w:rsidR="00E028E9" w:rsidRPr="00934CF0" w14:paraId="392CEE4F"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0493D69A"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Affordable housing</w:t>
            </w:r>
          </w:p>
        </w:tc>
        <w:tc>
          <w:tcPr>
            <w:tcW w:w="393" w:type="pct"/>
            <w:tcBorders>
              <w:top w:val="nil"/>
              <w:left w:val="nil"/>
              <w:bottom w:val="nil"/>
              <w:right w:val="nil"/>
            </w:tcBorders>
            <w:shd w:val="clear" w:color="auto" w:fill="auto"/>
            <w:noWrap/>
            <w:vAlign w:val="center"/>
            <w:hideMark/>
          </w:tcPr>
          <w:p w14:paraId="369C77DA"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2BAEAD55"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73C5F3B"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121E53F8"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30881C66"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70B63D95"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1A6576BD"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41890302"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40452F1B" w14:textId="77777777" w:rsidR="00E028E9" w:rsidRPr="00934CF0" w:rsidRDefault="00E028E9" w:rsidP="00E028E9">
            <w:pPr>
              <w:pStyle w:val="TableTextRight"/>
              <w:spacing w:before="0" w:after="0"/>
            </w:pPr>
            <w:r w:rsidRPr="00934CF0">
              <w:t> </w:t>
            </w:r>
          </w:p>
        </w:tc>
      </w:tr>
      <w:tr w:rsidR="00E028E9" w:rsidRPr="00934CF0" w14:paraId="488136EE" w14:textId="77777777" w:rsidTr="00E028E9">
        <w:trPr>
          <w:divId w:val="1263221947"/>
          <w:trHeight w:hRule="exact" w:val="225"/>
        </w:trPr>
        <w:tc>
          <w:tcPr>
            <w:tcW w:w="1610" w:type="pct"/>
            <w:tcBorders>
              <w:top w:val="nil"/>
              <w:left w:val="nil"/>
              <w:bottom w:val="nil"/>
              <w:right w:val="nil"/>
            </w:tcBorders>
            <w:shd w:val="clear" w:color="auto" w:fill="auto"/>
            <w:noWrap/>
            <w:vAlign w:val="center"/>
            <w:hideMark/>
          </w:tcPr>
          <w:p w14:paraId="0BBF1BD4"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Housing and</w:t>
            </w:r>
          </w:p>
        </w:tc>
        <w:tc>
          <w:tcPr>
            <w:tcW w:w="393" w:type="pct"/>
            <w:tcBorders>
              <w:top w:val="nil"/>
              <w:left w:val="nil"/>
              <w:bottom w:val="nil"/>
              <w:right w:val="nil"/>
            </w:tcBorders>
            <w:shd w:val="clear" w:color="auto" w:fill="auto"/>
            <w:noWrap/>
            <w:vAlign w:val="center"/>
            <w:hideMark/>
          </w:tcPr>
          <w:p w14:paraId="3D9B404C" w14:textId="77777777" w:rsidR="00E028E9" w:rsidRPr="00934CF0" w:rsidRDefault="00E028E9" w:rsidP="00E028E9">
            <w:pPr>
              <w:pStyle w:val="TableTextRight"/>
              <w:spacing w:before="0" w:after="0"/>
            </w:pPr>
          </w:p>
        </w:tc>
        <w:tc>
          <w:tcPr>
            <w:tcW w:w="393" w:type="pct"/>
            <w:tcBorders>
              <w:top w:val="nil"/>
              <w:left w:val="nil"/>
              <w:bottom w:val="nil"/>
              <w:right w:val="nil"/>
            </w:tcBorders>
            <w:shd w:val="clear" w:color="auto" w:fill="auto"/>
            <w:noWrap/>
            <w:vAlign w:val="center"/>
            <w:hideMark/>
          </w:tcPr>
          <w:p w14:paraId="07FE8ADD"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4B21FF4D"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724BFD98"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84C9B24"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DE895B5"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3EC43498"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8227E05"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2E492E47" w14:textId="77777777" w:rsidR="00E028E9" w:rsidRPr="00934CF0" w:rsidRDefault="00E028E9" w:rsidP="00E028E9">
            <w:pPr>
              <w:pStyle w:val="TableTextRight"/>
              <w:spacing w:before="0" w:after="0"/>
            </w:pPr>
            <w:r w:rsidRPr="00934CF0">
              <w:t> </w:t>
            </w:r>
          </w:p>
        </w:tc>
      </w:tr>
      <w:tr w:rsidR="00E028E9" w:rsidRPr="00934CF0" w14:paraId="667B29CC" w14:textId="77777777" w:rsidTr="00E028E9">
        <w:trPr>
          <w:divId w:val="1263221947"/>
          <w:trHeight w:hRule="exact" w:val="225"/>
        </w:trPr>
        <w:tc>
          <w:tcPr>
            <w:tcW w:w="1610" w:type="pct"/>
            <w:tcBorders>
              <w:top w:val="nil"/>
              <w:left w:val="nil"/>
              <w:bottom w:val="nil"/>
              <w:right w:val="nil"/>
            </w:tcBorders>
            <w:shd w:val="clear" w:color="auto" w:fill="auto"/>
            <w:noWrap/>
            <w:vAlign w:val="center"/>
            <w:hideMark/>
          </w:tcPr>
          <w:p w14:paraId="202519D6" w14:textId="77777777" w:rsidR="00E028E9" w:rsidRPr="00934CF0" w:rsidRDefault="00E028E9" w:rsidP="00E028E9">
            <w:pPr>
              <w:spacing w:before="0" w:after="0" w:line="240" w:lineRule="auto"/>
              <w:ind w:left="340"/>
              <w:rPr>
                <w:rFonts w:ascii="Arial" w:hAnsi="Arial" w:cs="Arial"/>
                <w:sz w:val="16"/>
                <w:szCs w:val="16"/>
              </w:rPr>
            </w:pPr>
            <w:r w:rsidRPr="00934CF0">
              <w:rPr>
                <w:rFonts w:ascii="Arial" w:hAnsi="Arial" w:cs="Arial"/>
                <w:sz w:val="16"/>
                <w:szCs w:val="16"/>
              </w:rPr>
              <w:t>Homelessness</w:t>
            </w:r>
          </w:p>
        </w:tc>
        <w:tc>
          <w:tcPr>
            <w:tcW w:w="393" w:type="pct"/>
            <w:tcBorders>
              <w:top w:val="nil"/>
              <w:left w:val="nil"/>
              <w:bottom w:val="nil"/>
              <w:right w:val="nil"/>
            </w:tcBorders>
            <w:shd w:val="clear" w:color="000000" w:fill="FFFFFF"/>
            <w:noWrap/>
            <w:vAlign w:val="center"/>
            <w:hideMark/>
          </w:tcPr>
          <w:p w14:paraId="4A5CE442" w14:textId="77777777" w:rsidR="00E028E9" w:rsidRPr="00934CF0" w:rsidRDefault="00E028E9" w:rsidP="00E028E9">
            <w:pPr>
              <w:pStyle w:val="TableTextRight"/>
              <w:spacing w:before="0" w:after="0"/>
            </w:pPr>
            <w:r w:rsidRPr="00934CF0">
              <w:t> </w:t>
            </w:r>
          </w:p>
        </w:tc>
        <w:tc>
          <w:tcPr>
            <w:tcW w:w="393" w:type="pct"/>
            <w:tcBorders>
              <w:top w:val="nil"/>
              <w:left w:val="nil"/>
              <w:bottom w:val="nil"/>
              <w:right w:val="nil"/>
            </w:tcBorders>
            <w:shd w:val="clear" w:color="auto" w:fill="auto"/>
            <w:noWrap/>
            <w:vAlign w:val="center"/>
            <w:hideMark/>
          </w:tcPr>
          <w:p w14:paraId="68AD96AF" w14:textId="77777777" w:rsidR="00E028E9" w:rsidRPr="00934CF0" w:rsidRDefault="00E028E9" w:rsidP="00E028E9">
            <w:pPr>
              <w:pStyle w:val="TableTextRight"/>
              <w:spacing w:before="0" w:after="0"/>
            </w:pPr>
          </w:p>
        </w:tc>
        <w:tc>
          <w:tcPr>
            <w:tcW w:w="393" w:type="pct"/>
            <w:tcBorders>
              <w:top w:val="nil"/>
              <w:left w:val="nil"/>
              <w:bottom w:val="nil"/>
              <w:right w:val="nil"/>
            </w:tcBorders>
            <w:shd w:val="clear" w:color="000000" w:fill="FFFFFF"/>
            <w:noWrap/>
            <w:vAlign w:val="center"/>
            <w:hideMark/>
          </w:tcPr>
          <w:p w14:paraId="667AA830" w14:textId="77777777" w:rsidR="00E028E9" w:rsidRPr="00934CF0" w:rsidRDefault="00E028E9" w:rsidP="00E028E9">
            <w:pPr>
              <w:pStyle w:val="TableTextRight"/>
              <w:spacing w:before="0" w:after="0"/>
            </w:pPr>
            <w:r w:rsidRPr="00934CF0">
              <w:t> </w:t>
            </w:r>
          </w:p>
        </w:tc>
        <w:tc>
          <w:tcPr>
            <w:tcW w:w="393" w:type="pct"/>
            <w:tcBorders>
              <w:top w:val="nil"/>
              <w:left w:val="nil"/>
              <w:bottom w:val="nil"/>
              <w:right w:val="nil"/>
            </w:tcBorders>
            <w:shd w:val="clear" w:color="000000" w:fill="FFFFFF"/>
            <w:noWrap/>
            <w:vAlign w:val="center"/>
            <w:hideMark/>
          </w:tcPr>
          <w:p w14:paraId="0A9339DE" w14:textId="77777777" w:rsidR="00E028E9" w:rsidRPr="00934CF0" w:rsidRDefault="00E028E9" w:rsidP="00E028E9">
            <w:pPr>
              <w:pStyle w:val="TableTextRight"/>
              <w:spacing w:before="0" w:after="0"/>
            </w:pPr>
            <w:r w:rsidRPr="00934CF0">
              <w:t> </w:t>
            </w:r>
          </w:p>
        </w:tc>
        <w:tc>
          <w:tcPr>
            <w:tcW w:w="393" w:type="pct"/>
            <w:tcBorders>
              <w:top w:val="nil"/>
              <w:left w:val="nil"/>
              <w:bottom w:val="nil"/>
              <w:right w:val="nil"/>
            </w:tcBorders>
            <w:shd w:val="clear" w:color="000000" w:fill="FFFFFF"/>
            <w:noWrap/>
            <w:vAlign w:val="center"/>
            <w:hideMark/>
          </w:tcPr>
          <w:p w14:paraId="4D1FB9DD" w14:textId="77777777" w:rsidR="00E028E9" w:rsidRPr="00934CF0" w:rsidRDefault="00E028E9" w:rsidP="00E028E9">
            <w:pPr>
              <w:pStyle w:val="TableTextRight"/>
              <w:spacing w:before="0" w:after="0"/>
            </w:pPr>
            <w:r w:rsidRPr="00934CF0">
              <w:t> </w:t>
            </w:r>
          </w:p>
        </w:tc>
        <w:tc>
          <w:tcPr>
            <w:tcW w:w="340" w:type="pct"/>
            <w:tcBorders>
              <w:top w:val="nil"/>
              <w:left w:val="nil"/>
              <w:bottom w:val="nil"/>
              <w:right w:val="nil"/>
            </w:tcBorders>
            <w:shd w:val="clear" w:color="000000" w:fill="FFFFFF"/>
            <w:noWrap/>
            <w:vAlign w:val="center"/>
            <w:hideMark/>
          </w:tcPr>
          <w:p w14:paraId="552A204F" w14:textId="77777777" w:rsidR="00E028E9" w:rsidRPr="00934CF0" w:rsidRDefault="00E028E9" w:rsidP="00E028E9">
            <w:pPr>
              <w:pStyle w:val="TableTextRight"/>
              <w:spacing w:before="0" w:after="0"/>
            </w:pPr>
            <w:r w:rsidRPr="00934CF0">
              <w:t> </w:t>
            </w:r>
          </w:p>
        </w:tc>
        <w:tc>
          <w:tcPr>
            <w:tcW w:w="340" w:type="pct"/>
            <w:tcBorders>
              <w:top w:val="nil"/>
              <w:left w:val="nil"/>
              <w:bottom w:val="nil"/>
              <w:right w:val="nil"/>
            </w:tcBorders>
            <w:shd w:val="clear" w:color="000000" w:fill="FFFFFF"/>
            <w:noWrap/>
            <w:vAlign w:val="center"/>
            <w:hideMark/>
          </w:tcPr>
          <w:p w14:paraId="4C266C69" w14:textId="77777777" w:rsidR="00E028E9" w:rsidRPr="00934CF0" w:rsidRDefault="00E028E9" w:rsidP="00E028E9">
            <w:pPr>
              <w:pStyle w:val="TableTextRight"/>
              <w:spacing w:before="0" w:after="0"/>
            </w:pPr>
            <w:r w:rsidRPr="00934CF0">
              <w:t> </w:t>
            </w:r>
          </w:p>
        </w:tc>
        <w:tc>
          <w:tcPr>
            <w:tcW w:w="340" w:type="pct"/>
            <w:tcBorders>
              <w:top w:val="nil"/>
              <w:left w:val="nil"/>
              <w:bottom w:val="nil"/>
              <w:right w:val="nil"/>
            </w:tcBorders>
            <w:shd w:val="clear" w:color="000000" w:fill="FFFFFF"/>
            <w:noWrap/>
            <w:vAlign w:val="center"/>
            <w:hideMark/>
          </w:tcPr>
          <w:p w14:paraId="7919DFB1" w14:textId="77777777" w:rsidR="00E028E9" w:rsidRPr="00934CF0" w:rsidRDefault="00E028E9" w:rsidP="00E028E9">
            <w:pPr>
              <w:pStyle w:val="TableTextRight"/>
              <w:spacing w:before="0" w:after="0"/>
            </w:pPr>
            <w:r w:rsidRPr="00934CF0">
              <w:t> </w:t>
            </w:r>
          </w:p>
        </w:tc>
        <w:tc>
          <w:tcPr>
            <w:tcW w:w="405" w:type="pct"/>
            <w:tcBorders>
              <w:top w:val="nil"/>
              <w:left w:val="nil"/>
              <w:bottom w:val="nil"/>
              <w:right w:val="nil"/>
            </w:tcBorders>
            <w:shd w:val="clear" w:color="auto" w:fill="E6F2FF"/>
            <w:noWrap/>
            <w:vAlign w:val="center"/>
            <w:hideMark/>
          </w:tcPr>
          <w:p w14:paraId="70A78A8D" w14:textId="77777777" w:rsidR="00E028E9" w:rsidRPr="00934CF0" w:rsidRDefault="00E028E9" w:rsidP="00E028E9">
            <w:pPr>
              <w:pStyle w:val="TableTextRight"/>
              <w:spacing w:before="0" w:after="0"/>
            </w:pPr>
            <w:r w:rsidRPr="00934CF0">
              <w:t> </w:t>
            </w:r>
          </w:p>
        </w:tc>
      </w:tr>
      <w:tr w:rsidR="00E028E9" w:rsidRPr="00934CF0" w14:paraId="28130F9B" w14:textId="77777777" w:rsidTr="00E028E9">
        <w:trPr>
          <w:divId w:val="1263221947"/>
          <w:trHeight w:hRule="exact" w:val="225"/>
        </w:trPr>
        <w:tc>
          <w:tcPr>
            <w:tcW w:w="1610" w:type="pct"/>
            <w:tcBorders>
              <w:top w:val="nil"/>
              <w:left w:val="nil"/>
              <w:bottom w:val="nil"/>
              <w:right w:val="nil"/>
            </w:tcBorders>
            <w:shd w:val="clear" w:color="auto" w:fill="auto"/>
            <w:noWrap/>
            <w:vAlign w:val="center"/>
            <w:hideMark/>
          </w:tcPr>
          <w:p w14:paraId="1DFF6A94" w14:textId="77777777" w:rsidR="00E028E9" w:rsidRPr="00934CF0" w:rsidRDefault="00E028E9" w:rsidP="00E028E9">
            <w:pPr>
              <w:spacing w:before="0" w:after="0" w:line="240" w:lineRule="auto"/>
              <w:ind w:left="340"/>
              <w:rPr>
                <w:rFonts w:ascii="Arial" w:hAnsi="Arial" w:cs="Arial"/>
                <w:sz w:val="16"/>
                <w:szCs w:val="16"/>
              </w:rPr>
            </w:pPr>
            <w:r w:rsidRPr="00934CF0">
              <w:rPr>
                <w:rFonts w:ascii="Arial" w:hAnsi="Arial" w:cs="Arial"/>
                <w:sz w:val="16"/>
                <w:szCs w:val="16"/>
              </w:rPr>
              <w:t>funding(e)</w:t>
            </w:r>
          </w:p>
        </w:tc>
        <w:tc>
          <w:tcPr>
            <w:tcW w:w="393" w:type="pct"/>
            <w:tcBorders>
              <w:top w:val="nil"/>
              <w:left w:val="nil"/>
              <w:bottom w:val="nil"/>
              <w:right w:val="nil"/>
            </w:tcBorders>
            <w:shd w:val="clear" w:color="000000" w:fill="FFFFFF"/>
            <w:noWrap/>
            <w:vAlign w:val="center"/>
            <w:hideMark/>
          </w:tcPr>
          <w:p w14:paraId="6AA85FB8" w14:textId="77777777" w:rsidR="00E028E9" w:rsidRPr="00934CF0" w:rsidRDefault="00E028E9" w:rsidP="00E028E9">
            <w:pPr>
              <w:pStyle w:val="TableTextRight"/>
              <w:spacing w:before="0" w:after="0"/>
            </w:pPr>
            <w:r w:rsidRPr="00934CF0">
              <w:t>499</w:t>
            </w:r>
          </w:p>
        </w:tc>
        <w:tc>
          <w:tcPr>
            <w:tcW w:w="393" w:type="pct"/>
            <w:tcBorders>
              <w:top w:val="nil"/>
              <w:left w:val="nil"/>
              <w:bottom w:val="nil"/>
              <w:right w:val="nil"/>
            </w:tcBorders>
            <w:shd w:val="clear" w:color="000000" w:fill="FFFFFF"/>
            <w:noWrap/>
            <w:vAlign w:val="center"/>
            <w:hideMark/>
          </w:tcPr>
          <w:p w14:paraId="586CF946" w14:textId="77777777" w:rsidR="00E028E9" w:rsidRPr="00934CF0" w:rsidRDefault="00E028E9" w:rsidP="00E028E9">
            <w:pPr>
              <w:pStyle w:val="TableTextRight"/>
              <w:spacing w:before="0" w:after="0"/>
            </w:pPr>
            <w:r w:rsidRPr="00934CF0">
              <w:t>419</w:t>
            </w:r>
          </w:p>
        </w:tc>
        <w:tc>
          <w:tcPr>
            <w:tcW w:w="393" w:type="pct"/>
            <w:tcBorders>
              <w:top w:val="nil"/>
              <w:left w:val="nil"/>
              <w:bottom w:val="nil"/>
              <w:right w:val="nil"/>
            </w:tcBorders>
            <w:shd w:val="clear" w:color="000000" w:fill="FFFFFF"/>
            <w:noWrap/>
            <w:vAlign w:val="center"/>
            <w:hideMark/>
          </w:tcPr>
          <w:p w14:paraId="67A3CDB1" w14:textId="77777777" w:rsidR="00E028E9" w:rsidRPr="00934CF0" w:rsidRDefault="00E028E9" w:rsidP="00E028E9">
            <w:pPr>
              <w:pStyle w:val="TableTextRight"/>
              <w:spacing w:before="0" w:after="0"/>
            </w:pPr>
            <w:r w:rsidRPr="00934CF0">
              <w:t>342</w:t>
            </w:r>
          </w:p>
        </w:tc>
        <w:tc>
          <w:tcPr>
            <w:tcW w:w="393" w:type="pct"/>
            <w:tcBorders>
              <w:top w:val="nil"/>
              <w:left w:val="nil"/>
              <w:bottom w:val="nil"/>
              <w:right w:val="nil"/>
            </w:tcBorders>
            <w:shd w:val="clear" w:color="000000" w:fill="FFFFFF"/>
            <w:noWrap/>
            <w:vAlign w:val="center"/>
            <w:hideMark/>
          </w:tcPr>
          <w:p w14:paraId="1216E249" w14:textId="77777777" w:rsidR="00E028E9" w:rsidRPr="00934CF0" w:rsidRDefault="00E028E9" w:rsidP="00E028E9">
            <w:pPr>
              <w:pStyle w:val="TableTextRight"/>
              <w:spacing w:before="0" w:after="0"/>
            </w:pPr>
            <w:r w:rsidRPr="00934CF0">
              <w:t>182</w:t>
            </w:r>
          </w:p>
        </w:tc>
        <w:tc>
          <w:tcPr>
            <w:tcW w:w="393" w:type="pct"/>
            <w:tcBorders>
              <w:top w:val="nil"/>
              <w:left w:val="nil"/>
              <w:bottom w:val="nil"/>
              <w:right w:val="nil"/>
            </w:tcBorders>
            <w:shd w:val="clear" w:color="000000" w:fill="FFFFFF"/>
            <w:noWrap/>
            <w:vAlign w:val="center"/>
            <w:hideMark/>
          </w:tcPr>
          <w:p w14:paraId="12F3BBFA" w14:textId="77777777" w:rsidR="00E028E9" w:rsidRPr="00934CF0" w:rsidRDefault="00E028E9" w:rsidP="00E028E9">
            <w:pPr>
              <w:pStyle w:val="TableTextRight"/>
              <w:spacing w:before="0" w:after="0"/>
            </w:pPr>
            <w:r w:rsidRPr="00934CF0">
              <w:t>116</w:t>
            </w:r>
          </w:p>
        </w:tc>
        <w:tc>
          <w:tcPr>
            <w:tcW w:w="340" w:type="pct"/>
            <w:tcBorders>
              <w:top w:val="nil"/>
              <w:left w:val="nil"/>
              <w:bottom w:val="nil"/>
              <w:right w:val="nil"/>
            </w:tcBorders>
            <w:shd w:val="clear" w:color="000000" w:fill="FFFFFF"/>
            <w:noWrap/>
            <w:vAlign w:val="center"/>
            <w:hideMark/>
          </w:tcPr>
          <w:p w14:paraId="2B7F14CD" w14:textId="77777777" w:rsidR="00E028E9" w:rsidRPr="00934CF0" w:rsidRDefault="00E028E9" w:rsidP="00E028E9">
            <w:pPr>
              <w:pStyle w:val="TableTextRight"/>
              <w:spacing w:before="0" w:after="0"/>
            </w:pPr>
            <w:r w:rsidRPr="00934CF0">
              <w:t>37</w:t>
            </w:r>
          </w:p>
        </w:tc>
        <w:tc>
          <w:tcPr>
            <w:tcW w:w="340" w:type="pct"/>
            <w:tcBorders>
              <w:top w:val="nil"/>
              <w:left w:val="nil"/>
              <w:bottom w:val="nil"/>
              <w:right w:val="nil"/>
            </w:tcBorders>
            <w:shd w:val="clear" w:color="000000" w:fill="FFFFFF"/>
            <w:noWrap/>
            <w:vAlign w:val="center"/>
            <w:hideMark/>
          </w:tcPr>
          <w:p w14:paraId="454DD20A" w14:textId="77777777" w:rsidR="00E028E9" w:rsidRPr="00934CF0" w:rsidRDefault="00E028E9" w:rsidP="00E028E9">
            <w:pPr>
              <w:pStyle w:val="TableTextRight"/>
              <w:spacing w:before="0" w:after="0"/>
            </w:pPr>
            <w:r w:rsidRPr="00934CF0">
              <w:t>29</w:t>
            </w:r>
          </w:p>
        </w:tc>
        <w:tc>
          <w:tcPr>
            <w:tcW w:w="340" w:type="pct"/>
            <w:tcBorders>
              <w:top w:val="nil"/>
              <w:left w:val="nil"/>
              <w:bottom w:val="nil"/>
              <w:right w:val="nil"/>
            </w:tcBorders>
            <w:shd w:val="clear" w:color="000000" w:fill="FFFFFF"/>
            <w:noWrap/>
            <w:vAlign w:val="center"/>
            <w:hideMark/>
          </w:tcPr>
          <w:p w14:paraId="557FB41B" w14:textId="77777777" w:rsidR="00E028E9" w:rsidRPr="00934CF0" w:rsidRDefault="00E028E9" w:rsidP="00E028E9">
            <w:pPr>
              <w:pStyle w:val="TableTextRight"/>
              <w:spacing w:before="0" w:after="0"/>
            </w:pPr>
            <w:r w:rsidRPr="00934CF0">
              <w:t>21</w:t>
            </w:r>
          </w:p>
        </w:tc>
        <w:tc>
          <w:tcPr>
            <w:tcW w:w="405" w:type="pct"/>
            <w:tcBorders>
              <w:top w:val="nil"/>
              <w:left w:val="nil"/>
              <w:bottom w:val="nil"/>
              <w:right w:val="nil"/>
            </w:tcBorders>
            <w:shd w:val="clear" w:color="auto" w:fill="E6F2FF"/>
            <w:noWrap/>
            <w:vAlign w:val="center"/>
            <w:hideMark/>
          </w:tcPr>
          <w:p w14:paraId="1F2D4DEC" w14:textId="77777777" w:rsidR="00E028E9" w:rsidRPr="00934CF0" w:rsidRDefault="00E028E9" w:rsidP="00E028E9">
            <w:pPr>
              <w:pStyle w:val="TableTextRight"/>
              <w:spacing w:before="0" w:after="0"/>
            </w:pPr>
            <w:r w:rsidRPr="00934CF0">
              <w:t>1,646</w:t>
            </w:r>
          </w:p>
        </w:tc>
      </w:tr>
      <w:tr w:rsidR="00E028E9" w:rsidRPr="00934CF0" w14:paraId="579693AB"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7E4A81F9"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w:t>
            </w:r>
          </w:p>
        </w:tc>
        <w:tc>
          <w:tcPr>
            <w:tcW w:w="393" w:type="pct"/>
            <w:tcBorders>
              <w:top w:val="nil"/>
              <w:left w:val="nil"/>
              <w:bottom w:val="single" w:sz="4" w:space="0" w:color="293F5B"/>
              <w:right w:val="nil"/>
            </w:tcBorders>
            <w:shd w:val="clear" w:color="000000" w:fill="FFFFFF"/>
            <w:noWrap/>
            <w:vAlign w:val="center"/>
            <w:hideMark/>
          </w:tcPr>
          <w:p w14:paraId="0B693767" w14:textId="77777777" w:rsidR="00E028E9" w:rsidRPr="00934CF0" w:rsidRDefault="00E028E9" w:rsidP="00E028E9">
            <w:pPr>
              <w:pStyle w:val="TableTextRight"/>
              <w:spacing w:before="0" w:after="0"/>
            </w:pPr>
            <w:r w:rsidRPr="00934CF0">
              <w:t>664</w:t>
            </w:r>
          </w:p>
        </w:tc>
        <w:tc>
          <w:tcPr>
            <w:tcW w:w="393" w:type="pct"/>
            <w:tcBorders>
              <w:top w:val="nil"/>
              <w:left w:val="nil"/>
              <w:bottom w:val="single" w:sz="4" w:space="0" w:color="293F5B"/>
              <w:right w:val="nil"/>
            </w:tcBorders>
            <w:shd w:val="clear" w:color="000000" w:fill="FFFFFF"/>
            <w:noWrap/>
            <w:vAlign w:val="center"/>
            <w:hideMark/>
          </w:tcPr>
          <w:p w14:paraId="5E7F2D54" w14:textId="77777777" w:rsidR="00E028E9" w:rsidRPr="00934CF0" w:rsidRDefault="00E028E9" w:rsidP="00E028E9">
            <w:pPr>
              <w:pStyle w:val="TableTextRight"/>
              <w:spacing w:before="0" w:after="0"/>
            </w:pPr>
            <w:r w:rsidRPr="00934CF0">
              <w:t>557</w:t>
            </w:r>
          </w:p>
        </w:tc>
        <w:tc>
          <w:tcPr>
            <w:tcW w:w="393" w:type="pct"/>
            <w:tcBorders>
              <w:top w:val="nil"/>
              <w:left w:val="nil"/>
              <w:bottom w:val="single" w:sz="4" w:space="0" w:color="293F5B"/>
              <w:right w:val="nil"/>
            </w:tcBorders>
            <w:shd w:val="clear" w:color="000000" w:fill="FFFFFF"/>
            <w:noWrap/>
            <w:vAlign w:val="center"/>
            <w:hideMark/>
          </w:tcPr>
          <w:p w14:paraId="4FFAD139" w14:textId="77777777" w:rsidR="00E028E9" w:rsidRPr="00934CF0" w:rsidRDefault="00E028E9" w:rsidP="00E028E9">
            <w:pPr>
              <w:pStyle w:val="TableTextRight"/>
              <w:spacing w:before="0" w:after="0"/>
            </w:pPr>
            <w:r w:rsidRPr="00934CF0">
              <w:t>449</w:t>
            </w:r>
          </w:p>
        </w:tc>
        <w:tc>
          <w:tcPr>
            <w:tcW w:w="393" w:type="pct"/>
            <w:tcBorders>
              <w:top w:val="nil"/>
              <w:left w:val="nil"/>
              <w:bottom w:val="single" w:sz="4" w:space="0" w:color="293F5B"/>
              <w:right w:val="nil"/>
            </w:tcBorders>
            <w:shd w:val="clear" w:color="000000" w:fill="FFFFFF"/>
            <w:noWrap/>
            <w:vAlign w:val="center"/>
            <w:hideMark/>
          </w:tcPr>
          <w:p w14:paraId="64394C26" w14:textId="77777777" w:rsidR="00E028E9" w:rsidRPr="00934CF0" w:rsidRDefault="00E028E9" w:rsidP="00E028E9">
            <w:pPr>
              <w:pStyle w:val="TableTextRight"/>
              <w:spacing w:before="0" w:after="0"/>
            </w:pPr>
            <w:r w:rsidRPr="00934CF0">
              <w:t>242</w:t>
            </w:r>
          </w:p>
        </w:tc>
        <w:tc>
          <w:tcPr>
            <w:tcW w:w="393" w:type="pct"/>
            <w:tcBorders>
              <w:top w:val="nil"/>
              <w:left w:val="nil"/>
              <w:bottom w:val="single" w:sz="4" w:space="0" w:color="293F5B"/>
              <w:right w:val="nil"/>
            </w:tcBorders>
            <w:shd w:val="clear" w:color="000000" w:fill="FFFFFF"/>
            <w:noWrap/>
            <w:vAlign w:val="center"/>
            <w:hideMark/>
          </w:tcPr>
          <w:p w14:paraId="052B42D9" w14:textId="77777777" w:rsidR="00E028E9" w:rsidRPr="00934CF0" w:rsidRDefault="00E028E9" w:rsidP="00E028E9">
            <w:pPr>
              <w:pStyle w:val="TableTextRight"/>
              <w:spacing w:before="0" w:after="0"/>
            </w:pPr>
            <w:r w:rsidRPr="00934CF0">
              <w:t>165</w:t>
            </w:r>
          </w:p>
        </w:tc>
        <w:tc>
          <w:tcPr>
            <w:tcW w:w="340" w:type="pct"/>
            <w:tcBorders>
              <w:top w:val="nil"/>
              <w:left w:val="nil"/>
              <w:bottom w:val="single" w:sz="4" w:space="0" w:color="293F5B"/>
              <w:right w:val="nil"/>
            </w:tcBorders>
            <w:shd w:val="clear" w:color="000000" w:fill="FFFFFF"/>
            <w:noWrap/>
            <w:vAlign w:val="center"/>
            <w:hideMark/>
          </w:tcPr>
          <w:p w14:paraId="67B027AA" w14:textId="77777777" w:rsidR="00E028E9" w:rsidRPr="00934CF0" w:rsidRDefault="00E028E9" w:rsidP="00E028E9">
            <w:pPr>
              <w:pStyle w:val="TableTextRight"/>
              <w:spacing w:before="0" w:after="0"/>
            </w:pPr>
            <w:r w:rsidRPr="00934CF0">
              <w:t>63</w:t>
            </w:r>
          </w:p>
        </w:tc>
        <w:tc>
          <w:tcPr>
            <w:tcW w:w="340" w:type="pct"/>
            <w:tcBorders>
              <w:top w:val="nil"/>
              <w:left w:val="nil"/>
              <w:bottom w:val="single" w:sz="4" w:space="0" w:color="293F5B"/>
              <w:right w:val="nil"/>
            </w:tcBorders>
            <w:shd w:val="clear" w:color="000000" w:fill="FFFFFF"/>
            <w:noWrap/>
            <w:vAlign w:val="center"/>
            <w:hideMark/>
          </w:tcPr>
          <w:p w14:paraId="6BEEA4BC" w14:textId="77777777" w:rsidR="00E028E9" w:rsidRPr="00934CF0" w:rsidRDefault="00E028E9" w:rsidP="00E028E9">
            <w:pPr>
              <w:pStyle w:val="TableTextRight"/>
              <w:spacing w:before="0" w:after="0"/>
            </w:pPr>
            <w:r w:rsidRPr="00934CF0">
              <w:t>70</w:t>
            </w:r>
          </w:p>
        </w:tc>
        <w:tc>
          <w:tcPr>
            <w:tcW w:w="340" w:type="pct"/>
            <w:tcBorders>
              <w:top w:val="nil"/>
              <w:left w:val="nil"/>
              <w:bottom w:val="single" w:sz="4" w:space="0" w:color="293F5B"/>
              <w:right w:val="nil"/>
            </w:tcBorders>
            <w:shd w:val="clear" w:color="000000" w:fill="FFFFFF"/>
            <w:noWrap/>
            <w:vAlign w:val="center"/>
            <w:hideMark/>
          </w:tcPr>
          <w:p w14:paraId="3D32A36D" w14:textId="77777777" w:rsidR="00E028E9" w:rsidRPr="00934CF0" w:rsidRDefault="00E028E9" w:rsidP="00E028E9">
            <w:pPr>
              <w:pStyle w:val="TableTextRight"/>
              <w:spacing w:before="0" w:after="0"/>
            </w:pPr>
            <w:r w:rsidRPr="00934CF0">
              <w:t>214</w:t>
            </w:r>
          </w:p>
        </w:tc>
        <w:tc>
          <w:tcPr>
            <w:tcW w:w="405" w:type="pct"/>
            <w:tcBorders>
              <w:top w:val="nil"/>
              <w:left w:val="nil"/>
              <w:bottom w:val="single" w:sz="4" w:space="0" w:color="293F5B"/>
              <w:right w:val="nil"/>
            </w:tcBorders>
            <w:shd w:val="clear" w:color="auto" w:fill="E6F2FF"/>
            <w:noWrap/>
            <w:vAlign w:val="center"/>
            <w:hideMark/>
          </w:tcPr>
          <w:p w14:paraId="5AB4726D" w14:textId="77777777" w:rsidR="00E028E9" w:rsidRPr="00934CF0" w:rsidRDefault="00E028E9" w:rsidP="00E028E9">
            <w:pPr>
              <w:pStyle w:val="TableTextRight"/>
              <w:spacing w:before="0" w:after="0"/>
            </w:pPr>
            <w:r w:rsidRPr="00934CF0">
              <w:t>2,424</w:t>
            </w:r>
          </w:p>
        </w:tc>
      </w:tr>
      <w:tr w:rsidR="00E028E9" w:rsidRPr="00934CF0" w14:paraId="2D3E9DF0"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46ABD951"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 xml:space="preserve">Total affordable housing </w:t>
            </w:r>
          </w:p>
        </w:tc>
        <w:tc>
          <w:tcPr>
            <w:tcW w:w="393" w:type="pct"/>
            <w:tcBorders>
              <w:top w:val="single" w:sz="4" w:space="0" w:color="293F5B"/>
              <w:left w:val="nil"/>
              <w:bottom w:val="nil"/>
              <w:right w:val="nil"/>
            </w:tcBorders>
            <w:shd w:val="clear" w:color="auto" w:fill="auto"/>
            <w:noWrap/>
            <w:vAlign w:val="center"/>
            <w:hideMark/>
          </w:tcPr>
          <w:p w14:paraId="49BCDC3B" w14:textId="77777777" w:rsidR="00E028E9" w:rsidRPr="00934CF0" w:rsidRDefault="00E028E9" w:rsidP="00E028E9">
            <w:pPr>
              <w:pStyle w:val="TableTextRight"/>
              <w:spacing w:before="0" w:after="0"/>
            </w:pPr>
          </w:p>
        </w:tc>
        <w:tc>
          <w:tcPr>
            <w:tcW w:w="393" w:type="pct"/>
            <w:tcBorders>
              <w:top w:val="single" w:sz="4" w:space="0" w:color="293F5B"/>
              <w:left w:val="nil"/>
              <w:bottom w:val="nil"/>
              <w:right w:val="nil"/>
            </w:tcBorders>
            <w:shd w:val="clear" w:color="auto" w:fill="auto"/>
            <w:noWrap/>
            <w:vAlign w:val="center"/>
            <w:hideMark/>
          </w:tcPr>
          <w:p w14:paraId="6D599B2C" w14:textId="77777777" w:rsidR="00E028E9" w:rsidRPr="00934CF0" w:rsidRDefault="00E028E9" w:rsidP="00E028E9">
            <w:pPr>
              <w:pStyle w:val="TableTextRight"/>
              <w:spacing w:before="0" w:after="0"/>
              <w:rPr>
                <w:rFonts w:ascii="Times New Roman" w:hAnsi="Times New Roman"/>
              </w:rPr>
            </w:pPr>
          </w:p>
        </w:tc>
        <w:tc>
          <w:tcPr>
            <w:tcW w:w="393" w:type="pct"/>
            <w:tcBorders>
              <w:top w:val="single" w:sz="4" w:space="0" w:color="293F5B"/>
              <w:left w:val="nil"/>
              <w:bottom w:val="nil"/>
              <w:right w:val="nil"/>
            </w:tcBorders>
            <w:shd w:val="clear" w:color="auto" w:fill="auto"/>
            <w:noWrap/>
            <w:vAlign w:val="center"/>
            <w:hideMark/>
          </w:tcPr>
          <w:p w14:paraId="21A2DBBA" w14:textId="77777777" w:rsidR="00E028E9" w:rsidRPr="00934CF0" w:rsidRDefault="00E028E9" w:rsidP="00E028E9">
            <w:pPr>
              <w:pStyle w:val="TableTextRight"/>
              <w:spacing w:before="0" w:after="0"/>
              <w:rPr>
                <w:rFonts w:ascii="Times New Roman" w:hAnsi="Times New Roman"/>
              </w:rPr>
            </w:pPr>
          </w:p>
        </w:tc>
        <w:tc>
          <w:tcPr>
            <w:tcW w:w="393" w:type="pct"/>
            <w:tcBorders>
              <w:top w:val="single" w:sz="4" w:space="0" w:color="293F5B"/>
              <w:left w:val="nil"/>
              <w:bottom w:val="nil"/>
              <w:right w:val="nil"/>
            </w:tcBorders>
            <w:shd w:val="clear" w:color="auto" w:fill="auto"/>
            <w:noWrap/>
            <w:vAlign w:val="center"/>
            <w:hideMark/>
          </w:tcPr>
          <w:p w14:paraId="7FD4220B" w14:textId="77777777" w:rsidR="00E028E9" w:rsidRPr="00934CF0" w:rsidRDefault="00E028E9" w:rsidP="00E028E9">
            <w:pPr>
              <w:pStyle w:val="TableTextRight"/>
              <w:spacing w:before="0" w:after="0"/>
              <w:rPr>
                <w:rFonts w:ascii="Times New Roman" w:hAnsi="Times New Roman"/>
              </w:rPr>
            </w:pPr>
          </w:p>
        </w:tc>
        <w:tc>
          <w:tcPr>
            <w:tcW w:w="393" w:type="pct"/>
            <w:tcBorders>
              <w:top w:val="single" w:sz="4" w:space="0" w:color="293F5B"/>
              <w:left w:val="nil"/>
              <w:bottom w:val="nil"/>
              <w:right w:val="nil"/>
            </w:tcBorders>
            <w:shd w:val="clear" w:color="auto" w:fill="auto"/>
            <w:noWrap/>
            <w:vAlign w:val="center"/>
            <w:hideMark/>
          </w:tcPr>
          <w:p w14:paraId="082AF809" w14:textId="77777777" w:rsidR="00E028E9" w:rsidRPr="00934CF0" w:rsidRDefault="00E028E9" w:rsidP="00E028E9">
            <w:pPr>
              <w:pStyle w:val="TableTextRight"/>
              <w:spacing w:before="0" w:after="0"/>
              <w:rPr>
                <w:rFonts w:ascii="Times New Roman" w:hAnsi="Times New Roman"/>
              </w:rPr>
            </w:pPr>
          </w:p>
        </w:tc>
        <w:tc>
          <w:tcPr>
            <w:tcW w:w="340" w:type="pct"/>
            <w:tcBorders>
              <w:top w:val="single" w:sz="4" w:space="0" w:color="293F5B"/>
              <w:left w:val="nil"/>
              <w:bottom w:val="nil"/>
              <w:right w:val="nil"/>
            </w:tcBorders>
            <w:shd w:val="clear" w:color="auto" w:fill="auto"/>
            <w:noWrap/>
            <w:vAlign w:val="center"/>
            <w:hideMark/>
          </w:tcPr>
          <w:p w14:paraId="737A2471" w14:textId="77777777" w:rsidR="00E028E9" w:rsidRPr="00934CF0" w:rsidRDefault="00E028E9" w:rsidP="00E028E9">
            <w:pPr>
              <w:pStyle w:val="TableTextRight"/>
              <w:spacing w:before="0" w:after="0"/>
              <w:rPr>
                <w:rFonts w:ascii="Times New Roman" w:hAnsi="Times New Roman"/>
              </w:rPr>
            </w:pPr>
          </w:p>
        </w:tc>
        <w:tc>
          <w:tcPr>
            <w:tcW w:w="340" w:type="pct"/>
            <w:tcBorders>
              <w:top w:val="single" w:sz="4" w:space="0" w:color="293F5B"/>
              <w:left w:val="nil"/>
              <w:bottom w:val="nil"/>
              <w:right w:val="nil"/>
            </w:tcBorders>
            <w:shd w:val="clear" w:color="auto" w:fill="auto"/>
            <w:noWrap/>
            <w:vAlign w:val="center"/>
            <w:hideMark/>
          </w:tcPr>
          <w:p w14:paraId="2FD50594" w14:textId="77777777" w:rsidR="00E028E9" w:rsidRPr="00934CF0" w:rsidRDefault="00E028E9" w:rsidP="00E028E9">
            <w:pPr>
              <w:pStyle w:val="TableTextRight"/>
              <w:spacing w:before="0" w:after="0"/>
              <w:rPr>
                <w:rFonts w:ascii="Times New Roman" w:hAnsi="Times New Roman"/>
              </w:rPr>
            </w:pPr>
          </w:p>
        </w:tc>
        <w:tc>
          <w:tcPr>
            <w:tcW w:w="340" w:type="pct"/>
            <w:tcBorders>
              <w:top w:val="single" w:sz="4" w:space="0" w:color="293F5B"/>
              <w:left w:val="nil"/>
              <w:bottom w:val="nil"/>
              <w:right w:val="nil"/>
            </w:tcBorders>
            <w:shd w:val="clear" w:color="auto" w:fill="auto"/>
            <w:noWrap/>
            <w:vAlign w:val="center"/>
            <w:hideMark/>
          </w:tcPr>
          <w:p w14:paraId="1A43C26E" w14:textId="77777777" w:rsidR="00E028E9" w:rsidRPr="00934CF0" w:rsidRDefault="00E028E9" w:rsidP="00E028E9">
            <w:pPr>
              <w:pStyle w:val="TableTextRight"/>
              <w:spacing w:before="0" w:after="0"/>
              <w:rPr>
                <w:rFonts w:ascii="Times New Roman" w:hAnsi="Times New Roman"/>
              </w:rPr>
            </w:pPr>
          </w:p>
        </w:tc>
        <w:tc>
          <w:tcPr>
            <w:tcW w:w="405" w:type="pct"/>
            <w:tcBorders>
              <w:top w:val="single" w:sz="4" w:space="0" w:color="293F5B"/>
              <w:left w:val="nil"/>
              <w:bottom w:val="nil"/>
              <w:right w:val="nil"/>
            </w:tcBorders>
            <w:shd w:val="clear" w:color="auto" w:fill="E6F2FF"/>
            <w:noWrap/>
            <w:vAlign w:val="center"/>
            <w:hideMark/>
          </w:tcPr>
          <w:p w14:paraId="3486AA43" w14:textId="77777777" w:rsidR="00E028E9" w:rsidRPr="00934CF0" w:rsidRDefault="00E028E9" w:rsidP="00E028E9">
            <w:pPr>
              <w:pStyle w:val="TableTextRight"/>
              <w:spacing w:before="0" w:after="0"/>
            </w:pPr>
            <w:r w:rsidRPr="00934CF0">
              <w:t> </w:t>
            </w:r>
          </w:p>
        </w:tc>
      </w:tr>
      <w:tr w:rsidR="00E028E9" w:rsidRPr="00934CF0" w14:paraId="3E42F11A"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563DD29C" w14:textId="77777777" w:rsidR="00E028E9" w:rsidRPr="00934CF0" w:rsidRDefault="00E028E9" w:rsidP="00E028E9">
            <w:pPr>
              <w:spacing w:before="0" w:after="0" w:line="240" w:lineRule="auto"/>
              <w:ind w:left="340"/>
              <w:rPr>
                <w:rFonts w:ascii="Arial" w:hAnsi="Arial" w:cs="Arial"/>
                <w:sz w:val="16"/>
                <w:szCs w:val="16"/>
              </w:rPr>
            </w:pPr>
            <w:r w:rsidRPr="00934CF0">
              <w:rPr>
                <w:rFonts w:ascii="Arial" w:hAnsi="Arial" w:cs="Arial"/>
                <w:sz w:val="16"/>
                <w:szCs w:val="16"/>
              </w:rPr>
              <w:t>payments</w:t>
            </w:r>
          </w:p>
        </w:tc>
        <w:tc>
          <w:tcPr>
            <w:tcW w:w="393" w:type="pct"/>
            <w:tcBorders>
              <w:top w:val="nil"/>
              <w:left w:val="nil"/>
              <w:bottom w:val="nil"/>
              <w:right w:val="nil"/>
            </w:tcBorders>
            <w:shd w:val="clear" w:color="auto" w:fill="auto"/>
            <w:noWrap/>
            <w:vAlign w:val="center"/>
            <w:hideMark/>
          </w:tcPr>
          <w:p w14:paraId="1CC57D05" w14:textId="77777777" w:rsidR="00E028E9" w:rsidRPr="00934CF0" w:rsidRDefault="00E028E9" w:rsidP="00E028E9">
            <w:pPr>
              <w:pStyle w:val="TableTextRight"/>
              <w:spacing w:before="0" w:after="0"/>
            </w:pPr>
            <w:r w:rsidRPr="00934CF0">
              <w:t>1,162</w:t>
            </w:r>
          </w:p>
        </w:tc>
        <w:tc>
          <w:tcPr>
            <w:tcW w:w="393" w:type="pct"/>
            <w:tcBorders>
              <w:top w:val="nil"/>
              <w:left w:val="nil"/>
              <w:bottom w:val="nil"/>
              <w:right w:val="nil"/>
            </w:tcBorders>
            <w:shd w:val="clear" w:color="auto" w:fill="auto"/>
            <w:noWrap/>
            <w:vAlign w:val="center"/>
            <w:hideMark/>
          </w:tcPr>
          <w:p w14:paraId="5F59F431" w14:textId="77777777" w:rsidR="00E028E9" w:rsidRPr="00934CF0" w:rsidRDefault="00E028E9" w:rsidP="00E028E9">
            <w:pPr>
              <w:pStyle w:val="TableTextRight"/>
              <w:spacing w:before="0" w:after="0"/>
            </w:pPr>
            <w:r w:rsidRPr="00934CF0">
              <w:t>977</w:t>
            </w:r>
          </w:p>
        </w:tc>
        <w:tc>
          <w:tcPr>
            <w:tcW w:w="393" w:type="pct"/>
            <w:tcBorders>
              <w:top w:val="nil"/>
              <w:left w:val="nil"/>
              <w:bottom w:val="nil"/>
              <w:right w:val="nil"/>
            </w:tcBorders>
            <w:shd w:val="clear" w:color="auto" w:fill="auto"/>
            <w:noWrap/>
            <w:vAlign w:val="center"/>
            <w:hideMark/>
          </w:tcPr>
          <w:p w14:paraId="18F9F1AA" w14:textId="77777777" w:rsidR="00E028E9" w:rsidRPr="00934CF0" w:rsidRDefault="00E028E9" w:rsidP="00E028E9">
            <w:pPr>
              <w:pStyle w:val="TableTextRight"/>
              <w:spacing w:before="0" w:after="0"/>
            </w:pPr>
            <w:r w:rsidRPr="00934CF0">
              <w:t>791</w:t>
            </w:r>
          </w:p>
        </w:tc>
        <w:tc>
          <w:tcPr>
            <w:tcW w:w="393" w:type="pct"/>
            <w:tcBorders>
              <w:top w:val="nil"/>
              <w:left w:val="nil"/>
              <w:bottom w:val="nil"/>
              <w:right w:val="nil"/>
            </w:tcBorders>
            <w:shd w:val="clear" w:color="auto" w:fill="auto"/>
            <w:noWrap/>
            <w:vAlign w:val="center"/>
            <w:hideMark/>
          </w:tcPr>
          <w:p w14:paraId="47B8D5E2" w14:textId="77777777" w:rsidR="00E028E9" w:rsidRPr="00934CF0" w:rsidRDefault="00E028E9" w:rsidP="00E028E9">
            <w:pPr>
              <w:pStyle w:val="TableTextRight"/>
              <w:spacing w:before="0" w:after="0"/>
            </w:pPr>
            <w:r w:rsidRPr="00934CF0">
              <w:t>425</w:t>
            </w:r>
          </w:p>
        </w:tc>
        <w:tc>
          <w:tcPr>
            <w:tcW w:w="393" w:type="pct"/>
            <w:tcBorders>
              <w:top w:val="nil"/>
              <w:left w:val="nil"/>
              <w:bottom w:val="nil"/>
              <w:right w:val="nil"/>
            </w:tcBorders>
            <w:shd w:val="clear" w:color="auto" w:fill="auto"/>
            <w:noWrap/>
            <w:vAlign w:val="center"/>
            <w:hideMark/>
          </w:tcPr>
          <w:p w14:paraId="18F211C0" w14:textId="77777777" w:rsidR="00E028E9" w:rsidRPr="00934CF0" w:rsidRDefault="00E028E9" w:rsidP="00E028E9">
            <w:pPr>
              <w:pStyle w:val="TableTextRight"/>
              <w:spacing w:before="0" w:after="0"/>
            </w:pPr>
            <w:r w:rsidRPr="00934CF0">
              <w:t>282</w:t>
            </w:r>
          </w:p>
        </w:tc>
        <w:tc>
          <w:tcPr>
            <w:tcW w:w="340" w:type="pct"/>
            <w:tcBorders>
              <w:top w:val="nil"/>
              <w:left w:val="nil"/>
              <w:bottom w:val="nil"/>
              <w:right w:val="nil"/>
            </w:tcBorders>
            <w:shd w:val="clear" w:color="auto" w:fill="auto"/>
            <w:noWrap/>
            <w:vAlign w:val="center"/>
            <w:hideMark/>
          </w:tcPr>
          <w:p w14:paraId="199FB3A4" w14:textId="77777777" w:rsidR="00E028E9" w:rsidRPr="00934CF0" w:rsidRDefault="00E028E9" w:rsidP="00E028E9">
            <w:pPr>
              <w:pStyle w:val="TableTextRight"/>
              <w:spacing w:before="0" w:after="0"/>
            </w:pPr>
            <w:r w:rsidRPr="00934CF0">
              <w:t>99</w:t>
            </w:r>
          </w:p>
        </w:tc>
        <w:tc>
          <w:tcPr>
            <w:tcW w:w="340" w:type="pct"/>
            <w:tcBorders>
              <w:top w:val="nil"/>
              <w:left w:val="nil"/>
              <w:bottom w:val="nil"/>
              <w:right w:val="nil"/>
            </w:tcBorders>
            <w:shd w:val="clear" w:color="auto" w:fill="auto"/>
            <w:noWrap/>
            <w:vAlign w:val="center"/>
            <w:hideMark/>
          </w:tcPr>
          <w:p w14:paraId="1EBB5998" w14:textId="77777777" w:rsidR="00E028E9" w:rsidRPr="00934CF0" w:rsidRDefault="00E028E9" w:rsidP="00E028E9">
            <w:pPr>
              <w:pStyle w:val="TableTextRight"/>
              <w:spacing w:before="0" w:after="0"/>
            </w:pPr>
            <w:r w:rsidRPr="00934CF0">
              <w:t>99</w:t>
            </w:r>
          </w:p>
        </w:tc>
        <w:tc>
          <w:tcPr>
            <w:tcW w:w="340" w:type="pct"/>
            <w:tcBorders>
              <w:top w:val="nil"/>
              <w:left w:val="nil"/>
              <w:bottom w:val="nil"/>
              <w:right w:val="nil"/>
            </w:tcBorders>
            <w:shd w:val="clear" w:color="auto" w:fill="auto"/>
            <w:noWrap/>
            <w:vAlign w:val="center"/>
            <w:hideMark/>
          </w:tcPr>
          <w:p w14:paraId="1468ECD8" w14:textId="77777777" w:rsidR="00E028E9" w:rsidRPr="00934CF0" w:rsidRDefault="00E028E9" w:rsidP="00E028E9">
            <w:pPr>
              <w:pStyle w:val="TableTextRight"/>
              <w:spacing w:before="0" w:after="0"/>
            </w:pPr>
            <w:r w:rsidRPr="00934CF0">
              <w:t>235</w:t>
            </w:r>
          </w:p>
        </w:tc>
        <w:tc>
          <w:tcPr>
            <w:tcW w:w="405" w:type="pct"/>
            <w:tcBorders>
              <w:top w:val="nil"/>
              <w:left w:val="nil"/>
              <w:bottom w:val="nil"/>
              <w:right w:val="nil"/>
            </w:tcBorders>
            <w:shd w:val="clear" w:color="auto" w:fill="E6F2FF"/>
            <w:noWrap/>
            <w:vAlign w:val="center"/>
            <w:hideMark/>
          </w:tcPr>
          <w:p w14:paraId="1852DF08" w14:textId="77777777" w:rsidR="00E028E9" w:rsidRPr="00934CF0" w:rsidRDefault="00E028E9" w:rsidP="00E028E9">
            <w:pPr>
              <w:pStyle w:val="TableTextRight"/>
              <w:spacing w:before="0" w:after="0"/>
            </w:pPr>
            <w:r w:rsidRPr="00934CF0">
              <w:t>4,070</w:t>
            </w:r>
          </w:p>
        </w:tc>
      </w:tr>
      <w:tr w:rsidR="00E028E9" w:rsidRPr="00934CF0" w14:paraId="7A787C65"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292838F4"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Infrastructure</w:t>
            </w:r>
          </w:p>
        </w:tc>
        <w:tc>
          <w:tcPr>
            <w:tcW w:w="393" w:type="pct"/>
            <w:tcBorders>
              <w:top w:val="nil"/>
              <w:left w:val="nil"/>
              <w:bottom w:val="nil"/>
              <w:right w:val="nil"/>
            </w:tcBorders>
            <w:shd w:val="clear" w:color="auto" w:fill="auto"/>
            <w:noWrap/>
            <w:vAlign w:val="center"/>
            <w:hideMark/>
          </w:tcPr>
          <w:p w14:paraId="071DBF90"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1B4A9F67"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18D1ECB7"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4872E818"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7B3EC2B9"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31C12387"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97CB04F"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1F849E5E"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3DBC438E" w14:textId="77777777" w:rsidR="00E028E9" w:rsidRPr="00934CF0" w:rsidRDefault="00E028E9" w:rsidP="00E028E9">
            <w:pPr>
              <w:pStyle w:val="TableTextRight"/>
              <w:spacing w:before="0" w:after="0"/>
            </w:pPr>
            <w:r w:rsidRPr="00934CF0">
              <w:t> </w:t>
            </w:r>
          </w:p>
        </w:tc>
      </w:tr>
      <w:tr w:rsidR="00E028E9" w:rsidRPr="00934CF0" w14:paraId="3F815A36"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7B491869"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Partnerships(c)</w:t>
            </w:r>
          </w:p>
        </w:tc>
        <w:tc>
          <w:tcPr>
            <w:tcW w:w="393" w:type="pct"/>
            <w:tcBorders>
              <w:top w:val="nil"/>
              <w:left w:val="nil"/>
              <w:bottom w:val="nil"/>
              <w:right w:val="nil"/>
            </w:tcBorders>
            <w:shd w:val="clear" w:color="000000" w:fill="FFFFFF"/>
            <w:noWrap/>
            <w:vAlign w:val="center"/>
            <w:hideMark/>
          </w:tcPr>
          <w:p w14:paraId="3E3A7FBD" w14:textId="77777777" w:rsidR="00E028E9" w:rsidRPr="00934CF0" w:rsidRDefault="00E028E9" w:rsidP="00E028E9">
            <w:pPr>
              <w:pStyle w:val="TableTextRight"/>
              <w:spacing w:before="0" w:after="0"/>
            </w:pPr>
            <w:r w:rsidRPr="00934CF0">
              <w:t>2,458</w:t>
            </w:r>
          </w:p>
        </w:tc>
        <w:tc>
          <w:tcPr>
            <w:tcW w:w="393" w:type="pct"/>
            <w:tcBorders>
              <w:top w:val="nil"/>
              <w:left w:val="nil"/>
              <w:bottom w:val="nil"/>
              <w:right w:val="nil"/>
            </w:tcBorders>
            <w:shd w:val="clear" w:color="000000" w:fill="FFFFFF"/>
            <w:noWrap/>
            <w:vAlign w:val="center"/>
            <w:hideMark/>
          </w:tcPr>
          <w:p w14:paraId="6543386B" w14:textId="77777777" w:rsidR="00E028E9" w:rsidRPr="00934CF0" w:rsidRDefault="00E028E9" w:rsidP="00E028E9">
            <w:pPr>
              <w:pStyle w:val="TableTextRight"/>
              <w:spacing w:before="0" w:after="0"/>
            </w:pPr>
            <w:r w:rsidRPr="00934CF0">
              <w:t>1,873</w:t>
            </w:r>
          </w:p>
        </w:tc>
        <w:tc>
          <w:tcPr>
            <w:tcW w:w="393" w:type="pct"/>
            <w:tcBorders>
              <w:top w:val="nil"/>
              <w:left w:val="nil"/>
              <w:bottom w:val="nil"/>
              <w:right w:val="nil"/>
            </w:tcBorders>
            <w:shd w:val="clear" w:color="000000" w:fill="FFFFFF"/>
            <w:noWrap/>
            <w:vAlign w:val="center"/>
            <w:hideMark/>
          </w:tcPr>
          <w:p w14:paraId="5ED85B01" w14:textId="77777777" w:rsidR="00E028E9" w:rsidRPr="00934CF0" w:rsidRDefault="00E028E9" w:rsidP="00E028E9">
            <w:pPr>
              <w:pStyle w:val="TableTextRight"/>
              <w:spacing w:before="0" w:after="0"/>
            </w:pPr>
            <w:r w:rsidRPr="00934CF0">
              <w:t>2,320</w:t>
            </w:r>
          </w:p>
        </w:tc>
        <w:tc>
          <w:tcPr>
            <w:tcW w:w="393" w:type="pct"/>
            <w:tcBorders>
              <w:top w:val="nil"/>
              <w:left w:val="nil"/>
              <w:bottom w:val="nil"/>
              <w:right w:val="nil"/>
            </w:tcBorders>
            <w:shd w:val="clear" w:color="000000" w:fill="FFFFFF"/>
            <w:noWrap/>
            <w:vAlign w:val="center"/>
            <w:hideMark/>
          </w:tcPr>
          <w:p w14:paraId="2D28120D" w14:textId="77777777" w:rsidR="00E028E9" w:rsidRPr="00934CF0" w:rsidRDefault="00E028E9" w:rsidP="00E028E9">
            <w:pPr>
              <w:pStyle w:val="TableTextRight"/>
              <w:spacing w:before="0" w:after="0"/>
            </w:pPr>
            <w:r w:rsidRPr="00934CF0">
              <w:t>1,836</w:t>
            </w:r>
          </w:p>
        </w:tc>
        <w:tc>
          <w:tcPr>
            <w:tcW w:w="393" w:type="pct"/>
            <w:tcBorders>
              <w:top w:val="nil"/>
              <w:left w:val="nil"/>
              <w:bottom w:val="nil"/>
              <w:right w:val="nil"/>
            </w:tcBorders>
            <w:shd w:val="clear" w:color="000000" w:fill="FFFFFF"/>
            <w:noWrap/>
            <w:vAlign w:val="center"/>
            <w:hideMark/>
          </w:tcPr>
          <w:p w14:paraId="75494AA5" w14:textId="77777777" w:rsidR="00E028E9" w:rsidRPr="00934CF0" w:rsidRDefault="00E028E9" w:rsidP="00E028E9">
            <w:pPr>
              <w:pStyle w:val="TableTextRight"/>
              <w:spacing w:before="0" w:after="0"/>
            </w:pPr>
            <w:r w:rsidRPr="00934CF0">
              <w:t>875</w:t>
            </w:r>
          </w:p>
        </w:tc>
        <w:tc>
          <w:tcPr>
            <w:tcW w:w="340" w:type="pct"/>
            <w:tcBorders>
              <w:top w:val="nil"/>
              <w:left w:val="nil"/>
              <w:bottom w:val="nil"/>
              <w:right w:val="nil"/>
            </w:tcBorders>
            <w:shd w:val="clear" w:color="000000" w:fill="FFFFFF"/>
            <w:noWrap/>
            <w:vAlign w:val="center"/>
            <w:hideMark/>
          </w:tcPr>
          <w:p w14:paraId="17C1988D" w14:textId="77777777" w:rsidR="00E028E9" w:rsidRPr="00934CF0" w:rsidRDefault="00E028E9" w:rsidP="00E028E9">
            <w:pPr>
              <w:pStyle w:val="TableTextRight"/>
              <w:spacing w:before="0" w:after="0"/>
            </w:pPr>
            <w:r w:rsidRPr="00934CF0">
              <w:t>432</w:t>
            </w:r>
          </w:p>
        </w:tc>
        <w:tc>
          <w:tcPr>
            <w:tcW w:w="340" w:type="pct"/>
            <w:tcBorders>
              <w:top w:val="nil"/>
              <w:left w:val="nil"/>
              <w:bottom w:val="nil"/>
              <w:right w:val="nil"/>
            </w:tcBorders>
            <w:shd w:val="clear" w:color="000000" w:fill="FFFFFF"/>
            <w:noWrap/>
            <w:vAlign w:val="center"/>
            <w:hideMark/>
          </w:tcPr>
          <w:p w14:paraId="79060F65" w14:textId="77777777" w:rsidR="00E028E9" w:rsidRPr="00934CF0" w:rsidRDefault="00E028E9" w:rsidP="00E028E9">
            <w:pPr>
              <w:pStyle w:val="TableTextRight"/>
              <w:spacing w:before="0" w:after="0"/>
            </w:pPr>
            <w:r w:rsidRPr="00934CF0">
              <w:t>68</w:t>
            </w:r>
          </w:p>
        </w:tc>
        <w:tc>
          <w:tcPr>
            <w:tcW w:w="340" w:type="pct"/>
            <w:tcBorders>
              <w:top w:val="nil"/>
              <w:left w:val="nil"/>
              <w:bottom w:val="nil"/>
              <w:right w:val="nil"/>
            </w:tcBorders>
            <w:shd w:val="clear" w:color="000000" w:fill="FFFFFF"/>
            <w:noWrap/>
            <w:vAlign w:val="center"/>
            <w:hideMark/>
          </w:tcPr>
          <w:p w14:paraId="78897C0A" w14:textId="77777777" w:rsidR="00E028E9" w:rsidRPr="00934CF0" w:rsidRDefault="00E028E9" w:rsidP="00E028E9">
            <w:pPr>
              <w:pStyle w:val="TableTextRight"/>
              <w:spacing w:before="0" w:after="0"/>
            </w:pPr>
            <w:r w:rsidRPr="00934CF0">
              <w:t>293</w:t>
            </w:r>
          </w:p>
        </w:tc>
        <w:tc>
          <w:tcPr>
            <w:tcW w:w="405" w:type="pct"/>
            <w:tcBorders>
              <w:top w:val="nil"/>
              <w:left w:val="nil"/>
              <w:bottom w:val="nil"/>
              <w:right w:val="nil"/>
            </w:tcBorders>
            <w:shd w:val="clear" w:color="auto" w:fill="E6F2FF"/>
            <w:noWrap/>
            <w:vAlign w:val="center"/>
            <w:hideMark/>
          </w:tcPr>
          <w:p w14:paraId="4D6890A1" w14:textId="77777777" w:rsidR="00E028E9" w:rsidRPr="00934CF0" w:rsidRDefault="00E028E9" w:rsidP="00E028E9">
            <w:pPr>
              <w:pStyle w:val="TableTextRight"/>
              <w:spacing w:before="0" w:after="0"/>
            </w:pPr>
            <w:r w:rsidRPr="00934CF0">
              <w:t>10,156</w:t>
            </w:r>
          </w:p>
        </w:tc>
      </w:tr>
      <w:tr w:rsidR="00E028E9" w:rsidRPr="00934CF0" w14:paraId="3EEDE4C1"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606EAEC5"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Environment, energy and water</w:t>
            </w:r>
          </w:p>
        </w:tc>
        <w:tc>
          <w:tcPr>
            <w:tcW w:w="393" w:type="pct"/>
            <w:tcBorders>
              <w:top w:val="nil"/>
              <w:left w:val="nil"/>
              <w:bottom w:val="nil"/>
              <w:right w:val="nil"/>
            </w:tcBorders>
            <w:shd w:val="clear" w:color="auto" w:fill="auto"/>
            <w:noWrap/>
            <w:vAlign w:val="center"/>
            <w:hideMark/>
          </w:tcPr>
          <w:p w14:paraId="11339DA7"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0433BA3B"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4F7C2381"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86ADCEF"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66AAAB31"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3C7665FF"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2533B065"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4B02D47A"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469E3897" w14:textId="77777777" w:rsidR="00E028E9" w:rsidRPr="00934CF0" w:rsidRDefault="00E028E9" w:rsidP="00E028E9">
            <w:pPr>
              <w:pStyle w:val="TableTextRight"/>
              <w:spacing w:before="0" w:after="0"/>
            </w:pPr>
            <w:r w:rsidRPr="00934CF0">
              <w:t> </w:t>
            </w:r>
          </w:p>
        </w:tc>
      </w:tr>
      <w:tr w:rsidR="00E028E9" w:rsidRPr="00934CF0" w14:paraId="39AC2A8A"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476D892B"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Partnerships(c)</w:t>
            </w:r>
          </w:p>
        </w:tc>
        <w:tc>
          <w:tcPr>
            <w:tcW w:w="393" w:type="pct"/>
            <w:tcBorders>
              <w:top w:val="nil"/>
              <w:left w:val="nil"/>
              <w:bottom w:val="nil"/>
              <w:right w:val="nil"/>
            </w:tcBorders>
            <w:shd w:val="clear" w:color="000000" w:fill="FFFFFF"/>
            <w:noWrap/>
            <w:vAlign w:val="center"/>
            <w:hideMark/>
          </w:tcPr>
          <w:p w14:paraId="50341448" w14:textId="77777777" w:rsidR="00E028E9" w:rsidRPr="00934CF0" w:rsidRDefault="00E028E9" w:rsidP="00E028E9">
            <w:pPr>
              <w:pStyle w:val="TableTextRight"/>
              <w:spacing w:before="0" w:after="0"/>
            </w:pPr>
            <w:r w:rsidRPr="00934CF0">
              <w:t>546</w:t>
            </w:r>
          </w:p>
        </w:tc>
        <w:tc>
          <w:tcPr>
            <w:tcW w:w="393" w:type="pct"/>
            <w:tcBorders>
              <w:top w:val="nil"/>
              <w:left w:val="nil"/>
              <w:bottom w:val="nil"/>
              <w:right w:val="nil"/>
            </w:tcBorders>
            <w:shd w:val="clear" w:color="000000" w:fill="FFFFFF"/>
            <w:noWrap/>
            <w:vAlign w:val="center"/>
            <w:hideMark/>
          </w:tcPr>
          <w:p w14:paraId="78FAE9F1" w14:textId="77777777" w:rsidR="00E028E9" w:rsidRPr="00934CF0" w:rsidRDefault="00E028E9" w:rsidP="00E028E9">
            <w:pPr>
              <w:pStyle w:val="TableTextRight"/>
              <w:spacing w:before="0" w:after="0"/>
            </w:pPr>
            <w:r w:rsidRPr="00934CF0">
              <w:t>182</w:t>
            </w:r>
          </w:p>
        </w:tc>
        <w:tc>
          <w:tcPr>
            <w:tcW w:w="393" w:type="pct"/>
            <w:tcBorders>
              <w:top w:val="nil"/>
              <w:left w:val="nil"/>
              <w:bottom w:val="nil"/>
              <w:right w:val="nil"/>
            </w:tcBorders>
            <w:shd w:val="clear" w:color="000000" w:fill="FFFFFF"/>
            <w:noWrap/>
            <w:vAlign w:val="center"/>
            <w:hideMark/>
          </w:tcPr>
          <w:p w14:paraId="4CEDAFF2" w14:textId="77777777" w:rsidR="00E028E9" w:rsidRPr="00934CF0" w:rsidRDefault="00E028E9" w:rsidP="00E028E9">
            <w:pPr>
              <w:pStyle w:val="TableTextRight"/>
              <w:spacing w:before="0" w:after="0"/>
            </w:pPr>
            <w:r w:rsidRPr="00934CF0">
              <w:t>205</w:t>
            </w:r>
          </w:p>
        </w:tc>
        <w:tc>
          <w:tcPr>
            <w:tcW w:w="393" w:type="pct"/>
            <w:tcBorders>
              <w:top w:val="nil"/>
              <w:left w:val="nil"/>
              <w:bottom w:val="nil"/>
              <w:right w:val="nil"/>
            </w:tcBorders>
            <w:shd w:val="clear" w:color="000000" w:fill="FFFFFF"/>
            <w:noWrap/>
            <w:vAlign w:val="center"/>
            <w:hideMark/>
          </w:tcPr>
          <w:p w14:paraId="5583B83F" w14:textId="77777777" w:rsidR="00E028E9" w:rsidRPr="00934CF0" w:rsidRDefault="00E028E9" w:rsidP="00E028E9">
            <w:pPr>
              <w:pStyle w:val="TableTextRight"/>
              <w:spacing w:before="0" w:after="0"/>
            </w:pPr>
            <w:r w:rsidRPr="00934CF0">
              <w:t>29</w:t>
            </w:r>
          </w:p>
        </w:tc>
        <w:tc>
          <w:tcPr>
            <w:tcW w:w="393" w:type="pct"/>
            <w:tcBorders>
              <w:top w:val="nil"/>
              <w:left w:val="nil"/>
              <w:bottom w:val="nil"/>
              <w:right w:val="nil"/>
            </w:tcBorders>
            <w:shd w:val="clear" w:color="000000" w:fill="FFFFFF"/>
            <w:noWrap/>
            <w:vAlign w:val="center"/>
            <w:hideMark/>
          </w:tcPr>
          <w:p w14:paraId="394020DA" w14:textId="77777777" w:rsidR="00E028E9" w:rsidRPr="00934CF0" w:rsidRDefault="00E028E9" w:rsidP="00E028E9">
            <w:pPr>
              <w:pStyle w:val="TableTextRight"/>
              <w:spacing w:before="0" w:after="0"/>
            </w:pPr>
            <w:r w:rsidRPr="00934CF0">
              <w:t>51</w:t>
            </w:r>
          </w:p>
        </w:tc>
        <w:tc>
          <w:tcPr>
            <w:tcW w:w="340" w:type="pct"/>
            <w:tcBorders>
              <w:top w:val="nil"/>
              <w:left w:val="nil"/>
              <w:bottom w:val="nil"/>
              <w:right w:val="nil"/>
            </w:tcBorders>
            <w:shd w:val="clear" w:color="000000" w:fill="FFFFFF"/>
            <w:noWrap/>
            <w:vAlign w:val="center"/>
            <w:hideMark/>
          </w:tcPr>
          <w:p w14:paraId="6C392E79" w14:textId="77777777" w:rsidR="00E028E9" w:rsidRPr="00934CF0" w:rsidRDefault="00E028E9" w:rsidP="00E028E9">
            <w:pPr>
              <w:pStyle w:val="TableTextRight"/>
              <w:spacing w:before="0" w:after="0"/>
            </w:pPr>
            <w:r w:rsidRPr="00934CF0">
              <w:t>65</w:t>
            </w:r>
          </w:p>
        </w:tc>
        <w:tc>
          <w:tcPr>
            <w:tcW w:w="340" w:type="pct"/>
            <w:tcBorders>
              <w:top w:val="nil"/>
              <w:left w:val="nil"/>
              <w:bottom w:val="nil"/>
              <w:right w:val="nil"/>
            </w:tcBorders>
            <w:shd w:val="clear" w:color="000000" w:fill="FFFFFF"/>
            <w:noWrap/>
            <w:vAlign w:val="center"/>
            <w:hideMark/>
          </w:tcPr>
          <w:p w14:paraId="68B8CBA5" w14:textId="77777777" w:rsidR="00E028E9" w:rsidRPr="00934CF0" w:rsidRDefault="00E028E9" w:rsidP="00E028E9">
            <w:pPr>
              <w:pStyle w:val="TableTextRight"/>
              <w:spacing w:before="0" w:after="0"/>
            </w:pPr>
            <w:r w:rsidRPr="00934CF0">
              <w:t>9</w:t>
            </w:r>
          </w:p>
        </w:tc>
        <w:tc>
          <w:tcPr>
            <w:tcW w:w="340" w:type="pct"/>
            <w:tcBorders>
              <w:top w:val="nil"/>
              <w:left w:val="nil"/>
              <w:bottom w:val="nil"/>
              <w:right w:val="nil"/>
            </w:tcBorders>
            <w:shd w:val="clear" w:color="000000" w:fill="FFFFFF"/>
            <w:noWrap/>
            <w:vAlign w:val="center"/>
            <w:hideMark/>
          </w:tcPr>
          <w:p w14:paraId="1469642B" w14:textId="77777777" w:rsidR="00E028E9" w:rsidRPr="00934CF0" w:rsidRDefault="00E028E9" w:rsidP="00E028E9">
            <w:pPr>
              <w:pStyle w:val="TableTextRight"/>
              <w:spacing w:before="0" w:after="0"/>
            </w:pPr>
            <w:r w:rsidRPr="00934CF0">
              <w:t>46</w:t>
            </w:r>
          </w:p>
        </w:tc>
        <w:tc>
          <w:tcPr>
            <w:tcW w:w="405" w:type="pct"/>
            <w:tcBorders>
              <w:top w:val="nil"/>
              <w:left w:val="nil"/>
              <w:bottom w:val="nil"/>
              <w:right w:val="nil"/>
            </w:tcBorders>
            <w:shd w:val="clear" w:color="auto" w:fill="E6F2FF"/>
            <w:noWrap/>
            <w:vAlign w:val="center"/>
            <w:hideMark/>
          </w:tcPr>
          <w:p w14:paraId="2A347653" w14:textId="77777777" w:rsidR="00E028E9" w:rsidRPr="00934CF0" w:rsidRDefault="00E028E9" w:rsidP="00E028E9">
            <w:pPr>
              <w:pStyle w:val="TableTextRight"/>
              <w:spacing w:before="0" w:after="0"/>
            </w:pPr>
            <w:r w:rsidRPr="00934CF0">
              <w:t>1,134</w:t>
            </w:r>
          </w:p>
        </w:tc>
      </w:tr>
      <w:tr w:rsidR="00E028E9" w:rsidRPr="00934CF0" w14:paraId="387EB938"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1CE8C88D"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Contingent payments</w:t>
            </w:r>
          </w:p>
        </w:tc>
        <w:tc>
          <w:tcPr>
            <w:tcW w:w="393" w:type="pct"/>
            <w:tcBorders>
              <w:top w:val="nil"/>
              <w:left w:val="nil"/>
              <w:bottom w:val="nil"/>
              <w:right w:val="nil"/>
            </w:tcBorders>
            <w:shd w:val="clear" w:color="auto" w:fill="auto"/>
            <w:noWrap/>
            <w:vAlign w:val="center"/>
            <w:hideMark/>
          </w:tcPr>
          <w:p w14:paraId="29628996"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44451A75"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2A14C19D"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795465F8"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35D8D54E"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A7BCEB3"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AB5A029"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4CE3DC2"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7723EE6D" w14:textId="77777777" w:rsidR="00E028E9" w:rsidRPr="00934CF0" w:rsidRDefault="00E028E9" w:rsidP="00E028E9">
            <w:pPr>
              <w:pStyle w:val="TableTextRight"/>
              <w:spacing w:before="0" w:after="0"/>
            </w:pPr>
            <w:r w:rsidRPr="00934CF0">
              <w:t> </w:t>
            </w:r>
          </w:p>
        </w:tc>
      </w:tr>
      <w:tr w:rsidR="00E028E9" w:rsidRPr="00934CF0" w14:paraId="326A4FCE"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7094694A"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w:t>
            </w:r>
          </w:p>
        </w:tc>
        <w:tc>
          <w:tcPr>
            <w:tcW w:w="393" w:type="pct"/>
            <w:tcBorders>
              <w:top w:val="nil"/>
              <w:left w:val="nil"/>
              <w:bottom w:val="nil"/>
              <w:right w:val="nil"/>
            </w:tcBorders>
            <w:shd w:val="clear" w:color="000000" w:fill="FFFFFF"/>
            <w:noWrap/>
            <w:vAlign w:val="center"/>
            <w:hideMark/>
          </w:tcPr>
          <w:p w14:paraId="089834D2" w14:textId="77777777" w:rsidR="00E028E9" w:rsidRPr="00934CF0" w:rsidRDefault="00E028E9" w:rsidP="00E028E9">
            <w:pPr>
              <w:pStyle w:val="TableTextRight"/>
              <w:spacing w:before="0" w:after="0"/>
            </w:pPr>
            <w:r w:rsidRPr="00934CF0">
              <w:t>268</w:t>
            </w:r>
          </w:p>
        </w:tc>
        <w:tc>
          <w:tcPr>
            <w:tcW w:w="393" w:type="pct"/>
            <w:tcBorders>
              <w:top w:val="nil"/>
              <w:left w:val="nil"/>
              <w:bottom w:val="nil"/>
              <w:right w:val="nil"/>
            </w:tcBorders>
            <w:shd w:val="clear" w:color="000000" w:fill="FFFFFF"/>
            <w:noWrap/>
            <w:vAlign w:val="center"/>
            <w:hideMark/>
          </w:tcPr>
          <w:p w14:paraId="522F165C" w14:textId="77777777" w:rsidR="00E028E9" w:rsidRPr="00934CF0" w:rsidRDefault="00E028E9" w:rsidP="00E028E9">
            <w:pPr>
              <w:pStyle w:val="TableTextRight"/>
              <w:spacing w:before="0" w:after="0"/>
            </w:pPr>
            <w:r w:rsidRPr="00934CF0">
              <w:t>837</w:t>
            </w:r>
          </w:p>
        </w:tc>
        <w:tc>
          <w:tcPr>
            <w:tcW w:w="393" w:type="pct"/>
            <w:tcBorders>
              <w:top w:val="nil"/>
              <w:left w:val="nil"/>
              <w:bottom w:val="nil"/>
              <w:right w:val="nil"/>
            </w:tcBorders>
            <w:shd w:val="clear" w:color="000000" w:fill="FFFFFF"/>
            <w:noWrap/>
            <w:vAlign w:val="center"/>
            <w:hideMark/>
          </w:tcPr>
          <w:p w14:paraId="7379987E" w14:textId="77777777" w:rsidR="00E028E9" w:rsidRPr="00934CF0" w:rsidRDefault="00E028E9" w:rsidP="00E028E9">
            <w:pPr>
              <w:pStyle w:val="TableTextRight"/>
              <w:spacing w:before="0" w:after="0"/>
            </w:pPr>
            <w:r w:rsidRPr="00934CF0">
              <w:t>367</w:t>
            </w:r>
          </w:p>
        </w:tc>
        <w:tc>
          <w:tcPr>
            <w:tcW w:w="393" w:type="pct"/>
            <w:tcBorders>
              <w:top w:val="nil"/>
              <w:left w:val="nil"/>
              <w:bottom w:val="nil"/>
              <w:right w:val="nil"/>
            </w:tcBorders>
            <w:shd w:val="clear" w:color="000000" w:fill="FFFFFF"/>
            <w:noWrap/>
            <w:vAlign w:val="center"/>
            <w:hideMark/>
          </w:tcPr>
          <w:p w14:paraId="1ADC0825" w14:textId="77777777" w:rsidR="00E028E9" w:rsidRPr="00934CF0" w:rsidRDefault="00E028E9" w:rsidP="00E028E9">
            <w:pPr>
              <w:pStyle w:val="TableTextRight"/>
              <w:spacing w:before="0" w:after="0"/>
            </w:pPr>
            <w:r w:rsidRPr="00934CF0">
              <w:t>326</w:t>
            </w:r>
          </w:p>
        </w:tc>
        <w:tc>
          <w:tcPr>
            <w:tcW w:w="393" w:type="pct"/>
            <w:tcBorders>
              <w:top w:val="nil"/>
              <w:left w:val="nil"/>
              <w:bottom w:val="nil"/>
              <w:right w:val="nil"/>
            </w:tcBorders>
            <w:shd w:val="clear" w:color="000000" w:fill="FFFFFF"/>
            <w:noWrap/>
            <w:vAlign w:val="center"/>
            <w:hideMark/>
          </w:tcPr>
          <w:p w14:paraId="06313C5A" w14:textId="77777777" w:rsidR="00E028E9" w:rsidRPr="00934CF0" w:rsidRDefault="00E028E9" w:rsidP="00E028E9">
            <w:pPr>
              <w:pStyle w:val="TableTextRight"/>
              <w:spacing w:before="0" w:after="0"/>
            </w:pPr>
            <w:r w:rsidRPr="00934CF0">
              <w:t>64</w:t>
            </w:r>
          </w:p>
        </w:tc>
        <w:tc>
          <w:tcPr>
            <w:tcW w:w="340" w:type="pct"/>
            <w:tcBorders>
              <w:top w:val="nil"/>
              <w:left w:val="nil"/>
              <w:bottom w:val="nil"/>
              <w:right w:val="nil"/>
            </w:tcBorders>
            <w:shd w:val="clear" w:color="000000" w:fill="FFFFFF"/>
            <w:noWrap/>
            <w:vAlign w:val="center"/>
            <w:hideMark/>
          </w:tcPr>
          <w:p w14:paraId="29E4F20F" w14:textId="77777777" w:rsidR="00E028E9" w:rsidRPr="00934CF0" w:rsidRDefault="00E028E9" w:rsidP="00E028E9">
            <w:pPr>
              <w:pStyle w:val="TableTextRight"/>
              <w:spacing w:before="0" w:after="0"/>
            </w:pPr>
            <w:r w:rsidRPr="00934CF0">
              <w:t>20</w:t>
            </w:r>
          </w:p>
        </w:tc>
        <w:tc>
          <w:tcPr>
            <w:tcW w:w="340" w:type="pct"/>
            <w:tcBorders>
              <w:top w:val="nil"/>
              <w:left w:val="nil"/>
              <w:bottom w:val="nil"/>
              <w:right w:val="nil"/>
            </w:tcBorders>
            <w:shd w:val="clear" w:color="000000" w:fill="FFFFFF"/>
            <w:noWrap/>
            <w:vAlign w:val="center"/>
            <w:hideMark/>
          </w:tcPr>
          <w:p w14:paraId="4F26E71D" w14:textId="229B6A2E" w:rsidR="00E028E9" w:rsidRPr="00934CF0" w:rsidRDefault="00E028E9" w:rsidP="00E028E9">
            <w:pPr>
              <w:pStyle w:val="TableTextRight"/>
              <w:spacing w:before="0" w:after="0"/>
            </w:pPr>
            <w:r w:rsidRPr="00934CF0">
              <w:t xml:space="preserve"> </w:t>
            </w:r>
            <w:r w:rsidR="007379E9" w:rsidRPr="00934CF0">
              <w:noBreakHyphen/>
            </w:r>
          </w:p>
        </w:tc>
        <w:tc>
          <w:tcPr>
            <w:tcW w:w="340" w:type="pct"/>
            <w:tcBorders>
              <w:top w:val="nil"/>
              <w:left w:val="nil"/>
              <w:bottom w:val="nil"/>
              <w:right w:val="nil"/>
            </w:tcBorders>
            <w:shd w:val="clear" w:color="000000" w:fill="FFFFFF"/>
            <w:noWrap/>
            <w:vAlign w:val="center"/>
            <w:hideMark/>
          </w:tcPr>
          <w:p w14:paraId="227D302F" w14:textId="77777777" w:rsidR="00E028E9" w:rsidRPr="00934CF0" w:rsidRDefault="00E028E9" w:rsidP="00E028E9">
            <w:pPr>
              <w:pStyle w:val="TableTextRight"/>
              <w:spacing w:before="0" w:after="0"/>
            </w:pPr>
            <w:r w:rsidRPr="00934CF0">
              <w:t>8</w:t>
            </w:r>
          </w:p>
        </w:tc>
        <w:tc>
          <w:tcPr>
            <w:tcW w:w="405" w:type="pct"/>
            <w:tcBorders>
              <w:top w:val="nil"/>
              <w:left w:val="nil"/>
              <w:bottom w:val="nil"/>
              <w:right w:val="nil"/>
            </w:tcBorders>
            <w:shd w:val="clear" w:color="auto" w:fill="E6F2FF"/>
            <w:noWrap/>
            <w:vAlign w:val="center"/>
            <w:hideMark/>
          </w:tcPr>
          <w:p w14:paraId="37AE3D16" w14:textId="77777777" w:rsidR="00E028E9" w:rsidRPr="00934CF0" w:rsidRDefault="00E028E9" w:rsidP="00E028E9">
            <w:pPr>
              <w:pStyle w:val="TableTextRight"/>
              <w:spacing w:before="0" w:after="0"/>
            </w:pPr>
            <w:r w:rsidRPr="00934CF0">
              <w:t>1,889</w:t>
            </w:r>
          </w:p>
        </w:tc>
      </w:tr>
      <w:tr w:rsidR="00E028E9" w:rsidRPr="00934CF0" w14:paraId="0B81D60E"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3384715F" w14:textId="77777777" w:rsidR="00E028E9" w:rsidRPr="00934CF0" w:rsidRDefault="00E028E9" w:rsidP="00E028E9">
            <w:pPr>
              <w:spacing w:before="0" w:after="0" w:line="240" w:lineRule="auto"/>
              <w:rPr>
                <w:rFonts w:ascii="Arial" w:hAnsi="Arial" w:cs="Arial"/>
                <w:i/>
                <w:sz w:val="16"/>
                <w:szCs w:val="16"/>
              </w:rPr>
            </w:pPr>
            <w:r w:rsidRPr="00934CF0">
              <w:rPr>
                <w:rFonts w:ascii="Arial" w:hAnsi="Arial" w:cs="Arial"/>
                <w:i/>
                <w:sz w:val="16"/>
                <w:szCs w:val="16"/>
              </w:rPr>
              <w:t>Other</w:t>
            </w:r>
          </w:p>
        </w:tc>
        <w:tc>
          <w:tcPr>
            <w:tcW w:w="393" w:type="pct"/>
            <w:tcBorders>
              <w:top w:val="nil"/>
              <w:left w:val="nil"/>
              <w:bottom w:val="nil"/>
              <w:right w:val="nil"/>
            </w:tcBorders>
            <w:shd w:val="clear" w:color="auto" w:fill="auto"/>
            <w:noWrap/>
            <w:vAlign w:val="center"/>
            <w:hideMark/>
          </w:tcPr>
          <w:p w14:paraId="7AFE13B0" w14:textId="77777777" w:rsidR="00E028E9" w:rsidRPr="00934CF0" w:rsidRDefault="00E028E9" w:rsidP="00E028E9">
            <w:pPr>
              <w:pStyle w:val="TableTextRight"/>
              <w:spacing w:before="0" w:after="0"/>
              <w:rPr>
                <w:i/>
              </w:rPr>
            </w:pPr>
          </w:p>
        </w:tc>
        <w:tc>
          <w:tcPr>
            <w:tcW w:w="393" w:type="pct"/>
            <w:tcBorders>
              <w:top w:val="nil"/>
              <w:left w:val="nil"/>
              <w:bottom w:val="nil"/>
              <w:right w:val="nil"/>
            </w:tcBorders>
            <w:shd w:val="clear" w:color="auto" w:fill="auto"/>
            <w:noWrap/>
            <w:vAlign w:val="center"/>
            <w:hideMark/>
          </w:tcPr>
          <w:p w14:paraId="00464067"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22214D77"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72A5A1D9" w14:textId="77777777" w:rsidR="00E028E9" w:rsidRPr="00934CF0" w:rsidRDefault="00E028E9" w:rsidP="00E028E9">
            <w:pPr>
              <w:pStyle w:val="TableTextRight"/>
              <w:spacing w:before="0" w:after="0"/>
              <w:rPr>
                <w:rFonts w:ascii="Times New Roman" w:hAnsi="Times New Roman"/>
              </w:rPr>
            </w:pPr>
          </w:p>
        </w:tc>
        <w:tc>
          <w:tcPr>
            <w:tcW w:w="393" w:type="pct"/>
            <w:tcBorders>
              <w:top w:val="nil"/>
              <w:left w:val="nil"/>
              <w:bottom w:val="nil"/>
              <w:right w:val="nil"/>
            </w:tcBorders>
            <w:shd w:val="clear" w:color="auto" w:fill="auto"/>
            <w:noWrap/>
            <w:vAlign w:val="center"/>
            <w:hideMark/>
          </w:tcPr>
          <w:p w14:paraId="573F0555"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27BC5F54"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00A1DE01" w14:textId="77777777" w:rsidR="00E028E9" w:rsidRPr="00934CF0" w:rsidRDefault="00E028E9" w:rsidP="00E028E9">
            <w:pPr>
              <w:pStyle w:val="TableTextRight"/>
              <w:spacing w:before="0" w:after="0"/>
              <w:rPr>
                <w:rFonts w:ascii="Times New Roman" w:hAnsi="Times New Roman"/>
              </w:rPr>
            </w:pPr>
          </w:p>
        </w:tc>
        <w:tc>
          <w:tcPr>
            <w:tcW w:w="340" w:type="pct"/>
            <w:tcBorders>
              <w:top w:val="nil"/>
              <w:left w:val="nil"/>
              <w:bottom w:val="nil"/>
              <w:right w:val="nil"/>
            </w:tcBorders>
            <w:shd w:val="clear" w:color="auto" w:fill="auto"/>
            <w:noWrap/>
            <w:vAlign w:val="center"/>
            <w:hideMark/>
          </w:tcPr>
          <w:p w14:paraId="5CCE8096" w14:textId="77777777" w:rsidR="00E028E9" w:rsidRPr="00934CF0" w:rsidRDefault="00E028E9" w:rsidP="00E028E9">
            <w:pPr>
              <w:pStyle w:val="TableTextRight"/>
              <w:spacing w:before="0" w:after="0"/>
              <w:rPr>
                <w:rFonts w:ascii="Times New Roman" w:hAnsi="Times New Roman"/>
              </w:rPr>
            </w:pPr>
          </w:p>
        </w:tc>
        <w:tc>
          <w:tcPr>
            <w:tcW w:w="405" w:type="pct"/>
            <w:tcBorders>
              <w:top w:val="nil"/>
              <w:left w:val="nil"/>
              <w:bottom w:val="nil"/>
              <w:right w:val="nil"/>
            </w:tcBorders>
            <w:shd w:val="clear" w:color="auto" w:fill="E6F2FF"/>
            <w:noWrap/>
            <w:vAlign w:val="center"/>
            <w:hideMark/>
          </w:tcPr>
          <w:p w14:paraId="7927EB7B" w14:textId="77777777" w:rsidR="00E028E9" w:rsidRPr="00934CF0" w:rsidRDefault="00E028E9" w:rsidP="00E028E9">
            <w:pPr>
              <w:pStyle w:val="TableTextRight"/>
              <w:spacing w:before="0" w:after="0"/>
            </w:pPr>
            <w:r w:rsidRPr="00934CF0">
              <w:t> </w:t>
            </w:r>
          </w:p>
        </w:tc>
      </w:tr>
      <w:tr w:rsidR="00E028E9" w:rsidRPr="00934CF0" w14:paraId="52D41DE4"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0EFDA10B" w14:textId="77777777" w:rsidR="00E028E9" w:rsidRPr="00934CF0" w:rsidRDefault="00E028E9" w:rsidP="00E028E9">
            <w:pPr>
              <w:spacing w:before="0" w:after="0" w:line="240" w:lineRule="auto"/>
              <w:ind w:left="170"/>
              <w:rPr>
                <w:rFonts w:ascii="Arial" w:hAnsi="Arial" w:cs="Arial"/>
                <w:sz w:val="16"/>
                <w:szCs w:val="16"/>
              </w:rPr>
            </w:pPr>
            <w:r w:rsidRPr="00934CF0">
              <w:rPr>
                <w:rFonts w:ascii="Arial" w:hAnsi="Arial" w:cs="Arial"/>
                <w:sz w:val="16"/>
                <w:szCs w:val="16"/>
              </w:rPr>
              <w:t>National Partnerships(c)</w:t>
            </w:r>
          </w:p>
        </w:tc>
        <w:tc>
          <w:tcPr>
            <w:tcW w:w="393" w:type="pct"/>
            <w:tcBorders>
              <w:top w:val="nil"/>
              <w:left w:val="nil"/>
              <w:bottom w:val="single" w:sz="4" w:space="0" w:color="293F5B"/>
              <w:right w:val="nil"/>
            </w:tcBorders>
            <w:shd w:val="clear" w:color="000000" w:fill="FFFFFF"/>
            <w:noWrap/>
            <w:vAlign w:val="center"/>
            <w:hideMark/>
          </w:tcPr>
          <w:p w14:paraId="3317E130" w14:textId="77777777" w:rsidR="00E028E9" w:rsidRPr="00934CF0" w:rsidRDefault="00E028E9" w:rsidP="00E028E9">
            <w:pPr>
              <w:pStyle w:val="TableTextRight"/>
              <w:spacing w:before="0" w:after="0"/>
            </w:pPr>
            <w:r w:rsidRPr="00934CF0">
              <w:t>1,370</w:t>
            </w:r>
          </w:p>
        </w:tc>
        <w:tc>
          <w:tcPr>
            <w:tcW w:w="393" w:type="pct"/>
            <w:tcBorders>
              <w:top w:val="nil"/>
              <w:left w:val="nil"/>
              <w:bottom w:val="single" w:sz="4" w:space="0" w:color="293F5B"/>
              <w:right w:val="nil"/>
            </w:tcBorders>
            <w:shd w:val="clear" w:color="000000" w:fill="FFFFFF"/>
            <w:noWrap/>
            <w:vAlign w:val="center"/>
            <w:hideMark/>
          </w:tcPr>
          <w:p w14:paraId="3626BF23" w14:textId="77777777" w:rsidR="00E028E9" w:rsidRPr="00934CF0" w:rsidRDefault="00E028E9" w:rsidP="00E028E9">
            <w:pPr>
              <w:pStyle w:val="TableTextRight"/>
              <w:spacing w:before="0" w:after="0"/>
            </w:pPr>
            <w:r w:rsidRPr="00934CF0">
              <w:t>1,069</w:t>
            </w:r>
          </w:p>
        </w:tc>
        <w:tc>
          <w:tcPr>
            <w:tcW w:w="393" w:type="pct"/>
            <w:tcBorders>
              <w:top w:val="nil"/>
              <w:left w:val="nil"/>
              <w:bottom w:val="single" w:sz="4" w:space="0" w:color="293F5B"/>
              <w:right w:val="nil"/>
            </w:tcBorders>
            <w:shd w:val="clear" w:color="000000" w:fill="FFFFFF"/>
            <w:noWrap/>
            <w:vAlign w:val="center"/>
            <w:hideMark/>
          </w:tcPr>
          <w:p w14:paraId="077F6D3F" w14:textId="77777777" w:rsidR="00E028E9" w:rsidRPr="00934CF0" w:rsidRDefault="00E028E9" w:rsidP="00E028E9">
            <w:pPr>
              <w:pStyle w:val="TableTextRight"/>
              <w:spacing w:before="0" w:after="0"/>
            </w:pPr>
            <w:r w:rsidRPr="00934CF0">
              <w:t>980</w:t>
            </w:r>
          </w:p>
        </w:tc>
        <w:tc>
          <w:tcPr>
            <w:tcW w:w="393" w:type="pct"/>
            <w:tcBorders>
              <w:top w:val="nil"/>
              <w:left w:val="nil"/>
              <w:bottom w:val="single" w:sz="4" w:space="0" w:color="293F5B"/>
              <w:right w:val="nil"/>
            </w:tcBorders>
            <w:shd w:val="clear" w:color="000000" w:fill="FFFFFF"/>
            <w:noWrap/>
            <w:vAlign w:val="center"/>
            <w:hideMark/>
          </w:tcPr>
          <w:p w14:paraId="3E8EC0F6" w14:textId="77777777" w:rsidR="00E028E9" w:rsidRPr="00934CF0" w:rsidRDefault="00E028E9" w:rsidP="00E028E9">
            <w:pPr>
              <w:pStyle w:val="TableTextRight"/>
              <w:spacing w:before="0" w:after="0"/>
            </w:pPr>
            <w:r w:rsidRPr="00934CF0">
              <w:t>547</w:t>
            </w:r>
          </w:p>
        </w:tc>
        <w:tc>
          <w:tcPr>
            <w:tcW w:w="393" w:type="pct"/>
            <w:tcBorders>
              <w:top w:val="nil"/>
              <w:left w:val="nil"/>
              <w:bottom w:val="single" w:sz="4" w:space="0" w:color="293F5B"/>
              <w:right w:val="nil"/>
            </w:tcBorders>
            <w:shd w:val="clear" w:color="000000" w:fill="FFFFFF"/>
            <w:noWrap/>
            <w:vAlign w:val="center"/>
            <w:hideMark/>
          </w:tcPr>
          <w:p w14:paraId="058D6441" w14:textId="77777777" w:rsidR="00E028E9" w:rsidRPr="00934CF0" w:rsidRDefault="00E028E9" w:rsidP="00E028E9">
            <w:pPr>
              <w:pStyle w:val="TableTextRight"/>
              <w:spacing w:before="0" w:after="0"/>
            </w:pPr>
            <w:r w:rsidRPr="00934CF0">
              <w:t>324</w:t>
            </w:r>
          </w:p>
        </w:tc>
        <w:tc>
          <w:tcPr>
            <w:tcW w:w="340" w:type="pct"/>
            <w:tcBorders>
              <w:top w:val="nil"/>
              <w:left w:val="nil"/>
              <w:bottom w:val="single" w:sz="4" w:space="0" w:color="293F5B"/>
              <w:right w:val="nil"/>
            </w:tcBorders>
            <w:shd w:val="clear" w:color="000000" w:fill="FFFFFF"/>
            <w:noWrap/>
            <w:vAlign w:val="center"/>
            <w:hideMark/>
          </w:tcPr>
          <w:p w14:paraId="1C4BBEA6" w14:textId="77777777" w:rsidR="00E028E9" w:rsidRPr="00934CF0" w:rsidRDefault="00E028E9" w:rsidP="00E028E9">
            <w:pPr>
              <w:pStyle w:val="TableTextRight"/>
              <w:spacing w:before="0" w:after="0"/>
            </w:pPr>
            <w:r w:rsidRPr="00934CF0">
              <w:t>180</w:t>
            </w:r>
          </w:p>
        </w:tc>
        <w:tc>
          <w:tcPr>
            <w:tcW w:w="340" w:type="pct"/>
            <w:tcBorders>
              <w:top w:val="nil"/>
              <w:left w:val="nil"/>
              <w:bottom w:val="single" w:sz="4" w:space="0" w:color="293F5B"/>
              <w:right w:val="nil"/>
            </w:tcBorders>
            <w:shd w:val="clear" w:color="000000" w:fill="FFFFFF"/>
            <w:noWrap/>
            <w:vAlign w:val="center"/>
            <w:hideMark/>
          </w:tcPr>
          <w:p w14:paraId="20DDA027" w14:textId="77777777" w:rsidR="00E028E9" w:rsidRPr="00934CF0" w:rsidRDefault="00E028E9" w:rsidP="00E028E9">
            <w:pPr>
              <w:pStyle w:val="TableTextRight"/>
              <w:spacing w:before="0" w:after="0"/>
            </w:pPr>
            <w:r w:rsidRPr="00934CF0">
              <w:t>105</w:t>
            </w:r>
          </w:p>
        </w:tc>
        <w:tc>
          <w:tcPr>
            <w:tcW w:w="340" w:type="pct"/>
            <w:tcBorders>
              <w:top w:val="nil"/>
              <w:left w:val="nil"/>
              <w:bottom w:val="single" w:sz="4" w:space="0" w:color="293F5B"/>
              <w:right w:val="nil"/>
            </w:tcBorders>
            <w:shd w:val="clear" w:color="000000" w:fill="FFFFFF"/>
            <w:noWrap/>
            <w:vAlign w:val="center"/>
            <w:hideMark/>
          </w:tcPr>
          <w:p w14:paraId="7155B455" w14:textId="77777777" w:rsidR="00E028E9" w:rsidRPr="00934CF0" w:rsidRDefault="00E028E9" w:rsidP="00E028E9">
            <w:pPr>
              <w:pStyle w:val="TableTextRight"/>
              <w:spacing w:before="0" w:after="0"/>
            </w:pPr>
            <w:r w:rsidRPr="00934CF0">
              <w:t>90</w:t>
            </w:r>
          </w:p>
        </w:tc>
        <w:tc>
          <w:tcPr>
            <w:tcW w:w="405" w:type="pct"/>
            <w:tcBorders>
              <w:top w:val="nil"/>
              <w:left w:val="nil"/>
              <w:bottom w:val="single" w:sz="4" w:space="0" w:color="293F5B"/>
              <w:right w:val="nil"/>
            </w:tcBorders>
            <w:shd w:val="clear" w:color="auto" w:fill="E6F2FF"/>
            <w:noWrap/>
            <w:vAlign w:val="center"/>
            <w:hideMark/>
          </w:tcPr>
          <w:p w14:paraId="7FF41B9C" w14:textId="77777777" w:rsidR="00E028E9" w:rsidRPr="00934CF0" w:rsidRDefault="00E028E9" w:rsidP="00E028E9">
            <w:pPr>
              <w:pStyle w:val="TableTextRight"/>
              <w:spacing w:before="0" w:after="0"/>
            </w:pPr>
            <w:r w:rsidRPr="00934CF0">
              <w:t>4,665</w:t>
            </w:r>
          </w:p>
        </w:tc>
      </w:tr>
      <w:tr w:rsidR="00E028E9" w:rsidRPr="00934CF0" w14:paraId="267E7A88" w14:textId="77777777" w:rsidTr="00E028E9">
        <w:trPr>
          <w:divId w:val="1263221947"/>
          <w:trHeight w:hRule="exact" w:val="225"/>
        </w:trPr>
        <w:tc>
          <w:tcPr>
            <w:tcW w:w="1610" w:type="pct"/>
            <w:tcBorders>
              <w:top w:val="nil"/>
              <w:left w:val="nil"/>
              <w:bottom w:val="nil"/>
              <w:right w:val="nil"/>
            </w:tcBorders>
            <w:shd w:val="clear" w:color="000000" w:fill="FFFFFF"/>
            <w:noWrap/>
            <w:vAlign w:val="center"/>
            <w:hideMark/>
          </w:tcPr>
          <w:p w14:paraId="2E8B9529" w14:textId="77777777" w:rsidR="00E028E9" w:rsidRPr="00934CF0" w:rsidRDefault="00E028E9" w:rsidP="00E028E9">
            <w:pPr>
              <w:spacing w:before="0" w:after="0" w:line="240" w:lineRule="auto"/>
              <w:rPr>
                <w:rFonts w:ascii="Arial" w:hAnsi="Arial" w:cs="Arial"/>
                <w:b/>
                <w:sz w:val="16"/>
                <w:szCs w:val="16"/>
              </w:rPr>
            </w:pPr>
            <w:r w:rsidRPr="00934CF0">
              <w:rPr>
                <w:rFonts w:ascii="Arial" w:hAnsi="Arial" w:cs="Arial"/>
                <w:b/>
                <w:sz w:val="16"/>
                <w:szCs w:val="16"/>
              </w:rPr>
              <w:t xml:space="preserve">Total payments for </w:t>
            </w:r>
          </w:p>
        </w:tc>
        <w:tc>
          <w:tcPr>
            <w:tcW w:w="393" w:type="pct"/>
            <w:tcBorders>
              <w:top w:val="single" w:sz="4" w:space="0" w:color="293F5B"/>
              <w:left w:val="nil"/>
              <w:bottom w:val="nil"/>
              <w:right w:val="nil"/>
            </w:tcBorders>
            <w:shd w:val="clear" w:color="000000" w:fill="FFFFFF"/>
            <w:noWrap/>
            <w:vAlign w:val="center"/>
            <w:hideMark/>
          </w:tcPr>
          <w:p w14:paraId="3BE61DDC"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93" w:type="pct"/>
            <w:tcBorders>
              <w:top w:val="single" w:sz="4" w:space="0" w:color="293F5B"/>
              <w:left w:val="nil"/>
              <w:bottom w:val="nil"/>
              <w:right w:val="nil"/>
            </w:tcBorders>
            <w:shd w:val="clear" w:color="000000" w:fill="FFFFFF"/>
            <w:noWrap/>
            <w:vAlign w:val="center"/>
            <w:hideMark/>
          </w:tcPr>
          <w:p w14:paraId="06146435"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93" w:type="pct"/>
            <w:tcBorders>
              <w:top w:val="single" w:sz="4" w:space="0" w:color="293F5B"/>
              <w:left w:val="nil"/>
              <w:bottom w:val="nil"/>
              <w:right w:val="nil"/>
            </w:tcBorders>
            <w:shd w:val="clear" w:color="000000" w:fill="FFFFFF"/>
            <w:noWrap/>
            <w:vAlign w:val="center"/>
            <w:hideMark/>
          </w:tcPr>
          <w:p w14:paraId="5754EC37"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93" w:type="pct"/>
            <w:tcBorders>
              <w:top w:val="single" w:sz="4" w:space="0" w:color="293F5B"/>
              <w:left w:val="nil"/>
              <w:bottom w:val="nil"/>
              <w:right w:val="nil"/>
            </w:tcBorders>
            <w:shd w:val="clear" w:color="000000" w:fill="FFFFFF"/>
            <w:noWrap/>
            <w:vAlign w:val="center"/>
            <w:hideMark/>
          </w:tcPr>
          <w:p w14:paraId="6FF6E533"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93" w:type="pct"/>
            <w:tcBorders>
              <w:top w:val="single" w:sz="4" w:space="0" w:color="293F5B"/>
              <w:left w:val="nil"/>
              <w:bottom w:val="nil"/>
              <w:right w:val="nil"/>
            </w:tcBorders>
            <w:shd w:val="clear" w:color="000000" w:fill="FFFFFF"/>
            <w:noWrap/>
            <w:vAlign w:val="center"/>
            <w:hideMark/>
          </w:tcPr>
          <w:p w14:paraId="6DC3D2F4"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40" w:type="pct"/>
            <w:tcBorders>
              <w:top w:val="single" w:sz="4" w:space="0" w:color="293F5B"/>
              <w:left w:val="nil"/>
              <w:bottom w:val="nil"/>
              <w:right w:val="nil"/>
            </w:tcBorders>
            <w:shd w:val="clear" w:color="000000" w:fill="FFFFFF"/>
            <w:noWrap/>
            <w:vAlign w:val="center"/>
            <w:hideMark/>
          </w:tcPr>
          <w:p w14:paraId="0C80DD8B"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40" w:type="pct"/>
            <w:tcBorders>
              <w:top w:val="single" w:sz="4" w:space="0" w:color="293F5B"/>
              <w:left w:val="nil"/>
              <w:bottom w:val="nil"/>
              <w:right w:val="nil"/>
            </w:tcBorders>
            <w:shd w:val="clear" w:color="000000" w:fill="FFFFFF"/>
            <w:noWrap/>
            <w:vAlign w:val="center"/>
            <w:hideMark/>
          </w:tcPr>
          <w:p w14:paraId="46BFDD8F"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340" w:type="pct"/>
            <w:tcBorders>
              <w:top w:val="single" w:sz="4" w:space="0" w:color="293F5B"/>
              <w:left w:val="nil"/>
              <w:bottom w:val="nil"/>
              <w:right w:val="nil"/>
            </w:tcBorders>
            <w:shd w:val="clear" w:color="000000" w:fill="FFFFFF"/>
            <w:noWrap/>
            <w:vAlign w:val="center"/>
            <w:hideMark/>
          </w:tcPr>
          <w:p w14:paraId="49A39C67"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c>
          <w:tcPr>
            <w:tcW w:w="405" w:type="pct"/>
            <w:tcBorders>
              <w:top w:val="single" w:sz="4" w:space="0" w:color="293F5B"/>
              <w:left w:val="nil"/>
              <w:bottom w:val="nil"/>
              <w:right w:val="nil"/>
            </w:tcBorders>
            <w:shd w:val="clear" w:color="auto" w:fill="E6F2FF"/>
            <w:noWrap/>
            <w:vAlign w:val="center"/>
            <w:hideMark/>
          </w:tcPr>
          <w:p w14:paraId="24B3F303" w14:textId="77777777" w:rsidR="00E028E9" w:rsidRPr="00934CF0" w:rsidRDefault="00E028E9" w:rsidP="00E028E9">
            <w:pPr>
              <w:spacing w:before="0" w:after="0" w:line="240" w:lineRule="auto"/>
              <w:rPr>
                <w:rFonts w:ascii="Arial" w:hAnsi="Arial" w:cs="Arial"/>
                <w:sz w:val="16"/>
                <w:szCs w:val="16"/>
              </w:rPr>
            </w:pPr>
            <w:r w:rsidRPr="00934CF0">
              <w:rPr>
                <w:rFonts w:ascii="Arial" w:hAnsi="Arial" w:cs="Arial"/>
                <w:sz w:val="16"/>
                <w:szCs w:val="16"/>
              </w:rPr>
              <w:t> </w:t>
            </w:r>
          </w:p>
        </w:tc>
      </w:tr>
      <w:tr w:rsidR="00E028E9" w:rsidRPr="00934CF0" w14:paraId="0CA63D1F" w14:textId="77777777" w:rsidTr="00E028E9">
        <w:trPr>
          <w:divId w:val="1263221947"/>
          <w:trHeight w:hRule="exact" w:val="225"/>
        </w:trPr>
        <w:tc>
          <w:tcPr>
            <w:tcW w:w="1610" w:type="pct"/>
            <w:tcBorders>
              <w:top w:val="nil"/>
              <w:left w:val="nil"/>
              <w:bottom w:val="single" w:sz="4" w:space="0" w:color="293F5B"/>
              <w:right w:val="nil"/>
            </w:tcBorders>
            <w:shd w:val="clear" w:color="000000" w:fill="FFFFFF"/>
            <w:noWrap/>
            <w:vAlign w:val="center"/>
            <w:hideMark/>
          </w:tcPr>
          <w:p w14:paraId="5D2F6EF9" w14:textId="77777777" w:rsidR="00E028E9" w:rsidRPr="00934CF0" w:rsidRDefault="00E028E9" w:rsidP="00E028E9">
            <w:pPr>
              <w:spacing w:before="0" w:after="0" w:line="240" w:lineRule="auto"/>
              <w:ind w:left="170"/>
              <w:rPr>
                <w:rFonts w:ascii="Arial" w:hAnsi="Arial" w:cs="Arial"/>
                <w:b/>
                <w:sz w:val="16"/>
                <w:szCs w:val="16"/>
              </w:rPr>
            </w:pPr>
            <w:r w:rsidRPr="00934CF0">
              <w:rPr>
                <w:rFonts w:ascii="Arial" w:hAnsi="Arial" w:cs="Arial"/>
                <w:b/>
                <w:sz w:val="16"/>
                <w:szCs w:val="16"/>
              </w:rPr>
              <w:t>specific purposes</w:t>
            </w:r>
          </w:p>
        </w:tc>
        <w:tc>
          <w:tcPr>
            <w:tcW w:w="393" w:type="pct"/>
            <w:tcBorders>
              <w:top w:val="nil"/>
              <w:left w:val="nil"/>
              <w:bottom w:val="single" w:sz="4" w:space="0" w:color="293F5B"/>
              <w:right w:val="nil"/>
            </w:tcBorders>
            <w:shd w:val="clear" w:color="000000" w:fill="FFFFFF"/>
            <w:noWrap/>
            <w:vAlign w:val="center"/>
            <w:hideMark/>
          </w:tcPr>
          <w:p w14:paraId="7FC12FCD"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24,031</w:t>
            </w:r>
          </w:p>
        </w:tc>
        <w:tc>
          <w:tcPr>
            <w:tcW w:w="393" w:type="pct"/>
            <w:tcBorders>
              <w:top w:val="nil"/>
              <w:left w:val="nil"/>
              <w:bottom w:val="single" w:sz="4" w:space="0" w:color="293F5B"/>
              <w:right w:val="nil"/>
            </w:tcBorders>
            <w:shd w:val="clear" w:color="000000" w:fill="FFFFFF"/>
            <w:noWrap/>
            <w:vAlign w:val="center"/>
            <w:hideMark/>
          </w:tcPr>
          <w:p w14:paraId="3153DA83"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20,707</w:t>
            </w:r>
          </w:p>
        </w:tc>
        <w:tc>
          <w:tcPr>
            <w:tcW w:w="393" w:type="pct"/>
            <w:tcBorders>
              <w:top w:val="nil"/>
              <w:left w:val="nil"/>
              <w:bottom w:val="single" w:sz="4" w:space="0" w:color="293F5B"/>
              <w:right w:val="nil"/>
            </w:tcBorders>
            <w:shd w:val="clear" w:color="000000" w:fill="FFFFFF"/>
            <w:noWrap/>
            <w:vAlign w:val="center"/>
            <w:hideMark/>
          </w:tcPr>
          <w:p w14:paraId="78F2A3FC"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17,710</w:t>
            </w:r>
          </w:p>
        </w:tc>
        <w:tc>
          <w:tcPr>
            <w:tcW w:w="393" w:type="pct"/>
            <w:tcBorders>
              <w:top w:val="nil"/>
              <w:left w:val="nil"/>
              <w:bottom w:val="single" w:sz="4" w:space="0" w:color="293F5B"/>
              <w:right w:val="nil"/>
            </w:tcBorders>
            <w:shd w:val="clear" w:color="000000" w:fill="FFFFFF"/>
            <w:noWrap/>
            <w:vAlign w:val="center"/>
            <w:hideMark/>
          </w:tcPr>
          <w:p w14:paraId="0F89F6EE"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9,276</w:t>
            </w:r>
          </w:p>
        </w:tc>
        <w:tc>
          <w:tcPr>
            <w:tcW w:w="393" w:type="pct"/>
            <w:tcBorders>
              <w:top w:val="nil"/>
              <w:left w:val="nil"/>
              <w:bottom w:val="single" w:sz="4" w:space="0" w:color="293F5B"/>
              <w:right w:val="nil"/>
            </w:tcBorders>
            <w:shd w:val="clear" w:color="000000" w:fill="FFFFFF"/>
            <w:noWrap/>
            <w:vAlign w:val="center"/>
            <w:hideMark/>
          </w:tcPr>
          <w:p w14:paraId="3AD2D005"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5,804</w:t>
            </w:r>
          </w:p>
        </w:tc>
        <w:tc>
          <w:tcPr>
            <w:tcW w:w="340" w:type="pct"/>
            <w:tcBorders>
              <w:top w:val="nil"/>
              <w:left w:val="nil"/>
              <w:bottom w:val="single" w:sz="4" w:space="0" w:color="293F5B"/>
              <w:right w:val="nil"/>
            </w:tcBorders>
            <w:shd w:val="clear" w:color="000000" w:fill="FFFFFF"/>
            <w:noWrap/>
            <w:vAlign w:val="center"/>
            <w:hideMark/>
          </w:tcPr>
          <w:p w14:paraId="44831533"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2,141</w:t>
            </w:r>
          </w:p>
        </w:tc>
        <w:tc>
          <w:tcPr>
            <w:tcW w:w="340" w:type="pct"/>
            <w:tcBorders>
              <w:top w:val="nil"/>
              <w:left w:val="nil"/>
              <w:bottom w:val="single" w:sz="4" w:space="0" w:color="293F5B"/>
              <w:right w:val="nil"/>
            </w:tcBorders>
            <w:shd w:val="clear" w:color="000000" w:fill="FFFFFF"/>
            <w:noWrap/>
            <w:vAlign w:val="center"/>
            <w:hideMark/>
          </w:tcPr>
          <w:p w14:paraId="73D12702"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1,307</w:t>
            </w:r>
          </w:p>
        </w:tc>
        <w:tc>
          <w:tcPr>
            <w:tcW w:w="340" w:type="pct"/>
            <w:tcBorders>
              <w:top w:val="nil"/>
              <w:left w:val="nil"/>
              <w:bottom w:val="single" w:sz="4" w:space="0" w:color="293F5B"/>
              <w:right w:val="nil"/>
            </w:tcBorders>
            <w:shd w:val="clear" w:color="000000" w:fill="FFFFFF"/>
            <w:noWrap/>
            <w:vAlign w:val="center"/>
            <w:hideMark/>
          </w:tcPr>
          <w:p w14:paraId="39D25DA1"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1,704</w:t>
            </w:r>
          </w:p>
        </w:tc>
        <w:tc>
          <w:tcPr>
            <w:tcW w:w="405" w:type="pct"/>
            <w:tcBorders>
              <w:top w:val="nil"/>
              <w:left w:val="nil"/>
              <w:bottom w:val="single" w:sz="4" w:space="0" w:color="293F5B"/>
              <w:right w:val="nil"/>
            </w:tcBorders>
            <w:shd w:val="clear" w:color="auto" w:fill="E6F2FF"/>
            <w:noWrap/>
            <w:vAlign w:val="center"/>
            <w:hideMark/>
          </w:tcPr>
          <w:p w14:paraId="565EC486" w14:textId="77777777" w:rsidR="00E028E9" w:rsidRPr="00934CF0" w:rsidRDefault="00E028E9" w:rsidP="00E028E9">
            <w:pPr>
              <w:spacing w:before="0" w:after="0" w:line="240" w:lineRule="auto"/>
              <w:jc w:val="right"/>
              <w:rPr>
                <w:rFonts w:ascii="Arial" w:hAnsi="Arial" w:cs="Arial"/>
                <w:b/>
                <w:sz w:val="16"/>
                <w:szCs w:val="16"/>
              </w:rPr>
            </w:pPr>
            <w:r w:rsidRPr="00934CF0">
              <w:rPr>
                <w:rFonts w:ascii="Arial" w:hAnsi="Arial" w:cs="Arial"/>
                <w:b/>
                <w:sz w:val="16"/>
                <w:szCs w:val="16"/>
              </w:rPr>
              <w:t>82,679</w:t>
            </w:r>
          </w:p>
        </w:tc>
      </w:tr>
    </w:tbl>
    <w:p w14:paraId="704E297E" w14:textId="758A3475" w:rsidR="0038110E" w:rsidRPr="00934CF0" w:rsidRDefault="009A4A3F" w:rsidP="0052486B">
      <w:pPr>
        <w:pStyle w:val="ChartandTableFootnoteAlpha"/>
        <w:numPr>
          <w:ilvl w:val="0"/>
          <w:numId w:val="5"/>
        </w:numPr>
        <w:rPr>
          <w:color w:val="auto"/>
        </w:rPr>
      </w:pPr>
      <w:r w:rsidRPr="00934CF0">
        <w:rPr>
          <w:rFonts w:eastAsiaTheme="minorHAnsi"/>
          <w:color w:val="auto"/>
        </w:rPr>
        <w:fldChar w:fldCharType="end"/>
      </w:r>
      <w:r w:rsidRPr="00934CF0">
        <w:rPr>
          <w:color w:val="auto"/>
        </w:rPr>
        <w:t>Entitlements for 2022</w:t>
      </w:r>
      <w:r w:rsidR="00863F4D" w:rsidRPr="00934CF0">
        <w:rPr>
          <w:color w:val="auto"/>
        </w:rPr>
        <w:t>–</w:t>
      </w:r>
      <w:r w:rsidRPr="00934CF0">
        <w:rPr>
          <w:color w:val="auto"/>
        </w:rPr>
        <w:t>23 will be finalised following reconciliation of activity data by the Administrator of the National Health Funding Pool and a subsequent Determination by the Treasurer.</w:t>
      </w:r>
    </w:p>
    <w:p w14:paraId="073D40AC" w14:textId="504703BF" w:rsidR="0038110E" w:rsidRPr="00934CF0" w:rsidRDefault="009411D1" w:rsidP="0052486B">
      <w:pPr>
        <w:pStyle w:val="ChartandTableFootnoteAlpha"/>
        <w:numPr>
          <w:ilvl w:val="0"/>
          <w:numId w:val="5"/>
        </w:numPr>
        <w:rPr>
          <w:color w:val="auto"/>
        </w:rPr>
      </w:pPr>
      <w:r w:rsidRPr="00934CF0">
        <w:rPr>
          <w:color w:val="auto"/>
        </w:rPr>
        <w:t>The 202</w:t>
      </w:r>
      <w:r w:rsidR="0026536E" w:rsidRPr="00934CF0">
        <w:rPr>
          <w:color w:val="auto"/>
        </w:rPr>
        <w:t>2</w:t>
      </w:r>
      <w:r w:rsidR="00863F4D" w:rsidRPr="00934CF0">
        <w:rPr>
          <w:color w:val="auto"/>
        </w:rPr>
        <w:t>–</w:t>
      </w:r>
      <w:r w:rsidRPr="00934CF0">
        <w:rPr>
          <w:color w:val="auto"/>
        </w:rPr>
        <w:t>2</w:t>
      </w:r>
      <w:r w:rsidR="0026536E" w:rsidRPr="00934CF0">
        <w:rPr>
          <w:color w:val="auto"/>
        </w:rPr>
        <w:t>3</w:t>
      </w:r>
      <w:r w:rsidRPr="00934CF0">
        <w:rPr>
          <w:color w:val="auto"/>
        </w:rPr>
        <w:t xml:space="preserve"> Quality Schools funding outcome will be finalised following a Determination by the </w:t>
      </w:r>
      <w:r w:rsidR="00F13448" w:rsidRPr="00934CF0">
        <w:rPr>
          <w:color w:val="auto"/>
        </w:rPr>
        <w:br/>
      </w:r>
      <w:r w:rsidRPr="00934CF0">
        <w:rPr>
          <w:color w:val="auto"/>
        </w:rPr>
        <w:t>Minister for Education.</w:t>
      </w:r>
    </w:p>
    <w:p w14:paraId="2AE3E308" w14:textId="77777777" w:rsidR="0038110E" w:rsidRPr="00934CF0" w:rsidRDefault="009411D1" w:rsidP="0052486B">
      <w:pPr>
        <w:pStyle w:val="ChartandTableFootnoteAlpha"/>
        <w:numPr>
          <w:ilvl w:val="0"/>
          <w:numId w:val="5"/>
        </w:numPr>
        <w:rPr>
          <w:color w:val="auto"/>
        </w:rPr>
      </w:pPr>
      <w:r w:rsidRPr="00934CF0">
        <w:rPr>
          <w:color w:val="auto"/>
        </w:rPr>
        <w:t xml:space="preserve">Includes financial assistance grants for local government, payments direct to local government and/or payments funded through appropriations including but not limited to section 16 of the </w:t>
      </w:r>
      <w:r w:rsidRPr="00934CF0">
        <w:rPr>
          <w:i/>
          <w:color w:val="auto"/>
        </w:rPr>
        <w:t>Federal Financial Relations Act 2009</w:t>
      </w:r>
      <w:r w:rsidRPr="00934CF0">
        <w:rPr>
          <w:color w:val="auto"/>
        </w:rPr>
        <w:t>.</w:t>
      </w:r>
    </w:p>
    <w:p w14:paraId="269F0436" w14:textId="77777777" w:rsidR="0038110E" w:rsidRPr="00934CF0" w:rsidRDefault="009A4A3F" w:rsidP="0052486B">
      <w:pPr>
        <w:pStyle w:val="ChartandTableFootnoteAlpha"/>
        <w:numPr>
          <w:ilvl w:val="0"/>
          <w:numId w:val="5"/>
        </w:numPr>
        <w:rPr>
          <w:color w:val="auto"/>
        </w:rPr>
      </w:pPr>
      <w:r w:rsidRPr="00934CF0">
        <w:rPr>
          <w:color w:val="auto"/>
        </w:rPr>
        <w:t>The 2022</w:t>
      </w:r>
      <w:r w:rsidR="00863F4D" w:rsidRPr="00934CF0">
        <w:rPr>
          <w:color w:val="auto"/>
        </w:rPr>
        <w:t>–</w:t>
      </w:r>
      <w:r w:rsidRPr="00934CF0">
        <w:rPr>
          <w:color w:val="auto"/>
        </w:rPr>
        <w:t>23 National Skills and Workforce Development SPP funding outcome will be finalised following a Determination by a Treasury portfolio minister.</w:t>
      </w:r>
    </w:p>
    <w:p w14:paraId="2EAB1F62" w14:textId="7EF20B0E" w:rsidR="009A4A3F" w:rsidRPr="00934CF0" w:rsidRDefault="009A4A3F" w:rsidP="0052486B">
      <w:pPr>
        <w:pStyle w:val="ChartandTableFootnoteAlpha"/>
        <w:numPr>
          <w:ilvl w:val="0"/>
          <w:numId w:val="5"/>
        </w:numPr>
        <w:rPr>
          <w:color w:val="auto"/>
        </w:rPr>
      </w:pPr>
      <w:r w:rsidRPr="00934CF0">
        <w:rPr>
          <w:color w:val="auto"/>
        </w:rPr>
        <w:t>Entitlements for 2022</w:t>
      </w:r>
      <w:r w:rsidR="00863F4D" w:rsidRPr="00934CF0">
        <w:rPr>
          <w:color w:val="auto"/>
        </w:rPr>
        <w:t>–</w:t>
      </w:r>
      <w:r w:rsidRPr="00934CF0">
        <w:rPr>
          <w:color w:val="auto"/>
        </w:rPr>
        <w:t>23 will be finalised after states report on their actual expenditure via statements of assurance and a subsequent Determination by a Treasury portfolio minister.</w:t>
      </w:r>
    </w:p>
    <w:p w14:paraId="0E5A6541" w14:textId="75DFCD1D" w:rsidR="009411D1" w:rsidRPr="00934CF0" w:rsidRDefault="009411D1" w:rsidP="005358C9">
      <w:pPr>
        <w:pStyle w:val="ChartLine"/>
        <w:rPr>
          <w:rFonts w:eastAsiaTheme="minorHAnsi"/>
        </w:rPr>
      </w:pPr>
      <w:r w:rsidRPr="00934CF0">
        <w:rPr>
          <w:rFonts w:eastAsiaTheme="minorHAnsi"/>
        </w:rPr>
        <w:fldChar w:fldCharType="begin" w:fldLock="1"/>
      </w:r>
      <w:r w:rsidRPr="00934CF0">
        <w:rPr>
          <w:rFonts w:eastAsiaTheme="minorHAnsi"/>
        </w:rPr>
        <w:instrText xml:space="preserve"> LINK </w:instrText>
      </w:r>
      <w:r w:rsidR="0001099C" w:rsidRPr="00934CF0">
        <w:rPr>
          <w:rFonts w:eastAsiaTheme="minorHAnsi"/>
        </w:rPr>
        <w:instrText xml:space="preserve">Excel.SheetMacroEnabled.12 "https://austreasury.sharepoint.com/sites/Budget/Shared Documents/2022-23 FBO/03 Part 3/Master Tables/3.3 SPP sector categories.xlsm" Table!R10C5:R48C14 </w:instrText>
      </w:r>
      <w:r w:rsidRPr="00934CF0">
        <w:rPr>
          <w:rFonts w:eastAsiaTheme="minorHAnsi"/>
        </w:rPr>
        <w:instrText xml:space="preserve">\a \f 4 \h  \* MERGEFORMAT </w:instrText>
      </w:r>
      <w:r w:rsidRPr="00934CF0">
        <w:rPr>
          <w:rFonts w:eastAsiaTheme="minorHAnsi"/>
        </w:rPr>
        <w:fldChar w:fldCharType="separate"/>
      </w:r>
    </w:p>
    <w:p w14:paraId="7C619A04" w14:textId="46AE51D3" w:rsidR="009175F2" w:rsidRPr="00934CF0" w:rsidRDefault="009411D1" w:rsidP="002913AF">
      <w:r w:rsidRPr="00934CF0">
        <w:rPr>
          <w:rFonts w:eastAsiaTheme="minorHAnsi"/>
        </w:rPr>
        <w:fldChar w:fldCharType="end"/>
      </w:r>
    </w:p>
    <w:p w14:paraId="475E7C12" w14:textId="77777777" w:rsidR="009175F2" w:rsidRPr="00934CF0" w:rsidRDefault="009175F2" w:rsidP="009175F2">
      <w:pPr>
        <w:pStyle w:val="Heading3"/>
      </w:pPr>
      <w:r w:rsidRPr="00934CF0">
        <w:lastRenderedPageBreak/>
        <w:t xml:space="preserve">The Disaster Recovery Funding Arrangements and the Natural Disaster Relief and Recovery Arrangements </w:t>
      </w:r>
    </w:p>
    <w:p w14:paraId="0ECA98AE" w14:textId="5DB4AC24" w:rsidR="009175F2" w:rsidRPr="00934CF0" w:rsidRDefault="009175F2" w:rsidP="009175F2">
      <w:r w:rsidRPr="00934CF0">
        <w:t>The Australian Government provides funding under the Disaster Recovery Funding Arrangements (DRFA) and the Natural Disaster Relief and Recovery Arrangements (NDRRA) to assist the states in relief and recovery efforts following eligible disasters.</w:t>
      </w:r>
    </w:p>
    <w:p w14:paraId="42043E38" w14:textId="483C8ECD" w:rsidR="00376C04" w:rsidRPr="00934CF0" w:rsidRDefault="009175F2" w:rsidP="00376C04">
      <w:pPr>
        <w:pStyle w:val="TableHeading"/>
        <w:rPr>
          <w:rFonts w:asciiTheme="minorHAnsi" w:eastAsiaTheme="minorHAnsi" w:hAnsiTheme="minorHAnsi" w:cstheme="minorBidi"/>
          <w:sz w:val="22"/>
          <w:szCs w:val="22"/>
          <w:lang w:eastAsia="en-US"/>
        </w:rPr>
      </w:pPr>
      <w:r w:rsidRPr="00934CF0">
        <w:t>Table 3.4: DRFA and NDRRA cash payments, 202</w:t>
      </w:r>
      <w:r w:rsidR="00F10059" w:rsidRPr="00934CF0">
        <w:t>2</w:t>
      </w:r>
      <w:r w:rsidR="00376C04" w:rsidRPr="00934CF0">
        <w:t>–</w:t>
      </w:r>
      <w:r w:rsidRPr="00934CF0">
        <w:t>2</w:t>
      </w:r>
      <w:r w:rsidR="00F10059" w:rsidRPr="00934CF0">
        <w:t>3</w:t>
      </w:r>
      <w:r w:rsidR="00E17549" w:rsidRPr="00934CF0">
        <w:rPr>
          <w:rFonts w:eastAsiaTheme="minorHAnsi"/>
        </w:rPr>
        <w:fldChar w:fldCharType="begin" w:fldLock="1"/>
      </w:r>
      <w:r w:rsidR="00E17549" w:rsidRPr="00934CF0">
        <w:rPr>
          <w:rFonts w:eastAsiaTheme="minorHAnsi"/>
        </w:rPr>
        <w:instrText xml:space="preserve"> LINK </w:instrText>
      </w:r>
      <w:r w:rsidR="00376C04" w:rsidRPr="00934CF0">
        <w:rPr>
          <w:rFonts w:eastAsiaTheme="minorHAnsi"/>
        </w:rPr>
        <w:instrText xml:space="preserve">Excel.Sheet.12 "https://austreasury.sharepoint.com/sites/Budget/Shared Documents/2022-23 FBO/03 Part 3/Master Tables/DRFA Cash Payments for FBO.xlsx" "DRFA Cash Payments 2022-23!R5C3:R7C12" </w:instrText>
      </w:r>
      <w:r w:rsidR="00E17549" w:rsidRPr="00934CF0">
        <w:rPr>
          <w:rFonts w:eastAsiaTheme="minorHAnsi"/>
        </w:rPr>
        <w:instrText xml:space="preserve">\a \f 4 \h </w:instrText>
      </w:r>
      <w:r w:rsidR="00A23A7F" w:rsidRPr="00934CF0">
        <w:rPr>
          <w:rFonts w:eastAsiaTheme="minorHAnsi"/>
        </w:rPr>
        <w:instrText xml:space="preserve"> \* MERGEFORMAT </w:instrText>
      </w:r>
      <w:r w:rsidR="00E17549" w:rsidRPr="00934CF0">
        <w:rPr>
          <w:rFonts w:eastAsiaTheme="minorHAnsi"/>
        </w:rPr>
        <w:fldChar w:fldCharType="separate"/>
      </w:r>
    </w:p>
    <w:tbl>
      <w:tblPr>
        <w:tblW w:w="5000" w:type="pct"/>
        <w:tblCellMar>
          <w:left w:w="0" w:type="dxa"/>
          <w:right w:w="28" w:type="dxa"/>
        </w:tblCellMar>
        <w:tblLook w:val="04A0" w:firstRow="1" w:lastRow="0" w:firstColumn="1" w:lastColumn="0" w:noHBand="0" w:noVBand="1"/>
      </w:tblPr>
      <w:tblGrid>
        <w:gridCol w:w="1173"/>
        <w:gridCol w:w="703"/>
        <w:gridCol w:w="703"/>
        <w:gridCol w:w="810"/>
        <w:gridCol w:w="703"/>
        <w:gridCol w:w="703"/>
        <w:gridCol w:w="703"/>
        <w:gridCol w:w="703"/>
        <w:gridCol w:w="703"/>
        <w:gridCol w:w="806"/>
      </w:tblGrid>
      <w:tr w:rsidR="00376C04" w:rsidRPr="00934CF0" w14:paraId="5E153DFA" w14:textId="77777777" w:rsidTr="002F362A">
        <w:trPr>
          <w:divId w:val="1483501193"/>
          <w:trHeight w:val="225"/>
        </w:trPr>
        <w:tc>
          <w:tcPr>
            <w:tcW w:w="760" w:type="pct"/>
            <w:tcBorders>
              <w:top w:val="single" w:sz="4" w:space="0" w:color="293F5B"/>
              <w:left w:val="nil"/>
              <w:bottom w:val="nil"/>
              <w:right w:val="nil"/>
            </w:tcBorders>
            <w:shd w:val="clear" w:color="000000" w:fill="FFFFFF"/>
            <w:noWrap/>
            <w:vAlign w:val="bottom"/>
            <w:hideMark/>
          </w:tcPr>
          <w:p w14:paraId="6A21023E" w14:textId="43CA46A0" w:rsidR="00376C04" w:rsidRPr="00934CF0" w:rsidRDefault="00376C04" w:rsidP="002913AF">
            <w:pPr>
              <w:pStyle w:val="TableTextLeft"/>
              <w:spacing w:before="0" w:after="0"/>
            </w:pPr>
            <w:r w:rsidRPr="00934CF0">
              <w:t>$million</w:t>
            </w:r>
          </w:p>
        </w:tc>
        <w:tc>
          <w:tcPr>
            <w:tcW w:w="456" w:type="pct"/>
            <w:tcBorders>
              <w:top w:val="single" w:sz="4" w:space="0" w:color="293F5B"/>
              <w:left w:val="nil"/>
              <w:bottom w:val="single" w:sz="4" w:space="0" w:color="293F5B"/>
              <w:right w:val="nil"/>
            </w:tcBorders>
            <w:shd w:val="clear" w:color="000000" w:fill="FFFFFF"/>
            <w:noWrap/>
            <w:vAlign w:val="bottom"/>
            <w:hideMark/>
          </w:tcPr>
          <w:p w14:paraId="0F5FE9FB" w14:textId="77777777" w:rsidR="00376C04" w:rsidRPr="00934CF0" w:rsidRDefault="00376C04" w:rsidP="002913AF">
            <w:pPr>
              <w:pStyle w:val="TableTextRight"/>
              <w:spacing w:before="0" w:after="0"/>
            </w:pPr>
            <w:r w:rsidRPr="00934CF0">
              <w:t>NSW</w:t>
            </w:r>
          </w:p>
        </w:tc>
        <w:tc>
          <w:tcPr>
            <w:tcW w:w="456" w:type="pct"/>
            <w:tcBorders>
              <w:top w:val="single" w:sz="4" w:space="0" w:color="293F5B"/>
              <w:left w:val="nil"/>
              <w:bottom w:val="single" w:sz="4" w:space="0" w:color="293F5B"/>
              <w:right w:val="nil"/>
            </w:tcBorders>
            <w:shd w:val="clear" w:color="000000" w:fill="FFFFFF"/>
            <w:noWrap/>
            <w:vAlign w:val="bottom"/>
            <w:hideMark/>
          </w:tcPr>
          <w:p w14:paraId="6D9FF369" w14:textId="77777777" w:rsidR="00376C04" w:rsidRPr="00934CF0" w:rsidRDefault="00376C04" w:rsidP="002913AF">
            <w:pPr>
              <w:pStyle w:val="TableTextRight"/>
              <w:spacing w:before="0" w:after="0"/>
            </w:pPr>
            <w:r w:rsidRPr="00934CF0">
              <w:t>VIC</w:t>
            </w:r>
          </w:p>
        </w:tc>
        <w:tc>
          <w:tcPr>
            <w:tcW w:w="525" w:type="pct"/>
            <w:tcBorders>
              <w:top w:val="single" w:sz="4" w:space="0" w:color="293F5B"/>
              <w:left w:val="nil"/>
              <w:bottom w:val="single" w:sz="4" w:space="0" w:color="293F5B"/>
              <w:right w:val="nil"/>
            </w:tcBorders>
            <w:shd w:val="clear" w:color="000000" w:fill="FFFFFF"/>
            <w:noWrap/>
            <w:vAlign w:val="bottom"/>
            <w:hideMark/>
          </w:tcPr>
          <w:p w14:paraId="2C49E9F3" w14:textId="77777777" w:rsidR="00376C04" w:rsidRPr="00934CF0" w:rsidRDefault="00376C04" w:rsidP="002913AF">
            <w:pPr>
              <w:pStyle w:val="TableTextRight"/>
              <w:spacing w:before="0" w:after="0"/>
            </w:pPr>
            <w:r w:rsidRPr="00934CF0">
              <w:t>QLD</w:t>
            </w:r>
          </w:p>
        </w:tc>
        <w:tc>
          <w:tcPr>
            <w:tcW w:w="456" w:type="pct"/>
            <w:tcBorders>
              <w:top w:val="single" w:sz="4" w:space="0" w:color="293F5B"/>
              <w:left w:val="nil"/>
              <w:bottom w:val="single" w:sz="4" w:space="0" w:color="293F5B"/>
              <w:right w:val="nil"/>
            </w:tcBorders>
            <w:shd w:val="clear" w:color="000000" w:fill="FFFFFF"/>
            <w:noWrap/>
            <w:vAlign w:val="bottom"/>
            <w:hideMark/>
          </w:tcPr>
          <w:p w14:paraId="2AA0CAD9" w14:textId="77777777" w:rsidR="00376C04" w:rsidRPr="00934CF0" w:rsidRDefault="00376C04" w:rsidP="002913AF">
            <w:pPr>
              <w:pStyle w:val="TableTextRight"/>
              <w:spacing w:before="0" w:after="0"/>
            </w:pPr>
            <w:r w:rsidRPr="00934CF0">
              <w:t>WA</w:t>
            </w:r>
          </w:p>
        </w:tc>
        <w:tc>
          <w:tcPr>
            <w:tcW w:w="456" w:type="pct"/>
            <w:tcBorders>
              <w:top w:val="single" w:sz="4" w:space="0" w:color="293F5B"/>
              <w:left w:val="nil"/>
              <w:bottom w:val="single" w:sz="4" w:space="0" w:color="293F5B"/>
              <w:right w:val="nil"/>
            </w:tcBorders>
            <w:shd w:val="clear" w:color="000000" w:fill="FFFFFF"/>
            <w:noWrap/>
            <w:vAlign w:val="bottom"/>
            <w:hideMark/>
          </w:tcPr>
          <w:p w14:paraId="7592A9D1" w14:textId="77777777" w:rsidR="00376C04" w:rsidRPr="00934CF0" w:rsidRDefault="00376C04" w:rsidP="002913AF">
            <w:pPr>
              <w:pStyle w:val="TableTextRight"/>
              <w:spacing w:before="0" w:after="0"/>
            </w:pPr>
            <w:r w:rsidRPr="00934CF0">
              <w:t>SA</w:t>
            </w:r>
          </w:p>
        </w:tc>
        <w:tc>
          <w:tcPr>
            <w:tcW w:w="456" w:type="pct"/>
            <w:tcBorders>
              <w:top w:val="single" w:sz="4" w:space="0" w:color="293F5B"/>
              <w:left w:val="nil"/>
              <w:bottom w:val="single" w:sz="4" w:space="0" w:color="293F5B"/>
              <w:right w:val="nil"/>
            </w:tcBorders>
            <w:shd w:val="clear" w:color="000000" w:fill="FFFFFF"/>
            <w:noWrap/>
            <w:vAlign w:val="bottom"/>
            <w:hideMark/>
          </w:tcPr>
          <w:p w14:paraId="16899F9A" w14:textId="77777777" w:rsidR="00376C04" w:rsidRPr="00934CF0" w:rsidRDefault="00376C04" w:rsidP="002913AF">
            <w:pPr>
              <w:pStyle w:val="TableTextRight"/>
              <w:spacing w:before="0" w:after="0"/>
            </w:pPr>
            <w:r w:rsidRPr="00934CF0">
              <w:t>TAS</w:t>
            </w:r>
          </w:p>
        </w:tc>
        <w:tc>
          <w:tcPr>
            <w:tcW w:w="456" w:type="pct"/>
            <w:tcBorders>
              <w:top w:val="single" w:sz="4" w:space="0" w:color="293F5B"/>
              <w:left w:val="nil"/>
              <w:bottom w:val="single" w:sz="4" w:space="0" w:color="293F5B"/>
              <w:right w:val="nil"/>
            </w:tcBorders>
            <w:shd w:val="clear" w:color="000000" w:fill="FFFFFF"/>
            <w:noWrap/>
            <w:vAlign w:val="bottom"/>
            <w:hideMark/>
          </w:tcPr>
          <w:p w14:paraId="38BCA758" w14:textId="77777777" w:rsidR="00376C04" w:rsidRPr="00934CF0" w:rsidRDefault="00376C04" w:rsidP="002913AF">
            <w:pPr>
              <w:pStyle w:val="TableTextRight"/>
              <w:spacing w:before="0" w:after="0"/>
            </w:pPr>
            <w:r w:rsidRPr="00934CF0">
              <w:t>ACT</w:t>
            </w:r>
          </w:p>
        </w:tc>
        <w:tc>
          <w:tcPr>
            <w:tcW w:w="456" w:type="pct"/>
            <w:tcBorders>
              <w:top w:val="single" w:sz="4" w:space="0" w:color="293F5B"/>
              <w:left w:val="nil"/>
              <w:bottom w:val="single" w:sz="4" w:space="0" w:color="293F5B"/>
              <w:right w:val="nil"/>
            </w:tcBorders>
            <w:shd w:val="clear" w:color="000000" w:fill="FFFFFF"/>
            <w:noWrap/>
            <w:vAlign w:val="bottom"/>
            <w:hideMark/>
          </w:tcPr>
          <w:p w14:paraId="386CB0FD" w14:textId="77777777" w:rsidR="00376C04" w:rsidRPr="00934CF0" w:rsidRDefault="00376C04" w:rsidP="002913AF">
            <w:pPr>
              <w:pStyle w:val="TableTextRight"/>
              <w:spacing w:before="0" w:after="0"/>
            </w:pPr>
            <w:r w:rsidRPr="00934CF0">
              <w:t>NT</w:t>
            </w:r>
          </w:p>
        </w:tc>
        <w:tc>
          <w:tcPr>
            <w:tcW w:w="525" w:type="pct"/>
            <w:tcBorders>
              <w:top w:val="single" w:sz="4" w:space="0" w:color="293F5B"/>
              <w:left w:val="nil"/>
              <w:bottom w:val="single" w:sz="4" w:space="0" w:color="293F5B"/>
              <w:right w:val="nil"/>
            </w:tcBorders>
            <w:shd w:val="clear" w:color="auto" w:fill="E6F2FF"/>
            <w:noWrap/>
            <w:vAlign w:val="bottom"/>
            <w:hideMark/>
          </w:tcPr>
          <w:p w14:paraId="3CCEA178" w14:textId="77777777" w:rsidR="00376C04" w:rsidRPr="00934CF0" w:rsidRDefault="00376C04" w:rsidP="002913AF">
            <w:pPr>
              <w:pStyle w:val="TableTextRight"/>
              <w:spacing w:before="0" w:after="0"/>
            </w:pPr>
            <w:r w:rsidRPr="00934CF0">
              <w:t>Total</w:t>
            </w:r>
          </w:p>
        </w:tc>
      </w:tr>
      <w:tr w:rsidR="00376C04" w:rsidRPr="00934CF0" w14:paraId="51969316" w14:textId="77777777" w:rsidTr="002F362A">
        <w:trPr>
          <w:divId w:val="1483501193"/>
          <w:trHeight w:hRule="exact" w:val="465"/>
        </w:trPr>
        <w:tc>
          <w:tcPr>
            <w:tcW w:w="760" w:type="pct"/>
            <w:tcBorders>
              <w:top w:val="nil"/>
              <w:left w:val="nil"/>
              <w:bottom w:val="nil"/>
              <w:right w:val="nil"/>
            </w:tcBorders>
            <w:shd w:val="clear" w:color="000000" w:fill="FFFFFF"/>
            <w:vAlign w:val="bottom"/>
            <w:hideMark/>
          </w:tcPr>
          <w:p w14:paraId="6FF7814D" w14:textId="77777777" w:rsidR="00376C04" w:rsidRPr="00934CF0" w:rsidRDefault="00376C04" w:rsidP="002913AF">
            <w:pPr>
              <w:pStyle w:val="TableTextLeft"/>
              <w:spacing w:before="0" w:after="0"/>
            </w:pPr>
            <w:r w:rsidRPr="00934CF0">
              <w:t>DRFA and</w:t>
            </w:r>
            <w:r w:rsidRPr="00934CF0">
              <w:br/>
              <w:t xml:space="preserve">   NDRRA</w:t>
            </w:r>
          </w:p>
        </w:tc>
        <w:tc>
          <w:tcPr>
            <w:tcW w:w="456" w:type="pct"/>
            <w:tcBorders>
              <w:top w:val="single" w:sz="4" w:space="0" w:color="293F5B"/>
              <w:left w:val="nil"/>
              <w:bottom w:val="single" w:sz="4" w:space="0" w:color="293F5B"/>
              <w:right w:val="nil"/>
            </w:tcBorders>
            <w:shd w:val="clear" w:color="000000" w:fill="FFFFFF"/>
            <w:noWrap/>
            <w:vAlign w:val="bottom"/>
            <w:hideMark/>
          </w:tcPr>
          <w:p w14:paraId="05284CE1" w14:textId="77777777" w:rsidR="00376C04" w:rsidRPr="00934CF0" w:rsidRDefault="00376C04" w:rsidP="002913AF">
            <w:pPr>
              <w:pStyle w:val="TableTextRight"/>
              <w:spacing w:before="0" w:after="0"/>
            </w:pPr>
            <w:r w:rsidRPr="00934CF0">
              <w:t>892.6</w:t>
            </w:r>
          </w:p>
        </w:tc>
        <w:tc>
          <w:tcPr>
            <w:tcW w:w="456" w:type="pct"/>
            <w:tcBorders>
              <w:top w:val="single" w:sz="4" w:space="0" w:color="293F5B"/>
              <w:left w:val="nil"/>
              <w:bottom w:val="single" w:sz="4" w:space="0" w:color="293F5B"/>
              <w:right w:val="nil"/>
            </w:tcBorders>
            <w:shd w:val="clear" w:color="000000" w:fill="FFFFFF"/>
            <w:noWrap/>
            <w:vAlign w:val="bottom"/>
            <w:hideMark/>
          </w:tcPr>
          <w:p w14:paraId="761A0869" w14:textId="5E825620" w:rsidR="00376C04" w:rsidRPr="00934CF0" w:rsidRDefault="007379E9" w:rsidP="002913AF">
            <w:pPr>
              <w:pStyle w:val="TableTextRight"/>
              <w:spacing w:before="0" w:after="0"/>
            </w:pPr>
            <w:r w:rsidRPr="00934CF0">
              <w:noBreakHyphen/>
            </w:r>
          </w:p>
        </w:tc>
        <w:tc>
          <w:tcPr>
            <w:tcW w:w="525" w:type="pct"/>
            <w:tcBorders>
              <w:top w:val="single" w:sz="4" w:space="0" w:color="293F5B"/>
              <w:left w:val="nil"/>
              <w:bottom w:val="single" w:sz="4" w:space="0" w:color="293F5B"/>
              <w:right w:val="nil"/>
            </w:tcBorders>
            <w:shd w:val="clear" w:color="000000" w:fill="FFFFFF"/>
            <w:noWrap/>
            <w:vAlign w:val="bottom"/>
            <w:hideMark/>
          </w:tcPr>
          <w:p w14:paraId="5FC19895" w14:textId="77777777" w:rsidR="00376C04" w:rsidRPr="00934CF0" w:rsidRDefault="00376C04" w:rsidP="002913AF">
            <w:pPr>
              <w:pStyle w:val="TableTextRight"/>
              <w:spacing w:before="0" w:after="0"/>
            </w:pPr>
            <w:r w:rsidRPr="00934CF0">
              <w:t>1,378.5</w:t>
            </w:r>
          </w:p>
        </w:tc>
        <w:tc>
          <w:tcPr>
            <w:tcW w:w="456" w:type="pct"/>
            <w:tcBorders>
              <w:top w:val="single" w:sz="4" w:space="0" w:color="293F5B"/>
              <w:left w:val="nil"/>
              <w:bottom w:val="single" w:sz="4" w:space="0" w:color="293F5B"/>
              <w:right w:val="nil"/>
            </w:tcBorders>
            <w:shd w:val="clear" w:color="000000" w:fill="FFFFFF"/>
            <w:noWrap/>
            <w:vAlign w:val="bottom"/>
            <w:hideMark/>
          </w:tcPr>
          <w:p w14:paraId="21077076" w14:textId="77777777" w:rsidR="00376C04" w:rsidRPr="00934CF0" w:rsidRDefault="00376C04" w:rsidP="002913AF">
            <w:pPr>
              <w:pStyle w:val="TableTextRight"/>
              <w:spacing w:before="0" w:after="0"/>
            </w:pPr>
            <w:r w:rsidRPr="00934CF0">
              <w:t>93.9</w:t>
            </w:r>
          </w:p>
        </w:tc>
        <w:tc>
          <w:tcPr>
            <w:tcW w:w="456" w:type="pct"/>
            <w:tcBorders>
              <w:top w:val="single" w:sz="4" w:space="0" w:color="293F5B"/>
              <w:left w:val="nil"/>
              <w:bottom w:val="single" w:sz="4" w:space="0" w:color="293F5B"/>
              <w:right w:val="nil"/>
            </w:tcBorders>
            <w:shd w:val="clear" w:color="000000" w:fill="FFFFFF"/>
            <w:noWrap/>
            <w:vAlign w:val="bottom"/>
            <w:hideMark/>
          </w:tcPr>
          <w:p w14:paraId="35721AA9" w14:textId="77777777" w:rsidR="00376C04" w:rsidRPr="00934CF0" w:rsidRDefault="00376C04" w:rsidP="002913AF">
            <w:pPr>
              <w:pStyle w:val="TableTextRight"/>
              <w:spacing w:before="0" w:after="0"/>
            </w:pPr>
            <w:r w:rsidRPr="00934CF0">
              <w:t>62.5</w:t>
            </w:r>
          </w:p>
        </w:tc>
        <w:tc>
          <w:tcPr>
            <w:tcW w:w="456" w:type="pct"/>
            <w:tcBorders>
              <w:top w:val="single" w:sz="4" w:space="0" w:color="293F5B"/>
              <w:left w:val="nil"/>
              <w:bottom w:val="single" w:sz="4" w:space="0" w:color="293F5B"/>
              <w:right w:val="nil"/>
            </w:tcBorders>
            <w:shd w:val="clear" w:color="000000" w:fill="FFFFFF"/>
            <w:noWrap/>
            <w:vAlign w:val="bottom"/>
            <w:hideMark/>
          </w:tcPr>
          <w:p w14:paraId="75759D48" w14:textId="77777777" w:rsidR="00376C04" w:rsidRPr="00934CF0" w:rsidRDefault="00376C04" w:rsidP="002913AF">
            <w:pPr>
              <w:pStyle w:val="TableTextRight"/>
              <w:spacing w:before="0" w:after="0"/>
            </w:pPr>
            <w:r w:rsidRPr="00934CF0">
              <w:t>5.1</w:t>
            </w:r>
          </w:p>
        </w:tc>
        <w:tc>
          <w:tcPr>
            <w:tcW w:w="456" w:type="pct"/>
            <w:tcBorders>
              <w:top w:val="single" w:sz="4" w:space="0" w:color="293F5B"/>
              <w:left w:val="nil"/>
              <w:bottom w:val="single" w:sz="4" w:space="0" w:color="293F5B"/>
              <w:right w:val="nil"/>
            </w:tcBorders>
            <w:shd w:val="clear" w:color="000000" w:fill="FFFFFF"/>
            <w:noWrap/>
            <w:vAlign w:val="bottom"/>
            <w:hideMark/>
          </w:tcPr>
          <w:p w14:paraId="3C1FD5D5" w14:textId="77777777" w:rsidR="00376C04" w:rsidRPr="00934CF0" w:rsidRDefault="00376C04" w:rsidP="002913AF">
            <w:pPr>
              <w:pStyle w:val="TableTextRight"/>
              <w:spacing w:before="0" w:after="0"/>
            </w:pPr>
            <w:r w:rsidRPr="00934CF0">
              <w:t>0.1</w:t>
            </w:r>
          </w:p>
        </w:tc>
        <w:tc>
          <w:tcPr>
            <w:tcW w:w="456" w:type="pct"/>
            <w:tcBorders>
              <w:top w:val="single" w:sz="4" w:space="0" w:color="293F5B"/>
              <w:left w:val="nil"/>
              <w:bottom w:val="single" w:sz="4" w:space="0" w:color="293F5B"/>
              <w:right w:val="nil"/>
            </w:tcBorders>
            <w:shd w:val="clear" w:color="000000" w:fill="FFFFFF"/>
            <w:noWrap/>
            <w:vAlign w:val="bottom"/>
            <w:hideMark/>
          </w:tcPr>
          <w:p w14:paraId="2C5B1DD4" w14:textId="2AB8D149" w:rsidR="00376C04" w:rsidRPr="00934CF0" w:rsidRDefault="007379E9" w:rsidP="002913AF">
            <w:pPr>
              <w:pStyle w:val="TableTextRight"/>
              <w:spacing w:before="0" w:after="0"/>
            </w:pPr>
            <w:r w:rsidRPr="00934CF0">
              <w:noBreakHyphen/>
            </w:r>
          </w:p>
        </w:tc>
        <w:tc>
          <w:tcPr>
            <w:tcW w:w="525" w:type="pct"/>
            <w:tcBorders>
              <w:top w:val="single" w:sz="4" w:space="0" w:color="293F5B"/>
              <w:left w:val="nil"/>
              <w:bottom w:val="single" w:sz="4" w:space="0" w:color="293F5B"/>
              <w:right w:val="nil"/>
            </w:tcBorders>
            <w:shd w:val="clear" w:color="auto" w:fill="E6F2FF"/>
            <w:noWrap/>
            <w:vAlign w:val="bottom"/>
            <w:hideMark/>
          </w:tcPr>
          <w:p w14:paraId="3E941280" w14:textId="77777777" w:rsidR="00376C04" w:rsidRPr="00934CF0" w:rsidRDefault="00376C04" w:rsidP="002913AF">
            <w:pPr>
              <w:pStyle w:val="TableTextRight"/>
              <w:spacing w:before="0" w:after="0"/>
            </w:pPr>
            <w:r w:rsidRPr="00934CF0">
              <w:t>2,432.7</w:t>
            </w:r>
          </w:p>
        </w:tc>
      </w:tr>
      <w:tr w:rsidR="00376C04" w:rsidRPr="00934CF0" w14:paraId="191AAC1A" w14:textId="77777777" w:rsidTr="002F362A">
        <w:trPr>
          <w:divId w:val="1483501193"/>
          <w:trHeight w:hRule="exact" w:val="225"/>
        </w:trPr>
        <w:tc>
          <w:tcPr>
            <w:tcW w:w="760" w:type="pct"/>
            <w:tcBorders>
              <w:top w:val="nil"/>
              <w:left w:val="nil"/>
              <w:bottom w:val="single" w:sz="4" w:space="0" w:color="293F5B"/>
              <w:right w:val="nil"/>
            </w:tcBorders>
            <w:shd w:val="clear" w:color="000000" w:fill="FFFFFF"/>
            <w:noWrap/>
            <w:vAlign w:val="bottom"/>
            <w:hideMark/>
          </w:tcPr>
          <w:p w14:paraId="1895A3FD" w14:textId="77777777" w:rsidR="00376C04" w:rsidRPr="00934CF0" w:rsidRDefault="00376C04" w:rsidP="002913AF">
            <w:pPr>
              <w:spacing w:before="0" w:after="0" w:line="240" w:lineRule="auto"/>
              <w:rPr>
                <w:rFonts w:ascii="Arial" w:hAnsi="Arial" w:cs="Arial"/>
                <w:b/>
                <w:sz w:val="16"/>
                <w:szCs w:val="16"/>
              </w:rPr>
            </w:pPr>
            <w:r w:rsidRPr="00934CF0">
              <w:rPr>
                <w:rFonts w:ascii="Arial" w:hAnsi="Arial" w:cs="Arial"/>
                <w:b/>
                <w:sz w:val="16"/>
                <w:szCs w:val="16"/>
              </w:rPr>
              <w:t>Total</w:t>
            </w:r>
          </w:p>
        </w:tc>
        <w:tc>
          <w:tcPr>
            <w:tcW w:w="456" w:type="pct"/>
            <w:tcBorders>
              <w:top w:val="single" w:sz="4" w:space="0" w:color="293F5B"/>
              <w:left w:val="nil"/>
              <w:bottom w:val="single" w:sz="4" w:space="0" w:color="293F5B"/>
              <w:right w:val="nil"/>
            </w:tcBorders>
            <w:shd w:val="clear" w:color="000000" w:fill="FFFFFF"/>
            <w:noWrap/>
            <w:vAlign w:val="center"/>
            <w:hideMark/>
          </w:tcPr>
          <w:p w14:paraId="3FC0D117" w14:textId="77777777" w:rsidR="00376C04" w:rsidRPr="00934CF0" w:rsidRDefault="00376C04" w:rsidP="002913AF">
            <w:pPr>
              <w:pStyle w:val="TableColumnHeadingRight"/>
              <w:spacing w:before="0" w:after="0"/>
            </w:pPr>
            <w:r w:rsidRPr="00934CF0">
              <w:t>892.6</w:t>
            </w:r>
          </w:p>
        </w:tc>
        <w:tc>
          <w:tcPr>
            <w:tcW w:w="456" w:type="pct"/>
            <w:tcBorders>
              <w:top w:val="single" w:sz="4" w:space="0" w:color="293F5B"/>
              <w:left w:val="nil"/>
              <w:bottom w:val="single" w:sz="4" w:space="0" w:color="293F5B"/>
              <w:right w:val="nil"/>
            </w:tcBorders>
            <w:shd w:val="clear" w:color="000000" w:fill="FFFFFF"/>
            <w:noWrap/>
            <w:vAlign w:val="center"/>
            <w:hideMark/>
          </w:tcPr>
          <w:p w14:paraId="63223153" w14:textId="66B9BAE0" w:rsidR="00376C04" w:rsidRPr="00934CF0" w:rsidRDefault="007379E9" w:rsidP="002913AF">
            <w:pPr>
              <w:pStyle w:val="TableColumnHeadingRight"/>
              <w:spacing w:before="0" w:after="0"/>
            </w:pPr>
            <w:r w:rsidRPr="00934CF0">
              <w:noBreakHyphen/>
            </w:r>
          </w:p>
        </w:tc>
        <w:tc>
          <w:tcPr>
            <w:tcW w:w="525" w:type="pct"/>
            <w:tcBorders>
              <w:top w:val="single" w:sz="4" w:space="0" w:color="293F5B"/>
              <w:left w:val="nil"/>
              <w:bottom w:val="single" w:sz="4" w:space="0" w:color="293F5B"/>
              <w:right w:val="nil"/>
            </w:tcBorders>
            <w:shd w:val="clear" w:color="000000" w:fill="FFFFFF"/>
            <w:noWrap/>
            <w:vAlign w:val="center"/>
            <w:hideMark/>
          </w:tcPr>
          <w:p w14:paraId="31CB326B" w14:textId="77777777" w:rsidR="00376C04" w:rsidRPr="00934CF0" w:rsidRDefault="00376C04" w:rsidP="002913AF">
            <w:pPr>
              <w:pStyle w:val="TableColumnHeadingRight"/>
              <w:spacing w:before="0" w:after="0"/>
            </w:pPr>
            <w:r w:rsidRPr="00934CF0">
              <w:t>1,378.5</w:t>
            </w:r>
          </w:p>
        </w:tc>
        <w:tc>
          <w:tcPr>
            <w:tcW w:w="456" w:type="pct"/>
            <w:tcBorders>
              <w:top w:val="single" w:sz="4" w:space="0" w:color="293F5B"/>
              <w:left w:val="nil"/>
              <w:bottom w:val="single" w:sz="4" w:space="0" w:color="293F5B"/>
              <w:right w:val="nil"/>
            </w:tcBorders>
            <w:shd w:val="clear" w:color="000000" w:fill="FFFFFF"/>
            <w:noWrap/>
            <w:vAlign w:val="center"/>
            <w:hideMark/>
          </w:tcPr>
          <w:p w14:paraId="5B59F09C" w14:textId="77777777" w:rsidR="00376C04" w:rsidRPr="00934CF0" w:rsidRDefault="00376C04" w:rsidP="002913AF">
            <w:pPr>
              <w:pStyle w:val="TableColumnHeadingRight"/>
              <w:spacing w:before="0" w:after="0"/>
            </w:pPr>
            <w:r w:rsidRPr="00934CF0">
              <w:t>93.9</w:t>
            </w:r>
          </w:p>
        </w:tc>
        <w:tc>
          <w:tcPr>
            <w:tcW w:w="456" w:type="pct"/>
            <w:tcBorders>
              <w:top w:val="single" w:sz="4" w:space="0" w:color="293F5B"/>
              <w:left w:val="nil"/>
              <w:bottom w:val="single" w:sz="4" w:space="0" w:color="293F5B"/>
              <w:right w:val="nil"/>
            </w:tcBorders>
            <w:shd w:val="clear" w:color="000000" w:fill="FFFFFF"/>
            <w:noWrap/>
            <w:vAlign w:val="center"/>
            <w:hideMark/>
          </w:tcPr>
          <w:p w14:paraId="2470844A" w14:textId="77777777" w:rsidR="00376C04" w:rsidRPr="00934CF0" w:rsidRDefault="00376C04" w:rsidP="002913AF">
            <w:pPr>
              <w:pStyle w:val="TableColumnHeadingRight"/>
              <w:spacing w:before="0" w:after="0"/>
            </w:pPr>
            <w:r w:rsidRPr="00934CF0">
              <w:t>62.5</w:t>
            </w:r>
          </w:p>
        </w:tc>
        <w:tc>
          <w:tcPr>
            <w:tcW w:w="456" w:type="pct"/>
            <w:tcBorders>
              <w:top w:val="single" w:sz="4" w:space="0" w:color="293F5B"/>
              <w:left w:val="nil"/>
              <w:bottom w:val="single" w:sz="4" w:space="0" w:color="293F5B"/>
              <w:right w:val="nil"/>
            </w:tcBorders>
            <w:shd w:val="clear" w:color="000000" w:fill="FFFFFF"/>
            <w:noWrap/>
            <w:vAlign w:val="center"/>
            <w:hideMark/>
          </w:tcPr>
          <w:p w14:paraId="0B8FC8C7" w14:textId="77777777" w:rsidR="00376C04" w:rsidRPr="00934CF0" w:rsidRDefault="00376C04" w:rsidP="002913AF">
            <w:pPr>
              <w:pStyle w:val="TableColumnHeadingRight"/>
              <w:spacing w:before="0" w:after="0"/>
            </w:pPr>
            <w:r w:rsidRPr="00934CF0">
              <w:t>5.1</w:t>
            </w:r>
          </w:p>
        </w:tc>
        <w:tc>
          <w:tcPr>
            <w:tcW w:w="456" w:type="pct"/>
            <w:tcBorders>
              <w:top w:val="single" w:sz="4" w:space="0" w:color="293F5B"/>
              <w:left w:val="nil"/>
              <w:bottom w:val="single" w:sz="4" w:space="0" w:color="293F5B"/>
              <w:right w:val="nil"/>
            </w:tcBorders>
            <w:shd w:val="clear" w:color="000000" w:fill="FFFFFF"/>
            <w:noWrap/>
            <w:vAlign w:val="center"/>
            <w:hideMark/>
          </w:tcPr>
          <w:p w14:paraId="26162F1F" w14:textId="77777777" w:rsidR="00376C04" w:rsidRPr="00934CF0" w:rsidRDefault="00376C04" w:rsidP="002913AF">
            <w:pPr>
              <w:pStyle w:val="TableColumnHeadingRight"/>
              <w:spacing w:before="0" w:after="0"/>
            </w:pPr>
            <w:r w:rsidRPr="00934CF0">
              <w:t>0.1</w:t>
            </w:r>
          </w:p>
        </w:tc>
        <w:tc>
          <w:tcPr>
            <w:tcW w:w="456" w:type="pct"/>
            <w:tcBorders>
              <w:top w:val="single" w:sz="4" w:space="0" w:color="293F5B"/>
              <w:left w:val="nil"/>
              <w:bottom w:val="single" w:sz="4" w:space="0" w:color="293F5B"/>
              <w:right w:val="nil"/>
            </w:tcBorders>
            <w:shd w:val="clear" w:color="000000" w:fill="FFFFFF"/>
            <w:noWrap/>
            <w:vAlign w:val="center"/>
            <w:hideMark/>
          </w:tcPr>
          <w:p w14:paraId="3C1A6DE9" w14:textId="708218E4" w:rsidR="00376C04" w:rsidRPr="00934CF0" w:rsidRDefault="007379E9" w:rsidP="002913AF">
            <w:pPr>
              <w:pStyle w:val="TableColumnHeadingRight"/>
              <w:spacing w:before="0" w:after="0"/>
            </w:pPr>
            <w:r w:rsidRPr="00934CF0">
              <w:noBreakHyphen/>
            </w:r>
          </w:p>
        </w:tc>
        <w:tc>
          <w:tcPr>
            <w:tcW w:w="525" w:type="pct"/>
            <w:tcBorders>
              <w:top w:val="single" w:sz="4" w:space="0" w:color="293F5B"/>
              <w:left w:val="nil"/>
              <w:bottom w:val="single" w:sz="4" w:space="0" w:color="293F5B"/>
              <w:right w:val="nil"/>
            </w:tcBorders>
            <w:shd w:val="clear" w:color="auto" w:fill="E6F2FF"/>
            <w:noWrap/>
            <w:vAlign w:val="center"/>
            <w:hideMark/>
          </w:tcPr>
          <w:p w14:paraId="5CF75F95" w14:textId="77777777" w:rsidR="00376C04" w:rsidRPr="00934CF0" w:rsidRDefault="00376C04" w:rsidP="002913AF">
            <w:pPr>
              <w:pStyle w:val="TableColumnHeadingRight"/>
              <w:spacing w:before="0" w:after="0"/>
            </w:pPr>
            <w:r w:rsidRPr="00934CF0">
              <w:t>2,432.7</w:t>
            </w:r>
          </w:p>
        </w:tc>
      </w:tr>
    </w:tbl>
    <w:p w14:paraId="1D59AE5E" w14:textId="61A941FA" w:rsidR="009175F2" w:rsidRPr="00934CF0" w:rsidRDefault="00E17549" w:rsidP="00E17549">
      <w:r w:rsidRPr="00934CF0">
        <w:rPr>
          <w:rFonts w:eastAsiaTheme="minorHAnsi"/>
        </w:rPr>
        <w:fldChar w:fldCharType="end"/>
      </w:r>
      <w:r w:rsidR="009175F2" w:rsidRPr="00934CF0">
        <w:t>For accounting purposes, the Australian Government recognises a liability equal to the present value of future payments expected to be made to the states under the DRFA and the NDRRA. This is regardless of whether a state has completed eligible disaster reconstruction work or submitted an eligible claim. See Table 3.20 in Attachment A for the expense outcome.</w:t>
      </w:r>
    </w:p>
    <w:p w14:paraId="1483120F" w14:textId="38FF8D57" w:rsidR="009175F2" w:rsidRPr="00934CF0" w:rsidRDefault="00195778" w:rsidP="009175F2">
      <w:pPr>
        <w:pStyle w:val="Heading2"/>
      </w:pPr>
      <w:r w:rsidRPr="00934CF0">
        <w:fldChar w:fldCharType="begin"/>
      </w:r>
      <w:r w:rsidRPr="00934CF0">
        <w:instrText xml:space="preserve"> :End:CSPD_MB2 </w:instrText>
      </w:r>
      <w:r w:rsidRPr="00934CF0">
        <w:fldChar w:fldCharType="end"/>
      </w:r>
      <w:r w:rsidR="00AA0006" w:rsidRPr="00934CF0">
        <w:fldChar w:fldCharType="begin"/>
      </w:r>
      <w:r w:rsidR="00AA0006" w:rsidRPr="00934CF0">
        <w:instrText xml:space="preserve"> :Start:CSPD_MB1 </w:instrText>
      </w:r>
      <w:r w:rsidR="00AA0006" w:rsidRPr="00934CF0">
        <w:fldChar w:fldCharType="end"/>
      </w:r>
      <w:r w:rsidR="009175F2" w:rsidRPr="00934CF0">
        <w:t xml:space="preserve">General revenue assistance </w:t>
      </w:r>
    </w:p>
    <w:p w14:paraId="03588EFD" w14:textId="77777777" w:rsidR="009175F2" w:rsidRPr="00934CF0" w:rsidRDefault="009175F2" w:rsidP="009175F2">
      <w:r w:rsidRPr="00934CF0">
        <w:t>General revenue assistance is provided to the states, without conditions, to spend according to their own budget priorities.</w:t>
      </w:r>
    </w:p>
    <w:p w14:paraId="77722299" w14:textId="2ED43A9B" w:rsidR="009175F2" w:rsidRPr="008F50F6" w:rsidRDefault="009175F2" w:rsidP="009175F2">
      <w:r w:rsidRPr="00934CF0">
        <w:t>In 202</w:t>
      </w:r>
      <w:r w:rsidR="00D165FC" w:rsidRPr="00934CF0">
        <w:t>2</w:t>
      </w:r>
      <w:r w:rsidR="00863F4D" w:rsidRPr="00934CF0">
        <w:t>–</w:t>
      </w:r>
      <w:r w:rsidRPr="00934CF0">
        <w:t>2</w:t>
      </w:r>
      <w:r w:rsidR="00D165FC" w:rsidRPr="00934CF0">
        <w:t>3</w:t>
      </w:r>
      <w:r w:rsidRPr="00934CF0">
        <w:t>, the states received $</w:t>
      </w:r>
      <w:r w:rsidR="0025772B" w:rsidRPr="00934CF0">
        <w:t>87</w:t>
      </w:r>
      <w:r w:rsidRPr="00934CF0">
        <w:t>.</w:t>
      </w:r>
      <w:r w:rsidR="006561B1" w:rsidRPr="00934CF0">
        <w:t>6</w:t>
      </w:r>
      <w:r w:rsidRPr="00934CF0">
        <w:t> billion in general revenue assistance from the Australian Government</w:t>
      </w:r>
      <w:r w:rsidR="00AA0006" w:rsidRPr="00934CF0">
        <w:fldChar w:fldCharType="begin"/>
      </w:r>
      <w:r w:rsidR="00AA0006" w:rsidRPr="00934CF0">
        <w:instrText xml:space="preserve"> :End:CSPD_MB1 </w:instrText>
      </w:r>
      <w:r w:rsidR="00AA0006" w:rsidRPr="00934CF0">
        <w:fldChar w:fldCharType="end"/>
      </w:r>
      <w:r w:rsidR="00AA0006" w:rsidRPr="00934CF0">
        <w:fldChar w:fldCharType="begin"/>
      </w:r>
      <w:r w:rsidR="00AA0006" w:rsidRPr="00934CF0">
        <w:instrText xml:space="preserve"> :Start:CSPD_MB3 </w:instrText>
      </w:r>
      <w:r w:rsidR="00AA0006" w:rsidRPr="00934CF0">
        <w:fldChar w:fldCharType="end"/>
      </w:r>
      <w:r w:rsidRPr="00934CF0">
        <w:t>, comprising $</w:t>
      </w:r>
      <w:r w:rsidR="00250172" w:rsidRPr="00934CF0">
        <w:t>82</w:t>
      </w:r>
      <w:r w:rsidRPr="00934CF0">
        <w:t>.</w:t>
      </w:r>
      <w:r w:rsidR="00250172" w:rsidRPr="00934CF0">
        <w:t>0</w:t>
      </w:r>
      <w:r w:rsidRPr="00934CF0">
        <w:t> billion in GST entitlements, $</w:t>
      </w:r>
      <w:r w:rsidR="00D208CC" w:rsidRPr="00934CF0">
        <w:t>4</w:t>
      </w:r>
      <w:r w:rsidRPr="00934CF0">
        <w:t>.</w:t>
      </w:r>
      <w:r w:rsidR="00D208CC" w:rsidRPr="00934CF0">
        <w:t>1</w:t>
      </w:r>
      <w:r w:rsidRPr="00934CF0">
        <w:t> </w:t>
      </w:r>
      <w:r w:rsidR="00D165FC" w:rsidRPr="00934CF0">
        <w:t>b</w:t>
      </w:r>
      <w:r w:rsidRPr="00934CF0">
        <w:t xml:space="preserve">illion in horizontal fiscal equalisation (HFE) transition payments </w:t>
      </w:r>
      <w:r w:rsidR="00AA0006" w:rsidRPr="00934CF0">
        <w:fldChar w:fldCharType="begin"/>
      </w:r>
      <w:r w:rsidR="00AA0006" w:rsidRPr="00934CF0">
        <w:instrText xml:space="preserve"> :End:CSPD_MB3 </w:instrText>
      </w:r>
      <w:r w:rsidR="00AA0006" w:rsidRPr="00934CF0">
        <w:fldChar w:fldCharType="end"/>
      </w:r>
      <w:r w:rsidR="00AA0006" w:rsidRPr="00934CF0">
        <w:fldChar w:fldCharType="begin"/>
      </w:r>
      <w:r w:rsidR="00AA0006" w:rsidRPr="00934CF0">
        <w:instrText xml:space="preserve"> :Start:CSPD_MB1 </w:instrText>
      </w:r>
      <w:r w:rsidR="00AA0006" w:rsidRPr="00934CF0">
        <w:fldChar w:fldCharType="end"/>
      </w:r>
      <w:r w:rsidRPr="00934CF0">
        <w:t>and $</w:t>
      </w:r>
      <w:r w:rsidR="003648CE" w:rsidRPr="00934CF0">
        <w:t>1</w:t>
      </w:r>
      <w:r w:rsidRPr="00934CF0">
        <w:t>.</w:t>
      </w:r>
      <w:r w:rsidR="006561B1" w:rsidRPr="00934CF0">
        <w:t>5</w:t>
      </w:r>
      <w:r w:rsidRPr="00934CF0">
        <w:t xml:space="preserve"> billion of other general revenue assistance (Table 3.5). Total general revenue assistance to the states constituted </w:t>
      </w:r>
      <w:r w:rsidR="00D063E4" w:rsidRPr="00934CF0">
        <w:t>13</w:t>
      </w:r>
      <w:r w:rsidRPr="00934CF0">
        <w:t>.</w:t>
      </w:r>
      <w:r w:rsidR="00DD3210" w:rsidRPr="00934CF0">
        <w:t>8</w:t>
      </w:r>
      <w:r w:rsidRPr="00934CF0">
        <w:t> per cent of total Australian Government expenditure in 202</w:t>
      </w:r>
      <w:r w:rsidR="00BB33C8" w:rsidRPr="00934CF0">
        <w:t>2</w:t>
      </w:r>
      <w:r w:rsidR="00F51526" w:rsidRPr="00934CF0">
        <w:t>–</w:t>
      </w:r>
      <w:r w:rsidRPr="00934CF0">
        <w:t>2</w:t>
      </w:r>
      <w:r w:rsidR="00BB33C8" w:rsidRPr="00934CF0">
        <w:t>3</w:t>
      </w:r>
      <w:r w:rsidRPr="00934CF0">
        <w:t>.</w:t>
      </w:r>
      <w:r w:rsidR="00AA0006">
        <w:fldChar w:fldCharType="begin"/>
      </w:r>
      <w:r w:rsidR="00AA0006">
        <w:instrText xml:space="preserve"> :End:CSPD_MB1 </w:instrText>
      </w:r>
      <w:r w:rsidR="00AA0006">
        <w:fldChar w:fldCharType="end"/>
      </w:r>
    </w:p>
    <w:p w14:paraId="1795F5F4" w14:textId="0AEB6B3E" w:rsidR="00BB2465" w:rsidRPr="00934CF0" w:rsidRDefault="0087402C" w:rsidP="00BB2465">
      <w:pPr>
        <w:pStyle w:val="TableHeading"/>
        <w:rPr>
          <w:rFonts w:asciiTheme="minorHAnsi" w:eastAsiaTheme="minorHAnsi" w:hAnsiTheme="minorHAnsi" w:cstheme="minorBidi"/>
          <w:sz w:val="22"/>
          <w:szCs w:val="22"/>
          <w:lang w:eastAsia="en-US"/>
        </w:rPr>
      </w:pPr>
      <w:r>
        <w:fldChar w:fldCharType="begin"/>
      </w:r>
      <w:r>
        <w:instrText xml:space="preserve"> :Start:CSPD_MB1 </w:instrText>
      </w:r>
      <w:r>
        <w:fldChar w:fldCharType="end"/>
      </w:r>
      <w:r w:rsidR="009175F2" w:rsidRPr="00934CF0">
        <w:t>Table 3.5: General revenue assistance, 202</w:t>
      </w:r>
      <w:r w:rsidR="00BB33C8" w:rsidRPr="00934CF0">
        <w:t>2</w:t>
      </w:r>
      <w:r w:rsidR="00AD6E45" w:rsidRPr="00934CF0">
        <w:t>–</w:t>
      </w:r>
      <w:r w:rsidR="009175F2" w:rsidRPr="00934CF0">
        <w:t>2</w:t>
      </w:r>
      <w:r w:rsidR="00AD6E45" w:rsidRPr="00934CF0">
        <w:t>3</w:t>
      </w:r>
      <w:r w:rsidR="00727A30" w:rsidRPr="00934CF0">
        <w:fldChar w:fldCharType="begin"/>
      </w:r>
      <w:r w:rsidR="00727A30" w:rsidRPr="00934CF0">
        <w:instrText xml:space="preserve"> :End:CSPD_MB1 </w:instrText>
      </w:r>
      <w:r w:rsidR="00727A30" w:rsidRPr="00934CF0">
        <w:fldChar w:fldCharType="end"/>
      </w:r>
      <w:r w:rsidR="00465CFC" w:rsidRPr="00934CF0">
        <w:fldChar w:fldCharType="begin"/>
      </w:r>
      <w:r w:rsidR="00465CFC" w:rsidRPr="00934CF0">
        <w:instrText xml:space="preserve"> :Start:CSPD_MB3 </w:instrText>
      </w:r>
      <w:r w:rsidR="00465CFC" w:rsidRPr="00934CF0">
        <w:fldChar w:fldCharType="end"/>
      </w:r>
    </w:p>
    <w:tbl>
      <w:tblPr>
        <w:tblW w:w="5000" w:type="pct"/>
        <w:tblCellMar>
          <w:left w:w="0" w:type="dxa"/>
          <w:right w:w="28" w:type="dxa"/>
        </w:tblCellMar>
        <w:tblLook w:val="04A0" w:firstRow="1" w:lastRow="0" w:firstColumn="1" w:lastColumn="0" w:noHBand="0" w:noVBand="1"/>
      </w:tblPr>
      <w:tblGrid>
        <w:gridCol w:w="1765"/>
        <w:gridCol w:w="633"/>
        <w:gridCol w:w="633"/>
        <w:gridCol w:w="632"/>
        <w:gridCol w:w="632"/>
        <w:gridCol w:w="632"/>
        <w:gridCol w:w="632"/>
        <w:gridCol w:w="632"/>
        <w:gridCol w:w="632"/>
        <w:gridCol w:w="887"/>
      </w:tblGrid>
      <w:tr w:rsidR="00B62F4B" w:rsidRPr="00934CF0" w14:paraId="1F393CC3" w14:textId="77777777" w:rsidTr="00B62F4B">
        <w:trPr>
          <w:divId w:val="1327243549"/>
          <w:trHeight w:hRule="exact" w:val="225"/>
        </w:trPr>
        <w:tc>
          <w:tcPr>
            <w:tcW w:w="1144" w:type="pct"/>
            <w:tcBorders>
              <w:top w:val="single" w:sz="4" w:space="0" w:color="293F5B"/>
              <w:left w:val="nil"/>
              <w:bottom w:val="nil"/>
              <w:right w:val="nil"/>
            </w:tcBorders>
            <w:shd w:val="clear" w:color="auto" w:fill="auto"/>
            <w:noWrap/>
            <w:vAlign w:val="center"/>
            <w:hideMark/>
          </w:tcPr>
          <w:p w14:paraId="6BFAB089" w14:textId="7EF1A6B9" w:rsidR="00B62F4B" w:rsidRPr="00934CF0" w:rsidRDefault="00B62F4B" w:rsidP="00BB2465">
            <w:pPr>
              <w:spacing w:before="0" w:after="0" w:line="240" w:lineRule="auto"/>
              <w:rPr>
                <w:rFonts w:ascii="Arial" w:hAnsi="Arial" w:cs="Arial"/>
                <w:sz w:val="16"/>
                <w:szCs w:val="16"/>
              </w:rPr>
            </w:pPr>
            <w:r w:rsidRPr="00934CF0">
              <w:rPr>
                <w:rFonts w:ascii="Arial" w:hAnsi="Arial" w:cs="Arial"/>
                <w:sz w:val="16"/>
                <w:szCs w:val="16"/>
              </w:rPr>
              <w:t>$million</w:t>
            </w:r>
          </w:p>
        </w:tc>
        <w:tc>
          <w:tcPr>
            <w:tcW w:w="410" w:type="pct"/>
            <w:tcBorders>
              <w:top w:val="single" w:sz="4" w:space="0" w:color="293F5B"/>
              <w:left w:val="nil"/>
              <w:bottom w:val="single" w:sz="4" w:space="0" w:color="000000"/>
              <w:right w:val="nil"/>
            </w:tcBorders>
            <w:shd w:val="clear" w:color="auto" w:fill="auto"/>
            <w:noWrap/>
            <w:vAlign w:val="center"/>
            <w:hideMark/>
          </w:tcPr>
          <w:p w14:paraId="0B5378E0"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NSW</w:t>
            </w:r>
          </w:p>
        </w:tc>
        <w:tc>
          <w:tcPr>
            <w:tcW w:w="410" w:type="pct"/>
            <w:tcBorders>
              <w:top w:val="single" w:sz="4" w:space="0" w:color="293F5B"/>
              <w:left w:val="nil"/>
              <w:bottom w:val="single" w:sz="4" w:space="0" w:color="000000"/>
              <w:right w:val="nil"/>
            </w:tcBorders>
            <w:shd w:val="clear" w:color="auto" w:fill="auto"/>
            <w:noWrap/>
            <w:vAlign w:val="center"/>
            <w:hideMark/>
          </w:tcPr>
          <w:p w14:paraId="1C50DBA8"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VIC</w:t>
            </w:r>
          </w:p>
        </w:tc>
        <w:tc>
          <w:tcPr>
            <w:tcW w:w="410" w:type="pct"/>
            <w:tcBorders>
              <w:top w:val="single" w:sz="4" w:space="0" w:color="293F5B"/>
              <w:left w:val="nil"/>
              <w:bottom w:val="single" w:sz="4" w:space="0" w:color="000000"/>
              <w:right w:val="nil"/>
            </w:tcBorders>
            <w:shd w:val="clear" w:color="auto" w:fill="auto"/>
            <w:noWrap/>
            <w:vAlign w:val="center"/>
            <w:hideMark/>
          </w:tcPr>
          <w:p w14:paraId="65076AEF"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QLD</w:t>
            </w:r>
          </w:p>
        </w:tc>
        <w:tc>
          <w:tcPr>
            <w:tcW w:w="410" w:type="pct"/>
            <w:tcBorders>
              <w:top w:val="single" w:sz="4" w:space="0" w:color="293F5B"/>
              <w:left w:val="nil"/>
              <w:bottom w:val="single" w:sz="4" w:space="0" w:color="000000"/>
              <w:right w:val="nil"/>
            </w:tcBorders>
            <w:shd w:val="clear" w:color="auto" w:fill="auto"/>
            <w:noWrap/>
            <w:vAlign w:val="center"/>
            <w:hideMark/>
          </w:tcPr>
          <w:p w14:paraId="689E47C9"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WA</w:t>
            </w:r>
          </w:p>
        </w:tc>
        <w:tc>
          <w:tcPr>
            <w:tcW w:w="410" w:type="pct"/>
            <w:tcBorders>
              <w:top w:val="single" w:sz="4" w:space="0" w:color="293F5B"/>
              <w:left w:val="nil"/>
              <w:bottom w:val="single" w:sz="4" w:space="0" w:color="000000"/>
              <w:right w:val="nil"/>
            </w:tcBorders>
            <w:shd w:val="clear" w:color="auto" w:fill="auto"/>
            <w:noWrap/>
            <w:vAlign w:val="center"/>
            <w:hideMark/>
          </w:tcPr>
          <w:p w14:paraId="1B34D89E" w14:textId="53FDC91F"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SA</w:t>
            </w:r>
          </w:p>
        </w:tc>
        <w:tc>
          <w:tcPr>
            <w:tcW w:w="410" w:type="pct"/>
            <w:tcBorders>
              <w:top w:val="single" w:sz="4" w:space="0" w:color="293F5B"/>
              <w:left w:val="nil"/>
              <w:bottom w:val="single" w:sz="4" w:space="0" w:color="000000"/>
              <w:right w:val="nil"/>
            </w:tcBorders>
            <w:shd w:val="clear" w:color="auto" w:fill="auto"/>
            <w:noWrap/>
            <w:vAlign w:val="center"/>
            <w:hideMark/>
          </w:tcPr>
          <w:p w14:paraId="5566DCC5"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TAS</w:t>
            </w:r>
          </w:p>
        </w:tc>
        <w:tc>
          <w:tcPr>
            <w:tcW w:w="410" w:type="pct"/>
            <w:tcBorders>
              <w:top w:val="single" w:sz="4" w:space="0" w:color="293F5B"/>
              <w:left w:val="nil"/>
              <w:bottom w:val="single" w:sz="4" w:space="0" w:color="000000"/>
              <w:right w:val="nil"/>
            </w:tcBorders>
            <w:shd w:val="clear" w:color="auto" w:fill="auto"/>
            <w:noWrap/>
            <w:vAlign w:val="center"/>
            <w:hideMark/>
          </w:tcPr>
          <w:p w14:paraId="66305452"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ACT</w:t>
            </w:r>
          </w:p>
        </w:tc>
        <w:tc>
          <w:tcPr>
            <w:tcW w:w="410" w:type="pct"/>
            <w:tcBorders>
              <w:top w:val="single" w:sz="4" w:space="0" w:color="293F5B"/>
              <w:left w:val="nil"/>
              <w:bottom w:val="single" w:sz="4" w:space="0" w:color="000000"/>
              <w:right w:val="nil"/>
            </w:tcBorders>
            <w:shd w:val="clear" w:color="auto" w:fill="auto"/>
            <w:noWrap/>
            <w:vAlign w:val="center"/>
            <w:hideMark/>
          </w:tcPr>
          <w:p w14:paraId="671FB710"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NT</w:t>
            </w:r>
          </w:p>
        </w:tc>
        <w:tc>
          <w:tcPr>
            <w:tcW w:w="575" w:type="pct"/>
            <w:tcBorders>
              <w:top w:val="single" w:sz="4" w:space="0" w:color="293F5B"/>
              <w:left w:val="nil"/>
              <w:bottom w:val="single" w:sz="4" w:space="0" w:color="000000"/>
              <w:right w:val="nil"/>
            </w:tcBorders>
            <w:shd w:val="clear" w:color="000000" w:fill="E6F2FF"/>
            <w:noWrap/>
            <w:vAlign w:val="center"/>
            <w:hideMark/>
          </w:tcPr>
          <w:p w14:paraId="46BEC285"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Total</w:t>
            </w:r>
          </w:p>
        </w:tc>
      </w:tr>
      <w:tr w:rsidR="00B62F4B" w:rsidRPr="00934CF0" w14:paraId="7B2E7A39" w14:textId="77777777" w:rsidTr="00B62F4B">
        <w:trPr>
          <w:divId w:val="1327243549"/>
          <w:trHeight w:hRule="exact" w:val="225"/>
        </w:trPr>
        <w:tc>
          <w:tcPr>
            <w:tcW w:w="1144" w:type="pct"/>
            <w:tcBorders>
              <w:top w:val="nil"/>
              <w:left w:val="nil"/>
              <w:bottom w:val="nil"/>
              <w:right w:val="nil"/>
            </w:tcBorders>
            <w:shd w:val="clear" w:color="000000" w:fill="FFFFFF"/>
            <w:noWrap/>
            <w:vAlign w:val="center"/>
            <w:hideMark/>
          </w:tcPr>
          <w:p w14:paraId="71DCD383" w14:textId="77777777" w:rsidR="00B62F4B" w:rsidRPr="00934CF0" w:rsidRDefault="00B62F4B" w:rsidP="00BB2465">
            <w:pPr>
              <w:spacing w:before="0" w:after="0" w:line="240" w:lineRule="auto"/>
              <w:rPr>
                <w:rFonts w:ascii="Arial" w:hAnsi="Arial" w:cs="Arial"/>
                <w:sz w:val="16"/>
                <w:szCs w:val="16"/>
              </w:rPr>
            </w:pPr>
            <w:r w:rsidRPr="00934CF0">
              <w:rPr>
                <w:rFonts w:ascii="Arial" w:hAnsi="Arial" w:cs="Arial"/>
                <w:sz w:val="16"/>
                <w:szCs w:val="16"/>
              </w:rPr>
              <w:t>GST entitlement(a)</w:t>
            </w:r>
          </w:p>
        </w:tc>
        <w:tc>
          <w:tcPr>
            <w:tcW w:w="410" w:type="pct"/>
            <w:tcBorders>
              <w:top w:val="nil"/>
              <w:left w:val="nil"/>
              <w:bottom w:val="nil"/>
              <w:right w:val="nil"/>
            </w:tcBorders>
            <w:shd w:val="clear" w:color="auto" w:fill="auto"/>
            <w:noWrap/>
            <w:vAlign w:val="center"/>
            <w:hideMark/>
          </w:tcPr>
          <w:p w14:paraId="3FAB3E27"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24,453</w:t>
            </w:r>
          </w:p>
        </w:tc>
        <w:tc>
          <w:tcPr>
            <w:tcW w:w="410" w:type="pct"/>
            <w:tcBorders>
              <w:top w:val="nil"/>
              <w:left w:val="nil"/>
              <w:bottom w:val="nil"/>
              <w:right w:val="nil"/>
            </w:tcBorders>
            <w:shd w:val="clear" w:color="auto" w:fill="auto"/>
            <w:noWrap/>
            <w:vAlign w:val="center"/>
            <w:hideMark/>
          </w:tcPr>
          <w:p w14:paraId="277C37DC"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17,972</w:t>
            </w:r>
          </w:p>
        </w:tc>
        <w:tc>
          <w:tcPr>
            <w:tcW w:w="410" w:type="pct"/>
            <w:tcBorders>
              <w:top w:val="nil"/>
              <w:left w:val="nil"/>
              <w:bottom w:val="nil"/>
              <w:right w:val="nil"/>
            </w:tcBorders>
            <w:shd w:val="clear" w:color="auto" w:fill="auto"/>
            <w:noWrap/>
            <w:vAlign w:val="center"/>
            <w:hideMark/>
          </w:tcPr>
          <w:p w14:paraId="6377B6A8"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17,358</w:t>
            </w:r>
          </w:p>
        </w:tc>
        <w:tc>
          <w:tcPr>
            <w:tcW w:w="410" w:type="pct"/>
            <w:tcBorders>
              <w:top w:val="nil"/>
              <w:left w:val="nil"/>
              <w:bottom w:val="nil"/>
              <w:right w:val="nil"/>
            </w:tcBorders>
            <w:shd w:val="clear" w:color="auto" w:fill="auto"/>
            <w:noWrap/>
            <w:vAlign w:val="center"/>
            <w:hideMark/>
          </w:tcPr>
          <w:p w14:paraId="02A72CAB"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6,174</w:t>
            </w:r>
          </w:p>
        </w:tc>
        <w:tc>
          <w:tcPr>
            <w:tcW w:w="410" w:type="pct"/>
            <w:tcBorders>
              <w:top w:val="nil"/>
              <w:left w:val="nil"/>
              <w:bottom w:val="nil"/>
              <w:right w:val="nil"/>
            </w:tcBorders>
            <w:shd w:val="clear" w:color="auto" w:fill="auto"/>
            <w:noWrap/>
            <w:vAlign w:val="center"/>
            <w:hideMark/>
          </w:tcPr>
          <w:p w14:paraId="6269433B" w14:textId="3C9534CA"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7,354</w:t>
            </w:r>
          </w:p>
        </w:tc>
        <w:tc>
          <w:tcPr>
            <w:tcW w:w="410" w:type="pct"/>
            <w:tcBorders>
              <w:top w:val="nil"/>
              <w:left w:val="nil"/>
              <w:bottom w:val="nil"/>
              <w:right w:val="nil"/>
            </w:tcBorders>
            <w:shd w:val="clear" w:color="auto" w:fill="auto"/>
            <w:noWrap/>
            <w:vAlign w:val="center"/>
            <w:hideMark/>
          </w:tcPr>
          <w:p w14:paraId="7B452797"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3,308</w:t>
            </w:r>
          </w:p>
        </w:tc>
        <w:tc>
          <w:tcPr>
            <w:tcW w:w="410" w:type="pct"/>
            <w:tcBorders>
              <w:top w:val="nil"/>
              <w:left w:val="nil"/>
              <w:bottom w:val="nil"/>
              <w:right w:val="nil"/>
            </w:tcBorders>
            <w:shd w:val="clear" w:color="auto" w:fill="auto"/>
            <w:noWrap/>
            <w:vAlign w:val="center"/>
            <w:hideMark/>
          </w:tcPr>
          <w:p w14:paraId="270CD80C"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1,572</w:t>
            </w:r>
          </w:p>
        </w:tc>
        <w:tc>
          <w:tcPr>
            <w:tcW w:w="410" w:type="pct"/>
            <w:tcBorders>
              <w:top w:val="nil"/>
              <w:left w:val="nil"/>
              <w:bottom w:val="nil"/>
              <w:right w:val="nil"/>
            </w:tcBorders>
            <w:shd w:val="clear" w:color="auto" w:fill="auto"/>
            <w:noWrap/>
            <w:vAlign w:val="center"/>
            <w:hideMark/>
          </w:tcPr>
          <w:p w14:paraId="32C91881"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3,803</w:t>
            </w:r>
          </w:p>
        </w:tc>
        <w:tc>
          <w:tcPr>
            <w:tcW w:w="575" w:type="pct"/>
            <w:tcBorders>
              <w:top w:val="nil"/>
              <w:left w:val="nil"/>
              <w:bottom w:val="nil"/>
              <w:right w:val="nil"/>
            </w:tcBorders>
            <w:shd w:val="clear" w:color="000000" w:fill="E6F2FF"/>
            <w:noWrap/>
            <w:vAlign w:val="center"/>
            <w:hideMark/>
          </w:tcPr>
          <w:p w14:paraId="67BDE607"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81,994</w:t>
            </w:r>
          </w:p>
        </w:tc>
      </w:tr>
      <w:tr w:rsidR="00B62F4B" w:rsidRPr="00934CF0" w14:paraId="3B6C20B2" w14:textId="77777777" w:rsidTr="00B62F4B">
        <w:trPr>
          <w:divId w:val="1327243549"/>
          <w:trHeight w:hRule="exact" w:val="225"/>
        </w:trPr>
        <w:tc>
          <w:tcPr>
            <w:tcW w:w="1144" w:type="pct"/>
            <w:tcBorders>
              <w:top w:val="nil"/>
              <w:left w:val="nil"/>
              <w:bottom w:val="nil"/>
              <w:right w:val="nil"/>
            </w:tcBorders>
            <w:shd w:val="clear" w:color="000000" w:fill="FFFFFF"/>
            <w:noWrap/>
            <w:vAlign w:val="center"/>
            <w:hideMark/>
          </w:tcPr>
          <w:p w14:paraId="4113DB30" w14:textId="77777777" w:rsidR="00B62F4B" w:rsidRPr="00934CF0" w:rsidRDefault="00B62F4B" w:rsidP="00BB2465">
            <w:pPr>
              <w:spacing w:before="0" w:after="0" w:line="240" w:lineRule="auto"/>
              <w:rPr>
                <w:rFonts w:ascii="Arial" w:hAnsi="Arial" w:cs="Arial"/>
                <w:sz w:val="16"/>
                <w:szCs w:val="16"/>
              </w:rPr>
            </w:pPr>
            <w:r w:rsidRPr="00934CF0">
              <w:rPr>
                <w:rFonts w:ascii="Arial" w:hAnsi="Arial" w:cs="Arial"/>
                <w:sz w:val="16"/>
                <w:szCs w:val="16"/>
              </w:rPr>
              <w:t>HFE transition</w:t>
            </w:r>
          </w:p>
        </w:tc>
        <w:tc>
          <w:tcPr>
            <w:tcW w:w="410" w:type="pct"/>
            <w:tcBorders>
              <w:top w:val="nil"/>
              <w:left w:val="nil"/>
              <w:bottom w:val="nil"/>
              <w:right w:val="nil"/>
            </w:tcBorders>
            <w:shd w:val="clear" w:color="auto" w:fill="auto"/>
            <w:noWrap/>
            <w:vAlign w:val="center"/>
            <w:hideMark/>
          </w:tcPr>
          <w:p w14:paraId="31CC8B4B" w14:textId="77777777" w:rsidR="00B62F4B" w:rsidRPr="00934CF0" w:rsidRDefault="00B62F4B" w:rsidP="00BB2465">
            <w:pPr>
              <w:spacing w:before="0" w:after="0" w:line="240" w:lineRule="auto"/>
              <w:rPr>
                <w:rFonts w:ascii="Arial" w:hAnsi="Arial" w:cs="Arial"/>
                <w:sz w:val="16"/>
                <w:szCs w:val="16"/>
              </w:rPr>
            </w:pPr>
          </w:p>
        </w:tc>
        <w:tc>
          <w:tcPr>
            <w:tcW w:w="410" w:type="pct"/>
            <w:tcBorders>
              <w:top w:val="nil"/>
              <w:left w:val="nil"/>
              <w:bottom w:val="nil"/>
              <w:right w:val="nil"/>
            </w:tcBorders>
            <w:shd w:val="clear" w:color="auto" w:fill="auto"/>
            <w:noWrap/>
            <w:vAlign w:val="center"/>
            <w:hideMark/>
          </w:tcPr>
          <w:p w14:paraId="0F088155"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54565F7D"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109A0E70"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012891DE" w14:textId="6BA68B95"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0C70A773"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58D4AA4A"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7195B11C" w14:textId="77777777" w:rsidR="00B62F4B" w:rsidRPr="00934CF0" w:rsidRDefault="00B62F4B" w:rsidP="00BB246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000000" w:fill="E6F2FF"/>
            <w:noWrap/>
            <w:vAlign w:val="center"/>
            <w:hideMark/>
          </w:tcPr>
          <w:p w14:paraId="16B867A0"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w:t>
            </w:r>
          </w:p>
        </w:tc>
      </w:tr>
      <w:tr w:rsidR="00B62F4B" w:rsidRPr="00934CF0" w14:paraId="7EF73D9C" w14:textId="77777777" w:rsidTr="00B62F4B">
        <w:trPr>
          <w:divId w:val="1327243549"/>
          <w:trHeight w:hRule="exact" w:val="225"/>
        </w:trPr>
        <w:tc>
          <w:tcPr>
            <w:tcW w:w="1144" w:type="pct"/>
            <w:tcBorders>
              <w:top w:val="nil"/>
              <w:left w:val="nil"/>
              <w:bottom w:val="nil"/>
              <w:right w:val="nil"/>
            </w:tcBorders>
            <w:shd w:val="clear" w:color="000000" w:fill="FFFFFF"/>
            <w:noWrap/>
            <w:vAlign w:val="center"/>
            <w:hideMark/>
          </w:tcPr>
          <w:p w14:paraId="3E2F0FA7" w14:textId="77777777" w:rsidR="00B62F4B" w:rsidRPr="00934CF0" w:rsidRDefault="00B62F4B" w:rsidP="00BB2465">
            <w:pPr>
              <w:spacing w:before="0" w:after="0" w:line="240" w:lineRule="auto"/>
              <w:ind w:left="170"/>
              <w:rPr>
                <w:rFonts w:ascii="Arial" w:hAnsi="Arial" w:cs="Arial"/>
                <w:sz w:val="16"/>
                <w:szCs w:val="16"/>
              </w:rPr>
            </w:pPr>
            <w:r w:rsidRPr="00934CF0">
              <w:rPr>
                <w:rFonts w:ascii="Arial" w:hAnsi="Arial" w:cs="Arial"/>
                <w:sz w:val="16"/>
                <w:szCs w:val="16"/>
              </w:rPr>
              <w:t>payments</w:t>
            </w:r>
          </w:p>
        </w:tc>
        <w:tc>
          <w:tcPr>
            <w:tcW w:w="410" w:type="pct"/>
            <w:tcBorders>
              <w:top w:val="nil"/>
              <w:left w:val="nil"/>
              <w:bottom w:val="nil"/>
              <w:right w:val="nil"/>
            </w:tcBorders>
            <w:shd w:val="clear" w:color="auto" w:fill="auto"/>
            <w:noWrap/>
            <w:vAlign w:val="center"/>
            <w:hideMark/>
          </w:tcPr>
          <w:p w14:paraId="2E783BFB"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1,464</w:t>
            </w:r>
          </w:p>
        </w:tc>
        <w:tc>
          <w:tcPr>
            <w:tcW w:w="410" w:type="pct"/>
            <w:tcBorders>
              <w:top w:val="nil"/>
              <w:left w:val="nil"/>
              <w:bottom w:val="nil"/>
              <w:right w:val="nil"/>
            </w:tcBorders>
            <w:shd w:val="clear" w:color="auto" w:fill="auto"/>
            <w:noWrap/>
            <w:vAlign w:val="center"/>
            <w:hideMark/>
          </w:tcPr>
          <w:p w14:paraId="55A1DC81"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1,204</w:t>
            </w:r>
          </w:p>
        </w:tc>
        <w:tc>
          <w:tcPr>
            <w:tcW w:w="410" w:type="pct"/>
            <w:tcBorders>
              <w:top w:val="nil"/>
              <w:left w:val="nil"/>
              <w:bottom w:val="nil"/>
              <w:right w:val="nil"/>
            </w:tcBorders>
            <w:shd w:val="clear" w:color="auto" w:fill="auto"/>
            <w:noWrap/>
            <w:vAlign w:val="center"/>
            <w:hideMark/>
          </w:tcPr>
          <w:p w14:paraId="3D953647"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947</w:t>
            </w:r>
          </w:p>
        </w:tc>
        <w:tc>
          <w:tcPr>
            <w:tcW w:w="410" w:type="pct"/>
            <w:tcBorders>
              <w:top w:val="nil"/>
              <w:left w:val="nil"/>
              <w:bottom w:val="nil"/>
              <w:right w:val="nil"/>
            </w:tcBorders>
            <w:shd w:val="clear" w:color="auto" w:fill="auto"/>
            <w:noWrap/>
            <w:vAlign w:val="center"/>
            <w:hideMark/>
          </w:tcPr>
          <w:p w14:paraId="20500D79"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410" w:type="pct"/>
            <w:tcBorders>
              <w:top w:val="nil"/>
              <w:left w:val="nil"/>
              <w:bottom w:val="nil"/>
              <w:right w:val="nil"/>
            </w:tcBorders>
            <w:shd w:val="clear" w:color="auto" w:fill="auto"/>
            <w:noWrap/>
            <w:vAlign w:val="center"/>
            <w:hideMark/>
          </w:tcPr>
          <w:p w14:paraId="3A219FF7" w14:textId="4E0B861A"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314</w:t>
            </w:r>
          </w:p>
        </w:tc>
        <w:tc>
          <w:tcPr>
            <w:tcW w:w="410" w:type="pct"/>
            <w:tcBorders>
              <w:top w:val="nil"/>
              <w:left w:val="nil"/>
              <w:bottom w:val="nil"/>
              <w:right w:val="nil"/>
            </w:tcBorders>
            <w:shd w:val="clear" w:color="auto" w:fill="auto"/>
            <w:noWrap/>
            <w:vAlign w:val="center"/>
            <w:hideMark/>
          </w:tcPr>
          <w:p w14:paraId="3702ABBC"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87</w:t>
            </w:r>
          </w:p>
        </w:tc>
        <w:tc>
          <w:tcPr>
            <w:tcW w:w="410" w:type="pct"/>
            <w:tcBorders>
              <w:top w:val="nil"/>
              <w:left w:val="nil"/>
              <w:bottom w:val="nil"/>
              <w:right w:val="nil"/>
            </w:tcBorders>
            <w:shd w:val="clear" w:color="auto" w:fill="auto"/>
            <w:noWrap/>
            <w:vAlign w:val="center"/>
            <w:hideMark/>
          </w:tcPr>
          <w:p w14:paraId="7C831F70"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81</w:t>
            </w:r>
          </w:p>
        </w:tc>
        <w:tc>
          <w:tcPr>
            <w:tcW w:w="410" w:type="pct"/>
            <w:tcBorders>
              <w:top w:val="nil"/>
              <w:left w:val="nil"/>
              <w:bottom w:val="nil"/>
              <w:right w:val="nil"/>
            </w:tcBorders>
            <w:shd w:val="clear" w:color="auto" w:fill="auto"/>
            <w:noWrap/>
            <w:vAlign w:val="center"/>
            <w:hideMark/>
          </w:tcPr>
          <w:p w14:paraId="4D5A0B37"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12</w:t>
            </w:r>
          </w:p>
        </w:tc>
        <w:tc>
          <w:tcPr>
            <w:tcW w:w="575" w:type="pct"/>
            <w:tcBorders>
              <w:top w:val="nil"/>
              <w:left w:val="nil"/>
              <w:bottom w:val="nil"/>
              <w:right w:val="nil"/>
            </w:tcBorders>
            <w:shd w:val="clear" w:color="000000" w:fill="E6F2FF"/>
            <w:noWrap/>
            <w:vAlign w:val="center"/>
            <w:hideMark/>
          </w:tcPr>
          <w:p w14:paraId="126D1CD1"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4,108</w:t>
            </w:r>
          </w:p>
        </w:tc>
      </w:tr>
      <w:tr w:rsidR="00B62F4B" w:rsidRPr="00934CF0" w14:paraId="4819A822" w14:textId="77777777" w:rsidTr="00B62F4B">
        <w:trPr>
          <w:divId w:val="1327243549"/>
          <w:trHeight w:hRule="exact" w:val="225"/>
        </w:trPr>
        <w:tc>
          <w:tcPr>
            <w:tcW w:w="1144" w:type="pct"/>
            <w:tcBorders>
              <w:top w:val="nil"/>
              <w:left w:val="nil"/>
              <w:bottom w:val="nil"/>
              <w:right w:val="nil"/>
            </w:tcBorders>
            <w:shd w:val="clear" w:color="000000" w:fill="FFFFFF"/>
            <w:noWrap/>
            <w:vAlign w:val="center"/>
            <w:hideMark/>
          </w:tcPr>
          <w:p w14:paraId="6E039902" w14:textId="77777777" w:rsidR="00B62F4B" w:rsidRPr="00934CF0" w:rsidRDefault="00B62F4B" w:rsidP="00BB2465">
            <w:pPr>
              <w:spacing w:before="0" w:after="0" w:line="240" w:lineRule="auto"/>
              <w:rPr>
                <w:rFonts w:ascii="Arial" w:hAnsi="Arial" w:cs="Arial"/>
                <w:sz w:val="16"/>
                <w:szCs w:val="16"/>
              </w:rPr>
            </w:pPr>
            <w:r w:rsidRPr="00934CF0">
              <w:rPr>
                <w:rFonts w:ascii="Arial" w:hAnsi="Arial" w:cs="Arial"/>
                <w:sz w:val="16"/>
                <w:szCs w:val="16"/>
              </w:rPr>
              <w:t>Other general revenue</w:t>
            </w:r>
          </w:p>
        </w:tc>
        <w:tc>
          <w:tcPr>
            <w:tcW w:w="410" w:type="pct"/>
            <w:tcBorders>
              <w:top w:val="nil"/>
              <w:left w:val="nil"/>
              <w:bottom w:val="nil"/>
              <w:right w:val="nil"/>
            </w:tcBorders>
            <w:shd w:val="clear" w:color="auto" w:fill="auto"/>
            <w:noWrap/>
            <w:vAlign w:val="center"/>
            <w:hideMark/>
          </w:tcPr>
          <w:p w14:paraId="1B11CE00" w14:textId="77777777" w:rsidR="00B62F4B" w:rsidRPr="00934CF0" w:rsidRDefault="00B62F4B" w:rsidP="00BB2465">
            <w:pPr>
              <w:spacing w:before="0" w:after="0" w:line="240" w:lineRule="auto"/>
              <w:rPr>
                <w:rFonts w:ascii="Arial" w:hAnsi="Arial" w:cs="Arial"/>
                <w:sz w:val="16"/>
                <w:szCs w:val="16"/>
              </w:rPr>
            </w:pPr>
          </w:p>
        </w:tc>
        <w:tc>
          <w:tcPr>
            <w:tcW w:w="410" w:type="pct"/>
            <w:tcBorders>
              <w:top w:val="nil"/>
              <w:left w:val="nil"/>
              <w:bottom w:val="nil"/>
              <w:right w:val="nil"/>
            </w:tcBorders>
            <w:shd w:val="clear" w:color="auto" w:fill="auto"/>
            <w:noWrap/>
            <w:vAlign w:val="center"/>
            <w:hideMark/>
          </w:tcPr>
          <w:p w14:paraId="15189B9D"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6C167FB1"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362DA934"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10C10C21" w14:textId="07E1ABBF"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58FB1877"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33E67C33" w14:textId="77777777" w:rsidR="00B62F4B" w:rsidRPr="00934CF0" w:rsidRDefault="00B62F4B" w:rsidP="00BB2465">
            <w:pPr>
              <w:spacing w:before="0" w:after="0" w:line="240" w:lineRule="auto"/>
              <w:jc w:val="right"/>
              <w:rPr>
                <w:rFonts w:ascii="Times New Roman" w:hAnsi="Times New Roman"/>
                <w:sz w:val="20"/>
              </w:rPr>
            </w:pPr>
          </w:p>
        </w:tc>
        <w:tc>
          <w:tcPr>
            <w:tcW w:w="410" w:type="pct"/>
            <w:tcBorders>
              <w:top w:val="nil"/>
              <w:left w:val="nil"/>
              <w:bottom w:val="nil"/>
              <w:right w:val="nil"/>
            </w:tcBorders>
            <w:shd w:val="clear" w:color="auto" w:fill="auto"/>
            <w:noWrap/>
            <w:vAlign w:val="center"/>
            <w:hideMark/>
          </w:tcPr>
          <w:p w14:paraId="2C378ABE" w14:textId="77777777" w:rsidR="00B62F4B" w:rsidRPr="00934CF0" w:rsidRDefault="00B62F4B" w:rsidP="00BB246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000000" w:fill="E6F2FF"/>
            <w:noWrap/>
            <w:vAlign w:val="center"/>
            <w:hideMark/>
          </w:tcPr>
          <w:p w14:paraId="69D2692C"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w:t>
            </w:r>
          </w:p>
        </w:tc>
      </w:tr>
      <w:tr w:rsidR="00B62F4B" w:rsidRPr="00934CF0" w14:paraId="3FA5E60F" w14:textId="77777777" w:rsidTr="00B62F4B">
        <w:trPr>
          <w:divId w:val="1327243549"/>
          <w:trHeight w:hRule="exact" w:val="225"/>
        </w:trPr>
        <w:tc>
          <w:tcPr>
            <w:tcW w:w="1144" w:type="pct"/>
            <w:tcBorders>
              <w:top w:val="nil"/>
              <w:left w:val="nil"/>
              <w:bottom w:val="nil"/>
              <w:right w:val="nil"/>
            </w:tcBorders>
            <w:shd w:val="clear" w:color="000000" w:fill="FFFFFF"/>
            <w:noWrap/>
            <w:vAlign w:val="center"/>
            <w:hideMark/>
          </w:tcPr>
          <w:p w14:paraId="1B53F074" w14:textId="77777777" w:rsidR="00B62F4B" w:rsidRPr="00934CF0" w:rsidRDefault="00B62F4B" w:rsidP="00BB2465">
            <w:pPr>
              <w:spacing w:before="0" w:after="0" w:line="240" w:lineRule="auto"/>
              <w:ind w:left="170"/>
              <w:rPr>
                <w:rFonts w:ascii="Arial" w:hAnsi="Arial" w:cs="Arial"/>
                <w:sz w:val="16"/>
                <w:szCs w:val="16"/>
              </w:rPr>
            </w:pPr>
            <w:r w:rsidRPr="00934CF0">
              <w:rPr>
                <w:rFonts w:ascii="Arial" w:hAnsi="Arial" w:cs="Arial"/>
                <w:sz w:val="16"/>
                <w:szCs w:val="16"/>
              </w:rPr>
              <w:t xml:space="preserve"> assistance(b)</w:t>
            </w:r>
          </w:p>
        </w:tc>
        <w:tc>
          <w:tcPr>
            <w:tcW w:w="410" w:type="pct"/>
            <w:tcBorders>
              <w:top w:val="nil"/>
              <w:left w:val="nil"/>
              <w:bottom w:val="nil"/>
              <w:right w:val="nil"/>
            </w:tcBorders>
            <w:shd w:val="clear" w:color="auto" w:fill="auto"/>
            <w:noWrap/>
            <w:vAlign w:val="center"/>
            <w:hideMark/>
          </w:tcPr>
          <w:p w14:paraId="7E3C4C48"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410" w:type="pct"/>
            <w:tcBorders>
              <w:top w:val="nil"/>
              <w:left w:val="nil"/>
              <w:bottom w:val="single" w:sz="4" w:space="0" w:color="auto"/>
              <w:right w:val="nil"/>
            </w:tcBorders>
            <w:shd w:val="clear" w:color="auto" w:fill="auto"/>
            <w:noWrap/>
            <w:vAlign w:val="center"/>
            <w:hideMark/>
          </w:tcPr>
          <w:p w14:paraId="6A47648F"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410" w:type="pct"/>
            <w:tcBorders>
              <w:top w:val="nil"/>
              <w:left w:val="nil"/>
              <w:bottom w:val="single" w:sz="4" w:space="0" w:color="auto"/>
              <w:right w:val="nil"/>
            </w:tcBorders>
            <w:shd w:val="clear" w:color="auto" w:fill="auto"/>
            <w:noWrap/>
            <w:vAlign w:val="center"/>
            <w:hideMark/>
          </w:tcPr>
          <w:p w14:paraId="4FE9AC46"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410" w:type="pct"/>
            <w:tcBorders>
              <w:top w:val="nil"/>
              <w:left w:val="nil"/>
              <w:bottom w:val="single" w:sz="4" w:space="0" w:color="auto"/>
              <w:right w:val="nil"/>
            </w:tcBorders>
            <w:shd w:val="clear" w:color="auto" w:fill="auto"/>
            <w:noWrap/>
            <w:vAlign w:val="center"/>
            <w:hideMark/>
          </w:tcPr>
          <w:p w14:paraId="5282C99A"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1,474</w:t>
            </w:r>
          </w:p>
        </w:tc>
        <w:tc>
          <w:tcPr>
            <w:tcW w:w="410" w:type="pct"/>
            <w:tcBorders>
              <w:top w:val="nil"/>
              <w:left w:val="nil"/>
              <w:bottom w:val="single" w:sz="4" w:space="0" w:color="auto"/>
              <w:right w:val="nil"/>
            </w:tcBorders>
            <w:shd w:val="clear" w:color="auto" w:fill="auto"/>
            <w:noWrap/>
            <w:vAlign w:val="center"/>
            <w:hideMark/>
          </w:tcPr>
          <w:p w14:paraId="7E7D006B" w14:textId="008A4F2C"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410" w:type="pct"/>
            <w:tcBorders>
              <w:top w:val="nil"/>
              <w:left w:val="nil"/>
              <w:bottom w:val="single" w:sz="4" w:space="0" w:color="auto"/>
              <w:right w:val="nil"/>
            </w:tcBorders>
            <w:shd w:val="clear" w:color="auto" w:fill="auto"/>
            <w:noWrap/>
            <w:vAlign w:val="center"/>
            <w:hideMark/>
          </w:tcPr>
          <w:p w14:paraId="1C860328"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410" w:type="pct"/>
            <w:tcBorders>
              <w:top w:val="nil"/>
              <w:left w:val="nil"/>
              <w:bottom w:val="single" w:sz="4" w:space="0" w:color="auto"/>
              <w:right w:val="nil"/>
            </w:tcBorders>
            <w:shd w:val="clear" w:color="auto" w:fill="auto"/>
            <w:noWrap/>
            <w:vAlign w:val="center"/>
            <w:hideMark/>
          </w:tcPr>
          <w:p w14:paraId="5C33D9CA"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42</w:t>
            </w:r>
          </w:p>
        </w:tc>
        <w:tc>
          <w:tcPr>
            <w:tcW w:w="410" w:type="pct"/>
            <w:tcBorders>
              <w:top w:val="nil"/>
              <w:left w:val="nil"/>
              <w:bottom w:val="single" w:sz="4" w:space="0" w:color="auto"/>
              <w:right w:val="nil"/>
            </w:tcBorders>
            <w:shd w:val="clear" w:color="auto" w:fill="auto"/>
            <w:noWrap/>
            <w:vAlign w:val="center"/>
            <w:hideMark/>
          </w:tcPr>
          <w:p w14:paraId="4C37066E"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 xml:space="preserve"> -</w:t>
            </w:r>
          </w:p>
        </w:tc>
        <w:tc>
          <w:tcPr>
            <w:tcW w:w="575" w:type="pct"/>
            <w:tcBorders>
              <w:top w:val="nil"/>
              <w:left w:val="nil"/>
              <w:bottom w:val="single" w:sz="4" w:space="0" w:color="auto"/>
              <w:right w:val="nil"/>
            </w:tcBorders>
            <w:shd w:val="clear" w:color="000000" w:fill="E6F2FF"/>
            <w:noWrap/>
            <w:vAlign w:val="center"/>
            <w:hideMark/>
          </w:tcPr>
          <w:p w14:paraId="75FE80F3" w14:textId="77777777" w:rsidR="00B62F4B" w:rsidRPr="00934CF0" w:rsidRDefault="00B62F4B" w:rsidP="00BB2465">
            <w:pPr>
              <w:spacing w:before="0" w:after="0" w:line="240" w:lineRule="auto"/>
              <w:jc w:val="right"/>
              <w:rPr>
                <w:rFonts w:ascii="Arial" w:hAnsi="Arial" w:cs="Arial"/>
                <w:sz w:val="16"/>
                <w:szCs w:val="16"/>
              </w:rPr>
            </w:pPr>
            <w:r w:rsidRPr="00934CF0">
              <w:rPr>
                <w:rFonts w:ascii="Arial" w:hAnsi="Arial" w:cs="Arial"/>
                <w:sz w:val="16"/>
                <w:szCs w:val="16"/>
              </w:rPr>
              <w:t>1,516</w:t>
            </w:r>
          </w:p>
        </w:tc>
      </w:tr>
      <w:tr w:rsidR="00B62F4B" w:rsidRPr="00934CF0" w14:paraId="48AAAA69" w14:textId="77777777" w:rsidTr="00B62F4B">
        <w:trPr>
          <w:divId w:val="1327243549"/>
          <w:trHeight w:hRule="exact" w:val="225"/>
        </w:trPr>
        <w:tc>
          <w:tcPr>
            <w:tcW w:w="1144" w:type="pct"/>
            <w:tcBorders>
              <w:top w:val="nil"/>
              <w:left w:val="nil"/>
              <w:bottom w:val="single" w:sz="4" w:space="0" w:color="293F5B"/>
              <w:right w:val="nil"/>
            </w:tcBorders>
            <w:shd w:val="clear" w:color="auto" w:fill="auto"/>
            <w:noWrap/>
            <w:vAlign w:val="center"/>
            <w:hideMark/>
          </w:tcPr>
          <w:p w14:paraId="5A77A9FC" w14:textId="77777777" w:rsidR="00B62F4B" w:rsidRPr="00934CF0" w:rsidRDefault="00B62F4B" w:rsidP="00BB2465">
            <w:pPr>
              <w:spacing w:before="0" w:after="0" w:line="240" w:lineRule="auto"/>
              <w:rPr>
                <w:rFonts w:ascii="Arial" w:hAnsi="Arial" w:cs="Arial"/>
                <w:b/>
                <w:sz w:val="16"/>
                <w:szCs w:val="16"/>
              </w:rPr>
            </w:pPr>
            <w:r w:rsidRPr="00934CF0">
              <w:rPr>
                <w:rFonts w:ascii="Arial" w:hAnsi="Arial" w:cs="Arial"/>
                <w:b/>
                <w:sz w:val="16"/>
                <w:szCs w:val="16"/>
              </w:rPr>
              <w:t>Total</w:t>
            </w:r>
          </w:p>
        </w:tc>
        <w:tc>
          <w:tcPr>
            <w:tcW w:w="410" w:type="pct"/>
            <w:tcBorders>
              <w:top w:val="single" w:sz="4" w:space="0" w:color="auto"/>
              <w:left w:val="nil"/>
              <w:bottom w:val="single" w:sz="4" w:space="0" w:color="293F5B"/>
              <w:right w:val="nil"/>
            </w:tcBorders>
            <w:shd w:val="clear" w:color="auto" w:fill="auto"/>
            <w:noWrap/>
            <w:vAlign w:val="center"/>
            <w:hideMark/>
          </w:tcPr>
          <w:p w14:paraId="3BC10EE6"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25,917</w:t>
            </w:r>
          </w:p>
        </w:tc>
        <w:tc>
          <w:tcPr>
            <w:tcW w:w="410" w:type="pct"/>
            <w:tcBorders>
              <w:top w:val="nil"/>
              <w:left w:val="nil"/>
              <w:bottom w:val="single" w:sz="4" w:space="0" w:color="293F5B"/>
              <w:right w:val="nil"/>
            </w:tcBorders>
            <w:shd w:val="clear" w:color="auto" w:fill="auto"/>
            <w:noWrap/>
            <w:vAlign w:val="center"/>
            <w:hideMark/>
          </w:tcPr>
          <w:p w14:paraId="78656C09"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19,175</w:t>
            </w:r>
          </w:p>
        </w:tc>
        <w:tc>
          <w:tcPr>
            <w:tcW w:w="410" w:type="pct"/>
            <w:tcBorders>
              <w:top w:val="nil"/>
              <w:left w:val="nil"/>
              <w:bottom w:val="single" w:sz="4" w:space="0" w:color="293F5B"/>
              <w:right w:val="nil"/>
            </w:tcBorders>
            <w:shd w:val="clear" w:color="auto" w:fill="auto"/>
            <w:noWrap/>
            <w:vAlign w:val="center"/>
            <w:hideMark/>
          </w:tcPr>
          <w:p w14:paraId="65EE9758"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18,306</w:t>
            </w:r>
          </w:p>
        </w:tc>
        <w:tc>
          <w:tcPr>
            <w:tcW w:w="410" w:type="pct"/>
            <w:tcBorders>
              <w:top w:val="nil"/>
              <w:left w:val="nil"/>
              <w:bottom w:val="single" w:sz="4" w:space="0" w:color="293F5B"/>
              <w:right w:val="nil"/>
            </w:tcBorders>
            <w:shd w:val="clear" w:color="auto" w:fill="auto"/>
            <w:noWrap/>
            <w:vAlign w:val="center"/>
            <w:hideMark/>
          </w:tcPr>
          <w:p w14:paraId="0D30F166"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7,648</w:t>
            </w:r>
          </w:p>
        </w:tc>
        <w:tc>
          <w:tcPr>
            <w:tcW w:w="410" w:type="pct"/>
            <w:tcBorders>
              <w:top w:val="nil"/>
              <w:left w:val="nil"/>
              <w:bottom w:val="single" w:sz="4" w:space="0" w:color="293F5B"/>
              <w:right w:val="nil"/>
            </w:tcBorders>
            <w:shd w:val="clear" w:color="auto" w:fill="auto"/>
            <w:noWrap/>
            <w:vAlign w:val="center"/>
            <w:hideMark/>
          </w:tcPr>
          <w:p w14:paraId="29A99525" w14:textId="3D1CB27F"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7,668</w:t>
            </w:r>
          </w:p>
        </w:tc>
        <w:tc>
          <w:tcPr>
            <w:tcW w:w="410" w:type="pct"/>
            <w:tcBorders>
              <w:top w:val="nil"/>
              <w:left w:val="nil"/>
              <w:bottom w:val="single" w:sz="4" w:space="0" w:color="293F5B"/>
              <w:right w:val="nil"/>
            </w:tcBorders>
            <w:shd w:val="clear" w:color="auto" w:fill="auto"/>
            <w:noWrap/>
            <w:vAlign w:val="center"/>
            <w:hideMark/>
          </w:tcPr>
          <w:p w14:paraId="69CB8408"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3,395</w:t>
            </w:r>
          </w:p>
        </w:tc>
        <w:tc>
          <w:tcPr>
            <w:tcW w:w="410" w:type="pct"/>
            <w:tcBorders>
              <w:top w:val="nil"/>
              <w:left w:val="nil"/>
              <w:bottom w:val="single" w:sz="4" w:space="0" w:color="293F5B"/>
              <w:right w:val="nil"/>
            </w:tcBorders>
            <w:shd w:val="clear" w:color="auto" w:fill="auto"/>
            <w:noWrap/>
            <w:vAlign w:val="center"/>
            <w:hideMark/>
          </w:tcPr>
          <w:p w14:paraId="3F950DB5"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1,695</w:t>
            </w:r>
          </w:p>
        </w:tc>
        <w:tc>
          <w:tcPr>
            <w:tcW w:w="410" w:type="pct"/>
            <w:tcBorders>
              <w:top w:val="nil"/>
              <w:left w:val="nil"/>
              <w:bottom w:val="single" w:sz="4" w:space="0" w:color="293F5B"/>
              <w:right w:val="nil"/>
            </w:tcBorders>
            <w:shd w:val="clear" w:color="auto" w:fill="auto"/>
            <w:noWrap/>
            <w:vAlign w:val="center"/>
            <w:hideMark/>
          </w:tcPr>
          <w:p w14:paraId="543BBAAF"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3,815</w:t>
            </w:r>
          </w:p>
        </w:tc>
        <w:tc>
          <w:tcPr>
            <w:tcW w:w="575" w:type="pct"/>
            <w:tcBorders>
              <w:top w:val="nil"/>
              <w:left w:val="nil"/>
              <w:bottom w:val="single" w:sz="4" w:space="0" w:color="293F5B"/>
              <w:right w:val="nil"/>
            </w:tcBorders>
            <w:shd w:val="clear" w:color="000000" w:fill="E6F2FF"/>
            <w:noWrap/>
            <w:vAlign w:val="center"/>
            <w:hideMark/>
          </w:tcPr>
          <w:p w14:paraId="1275B4ED" w14:textId="77777777" w:rsidR="00B62F4B" w:rsidRPr="00934CF0" w:rsidRDefault="00B62F4B" w:rsidP="00BB2465">
            <w:pPr>
              <w:spacing w:before="0" w:after="0" w:line="240" w:lineRule="auto"/>
              <w:jc w:val="right"/>
              <w:rPr>
                <w:rFonts w:ascii="Arial" w:hAnsi="Arial" w:cs="Arial"/>
                <w:b/>
                <w:sz w:val="16"/>
                <w:szCs w:val="16"/>
              </w:rPr>
            </w:pPr>
            <w:r w:rsidRPr="00934CF0">
              <w:rPr>
                <w:rFonts w:ascii="Arial" w:hAnsi="Arial" w:cs="Arial"/>
                <w:b/>
                <w:sz w:val="16"/>
                <w:szCs w:val="16"/>
              </w:rPr>
              <w:t>87,618</w:t>
            </w:r>
          </w:p>
        </w:tc>
      </w:tr>
    </w:tbl>
    <w:p w14:paraId="2B8C54A5" w14:textId="04F6CB8C" w:rsidR="009175F2" w:rsidRPr="00934CF0" w:rsidRDefault="009175F2" w:rsidP="0052486B">
      <w:pPr>
        <w:pStyle w:val="ChartandTableFootnoteAlpha"/>
        <w:numPr>
          <w:ilvl w:val="0"/>
          <w:numId w:val="7"/>
        </w:numPr>
        <w:rPr>
          <w:color w:val="auto"/>
        </w:rPr>
      </w:pPr>
      <w:r w:rsidRPr="00934CF0">
        <w:rPr>
          <w:color w:val="auto"/>
        </w:rPr>
        <w:t>The 202</w:t>
      </w:r>
      <w:r w:rsidR="00BB33C8" w:rsidRPr="00934CF0">
        <w:rPr>
          <w:color w:val="auto"/>
        </w:rPr>
        <w:t>2</w:t>
      </w:r>
      <w:r w:rsidR="00863F4D" w:rsidRPr="00934CF0">
        <w:rPr>
          <w:color w:val="auto"/>
        </w:rPr>
        <w:t>–</w:t>
      </w:r>
      <w:r w:rsidRPr="00934CF0">
        <w:rPr>
          <w:color w:val="auto"/>
        </w:rPr>
        <w:t>2</w:t>
      </w:r>
      <w:r w:rsidR="00BB33C8" w:rsidRPr="00934CF0">
        <w:rPr>
          <w:color w:val="auto"/>
        </w:rPr>
        <w:t>3</w:t>
      </w:r>
      <w:r w:rsidRPr="00934CF0">
        <w:rPr>
          <w:color w:val="auto"/>
        </w:rPr>
        <w:t xml:space="preserve"> GST outcome will be finalised following a Determination by a Treasury portfolio minister. This figure reflects the most recent data received from the Australian Taxation Office.</w:t>
      </w:r>
    </w:p>
    <w:p w14:paraId="4FD91F32" w14:textId="3963E19B" w:rsidR="00E10EAA" w:rsidRPr="00934CF0" w:rsidRDefault="009175F2" w:rsidP="0052486B">
      <w:pPr>
        <w:pStyle w:val="ChartandTableFootnoteAlpha"/>
        <w:numPr>
          <w:ilvl w:val="0"/>
          <w:numId w:val="7"/>
        </w:numPr>
        <w:rPr>
          <w:color w:val="auto"/>
        </w:rPr>
      </w:pPr>
      <w:r w:rsidRPr="00934CF0">
        <w:rPr>
          <w:color w:val="auto"/>
        </w:rPr>
        <w:t>More detail about other general revenue assistance payments is provided in Table 3.22.</w:t>
      </w:r>
    </w:p>
    <w:p w14:paraId="18CFE1F1" w14:textId="41A74F20" w:rsidR="002913AF" w:rsidRPr="00934CF0" w:rsidRDefault="002913AF" w:rsidP="005358C9">
      <w:pPr>
        <w:pStyle w:val="ChartLine"/>
      </w:pPr>
    </w:p>
    <w:p w14:paraId="7C24A231" w14:textId="53846CB8" w:rsidR="0005583A" w:rsidRPr="002913AF" w:rsidRDefault="00465CFC" w:rsidP="002913AF">
      <w:r>
        <w:fldChar w:fldCharType="begin"/>
      </w:r>
      <w:r>
        <w:instrText xml:space="preserve"> :End:CSPD_MB3 </w:instrText>
      </w:r>
      <w:r>
        <w:fldChar w:fldCharType="end"/>
      </w:r>
      <w:r w:rsidR="0005583A">
        <w:br w:type="page"/>
      </w:r>
    </w:p>
    <w:p w14:paraId="520ACAD2" w14:textId="154D43D2" w:rsidR="009175F2" w:rsidRPr="00934CF0" w:rsidRDefault="001F332F" w:rsidP="009175F2">
      <w:pPr>
        <w:pStyle w:val="Heading3"/>
      </w:pPr>
      <w:r>
        <w:lastRenderedPageBreak/>
        <w:fldChar w:fldCharType="begin"/>
      </w:r>
      <w:r>
        <w:instrText xml:space="preserve"> :Start:CSPD_MB3 </w:instrText>
      </w:r>
      <w:r>
        <w:fldChar w:fldCharType="end"/>
      </w:r>
      <w:r w:rsidR="009175F2" w:rsidRPr="00934CF0">
        <w:t>GST payments</w:t>
      </w:r>
    </w:p>
    <w:p w14:paraId="0313CC69" w14:textId="2C76858B" w:rsidR="009175F2" w:rsidRPr="00934CF0" w:rsidRDefault="009175F2" w:rsidP="009175F2">
      <w:r w:rsidRPr="00934CF0">
        <w:t xml:space="preserve">Under the </w:t>
      </w:r>
      <w:r w:rsidRPr="00934CF0">
        <w:rPr>
          <w:i/>
        </w:rPr>
        <w:t>Federal Financial Relations Act 2009</w:t>
      </w:r>
      <w:r w:rsidRPr="00934CF0">
        <w:t>, the states are entitled to receive payments from the Australian Government equivalent to the revenue raised from the GST in any given financial year, subject to some minor adjustments. From 2021</w:t>
      </w:r>
      <w:r w:rsidR="00863F4D" w:rsidRPr="00934CF0">
        <w:t>–</w:t>
      </w:r>
      <w:r w:rsidRPr="00934CF0">
        <w:t>22, the states’ GST entitlement</w:t>
      </w:r>
      <w:r w:rsidRPr="00934CF0" w:rsidDel="009B3EF6">
        <w:t>s</w:t>
      </w:r>
      <w:r w:rsidRPr="00934CF0" w:rsidDel="00111A67">
        <w:t xml:space="preserve"> are</w:t>
      </w:r>
      <w:r w:rsidR="00111A67" w:rsidRPr="00934CF0">
        <w:t xml:space="preserve"> </w:t>
      </w:r>
      <w:r w:rsidRPr="00934CF0">
        <w:t>boosted each year by additional Australian Government funding as discussed below.</w:t>
      </w:r>
    </w:p>
    <w:p w14:paraId="29958939" w14:textId="39801CEC" w:rsidR="009175F2" w:rsidRPr="00934CF0" w:rsidRDefault="009175F2" w:rsidP="009175F2">
      <w:r w:rsidRPr="00934CF0">
        <w:t>The Australian Government makes monthly payments (advances) to the states throughout the year based on GST estimates for that year. Estimates of the GST are used as the actual amount of GST revenue for the financial year is unknown until after the end of the financial year. Once the amount of GST revenue raised is known, the Treasurer makes a determination of the GST entitlement for that year. A balancing adjustment is made to each state’s payments to ensure they receive the GST to which they are entitled. These balancing adjustments (referred to as the ‘prior year balancing adjustment’) are made in the following financial year.</w:t>
      </w:r>
    </w:p>
    <w:p w14:paraId="68BE2892" w14:textId="56D8E2BA" w:rsidR="009175F2" w:rsidRPr="00934CF0" w:rsidRDefault="001F332F" w:rsidP="009175F2">
      <w:r w:rsidRPr="00934CF0">
        <w:fldChar w:fldCharType="begin"/>
      </w:r>
      <w:r w:rsidRPr="00934CF0">
        <w:instrText xml:space="preserve"> :End:CSPD_MB3 </w:instrText>
      </w:r>
      <w:r w:rsidRPr="00934CF0">
        <w:fldChar w:fldCharType="end"/>
      </w:r>
      <w:r w:rsidR="005F5509" w:rsidRPr="00934CF0">
        <w:fldChar w:fldCharType="begin"/>
      </w:r>
      <w:r w:rsidR="005F5509" w:rsidRPr="00934CF0">
        <w:instrText xml:space="preserve"> :Start:</w:instrText>
      </w:r>
      <w:r w:rsidR="006F3DA2" w:rsidRPr="00934CF0">
        <w:instrText>TAD_MS1</w:instrText>
      </w:r>
      <w:r w:rsidR="005F5509" w:rsidRPr="00934CF0">
        <w:instrText xml:space="preserve"> </w:instrText>
      </w:r>
      <w:r w:rsidR="005F5509" w:rsidRPr="00934CF0">
        <w:fldChar w:fldCharType="end"/>
      </w:r>
      <w:r w:rsidR="009175F2" w:rsidRPr="00934CF0">
        <w:t xml:space="preserve">GST receipts are the basis for GST paid to the states in any given year as GST revenue (an accrual concept) includes amounts not yet collected by the Australian Government. Minor adjustments are made to GST receipts to calculate the states’ GST entitlement for that year as detailed below. </w:t>
      </w:r>
    </w:p>
    <w:p w14:paraId="62276A37" w14:textId="77777777" w:rsidR="009175F2" w:rsidRPr="00934CF0" w:rsidRDefault="009175F2" w:rsidP="009175F2">
      <w:pPr>
        <w:pStyle w:val="Bullet"/>
      </w:pPr>
      <w:r w:rsidRPr="00934CF0">
        <w:t>Some GST revenue accrued during a financial year is not remitted to the Australian Taxation Office (ATO) by 30 June of that year, because it is not due to be paid until Business Activity Statements (BAS) are lodged the following financial year. For taxpayers other than Australian Government agencies, this accrued amount is included in GST revenue, but not in GST receipts.</w:t>
      </w:r>
    </w:p>
    <w:p w14:paraId="1D229F84" w14:textId="77777777" w:rsidR="009175F2" w:rsidRPr="00934CF0" w:rsidRDefault="009175F2" w:rsidP="009175F2">
      <w:pPr>
        <w:pStyle w:val="Bullet"/>
      </w:pPr>
      <w:r w:rsidRPr="00934CF0">
        <w:t xml:space="preserve">Penalties owed to the ATO, other than general interest charge (GIC) penalties, are not included in the GST to be paid to the states, as defined in the </w:t>
      </w:r>
      <w:r w:rsidRPr="00934CF0">
        <w:rPr>
          <w:i/>
        </w:rPr>
        <w:t>Federal Financial Relations Act 2009</w:t>
      </w:r>
      <w:r w:rsidRPr="00934CF0">
        <w:t>.</w:t>
      </w:r>
    </w:p>
    <w:p w14:paraId="544E5522" w14:textId="77777777" w:rsidR="009175F2" w:rsidRPr="00934CF0" w:rsidRDefault="009175F2" w:rsidP="009175F2">
      <w:pPr>
        <w:pStyle w:val="Bullet"/>
      </w:pPr>
      <w:r w:rsidRPr="00934CF0">
        <w:t>Some GST collected by Australian Government agencies is not remitted to the ATO by 30 June in each financial year because it is not due to be paid until the next BAS is lodged. This amount is included in Australian Government receipts but is not included in GST payments to the states until it is remitted to the ATO.</w:t>
      </w:r>
    </w:p>
    <w:p w14:paraId="5C24CC72" w14:textId="21D3FABE" w:rsidR="009175F2" w:rsidRPr="008F50F6" w:rsidRDefault="005F5509" w:rsidP="009175F2">
      <w:r w:rsidRPr="00934CF0">
        <w:fldChar w:fldCharType="begin"/>
      </w:r>
      <w:r w:rsidRPr="00934CF0">
        <w:instrText xml:space="preserve"> :End:</w:instrText>
      </w:r>
      <w:r w:rsidR="006F3DA2" w:rsidRPr="00934CF0">
        <w:instrText>TAD_MS1</w:instrText>
      </w:r>
      <w:r w:rsidRPr="00934CF0">
        <w:instrText xml:space="preserve"> </w:instrText>
      </w:r>
      <w:r w:rsidRPr="00934CF0">
        <w:fldChar w:fldCharType="end"/>
      </w:r>
      <w:r w:rsidRPr="00934CF0">
        <w:fldChar w:fldCharType="begin"/>
      </w:r>
      <w:r w:rsidRPr="00934CF0">
        <w:instrText xml:space="preserve"> :Start:CSPD_MB3 </w:instrText>
      </w:r>
      <w:r w:rsidRPr="00934CF0">
        <w:fldChar w:fldCharType="end"/>
      </w:r>
      <w:r w:rsidR="009175F2" w:rsidRPr="00934CF0">
        <w:t>From 2021</w:t>
      </w:r>
      <w:r w:rsidR="00863F4D" w:rsidRPr="00934CF0">
        <w:t>–</w:t>
      </w:r>
      <w:r w:rsidR="009175F2" w:rsidRPr="00934CF0">
        <w:softHyphen/>
        <w:t>22, the Australian Government is boosting the states’ GST entitlement each year with additional funding. From 2021</w:t>
      </w:r>
      <w:r w:rsidR="00863F4D" w:rsidRPr="00934CF0">
        <w:t>–</w:t>
      </w:r>
      <w:r w:rsidR="009175F2" w:rsidRPr="00934CF0">
        <w:t>22, the Australian Government</w:t>
      </w:r>
      <w:r w:rsidR="008F0051" w:rsidRPr="00934CF0">
        <w:t xml:space="preserve"> has</w:t>
      </w:r>
      <w:r w:rsidR="009175F2" w:rsidRPr="00934CF0">
        <w:t xml:space="preserve"> inject</w:t>
      </w:r>
      <w:r w:rsidR="00515382" w:rsidRPr="00934CF0">
        <w:t>ed</w:t>
      </w:r>
      <w:r w:rsidR="009175F2" w:rsidRPr="00934CF0">
        <w:t xml:space="preserve"> $600 million annually into the GST pool, which will be followed by a further $250</w:t>
      </w:r>
      <w:r w:rsidR="0044499D" w:rsidRPr="00934CF0">
        <w:t> </w:t>
      </w:r>
      <w:r w:rsidR="009175F2" w:rsidRPr="00934CF0">
        <w:t>million annually from 2024</w:t>
      </w:r>
      <w:r w:rsidR="00863F4D" w:rsidRPr="00934CF0">
        <w:t>–</w:t>
      </w:r>
      <w:r w:rsidR="009175F2" w:rsidRPr="00934CF0">
        <w:t>25. Each year, these amounts will grow in line with the underlying growth of the GST and be distributed to the states in the same way as GST revenue.</w:t>
      </w:r>
      <w:r w:rsidRPr="00934CF0">
        <w:fldChar w:fldCharType="begin"/>
      </w:r>
      <w:r w:rsidRPr="00934CF0">
        <w:instrText xml:space="preserve"> :End:CSPD_MB3 </w:instrText>
      </w:r>
      <w:r w:rsidRPr="00934CF0">
        <w:fldChar w:fldCharType="end"/>
      </w:r>
      <w:r w:rsidRPr="00934CF0">
        <w:fldChar w:fldCharType="begin"/>
      </w:r>
      <w:r w:rsidRPr="00934CF0">
        <w:instrText xml:space="preserve"> :Start:</w:instrText>
      </w:r>
      <w:r w:rsidR="006F3DA2" w:rsidRPr="00934CF0">
        <w:instrText>TAD_MS1</w:instrText>
      </w:r>
      <w:r w:rsidRPr="00934CF0">
        <w:instrText xml:space="preserve"> </w:instrText>
      </w:r>
      <w:r w:rsidRPr="00934CF0">
        <w:fldChar w:fldCharType="end"/>
      </w:r>
      <w:r w:rsidR="009175F2" w:rsidRPr="00934CF0">
        <w:t xml:space="preserve"> In 202</w:t>
      </w:r>
      <w:r w:rsidR="000E3F40" w:rsidRPr="00934CF0">
        <w:t>2</w:t>
      </w:r>
      <w:r w:rsidR="00863F4D" w:rsidRPr="00934CF0">
        <w:t>–</w:t>
      </w:r>
      <w:r w:rsidR="009175F2" w:rsidRPr="00934CF0">
        <w:t>2</w:t>
      </w:r>
      <w:r w:rsidR="000E3F40" w:rsidRPr="00934CF0">
        <w:t>3</w:t>
      </w:r>
      <w:r w:rsidR="009175F2" w:rsidRPr="00934CF0">
        <w:t>, GST revenue was $</w:t>
      </w:r>
      <w:r w:rsidR="00AC0139" w:rsidRPr="00934CF0">
        <w:t>87.9</w:t>
      </w:r>
      <w:r w:rsidR="009175F2" w:rsidRPr="00934CF0">
        <w:t xml:space="preserve"> billion. A reconciliation of GST revenue and the states’ GST entitlement is provided in Table 3.6.</w:t>
      </w:r>
      <w:r>
        <w:fldChar w:fldCharType="begin"/>
      </w:r>
      <w:r>
        <w:instrText xml:space="preserve"> :End:</w:instrText>
      </w:r>
      <w:r w:rsidR="006F3DA2">
        <w:instrText>TAD_MS1</w:instrText>
      </w:r>
      <w:r>
        <w:instrText xml:space="preserve"> </w:instrText>
      </w:r>
      <w:r>
        <w:fldChar w:fldCharType="end"/>
      </w:r>
    </w:p>
    <w:p w14:paraId="5E934FE3" w14:textId="692B142A" w:rsidR="002913AF" w:rsidRDefault="002913AF" w:rsidP="009175F2">
      <w:r>
        <w:br w:type="page"/>
      </w:r>
    </w:p>
    <w:p w14:paraId="1EEA77E8" w14:textId="68B32332" w:rsidR="00EB0AC4" w:rsidRPr="00934CF0" w:rsidRDefault="000921C1" w:rsidP="00EB0AC4">
      <w:pPr>
        <w:pStyle w:val="TableHeading"/>
      </w:pPr>
      <w:r>
        <w:lastRenderedPageBreak/>
        <w:fldChar w:fldCharType="begin"/>
      </w:r>
      <w:r>
        <w:instrText xml:space="preserve"> :Start:</w:instrText>
      </w:r>
      <w:r w:rsidR="006F3DA2">
        <w:instrText>TAD_MS1</w:instrText>
      </w:r>
      <w:r>
        <w:instrText xml:space="preserve"> </w:instrText>
      </w:r>
      <w:r>
        <w:fldChar w:fldCharType="end"/>
      </w:r>
      <w:r w:rsidR="009175F2" w:rsidRPr="00934CF0">
        <w:t>Table 3.6: Reconciliation of GST revenue and the states</w:t>
      </w:r>
      <w:r w:rsidR="00BD648E" w:rsidRPr="00934CF0">
        <w:t>’</w:t>
      </w:r>
      <w:r w:rsidR="009175F2" w:rsidRPr="00934CF0">
        <w:t xml:space="preserve"> GST entitlement,</w:t>
      </w:r>
      <w:r w:rsidR="00357E6B" w:rsidRPr="00934CF0">
        <w:t xml:space="preserve"> </w:t>
      </w:r>
      <w:r w:rsidR="009175F2" w:rsidRPr="00934CF0">
        <w:t>202</w:t>
      </w:r>
      <w:r w:rsidR="000E3F40" w:rsidRPr="00934CF0">
        <w:t>2</w:t>
      </w:r>
      <w:r w:rsidR="00357E6B" w:rsidRPr="00934CF0">
        <w:t>‍</w:t>
      </w:r>
      <w:r w:rsidR="00AD6E45" w:rsidRPr="00934CF0">
        <w:t>–</w:t>
      </w:r>
      <w:r w:rsidR="00357E6B" w:rsidRPr="00934CF0">
        <w:t>‍</w:t>
      </w:r>
      <w:r w:rsidR="009175F2" w:rsidRPr="00934CF0">
        <w:t>2</w:t>
      </w:r>
      <w:r w:rsidR="000E3F40" w:rsidRPr="00934CF0">
        <w:t>3</w:t>
      </w:r>
      <w:r w:rsidRPr="00934CF0">
        <w:fldChar w:fldCharType="begin"/>
      </w:r>
      <w:r w:rsidRPr="00934CF0">
        <w:instrText xml:space="preserve"> :End:</w:instrText>
      </w:r>
      <w:r w:rsidR="006F3DA2" w:rsidRPr="00934CF0">
        <w:instrText>TAD_MS1</w:instrText>
      </w:r>
      <w:r w:rsidRPr="00934CF0">
        <w:instrText xml:space="preserve"> </w:instrText>
      </w:r>
      <w:r w:rsidRPr="00934CF0">
        <w:fldChar w:fldCharType="end"/>
      </w:r>
      <w:r w:rsidRPr="00934CF0">
        <w:fldChar w:fldCharType="begin"/>
      </w:r>
      <w:r w:rsidRPr="00934CF0">
        <w:instrText xml:space="preserve"> :Start:CSPD_MB3 </w:instrText>
      </w:r>
      <w:r w:rsidRPr="00934CF0">
        <w:fldChar w:fldCharType="end"/>
      </w:r>
      <w:r w:rsidR="00D16CBB" w:rsidRPr="00934CF0">
        <w:rPr>
          <w:rFonts w:eastAsiaTheme="minorHAnsi"/>
        </w:rPr>
        <w:fldChar w:fldCharType="begin" w:fldLock="1"/>
      </w:r>
      <w:r w:rsidR="00D16CBB" w:rsidRPr="00934CF0">
        <w:rPr>
          <w:rFonts w:eastAsiaTheme="minorHAnsi"/>
        </w:rPr>
        <w:instrText xml:space="preserve"> LINK </w:instrText>
      </w:r>
      <w:r w:rsidR="00EB0AC4" w:rsidRPr="00934CF0">
        <w:rPr>
          <w:rFonts w:eastAsiaTheme="minorHAnsi"/>
        </w:rPr>
        <w:instrText xml:space="preserve">Excel.Sheet.12 "https://austreasury.sharepoint.com/sites/Budget/Shared Documents/2022-23 FBO/03 Part 3/Master Tables/GST Tables/GST Tables FBO 2022-23.xlsx" Reconciliation!R3C1:R12C2 </w:instrText>
      </w:r>
      <w:r w:rsidR="00D16CBB" w:rsidRPr="00934CF0">
        <w:rPr>
          <w:rFonts w:eastAsiaTheme="minorHAnsi"/>
        </w:rPr>
        <w:instrText xml:space="preserve">\a \f 4 \h </w:instrText>
      </w:r>
      <w:r w:rsidR="00A23A7F" w:rsidRPr="00934CF0">
        <w:rPr>
          <w:rFonts w:eastAsiaTheme="minorHAnsi"/>
        </w:rPr>
        <w:instrText xml:space="preserve"> \* MERGEFORMAT </w:instrText>
      </w:r>
      <w:r w:rsidR="00D16CBB" w:rsidRPr="00934CF0">
        <w:rPr>
          <w:rFonts w:eastAsiaTheme="minorHAnsi"/>
        </w:rPr>
        <w:fldChar w:fldCharType="separate"/>
      </w:r>
      <w:bookmarkStart w:id="1" w:name="_1756551445"/>
      <w:bookmarkEnd w:id="1"/>
    </w:p>
    <w:tbl>
      <w:tblPr>
        <w:tblW w:w="5000" w:type="pct"/>
        <w:tblCellMar>
          <w:left w:w="0" w:type="dxa"/>
          <w:right w:w="28" w:type="dxa"/>
        </w:tblCellMar>
        <w:tblLook w:val="04A0" w:firstRow="1" w:lastRow="0" w:firstColumn="1" w:lastColumn="0" w:noHBand="0" w:noVBand="1"/>
      </w:tblPr>
      <w:tblGrid>
        <w:gridCol w:w="6553"/>
        <w:gridCol w:w="1157"/>
      </w:tblGrid>
      <w:tr w:rsidR="00EB0AC4" w:rsidRPr="00934CF0" w14:paraId="6D07B86A" w14:textId="77777777" w:rsidTr="00EB0AC4">
        <w:trPr>
          <w:divId w:val="1362513292"/>
          <w:trHeight w:hRule="exact" w:val="204"/>
        </w:trPr>
        <w:tc>
          <w:tcPr>
            <w:tcW w:w="4250" w:type="pct"/>
            <w:tcBorders>
              <w:top w:val="single" w:sz="4" w:space="0" w:color="293F5B"/>
              <w:left w:val="nil"/>
              <w:bottom w:val="nil"/>
              <w:right w:val="nil"/>
            </w:tcBorders>
            <w:shd w:val="clear" w:color="auto" w:fill="auto"/>
            <w:noWrap/>
            <w:vAlign w:val="center"/>
            <w:hideMark/>
          </w:tcPr>
          <w:p w14:paraId="1B477DCF" w14:textId="6ABAE4DA" w:rsidR="00EB0AC4" w:rsidRPr="00934CF0" w:rsidRDefault="00EB0AC4" w:rsidP="00EB0AC4">
            <w:pPr>
              <w:spacing w:before="0" w:after="0" w:line="240" w:lineRule="auto"/>
              <w:rPr>
                <w:rFonts w:ascii="Arial" w:hAnsi="Arial" w:cs="Arial"/>
                <w:sz w:val="16"/>
                <w:szCs w:val="16"/>
              </w:rPr>
            </w:pPr>
            <w:r w:rsidRPr="00934CF0">
              <w:rPr>
                <w:rFonts w:ascii="Arial" w:hAnsi="Arial" w:cs="Arial"/>
                <w:sz w:val="16"/>
                <w:szCs w:val="16"/>
              </w:rPr>
              <w:t>$million</w:t>
            </w:r>
          </w:p>
        </w:tc>
        <w:tc>
          <w:tcPr>
            <w:tcW w:w="750" w:type="pct"/>
            <w:tcBorders>
              <w:top w:val="single" w:sz="4" w:space="0" w:color="293F5B"/>
              <w:left w:val="nil"/>
              <w:bottom w:val="single" w:sz="4" w:space="0" w:color="293F5B"/>
              <w:right w:val="nil"/>
            </w:tcBorders>
            <w:shd w:val="clear" w:color="auto" w:fill="E6F2FF"/>
            <w:noWrap/>
            <w:vAlign w:val="center"/>
            <w:hideMark/>
          </w:tcPr>
          <w:p w14:paraId="20B2237A" w14:textId="77777777" w:rsidR="00EB0AC4" w:rsidRPr="00934CF0" w:rsidRDefault="00EB0AC4" w:rsidP="00EB0AC4">
            <w:pPr>
              <w:pStyle w:val="TableTextRight"/>
            </w:pPr>
            <w:r w:rsidRPr="00934CF0">
              <w:t>Total</w:t>
            </w:r>
          </w:p>
        </w:tc>
      </w:tr>
      <w:tr w:rsidR="00EB0AC4" w:rsidRPr="00934CF0" w14:paraId="608578A9" w14:textId="77777777" w:rsidTr="00EB0AC4">
        <w:trPr>
          <w:divId w:val="1362513292"/>
          <w:trHeight w:hRule="exact" w:val="226"/>
        </w:trPr>
        <w:tc>
          <w:tcPr>
            <w:tcW w:w="4250" w:type="pct"/>
            <w:tcBorders>
              <w:top w:val="nil"/>
              <w:left w:val="nil"/>
              <w:bottom w:val="nil"/>
              <w:right w:val="nil"/>
            </w:tcBorders>
            <w:shd w:val="clear" w:color="auto" w:fill="auto"/>
            <w:noWrap/>
            <w:vAlign w:val="center"/>
            <w:hideMark/>
          </w:tcPr>
          <w:p w14:paraId="5C3AA415" w14:textId="77777777" w:rsidR="00EB0AC4" w:rsidRPr="00934CF0" w:rsidRDefault="00EB0AC4" w:rsidP="00EB0AC4">
            <w:pPr>
              <w:spacing w:before="0" w:after="0" w:line="240" w:lineRule="auto"/>
              <w:rPr>
                <w:rFonts w:ascii="Arial" w:hAnsi="Arial" w:cs="Arial"/>
                <w:sz w:val="16"/>
                <w:szCs w:val="16"/>
              </w:rPr>
            </w:pPr>
            <w:r w:rsidRPr="00934CF0">
              <w:rPr>
                <w:rFonts w:ascii="Arial" w:hAnsi="Arial" w:cs="Arial"/>
                <w:sz w:val="16"/>
                <w:szCs w:val="16"/>
              </w:rPr>
              <w:t>GST revenue</w:t>
            </w:r>
          </w:p>
        </w:tc>
        <w:tc>
          <w:tcPr>
            <w:tcW w:w="750" w:type="pct"/>
            <w:tcBorders>
              <w:top w:val="single" w:sz="4" w:space="0" w:color="293F5B"/>
              <w:left w:val="nil"/>
              <w:bottom w:val="nil"/>
              <w:right w:val="nil"/>
            </w:tcBorders>
            <w:shd w:val="clear" w:color="auto" w:fill="E6F2FF"/>
            <w:noWrap/>
            <w:vAlign w:val="center"/>
            <w:hideMark/>
          </w:tcPr>
          <w:p w14:paraId="50B590EB" w14:textId="77777777" w:rsidR="00EB0AC4" w:rsidRPr="00934CF0" w:rsidRDefault="00EB0AC4" w:rsidP="00EB0AC4">
            <w:pPr>
              <w:pStyle w:val="TableTextRight"/>
            </w:pPr>
            <w:r w:rsidRPr="00934CF0">
              <w:t>87,908</w:t>
            </w:r>
          </w:p>
        </w:tc>
      </w:tr>
      <w:tr w:rsidR="00EB0AC4" w:rsidRPr="00934CF0" w14:paraId="1C8A6146" w14:textId="77777777" w:rsidTr="00EB0AC4">
        <w:trPr>
          <w:divId w:val="1362513292"/>
          <w:trHeight w:hRule="exact" w:val="226"/>
        </w:trPr>
        <w:tc>
          <w:tcPr>
            <w:tcW w:w="4250" w:type="pct"/>
            <w:tcBorders>
              <w:top w:val="nil"/>
              <w:left w:val="nil"/>
              <w:bottom w:val="nil"/>
              <w:right w:val="nil"/>
            </w:tcBorders>
            <w:shd w:val="clear" w:color="auto" w:fill="auto"/>
            <w:noWrap/>
            <w:vAlign w:val="center"/>
            <w:hideMark/>
          </w:tcPr>
          <w:p w14:paraId="7B72DDCF" w14:textId="77777777" w:rsidR="00EB0AC4" w:rsidRPr="00934CF0" w:rsidRDefault="00EB0AC4" w:rsidP="00EB0AC4">
            <w:pPr>
              <w:spacing w:before="0" w:after="0" w:line="240" w:lineRule="auto"/>
              <w:ind w:left="170"/>
              <w:rPr>
                <w:rFonts w:ascii="Arial" w:hAnsi="Arial" w:cs="Arial"/>
                <w:sz w:val="16"/>
                <w:szCs w:val="16"/>
              </w:rPr>
            </w:pPr>
            <w:r w:rsidRPr="00934CF0">
              <w:rPr>
                <w:rFonts w:ascii="Arial" w:hAnsi="Arial" w:cs="Arial"/>
                <w:i/>
                <w:sz w:val="16"/>
                <w:szCs w:val="16"/>
              </w:rPr>
              <w:t xml:space="preserve">less </w:t>
            </w:r>
            <w:r w:rsidRPr="00934CF0">
              <w:rPr>
                <w:rFonts w:ascii="Arial" w:hAnsi="Arial" w:cs="Arial"/>
                <w:sz w:val="16"/>
                <w:szCs w:val="16"/>
              </w:rPr>
              <w:t>Change in GST receivables</w:t>
            </w:r>
          </w:p>
        </w:tc>
        <w:tc>
          <w:tcPr>
            <w:tcW w:w="750" w:type="pct"/>
            <w:tcBorders>
              <w:top w:val="nil"/>
              <w:left w:val="nil"/>
              <w:bottom w:val="single" w:sz="4" w:space="0" w:color="293F5B"/>
              <w:right w:val="nil"/>
            </w:tcBorders>
            <w:shd w:val="clear" w:color="auto" w:fill="E6F2FF"/>
            <w:noWrap/>
            <w:vAlign w:val="bottom"/>
            <w:hideMark/>
          </w:tcPr>
          <w:p w14:paraId="00B4360E" w14:textId="77777777" w:rsidR="00EB0AC4" w:rsidRPr="00934CF0" w:rsidRDefault="00EB0AC4" w:rsidP="00EB0AC4">
            <w:pPr>
              <w:pStyle w:val="TableTextRight"/>
            </w:pPr>
            <w:r w:rsidRPr="00934CF0">
              <w:t>6,390</w:t>
            </w:r>
          </w:p>
        </w:tc>
      </w:tr>
      <w:tr w:rsidR="00EB0AC4" w:rsidRPr="00934CF0" w14:paraId="0594336C" w14:textId="77777777" w:rsidTr="00EB0AC4">
        <w:trPr>
          <w:divId w:val="1362513292"/>
          <w:trHeight w:hRule="exact" w:val="60"/>
        </w:trPr>
        <w:tc>
          <w:tcPr>
            <w:tcW w:w="4250" w:type="pct"/>
            <w:tcBorders>
              <w:top w:val="nil"/>
              <w:left w:val="nil"/>
              <w:bottom w:val="nil"/>
              <w:right w:val="nil"/>
            </w:tcBorders>
            <w:shd w:val="clear" w:color="auto" w:fill="auto"/>
            <w:noWrap/>
            <w:vAlign w:val="center"/>
            <w:hideMark/>
          </w:tcPr>
          <w:p w14:paraId="03C27807" w14:textId="77777777" w:rsidR="00EB0AC4" w:rsidRPr="00934CF0" w:rsidRDefault="00EB0AC4" w:rsidP="00EB0AC4">
            <w:pPr>
              <w:spacing w:before="0" w:after="0" w:line="240" w:lineRule="auto"/>
              <w:rPr>
                <w:rFonts w:ascii="Arial" w:hAnsi="Arial" w:cs="Arial"/>
                <w:sz w:val="16"/>
                <w:szCs w:val="16"/>
              </w:rPr>
            </w:pPr>
          </w:p>
        </w:tc>
        <w:tc>
          <w:tcPr>
            <w:tcW w:w="750" w:type="pct"/>
            <w:tcBorders>
              <w:top w:val="single" w:sz="4" w:space="0" w:color="293F5B"/>
              <w:left w:val="nil"/>
              <w:bottom w:val="nil"/>
              <w:right w:val="nil"/>
            </w:tcBorders>
            <w:shd w:val="clear" w:color="auto" w:fill="E6F2FF"/>
            <w:noWrap/>
            <w:vAlign w:val="bottom"/>
            <w:hideMark/>
          </w:tcPr>
          <w:p w14:paraId="568348FF" w14:textId="77777777" w:rsidR="00EB0AC4" w:rsidRPr="00934CF0" w:rsidRDefault="00EB0AC4" w:rsidP="00EB0AC4">
            <w:pPr>
              <w:pStyle w:val="TableTextRight"/>
            </w:pPr>
            <w:r w:rsidRPr="00934CF0">
              <w:t> </w:t>
            </w:r>
          </w:p>
        </w:tc>
      </w:tr>
      <w:tr w:rsidR="00EB0AC4" w:rsidRPr="00934CF0" w14:paraId="2CFD4B5A" w14:textId="77777777" w:rsidTr="00EB0AC4">
        <w:trPr>
          <w:divId w:val="1362513292"/>
          <w:trHeight w:hRule="exact" w:val="226"/>
        </w:trPr>
        <w:tc>
          <w:tcPr>
            <w:tcW w:w="4250" w:type="pct"/>
            <w:tcBorders>
              <w:top w:val="nil"/>
              <w:left w:val="nil"/>
              <w:bottom w:val="nil"/>
              <w:right w:val="nil"/>
            </w:tcBorders>
            <w:shd w:val="clear" w:color="auto" w:fill="auto"/>
            <w:noWrap/>
            <w:vAlign w:val="center"/>
            <w:hideMark/>
          </w:tcPr>
          <w:p w14:paraId="21856AB0" w14:textId="77777777" w:rsidR="00EB0AC4" w:rsidRPr="00934CF0" w:rsidRDefault="00EB0AC4" w:rsidP="00EB0AC4">
            <w:pPr>
              <w:spacing w:before="0" w:after="0" w:line="240" w:lineRule="auto"/>
              <w:rPr>
                <w:rFonts w:ascii="Arial" w:hAnsi="Arial" w:cs="Arial"/>
                <w:sz w:val="16"/>
                <w:szCs w:val="16"/>
              </w:rPr>
            </w:pPr>
            <w:r w:rsidRPr="00934CF0">
              <w:rPr>
                <w:rFonts w:ascii="Arial" w:hAnsi="Arial" w:cs="Arial"/>
                <w:sz w:val="16"/>
                <w:szCs w:val="16"/>
              </w:rPr>
              <w:t>GST receipts</w:t>
            </w:r>
          </w:p>
        </w:tc>
        <w:tc>
          <w:tcPr>
            <w:tcW w:w="750" w:type="pct"/>
            <w:tcBorders>
              <w:top w:val="nil"/>
              <w:left w:val="nil"/>
              <w:bottom w:val="nil"/>
              <w:right w:val="nil"/>
            </w:tcBorders>
            <w:shd w:val="clear" w:color="auto" w:fill="E6F2FF"/>
            <w:noWrap/>
            <w:vAlign w:val="bottom"/>
            <w:hideMark/>
          </w:tcPr>
          <w:p w14:paraId="165A9B1C" w14:textId="77777777" w:rsidR="00EB0AC4" w:rsidRPr="00934CF0" w:rsidRDefault="00EB0AC4" w:rsidP="00EB0AC4">
            <w:pPr>
              <w:pStyle w:val="TableTextRight"/>
            </w:pPr>
            <w:r w:rsidRPr="00934CF0">
              <w:t>81,518</w:t>
            </w:r>
          </w:p>
        </w:tc>
      </w:tr>
      <w:tr w:rsidR="00EB0AC4" w:rsidRPr="00934CF0" w14:paraId="1C65E048" w14:textId="77777777" w:rsidTr="00EB0AC4">
        <w:trPr>
          <w:divId w:val="1362513292"/>
          <w:trHeight w:hRule="exact" w:val="226"/>
        </w:trPr>
        <w:tc>
          <w:tcPr>
            <w:tcW w:w="4250" w:type="pct"/>
            <w:tcBorders>
              <w:top w:val="nil"/>
              <w:left w:val="nil"/>
              <w:bottom w:val="nil"/>
              <w:right w:val="nil"/>
            </w:tcBorders>
            <w:shd w:val="clear" w:color="auto" w:fill="auto"/>
            <w:noWrap/>
            <w:vAlign w:val="center"/>
            <w:hideMark/>
          </w:tcPr>
          <w:p w14:paraId="0C408ECB" w14:textId="162E6D4E" w:rsidR="00EB0AC4" w:rsidRPr="00934CF0" w:rsidRDefault="00EB0AC4" w:rsidP="00EB0AC4">
            <w:pPr>
              <w:spacing w:before="0" w:after="0" w:line="240" w:lineRule="auto"/>
              <w:ind w:left="170"/>
              <w:rPr>
                <w:rFonts w:ascii="Arial" w:hAnsi="Arial" w:cs="Arial"/>
                <w:i/>
                <w:sz w:val="16"/>
                <w:szCs w:val="16"/>
              </w:rPr>
            </w:pPr>
            <w:r w:rsidRPr="00934CF0">
              <w:rPr>
                <w:rFonts w:ascii="Arial" w:hAnsi="Arial" w:cs="Arial"/>
                <w:i/>
                <w:sz w:val="16"/>
                <w:szCs w:val="16"/>
              </w:rPr>
              <w:t xml:space="preserve">less </w:t>
            </w:r>
            <w:r w:rsidRPr="00934CF0">
              <w:rPr>
                <w:rFonts w:ascii="Arial" w:hAnsi="Arial" w:cs="Arial"/>
                <w:sz w:val="16"/>
                <w:szCs w:val="16"/>
              </w:rPr>
              <w:t>Non</w:t>
            </w:r>
            <w:r w:rsidR="00BD648E" w:rsidRPr="00934CF0">
              <w:rPr>
                <w:rFonts w:ascii="Arial" w:hAnsi="Arial" w:cs="Arial"/>
                <w:sz w:val="16"/>
                <w:szCs w:val="16"/>
              </w:rPr>
              <w:noBreakHyphen/>
            </w:r>
            <w:r w:rsidRPr="00934CF0">
              <w:rPr>
                <w:rFonts w:ascii="Arial" w:hAnsi="Arial" w:cs="Arial"/>
                <w:sz w:val="16"/>
                <w:szCs w:val="16"/>
              </w:rPr>
              <w:t>GIC penalties collected</w:t>
            </w:r>
          </w:p>
        </w:tc>
        <w:tc>
          <w:tcPr>
            <w:tcW w:w="750" w:type="pct"/>
            <w:tcBorders>
              <w:top w:val="nil"/>
              <w:left w:val="nil"/>
              <w:bottom w:val="nil"/>
              <w:right w:val="nil"/>
            </w:tcBorders>
            <w:shd w:val="clear" w:color="auto" w:fill="E6F2FF"/>
            <w:noWrap/>
            <w:vAlign w:val="center"/>
            <w:hideMark/>
          </w:tcPr>
          <w:p w14:paraId="23B2C615" w14:textId="77777777" w:rsidR="00EB0AC4" w:rsidRPr="00934CF0" w:rsidRDefault="00EB0AC4" w:rsidP="00EB0AC4">
            <w:pPr>
              <w:pStyle w:val="TableTextRight"/>
            </w:pPr>
            <w:r w:rsidRPr="00934CF0">
              <w:t>82</w:t>
            </w:r>
          </w:p>
        </w:tc>
      </w:tr>
      <w:tr w:rsidR="00EB0AC4" w:rsidRPr="00934CF0" w14:paraId="1B217B42" w14:textId="77777777" w:rsidTr="00EB0AC4">
        <w:trPr>
          <w:divId w:val="1362513292"/>
          <w:trHeight w:hRule="exact" w:val="226"/>
        </w:trPr>
        <w:tc>
          <w:tcPr>
            <w:tcW w:w="4250" w:type="pct"/>
            <w:tcBorders>
              <w:top w:val="nil"/>
              <w:left w:val="nil"/>
              <w:bottom w:val="nil"/>
              <w:right w:val="nil"/>
            </w:tcBorders>
            <w:shd w:val="clear" w:color="auto" w:fill="auto"/>
            <w:noWrap/>
            <w:vAlign w:val="center"/>
            <w:hideMark/>
          </w:tcPr>
          <w:p w14:paraId="0B59FD08" w14:textId="77777777" w:rsidR="00EB0AC4" w:rsidRPr="00934CF0" w:rsidRDefault="00EB0AC4" w:rsidP="00EB0AC4">
            <w:pPr>
              <w:spacing w:before="0" w:after="0" w:line="240" w:lineRule="auto"/>
              <w:ind w:left="170"/>
              <w:rPr>
                <w:rFonts w:ascii="Arial" w:hAnsi="Arial" w:cs="Arial"/>
                <w:i/>
                <w:sz w:val="16"/>
                <w:szCs w:val="16"/>
              </w:rPr>
            </w:pPr>
            <w:r w:rsidRPr="00934CF0">
              <w:rPr>
                <w:rFonts w:ascii="Arial" w:hAnsi="Arial" w:cs="Arial"/>
                <w:i/>
                <w:sz w:val="16"/>
                <w:szCs w:val="16"/>
              </w:rPr>
              <w:t>less</w:t>
            </w:r>
            <w:r w:rsidRPr="00934CF0">
              <w:rPr>
                <w:rFonts w:ascii="Arial" w:hAnsi="Arial" w:cs="Arial"/>
                <w:sz w:val="16"/>
                <w:szCs w:val="16"/>
              </w:rPr>
              <w:t xml:space="preserve"> Net GST collected by Commonwealth agencies but not yet remitted to the ATO</w:t>
            </w:r>
          </w:p>
        </w:tc>
        <w:tc>
          <w:tcPr>
            <w:tcW w:w="750" w:type="pct"/>
            <w:tcBorders>
              <w:top w:val="nil"/>
              <w:left w:val="nil"/>
              <w:bottom w:val="nil"/>
              <w:right w:val="nil"/>
            </w:tcBorders>
            <w:shd w:val="clear" w:color="auto" w:fill="E6F2FF"/>
            <w:noWrap/>
            <w:vAlign w:val="center"/>
            <w:hideMark/>
          </w:tcPr>
          <w:p w14:paraId="164CCB57" w14:textId="77777777" w:rsidR="00EB0AC4" w:rsidRPr="00934CF0" w:rsidRDefault="00EB0AC4" w:rsidP="00EB0AC4">
            <w:pPr>
              <w:pStyle w:val="TableTextRight"/>
            </w:pPr>
            <w:r w:rsidRPr="00934CF0">
              <w:t>103</w:t>
            </w:r>
          </w:p>
        </w:tc>
      </w:tr>
      <w:tr w:rsidR="00EB0AC4" w:rsidRPr="00934CF0" w14:paraId="23CC9DEF" w14:textId="77777777" w:rsidTr="00EB0AC4">
        <w:trPr>
          <w:divId w:val="1362513292"/>
          <w:trHeight w:hRule="exact" w:val="226"/>
        </w:trPr>
        <w:tc>
          <w:tcPr>
            <w:tcW w:w="4250" w:type="pct"/>
            <w:tcBorders>
              <w:top w:val="nil"/>
              <w:left w:val="nil"/>
              <w:bottom w:val="nil"/>
              <w:right w:val="nil"/>
            </w:tcBorders>
            <w:shd w:val="clear" w:color="auto" w:fill="auto"/>
            <w:noWrap/>
            <w:vAlign w:val="center"/>
            <w:hideMark/>
          </w:tcPr>
          <w:p w14:paraId="6E8264B9" w14:textId="77777777" w:rsidR="00EB0AC4" w:rsidRPr="00934CF0" w:rsidRDefault="00EB0AC4" w:rsidP="00EB0AC4">
            <w:pPr>
              <w:spacing w:before="0" w:after="0" w:line="240" w:lineRule="auto"/>
              <w:ind w:left="170"/>
              <w:rPr>
                <w:rFonts w:ascii="Arial" w:hAnsi="Arial" w:cs="Arial"/>
                <w:i/>
                <w:sz w:val="16"/>
                <w:szCs w:val="16"/>
              </w:rPr>
            </w:pPr>
            <w:r w:rsidRPr="00934CF0">
              <w:rPr>
                <w:rFonts w:ascii="Arial" w:hAnsi="Arial" w:cs="Arial"/>
                <w:i/>
                <w:sz w:val="16"/>
                <w:szCs w:val="16"/>
              </w:rPr>
              <w:t xml:space="preserve">plus </w:t>
            </w:r>
            <w:r w:rsidRPr="00934CF0">
              <w:rPr>
                <w:rFonts w:ascii="Arial" w:hAnsi="Arial" w:cs="Arial"/>
                <w:sz w:val="16"/>
                <w:szCs w:val="16"/>
              </w:rPr>
              <w:t>GST pool boost</w:t>
            </w:r>
          </w:p>
        </w:tc>
        <w:tc>
          <w:tcPr>
            <w:tcW w:w="750" w:type="pct"/>
            <w:tcBorders>
              <w:top w:val="nil"/>
              <w:left w:val="nil"/>
              <w:bottom w:val="nil"/>
              <w:right w:val="nil"/>
            </w:tcBorders>
            <w:shd w:val="clear" w:color="auto" w:fill="E6F2FF"/>
            <w:noWrap/>
            <w:vAlign w:val="center"/>
            <w:hideMark/>
          </w:tcPr>
          <w:p w14:paraId="1B5EED91" w14:textId="77777777" w:rsidR="00EB0AC4" w:rsidRPr="00934CF0" w:rsidRDefault="00EB0AC4" w:rsidP="00EB0AC4">
            <w:pPr>
              <w:pStyle w:val="TableTextRight"/>
            </w:pPr>
            <w:r w:rsidRPr="00934CF0">
              <w:t>662</w:t>
            </w:r>
          </w:p>
        </w:tc>
      </w:tr>
      <w:tr w:rsidR="00EB0AC4" w:rsidRPr="00934CF0" w14:paraId="76869513" w14:textId="77777777" w:rsidTr="00EB0AC4">
        <w:trPr>
          <w:divId w:val="1362513292"/>
          <w:trHeight w:hRule="exact" w:val="60"/>
        </w:trPr>
        <w:tc>
          <w:tcPr>
            <w:tcW w:w="4250" w:type="pct"/>
            <w:tcBorders>
              <w:top w:val="nil"/>
              <w:left w:val="nil"/>
              <w:bottom w:val="nil"/>
              <w:right w:val="nil"/>
            </w:tcBorders>
            <w:shd w:val="clear" w:color="auto" w:fill="auto"/>
            <w:noWrap/>
            <w:vAlign w:val="center"/>
            <w:hideMark/>
          </w:tcPr>
          <w:p w14:paraId="7BD38D85" w14:textId="77777777" w:rsidR="00EB0AC4" w:rsidRPr="00934CF0" w:rsidRDefault="00EB0AC4" w:rsidP="00EB0AC4">
            <w:pPr>
              <w:spacing w:before="0" w:after="0" w:line="240" w:lineRule="auto"/>
              <w:jc w:val="right"/>
              <w:rPr>
                <w:rFonts w:ascii="Arial" w:hAnsi="Arial" w:cs="Arial"/>
                <w:sz w:val="16"/>
                <w:szCs w:val="16"/>
              </w:rPr>
            </w:pPr>
          </w:p>
        </w:tc>
        <w:tc>
          <w:tcPr>
            <w:tcW w:w="750" w:type="pct"/>
            <w:tcBorders>
              <w:top w:val="nil"/>
              <w:left w:val="nil"/>
              <w:bottom w:val="single" w:sz="4" w:space="0" w:color="293F5B"/>
              <w:right w:val="nil"/>
            </w:tcBorders>
            <w:shd w:val="clear" w:color="auto" w:fill="E6F2FF"/>
            <w:noWrap/>
            <w:vAlign w:val="center"/>
            <w:hideMark/>
          </w:tcPr>
          <w:p w14:paraId="7DE93441" w14:textId="77777777" w:rsidR="00EB0AC4" w:rsidRPr="00934CF0" w:rsidRDefault="00EB0AC4" w:rsidP="00EB0AC4">
            <w:pPr>
              <w:pStyle w:val="TableTextRight"/>
            </w:pPr>
            <w:r w:rsidRPr="00934CF0">
              <w:t> </w:t>
            </w:r>
          </w:p>
        </w:tc>
      </w:tr>
      <w:tr w:rsidR="00EB0AC4" w:rsidRPr="00934CF0" w14:paraId="3E18B3F9" w14:textId="77777777" w:rsidTr="00EB0AC4">
        <w:trPr>
          <w:divId w:val="1362513292"/>
          <w:trHeight w:hRule="exact" w:val="226"/>
        </w:trPr>
        <w:tc>
          <w:tcPr>
            <w:tcW w:w="4250" w:type="pct"/>
            <w:tcBorders>
              <w:top w:val="nil"/>
              <w:left w:val="nil"/>
              <w:bottom w:val="single" w:sz="4" w:space="0" w:color="293F5B"/>
              <w:right w:val="nil"/>
            </w:tcBorders>
            <w:shd w:val="clear" w:color="auto" w:fill="auto"/>
            <w:noWrap/>
            <w:vAlign w:val="center"/>
            <w:hideMark/>
          </w:tcPr>
          <w:p w14:paraId="2411F6A9" w14:textId="7B890B64" w:rsidR="00EB0AC4" w:rsidRPr="00934CF0" w:rsidRDefault="00EB0AC4" w:rsidP="00EB0AC4">
            <w:pPr>
              <w:spacing w:before="0" w:after="0" w:line="240" w:lineRule="auto"/>
              <w:rPr>
                <w:rFonts w:ascii="Arial" w:hAnsi="Arial" w:cs="Arial"/>
                <w:b/>
                <w:sz w:val="16"/>
                <w:szCs w:val="16"/>
              </w:rPr>
            </w:pPr>
            <w:r w:rsidRPr="00934CF0">
              <w:rPr>
                <w:rFonts w:ascii="Arial" w:hAnsi="Arial" w:cs="Arial"/>
                <w:b/>
                <w:sz w:val="16"/>
                <w:szCs w:val="16"/>
              </w:rPr>
              <w:t>States</w:t>
            </w:r>
            <w:r w:rsidR="00BD648E" w:rsidRPr="00934CF0">
              <w:rPr>
                <w:rFonts w:ascii="Arial" w:hAnsi="Arial" w:cs="Arial"/>
                <w:b/>
                <w:sz w:val="16"/>
                <w:szCs w:val="16"/>
              </w:rPr>
              <w:t>’</w:t>
            </w:r>
            <w:r w:rsidRPr="00934CF0">
              <w:rPr>
                <w:rFonts w:ascii="Arial" w:hAnsi="Arial" w:cs="Arial"/>
                <w:b/>
                <w:sz w:val="16"/>
                <w:szCs w:val="16"/>
              </w:rPr>
              <w:t xml:space="preserve"> GST entitlement(a)</w:t>
            </w:r>
          </w:p>
        </w:tc>
        <w:tc>
          <w:tcPr>
            <w:tcW w:w="750" w:type="pct"/>
            <w:tcBorders>
              <w:top w:val="single" w:sz="4" w:space="0" w:color="293F5B"/>
              <w:left w:val="nil"/>
              <w:bottom w:val="single" w:sz="4" w:space="0" w:color="293F5B"/>
              <w:right w:val="nil"/>
            </w:tcBorders>
            <w:shd w:val="clear" w:color="auto" w:fill="E6F2FF"/>
            <w:noWrap/>
            <w:vAlign w:val="center"/>
            <w:hideMark/>
          </w:tcPr>
          <w:p w14:paraId="60307581" w14:textId="77777777" w:rsidR="00EB0AC4" w:rsidRPr="00934CF0" w:rsidRDefault="00EB0AC4" w:rsidP="00EB0AC4">
            <w:pPr>
              <w:pStyle w:val="TableTextRight"/>
              <w:rPr>
                <w:b/>
              </w:rPr>
            </w:pPr>
            <w:r w:rsidRPr="00934CF0">
              <w:rPr>
                <w:b/>
              </w:rPr>
              <w:t>81,994</w:t>
            </w:r>
          </w:p>
        </w:tc>
      </w:tr>
    </w:tbl>
    <w:p w14:paraId="12E75A83" w14:textId="4E4C4710" w:rsidR="009175F2" w:rsidRPr="00934CF0" w:rsidRDefault="00D16CBB" w:rsidP="0052486B">
      <w:pPr>
        <w:pStyle w:val="ChartandTableFootnoteAlpha"/>
        <w:numPr>
          <w:ilvl w:val="0"/>
          <w:numId w:val="10"/>
        </w:numPr>
        <w:rPr>
          <w:rFonts w:eastAsiaTheme="minorHAnsi"/>
          <w:color w:val="auto"/>
        </w:rPr>
      </w:pPr>
      <w:r w:rsidRPr="00934CF0">
        <w:rPr>
          <w:rFonts w:eastAsiaTheme="minorHAnsi"/>
          <w:color w:val="auto"/>
        </w:rPr>
        <w:fldChar w:fldCharType="end"/>
      </w:r>
      <w:r w:rsidR="009175F2" w:rsidRPr="00934CF0">
        <w:rPr>
          <w:color w:val="auto"/>
        </w:rPr>
        <w:t>The 202</w:t>
      </w:r>
      <w:r w:rsidR="000E3F40" w:rsidRPr="00934CF0">
        <w:rPr>
          <w:color w:val="auto"/>
        </w:rPr>
        <w:t>2</w:t>
      </w:r>
      <w:r w:rsidR="00863F4D" w:rsidRPr="00934CF0">
        <w:rPr>
          <w:color w:val="auto"/>
        </w:rPr>
        <w:t>–</w:t>
      </w:r>
      <w:r w:rsidR="009175F2" w:rsidRPr="00934CF0">
        <w:rPr>
          <w:color w:val="auto"/>
        </w:rPr>
        <w:t>2</w:t>
      </w:r>
      <w:r w:rsidR="000E3F40" w:rsidRPr="00934CF0">
        <w:rPr>
          <w:color w:val="auto"/>
        </w:rPr>
        <w:t>3</w:t>
      </w:r>
      <w:r w:rsidR="009175F2" w:rsidRPr="00934CF0">
        <w:rPr>
          <w:color w:val="auto"/>
        </w:rPr>
        <w:t xml:space="preserve"> GST outcome will be finalised following a Determination by a Treasury portfolio minister. </w:t>
      </w:r>
    </w:p>
    <w:p w14:paraId="50880976" w14:textId="4A66CECC" w:rsidR="009175F2" w:rsidRPr="008F50F6" w:rsidRDefault="000921C1" w:rsidP="005358C9">
      <w:pPr>
        <w:pStyle w:val="ChartLine"/>
      </w:pPr>
      <w:r>
        <w:fldChar w:fldCharType="begin"/>
      </w:r>
      <w:r>
        <w:instrText xml:space="preserve"> :End:CSPD_MB3 </w:instrText>
      </w:r>
      <w:r>
        <w:fldChar w:fldCharType="end"/>
      </w:r>
    </w:p>
    <w:p w14:paraId="0DDFE4B6" w14:textId="4E7BCAD3" w:rsidR="009175F2" w:rsidRPr="00934CF0" w:rsidRDefault="000921C1" w:rsidP="009175F2">
      <w:r>
        <w:fldChar w:fldCharType="begin"/>
      </w:r>
      <w:r>
        <w:instrText xml:space="preserve"> :Start:CSPD_MB3 </w:instrText>
      </w:r>
      <w:r>
        <w:fldChar w:fldCharType="end"/>
      </w:r>
      <w:r w:rsidR="009175F2" w:rsidRPr="00934CF0">
        <w:t>For 202</w:t>
      </w:r>
      <w:r w:rsidR="000E3F40" w:rsidRPr="00934CF0">
        <w:t>2</w:t>
      </w:r>
      <w:r w:rsidR="00863F4D" w:rsidRPr="00934CF0">
        <w:t>–</w:t>
      </w:r>
      <w:r w:rsidR="009175F2" w:rsidRPr="00934CF0">
        <w:t>2</w:t>
      </w:r>
      <w:r w:rsidR="000E3F40" w:rsidRPr="00934CF0">
        <w:t>3</w:t>
      </w:r>
      <w:r w:rsidR="009175F2" w:rsidRPr="00934CF0">
        <w:t>, the states’ GST entitlement is expected to be $</w:t>
      </w:r>
      <w:r w:rsidR="001B4424" w:rsidRPr="00934CF0">
        <w:t>82.0</w:t>
      </w:r>
      <w:r w:rsidR="009175F2" w:rsidRPr="00934CF0">
        <w:t xml:space="preserve"> billion, which includes an additional top</w:t>
      </w:r>
      <w:r w:rsidR="009175F2" w:rsidRPr="00934CF0">
        <w:noBreakHyphen/>
        <w:t>up to the GST pool of $6</w:t>
      </w:r>
      <w:r w:rsidR="00651727" w:rsidRPr="00934CF0">
        <w:t>6</w:t>
      </w:r>
      <w:r w:rsidR="00EB0AC4" w:rsidRPr="00934CF0">
        <w:t>2</w:t>
      </w:r>
      <w:r w:rsidR="009175F2" w:rsidRPr="00934CF0">
        <w:t xml:space="preserve"> million. This is $</w:t>
      </w:r>
      <w:r w:rsidR="001B4424" w:rsidRPr="00934CF0">
        <w:t>35</w:t>
      </w:r>
      <w:r w:rsidR="00EB0AC4" w:rsidRPr="00934CF0">
        <w:t>3</w:t>
      </w:r>
      <w:r w:rsidR="009175F2" w:rsidRPr="00934CF0">
        <w:t xml:space="preserve"> million </w:t>
      </w:r>
      <w:r w:rsidR="007E578E" w:rsidRPr="00934CF0">
        <w:t>low</w:t>
      </w:r>
      <w:r w:rsidR="009175F2" w:rsidRPr="00934CF0">
        <w:t>er than the advances paid during 202</w:t>
      </w:r>
      <w:r w:rsidR="00514602" w:rsidRPr="00934CF0">
        <w:t>2</w:t>
      </w:r>
      <w:r w:rsidR="00863F4D" w:rsidRPr="00934CF0">
        <w:t>–</w:t>
      </w:r>
      <w:r w:rsidR="009175F2" w:rsidRPr="00934CF0">
        <w:t>2</w:t>
      </w:r>
      <w:r w:rsidR="00514602" w:rsidRPr="00934CF0">
        <w:t>3</w:t>
      </w:r>
      <w:r w:rsidR="009175F2" w:rsidRPr="00934CF0">
        <w:t>. Table 3.7 provides a reconciliation of the states’ GST entitlement and GST advances.</w:t>
      </w:r>
    </w:p>
    <w:p w14:paraId="043EC051" w14:textId="088453AB" w:rsidR="00651727" w:rsidRPr="00934CF0" w:rsidRDefault="009175F2" w:rsidP="00651727">
      <w:pPr>
        <w:pStyle w:val="TableHeading"/>
        <w:rPr>
          <w:rFonts w:asciiTheme="minorHAnsi" w:eastAsiaTheme="minorHAnsi" w:hAnsiTheme="minorHAnsi" w:cstheme="minorBidi"/>
          <w:sz w:val="22"/>
          <w:szCs w:val="22"/>
          <w:lang w:eastAsia="en-US"/>
        </w:rPr>
      </w:pPr>
      <w:r w:rsidRPr="00934CF0">
        <w:t>Table 3.7: States</w:t>
      </w:r>
      <w:r w:rsidR="007379E9" w:rsidRPr="00934CF0">
        <w:t>’</w:t>
      </w:r>
      <w:r w:rsidRPr="00934CF0">
        <w:t xml:space="preserve"> GST entitlement and GST advances, 202</w:t>
      </w:r>
      <w:r w:rsidR="00514602" w:rsidRPr="00934CF0">
        <w:t>2</w:t>
      </w:r>
      <w:r w:rsidR="00AD6E45" w:rsidRPr="00934CF0">
        <w:t>–</w:t>
      </w:r>
      <w:r w:rsidRPr="00934CF0">
        <w:t>2</w:t>
      </w:r>
      <w:r w:rsidR="00514602" w:rsidRPr="00934CF0">
        <w:t>3</w:t>
      </w:r>
      <w:r w:rsidR="00F93942" w:rsidRPr="00934CF0">
        <w:rPr>
          <w:rFonts w:eastAsiaTheme="minorHAnsi"/>
        </w:rPr>
        <w:fldChar w:fldCharType="begin" w:fldLock="1"/>
      </w:r>
      <w:r w:rsidR="00F93942" w:rsidRPr="00934CF0">
        <w:rPr>
          <w:rFonts w:eastAsiaTheme="minorHAnsi"/>
        </w:rPr>
        <w:instrText xml:space="preserve"> LINK </w:instrText>
      </w:r>
      <w:r w:rsidR="00651727" w:rsidRPr="00934CF0">
        <w:rPr>
          <w:rFonts w:eastAsiaTheme="minorHAnsi"/>
        </w:rPr>
        <w:instrText xml:space="preserve">Excel.Sheet.12 "https://austreasury.sharepoint.com/sites/Budget/Shared Documents/2022-23 FBO/03 Part 3/Master Tables/GST Tables/GST Tables FBO 2022-23.xlsx" Balancing!R3C1:R6C2 </w:instrText>
      </w:r>
      <w:r w:rsidR="00F93942" w:rsidRPr="00934CF0">
        <w:rPr>
          <w:rFonts w:eastAsiaTheme="minorHAnsi"/>
        </w:rPr>
        <w:instrText xml:space="preserve">\a \f 4 \h </w:instrText>
      </w:r>
      <w:r w:rsidR="00A23A7F" w:rsidRPr="00934CF0">
        <w:rPr>
          <w:rFonts w:eastAsiaTheme="minorHAnsi"/>
        </w:rPr>
        <w:instrText xml:space="preserve"> \* MERGEFORMAT </w:instrText>
      </w:r>
      <w:r w:rsidR="00F93942" w:rsidRPr="00934CF0">
        <w:rPr>
          <w:rFonts w:eastAsiaTheme="minorHAnsi"/>
        </w:rPr>
        <w:fldChar w:fldCharType="separate"/>
      </w:r>
      <w:bookmarkStart w:id="2" w:name="_1756551506"/>
      <w:bookmarkStart w:id="3" w:name="_1756627130"/>
      <w:bookmarkEnd w:id="2"/>
      <w:bookmarkEnd w:id="3"/>
    </w:p>
    <w:tbl>
      <w:tblPr>
        <w:tblW w:w="5000" w:type="pct"/>
        <w:tblCellMar>
          <w:left w:w="0" w:type="dxa"/>
          <w:right w:w="28" w:type="dxa"/>
        </w:tblCellMar>
        <w:tblLook w:val="04A0" w:firstRow="1" w:lastRow="0" w:firstColumn="1" w:lastColumn="0" w:noHBand="0" w:noVBand="1"/>
      </w:tblPr>
      <w:tblGrid>
        <w:gridCol w:w="6301"/>
        <w:gridCol w:w="1409"/>
      </w:tblGrid>
      <w:tr w:rsidR="00EB0AC4" w:rsidRPr="00934CF0" w14:paraId="67AE017E" w14:textId="77777777" w:rsidTr="005F5686">
        <w:trPr>
          <w:divId w:val="1930431287"/>
          <w:trHeight w:hRule="exact" w:val="225"/>
        </w:trPr>
        <w:tc>
          <w:tcPr>
            <w:tcW w:w="4086" w:type="pct"/>
            <w:tcBorders>
              <w:top w:val="single" w:sz="4" w:space="0" w:color="293F5B"/>
              <w:left w:val="nil"/>
              <w:bottom w:val="nil"/>
              <w:right w:val="nil"/>
            </w:tcBorders>
            <w:shd w:val="clear" w:color="000000" w:fill="FFFFFF"/>
            <w:noWrap/>
            <w:vAlign w:val="center"/>
            <w:hideMark/>
          </w:tcPr>
          <w:p w14:paraId="40E22B2F" w14:textId="6A597086" w:rsidR="00EB0AC4" w:rsidRPr="00934CF0" w:rsidRDefault="00EB0AC4" w:rsidP="00EB0AC4">
            <w:pPr>
              <w:spacing w:before="0" w:after="0" w:line="240" w:lineRule="auto"/>
              <w:rPr>
                <w:rFonts w:ascii="Arial" w:hAnsi="Arial" w:cs="Arial"/>
                <w:sz w:val="16"/>
                <w:szCs w:val="16"/>
              </w:rPr>
            </w:pPr>
            <w:r w:rsidRPr="00934CF0">
              <w:rPr>
                <w:rFonts w:ascii="Arial" w:hAnsi="Arial" w:cs="Arial"/>
                <w:sz w:val="16"/>
                <w:szCs w:val="16"/>
              </w:rPr>
              <w:t>$million</w:t>
            </w:r>
          </w:p>
        </w:tc>
        <w:tc>
          <w:tcPr>
            <w:tcW w:w="914" w:type="pct"/>
            <w:tcBorders>
              <w:top w:val="single" w:sz="4" w:space="0" w:color="293F5B"/>
              <w:left w:val="nil"/>
              <w:bottom w:val="single" w:sz="4" w:space="0" w:color="293F5B"/>
              <w:right w:val="nil"/>
            </w:tcBorders>
            <w:shd w:val="clear" w:color="auto" w:fill="E6F2FF"/>
            <w:noWrap/>
            <w:vAlign w:val="center"/>
            <w:hideMark/>
          </w:tcPr>
          <w:p w14:paraId="3F9F91ED" w14:textId="77777777" w:rsidR="00EB0AC4" w:rsidRPr="00934CF0" w:rsidRDefault="00EB0AC4" w:rsidP="00EB0AC4">
            <w:pPr>
              <w:pStyle w:val="TableTextRight"/>
            </w:pPr>
            <w:r w:rsidRPr="00934CF0">
              <w:t>Total</w:t>
            </w:r>
          </w:p>
        </w:tc>
      </w:tr>
      <w:tr w:rsidR="00EB0AC4" w:rsidRPr="00934CF0" w14:paraId="795F78BC" w14:textId="77777777" w:rsidTr="005F5686">
        <w:trPr>
          <w:divId w:val="1930431287"/>
          <w:trHeight w:hRule="exact" w:val="225"/>
        </w:trPr>
        <w:tc>
          <w:tcPr>
            <w:tcW w:w="4086" w:type="pct"/>
            <w:tcBorders>
              <w:top w:val="nil"/>
              <w:left w:val="nil"/>
              <w:bottom w:val="nil"/>
              <w:right w:val="nil"/>
            </w:tcBorders>
            <w:shd w:val="clear" w:color="000000" w:fill="FFFFFF"/>
            <w:noWrap/>
            <w:vAlign w:val="center"/>
            <w:hideMark/>
          </w:tcPr>
          <w:p w14:paraId="197C3B28" w14:textId="78AA78F0" w:rsidR="00EB0AC4" w:rsidRPr="00934CF0" w:rsidRDefault="00EB0AC4" w:rsidP="00EB0AC4">
            <w:pPr>
              <w:spacing w:before="0" w:after="0" w:line="240" w:lineRule="auto"/>
              <w:rPr>
                <w:rFonts w:ascii="Arial" w:hAnsi="Arial" w:cs="Arial"/>
                <w:sz w:val="16"/>
                <w:szCs w:val="16"/>
              </w:rPr>
            </w:pPr>
            <w:r w:rsidRPr="00934CF0">
              <w:rPr>
                <w:rFonts w:ascii="Arial" w:hAnsi="Arial" w:cs="Arial"/>
                <w:sz w:val="16"/>
                <w:szCs w:val="16"/>
              </w:rPr>
              <w:t>States</w:t>
            </w:r>
            <w:r w:rsidR="00BD648E" w:rsidRPr="00934CF0">
              <w:rPr>
                <w:rFonts w:ascii="Arial" w:hAnsi="Arial" w:cs="Arial"/>
                <w:sz w:val="16"/>
                <w:szCs w:val="16"/>
              </w:rPr>
              <w:t>’</w:t>
            </w:r>
            <w:r w:rsidRPr="00934CF0">
              <w:rPr>
                <w:rFonts w:ascii="Arial" w:hAnsi="Arial" w:cs="Arial"/>
                <w:sz w:val="16"/>
                <w:szCs w:val="16"/>
              </w:rPr>
              <w:t xml:space="preserve"> GST entitlement(a)</w:t>
            </w:r>
          </w:p>
        </w:tc>
        <w:tc>
          <w:tcPr>
            <w:tcW w:w="914" w:type="pct"/>
            <w:tcBorders>
              <w:top w:val="single" w:sz="4" w:space="0" w:color="293F5B"/>
              <w:left w:val="nil"/>
              <w:bottom w:val="nil"/>
              <w:right w:val="nil"/>
            </w:tcBorders>
            <w:shd w:val="clear" w:color="auto" w:fill="E6F2FF"/>
            <w:noWrap/>
            <w:vAlign w:val="center"/>
            <w:hideMark/>
          </w:tcPr>
          <w:p w14:paraId="4DF63516" w14:textId="77777777" w:rsidR="00EB0AC4" w:rsidRPr="00934CF0" w:rsidRDefault="00EB0AC4" w:rsidP="00EB0AC4">
            <w:pPr>
              <w:pStyle w:val="TableTextRight"/>
            </w:pPr>
            <w:r w:rsidRPr="00934CF0">
              <w:t>81,994</w:t>
            </w:r>
          </w:p>
        </w:tc>
      </w:tr>
      <w:tr w:rsidR="00EB0AC4" w:rsidRPr="00934CF0" w14:paraId="0F316618" w14:textId="77777777" w:rsidTr="005F5686">
        <w:trPr>
          <w:divId w:val="1930431287"/>
          <w:trHeight w:hRule="exact" w:val="225"/>
        </w:trPr>
        <w:tc>
          <w:tcPr>
            <w:tcW w:w="4086" w:type="pct"/>
            <w:tcBorders>
              <w:top w:val="nil"/>
              <w:left w:val="nil"/>
              <w:bottom w:val="nil"/>
              <w:right w:val="nil"/>
            </w:tcBorders>
            <w:shd w:val="clear" w:color="000000" w:fill="FFFFFF"/>
            <w:noWrap/>
            <w:vAlign w:val="center"/>
            <w:hideMark/>
          </w:tcPr>
          <w:p w14:paraId="5EA7CC24" w14:textId="1B9EB70F" w:rsidR="00EB0AC4" w:rsidRPr="00934CF0" w:rsidRDefault="00EB0AC4" w:rsidP="00EB0AC4">
            <w:pPr>
              <w:spacing w:before="0" w:after="0" w:line="240" w:lineRule="auto"/>
              <w:rPr>
                <w:rFonts w:ascii="Arial" w:hAnsi="Arial" w:cs="Arial"/>
                <w:sz w:val="16"/>
                <w:szCs w:val="16"/>
              </w:rPr>
            </w:pPr>
            <w:r w:rsidRPr="00934CF0">
              <w:rPr>
                <w:rFonts w:ascii="Arial" w:hAnsi="Arial" w:cs="Arial"/>
                <w:i/>
                <w:sz w:val="16"/>
                <w:szCs w:val="16"/>
              </w:rPr>
              <w:t xml:space="preserve">less </w:t>
            </w:r>
            <w:r w:rsidRPr="00934CF0">
              <w:rPr>
                <w:rFonts w:ascii="Arial" w:hAnsi="Arial" w:cs="Arial"/>
                <w:sz w:val="16"/>
                <w:szCs w:val="16"/>
              </w:rPr>
              <w:t>Advances of GST made throughout 2022</w:t>
            </w:r>
            <w:r w:rsidR="00BD648E" w:rsidRPr="00934CF0">
              <w:rPr>
                <w:rFonts w:ascii="Arial" w:hAnsi="Arial" w:cs="Arial"/>
                <w:sz w:val="16"/>
                <w:szCs w:val="16"/>
              </w:rPr>
              <w:noBreakHyphen/>
            </w:r>
            <w:r w:rsidRPr="00934CF0">
              <w:rPr>
                <w:rFonts w:ascii="Arial" w:hAnsi="Arial" w:cs="Arial"/>
                <w:sz w:val="16"/>
                <w:szCs w:val="16"/>
              </w:rPr>
              <w:t>23</w:t>
            </w:r>
          </w:p>
        </w:tc>
        <w:tc>
          <w:tcPr>
            <w:tcW w:w="914" w:type="pct"/>
            <w:tcBorders>
              <w:top w:val="nil"/>
              <w:left w:val="nil"/>
              <w:bottom w:val="single" w:sz="4" w:space="0" w:color="293F5B"/>
              <w:right w:val="nil"/>
            </w:tcBorders>
            <w:shd w:val="clear" w:color="auto" w:fill="E6F2FF"/>
            <w:noWrap/>
            <w:vAlign w:val="center"/>
            <w:hideMark/>
          </w:tcPr>
          <w:p w14:paraId="664F670E" w14:textId="77777777" w:rsidR="00EB0AC4" w:rsidRPr="00934CF0" w:rsidRDefault="00EB0AC4" w:rsidP="00EB0AC4">
            <w:pPr>
              <w:pStyle w:val="TableTextRight"/>
            </w:pPr>
            <w:r w:rsidRPr="00934CF0">
              <w:t>82,346</w:t>
            </w:r>
          </w:p>
        </w:tc>
      </w:tr>
      <w:tr w:rsidR="00EB0AC4" w:rsidRPr="00934CF0" w14:paraId="215A5F7C" w14:textId="77777777" w:rsidTr="005F5686">
        <w:trPr>
          <w:divId w:val="1930431287"/>
          <w:trHeight w:hRule="exact" w:val="225"/>
        </w:trPr>
        <w:tc>
          <w:tcPr>
            <w:tcW w:w="4086" w:type="pct"/>
            <w:tcBorders>
              <w:top w:val="nil"/>
              <w:left w:val="nil"/>
              <w:bottom w:val="single" w:sz="4" w:space="0" w:color="293F5B"/>
              <w:right w:val="nil"/>
            </w:tcBorders>
            <w:shd w:val="clear" w:color="000000" w:fill="FFFFFF"/>
            <w:noWrap/>
            <w:vAlign w:val="center"/>
            <w:hideMark/>
          </w:tcPr>
          <w:p w14:paraId="752670AC" w14:textId="77777777" w:rsidR="00EB0AC4" w:rsidRPr="00934CF0" w:rsidRDefault="00EB0AC4" w:rsidP="00EB0AC4">
            <w:pPr>
              <w:spacing w:before="0" w:after="0" w:line="240" w:lineRule="auto"/>
              <w:rPr>
                <w:rFonts w:ascii="Arial" w:hAnsi="Arial" w:cs="Arial"/>
                <w:sz w:val="16"/>
                <w:szCs w:val="16"/>
              </w:rPr>
            </w:pPr>
            <w:r w:rsidRPr="00934CF0">
              <w:rPr>
                <w:rFonts w:ascii="Arial" w:hAnsi="Arial" w:cs="Arial"/>
                <w:i/>
                <w:sz w:val="16"/>
                <w:szCs w:val="16"/>
              </w:rPr>
              <w:t>equals</w:t>
            </w:r>
            <w:r w:rsidRPr="00934CF0">
              <w:rPr>
                <w:rFonts w:ascii="Arial" w:hAnsi="Arial" w:cs="Arial"/>
                <w:sz w:val="16"/>
                <w:szCs w:val="16"/>
              </w:rPr>
              <w:t xml:space="preserve"> Balancing adjustment</w:t>
            </w:r>
          </w:p>
        </w:tc>
        <w:tc>
          <w:tcPr>
            <w:tcW w:w="914" w:type="pct"/>
            <w:tcBorders>
              <w:top w:val="single" w:sz="4" w:space="0" w:color="293F5B"/>
              <w:left w:val="nil"/>
              <w:bottom w:val="single" w:sz="4" w:space="0" w:color="293F5B"/>
              <w:right w:val="nil"/>
            </w:tcBorders>
            <w:shd w:val="clear" w:color="auto" w:fill="E6F2FF"/>
            <w:noWrap/>
            <w:vAlign w:val="center"/>
            <w:hideMark/>
          </w:tcPr>
          <w:p w14:paraId="5EBD5B09" w14:textId="0D31AF8D" w:rsidR="00EB0AC4" w:rsidRPr="00934CF0" w:rsidRDefault="00BD648E" w:rsidP="00EB0AC4">
            <w:pPr>
              <w:pStyle w:val="TableTextRight"/>
            </w:pPr>
            <w:r w:rsidRPr="00934CF0">
              <w:noBreakHyphen/>
            </w:r>
            <w:r w:rsidR="00EB0AC4" w:rsidRPr="00934CF0">
              <w:t>353</w:t>
            </w:r>
          </w:p>
        </w:tc>
      </w:tr>
    </w:tbl>
    <w:p w14:paraId="3DCBAA5A" w14:textId="21AF0DC6" w:rsidR="009175F2" w:rsidRPr="00934CF0" w:rsidRDefault="00F93942" w:rsidP="0052486B">
      <w:pPr>
        <w:pStyle w:val="ChartandTableFootnoteAlpha"/>
        <w:numPr>
          <w:ilvl w:val="0"/>
          <w:numId w:val="8"/>
        </w:numPr>
        <w:rPr>
          <w:color w:val="auto"/>
        </w:rPr>
      </w:pPr>
      <w:r w:rsidRPr="00934CF0">
        <w:rPr>
          <w:rFonts w:eastAsiaTheme="minorHAnsi"/>
          <w:color w:val="auto"/>
        </w:rPr>
        <w:fldChar w:fldCharType="end"/>
      </w:r>
      <w:r w:rsidR="009175F2" w:rsidRPr="00934CF0">
        <w:rPr>
          <w:color w:val="auto"/>
        </w:rPr>
        <w:t>The 202</w:t>
      </w:r>
      <w:r w:rsidR="00514602" w:rsidRPr="00934CF0">
        <w:rPr>
          <w:color w:val="auto"/>
        </w:rPr>
        <w:t>2</w:t>
      </w:r>
      <w:r w:rsidR="00863F4D" w:rsidRPr="00934CF0">
        <w:rPr>
          <w:color w:val="auto"/>
        </w:rPr>
        <w:t>–</w:t>
      </w:r>
      <w:r w:rsidR="009175F2" w:rsidRPr="00934CF0">
        <w:rPr>
          <w:color w:val="auto"/>
        </w:rPr>
        <w:t>2</w:t>
      </w:r>
      <w:r w:rsidR="00514602" w:rsidRPr="00934CF0">
        <w:rPr>
          <w:color w:val="auto"/>
        </w:rPr>
        <w:t>3</w:t>
      </w:r>
      <w:r w:rsidR="009175F2" w:rsidRPr="00934CF0">
        <w:rPr>
          <w:color w:val="auto"/>
        </w:rPr>
        <w:t xml:space="preserve"> GST outcome will be finalised following a Determination by a Treasury portfolio minister.</w:t>
      </w:r>
    </w:p>
    <w:p w14:paraId="49531876" w14:textId="601AFAC1" w:rsidR="009175F2" w:rsidRPr="00934CF0" w:rsidRDefault="009175F2" w:rsidP="005358C9">
      <w:pPr>
        <w:pStyle w:val="ChartLine"/>
      </w:pPr>
    </w:p>
    <w:p w14:paraId="13DE3193" w14:textId="63A26131" w:rsidR="009175F2" w:rsidRPr="00934CF0" w:rsidRDefault="009175F2" w:rsidP="009175F2">
      <w:pPr>
        <w:pStyle w:val="Heading4"/>
      </w:pPr>
      <w:r w:rsidRPr="00934CF0">
        <w:t xml:space="preserve">Distribution of the GST among the states </w:t>
      </w:r>
    </w:p>
    <w:p w14:paraId="4E208B8D" w14:textId="77777777" w:rsidR="009175F2" w:rsidRPr="00934CF0" w:rsidRDefault="009175F2" w:rsidP="009175F2">
      <w:r w:rsidRPr="00934CF0">
        <w:t>The Australian Government distributes the GST among the states based on the GST revenue sharing relativities recommended by the Commonwealth Grants Commission.</w:t>
      </w:r>
    </w:p>
    <w:p w14:paraId="51966E13" w14:textId="55A69863" w:rsidR="009175F2" w:rsidRPr="00934CF0" w:rsidRDefault="009175F2" w:rsidP="009175F2">
      <w:r w:rsidRPr="00934CF0">
        <w:t>Following consultation with the states, the Treasurer issued a Determination of the GST revenue sharing relativities for 202</w:t>
      </w:r>
      <w:r w:rsidR="00514602" w:rsidRPr="00934CF0">
        <w:t>2</w:t>
      </w:r>
      <w:r w:rsidR="00863F4D" w:rsidRPr="00934CF0">
        <w:t>–</w:t>
      </w:r>
      <w:r w:rsidRPr="00934CF0">
        <w:t>2</w:t>
      </w:r>
      <w:r w:rsidR="00514602" w:rsidRPr="00934CF0">
        <w:t>3</w:t>
      </w:r>
      <w:r w:rsidRPr="00934CF0">
        <w:t xml:space="preserve"> in </w:t>
      </w:r>
      <w:r w:rsidR="005E4683" w:rsidRPr="00934CF0">
        <w:t>Ju</w:t>
      </w:r>
      <w:r w:rsidR="00BD464C" w:rsidRPr="00934CF0">
        <w:t>ly</w:t>
      </w:r>
      <w:r w:rsidRPr="00934CF0">
        <w:t> 202</w:t>
      </w:r>
      <w:r w:rsidR="00657A93" w:rsidRPr="00934CF0">
        <w:t>2</w:t>
      </w:r>
      <w:r w:rsidRPr="00934CF0">
        <w:t>. The relativities for 202</w:t>
      </w:r>
      <w:r w:rsidR="00657A93" w:rsidRPr="00934CF0">
        <w:t>2</w:t>
      </w:r>
      <w:r w:rsidR="00863F4D" w:rsidRPr="00934CF0">
        <w:t>–</w:t>
      </w:r>
      <w:r w:rsidRPr="00934CF0">
        <w:t>2</w:t>
      </w:r>
      <w:r w:rsidR="00657A93" w:rsidRPr="00934CF0">
        <w:t>3</w:t>
      </w:r>
      <w:r w:rsidRPr="00934CF0">
        <w:t xml:space="preserve"> are shown in Table 3.8.</w:t>
      </w:r>
    </w:p>
    <w:p w14:paraId="5C4FEDD6" w14:textId="2B8D8216" w:rsidR="0012240C" w:rsidRPr="00934CF0" w:rsidRDefault="009175F2" w:rsidP="0012240C">
      <w:pPr>
        <w:pStyle w:val="TableHeading"/>
        <w:rPr>
          <w:rFonts w:eastAsiaTheme="minorHAnsi"/>
        </w:rPr>
      </w:pPr>
      <w:r w:rsidRPr="00934CF0">
        <w:t>Table 3.8: GST relativities, 202</w:t>
      </w:r>
      <w:r w:rsidR="00657A93" w:rsidRPr="00934CF0">
        <w:t>2</w:t>
      </w:r>
      <w:r w:rsidR="00AD6E45" w:rsidRPr="00934CF0">
        <w:t>–</w:t>
      </w:r>
      <w:r w:rsidRPr="00934CF0">
        <w:t>2</w:t>
      </w:r>
      <w:r w:rsidR="00657A93" w:rsidRPr="00934CF0">
        <w:t>3</w:t>
      </w:r>
      <w:r w:rsidR="0012240C" w:rsidRPr="00934CF0">
        <w:fldChar w:fldCharType="begin" w:fldLock="1"/>
      </w:r>
      <w:r w:rsidR="0012240C" w:rsidRPr="00934CF0">
        <w:instrText xml:space="preserve"> LINK Excel.Sheet.12 "https://austreasury.sharepoint.com/sites/Budget/Shared%20Documents/2022-23%20FBO/03%20Part%203/Master%20Tables/GST%20Tables/GST%20Tables%20FBO%202022-23.xlsx" "Relativities!R3C1:R4C9" \a \f 4 \h </w:instrText>
      </w:r>
      <w:r w:rsidR="0012240C" w:rsidRPr="00934CF0">
        <w:fldChar w:fldCharType="separate"/>
      </w:r>
    </w:p>
    <w:tbl>
      <w:tblPr>
        <w:tblW w:w="5000" w:type="pct"/>
        <w:tblCellMar>
          <w:left w:w="0" w:type="dxa"/>
          <w:right w:w="28" w:type="dxa"/>
        </w:tblCellMar>
        <w:tblLook w:val="04A0" w:firstRow="1" w:lastRow="0" w:firstColumn="1" w:lastColumn="0" w:noHBand="0" w:noVBand="1"/>
      </w:tblPr>
      <w:tblGrid>
        <w:gridCol w:w="948"/>
        <w:gridCol w:w="846"/>
        <w:gridCol w:w="846"/>
        <w:gridCol w:w="845"/>
        <w:gridCol w:w="845"/>
        <w:gridCol w:w="845"/>
        <w:gridCol w:w="845"/>
        <w:gridCol w:w="845"/>
        <w:gridCol w:w="845"/>
      </w:tblGrid>
      <w:tr w:rsidR="0012240C" w:rsidRPr="00934CF0" w14:paraId="5577B5BD" w14:textId="77777777" w:rsidTr="0012240C">
        <w:trPr>
          <w:divId w:val="2125271094"/>
          <w:trHeight w:hRule="exact" w:val="225"/>
        </w:trPr>
        <w:tc>
          <w:tcPr>
            <w:tcW w:w="614" w:type="pct"/>
            <w:tcBorders>
              <w:top w:val="single" w:sz="4" w:space="0" w:color="293F5B"/>
              <w:left w:val="nil"/>
              <w:bottom w:val="nil"/>
              <w:right w:val="nil"/>
            </w:tcBorders>
            <w:shd w:val="clear" w:color="000000" w:fill="FFFFFF"/>
            <w:noWrap/>
            <w:vAlign w:val="center"/>
            <w:hideMark/>
          </w:tcPr>
          <w:p w14:paraId="7F16871C" w14:textId="0F62CC9A" w:rsidR="0012240C" w:rsidRPr="00934CF0" w:rsidRDefault="0012240C" w:rsidP="002913AF">
            <w:pPr>
              <w:spacing w:before="0" w:after="0" w:line="240" w:lineRule="auto"/>
              <w:rPr>
                <w:rFonts w:ascii="Arial" w:hAnsi="Arial" w:cs="Arial"/>
                <w:sz w:val="16"/>
                <w:szCs w:val="16"/>
              </w:rPr>
            </w:pPr>
            <w:r w:rsidRPr="00934CF0">
              <w:rPr>
                <w:rFonts w:ascii="Arial" w:hAnsi="Arial" w:cs="Arial"/>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1E4A3090"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NSW</w:t>
            </w:r>
          </w:p>
        </w:tc>
        <w:tc>
          <w:tcPr>
            <w:tcW w:w="548" w:type="pct"/>
            <w:tcBorders>
              <w:top w:val="single" w:sz="4" w:space="0" w:color="293F5B"/>
              <w:left w:val="nil"/>
              <w:bottom w:val="single" w:sz="4" w:space="0" w:color="293F5B"/>
              <w:right w:val="nil"/>
            </w:tcBorders>
            <w:shd w:val="clear" w:color="000000" w:fill="FFFFFF"/>
            <w:noWrap/>
            <w:vAlign w:val="center"/>
            <w:hideMark/>
          </w:tcPr>
          <w:p w14:paraId="1F35D3AA"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VIC</w:t>
            </w:r>
          </w:p>
        </w:tc>
        <w:tc>
          <w:tcPr>
            <w:tcW w:w="548" w:type="pct"/>
            <w:tcBorders>
              <w:top w:val="single" w:sz="4" w:space="0" w:color="293F5B"/>
              <w:left w:val="nil"/>
              <w:bottom w:val="single" w:sz="4" w:space="0" w:color="293F5B"/>
              <w:right w:val="nil"/>
            </w:tcBorders>
            <w:shd w:val="clear" w:color="000000" w:fill="FFFFFF"/>
            <w:noWrap/>
            <w:vAlign w:val="center"/>
            <w:hideMark/>
          </w:tcPr>
          <w:p w14:paraId="6F05E1F1"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QLD</w:t>
            </w:r>
          </w:p>
        </w:tc>
        <w:tc>
          <w:tcPr>
            <w:tcW w:w="548" w:type="pct"/>
            <w:tcBorders>
              <w:top w:val="single" w:sz="4" w:space="0" w:color="293F5B"/>
              <w:left w:val="nil"/>
              <w:bottom w:val="single" w:sz="4" w:space="0" w:color="293F5B"/>
              <w:right w:val="nil"/>
            </w:tcBorders>
            <w:shd w:val="clear" w:color="000000" w:fill="FFFFFF"/>
            <w:noWrap/>
            <w:vAlign w:val="center"/>
            <w:hideMark/>
          </w:tcPr>
          <w:p w14:paraId="4FB9DBCD"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WA</w:t>
            </w:r>
          </w:p>
        </w:tc>
        <w:tc>
          <w:tcPr>
            <w:tcW w:w="548" w:type="pct"/>
            <w:tcBorders>
              <w:top w:val="single" w:sz="4" w:space="0" w:color="293F5B"/>
              <w:left w:val="nil"/>
              <w:bottom w:val="single" w:sz="4" w:space="0" w:color="293F5B"/>
              <w:right w:val="nil"/>
            </w:tcBorders>
            <w:shd w:val="clear" w:color="000000" w:fill="FFFFFF"/>
            <w:noWrap/>
            <w:vAlign w:val="center"/>
            <w:hideMark/>
          </w:tcPr>
          <w:p w14:paraId="28322E0D"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SA</w:t>
            </w:r>
          </w:p>
        </w:tc>
        <w:tc>
          <w:tcPr>
            <w:tcW w:w="548" w:type="pct"/>
            <w:tcBorders>
              <w:top w:val="single" w:sz="4" w:space="0" w:color="293F5B"/>
              <w:left w:val="nil"/>
              <w:bottom w:val="single" w:sz="4" w:space="0" w:color="293F5B"/>
              <w:right w:val="nil"/>
            </w:tcBorders>
            <w:shd w:val="clear" w:color="000000" w:fill="FFFFFF"/>
            <w:noWrap/>
            <w:vAlign w:val="center"/>
            <w:hideMark/>
          </w:tcPr>
          <w:p w14:paraId="281D75C0"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TAS</w:t>
            </w:r>
          </w:p>
        </w:tc>
        <w:tc>
          <w:tcPr>
            <w:tcW w:w="548" w:type="pct"/>
            <w:tcBorders>
              <w:top w:val="single" w:sz="4" w:space="0" w:color="293F5B"/>
              <w:left w:val="nil"/>
              <w:bottom w:val="single" w:sz="4" w:space="0" w:color="293F5B"/>
              <w:right w:val="nil"/>
            </w:tcBorders>
            <w:shd w:val="clear" w:color="000000" w:fill="FFFFFF"/>
            <w:noWrap/>
            <w:vAlign w:val="center"/>
            <w:hideMark/>
          </w:tcPr>
          <w:p w14:paraId="0D3B161A"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ACT</w:t>
            </w:r>
          </w:p>
        </w:tc>
        <w:tc>
          <w:tcPr>
            <w:tcW w:w="548" w:type="pct"/>
            <w:tcBorders>
              <w:top w:val="single" w:sz="4" w:space="0" w:color="293F5B"/>
              <w:left w:val="nil"/>
              <w:bottom w:val="single" w:sz="4" w:space="0" w:color="293F5B"/>
              <w:right w:val="nil"/>
            </w:tcBorders>
            <w:shd w:val="clear" w:color="000000" w:fill="FFFFFF"/>
            <w:noWrap/>
            <w:vAlign w:val="center"/>
            <w:hideMark/>
          </w:tcPr>
          <w:p w14:paraId="2ECBA4A2"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NT</w:t>
            </w:r>
          </w:p>
        </w:tc>
      </w:tr>
      <w:tr w:rsidR="0012240C" w:rsidRPr="00934CF0" w14:paraId="3F340648" w14:textId="77777777" w:rsidTr="0097493A">
        <w:trPr>
          <w:divId w:val="2125271094"/>
          <w:trHeight w:hRule="exact" w:val="225"/>
        </w:trPr>
        <w:tc>
          <w:tcPr>
            <w:tcW w:w="614" w:type="pct"/>
            <w:tcBorders>
              <w:top w:val="nil"/>
              <w:left w:val="nil"/>
              <w:bottom w:val="single" w:sz="4" w:space="0" w:color="293F5B"/>
              <w:right w:val="nil"/>
            </w:tcBorders>
            <w:shd w:val="clear" w:color="000000" w:fill="FFFFFF"/>
            <w:noWrap/>
            <w:vAlign w:val="center"/>
            <w:hideMark/>
          </w:tcPr>
          <w:p w14:paraId="6C83FA29" w14:textId="1502A804" w:rsidR="0012240C" w:rsidRPr="00934CF0" w:rsidRDefault="0012240C" w:rsidP="002913AF">
            <w:pPr>
              <w:spacing w:before="0" w:after="0" w:line="240" w:lineRule="auto"/>
              <w:rPr>
                <w:rFonts w:ascii="Arial" w:hAnsi="Arial" w:cs="Arial"/>
                <w:sz w:val="16"/>
                <w:szCs w:val="16"/>
              </w:rPr>
            </w:pPr>
            <w:r w:rsidRPr="00934CF0">
              <w:rPr>
                <w:rFonts w:ascii="Arial" w:hAnsi="Arial" w:cs="Arial"/>
                <w:sz w:val="16"/>
                <w:szCs w:val="16"/>
              </w:rPr>
              <w:t>2022</w:t>
            </w:r>
            <w:r w:rsidR="007379E9" w:rsidRPr="00934CF0">
              <w:rPr>
                <w:rFonts w:ascii="Arial" w:hAnsi="Arial" w:cs="Arial"/>
                <w:sz w:val="16"/>
                <w:szCs w:val="16"/>
              </w:rPr>
              <w:noBreakHyphen/>
            </w:r>
            <w:r w:rsidRPr="00934CF0">
              <w:rPr>
                <w:rFonts w:ascii="Arial" w:hAnsi="Arial" w:cs="Arial"/>
                <w:sz w:val="16"/>
                <w:szCs w:val="16"/>
              </w:rPr>
              <w:t>23</w:t>
            </w:r>
          </w:p>
        </w:tc>
        <w:tc>
          <w:tcPr>
            <w:tcW w:w="548" w:type="pct"/>
            <w:tcBorders>
              <w:top w:val="single" w:sz="4" w:space="0" w:color="293F5B"/>
              <w:left w:val="nil"/>
              <w:bottom w:val="single" w:sz="4" w:space="0" w:color="293F5B"/>
              <w:right w:val="nil"/>
            </w:tcBorders>
            <w:shd w:val="clear" w:color="000000" w:fill="FFFFFF"/>
            <w:noWrap/>
            <w:vAlign w:val="center"/>
            <w:hideMark/>
          </w:tcPr>
          <w:p w14:paraId="1E20E351"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0.95065</w:t>
            </w:r>
          </w:p>
        </w:tc>
        <w:tc>
          <w:tcPr>
            <w:tcW w:w="548" w:type="pct"/>
            <w:tcBorders>
              <w:top w:val="single" w:sz="4" w:space="0" w:color="293F5B"/>
              <w:left w:val="nil"/>
              <w:bottom w:val="single" w:sz="4" w:space="0" w:color="293F5B"/>
              <w:right w:val="nil"/>
            </w:tcBorders>
            <w:shd w:val="clear" w:color="000000" w:fill="FFFFFF"/>
            <w:noWrap/>
            <w:vAlign w:val="center"/>
            <w:hideMark/>
          </w:tcPr>
          <w:p w14:paraId="6EBD6DF8"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0.85861</w:t>
            </w:r>
          </w:p>
        </w:tc>
        <w:tc>
          <w:tcPr>
            <w:tcW w:w="548" w:type="pct"/>
            <w:tcBorders>
              <w:top w:val="single" w:sz="4" w:space="0" w:color="293F5B"/>
              <w:left w:val="nil"/>
              <w:bottom w:val="single" w:sz="4" w:space="0" w:color="293F5B"/>
              <w:right w:val="nil"/>
            </w:tcBorders>
            <w:shd w:val="clear" w:color="000000" w:fill="FFFFFF"/>
            <w:noWrap/>
            <w:vAlign w:val="center"/>
            <w:hideMark/>
          </w:tcPr>
          <w:p w14:paraId="7430B13C"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1.03377</w:t>
            </w:r>
          </w:p>
        </w:tc>
        <w:tc>
          <w:tcPr>
            <w:tcW w:w="548" w:type="pct"/>
            <w:tcBorders>
              <w:top w:val="single" w:sz="4" w:space="0" w:color="293F5B"/>
              <w:left w:val="nil"/>
              <w:bottom w:val="single" w:sz="4" w:space="0" w:color="293F5B"/>
              <w:right w:val="nil"/>
            </w:tcBorders>
            <w:shd w:val="clear" w:color="000000" w:fill="FFFFFF"/>
            <w:noWrap/>
            <w:vAlign w:val="center"/>
            <w:hideMark/>
          </w:tcPr>
          <w:p w14:paraId="0B0C4B9A"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0.70000</w:t>
            </w:r>
          </w:p>
        </w:tc>
        <w:tc>
          <w:tcPr>
            <w:tcW w:w="548" w:type="pct"/>
            <w:tcBorders>
              <w:top w:val="single" w:sz="4" w:space="0" w:color="293F5B"/>
              <w:left w:val="nil"/>
              <w:bottom w:val="single" w:sz="4" w:space="0" w:color="293F5B"/>
              <w:right w:val="nil"/>
            </w:tcBorders>
            <w:shd w:val="clear" w:color="000000" w:fill="FFFFFF"/>
            <w:noWrap/>
            <w:vAlign w:val="center"/>
            <w:hideMark/>
          </w:tcPr>
          <w:p w14:paraId="71BD0FB6"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1.28411</w:t>
            </w:r>
          </w:p>
        </w:tc>
        <w:tc>
          <w:tcPr>
            <w:tcW w:w="548" w:type="pct"/>
            <w:tcBorders>
              <w:top w:val="single" w:sz="4" w:space="0" w:color="293F5B"/>
              <w:left w:val="nil"/>
              <w:bottom w:val="single" w:sz="4" w:space="0" w:color="293F5B"/>
              <w:right w:val="nil"/>
            </w:tcBorders>
            <w:shd w:val="clear" w:color="000000" w:fill="FFFFFF"/>
            <w:noWrap/>
            <w:vAlign w:val="center"/>
            <w:hideMark/>
          </w:tcPr>
          <w:p w14:paraId="7D109EDE"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1.85360</w:t>
            </w:r>
          </w:p>
        </w:tc>
        <w:tc>
          <w:tcPr>
            <w:tcW w:w="548" w:type="pct"/>
            <w:tcBorders>
              <w:top w:val="single" w:sz="4" w:space="0" w:color="293F5B"/>
              <w:left w:val="nil"/>
              <w:bottom w:val="single" w:sz="4" w:space="0" w:color="293F5B"/>
              <w:right w:val="nil"/>
            </w:tcBorders>
            <w:shd w:val="clear" w:color="000000" w:fill="FFFFFF"/>
            <w:noWrap/>
            <w:vAlign w:val="center"/>
            <w:hideMark/>
          </w:tcPr>
          <w:p w14:paraId="01AB9E44"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1.09250</w:t>
            </w:r>
          </w:p>
        </w:tc>
        <w:tc>
          <w:tcPr>
            <w:tcW w:w="548" w:type="pct"/>
            <w:tcBorders>
              <w:top w:val="single" w:sz="4" w:space="0" w:color="293F5B"/>
              <w:left w:val="nil"/>
              <w:bottom w:val="single" w:sz="4" w:space="0" w:color="293F5B"/>
              <w:right w:val="nil"/>
            </w:tcBorders>
            <w:shd w:val="clear" w:color="000000" w:fill="FFFFFF"/>
            <w:noWrap/>
            <w:vAlign w:val="center"/>
            <w:hideMark/>
          </w:tcPr>
          <w:p w14:paraId="2FE354AC" w14:textId="77777777" w:rsidR="0012240C" w:rsidRPr="00934CF0" w:rsidRDefault="0012240C" w:rsidP="002913AF">
            <w:pPr>
              <w:spacing w:before="0" w:after="0" w:line="240" w:lineRule="auto"/>
              <w:jc w:val="center"/>
              <w:rPr>
                <w:rFonts w:ascii="Arial" w:hAnsi="Arial" w:cs="Arial"/>
                <w:sz w:val="16"/>
                <w:szCs w:val="16"/>
              </w:rPr>
            </w:pPr>
            <w:r w:rsidRPr="00934CF0">
              <w:rPr>
                <w:rFonts w:ascii="Arial" w:hAnsi="Arial" w:cs="Arial"/>
                <w:sz w:val="16"/>
                <w:szCs w:val="16"/>
              </w:rPr>
              <w:t>4.86988</w:t>
            </w:r>
          </w:p>
        </w:tc>
      </w:tr>
    </w:tbl>
    <w:p w14:paraId="5B537D80" w14:textId="0C792346" w:rsidR="009175F2" w:rsidRPr="00934CF0" w:rsidRDefault="0012240C" w:rsidP="009175F2">
      <w:r w:rsidRPr="00934CF0">
        <w:fldChar w:fldCharType="end"/>
      </w:r>
      <w:r w:rsidR="009175F2" w:rsidRPr="00934CF0">
        <w:t>The detailed calculation for the distribution of the GST entitlement in 202</w:t>
      </w:r>
      <w:r w:rsidR="00601BCB" w:rsidRPr="00934CF0">
        <w:t>2</w:t>
      </w:r>
      <w:r w:rsidR="00863F4D" w:rsidRPr="00934CF0">
        <w:t>–</w:t>
      </w:r>
      <w:r w:rsidR="009175F2" w:rsidRPr="00934CF0">
        <w:t>2</w:t>
      </w:r>
      <w:r w:rsidR="00601BCB" w:rsidRPr="00934CF0">
        <w:t>3</w:t>
      </w:r>
      <w:r w:rsidR="009175F2" w:rsidRPr="00934CF0">
        <w:t xml:space="preserve"> is shown in Table 3.9. This method of calculation is prescribed in legislation in the </w:t>
      </w:r>
      <w:r w:rsidR="009175F2" w:rsidRPr="00934CF0">
        <w:rPr>
          <w:i/>
        </w:rPr>
        <w:t>Federal Financial Relations Act 2009</w:t>
      </w:r>
      <w:r w:rsidR="009175F2" w:rsidRPr="00934CF0">
        <w:t>. The entitlements are allocated using the population as at 31 December 202</w:t>
      </w:r>
      <w:r w:rsidR="00CB021D" w:rsidRPr="00934CF0">
        <w:t>2</w:t>
      </w:r>
      <w:r w:rsidR="009175F2" w:rsidRPr="00934CF0">
        <w:t>, as determined by the Australian Statistician.</w:t>
      </w:r>
    </w:p>
    <w:p w14:paraId="2D0273D0" w14:textId="41D79973" w:rsidR="009175F2" w:rsidRPr="00934CF0" w:rsidRDefault="009175F2" w:rsidP="009175F2">
      <w:pPr>
        <w:spacing w:after="160" w:line="259" w:lineRule="auto"/>
      </w:pPr>
      <w:r w:rsidRPr="00934CF0">
        <w:br w:type="page"/>
      </w:r>
    </w:p>
    <w:p w14:paraId="4FBC5925" w14:textId="74ED696F" w:rsidR="00254F02" w:rsidRPr="00934CF0" w:rsidRDefault="009175F2" w:rsidP="00254F02">
      <w:pPr>
        <w:pStyle w:val="TableHeading"/>
        <w:rPr>
          <w:rFonts w:asciiTheme="minorHAnsi" w:eastAsiaTheme="minorHAnsi" w:hAnsiTheme="minorHAnsi" w:cstheme="minorBidi"/>
          <w:b w:val="0"/>
          <w:sz w:val="22"/>
          <w:szCs w:val="22"/>
          <w:lang w:eastAsia="en-US"/>
        </w:rPr>
      </w:pPr>
      <w:r w:rsidRPr="00934CF0">
        <w:lastRenderedPageBreak/>
        <w:t>Table 3.9: Calculation of the 202</w:t>
      </w:r>
      <w:r w:rsidR="00E864E1" w:rsidRPr="00934CF0">
        <w:t>2</w:t>
      </w:r>
      <w:r w:rsidR="00AD6E45" w:rsidRPr="00934CF0">
        <w:t>–</w:t>
      </w:r>
      <w:r w:rsidRPr="00934CF0">
        <w:t>2</w:t>
      </w:r>
      <w:r w:rsidR="00E864E1" w:rsidRPr="00934CF0">
        <w:t>3</w:t>
      </w:r>
      <w:r w:rsidRPr="00934CF0">
        <w:t xml:space="preserve"> GST entitlements</w:t>
      </w:r>
      <w:r w:rsidRPr="00934CF0">
        <w:rPr>
          <w:vertAlign w:val="superscript"/>
        </w:rPr>
        <w:t>(a)</w:t>
      </w:r>
      <w:r w:rsidR="007B156C" w:rsidRPr="00934CF0">
        <w:rPr>
          <w:rFonts w:eastAsiaTheme="minorHAnsi"/>
        </w:rPr>
        <w:t xml:space="preserve"> </w:t>
      </w:r>
      <w:r w:rsidR="00254F02" w:rsidRPr="00934CF0">
        <w:rPr>
          <w:rFonts w:eastAsiaTheme="minorHAnsi"/>
        </w:rPr>
        <w:fldChar w:fldCharType="begin" w:fldLock="1"/>
      </w:r>
      <w:r w:rsidR="00254F02" w:rsidRPr="00934CF0">
        <w:rPr>
          <w:rFonts w:eastAsiaTheme="minorHAnsi"/>
        </w:rPr>
        <w:instrText xml:space="preserve"> LINK Excel.Sheet.12 "https://austreasury.sharepoint.com/sites/Budget/Shared%20Documents/2022-23%20FBO/03%20Part%203/Master%20Tables/GST%20Tables/GST%20Tables%20FBO%202022-23.xlsx" "Distribution!R3C1:R15C6" \a \f 4 \h </w:instrText>
      </w:r>
      <w:r w:rsidR="00254F02" w:rsidRPr="00934CF0">
        <w:rPr>
          <w:rFonts w:eastAsiaTheme="minorHAnsi"/>
        </w:rPr>
        <w:fldChar w:fldCharType="separate"/>
      </w:r>
    </w:p>
    <w:tbl>
      <w:tblPr>
        <w:tblW w:w="5000" w:type="pct"/>
        <w:tblCellMar>
          <w:left w:w="0" w:type="dxa"/>
          <w:right w:w="28" w:type="dxa"/>
        </w:tblCellMar>
        <w:tblLook w:val="04A0" w:firstRow="1" w:lastRow="0" w:firstColumn="1" w:lastColumn="0" w:noHBand="0" w:noVBand="1"/>
      </w:tblPr>
      <w:tblGrid>
        <w:gridCol w:w="627"/>
        <w:gridCol w:w="1389"/>
        <w:gridCol w:w="1449"/>
        <w:gridCol w:w="1346"/>
        <w:gridCol w:w="1553"/>
        <w:gridCol w:w="1346"/>
      </w:tblGrid>
      <w:tr w:rsidR="00254F02" w:rsidRPr="00934CF0" w14:paraId="56758DF5" w14:textId="77777777" w:rsidTr="00254F02">
        <w:trPr>
          <w:divId w:val="1610120630"/>
          <w:trHeight w:hRule="exact" w:val="225"/>
        </w:trPr>
        <w:tc>
          <w:tcPr>
            <w:tcW w:w="406" w:type="pct"/>
            <w:tcBorders>
              <w:top w:val="single" w:sz="4" w:space="0" w:color="293F5B"/>
              <w:left w:val="nil"/>
              <w:bottom w:val="nil"/>
              <w:right w:val="nil"/>
            </w:tcBorders>
            <w:shd w:val="clear" w:color="000000" w:fill="FFFFFF"/>
            <w:noWrap/>
            <w:vAlign w:val="bottom"/>
            <w:hideMark/>
          </w:tcPr>
          <w:p w14:paraId="5E86BF8A" w14:textId="0C37B235"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 </w:t>
            </w:r>
          </w:p>
        </w:tc>
        <w:tc>
          <w:tcPr>
            <w:tcW w:w="900" w:type="pct"/>
            <w:tcBorders>
              <w:top w:val="single" w:sz="4" w:space="0" w:color="293F5B"/>
              <w:left w:val="nil"/>
              <w:bottom w:val="nil"/>
              <w:right w:val="nil"/>
            </w:tcBorders>
            <w:shd w:val="clear" w:color="000000" w:fill="FFFFFF"/>
            <w:noWrap/>
            <w:vAlign w:val="center"/>
            <w:hideMark/>
          </w:tcPr>
          <w:p w14:paraId="726EE905"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Population as at</w:t>
            </w:r>
          </w:p>
        </w:tc>
        <w:tc>
          <w:tcPr>
            <w:tcW w:w="940" w:type="pct"/>
            <w:tcBorders>
              <w:top w:val="single" w:sz="4" w:space="0" w:color="293F5B"/>
              <w:left w:val="nil"/>
              <w:bottom w:val="nil"/>
              <w:right w:val="nil"/>
            </w:tcBorders>
            <w:shd w:val="clear" w:color="000000" w:fill="FFFFFF"/>
            <w:noWrap/>
            <w:vAlign w:val="center"/>
            <w:hideMark/>
          </w:tcPr>
          <w:p w14:paraId="23EE677E"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GST</w:t>
            </w:r>
          </w:p>
        </w:tc>
        <w:tc>
          <w:tcPr>
            <w:tcW w:w="873" w:type="pct"/>
            <w:tcBorders>
              <w:top w:val="single" w:sz="4" w:space="0" w:color="293F5B"/>
              <w:left w:val="nil"/>
              <w:bottom w:val="nil"/>
              <w:right w:val="nil"/>
            </w:tcBorders>
            <w:shd w:val="clear" w:color="000000" w:fill="FFFFFF"/>
            <w:noWrap/>
            <w:vAlign w:val="center"/>
            <w:hideMark/>
          </w:tcPr>
          <w:p w14:paraId="0C051E39"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Adjusted</w:t>
            </w:r>
          </w:p>
        </w:tc>
        <w:tc>
          <w:tcPr>
            <w:tcW w:w="1007" w:type="pct"/>
            <w:tcBorders>
              <w:top w:val="single" w:sz="4" w:space="0" w:color="293F5B"/>
              <w:left w:val="nil"/>
              <w:bottom w:val="nil"/>
              <w:right w:val="nil"/>
            </w:tcBorders>
            <w:shd w:val="clear" w:color="000000" w:fill="FFFFFF"/>
            <w:noWrap/>
            <w:vAlign w:val="center"/>
            <w:hideMark/>
          </w:tcPr>
          <w:p w14:paraId="3B653531"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Share of adjusted</w:t>
            </w:r>
          </w:p>
        </w:tc>
        <w:tc>
          <w:tcPr>
            <w:tcW w:w="873" w:type="pct"/>
            <w:tcBorders>
              <w:top w:val="single" w:sz="4" w:space="0" w:color="293F5B"/>
              <w:left w:val="nil"/>
              <w:bottom w:val="nil"/>
              <w:right w:val="nil"/>
            </w:tcBorders>
            <w:shd w:val="clear" w:color="000000" w:fill="E6F2FF"/>
            <w:noWrap/>
            <w:vAlign w:val="center"/>
            <w:hideMark/>
          </w:tcPr>
          <w:p w14:paraId="34B6736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Share of</w:t>
            </w:r>
          </w:p>
        </w:tc>
      </w:tr>
      <w:tr w:rsidR="00254F02" w:rsidRPr="00934CF0" w14:paraId="3D69E648" w14:textId="77777777" w:rsidTr="00254F02">
        <w:trPr>
          <w:divId w:val="1610120630"/>
          <w:trHeight w:hRule="exact" w:val="225"/>
        </w:trPr>
        <w:tc>
          <w:tcPr>
            <w:tcW w:w="406" w:type="pct"/>
            <w:tcBorders>
              <w:top w:val="nil"/>
              <w:left w:val="nil"/>
              <w:bottom w:val="nil"/>
              <w:right w:val="nil"/>
            </w:tcBorders>
            <w:shd w:val="clear" w:color="000000" w:fill="FFFFFF"/>
            <w:noWrap/>
            <w:vAlign w:val="bottom"/>
            <w:hideMark/>
          </w:tcPr>
          <w:p w14:paraId="76D3C68B"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 </w:t>
            </w:r>
          </w:p>
        </w:tc>
        <w:tc>
          <w:tcPr>
            <w:tcW w:w="900" w:type="pct"/>
            <w:tcBorders>
              <w:top w:val="nil"/>
              <w:left w:val="nil"/>
              <w:bottom w:val="nil"/>
              <w:right w:val="nil"/>
            </w:tcBorders>
            <w:shd w:val="clear" w:color="000000" w:fill="FFFFFF"/>
            <w:noWrap/>
            <w:vAlign w:val="center"/>
            <w:hideMark/>
          </w:tcPr>
          <w:p w14:paraId="3574BAD5"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31 December</w:t>
            </w:r>
          </w:p>
        </w:tc>
        <w:tc>
          <w:tcPr>
            <w:tcW w:w="940" w:type="pct"/>
            <w:tcBorders>
              <w:top w:val="nil"/>
              <w:left w:val="nil"/>
              <w:bottom w:val="nil"/>
              <w:right w:val="nil"/>
            </w:tcBorders>
            <w:shd w:val="clear" w:color="000000" w:fill="FFFFFF"/>
            <w:noWrap/>
            <w:vAlign w:val="center"/>
            <w:hideMark/>
          </w:tcPr>
          <w:p w14:paraId="5A304C6D"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revenue sharing</w:t>
            </w:r>
          </w:p>
        </w:tc>
        <w:tc>
          <w:tcPr>
            <w:tcW w:w="873" w:type="pct"/>
            <w:tcBorders>
              <w:top w:val="nil"/>
              <w:left w:val="nil"/>
              <w:bottom w:val="nil"/>
              <w:right w:val="nil"/>
            </w:tcBorders>
            <w:shd w:val="clear" w:color="000000" w:fill="FFFFFF"/>
            <w:noWrap/>
            <w:vAlign w:val="center"/>
            <w:hideMark/>
          </w:tcPr>
          <w:p w14:paraId="09F0E3A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population</w:t>
            </w:r>
          </w:p>
        </w:tc>
        <w:tc>
          <w:tcPr>
            <w:tcW w:w="1007" w:type="pct"/>
            <w:tcBorders>
              <w:top w:val="nil"/>
              <w:left w:val="nil"/>
              <w:bottom w:val="nil"/>
              <w:right w:val="nil"/>
            </w:tcBorders>
            <w:shd w:val="clear" w:color="000000" w:fill="FFFFFF"/>
            <w:noWrap/>
            <w:vAlign w:val="center"/>
            <w:hideMark/>
          </w:tcPr>
          <w:p w14:paraId="7959CF95"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population</w:t>
            </w:r>
          </w:p>
        </w:tc>
        <w:tc>
          <w:tcPr>
            <w:tcW w:w="873" w:type="pct"/>
            <w:tcBorders>
              <w:top w:val="nil"/>
              <w:left w:val="nil"/>
              <w:bottom w:val="nil"/>
              <w:right w:val="nil"/>
            </w:tcBorders>
            <w:shd w:val="clear" w:color="000000" w:fill="E6F2FF"/>
            <w:noWrap/>
            <w:vAlign w:val="center"/>
            <w:hideMark/>
          </w:tcPr>
          <w:p w14:paraId="057D928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GST pool</w:t>
            </w:r>
          </w:p>
        </w:tc>
      </w:tr>
      <w:tr w:rsidR="00254F02" w:rsidRPr="00934CF0" w14:paraId="51CB58C2" w14:textId="77777777" w:rsidTr="00254F02">
        <w:trPr>
          <w:divId w:val="1610120630"/>
          <w:trHeight w:hRule="exact" w:val="225"/>
        </w:trPr>
        <w:tc>
          <w:tcPr>
            <w:tcW w:w="406" w:type="pct"/>
            <w:tcBorders>
              <w:top w:val="nil"/>
              <w:left w:val="nil"/>
              <w:bottom w:val="nil"/>
              <w:right w:val="nil"/>
            </w:tcBorders>
            <w:shd w:val="clear" w:color="000000" w:fill="FFFFFF"/>
            <w:noWrap/>
            <w:vAlign w:val="bottom"/>
            <w:hideMark/>
          </w:tcPr>
          <w:p w14:paraId="22B43153"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 </w:t>
            </w:r>
          </w:p>
        </w:tc>
        <w:tc>
          <w:tcPr>
            <w:tcW w:w="900" w:type="pct"/>
            <w:tcBorders>
              <w:top w:val="nil"/>
              <w:left w:val="nil"/>
              <w:bottom w:val="nil"/>
              <w:right w:val="nil"/>
            </w:tcBorders>
            <w:shd w:val="clear" w:color="000000" w:fill="FFFFFF"/>
            <w:noWrap/>
            <w:vAlign w:val="center"/>
            <w:hideMark/>
          </w:tcPr>
          <w:p w14:paraId="75D4F678"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2022</w:t>
            </w:r>
          </w:p>
        </w:tc>
        <w:tc>
          <w:tcPr>
            <w:tcW w:w="940" w:type="pct"/>
            <w:tcBorders>
              <w:top w:val="nil"/>
              <w:left w:val="nil"/>
              <w:bottom w:val="nil"/>
              <w:right w:val="nil"/>
            </w:tcBorders>
            <w:shd w:val="clear" w:color="000000" w:fill="FFFFFF"/>
            <w:noWrap/>
            <w:vAlign w:val="center"/>
            <w:hideMark/>
          </w:tcPr>
          <w:p w14:paraId="0600581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 xml:space="preserve"> relativities</w:t>
            </w:r>
          </w:p>
        </w:tc>
        <w:tc>
          <w:tcPr>
            <w:tcW w:w="873" w:type="pct"/>
            <w:tcBorders>
              <w:top w:val="nil"/>
              <w:left w:val="nil"/>
              <w:bottom w:val="nil"/>
              <w:right w:val="nil"/>
            </w:tcBorders>
            <w:shd w:val="clear" w:color="000000" w:fill="FFFFFF"/>
            <w:noWrap/>
            <w:vAlign w:val="center"/>
            <w:hideMark/>
          </w:tcPr>
          <w:p w14:paraId="563F9BC1"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 x (2)</w:t>
            </w:r>
          </w:p>
        </w:tc>
        <w:tc>
          <w:tcPr>
            <w:tcW w:w="1007" w:type="pct"/>
            <w:tcBorders>
              <w:top w:val="nil"/>
              <w:left w:val="nil"/>
              <w:bottom w:val="nil"/>
              <w:right w:val="nil"/>
            </w:tcBorders>
            <w:shd w:val="clear" w:color="000000" w:fill="FFFFFF"/>
            <w:noWrap/>
            <w:vAlign w:val="center"/>
            <w:hideMark/>
          </w:tcPr>
          <w:p w14:paraId="6147268F"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(per cent)</w:t>
            </w:r>
          </w:p>
        </w:tc>
        <w:tc>
          <w:tcPr>
            <w:tcW w:w="873" w:type="pct"/>
            <w:tcBorders>
              <w:top w:val="nil"/>
              <w:left w:val="nil"/>
              <w:bottom w:val="nil"/>
              <w:right w:val="nil"/>
            </w:tcBorders>
            <w:shd w:val="clear" w:color="000000" w:fill="E6F2FF"/>
            <w:noWrap/>
            <w:vAlign w:val="center"/>
            <w:hideMark/>
          </w:tcPr>
          <w:p w14:paraId="019F27ED"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($million)</w:t>
            </w:r>
          </w:p>
        </w:tc>
      </w:tr>
      <w:tr w:rsidR="00254F02" w:rsidRPr="00934CF0" w14:paraId="75086C4A" w14:textId="77777777" w:rsidTr="00254F02">
        <w:trPr>
          <w:divId w:val="1610120630"/>
          <w:trHeight w:hRule="exact" w:val="225"/>
        </w:trPr>
        <w:tc>
          <w:tcPr>
            <w:tcW w:w="406" w:type="pct"/>
            <w:tcBorders>
              <w:top w:val="nil"/>
              <w:left w:val="nil"/>
              <w:bottom w:val="nil"/>
              <w:right w:val="nil"/>
            </w:tcBorders>
            <w:shd w:val="clear" w:color="000000" w:fill="FFFFFF"/>
            <w:noWrap/>
            <w:vAlign w:val="bottom"/>
            <w:hideMark/>
          </w:tcPr>
          <w:p w14:paraId="0118E405"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 </w:t>
            </w:r>
          </w:p>
        </w:tc>
        <w:tc>
          <w:tcPr>
            <w:tcW w:w="900" w:type="pct"/>
            <w:tcBorders>
              <w:top w:val="nil"/>
              <w:left w:val="nil"/>
              <w:bottom w:val="single" w:sz="4" w:space="0" w:color="293F5B"/>
              <w:right w:val="nil"/>
            </w:tcBorders>
            <w:shd w:val="clear" w:color="000000" w:fill="FFFFFF"/>
            <w:noWrap/>
            <w:vAlign w:val="center"/>
            <w:hideMark/>
          </w:tcPr>
          <w:p w14:paraId="32F0551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w:t>
            </w:r>
          </w:p>
        </w:tc>
        <w:tc>
          <w:tcPr>
            <w:tcW w:w="940" w:type="pct"/>
            <w:tcBorders>
              <w:top w:val="nil"/>
              <w:left w:val="nil"/>
              <w:bottom w:val="single" w:sz="4" w:space="0" w:color="293F5B"/>
              <w:right w:val="nil"/>
            </w:tcBorders>
            <w:shd w:val="clear" w:color="000000" w:fill="FFFFFF"/>
            <w:noWrap/>
            <w:vAlign w:val="center"/>
            <w:hideMark/>
          </w:tcPr>
          <w:p w14:paraId="48FCC21F"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w:t>
            </w:r>
          </w:p>
        </w:tc>
        <w:tc>
          <w:tcPr>
            <w:tcW w:w="873" w:type="pct"/>
            <w:tcBorders>
              <w:top w:val="nil"/>
              <w:left w:val="nil"/>
              <w:bottom w:val="single" w:sz="4" w:space="0" w:color="293F5B"/>
              <w:right w:val="nil"/>
            </w:tcBorders>
            <w:shd w:val="clear" w:color="000000" w:fill="FFFFFF"/>
            <w:noWrap/>
            <w:vAlign w:val="center"/>
            <w:hideMark/>
          </w:tcPr>
          <w:p w14:paraId="23B00D25"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 </w:t>
            </w:r>
          </w:p>
        </w:tc>
        <w:tc>
          <w:tcPr>
            <w:tcW w:w="1007" w:type="pct"/>
            <w:tcBorders>
              <w:top w:val="nil"/>
              <w:left w:val="nil"/>
              <w:bottom w:val="single" w:sz="4" w:space="0" w:color="293F5B"/>
              <w:right w:val="nil"/>
            </w:tcBorders>
            <w:shd w:val="clear" w:color="000000" w:fill="FFFFFF"/>
            <w:noWrap/>
            <w:vAlign w:val="center"/>
            <w:hideMark/>
          </w:tcPr>
          <w:p w14:paraId="33F5199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 </w:t>
            </w:r>
          </w:p>
        </w:tc>
        <w:tc>
          <w:tcPr>
            <w:tcW w:w="873" w:type="pct"/>
            <w:tcBorders>
              <w:top w:val="nil"/>
              <w:left w:val="nil"/>
              <w:bottom w:val="single" w:sz="4" w:space="0" w:color="293F5B"/>
              <w:right w:val="nil"/>
            </w:tcBorders>
            <w:shd w:val="clear" w:color="000000" w:fill="E6F2FF"/>
            <w:noWrap/>
            <w:vAlign w:val="center"/>
            <w:hideMark/>
          </w:tcPr>
          <w:p w14:paraId="5CE269F9"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 </w:t>
            </w:r>
          </w:p>
        </w:tc>
      </w:tr>
      <w:tr w:rsidR="00254F02" w:rsidRPr="00934CF0" w14:paraId="172FCEDE"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5F2F563B"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NSW</w:t>
            </w:r>
          </w:p>
        </w:tc>
        <w:tc>
          <w:tcPr>
            <w:tcW w:w="900" w:type="pct"/>
            <w:tcBorders>
              <w:top w:val="nil"/>
              <w:left w:val="nil"/>
              <w:bottom w:val="nil"/>
              <w:right w:val="nil"/>
            </w:tcBorders>
            <w:shd w:val="clear" w:color="000000" w:fill="FFFFFF"/>
            <w:noWrap/>
            <w:vAlign w:val="center"/>
            <w:hideMark/>
          </w:tcPr>
          <w:p w14:paraId="360BFF4F"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8,238,801</w:t>
            </w:r>
          </w:p>
        </w:tc>
        <w:tc>
          <w:tcPr>
            <w:tcW w:w="940" w:type="pct"/>
            <w:tcBorders>
              <w:top w:val="nil"/>
              <w:left w:val="nil"/>
              <w:bottom w:val="nil"/>
              <w:right w:val="nil"/>
            </w:tcBorders>
            <w:shd w:val="clear" w:color="000000" w:fill="FFFFFF"/>
            <w:noWrap/>
            <w:vAlign w:val="center"/>
            <w:hideMark/>
          </w:tcPr>
          <w:p w14:paraId="054E466E"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0.95065</w:t>
            </w:r>
          </w:p>
        </w:tc>
        <w:tc>
          <w:tcPr>
            <w:tcW w:w="873" w:type="pct"/>
            <w:tcBorders>
              <w:top w:val="nil"/>
              <w:left w:val="nil"/>
              <w:bottom w:val="nil"/>
              <w:right w:val="nil"/>
            </w:tcBorders>
            <w:shd w:val="clear" w:color="000000" w:fill="FFFFFF"/>
            <w:noWrap/>
            <w:vAlign w:val="center"/>
            <w:hideMark/>
          </w:tcPr>
          <w:p w14:paraId="26F09D7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7,832,216</w:t>
            </w:r>
          </w:p>
        </w:tc>
        <w:tc>
          <w:tcPr>
            <w:tcW w:w="1007" w:type="pct"/>
            <w:tcBorders>
              <w:top w:val="nil"/>
              <w:left w:val="nil"/>
              <w:bottom w:val="nil"/>
              <w:right w:val="nil"/>
            </w:tcBorders>
            <w:shd w:val="clear" w:color="000000" w:fill="FFFFFF"/>
            <w:noWrap/>
            <w:vAlign w:val="center"/>
            <w:hideMark/>
          </w:tcPr>
          <w:p w14:paraId="77D4A35B"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29.8</w:t>
            </w:r>
          </w:p>
        </w:tc>
        <w:tc>
          <w:tcPr>
            <w:tcW w:w="873" w:type="pct"/>
            <w:tcBorders>
              <w:top w:val="nil"/>
              <w:left w:val="nil"/>
              <w:bottom w:val="nil"/>
              <w:right w:val="nil"/>
            </w:tcBorders>
            <w:shd w:val="clear" w:color="000000" w:fill="E6F2FF"/>
            <w:noWrap/>
            <w:vAlign w:val="center"/>
            <w:hideMark/>
          </w:tcPr>
          <w:p w14:paraId="338BD9D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24,453</w:t>
            </w:r>
          </w:p>
        </w:tc>
      </w:tr>
      <w:tr w:rsidR="00254F02" w:rsidRPr="00934CF0" w14:paraId="16F33AD9"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201FC702"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VIC</w:t>
            </w:r>
          </w:p>
        </w:tc>
        <w:tc>
          <w:tcPr>
            <w:tcW w:w="900" w:type="pct"/>
            <w:tcBorders>
              <w:top w:val="nil"/>
              <w:left w:val="nil"/>
              <w:bottom w:val="nil"/>
              <w:right w:val="nil"/>
            </w:tcBorders>
            <w:shd w:val="clear" w:color="000000" w:fill="FFFFFF"/>
            <w:noWrap/>
            <w:vAlign w:val="center"/>
            <w:hideMark/>
          </w:tcPr>
          <w:p w14:paraId="7E225F9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6,704,281</w:t>
            </w:r>
          </w:p>
        </w:tc>
        <w:tc>
          <w:tcPr>
            <w:tcW w:w="940" w:type="pct"/>
            <w:tcBorders>
              <w:top w:val="nil"/>
              <w:left w:val="nil"/>
              <w:bottom w:val="nil"/>
              <w:right w:val="nil"/>
            </w:tcBorders>
            <w:shd w:val="clear" w:color="000000" w:fill="FFFFFF"/>
            <w:noWrap/>
            <w:vAlign w:val="center"/>
            <w:hideMark/>
          </w:tcPr>
          <w:p w14:paraId="07B9B86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0.85861</w:t>
            </w:r>
          </w:p>
        </w:tc>
        <w:tc>
          <w:tcPr>
            <w:tcW w:w="873" w:type="pct"/>
            <w:tcBorders>
              <w:top w:val="nil"/>
              <w:left w:val="nil"/>
              <w:bottom w:val="nil"/>
              <w:right w:val="nil"/>
            </w:tcBorders>
            <w:shd w:val="clear" w:color="000000" w:fill="FFFFFF"/>
            <w:noWrap/>
            <w:vAlign w:val="center"/>
            <w:hideMark/>
          </w:tcPr>
          <w:p w14:paraId="7AE37F1C"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5,756,363</w:t>
            </w:r>
          </w:p>
        </w:tc>
        <w:tc>
          <w:tcPr>
            <w:tcW w:w="1007" w:type="pct"/>
            <w:tcBorders>
              <w:top w:val="nil"/>
              <w:left w:val="nil"/>
              <w:bottom w:val="nil"/>
              <w:right w:val="nil"/>
            </w:tcBorders>
            <w:shd w:val="clear" w:color="000000" w:fill="FFFFFF"/>
            <w:noWrap/>
            <w:vAlign w:val="center"/>
            <w:hideMark/>
          </w:tcPr>
          <w:p w14:paraId="04904A83"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21.9</w:t>
            </w:r>
          </w:p>
        </w:tc>
        <w:tc>
          <w:tcPr>
            <w:tcW w:w="873" w:type="pct"/>
            <w:tcBorders>
              <w:top w:val="nil"/>
              <w:left w:val="nil"/>
              <w:bottom w:val="nil"/>
              <w:right w:val="nil"/>
            </w:tcBorders>
            <w:shd w:val="clear" w:color="000000" w:fill="E6F2FF"/>
            <w:noWrap/>
            <w:vAlign w:val="center"/>
            <w:hideMark/>
          </w:tcPr>
          <w:p w14:paraId="2E874873"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17,972</w:t>
            </w:r>
          </w:p>
        </w:tc>
      </w:tr>
      <w:tr w:rsidR="00254F02" w:rsidRPr="00934CF0" w14:paraId="0FA3FF37"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0C254CDC"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QLD</w:t>
            </w:r>
          </w:p>
        </w:tc>
        <w:tc>
          <w:tcPr>
            <w:tcW w:w="900" w:type="pct"/>
            <w:tcBorders>
              <w:top w:val="nil"/>
              <w:left w:val="nil"/>
              <w:bottom w:val="nil"/>
              <w:right w:val="nil"/>
            </w:tcBorders>
            <w:shd w:val="clear" w:color="000000" w:fill="FFFFFF"/>
            <w:noWrap/>
            <w:vAlign w:val="center"/>
            <w:hideMark/>
          </w:tcPr>
          <w:p w14:paraId="0E0245FA"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5,378,277</w:t>
            </w:r>
          </w:p>
        </w:tc>
        <w:tc>
          <w:tcPr>
            <w:tcW w:w="940" w:type="pct"/>
            <w:tcBorders>
              <w:top w:val="nil"/>
              <w:left w:val="nil"/>
              <w:bottom w:val="nil"/>
              <w:right w:val="nil"/>
            </w:tcBorders>
            <w:shd w:val="clear" w:color="000000" w:fill="FFFFFF"/>
            <w:noWrap/>
            <w:vAlign w:val="center"/>
            <w:hideMark/>
          </w:tcPr>
          <w:p w14:paraId="0843483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1.03377</w:t>
            </w:r>
          </w:p>
        </w:tc>
        <w:tc>
          <w:tcPr>
            <w:tcW w:w="873" w:type="pct"/>
            <w:tcBorders>
              <w:top w:val="nil"/>
              <w:left w:val="nil"/>
              <w:bottom w:val="nil"/>
              <w:right w:val="nil"/>
            </w:tcBorders>
            <w:shd w:val="clear" w:color="000000" w:fill="FFFFFF"/>
            <w:noWrap/>
            <w:vAlign w:val="center"/>
            <w:hideMark/>
          </w:tcPr>
          <w:p w14:paraId="18350E0A"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5,559,901</w:t>
            </w:r>
          </w:p>
        </w:tc>
        <w:tc>
          <w:tcPr>
            <w:tcW w:w="1007" w:type="pct"/>
            <w:tcBorders>
              <w:top w:val="nil"/>
              <w:left w:val="nil"/>
              <w:bottom w:val="nil"/>
              <w:right w:val="nil"/>
            </w:tcBorders>
            <w:shd w:val="clear" w:color="000000" w:fill="FFFFFF"/>
            <w:noWrap/>
            <w:vAlign w:val="center"/>
            <w:hideMark/>
          </w:tcPr>
          <w:p w14:paraId="46685CBD"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21.2</w:t>
            </w:r>
          </w:p>
        </w:tc>
        <w:tc>
          <w:tcPr>
            <w:tcW w:w="873" w:type="pct"/>
            <w:tcBorders>
              <w:top w:val="nil"/>
              <w:left w:val="nil"/>
              <w:bottom w:val="nil"/>
              <w:right w:val="nil"/>
            </w:tcBorders>
            <w:shd w:val="clear" w:color="000000" w:fill="E6F2FF"/>
            <w:noWrap/>
            <w:vAlign w:val="center"/>
            <w:hideMark/>
          </w:tcPr>
          <w:p w14:paraId="2CBAA6F6"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17,358</w:t>
            </w:r>
          </w:p>
        </w:tc>
      </w:tr>
      <w:tr w:rsidR="00254F02" w:rsidRPr="00934CF0" w14:paraId="6299EBE7"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21829E46"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WA</w:t>
            </w:r>
          </w:p>
        </w:tc>
        <w:tc>
          <w:tcPr>
            <w:tcW w:w="900" w:type="pct"/>
            <w:tcBorders>
              <w:top w:val="nil"/>
              <w:left w:val="nil"/>
              <w:bottom w:val="nil"/>
              <w:right w:val="nil"/>
            </w:tcBorders>
            <w:shd w:val="clear" w:color="000000" w:fill="FFFFFF"/>
            <w:noWrap/>
            <w:vAlign w:val="center"/>
            <w:hideMark/>
          </w:tcPr>
          <w:p w14:paraId="2AFEAD3C"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2,825,178</w:t>
            </w:r>
          </w:p>
        </w:tc>
        <w:tc>
          <w:tcPr>
            <w:tcW w:w="940" w:type="pct"/>
            <w:tcBorders>
              <w:top w:val="nil"/>
              <w:left w:val="nil"/>
              <w:bottom w:val="nil"/>
              <w:right w:val="nil"/>
            </w:tcBorders>
            <w:shd w:val="clear" w:color="000000" w:fill="FFFFFF"/>
            <w:noWrap/>
            <w:vAlign w:val="center"/>
            <w:hideMark/>
          </w:tcPr>
          <w:p w14:paraId="0748AD6B"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0.70000</w:t>
            </w:r>
          </w:p>
        </w:tc>
        <w:tc>
          <w:tcPr>
            <w:tcW w:w="873" w:type="pct"/>
            <w:tcBorders>
              <w:top w:val="nil"/>
              <w:left w:val="nil"/>
              <w:bottom w:val="nil"/>
              <w:right w:val="nil"/>
            </w:tcBorders>
            <w:shd w:val="clear" w:color="000000" w:fill="FFFFFF"/>
            <w:noWrap/>
            <w:vAlign w:val="center"/>
            <w:hideMark/>
          </w:tcPr>
          <w:p w14:paraId="0A31947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1,977,625</w:t>
            </w:r>
          </w:p>
        </w:tc>
        <w:tc>
          <w:tcPr>
            <w:tcW w:w="1007" w:type="pct"/>
            <w:tcBorders>
              <w:top w:val="nil"/>
              <w:left w:val="nil"/>
              <w:bottom w:val="nil"/>
              <w:right w:val="nil"/>
            </w:tcBorders>
            <w:shd w:val="clear" w:color="000000" w:fill="FFFFFF"/>
            <w:noWrap/>
            <w:vAlign w:val="center"/>
            <w:hideMark/>
          </w:tcPr>
          <w:p w14:paraId="2B18CA8F"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7.5</w:t>
            </w:r>
          </w:p>
        </w:tc>
        <w:tc>
          <w:tcPr>
            <w:tcW w:w="873" w:type="pct"/>
            <w:tcBorders>
              <w:top w:val="nil"/>
              <w:left w:val="nil"/>
              <w:bottom w:val="nil"/>
              <w:right w:val="nil"/>
            </w:tcBorders>
            <w:shd w:val="clear" w:color="000000" w:fill="E6F2FF"/>
            <w:noWrap/>
            <w:vAlign w:val="center"/>
            <w:hideMark/>
          </w:tcPr>
          <w:p w14:paraId="711F8E1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6,174</w:t>
            </w:r>
          </w:p>
        </w:tc>
      </w:tr>
      <w:tr w:rsidR="00254F02" w:rsidRPr="00934CF0" w14:paraId="14792B79"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45FBF2EE"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SA</w:t>
            </w:r>
          </w:p>
        </w:tc>
        <w:tc>
          <w:tcPr>
            <w:tcW w:w="900" w:type="pct"/>
            <w:tcBorders>
              <w:top w:val="nil"/>
              <w:left w:val="nil"/>
              <w:bottom w:val="nil"/>
              <w:right w:val="nil"/>
            </w:tcBorders>
            <w:shd w:val="clear" w:color="000000" w:fill="FFFFFF"/>
            <w:noWrap/>
            <w:vAlign w:val="center"/>
            <w:hideMark/>
          </w:tcPr>
          <w:p w14:paraId="6DA37185"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1,834,275</w:t>
            </w:r>
          </w:p>
        </w:tc>
        <w:tc>
          <w:tcPr>
            <w:tcW w:w="940" w:type="pct"/>
            <w:tcBorders>
              <w:top w:val="nil"/>
              <w:left w:val="nil"/>
              <w:bottom w:val="nil"/>
              <w:right w:val="nil"/>
            </w:tcBorders>
            <w:shd w:val="clear" w:color="000000" w:fill="FFFFFF"/>
            <w:noWrap/>
            <w:vAlign w:val="center"/>
            <w:hideMark/>
          </w:tcPr>
          <w:p w14:paraId="3246EC16"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1.28411</w:t>
            </w:r>
          </w:p>
        </w:tc>
        <w:tc>
          <w:tcPr>
            <w:tcW w:w="873" w:type="pct"/>
            <w:tcBorders>
              <w:top w:val="nil"/>
              <w:left w:val="nil"/>
              <w:bottom w:val="nil"/>
              <w:right w:val="nil"/>
            </w:tcBorders>
            <w:shd w:val="clear" w:color="000000" w:fill="FFFFFF"/>
            <w:noWrap/>
            <w:vAlign w:val="center"/>
            <w:hideMark/>
          </w:tcPr>
          <w:p w14:paraId="65DBC9B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2,355,411</w:t>
            </w:r>
          </w:p>
        </w:tc>
        <w:tc>
          <w:tcPr>
            <w:tcW w:w="1007" w:type="pct"/>
            <w:tcBorders>
              <w:top w:val="nil"/>
              <w:left w:val="nil"/>
              <w:bottom w:val="nil"/>
              <w:right w:val="nil"/>
            </w:tcBorders>
            <w:shd w:val="clear" w:color="000000" w:fill="FFFFFF"/>
            <w:noWrap/>
            <w:vAlign w:val="center"/>
            <w:hideMark/>
          </w:tcPr>
          <w:p w14:paraId="3BD5E3B2"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9.0</w:t>
            </w:r>
          </w:p>
        </w:tc>
        <w:tc>
          <w:tcPr>
            <w:tcW w:w="873" w:type="pct"/>
            <w:tcBorders>
              <w:top w:val="nil"/>
              <w:left w:val="nil"/>
              <w:bottom w:val="nil"/>
              <w:right w:val="nil"/>
            </w:tcBorders>
            <w:shd w:val="clear" w:color="000000" w:fill="E6F2FF"/>
            <w:noWrap/>
            <w:vAlign w:val="center"/>
            <w:hideMark/>
          </w:tcPr>
          <w:p w14:paraId="178CED52"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7,354</w:t>
            </w:r>
          </w:p>
        </w:tc>
      </w:tr>
      <w:tr w:rsidR="00254F02" w:rsidRPr="00934CF0" w14:paraId="66122638"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07857BC8"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TAS</w:t>
            </w:r>
          </w:p>
        </w:tc>
        <w:tc>
          <w:tcPr>
            <w:tcW w:w="900" w:type="pct"/>
            <w:tcBorders>
              <w:top w:val="nil"/>
              <w:left w:val="nil"/>
              <w:bottom w:val="nil"/>
              <w:right w:val="nil"/>
            </w:tcBorders>
            <w:shd w:val="clear" w:color="000000" w:fill="FFFFFF"/>
            <w:noWrap/>
            <w:vAlign w:val="center"/>
            <w:hideMark/>
          </w:tcPr>
          <w:p w14:paraId="26EA4B53"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571,596</w:t>
            </w:r>
          </w:p>
        </w:tc>
        <w:tc>
          <w:tcPr>
            <w:tcW w:w="940" w:type="pct"/>
            <w:tcBorders>
              <w:top w:val="nil"/>
              <w:left w:val="nil"/>
              <w:bottom w:val="nil"/>
              <w:right w:val="nil"/>
            </w:tcBorders>
            <w:shd w:val="clear" w:color="000000" w:fill="FFFFFF"/>
            <w:noWrap/>
            <w:vAlign w:val="center"/>
            <w:hideMark/>
          </w:tcPr>
          <w:p w14:paraId="05587451"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1.85360</w:t>
            </w:r>
          </w:p>
        </w:tc>
        <w:tc>
          <w:tcPr>
            <w:tcW w:w="873" w:type="pct"/>
            <w:tcBorders>
              <w:top w:val="nil"/>
              <w:left w:val="nil"/>
              <w:bottom w:val="nil"/>
              <w:right w:val="nil"/>
            </w:tcBorders>
            <w:shd w:val="clear" w:color="000000" w:fill="FFFFFF"/>
            <w:noWrap/>
            <w:vAlign w:val="center"/>
            <w:hideMark/>
          </w:tcPr>
          <w:p w14:paraId="2D72EDA4"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1,059,510</w:t>
            </w:r>
          </w:p>
        </w:tc>
        <w:tc>
          <w:tcPr>
            <w:tcW w:w="1007" w:type="pct"/>
            <w:tcBorders>
              <w:top w:val="nil"/>
              <w:left w:val="nil"/>
              <w:bottom w:val="nil"/>
              <w:right w:val="nil"/>
            </w:tcBorders>
            <w:shd w:val="clear" w:color="000000" w:fill="FFFFFF"/>
            <w:noWrap/>
            <w:vAlign w:val="center"/>
            <w:hideMark/>
          </w:tcPr>
          <w:p w14:paraId="2D13787B"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4.0</w:t>
            </w:r>
          </w:p>
        </w:tc>
        <w:tc>
          <w:tcPr>
            <w:tcW w:w="873" w:type="pct"/>
            <w:tcBorders>
              <w:top w:val="nil"/>
              <w:left w:val="nil"/>
              <w:bottom w:val="nil"/>
              <w:right w:val="nil"/>
            </w:tcBorders>
            <w:shd w:val="clear" w:color="000000" w:fill="E6F2FF"/>
            <w:noWrap/>
            <w:vAlign w:val="center"/>
            <w:hideMark/>
          </w:tcPr>
          <w:p w14:paraId="5F01E099"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3,308</w:t>
            </w:r>
          </w:p>
        </w:tc>
      </w:tr>
      <w:tr w:rsidR="00254F02" w:rsidRPr="00934CF0" w14:paraId="630DEAED"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61512DF9"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ACT</w:t>
            </w:r>
          </w:p>
        </w:tc>
        <w:tc>
          <w:tcPr>
            <w:tcW w:w="900" w:type="pct"/>
            <w:tcBorders>
              <w:top w:val="nil"/>
              <w:left w:val="nil"/>
              <w:bottom w:val="nil"/>
              <w:right w:val="nil"/>
            </w:tcBorders>
            <w:shd w:val="clear" w:color="000000" w:fill="FFFFFF"/>
            <w:noWrap/>
            <w:vAlign w:val="center"/>
            <w:hideMark/>
          </w:tcPr>
          <w:p w14:paraId="025D9E6D"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460,855</w:t>
            </w:r>
          </w:p>
        </w:tc>
        <w:tc>
          <w:tcPr>
            <w:tcW w:w="940" w:type="pct"/>
            <w:tcBorders>
              <w:top w:val="nil"/>
              <w:left w:val="nil"/>
              <w:bottom w:val="nil"/>
              <w:right w:val="nil"/>
            </w:tcBorders>
            <w:shd w:val="clear" w:color="000000" w:fill="FFFFFF"/>
            <w:noWrap/>
            <w:vAlign w:val="center"/>
            <w:hideMark/>
          </w:tcPr>
          <w:p w14:paraId="5C935D77"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1.09250</w:t>
            </w:r>
          </w:p>
        </w:tc>
        <w:tc>
          <w:tcPr>
            <w:tcW w:w="873" w:type="pct"/>
            <w:tcBorders>
              <w:top w:val="nil"/>
              <w:left w:val="nil"/>
              <w:bottom w:val="nil"/>
              <w:right w:val="nil"/>
            </w:tcBorders>
            <w:shd w:val="clear" w:color="000000" w:fill="FFFFFF"/>
            <w:noWrap/>
            <w:vAlign w:val="center"/>
            <w:hideMark/>
          </w:tcPr>
          <w:p w14:paraId="1C757BF8"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503,484</w:t>
            </w:r>
          </w:p>
        </w:tc>
        <w:tc>
          <w:tcPr>
            <w:tcW w:w="1007" w:type="pct"/>
            <w:tcBorders>
              <w:top w:val="nil"/>
              <w:left w:val="nil"/>
              <w:bottom w:val="nil"/>
              <w:right w:val="nil"/>
            </w:tcBorders>
            <w:shd w:val="clear" w:color="000000" w:fill="FFFFFF"/>
            <w:noWrap/>
            <w:vAlign w:val="center"/>
            <w:hideMark/>
          </w:tcPr>
          <w:p w14:paraId="6221AC7D"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1.9</w:t>
            </w:r>
          </w:p>
        </w:tc>
        <w:tc>
          <w:tcPr>
            <w:tcW w:w="873" w:type="pct"/>
            <w:tcBorders>
              <w:top w:val="nil"/>
              <w:left w:val="nil"/>
              <w:bottom w:val="nil"/>
              <w:right w:val="nil"/>
            </w:tcBorders>
            <w:shd w:val="clear" w:color="000000" w:fill="E6F2FF"/>
            <w:noWrap/>
            <w:vAlign w:val="center"/>
            <w:hideMark/>
          </w:tcPr>
          <w:p w14:paraId="40E3179E"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1,572</w:t>
            </w:r>
          </w:p>
        </w:tc>
      </w:tr>
      <w:tr w:rsidR="00254F02" w:rsidRPr="00934CF0" w14:paraId="17C55462" w14:textId="77777777" w:rsidTr="00254F02">
        <w:trPr>
          <w:divId w:val="1610120630"/>
          <w:trHeight w:hRule="exact" w:val="225"/>
        </w:trPr>
        <w:tc>
          <w:tcPr>
            <w:tcW w:w="406" w:type="pct"/>
            <w:tcBorders>
              <w:top w:val="nil"/>
              <w:left w:val="nil"/>
              <w:bottom w:val="nil"/>
              <w:right w:val="nil"/>
            </w:tcBorders>
            <w:shd w:val="clear" w:color="000000" w:fill="FFFFFF"/>
            <w:noWrap/>
            <w:vAlign w:val="center"/>
            <w:hideMark/>
          </w:tcPr>
          <w:p w14:paraId="27FA80D5"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NT</w:t>
            </w:r>
          </w:p>
        </w:tc>
        <w:tc>
          <w:tcPr>
            <w:tcW w:w="900" w:type="pct"/>
            <w:tcBorders>
              <w:top w:val="nil"/>
              <w:left w:val="nil"/>
              <w:bottom w:val="nil"/>
              <w:right w:val="nil"/>
            </w:tcBorders>
            <w:shd w:val="clear" w:color="000000" w:fill="FFFFFF"/>
            <w:noWrap/>
            <w:vAlign w:val="center"/>
            <w:hideMark/>
          </w:tcPr>
          <w:p w14:paraId="502D3316"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250,149</w:t>
            </w:r>
          </w:p>
        </w:tc>
        <w:tc>
          <w:tcPr>
            <w:tcW w:w="940" w:type="pct"/>
            <w:tcBorders>
              <w:top w:val="nil"/>
              <w:left w:val="nil"/>
              <w:bottom w:val="nil"/>
              <w:right w:val="nil"/>
            </w:tcBorders>
            <w:shd w:val="clear" w:color="000000" w:fill="FFFFFF"/>
            <w:noWrap/>
            <w:vAlign w:val="center"/>
            <w:hideMark/>
          </w:tcPr>
          <w:p w14:paraId="710DA64F"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4.86988</w:t>
            </w:r>
          </w:p>
        </w:tc>
        <w:tc>
          <w:tcPr>
            <w:tcW w:w="873" w:type="pct"/>
            <w:tcBorders>
              <w:top w:val="nil"/>
              <w:left w:val="nil"/>
              <w:bottom w:val="nil"/>
              <w:right w:val="nil"/>
            </w:tcBorders>
            <w:shd w:val="clear" w:color="000000" w:fill="FFFFFF"/>
            <w:noWrap/>
            <w:vAlign w:val="center"/>
            <w:hideMark/>
          </w:tcPr>
          <w:p w14:paraId="33B2244E"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1,218,196</w:t>
            </w:r>
          </w:p>
        </w:tc>
        <w:tc>
          <w:tcPr>
            <w:tcW w:w="1007" w:type="pct"/>
            <w:tcBorders>
              <w:top w:val="nil"/>
              <w:left w:val="nil"/>
              <w:bottom w:val="nil"/>
              <w:right w:val="nil"/>
            </w:tcBorders>
            <w:shd w:val="clear" w:color="000000" w:fill="FFFFFF"/>
            <w:noWrap/>
            <w:vAlign w:val="center"/>
            <w:hideMark/>
          </w:tcPr>
          <w:p w14:paraId="542784B3"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4.6</w:t>
            </w:r>
          </w:p>
        </w:tc>
        <w:tc>
          <w:tcPr>
            <w:tcW w:w="873" w:type="pct"/>
            <w:tcBorders>
              <w:top w:val="nil"/>
              <w:left w:val="nil"/>
              <w:bottom w:val="nil"/>
              <w:right w:val="nil"/>
            </w:tcBorders>
            <w:shd w:val="clear" w:color="000000" w:fill="E6F2FF"/>
            <w:noWrap/>
            <w:vAlign w:val="center"/>
            <w:hideMark/>
          </w:tcPr>
          <w:p w14:paraId="0B1AA1FE"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3,803</w:t>
            </w:r>
          </w:p>
        </w:tc>
      </w:tr>
      <w:tr w:rsidR="00254F02" w:rsidRPr="00934CF0" w14:paraId="1E24B703" w14:textId="77777777" w:rsidTr="00254F02">
        <w:trPr>
          <w:divId w:val="1610120630"/>
          <w:trHeight w:hRule="exact" w:val="225"/>
        </w:trPr>
        <w:tc>
          <w:tcPr>
            <w:tcW w:w="406" w:type="pct"/>
            <w:tcBorders>
              <w:top w:val="nil"/>
              <w:left w:val="nil"/>
              <w:bottom w:val="single" w:sz="4" w:space="0" w:color="293F5B"/>
              <w:right w:val="nil"/>
            </w:tcBorders>
            <w:shd w:val="clear" w:color="000000" w:fill="FFFFFF"/>
            <w:noWrap/>
            <w:vAlign w:val="center"/>
            <w:hideMark/>
          </w:tcPr>
          <w:p w14:paraId="0842F58B" w14:textId="77777777" w:rsidR="00254F02" w:rsidRPr="00934CF0" w:rsidRDefault="00254F02" w:rsidP="00254F02">
            <w:pPr>
              <w:spacing w:before="0" w:after="0" w:line="240" w:lineRule="auto"/>
              <w:rPr>
                <w:rFonts w:ascii="Arial" w:hAnsi="Arial" w:cs="Arial"/>
                <w:sz w:val="16"/>
                <w:szCs w:val="16"/>
              </w:rPr>
            </w:pPr>
            <w:r w:rsidRPr="00934CF0">
              <w:rPr>
                <w:rFonts w:ascii="Arial" w:hAnsi="Arial" w:cs="Arial"/>
                <w:sz w:val="16"/>
                <w:szCs w:val="16"/>
              </w:rPr>
              <w:t>Total</w:t>
            </w:r>
          </w:p>
        </w:tc>
        <w:tc>
          <w:tcPr>
            <w:tcW w:w="900" w:type="pct"/>
            <w:tcBorders>
              <w:top w:val="single" w:sz="4" w:space="0" w:color="293F5B"/>
              <w:left w:val="nil"/>
              <w:bottom w:val="single" w:sz="4" w:space="0" w:color="293F5B"/>
              <w:right w:val="nil"/>
            </w:tcBorders>
            <w:shd w:val="clear" w:color="000000" w:fill="FFFFFF"/>
            <w:noWrap/>
            <w:vAlign w:val="center"/>
            <w:hideMark/>
          </w:tcPr>
          <w:p w14:paraId="0BD282FB"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26,263,412</w:t>
            </w:r>
          </w:p>
        </w:tc>
        <w:tc>
          <w:tcPr>
            <w:tcW w:w="940" w:type="pct"/>
            <w:tcBorders>
              <w:top w:val="single" w:sz="4" w:space="0" w:color="293F5B"/>
              <w:left w:val="nil"/>
              <w:bottom w:val="single" w:sz="4" w:space="0" w:color="293F5B"/>
              <w:right w:val="nil"/>
            </w:tcBorders>
            <w:shd w:val="clear" w:color="000000" w:fill="FFFFFF"/>
            <w:noWrap/>
            <w:vAlign w:val="center"/>
            <w:hideMark/>
          </w:tcPr>
          <w:p w14:paraId="25F7947A"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na</w:t>
            </w:r>
          </w:p>
        </w:tc>
        <w:tc>
          <w:tcPr>
            <w:tcW w:w="873" w:type="pct"/>
            <w:tcBorders>
              <w:top w:val="single" w:sz="4" w:space="0" w:color="293F5B"/>
              <w:left w:val="nil"/>
              <w:bottom w:val="single" w:sz="4" w:space="0" w:color="293F5B"/>
              <w:right w:val="nil"/>
            </w:tcBorders>
            <w:shd w:val="clear" w:color="000000" w:fill="FFFFFF"/>
            <w:noWrap/>
            <w:vAlign w:val="center"/>
            <w:hideMark/>
          </w:tcPr>
          <w:p w14:paraId="2607D620"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26,262,706</w:t>
            </w:r>
          </w:p>
        </w:tc>
        <w:tc>
          <w:tcPr>
            <w:tcW w:w="1007" w:type="pct"/>
            <w:tcBorders>
              <w:top w:val="single" w:sz="4" w:space="0" w:color="293F5B"/>
              <w:left w:val="nil"/>
              <w:bottom w:val="single" w:sz="4" w:space="0" w:color="293F5B"/>
              <w:right w:val="nil"/>
            </w:tcBorders>
            <w:shd w:val="clear" w:color="000000" w:fill="FFFFFF"/>
            <w:noWrap/>
            <w:vAlign w:val="center"/>
            <w:hideMark/>
          </w:tcPr>
          <w:p w14:paraId="15AE603F"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100</w:t>
            </w:r>
          </w:p>
        </w:tc>
        <w:tc>
          <w:tcPr>
            <w:tcW w:w="873" w:type="pct"/>
            <w:tcBorders>
              <w:top w:val="single" w:sz="4" w:space="0" w:color="293F5B"/>
              <w:left w:val="nil"/>
              <w:bottom w:val="single" w:sz="4" w:space="0" w:color="293F5B"/>
              <w:right w:val="nil"/>
            </w:tcBorders>
            <w:shd w:val="clear" w:color="000000" w:fill="E6F2FF"/>
            <w:noWrap/>
            <w:vAlign w:val="center"/>
            <w:hideMark/>
          </w:tcPr>
          <w:p w14:paraId="5DAF0376" w14:textId="77777777" w:rsidR="00254F02" w:rsidRPr="00934CF0" w:rsidRDefault="00254F02" w:rsidP="00254F02">
            <w:pPr>
              <w:spacing w:before="0" w:after="0" w:line="240" w:lineRule="auto"/>
              <w:jc w:val="right"/>
              <w:rPr>
                <w:rFonts w:ascii="Arial" w:hAnsi="Arial" w:cs="Arial"/>
                <w:sz w:val="16"/>
                <w:szCs w:val="16"/>
              </w:rPr>
            </w:pPr>
            <w:r w:rsidRPr="00934CF0">
              <w:rPr>
                <w:rFonts w:ascii="Arial" w:hAnsi="Arial" w:cs="Arial"/>
                <w:sz w:val="16"/>
                <w:szCs w:val="16"/>
              </w:rPr>
              <w:t>81,994</w:t>
            </w:r>
          </w:p>
        </w:tc>
      </w:tr>
    </w:tbl>
    <w:p w14:paraId="227AE32F" w14:textId="5D1BCCCA" w:rsidR="009175F2" w:rsidRPr="00934CF0" w:rsidRDefault="00254F02" w:rsidP="0052486B">
      <w:pPr>
        <w:pStyle w:val="ChartandTableFootnoteAlpha"/>
        <w:numPr>
          <w:ilvl w:val="0"/>
          <w:numId w:val="6"/>
        </w:numPr>
        <w:rPr>
          <w:color w:val="auto"/>
        </w:rPr>
      </w:pPr>
      <w:r w:rsidRPr="00934CF0">
        <w:rPr>
          <w:rFonts w:eastAsiaTheme="minorHAnsi"/>
          <w:color w:val="auto"/>
        </w:rPr>
        <w:fldChar w:fldCharType="end"/>
      </w:r>
      <w:r w:rsidR="009175F2" w:rsidRPr="00934CF0">
        <w:rPr>
          <w:color w:val="auto"/>
        </w:rPr>
        <w:t>The 202</w:t>
      </w:r>
      <w:r w:rsidR="00E35EB4" w:rsidRPr="00934CF0">
        <w:rPr>
          <w:color w:val="auto"/>
        </w:rPr>
        <w:t>2</w:t>
      </w:r>
      <w:r w:rsidR="00863F4D" w:rsidRPr="00934CF0">
        <w:rPr>
          <w:color w:val="auto"/>
        </w:rPr>
        <w:t>–</w:t>
      </w:r>
      <w:r w:rsidR="009175F2" w:rsidRPr="00934CF0">
        <w:rPr>
          <w:color w:val="auto"/>
        </w:rPr>
        <w:t>2</w:t>
      </w:r>
      <w:r w:rsidR="00E35EB4" w:rsidRPr="00934CF0">
        <w:rPr>
          <w:color w:val="auto"/>
        </w:rPr>
        <w:t>3</w:t>
      </w:r>
      <w:r w:rsidR="009175F2" w:rsidRPr="00934CF0">
        <w:rPr>
          <w:color w:val="auto"/>
        </w:rPr>
        <w:t xml:space="preserve"> GST outcome will be finalised following a Determination by a Treasury portfolio minister.</w:t>
      </w:r>
    </w:p>
    <w:p w14:paraId="5F6A3480" w14:textId="77777777" w:rsidR="009175F2" w:rsidRPr="00934CF0" w:rsidRDefault="009175F2" w:rsidP="005358C9">
      <w:pPr>
        <w:pStyle w:val="ChartLine"/>
      </w:pPr>
    </w:p>
    <w:p w14:paraId="086CF5B5" w14:textId="60F55CF3" w:rsidR="009175F2" w:rsidRPr="00934CF0" w:rsidRDefault="009175F2" w:rsidP="009175F2">
      <w:r w:rsidRPr="00934CF0">
        <w:t>Table 3.10 provides a summary of the advances made in 202</w:t>
      </w:r>
      <w:r w:rsidR="00E35EB4" w:rsidRPr="00934CF0">
        <w:t>2</w:t>
      </w:r>
      <w:r w:rsidR="00863F4D" w:rsidRPr="00934CF0">
        <w:t>–</w:t>
      </w:r>
      <w:r w:rsidRPr="00934CF0">
        <w:t>2</w:t>
      </w:r>
      <w:r w:rsidR="00E35EB4" w:rsidRPr="00934CF0">
        <w:t>3</w:t>
      </w:r>
      <w:r w:rsidRPr="00934CF0">
        <w:t xml:space="preserve"> against the states’ estimated final entitlements shown in Table 3.9. The variance between advances paid in 202</w:t>
      </w:r>
      <w:r w:rsidR="00E35EB4" w:rsidRPr="00934CF0">
        <w:t>2</w:t>
      </w:r>
      <w:r w:rsidR="00863F4D" w:rsidRPr="00934CF0">
        <w:t>–</w:t>
      </w:r>
      <w:r w:rsidRPr="00934CF0">
        <w:t>2</w:t>
      </w:r>
      <w:r w:rsidR="00E35EB4" w:rsidRPr="00934CF0">
        <w:t>3</w:t>
      </w:r>
      <w:r w:rsidRPr="00934CF0">
        <w:t xml:space="preserve"> and the states’ final entitlements will be included as an adjustment to payments in the 202</w:t>
      </w:r>
      <w:r w:rsidR="00E35EB4" w:rsidRPr="00934CF0">
        <w:t>3</w:t>
      </w:r>
      <w:r w:rsidR="00863F4D" w:rsidRPr="00934CF0">
        <w:t>–</w:t>
      </w:r>
      <w:r w:rsidRPr="00934CF0">
        <w:t>2</w:t>
      </w:r>
      <w:r w:rsidR="00E35EB4" w:rsidRPr="00934CF0">
        <w:t>4</w:t>
      </w:r>
      <w:r w:rsidRPr="00934CF0">
        <w:t xml:space="preserve"> financial year.</w:t>
      </w:r>
    </w:p>
    <w:p w14:paraId="2C7A419D" w14:textId="0AF89744" w:rsidR="007B156C" w:rsidRPr="00934CF0" w:rsidRDefault="009175F2" w:rsidP="007B156C">
      <w:pPr>
        <w:pStyle w:val="TableHeading"/>
        <w:rPr>
          <w:rFonts w:asciiTheme="minorHAnsi" w:eastAsiaTheme="minorHAnsi" w:hAnsiTheme="minorHAnsi" w:cstheme="minorBidi"/>
          <w:sz w:val="22"/>
          <w:szCs w:val="22"/>
          <w:lang w:eastAsia="en-US"/>
        </w:rPr>
      </w:pPr>
      <w:r w:rsidRPr="00934CF0">
        <w:t>Table 3.10: Summary of GST advances made in 202</w:t>
      </w:r>
      <w:r w:rsidR="0057652C" w:rsidRPr="00934CF0">
        <w:t>2</w:t>
      </w:r>
      <w:r w:rsidR="00863F4D" w:rsidRPr="00934CF0">
        <w:t>–</w:t>
      </w:r>
      <w:r w:rsidRPr="00934CF0">
        <w:t>2</w:t>
      </w:r>
      <w:r w:rsidR="0057652C" w:rsidRPr="00934CF0">
        <w:t>3</w:t>
      </w:r>
      <w:r w:rsidRPr="00934CF0">
        <w:t xml:space="preserve"> and distribution of the balancing adjustment across states</w:t>
      </w:r>
      <w:r w:rsidRPr="00934CF0">
        <w:rPr>
          <w:vertAlign w:val="superscript"/>
        </w:rPr>
        <w:t>(a)</w:t>
      </w:r>
      <w:r w:rsidRPr="00934CF0">
        <w:t xml:space="preserve"> </w:t>
      </w:r>
      <w:r w:rsidR="00217C5D" w:rsidRPr="00934CF0">
        <w:rPr>
          <w:rFonts w:eastAsiaTheme="minorHAnsi"/>
        </w:rPr>
        <w:fldChar w:fldCharType="begin" w:fldLock="1"/>
      </w:r>
      <w:r w:rsidR="00217C5D" w:rsidRPr="00934CF0">
        <w:rPr>
          <w:rFonts w:eastAsiaTheme="minorHAnsi"/>
        </w:rPr>
        <w:instrText xml:space="preserve"> LINK </w:instrText>
      </w:r>
      <w:r w:rsidR="007B156C" w:rsidRPr="00934CF0">
        <w:rPr>
          <w:rFonts w:eastAsiaTheme="minorHAnsi"/>
        </w:rPr>
        <w:instrText xml:space="preserve">Excel.Sheet.12 "https://austreasury.sharepoint.com/sites/Budget/Shared Documents/2022-23 FBO/03 Part 3/Master Tables/GST Tables/GST Tables FBO 2022-23.xlsx" "Balancing by state!R3C1:R7C10" </w:instrText>
      </w:r>
      <w:r w:rsidR="00217C5D" w:rsidRPr="00934CF0">
        <w:rPr>
          <w:rFonts w:eastAsiaTheme="minorHAnsi"/>
        </w:rPr>
        <w:instrText xml:space="preserve">\a \f 4 \h </w:instrText>
      </w:r>
      <w:r w:rsidR="00A23A7F" w:rsidRPr="00934CF0">
        <w:rPr>
          <w:rFonts w:eastAsiaTheme="minorHAnsi"/>
        </w:rPr>
        <w:instrText xml:space="preserve"> \* MERGEFORMAT </w:instrText>
      </w:r>
      <w:r w:rsidR="00217C5D" w:rsidRPr="00934CF0">
        <w:rPr>
          <w:rFonts w:eastAsiaTheme="minorHAnsi"/>
        </w:rPr>
        <w:fldChar w:fldCharType="separate"/>
      </w:r>
      <w:bookmarkStart w:id="4" w:name="_1756551549"/>
      <w:bookmarkEnd w:id="4"/>
    </w:p>
    <w:tbl>
      <w:tblPr>
        <w:tblW w:w="5000" w:type="pct"/>
        <w:tblCellMar>
          <w:left w:w="0" w:type="dxa"/>
          <w:right w:w="28" w:type="dxa"/>
        </w:tblCellMar>
        <w:tblLook w:val="04A0" w:firstRow="1" w:lastRow="0" w:firstColumn="1" w:lastColumn="0" w:noHBand="0" w:noVBand="1"/>
      </w:tblPr>
      <w:tblGrid>
        <w:gridCol w:w="1220"/>
        <w:gridCol w:w="722"/>
        <w:gridCol w:w="722"/>
        <w:gridCol w:w="722"/>
        <w:gridCol w:w="722"/>
        <w:gridCol w:w="722"/>
        <w:gridCol w:w="722"/>
        <w:gridCol w:w="722"/>
        <w:gridCol w:w="722"/>
        <w:gridCol w:w="714"/>
      </w:tblGrid>
      <w:tr w:rsidR="00853747" w:rsidRPr="00934CF0" w14:paraId="0CF025AE" w14:textId="77777777" w:rsidTr="00853747">
        <w:trPr>
          <w:divId w:val="1824812636"/>
          <w:trHeight w:hRule="exact" w:val="226"/>
        </w:trPr>
        <w:tc>
          <w:tcPr>
            <w:tcW w:w="791" w:type="pct"/>
            <w:tcBorders>
              <w:top w:val="single" w:sz="4" w:space="0" w:color="293F5B"/>
              <w:left w:val="nil"/>
              <w:bottom w:val="nil"/>
              <w:right w:val="nil"/>
            </w:tcBorders>
            <w:shd w:val="clear" w:color="000000" w:fill="FFFFFF"/>
            <w:noWrap/>
            <w:vAlign w:val="bottom"/>
            <w:hideMark/>
          </w:tcPr>
          <w:p w14:paraId="58DAB71D" w14:textId="46AE6C37" w:rsidR="00853747" w:rsidRPr="00934CF0" w:rsidRDefault="00853747" w:rsidP="00853747">
            <w:pPr>
              <w:spacing w:before="0" w:after="0" w:line="240" w:lineRule="auto"/>
              <w:rPr>
                <w:rFonts w:ascii="Arial" w:hAnsi="Arial" w:cs="Arial"/>
                <w:sz w:val="16"/>
                <w:szCs w:val="16"/>
              </w:rPr>
            </w:pPr>
            <w:r w:rsidRPr="00934CF0">
              <w:rPr>
                <w:rFonts w:ascii="Arial" w:hAnsi="Arial" w:cs="Arial"/>
                <w:sz w:val="16"/>
                <w:szCs w:val="16"/>
              </w:rPr>
              <w:t>$million</w:t>
            </w:r>
          </w:p>
        </w:tc>
        <w:tc>
          <w:tcPr>
            <w:tcW w:w="468" w:type="pct"/>
            <w:tcBorders>
              <w:top w:val="single" w:sz="4" w:space="0" w:color="293F5B"/>
              <w:left w:val="nil"/>
              <w:bottom w:val="single" w:sz="4" w:space="0" w:color="293F5B"/>
              <w:right w:val="nil"/>
            </w:tcBorders>
            <w:shd w:val="clear" w:color="000000" w:fill="FFFFFF"/>
            <w:noWrap/>
            <w:vAlign w:val="center"/>
            <w:hideMark/>
          </w:tcPr>
          <w:p w14:paraId="59AFAAAD" w14:textId="77777777" w:rsidR="00853747" w:rsidRPr="00934CF0" w:rsidRDefault="00853747" w:rsidP="00853747">
            <w:pPr>
              <w:pStyle w:val="TableTextRight"/>
            </w:pPr>
            <w:r w:rsidRPr="00934CF0">
              <w:t>NSW</w:t>
            </w:r>
          </w:p>
        </w:tc>
        <w:tc>
          <w:tcPr>
            <w:tcW w:w="468" w:type="pct"/>
            <w:tcBorders>
              <w:top w:val="single" w:sz="4" w:space="0" w:color="293F5B"/>
              <w:left w:val="nil"/>
              <w:bottom w:val="single" w:sz="4" w:space="0" w:color="293F5B"/>
              <w:right w:val="nil"/>
            </w:tcBorders>
            <w:shd w:val="clear" w:color="000000" w:fill="FFFFFF"/>
            <w:noWrap/>
            <w:vAlign w:val="center"/>
            <w:hideMark/>
          </w:tcPr>
          <w:p w14:paraId="43339234" w14:textId="77777777" w:rsidR="00853747" w:rsidRPr="00934CF0" w:rsidRDefault="00853747" w:rsidP="00853747">
            <w:pPr>
              <w:pStyle w:val="TableTextRight"/>
            </w:pPr>
            <w:r w:rsidRPr="00934CF0">
              <w:t>VIC</w:t>
            </w:r>
          </w:p>
        </w:tc>
        <w:tc>
          <w:tcPr>
            <w:tcW w:w="468" w:type="pct"/>
            <w:tcBorders>
              <w:top w:val="single" w:sz="4" w:space="0" w:color="293F5B"/>
              <w:left w:val="nil"/>
              <w:bottom w:val="single" w:sz="4" w:space="0" w:color="293F5B"/>
              <w:right w:val="nil"/>
            </w:tcBorders>
            <w:shd w:val="clear" w:color="000000" w:fill="FFFFFF"/>
            <w:noWrap/>
            <w:vAlign w:val="center"/>
            <w:hideMark/>
          </w:tcPr>
          <w:p w14:paraId="2C7CA930" w14:textId="77777777" w:rsidR="00853747" w:rsidRPr="00934CF0" w:rsidRDefault="00853747" w:rsidP="00853747">
            <w:pPr>
              <w:pStyle w:val="TableTextRight"/>
            </w:pPr>
            <w:r w:rsidRPr="00934CF0">
              <w:t>QLD</w:t>
            </w:r>
          </w:p>
        </w:tc>
        <w:tc>
          <w:tcPr>
            <w:tcW w:w="468" w:type="pct"/>
            <w:tcBorders>
              <w:top w:val="single" w:sz="4" w:space="0" w:color="293F5B"/>
              <w:left w:val="nil"/>
              <w:bottom w:val="single" w:sz="4" w:space="0" w:color="293F5B"/>
              <w:right w:val="nil"/>
            </w:tcBorders>
            <w:shd w:val="clear" w:color="000000" w:fill="FFFFFF"/>
            <w:noWrap/>
            <w:vAlign w:val="center"/>
            <w:hideMark/>
          </w:tcPr>
          <w:p w14:paraId="4573572D" w14:textId="77777777" w:rsidR="00853747" w:rsidRPr="00934CF0" w:rsidRDefault="00853747" w:rsidP="00853747">
            <w:pPr>
              <w:pStyle w:val="TableTextRight"/>
            </w:pPr>
            <w:r w:rsidRPr="00934CF0">
              <w:t>WA</w:t>
            </w:r>
          </w:p>
        </w:tc>
        <w:tc>
          <w:tcPr>
            <w:tcW w:w="468" w:type="pct"/>
            <w:tcBorders>
              <w:top w:val="single" w:sz="4" w:space="0" w:color="293F5B"/>
              <w:left w:val="nil"/>
              <w:bottom w:val="single" w:sz="4" w:space="0" w:color="293F5B"/>
              <w:right w:val="nil"/>
            </w:tcBorders>
            <w:shd w:val="clear" w:color="000000" w:fill="FFFFFF"/>
            <w:noWrap/>
            <w:vAlign w:val="center"/>
            <w:hideMark/>
          </w:tcPr>
          <w:p w14:paraId="74E430C9" w14:textId="77777777" w:rsidR="00853747" w:rsidRPr="00934CF0" w:rsidRDefault="00853747" w:rsidP="00853747">
            <w:pPr>
              <w:pStyle w:val="TableTextRight"/>
            </w:pPr>
            <w:r w:rsidRPr="00934CF0">
              <w:t>SA</w:t>
            </w:r>
          </w:p>
        </w:tc>
        <w:tc>
          <w:tcPr>
            <w:tcW w:w="468" w:type="pct"/>
            <w:tcBorders>
              <w:top w:val="single" w:sz="4" w:space="0" w:color="293F5B"/>
              <w:left w:val="nil"/>
              <w:bottom w:val="single" w:sz="4" w:space="0" w:color="293F5B"/>
              <w:right w:val="nil"/>
            </w:tcBorders>
            <w:shd w:val="clear" w:color="000000" w:fill="FFFFFF"/>
            <w:noWrap/>
            <w:vAlign w:val="center"/>
            <w:hideMark/>
          </w:tcPr>
          <w:p w14:paraId="71308E3F" w14:textId="77777777" w:rsidR="00853747" w:rsidRPr="00934CF0" w:rsidRDefault="00853747" w:rsidP="00853747">
            <w:pPr>
              <w:pStyle w:val="TableTextRight"/>
            </w:pPr>
            <w:r w:rsidRPr="00934CF0">
              <w:t>TAS</w:t>
            </w:r>
          </w:p>
        </w:tc>
        <w:tc>
          <w:tcPr>
            <w:tcW w:w="468" w:type="pct"/>
            <w:tcBorders>
              <w:top w:val="single" w:sz="4" w:space="0" w:color="293F5B"/>
              <w:left w:val="nil"/>
              <w:bottom w:val="single" w:sz="4" w:space="0" w:color="293F5B"/>
              <w:right w:val="nil"/>
            </w:tcBorders>
            <w:shd w:val="clear" w:color="000000" w:fill="FFFFFF"/>
            <w:noWrap/>
            <w:vAlign w:val="center"/>
            <w:hideMark/>
          </w:tcPr>
          <w:p w14:paraId="6ECDF135" w14:textId="77777777" w:rsidR="00853747" w:rsidRPr="00934CF0" w:rsidRDefault="00853747" w:rsidP="00853747">
            <w:pPr>
              <w:pStyle w:val="TableTextRight"/>
            </w:pPr>
            <w:r w:rsidRPr="00934CF0">
              <w:t>ACT</w:t>
            </w:r>
          </w:p>
        </w:tc>
        <w:tc>
          <w:tcPr>
            <w:tcW w:w="468" w:type="pct"/>
            <w:tcBorders>
              <w:top w:val="single" w:sz="4" w:space="0" w:color="293F5B"/>
              <w:left w:val="nil"/>
              <w:bottom w:val="single" w:sz="4" w:space="0" w:color="293F5B"/>
              <w:right w:val="nil"/>
            </w:tcBorders>
            <w:shd w:val="clear" w:color="000000" w:fill="FFFFFF"/>
            <w:noWrap/>
            <w:vAlign w:val="center"/>
            <w:hideMark/>
          </w:tcPr>
          <w:p w14:paraId="6DAB74DD" w14:textId="77777777" w:rsidR="00853747" w:rsidRPr="00934CF0" w:rsidRDefault="00853747" w:rsidP="00853747">
            <w:pPr>
              <w:pStyle w:val="TableTextRight"/>
            </w:pPr>
            <w:r w:rsidRPr="00934CF0">
              <w:t>NT</w:t>
            </w:r>
          </w:p>
        </w:tc>
        <w:tc>
          <w:tcPr>
            <w:tcW w:w="463" w:type="pct"/>
            <w:tcBorders>
              <w:top w:val="single" w:sz="4" w:space="0" w:color="293F5B"/>
              <w:left w:val="nil"/>
              <w:bottom w:val="single" w:sz="4" w:space="0" w:color="293F5B"/>
              <w:right w:val="nil"/>
            </w:tcBorders>
            <w:shd w:val="clear" w:color="auto" w:fill="E6F2FF"/>
            <w:noWrap/>
            <w:vAlign w:val="center"/>
            <w:hideMark/>
          </w:tcPr>
          <w:p w14:paraId="65AF30CD" w14:textId="77777777" w:rsidR="00853747" w:rsidRPr="00934CF0" w:rsidRDefault="00853747" w:rsidP="00853747">
            <w:pPr>
              <w:pStyle w:val="TableTextRight"/>
            </w:pPr>
            <w:r w:rsidRPr="00934CF0">
              <w:t>Total</w:t>
            </w:r>
          </w:p>
        </w:tc>
      </w:tr>
      <w:tr w:rsidR="00853747" w:rsidRPr="00934CF0" w14:paraId="43192F5E" w14:textId="77777777" w:rsidTr="00853747">
        <w:trPr>
          <w:divId w:val="1824812636"/>
          <w:trHeight w:hRule="exact" w:val="226"/>
        </w:trPr>
        <w:tc>
          <w:tcPr>
            <w:tcW w:w="791" w:type="pct"/>
            <w:tcBorders>
              <w:top w:val="nil"/>
              <w:left w:val="nil"/>
              <w:bottom w:val="nil"/>
              <w:right w:val="nil"/>
            </w:tcBorders>
            <w:shd w:val="clear" w:color="000000" w:fill="FFFFFF"/>
            <w:noWrap/>
            <w:vAlign w:val="center"/>
            <w:hideMark/>
          </w:tcPr>
          <w:p w14:paraId="73E24BB1" w14:textId="77777777" w:rsidR="00853747" w:rsidRPr="00934CF0" w:rsidRDefault="00853747" w:rsidP="00853747">
            <w:pPr>
              <w:spacing w:before="0" w:after="0" w:line="240" w:lineRule="auto"/>
              <w:rPr>
                <w:rFonts w:ascii="Arial" w:hAnsi="Arial" w:cs="Arial"/>
                <w:sz w:val="16"/>
                <w:szCs w:val="16"/>
              </w:rPr>
            </w:pPr>
            <w:r w:rsidRPr="00934CF0">
              <w:rPr>
                <w:rFonts w:ascii="Arial" w:hAnsi="Arial" w:cs="Arial"/>
                <w:sz w:val="16"/>
                <w:szCs w:val="16"/>
              </w:rPr>
              <w:t>GST entitlement</w:t>
            </w:r>
          </w:p>
        </w:tc>
        <w:tc>
          <w:tcPr>
            <w:tcW w:w="468" w:type="pct"/>
            <w:tcBorders>
              <w:top w:val="single" w:sz="4" w:space="0" w:color="293F5B"/>
              <w:left w:val="nil"/>
              <w:bottom w:val="nil"/>
              <w:right w:val="nil"/>
            </w:tcBorders>
            <w:shd w:val="clear" w:color="auto" w:fill="auto"/>
            <w:noWrap/>
            <w:vAlign w:val="bottom"/>
            <w:hideMark/>
          </w:tcPr>
          <w:p w14:paraId="4B7EAA14" w14:textId="77777777" w:rsidR="00853747" w:rsidRPr="00934CF0" w:rsidRDefault="00853747" w:rsidP="00853747">
            <w:pPr>
              <w:pStyle w:val="TableTextRight"/>
            </w:pPr>
            <w:r w:rsidRPr="00934CF0">
              <w:t>24,453</w:t>
            </w:r>
          </w:p>
        </w:tc>
        <w:tc>
          <w:tcPr>
            <w:tcW w:w="468" w:type="pct"/>
            <w:tcBorders>
              <w:top w:val="single" w:sz="4" w:space="0" w:color="293F5B"/>
              <w:left w:val="nil"/>
              <w:bottom w:val="nil"/>
              <w:right w:val="nil"/>
            </w:tcBorders>
            <w:shd w:val="clear" w:color="auto" w:fill="auto"/>
            <w:noWrap/>
            <w:vAlign w:val="bottom"/>
            <w:hideMark/>
          </w:tcPr>
          <w:p w14:paraId="554FA6F1" w14:textId="77777777" w:rsidR="00853747" w:rsidRPr="00934CF0" w:rsidRDefault="00853747" w:rsidP="00853747">
            <w:pPr>
              <w:pStyle w:val="TableTextRight"/>
            </w:pPr>
            <w:r w:rsidRPr="00934CF0">
              <w:t>17,972</w:t>
            </w:r>
          </w:p>
        </w:tc>
        <w:tc>
          <w:tcPr>
            <w:tcW w:w="468" w:type="pct"/>
            <w:tcBorders>
              <w:top w:val="single" w:sz="4" w:space="0" w:color="293F5B"/>
              <w:left w:val="nil"/>
              <w:bottom w:val="nil"/>
              <w:right w:val="nil"/>
            </w:tcBorders>
            <w:shd w:val="clear" w:color="auto" w:fill="auto"/>
            <w:noWrap/>
            <w:vAlign w:val="bottom"/>
            <w:hideMark/>
          </w:tcPr>
          <w:p w14:paraId="6BC4580B" w14:textId="77777777" w:rsidR="00853747" w:rsidRPr="00934CF0" w:rsidRDefault="00853747" w:rsidP="00853747">
            <w:pPr>
              <w:pStyle w:val="TableTextRight"/>
            </w:pPr>
            <w:r w:rsidRPr="00934CF0">
              <w:t>17,358</w:t>
            </w:r>
          </w:p>
        </w:tc>
        <w:tc>
          <w:tcPr>
            <w:tcW w:w="468" w:type="pct"/>
            <w:tcBorders>
              <w:top w:val="single" w:sz="4" w:space="0" w:color="293F5B"/>
              <w:left w:val="nil"/>
              <w:bottom w:val="nil"/>
              <w:right w:val="nil"/>
            </w:tcBorders>
            <w:shd w:val="clear" w:color="auto" w:fill="auto"/>
            <w:noWrap/>
            <w:vAlign w:val="bottom"/>
            <w:hideMark/>
          </w:tcPr>
          <w:p w14:paraId="66729ECC" w14:textId="77777777" w:rsidR="00853747" w:rsidRPr="00934CF0" w:rsidRDefault="00853747" w:rsidP="00853747">
            <w:pPr>
              <w:pStyle w:val="TableTextRight"/>
            </w:pPr>
            <w:r w:rsidRPr="00934CF0">
              <w:t>6,174</w:t>
            </w:r>
          </w:p>
        </w:tc>
        <w:tc>
          <w:tcPr>
            <w:tcW w:w="468" w:type="pct"/>
            <w:tcBorders>
              <w:top w:val="single" w:sz="4" w:space="0" w:color="293F5B"/>
              <w:left w:val="nil"/>
              <w:bottom w:val="nil"/>
              <w:right w:val="nil"/>
            </w:tcBorders>
            <w:shd w:val="clear" w:color="auto" w:fill="auto"/>
            <w:noWrap/>
            <w:vAlign w:val="bottom"/>
            <w:hideMark/>
          </w:tcPr>
          <w:p w14:paraId="5642DB3D" w14:textId="77777777" w:rsidR="00853747" w:rsidRPr="00934CF0" w:rsidRDefault="00853747" w:rsidP="00853747">
            <w:pPr>
              <w:pStyle w:val="TableTextRight"/>
            </w:pPr>
            <w:r w:rsidRPr="00934CF0">
              <w:t>7,354</w:t>
            </w:r>
          </w:p>
        </w:tc>
        <w:tc>
          <w:tcPr>
            <w:tcW w:w="468" w:type="pct"/>
            <w:tcBorders>
              <w:top w:val="single" w:sz="4" w:space="0" w:color="293F5B"/>
              <w:left w:val="nil"/>
              <w:bottom w:val="nil"/>
              <w:right w:val="nil"/>
            </w:tcBorders>
            <w:shd w:val="clear" w:color="auto" w:fill="auto"/>
            <w:noWrap/>
            <w:vAlign w:val="bottom"/>
            <w:hideMark/>
          </w:tcPr>
          <w:p w14:paraId="5DE198E9" w14:textId="77777777" w:rsidR="00853747" w:rsidRPr="00934CF0" w:rsidRDefault="00853747" w:rsidP="00853747">
            <w:pPr>
              <w:pStyle w:val="TableTextRight"/>
            </w:pPr>
            <w:r w:rsidRPr="00934CF0">
              <w:t>3,308</w:t>
            </w:r>
          </w:p>
        </w:tc>
        <w:tc>
          <w:tcPr>
            <w:tcW w:w="468" w:type="pct"/>
            <w:tcBorders>
              <w:top w:val="single" w:sz="4" w:space="0" w:color="293F5B"/>
              <w:left w:val="nil"/>
              <w:bottom w:val="nil"/>
              <w:right w:val="nil"/>
            </w:tcBorders>
            <w:shd w:val="clear" w:color="auto" w:fill="auto"/>
            <w:noWrap/>
            <w:vAlign w:val="bottom"/>
            <w:hideMark/>
          </w:tcPr>
          <w:p w14:paraId="32B4161C" w14:textId="77777777" w:rsidR="00853747" w:rsidRPr="00934CF0" w:rsidRDefault="00853747" w:rsidP="00853747">
            <w:pPr>
              <w:pStyle w:val="TableTextRight"/>
            </w:pPr>
            <w:r w:rsidRPr="00934CF0">
              <w:t>1,572</w:t>
            </w:r>
          </w:p>
        </w:tc>
        <w:tc>
          <w:tcPr>
            <w:tcW w:w="468" w:type="pct"/>
            <w:tcBorders>
              <w:top w:val="single" w:sz="4" w:space="0" w:color="293F5B"/>
              <w:left w:val="nil"/>
              <w:bottom w:val="nil"/>
              <w:right w:val="nil"/>
            </w:tcBorders>
            <w:shd w:val="clear" w:color="auto" w:fill="auto"/>
            <w:noWrap/>
            <w:vAlign w:val="bottom"/>
            <w:hideMark/>
          </w:tcPr>
          <w:p w14:paraId="41C1067D" w14:textId="77777777" w:rsidR="00853747" w:rsidRPr="00934CF0" w:rsidRDefault="00853747" w:rsidP="00853747">
            <w:pPr>
              <w:pStyle w:val="TableTextRight"/>
            </w:pPr>
            <w:r w:rsidRPr="00934CF0">
              <w:t>3,803</w:t>
            </w:r>
          </w:p>
        </w:tc>
        <w:tc>
          <w:tcPr>
            <w:tcW w:w="463" w:type="pct"/>
            <w:tcBorders>
              <w:top w:val="single" w:sz="4" w:space="0" w:color="293F5B"/>
              <w:left w:val="nil"/>
              <w:bottom w:val="nil"/>
              <w:right w:val="nil"/>
            </w:tcBorders>
            <w:shd w:val="clear" w:color="auto" w:fill="E6F2FF"/>
            <w:noWrap/>
            <w:vAlign w:val="bottom"/>
            <w:hideMark/>
          </w:tcPr>
          <w:p w14:paraId="2522CCD8" w14:textId="77777777" w:rsidR="00853747" w:rsidRPr="00934CF0" w:rsidRDefault="00853747" w:rsidP="00853747">
            <w:pPr>
              <w:pStyle w:val="TableTextRight"/>
            </w:pPr>
            <w:r w:rsidRPr="00934CF0">
              <w:t>81,994</w:t>
            </w:r>
          </w:p>
        </w:tc>
      </w:tr>
      <w:tr w:rsidR="00853747" w:rsidRPr="00934CF0" w14:paraId="770AC326" w14:textId="77777777" w:rsidTr="00853747">
        <w:trPr>
          <w:divId w:val="1824812636"/>
          <w:trHeight w:hRule="exact" w:val="226"/>
        </w:trPr>
        <w:tc>
          <w:tcPr>
            <w:tcW w:w="791" w:type="pct"/>
            <w:tcBorders>
              <w:top w:val="nil"/>
              <w:left w:val="nil"/>
              <w:bottom w:val="nil"/>
              <w:right w:val="nil"/>
            </w:tcBorders>
            <w:shd w:val="clear" w:color="000000" w:fill="FFFFFF"/>
            <w:noWrap/>
            <w:vAlign w:val="center"/>
            <w:hideMark/>
          </w:tcPr>
          <w:p w14:paraId="383B0C21" w14:textId="367933FA" w:rsidR="00853747" w:rsidRPr="00934CF0" w:rsidRDefault="00853747" w:rsidP="00853747">
            <w:pPr>
              <w:spacing w:before="0" w:after="0" w:line="240" w:lineRule="auto"/>
              <w:rPr>
                <w:rFonts w:ascii="Arial" w:hAnsi="Arial" w:cs="Arial"/>
                <w:sz w:val="16"/>
                <w:szCs w:val="16"/>
              </w:rPr>
            </w:pPr>
            <w:r w:rsidRPr="00934CF0">
              <w:rPr>
                <w:rFonts w:ascii="Arial" w:hAnsi="Arial" w:cs="Arial"/>
                <w:sz w:val="16"/>
                <w:szCs w:val="16"/>
              </w:rPr>
              <w:t>22</w:t>
            </w:r>
            <w:r w:rsidR="00BD648E" w:rsidRPr="00934CF0">
              <w:rPr>
                <w:rFonts w:ascii="Arial" w:hAnsi="Arial" w:cs="Arial"/>
                <w:sz w:val="16"/>
                <w:szCs w:val="16"/>
              </w:rPr>
              <w:noBreakHyphen/>
            </w:r>
            <w:r w:rsidRPr="00934CF0">
              <w:rPr>
                <w:rFonts w:ascii="Arial" w:hAnsi="Arial" w:cs="Arial"/>
                <w:sz w:val="16"/>
                <w:szCs w:val="16"/>
              </w:rPr>
              <w:t>23 advances</w:t>
            </w:r>
          </w:p>
        </w:tc>
        <w:tc>
          <w:tcPr>
            <w:tcW w:w="468" w:type="pct"/>
            <w:tcBorders>
              <w:top w:val="nil"/>
              <w:left w:val="nil"/>
              <w:bottom w:val="single" w:sz="4" w:space="0" w:color="293F5B"/>
              <w:right w:val="nil"/>
            </w:tcBorders>
            <w:shd w:val="clear" w:color="auto" w:fill="auto"/>
            <w:noWrap/>
            <w:vAlign w:val="bottom"/>
            <w:hideMark/>
          </w:tcPr>
          <w:p w14:paraId="4C4D25CE" w14:textId="77777777" w:rsidR="00853747" w:rsidRPr="00934CF0" w:rsidRDefault="00853747" w:rsidP="00853747">
            <w:pPr>
              <w:pStyle w:val="TableTextRight"/>
            </w:pPr>
            <w:r w:rsidRPr="00934CF0">
              <w:t>24,521</w:t>
            </w:r>
          </w:p>
        </w:tc>
        <w:tc>
          <w:tcPr>
            <w:tcW w:w="468" w:type="pct"/>
            <w:tcBorders>
              <w:top w:val="nil"/>
              <w:left w:val="nil"/>
              <w:bottom w:val="single" w:sz="4" w:space="0" w:color="293F5B"/>
              <w:right w:val="nil"/>
            </w:tcBorders>
            <w:shd w:val="clear" w:color="auto" w:fill="auto"/>
            <w:noWrap/>
            <w:vAlign w:val="bottom"/>
            <w:hideMark/>
          </w:tcPr>
          <w:p w14:paraId="46B0252E" w14:textId="77777777" w:rsidR="00853747" w:rsidRPr="00934CF0" w:rsidRDefault="00853747" w:rsidP="00853747">
            <w:pPr>
              <w:pStyle w:val="TableTextRight"/>
            </w:pPr>
            <w:r w:rsidRPr="00934CF0">
              <w:t>18,034</w:t>
            </w:r>
          </w:p>
        </w:tc>
        <w:tc>
          <w:tcPr>
            <w:tcW w:w="468" w:type="pct"/>
            <w:tcBorders>
              <w:top w:val="nil"/>
              <w:left w:val="nil"/>
              <w:bottom w:val="single" w:sz="4" w:space="0" w:color="293F5B"/>
              <w:right w:val="nil"/>
            </w:tcBorders>
            <w:shd w:val="clear" w:color="auto" w:fill="auto"/>
            <w:noWrap/>
            <w:vAlign w:val="bottom"/>
            <w:hideMark/>
          </w:tcPr>
          <w:p w14:paraId="6E8F2B47" w14:textId="77777777" w:rsidR="00853747" w:rsidRPr="00934CF0" w:rsidRDefault="00853747" w:rsidP="00853747">
            <w:pPr>
              <w:pStyle w:val="TableTextRight"/>
            </w:pPr>
            <w:r w:rsidRPr="00934CF0">
              <w:t>17,448</w:t>
            </w:r>
          </w:p>
        </w:tc>
        <w:tc>
          <w:tcPr>
            <w:tcW w:w="468" w:type="pct"/>
            <w:tcBorders>
              <w:top w:val="nil"/>
              <w:left w:val="nil"/>
              <w:bottom w:val="single" w:sz="4" w:space="0" w:color="293F5B"/>
              <w:right w:val="nil"/>
            </w:tcBorders>
            <w:shd w:val="clear" w:color="auto" w:fill="auto"/>
            <w:noWrap/>
            <w:vAlign w:val="bottom"/>
            <w:hideMark/>
          </w:tcPr>
          <w:p w14:paraId="057C2D45" w14:textId="77777777" w:rsidR="00853747" w:rsidRPr="00934CF0" w:rsidRDefault="00853747" w:rsidP="00853747">
            <w:pPr>
              <w:pStyle w:val="TableTextRight"/>
            </w:pPr>
            <w:r w:rsidRPr="00934CF0">
              <w:t>6,183</w:t>
            </w:r>
          </w:p>
        </w:tc>
        <w:tc>
          <w:tcPr>
            <w:tcW w:w="468" w:type="pct"/>
            <w:tcBorders>
              <w:top w:val="nil"/>
              <w:left w:val="nil"/>
              <w:bottom w:val="single" w:sz="4" w:space="0" w:color="293F5B"/>
              <w:right w:val="nil"/>
            </w:tcBorders>
            <w:shd w:val="clear" w:color="auto" w:fill="auto"/>
            <w:noWrap/>
            <w:vAlign w:val="bottom"/>
            <w:hideMark/>
          </w:tcPr>
          <w:p w14:paraId="07E167E4" w14:textId="77777777" w:rsidR="00853747" w:rsidRPr="00934CF0" w:rsidRDefault="00853747" w:rsidP="00853747">
            <w:pPr>
              <w:pStyle w:val="TableTextRight"/>
            </w:pPr>
            <w:r w:rsidRPr="00934CF0">
              <w:t>7,388</w:t>
            </w:r>
          </w:p>
        </w:tc>
        <w:tc>
          <w:tcPr>
            <w:tcW w:w="468" w:type="pct"/>
            <w:tcBorders>
              <w:top w:val="nil"/>
              <w:left w:val="nil"/>
              <w:bottom w:val="single" w:sz="4" w:space="0" w:color="293F5B"/>
              <w:right w:val="nil"/>
            </w:tcBorders>
            <w:shd w:val="clear" w:color="auto" w:fill="auto"/>
            <w:noWrap/>
            <w:vAlign w:val="bottom"/>
            <w:hideMark/>
          </w:tcPr>
          <w:p w14:paraId="6D5B55AA" w14:textId="77777777" w:rsidR="00853747" w:rsidRPr="00934CF0" w:rsidRDefault="00853747" w:rsidP="00853747">
            <w:pPr>
              <w:pStyle w:val="TableTextRight"/>
            </w:pPr>
            <w:r w:rsidRPr="00934CF0">
              <w:t>3,339</w:t>
            </w:r>
          </w:p>
        </w:tc>
        <w:tc>
          <w:tcPr>
            <w:tcW w:w="468" w:type="pct"/>
            <w:tcBorders>
              <w:top w:val="nil"/>
              <w:left w:val="nil"/>
              <w:bottom w:val="single" w:sz="4" w:space="0" w:color="293F5B"/>
              <w:right w:val="nil"/>
            </w:tcBorders>
            <w:shd w:val="clear" w:color="auto" w:fill="auto"/>
            <w:noWrap/>
            <w:vAlign w:val="bottom"/>
            <w:hideMark/>
          </w:tcPr>
          <w:p w14:paraId="63F251AB" w14:textId="77777777" w:rsidR="00853747" w:rsidRPr="00934CF0" w:rsidRDefault="00853747" w:rsidP="00853747">
            <w:pPr>
              <w:pStyle w:val="TableTextRight"/>
            </w:pPr>
            <w:r w:rsidRPr="00934CF0">
              <w:t>1,581</w:t>
            </w:r>
          </w:p>
        </w:tc>
        <w:tc>
          <w:tcPr>
            <w:tcW w:w="468" w:type="pct"/>
            <w:tcBorders>
              <w:top w:val="nil"/>
              <w:left w:val="nil"/>
              <w:bottom w:val="single" w:sz="4" w:space="0" w:color="293F5B"/>
              <w:right w:val="nil"/>
            </w:tcBorders>
            <w:shd w:val="clear" w:color="auto" w:fill="auto"/>
            <w:noWrap/>
            <w:vAlign w:val="bottom"/>
            <w:hideMark/>
          </w:tcPr>
          <w:p w14:paraId="6233F126" w14:textId="77777777" w:rsidR="00853747" w:rsidRPr="00934CF0" w:rsidRDefault="00853747" w:rsidP="00853747">
            <w:pPr>
              <w:pStyle w:val="TableTextRight"/>
            </w:pPr>
            <w:r w:rsidRPr="00934CF0">
              <w:t>3,853</w:t>
            </w:r>
          </w:p>
        </w:tc>
        <w:tc>
          <w:tcPr>
            <w:tcW w:w="463" w:type="pct"/>
            <w:tcBorders>
              <w:top w:val="nil"/>
              <w:left w:val="nil"/>
              <w:bottom w:val="single" w:sz="4" w:space="0" w:color="293F5B"/>
              <w:right w:val="nil"/>
            </w:tcBorders>
            <w:shd w:val="clear" w:color="auto" w:fill="E6F2FF"/>
            <w:noWrap/>
            <w:vAlign w:val="bottom"/>
            <w:hideMark/>
          </w:tcPr>
          <w:p w14:paraId="7DB72B73" w14:textId="77777777" w:rsidR="00853747" w:rsidRPr="00934CF0" w:rsidRDefault="00853747" w:rsidP="00853747">
            <w:pPr>
              <w:pStyle w:val="TableTextRight"/>
            </w:pPr>
            <w:r w:rsidRPr="00934CF0">
              <w:t>82,346</w:t>
            </w:r>
          </w:p>
        </w:tc>
      </w:tr>
      <w:tr w:rsidR="00853747" w:rsidRPr="00934CF0" w14:paraId="2154F305" w14:textId="77777777" w:rsidTr="00853747">
        <w:trPr>
          <w:divId w:val="1824812636"/>
          <w:trHeight w:hRule="exact" w:val="226"/>
        </w:trPr>
        <w:tc>
          <w:tcPr>
            <w:tcW w:w="791" w:type="pct"/>
            <w:tcBorders>
              <w:top w:val="nil"/>
              <w:left w:val="nil"/>
              <w:bottom w:val="nil"/>
              <w:right w:val="nil"/>
            </w:tcBorders>
            <w:shd w:val="clear" w:color="000000" w:fill="FFFFFF"/>
            <w:noWrap/>
            <w:vAlign w:val="center"/>
            <w:hideMark/>
          </w:tcPr>
          <w:p w14:paraId="72ED8A0E" w14:textId="77777777" w:rsidR="00853747" w:rsidRPr="00934CF0" w:rsidRDefault="00853747" w:rsidP="00853747">
            <w:pPr>
              <w:spacing w:before="0" w:after="0" w:line="240" w:lineRule="auto"/>
              <w:rPr>
                <w:rFonts w:ascii="Arial" w:hAnsi="Arial" w:cs="Arial"/>
                <w:sz w:val="16"/>
                <w:szCs w:val="16"/>
              </w:rPr>
            </w:pPr>
            <w:r w:rsidRPr="00934CF0">
              <w:rPr>
                <w:rFonts w:ascii="Arial" w:hAnsi="Arial" w:cs="Arial"/>
                <w:sz w:val="16"/>
                <w:szCs w:val="16"/>
              </w:rPr>
              <w:t>Balancing</w:t>
            </w:r>
          </w:p>
        </w:tc>
        <w:tc>
          <w:tcPr>
            <w:tcW w:w="468" w:type="pct"/>
            <w:tcBorders>
              <w:top w:val="single" w:sz="4" w:space="0" w:color="293F5B"/>
              <w:left w:val="nil"/>
              <w:bottom w:val="nil"/>
              <w:right w:val="nil"/>
            </w:tcBorders>
            <w:shd w:val="clear" w:color="auto" w:fill="auto"/>
            <w:noWrap/>
            <w:vAlign w:val="bottom"/>
            <w:hideMark/>
          </w:tcPr>
          <w:p w14:paraId="1DD621AA" w14:textId="77777777" w:rsidR="00853747" w:rsidRPr="00934CF0" w:rsidRDefault="00853747" w:rsidP="00853747">
            <w:pPr>
              <w:pStyle w:val="TableTextRight"/>
            </w:pPr>
          </w:p>
        </w:tc>
        <w:tc>
          <w:tcPr>
            <w:tcW w:w="468" w:type="pct"/>
            <w:tcBorders>
              <w:top w:val="single" w:sz="4" w:space="0" w:color="293F5B"/>
              <w:left w:val="nil"/>
              <w:bottom w:val="nil"/>
              <w:right w:val="nil"/>
            </w:tcBorders>
            <w:shd w:val="clear" w:color="auto" w:fill="auto"/>
            <w:noWrap/>
            <w:vAlign w:val="bottom"/>
            <w:hideMark/>
          </w:tcPr>
          <w:p w14:paraId="3AD643DC" w14:textId="77777777" w:rsidR="00853747" w:rsidRPr="00934CF0" w:rsidRDefault="00853747" w:rsidP="00853747">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48F6253D" w14:textId="77777777" w:rsidR="00853747" w:rsidRPr="00934CF0" w:rsidRDefault="00853747" w:rsidP="00853747">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25FF7898" w14:textId="77777777" w:rsidR="00853747" w:rsidRPr="00934CF0" w:rsidRDefault="00853747" w:rsidP="00853747">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54C2141E" w14:textId="77777777" w:rsidR="00853747" w:rsidRPr="00934CF0" w:rsidRDefault="00853747" w:rsidP="00853747">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348AA5E1" w14:textId="77777777" w:rsidR="00853747" w:rsidRPr="00934CF0" w:rsidRDefault="00853747" w:rsidP="00853747">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460A808E" w14:textId="77777777" w:rsidR="00853747" w:rsidRPr="00934CF0" w:rsidRDefault="00853747" w:rsidP="00853747">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1BF29CEF" w14:textId="77777777" w:rsidR="00853747" w:rsidRPr="00934CF0" w:rsidRDefault="00853747" w:rsidP="00853747">
            <w:pPr>
              <w:pStyle w:val="TableTextRight"/>
              <w:rPr>
                <w:rFonts w:ascii="Times New Roman" w:hAnsi="Times New Roman"/>
              </w:rPr>
            </w:pPr>
          </w:p>
        </w:tc>
        <w:tc>
          <w:tcPr>
            <w:tcW w:w="463" w:type="pct"/>
            <w:tcBorders>
              <w:top w:val="single" w:sz="4" w:space="0" w:color="293F5B"/>
              <w:left w:val="nil"/>
              <w:bottom w:val="nil"/>
              <w:right w:val="nil"/>
            </w:tcBorders>
            <w:shd w:val="clear" w:color="auto" w:fill="E6F2FF"/>
            <w:noWrap/>
            <w:vAlign w:val="bottom"/>
            <w:hideMark/>
          </w:tcPr>
          <w:p w14:paraId="457B2C07" w14:textId="77777777" w:rsidR="00853747" w:rsidRPr="00934CF0" w:rsidRDefault="00853747" w:rsidP="00853747">
            <w:pPr>
              <w:pStyle w:val="TableTextRight"/>
            </w:pPr>
            <w:r w:rsidRPr="00934CF0">
              <w:t> </w:t>
            </w:r>
          </w:p>
        </w:tc>
      </w:tr>
      <w:tr w:rsidR="00853747" w:rsidRPr="00934CF0" w14:paraId="4BAEB5F3" w14:textId="77777777" w:rsidTr="00853747">
        <w:trPr>
          <w:divId w:val="1824812636"/>
          <w:trHeight w:hRule="exact" w:val="226"/>
        </w:trPr>
        <w:tc>
          <w:tcPr>
            <w:tcW w:w="791" w:type="pct"/>
            <w:tcBorders>
              <w:top w:val="nil"/>
              <w:left w:val="nil"/>
              <w:bottom w:val="single" w:sz="4" w:space="0" w:color="293F5B"/>
              <w:right w:val="nil"/>
            </w:tcBorders>
            <w:shd w:val="clear" w:color="000000" w:fill="FFFFFF"/>
            <w:noWrap/>
            <w:vAlign w:val="center"/>
            <w:hideMark/>
          </w:tcPr>
          <w:p w14:paraId="52FBBE90" w14:textId="77777777" w:rsidR="00853747" w:rsidRPr="00934CF0" w:rsidRDefault="00853747" w:rsidP="00853747">
            <w:pPr>
              <w:spacing w:before="0" w:after="0" w:line="240" w:lineRule="auto"/>
              <w:ind w:left="170"/>
              <w:rPr>
                <w:rFonts w:ascii="Arial" w:hAnsi="Arial" w:cs="Arial"/>
                <w:sz w:val="16"/>
                <w:szCs w:val="16"/>
              </w:rPr>
            </w:pPr>
            <w:r w:rsidRPr="00934CF0">
              <w:rPr>
                <w:rFonts w:ascii="Arial" w:hAnsi="Arial" w:cs="Arial"/>
                <w:sz w:val="16"/>
                <w:szCs w:val="16"/>
              </w:rPr>
              <w:t>adjustment</w:t>
            </w:r>
          </w:p>
        </w:tc>
        <w:tc>
          <w:tcPr>
            <w:tcW w:w="468" w:type="pct"/>
            <w:tcBorders>
              <w:top w:val="nil"/>
              <w:left w:val="nil"/>
              <w:bottom w:val="single" w:sz="4" w:space="0" w:color="293F5B"/>
              <w:right w:val="nil"/>
            </w:tcBorders>
            <w:shd w:val="clear" w:color="auto" w:fill="auto"/>
            <w:noWrap/>
            <w:vAlign w:val="bottom"/>
            <w:hideMark/>
          </w:tcPr>
          <w:p w14:paraId="1ECA798C" w14:textId="407C474F" w:rsidR="00853747" w:rsidRPr="00934CF0" w:rsidRDefault="00BD648E" w:rsidP="00853747">
            <w:pPr>
              <w:pStyle w:val="TableTextRight"/>
            </w:pPr>
            <w:r w:rsidRPr="00934CF0">
              <w:noBreakHyphen/>
            </w:r>
            <w:r w:rsidR="00853747" w:rsidRPr="00934CF0">
              <w:t>68</w:t>
            </w:r>
          </w:p>
        </w:tc>
        <w:tc>
          <w:tcPr>
            <w:tcW w:w="468" w:type="pct"/>
            <w:tcBorders>
              <w:top w:val="nil"/>
              <w:left w:val="nil"/>
              <w:bottom w:val="single" w:sz="4" w:space="0" w:color="293F5B"/>
              <w:right w:val="nil"/>
            </w:tcBorders>
            <w:shd w:val="clear" w:color="auto" w:fill="auto"/>
            <w:noWrap/>
            <w:vAlign w:val="bottom"/>
            <w:hideMark/>
          </w:tcPr>
          <w:p w14:paraId="58A5C487" w14:textId="783DEE8B" w:rsidR="00853747" w:rsidRPr="00934CF0" w:rsidRDefault="00BD648E" w:rsidP="00853747">
            <w:pPr>
              <w:pStyle w:val="TableTextRight"/>
            </w:pPr>
            <w:r w:rsidRPr="00934CF0">
              <w:noBreakHyphen/>
            </w:r>
            <w:r w:rsidR="00853747" w:rsidRPr="00934CF0">
              <w:t>62</w:t>
            </w:r>
          </w:p>
        </w:tc>
        <w:tc>
          <w:tcPr>
            <w:tcW w:w="468" w:type="pct"/>
            <w:tcBorders>
              <w:top w:val="nil"/>
              <w:left w:val="nil"/>
              <w:bottom w:val="single" w:sz="4" w:space="0" w:color="293F5B"/>
              <w:right w:val="nil"/>
            </w:tcBorders>
            <w:shd w:val="clear" w:color="auto" w:fill="auto"/>
            <w:noWrap/>
            <w:vAlign w:val="bottom"/>
            <w:hideMark/>
          </w:tcPr>
          <w:p w14:paraId="6A71529F" w14:textId="2DF215C7" w:rsidR="00853747" w:rsidRPr="00934CF0" w:rsidRDefault="00BD648E" w:rsidP="00853747">
            <w:pPr>
              <w:pStyle w:val="TableTextRight"/>
            </w:pPr>
            <w:r w:rsidRPr="00934CF0">
              <w:noBreakHyphen/>
            </w:r>
            <w:r w:rsidR="00853747" w:rsidRPr="00934CF0">
              <w:t>89</w:t>
            </w:r>
          </w:p>
        </w:tc>
        <w:tc>
          <w:tcPr>
            <w:tcW w:w="468" w:type="pct"/>
            <w:tcBorders>
              <w:top w:val="nil"/>
              <w:left w:val="nil"/>
              <w:bottom w:val="single" w:sz="4" w:space="0" w:color="293F5B"/>
              <w:right w:val="nil"/>
            </w:tcBorders>
            <w:shd w:val="clear" w:color="auto" w:fill="auto"/>
            <w:noWrap/>
            <w:vAlign w:val="bottom"/>
            <w:hideMark/>
          </w:tcPr>
          <w:p w14:paraId="187B86F7" w14:textId="44917B56" w:rsidR="00853747" w:rsidRPr="00934CF0" w:rsidRDefault="00BD648E" w:rsidP="00853747">
            <w:pPr>
              <w:pStyle w:val="TableTextRight"/>
            </w:pPr>
            <w:r w:rsidRPr="00934CF0">
              <w:noBreakHyphen/>
            </w:r>
            <w:r w:rsidR="00853747" w:rsidRPr="00934CF0">
              <w:t>9</w:t>
            </w:r>
          </w:p>
        </w:tc>
        <w:tc>
          <w:tcPr>
            <w:tcW w:w="468" w:type="pct"/>
            <w:tcBorders>
              <w:top w:val="nil"/>
              <w:left w:val="nil"/>
              <w:bottom w:val="single" w:sz="4" w:space="0" w:color="293F5B"/>
              <w:right w:val="nil"/>
            </w:tcBorders>
            <w:shd w:val="clear" w:color="auto" w:fill="auto"/>
            <w:noWrap/>
            <w:vAlign w:val="bottom"/>
            <w:hideMark/>
          </w:tcPr>
          <w:p w14:paraId="55F5661B" w14:textId="498E6725" w:rsidR="00853747" w:rsidRPr="00934CF0" w:rsidRDefault="00BD648E" w:rsidP="00853747">
            <w:pPr>
              <w:pStyle w:val="TableTextRight"/>
            </w:pPr>
            <w:r w:rsidRPr="00934CF0">
              <w:noBreakHyphen/>
            </w:r>
            <w:r w:rsidR="00853747" w:rsidRPr="00934CF0">
              <w:t>34</w:t>
            </w:r>
          </w:p>
        </w:tc>
        <w:tc>
          <w:tcPr>
            <w:tcW w:w="468" w:type="pct"/>
            <w:tcBorders>
              <w:top w:val="nil"/>
              <w:left w:val="nil"/>
              <w:bottom w:val="single" w:sz="4" w:space="0" w:color="293F5B"/>
              <w:right w:val="nil"/>
            </w:tcBorders>
            <w:shd w:val="clear" w:color="auto" w:fill="auto"/>
            <w:noWrap/>
            <w:vAlign w:val="bottom"/>
            <w:hideMark/>
          </w:tcPr>
          <w:p w14:paraId="425AF260" w14:textId="66FD3311" w:rsidR="00853747" w:rsidRPr="00934CF0" w:rsidRDefault="00BD648E" w:rsidP="00853747">
            <w:pPr>
              <w:pStyle w:val="TableTextRight"/>
            </w:pPr>
            <w:r w:rsidRPr="00934CF0">
              <w:noBreakHyphen/>
            </w:r>
            <w:r w:rsidR="00853747" w:rsidRPr="00934CF0">
              <w:t>31</w:t>
            </w:r>
          </w:p>
        </w:tc>
        <w:tc>
          <w:tcPr>
            <w:tcW w:w="468" w:type="pct"/>
            <w:tcBorders>
              <w:top w:val="nil"/>
              <w:left w:val="nil"/>
              <w:bottom w:val="single" w:sz="4" w:space="0" w:color="293F5B"/>
              <w:right w:val="nil"/>
            </w:tcBorders>
            <w:shd w:val="clear" w:color="auto" w:fill="auto"/>
            <w:noWrap/>
            <w:vAlign w:val="bottom"/>
            <w:hideMark/>
          </w:tcPr>
          <w:p w14:paraId="36111B2D" w14:textId="1708C165" w:rsidR="00853747" w:rsidRPr="00934CF0" w:rsidRDefault="00BD648E" w:rsidP="00853747">
            <w:pPr>
              <w:pStyle w:val="TableTextRight"/>
            </w:pPr>
            <w:r w:rsidRPr="00934CF0">
              <w:noBreakHyphen/>
            </w:r>
            <w:r w:rsidR="00853747" w:rsidRPr="00934CF0">
              <w:t>9</w:t>
            </w:r>
          </w:p>
        </w:tc>
        <w:tc>
          <w:tcPr>
            <w:tcW w:w="468" w:type="pct"/>
            <w:tcBorders>
              <w:top w:val="nil"/>
              <w:left w:val="nil"/>
              <w:bottom w:val="single" w:sz="4" w:space="0" w:color="293F5B"/>
              <w:right w:val="nil"/>
            </w:tcBorders>
            <w:shd w:val="clear" w:color="auto" w:fill="auto"/>
            <w:noWrap/>
            <w:vAlign w:val="bottom"/>
            <w:hideMark/>
          </w:tcPr>
          <w:p w14:paraId="494C6011" w14:textId="2486A54F" w:rsidR="00853747" w:rsidRPr="00934CF0" w:rsidRDefault="00BD648E" w:rsidP="00853747">
            <w:pPr>
              <w:pStyle w:val="TableTextRight"/>
            </w:pPr>
            <w:r w:rsidRPr="00934CF0">
              <w:noBreakHyphen/>
            </w:r>
            <w:r w:rsidR="00853747" w:rsidRPr="00934CF0">
              <w:t>50</w:t>
            </w:r>
          </w:p>
        </w:tc>
        <w:tc>
          <w:tcPr>
            <w:tcW w:w="463" w:type="pct"/>
            <w:tcBorders>
              <w:top w:val="nil"/>
              <w:left w:val="nil"/>
              <w:bottom w:val="single" w:sz="4" w:space="0" w:color="293F5B"/>
              <w:right w:val="nil"/>
            </w:tcBorders>
            <w:shd w:val="clear" w:color="auto" w:fill="E6F2FF"/>
            <w:noWrap/>
            <w:vAlign w:val="bottom"/>
            <w:hideMark/>
          </w:tcPr>
          <w:p w14:paraId="120E5A66" w14:textId="49892D6E" w:rsidR="00853747" w:rsidRPr="00934CF0" w:rsidRDefault="00BD648E" w:rsidP="00853747">
            <w:pPr>
              <w:pStyle w:val="TableTextRight"/>
            </w:pPr>
            <w:r w:rsidRPr="00934CF0">
              <w:noBreakHyphen/>
            </w:r>
            <w:r w:rsidR="00853747" w:rsidRPr="00934CF0">
              <w:t>353</w:t>
            </w:r>
          </w:p>
        </w:tc>
      </w:tr>
    </w:tbl>
    <w:p w14:paraId="513FF3EC" w14:textId="69CB15AF" w:rsidR="009175F2" w:rsidRPr="00934CF0" w:rsidRDefault="00217C5D" w:rsidP="0052486B">
      <w:pPr>
        <w:pStyle w:val="ChartandTableFootnoteAlpha"/>
        <w:numPr>
          <w:ilvl w:val="0"/>
          <w:numId w:val="9"/>
        </w:numPr>
        <w:rPr>
          <w:color w:val="auto"/>
        </w:rPr>
      </w:pPr>
      <w:r w:rsidRPr="00934CF0">
        <w:rPr>
          <w:rFonts w:eastAsiaTheme="minorHAnsi"/>
          <w:color w:val="auto"/>
        </w:rPr>
        <w:fldChar w:fldCharType="end"/>
      </w:r>
      <w:r w:rsidR="009175F2" w:rsidRPr="00934CF0">
        <w:rPr>
          <w:color w:val="auto"/>
        </w:rPr>
        <w:t>The 202</w:t>
      </w:r>
      <w:r w:rsidR="0057652C" w:rsidRPr="00934CF0">
        <w:rPr>
          <w:color w:val="auto"/>
        </w:rPr>
        <w:t>2</w:t>
      </w:r>
      <w:r w:rsidR="00863F4D" w:rsidRPr="00934CF0">
        <w:rPr>
          <w:color w:val="auto"/>
        </w:rPr>
        <w:t>–</w:t>
      </w:r>
      <w:r w:rsidR="009175F2" w:rsidRPr="00934CF0">
        <w:rPr>
          <w:color w:val="auto"/>
        </w:rPr>
        <w:t>2</w:t>
      </w:r>
      <w:r w:rsidR="0057652C" w:rsidRPr="00934CF0">
        <w:rPr>
          <w:color w:val="auto"/>
        </w:rPr>
        <w:t>3</w:t>
      </w:r>
      <w:r w:rsidR="009175F2" w:rsidRPr="00934CF0">
        <w:rPr>
          <w:color w:val="auto"/>
        </w:rPr>
        <w:t xml:space="preserve"> GST outcome will be finalised following a Determination by a Treasury portfolio minister. </w:t>
      </w:r>
    </w:p>
    <w:p w14:paraId="1D7D7489" w14:textId="77777777" w:rsidR="009175F2" w:rsidRPr="00934CF0" w:rsidRDefault="009175F2" w:rsidP="005358C9">
      <w:pPr>
        <w:pStyle w:val="ChartLine"/>
      </w:pPr>
    </w:p>
    <w:p w14:paraId="70EC7067" w14:textId="67778DF5" w:rsidR="009175F2" w:rsidRPr="00934CF0" w:rsidRDefault="009175F2" w:rsidP="009175F2">
      <w:pPr>
        <w:pStyle w:val="Heading3"/>
      </w:pPr>
      <w:r w:rsidRPr="00934CF0">
        <w:t>HFE transition payments</w:t>
      </w:r>
    </w:p>
    <w:p w14:paraId="39A107F2" w14:textId="678C670E" w:rsidR="009175F2" w:rsidRPr="00934CF0" w:rsidRDefault="009175F2" w:rsidP="009175F2">
      <w:r w:rsidRPr="00934CF0">
        <w:t>In 2018, the Australian Government reformed the GST distribution system. 202</w:t>
      </w:r>
      <w:r w:rsidR="00620988" w:rsidRPr="00934CF0">
        <w:t>2</w:t>
      </w:r>
      <w:r w:rsidR="00863F4D" w:rsidRPr="00934CF0">
        <w:t>–</w:t>
      </w:r>
      <w:r w:rsidRPr="00934CF0">
        <w:t>2</w:t>
      </w:r>
      <w:r w:rsidR="00620988" w:rsidRPr="00934CF0">
        <w:t>3</w:t>
      </w:r>
      <w:r w:rsidRPr="00934CF0">
        <w:t xml:space="preserve"> is the </w:t>
      </w:r>
      <w:r w:rsidR="00620988" w:rsidRPr="00934CF0">
        <w:t>second</w:t>
      </w:r>
      <w:r w:rsidRPr="00934CF0">
        <w:t xml:space="preserve"> year in the six</w:t>
      </w:r>
      <w:r w:rsidRPr="00934CF0">
        <w:noBreakHyphen/>
        <w:t xml:space="preserve">year transition to the updated GST distribution system, which will ensure that no state will have a per capita GST share lower than the fiscally stronger of New South Wales or Victoria. </w:t>
      </w:r>
    </w:p>
    <w:p w14:paraId="71BA915F" w14:textId="37C547DF" w:rsidR="009175F2" w:rsidRPr="00934CF0" w:rsidRDefault="009175F2" w:rsidP="009175F2">
      <w:r w:rsidRPr="00934CF0">
        <w:t>During this transition the Australian Government has guaranteed, through legislation, that each state will not receive less than they would have under the previous GST distribution system using, if necessary, HFE transition payments. For 202</w:t>
      </w:r>
      <w:r w:rsidR="00620988" w:rsidRPr="00934CF0">
        <w:t>2</w:t>
      </w:r>
      <w:r w:rsidR="00863F4D" w:rsidRPr="00934CF0">
        <w:t>–</w:t>
      </w:r>
      <w:r w:rsidRPr="00934CF0">
        <w:t>2</w:t>
      </w:r>
      <w:r w:rsidR="00620988" w:rsidRPr="00934CF0">
        <w:t>3</w:t>
      </w:r>
      <w:r w:rsidRPr="00934CF0">
        <w:t>, the states’ entitlement to HFE transition payments is expected to be $</w:t>
      </w:r>
      <w:r w:rsidR="00B070BF" w:rsidRPr="00934CF0">
        <w:t>4</w:t>
      </w:r>
      <w:r w:rsidR="00620988" w:rsidRPr="00934CF0">
        <w:t>.</w:t>
      </w:r>
      <w:r w:rsidR="00B070BF" w:rsidRPr="00934CF0">
        <w:t>1</w:t>
      </w:r>
      <w:r w:rsidRPr="00934CF0">
        <w:t> </w:t>
      </w:r>
      <w:r w:rsidR="00620988" w:rsidRPr="00934CF0">
        <w:t>b</w:t>
      </w:r>
      <w:r w:rsidRPr="00934CF0">
        <w:t>illion.</w:t>
      </w:r>
    </w:p>
    <w:p w14:paraId="1D67EE23" w14:textId="4563F3E9" w:rsidR="009175F2" w:rsidRPr="00934CF0" w:rsidRDefault="009175F2" w:rsidP="009175F2">
      <w:r w:rsidRPr="00934CF0">
        <w:t>Table 3.11 provides a summary of the advances made in 202</w:t>
      </w:r>
      <w:r w:rsidR="00A8410F" w:rsidRPr="00934CF0">
        <w:t>2</w:t>
      </w:r>
      <w:r w:rsidR="00863F4D" w:rsidRPr="00934CF0">
        <w:t>–</w:t>
      </w:r>
      <w:r w:rsidRPr="00934CF0">
        <w:t>2</w:t>
      </w:r>
      <w:r w:rsidR="00A8410F" w:rsidRPr="00934CF0">
        <w:t>3</w:t>
      </w:r>
      <w:r w:rsidRPr="00934CF0">
        <w:t xml:space="preserve"> against the states’ estimated final entitlements to HFE transition payments. Similar to the GST entitlements process, the variance between advances paid in 202</w:t>
      </w:r>
      <w:r w:rsidR="00A8410F" w:rsidRPr="00934CF0">
        <w:t>2</w:t>
      </w:r>
      <w:r w:rsidR="00863F4D" w:rsidRPr="00934CF0">
        <w:t>–</w:t>
      </w:r>
      <w:r w:rsidRPr="00934CF0">
        <w:t>2</w:t>
      </w:r>
      <w:r w:rsidR="00A8410F" w:rsidRPr="00934CF0">
        <w:t>3</w:t>
      </w:r>
      <w:r w:rsidRPr="00934CF0">
        <w:t xml:space="preserve"> and the states’ final entitlements to HFE transition payments will be included as an adjustment to payments in the</w:t>
      </w:r>
      <w:r w:rsidR="00DB7257" w:rsidRPr="00934CF0">
        <w:br/>
      </w:r>
      <w:r w:rsidRPr="00934CF0">
        <w:t>202</w:t>
      </w:r>
      <w:r w:rsidR="00A8410F" w:rsidRPr="00934CF0">
        <w:t>3</w:t>
      </w:r>
      <w:r w:rsidR="00863F4D" w:rsidRPr="00934CF0">
        <w:t>–</w:t>
      </w:r>
      <w:r w:rsidRPr="00934CF0">
        <w:t>2</w:t>
      </w:r>
      <w:r w:rsidR="00A8410F" w:rsidRPr="00934CF0">
        <w:t>4</w:t>
      </w:r>
      <w:r w:rsidR="00DB7257" w:rsidRPr="00934CF0">
        <w:t> </w:t>
      </w:r>
      <w:r w:rsidRPr="00934CF0">
        <w:t>financial year.</w:t>
      </w:r>
    </w:p>
    <w:p w14:paraId="092D1389" w14:textId="2BC244EB" w:rsidR="000D310F" w:rsidRDefault="009175F2" w:rsidP="000D310F">
      <w:pPr>
        <w:pStyle w:val="TableHeading"/>
        <w:rPr>
          <w:rFonts w:asciiTheme="minorHAnsi" w:eastAsiaTheme="minorHAnsi" w:hAnsiTheme="minorHAnsi" w:cstheme="minorBidi"/>
          <w:sz w:val="22"/>
          <w:szCs w:val="22"/>
          <w:lang w:eastAsia="en-US"/>
        </w:rPr>
      </w:pPr>
      <w:r w:rsidRPr="00934CF0">
        <w:lastRenderedPageBreak/>
        <w:t>Table 3.11: HFE transition payments and advances made in 202</w:t>
      </w:r>
      <w:r w:rsidR="00E35EB4" w:rsidRPr="00934CF0">
        <w:t>2</w:t>
      </w:r>
      <w:r w:rsidR="00486DA3" w:rsidRPr="00934CF0">
        <w:t>–</w:t>
      </w:r>
      <w:r w:rsidRPr="00934CF0">
        <w:t>2</w:t>
      </w:r>
      <w:r w:rsidR="00E35EB4" w:rsidRPr="00934CF0">
        <w:t>3</w:t>
      </w:r>
      <w:r w:rsidRPr="00934CF0">
        <w:t xml:space="preserve"> </w:t>
      </w:r>
      <w:r w:rsidR="00FF68CE" w:rsidRPr="002778CF">
        <w:rPr>
          <w:highlight w:val="lightGray"/>
        </w:rPr>
        <w:fldChar w:fldCharType="begin" w:fldLock="1"/>
      </w:r>
      <w:r w:rsidR="00FF68CE" w:rsidRPr="002778CF">
        <w:rPr>
          <w:highlight w:val="lightGray"/>
        </w:rPr>
        <w:instrText xml:space="preserve"> LINK </w:instrText>
      </w:r>
      <w:r w:rsidR="000D310F">
        <w:rPr>
          <w:highlight w:val="lightGray"/>
        </w:rPr>
        <w:instrText xml:space="preserve">Excel.Sheet.12 https://austreasury.sharepoint.com/sites/Budget/Shared%20Documents/2022-23%20FBO/03%20Part%203/Master%20Tables/GST%20Tables/GST%20Tables%20FBO%202022-23.xlsx "HFE payments!R9C23:R14C32" </w:instrText>
      </w:r>
      <w:r w:rsidR="00FF68CE" w:rsidRPr="002778CF">
        <w:rPr>
          <w:highlight w:val="lightGray"/>
        </w:rPr>
        <w:instrText xml:space="preserve">\a \f 4 \h </w:instrText>
      </w:r>
      <w:r w:rsidR="00FF68CE" w:rsidRPr="002778CF">
        <w:rPr>
          <w:highlight w:val="lightGray"/>
        </w:rPr>
        <w:fldChar w:fldCharType="separate"/>
      </w:r>
    </w:p>
    <w:tbl>
      <w:tblPr>
        <w:tblW w:w="5000" w:type="pct"/>
        <w:tblCellMar>
          <w:left w:w="0" w:type="dxa"/>
          <w:right w:w="28" w:type="dxa"/>
        </w:tblCellMar>
        <w:tblLook w:val="04A0" w:firstRow="1" w:lastRow="0" w:firstColumn="1" w:lastColumn="0" w:noHBand="0" w:noVBand="1"/>
      </w:tblPr>
      <w:tblGrid>
        <w:gridCol w:w="1222"/>
        <w:gridCol w:w="721"/>
        <w:gridCol w:w="721"/>
        <w:gridCol w:w="722"/>
        <w:gridCol w:w="722"/>
        <w:gridCol w:w="722"/>
        <w:gridCol w:w="722"/>
        <w:gridCol w:w="722"/>
        <w:gridCol w:w="722"/>
        <w:gridCol w:w="714"/>
      </w:tblGrid>
      <w:tr w:rsidR="000D310F" w:rsidRPr="000D310F" w14:paraId="0A823471" w14:textId="77777777" w:rsidTr="000D310F">
        <w:trPr>
          <w:divId w:val="1307082392"/>
          <w:trHeight w:hRule="exact" w:val="225"/>
        </w:trPr>
        <w:tc>
          <w:tcPr>
            <w:tcW w:w="793" w:type="pct"/>
            <w:tcBorders>
              <w:top w:val="single" w:sz="4" w:space="0" w:color="293F5B"/>
              <w:left w:val="nil"/>
              <w:bottom w:val="nil"/>
              <w:right w:val="nil"/>
            </w:tcBorders>
            <w:shd w:val="clear" w:color="000000" w:fill="FFFFFF"/>
            <w:noWrap/>
            <w:vAlign w:val="bottom"/>
            <w:hideMark/>
          </w:tcPr>
          <w:p w14:paraId="2C92AB91" w14:textId="5D4DB531"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$million</w:t>
            </w:r>
          </w:p>
        </w:tc>
        <w:tc>
          <w:tcPr>
            <w:tcW w:w="468" w:type="pct"/>
            <w:tcBorders>
              <w:top w:val="single" w:sz="4" w:space="0" w:color="293F5B"/>
              <w:left w:val="nil"/>
              <w:bottom w:val="nil"/>
              <w:right w:val="nil"/>
            </w:tcBorders>
            <w:shd w:val="clear" w:color="000000" w:fill="FFFFFF"/>
            <w:noWrap/>
            <w:vAlign w:val="center"/>
            <w:hideMark/>
          </w:tcPr>
          <w:p w14:paraId="11CCA2BC"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NSW</w:t>
            </w:r>
          </w:p>
        </w:tc>
        <w:tc>
          <w:tcPr>
            <w:tcW w:w="468" w:type="pct"/>
            <w:tcBorders>
              <w:top w:val="single" w:sz="4" w:space="0" w:color="293F5B"/>
              <w:left w:val="nil"/>
              <w:bottom w:val="nil"/>
              <w:right w:val="nil"/>
            </w:tcBorders>
            <w:shd w:val="clear" w:color="000000" w:fill="FFFFFF"/>
            <w:noWrap/>
            <w:vAlign w:val="center"/>
            <w:hideMark/>
          </w:tcPr>
          <w:p w14:paraId="728BBD97"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VIC</w:t>
            </w:r>
          </w:p>
        </w:tc>
        <w:tc>
          <w:tcPr>
            <w:tcW w:w="468" w:type="pct"/>
            <w:tcBorders>
              <w:top w:val="single" w:sz="4" w:space="0" w:color="293F5B"/>
              <w:left w:val="nil"/>
              <w:bottom w:val="nil"/>
              <w:right w:val="nil"/>
            </w:tcBorders>
            <w:shd w:val="clear" w:color="000000" w:fill="FFFFFF"/>
            <w:noWrap/>
            <w:vAlign w:val="center"/>
            <w:hideMark/>
          </w:tcPr>
          <w:p w14:paraId="75F54C01"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QLD</w:t>
            </w:r>
          </w:p>
        </w:tc>
        <w:tc>
          <w:tcPr>
            <w:tcW w:w="468" w:type="pct"/>
            <w:tcBorders>
              <w:top w:val="single" w:sz="4" w:space="0" w:color="293F5B"/>
              <w:left w:val="nil"/>
              <w:bottom w:val="nil"/>
              <w:right w:val="nil"/>
            </w:tcBorders>
            <w:shd w:val="clear" w:color="000000" w:fill="FFFFFF"/>
            <w:noWrap/>
            <w:vAlign w:val="center"/>
            <w:hideMark/>
          </w:tcPr>
          <w:p w14:paraId="5E71AFD5"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WA</w:t>
            </w:r>
          </w:p>
        </w:tc>
        <w:tc>
          <w:tcPr>
            <w:tcW w:w="468" w:type="pct"/>
            <w:tcBorders>
              <w:top w:val="single" w:sz="4" w:space="0" w:color="293F5B"/>
              <w:left w:val="nil"/>
              <w:bottom w:val="nil"/>
              <w:right w:val="nil"/>
            </w:tcBorders>
            <w:shd w:val="clear" w:color="000000" w:fill="FFFFFF"/>
            <w:noWrap/>
            <w:vAlign w:val="center"/>
            <w:hideMark/>
          </w:tcPr>
          <w:p w14:paraId="4A7366C1"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SA</w:t>
            </w:r>
          </w:p>
        </w:tc>
        <w:tc>
          <w:tcPr>
            <w:tcW w:w="468" w:type="pct"/>
            <w:tcBorders>
              <w:top w:val="single" w:sz="4" w:space="0" w:color="293F5B"/>
              <w:left w:val="nil"/>
              <w:bottom w:val="nil"/>
              <w:right w:val="nil"/>
            </w:tcBorders>
            <w:shd w:val="clear" w:color="000000" w:fill="FFFFFF"/>
            <w:noWrap/>
            <w:vAlign w:val="center"/>
            <w:hideMark/>
          </w:tcPr>
          <w:p w14:paraId="4839D4ED"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TAS</w:t>
            </w:r>
          </w:p>
        </w:tc>
        <w:tc>
          <w:tcPr>
            <w:tcW w:w="468" w:type="pct"/>
            <w:tcBorders>
              <w:top w:val="single" w:sz="4" w:space="0" w:color="293F5B"/>
              <w:left w:val="nil"/>
              <w:bottom w:val="nil"/>
              <w:right w:val="nil"/>
            </w:tcBorders>
            <w:shd w:val="clear" w:color="000000" w:fill="FFFFFF"/>
            <w:noWrap/>
            <w:vAlign w:val="center"/>
            <w:hideMark/>
          </w:tcPr>
          <w:p w14:paraId="6DAA67A1"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ACT</w:t>
            </w:r>
          </w:p>
        </w:tc>
        <w:tc>
          <w:tcPr>
            <w:tcW w:w="468" w:type="pct"/>
            <w:tcBorders>
              <w:top w:val="single" w:sz="4" w:space="0" w:color="293F5B"/>
              <w:left w:val="nil"/>
              <w:bottom w:val="nil"/>
              <w:right w:val="nil"/>
            </w:tcBorders>
            <w:shd w:val="clear" w:color="000000" w:fill="FFFFFF"/>
            <w:noWrap/>
            <w:vAlign w:val="center"/>
            <w:hideMark/>
          </w:tcPr>
          <w:p w14:paraId="3D567C08"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NT</w:t>
            </w:r>
          </w:p>
        </w:tc>
        <w:tc>
          <w:tcPr>
            <w:tcW w:w="468" w:type="pct"/>
            <w:tcBorders>
              <w:top w:val="single" w:sz="4" w:space="0" w:color="293F5B"/>
              <w:left w:val="nil"/>
              <w:bottom w:val="nil"/>
              <w:right w:val="nil"/>
            </w:tcBorders>
            <w:shd w:val="clear" w:color="000000" w:fill="E6F2FF"/>
            <w:noWrap/>
            <w:vAlign w:val="center"/>
            <w:hideMark/>
          </w:tcPr>
          <w:p w14:paraId="39E11227"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Total</w:t>
            </w:r>
          </w:p>
        </w:tc>
      </w:tr>
      <w:tr w:rsidR="000D310F" w:rsidRPr="000D310F" w14:paraId="6CFB3098" w14:textId="77777777" w:rsidTr="000D310F">
        <w:trPr>
          <w:divId w:val="1307082392"/>
          <w:trHeight w:hRule="exact" w:val="225"/>
        </w:trPr>
        <w:tc>
          <w:tcPr>
            <w:tcW w:w="793" w:type="pct"/>
            <w:tcBorders>
              <w:top w:val="nil"/>
              <w:left w:val="nil"/>
              <w:bottom w:val="nil"/>
              <w:right w:val="nil"/>
            </w:tcBorders>
            <w:shd w:val="clear" w:color="000000" w:fill="FFFFFF"/>
            <w:noWrap/>
            <w:vAlign w:val="center"/>
            <w:hideMark/>
          </w:tcPr>
          <w:p w14:paraId="40229776"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xml:space="preserve">HFE transition </w:t>
            </w:r>
          </w:p>
        </w:tc>
        <w:tc>
          <w:tcPr>
            <w:tcW w:w="468" w:type="pct"/>
            <w:tcBorders>
              <w:top w:val="single" w:sz="4" w:space="0" w:color="293F5B"/>
              <w:left w:val="nil"/>
              <w:bottom w:val="nil"/>
              <w:right w:val="nil"/>
            </w:tcBorders>
            <w:shd w:val="clear" w:color="auto" w:fill="auto"/>
            <w:noWrap/>
            <w:vAlign w:val="center"/>
            <w:hideMark/>
          </w:tcPr>
          <w:p w14:paraId="0A195D7E"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0A24532A"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2E972210"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7702954D"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3926B4D7"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1CF47E57"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6A9F8819"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053525A4"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c>
          <w:tcPr>
            <w:tcW w:w="468" w:type="pct"/>
            <w:tcBorders>
              <w:top w:val="single" w:sz="4" w:space="0" w:color="293F5B"/>
              <w:left w:val="nil"/>
              <w:bottom w:val="nil"/>
              <w:right w:val="nil"/>
            </w:tcBorders>
            <w:shd w:val="clear" w:color="000000" w:fill="E6F2FF"/>
            <w:noWrap/>
            <w:vAlign w:val="bottom"/>
            <w:hideMark/>
          </w:tcPr>
          <w:p w14:paraId="62F1B009"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 </w:t>
            </w:r>
          </w:p>
        </w:tc>
      </w:tr>
      <w:tr w:rsidR="000D310F" w:rsidRPr="000D310F" w14:paraId="6E86E641" w14:textId="77777777" w:rsidTr="000D310F">
        <w:trPr>
          <w:divId w:val="1307082392"/>
          <w:trHeight w:hRule="exact" w:val="225"/>
        </w:trPr>
        <w:tc>
          <w:tcPr>
            <w:tcW w:w="793" w:type="pct"/>
            <w:tcBorders>
              <w:top w:val="nil"/>
              <w:left w:val="nil"/>
              <w:bottom w:val="nil"/>
              <w:right w:val="nil"/>
            </w:tcBorders>
            <w:shd w:val="clear" w:color="auto" w:fill="auto"/>
            <w:noWrap/>
            <w:vAlign w:val="center"/>
            <w:hideMark/>
          </w:tcPr>
          <w:p w14:paraId="7B842390" w14:textId="77777777" w:rsidR="000D310F" w:rsidRPr="000D310F" w:rsidRDefault="000D310F" w:rsidP="000D310F">
            <w:pPr>
              <w:spacing w:before="0" w:after="0" w:line="240" w:lineRule="auto"/>
              <w:ind w:left="170"/>
              <w:rPr>
                <w:rFonts w:ascii="Arial" w:hAnsi="Arial" w:cs="Arial"/>
                <w:color w:val="000000"/>
                <w:sz w:val="16"/>
                <w:szCs w:val="16"/>
              </w:rPr>
            </w:pPr>
            <w:r w:rsidRPr="000D310F">
              <w:rPr>
                <w:rFonts w:ascii="Arial" w:hAnsi="Arial" w:cs="Arial"/>
                <w:color w:val="000000"/>
                <w:sz w:val="16"/>
                <w:szCs w:val="16"/>
              </w:rPr>
              <w:t>payments</w:t>
            </w:r>
          </w:p>
        </w:tc>
        <w:tc>
          <w:tcPr>
            <w:tcW w:w="468" w:type="pct"/>
            <w:tcBorders>
              <w:top w:val="nil"/>
              <w:left w:val="nil"/>
              <w:bottom w:val="nil"/>
              <w:right w:val="nil"/>
            </w:tcBorders>
            <w:shd w:val="clear" w:color="auto" w:fill="auto"/>
            <w:noWrap/>
            <w:vAlign w:val="bottom"/>
            <w:hideMark/>
          </w:tcPr>
          <w:p w14:paraId="17553E55"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1,464</w:t>
            </w:r>
          </w:p>
        </w:tc>
        <w:tc>
          <w:tcPr>
            <w:tcW w:w="468" w:type="pct"/>
            <w:tcBorders>
              <w:top w:val="nil"/>
              <w:left w:val="nil"/>
              <w:bottom w:val="nil"/>
              <w:right w:val="nil"/>
            </w:tcBorders>
            <w:shd w:val="clear" w:color="auto" w:fill="auto"/>
            <w:noWrap/>
            <w:vAlign w:val="bottom"/>
            <w:hideMark/>
          </w:tcPr>
          <w:p w14:paraId="3C44EF76"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1,204</w:t>
            </w:r>
          </w:p>
        </w:tc>
        <w:tc>
          <w:tcPr>
            <w:tcW w:w="468" w:type="pct"/>
            <w:tcBorders>
              <w:top w:val="nil"/>
              <w:left w:val="nil"/>
              <w:bottom w:val="nil"/>
              <w:right w:val="nil"/>
            </w:tcBorders>
            <w:shd w:val="clear" w:color="auto" w:fill="auto"/>
            <w:noWrap/>
            <w:vAlign w:val="bottom"/>
            <w:hideMark/>
          </w:tcPr>
          <w:p w14:paraId="3BA35EA1"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947</w:t>
            </w:r>
          </w:p>
        </w:tc>
        <w:tc>
          <w:tcPr>
            <w:tcW w:w="468" w:type="pct"/>
            <w:tcBorders>
              <w:top w:val="nil"/>
              <w:left w:val="nil"/>
              <w:bottom w:val="nil"/>
              <w:right w:val="nil"/>
            </w:tcBorders>
            <w:shd w:val="clear" w:color="auto" w:fill="auto"/>
            <w:noWrap/>
            <w:vAlign w:val="center"/>
            <w:hideMark/>
          </w:tcPr>
          <w:p w14:paraId="05721B63"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 xml:space="preserve"> -</w:t>
            </w:r>
          </w:p>
        </w:tc>
        <w:tc>
          <w:tcPr>
            <w:tcW w:w="468" w:type="pct"/>
            <w:tcBorders>
              <w:top w:val="nil"/>
              <w:left w:val="nil"/>
              <w:bottom w:val="nil"/>
              <w:right w:val="nil"/>
            </w:tcBorders>
            <w:shd w:val="clear" w:color="auto" w:fill="auto"/>
            <w:noWrap/>
            <w:vAlign w:val="bottom"/>
            <w:hideMark/>
          </w:tcPr>
          <w:p w14:paraId="059150BA"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314</w:t>
            </w:r>
          </w:p>
        </w:tc>
        <w:tc>
          <w:tcPr>
            <w:tcW w:w="468" w:type="pct"/>
            <w:tcBorders>
              <w:top w:val="nil"/>
              <w:left w:val="nil"/>
              <w:bottom w:val="nil"/>
              <w:right w:val="nil"/>
            </w:tcBorders>
            <w:shd w:val="clear" w:color="auto" w:fill="auto"/>
            <w:noWrap/>
            <w:vAlign w:val="bottom"/>
            <w:hideMark/>
          </w:tcPr>
          <w:p w14:paraId="32D2A60B"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87</w:t>
            </w:r>
          </w:p>
        </w:tc>
        <w:tc>
          <w:tcPr>
            <w:tcW w:w="468" w:type="pct"/>
            <w:tcBorders>
              <w:top w:val="nil"/>
              <w:left w:val="nil"/>
              <w:bottom w:val="nil"/>
              <w:right w:val="nil"/>
            </w:tcBorders>
            <w:shd w:val="clear" w:color="auto" w:fill="auto"/>
            <w:noWrap/>
            <w:vAlign w:val="bottom"/>
            <w:hideMark/>
          </w:tcPr>
          <w:p w14:paraId="5638CFDB"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81</w:t>
            </w:r>
          </w:p>
        </w:tc>
        <w:tc>
          <w:tcPr>
            <w:tcW w:w="468" w:type="pct"/>
            <w:tcBorders>
              <w:top w:val="nil"/>
              <w:left w:val="nil"/>
              <w:bottom w:val="nil"/>
              <w:right w:val="nil"/>
            </w:tcBorders>
            <w:shd w:val="clear" w:color="auto" w:fill="auto"/>
            <w:noWrap/>
            <w:vAlign w:val="bottom"/>
            <w:hideMark/>
          </w:tcPr>
          <w:p w14:paraId="5C8AF8EC"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12</w:t>
            </w:r>
          </w:p>
        </w:tc>
        <w:tc>
          <w:tcPr>
            <w:tcW w:w="468" w:type="pct"/>
            <w:tcBorders>
              <w:top w:val="nil"/>
              <w:left w:val="nil"/>
              <w:bottom w:val="nil"/>
              <w:right w:val="nil"/>
            </w:tcBorders>
            <w:shd w:val="clear" w:color="000000" w:fill="E6F2FF"/>
            <w:noWrap/>
            <w:vAlign w:val="bottom"/>
            <w:hideMark/>
          </w:tcPr>
          <w:p w14:paraId="5A7C52F2"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4,108</w:t>
            </w:r>
          </w:p>
        </w:tc>
      </w:tr>
      <w:tr w:rsidR="000D310F" w:rsidRPr="000D310F" w14:paraId="1E4BD3DA" w14:textId="77777777" w:rsidTr="000D310F">
        <w:trPr>
          <w:divId w:val="1307082392"/>
          <w:trHeight w:hRule="exact" w:val="225"/>
        </w:trPr>
        <w:tc>
          <w:tcPr>
            <w:tcW w:w="793" w:type="pct"/>
            <w:tcBorders>
              <w:top w:val="nil"/>
              <w:left w:val="nil"/>
              <w:bottom w:val="nil"/>
              <w:right w:val="nil"/>
            </w:tcBorders>
            <w:shd w:val="clear" w:color="000000" w:fill="FFFFFF"/>
            <w:noWrap/>
            <w:vAlign w:val="center"/>
            <w:hideMark/>
          </w:tcPr>
          <w:p w14:paraId="483C2B5F"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22-23 advances</w:t>
            </w:r>
          </w:p>
        </w:tc>
        <w:tc>
          <w:tcPr>
            <w:tcW w:w="468" w:type="pct"/>
            <w:tcBorders>
              <w:top w:val="nil"/>
              <w:left w:val="nil"/>
              <w:bottom w:val="single" w:sz="4" w:space="0" w:color="293F5B"/>
              <w:right w:val="nil"/>
            </w:tcBorders>
            <w:shd w:val="clear" w:color="auto" w:fill="auto"/>
            <w:noWrap/>
            <w:vAlign w:val="bottom"/>
            <w:hideMark/>
          </w:tcPr>
          <w:p w14:paraId="4758BABF"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1,474</w:t>
            </w:r>
          </w:p>
        </w:tc>
        <w:tc>
          <w:tcPr>
            <w:tcW w:w="468" w:type="pct"/>
            <w:tcBorders>
              <w:top w:val="nil"/>
              <w:left w:val="nil"/>
              <w:bottom w:val="single" w:sz="4" w:space="0" w:color="293F5B"/>
              <w:right w:val="nil"/>
            </w:tcBorders>
            <w:shd w:val="clear" w:color="auto" w:fill="auto"/>
            <w:noWrap/>
            <w:vAlign w:val="bottom"/>
            <w:hideMark/>
          </w:tcPr>
          <w:p w14:paraId="3201060F"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1,213</w:t>
            </w:r>
          </w:p>
        </w:tc>
        <w:tc>
          <w:tcPr>
            <w:tcW w:w="468" w:type="pct"/>
            <w:tcBorders>
              <w:top w:val="nil"/>
              <w:left w:val="nil"/>
              <w:bottom w:val="single" w:sz="4" w:space="0" w:color="293F5B"/>
              <w:right w:val="nil"/>
            </w:tcBorders>
            <w:shd w:val="clear" w:color="auto" w:fill="auto"/>
            <w:noWrap/>
            <w:vAlign w:val="bottom"/>
            <w:hideMark/>
          </w:tcPr>
          <w:p w14:paraId="6C522AAA"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954</w:t>
            </w:r>
          </w:p>
        </w:tc>
        <w:tc>
          <w:tcPr>
            <w:tcW w:w="468" w:type="pct"/>
            <w:tcBorders>
              <w:top w:val="nil"/>
              <w:left w:val="nil"/>
              <w:bottom w:val="nil"/>
              <w:right w:val="nil"/>
            </w:tcBorders>
            <w:shd w:val="clear" w:color="auto" w:fill="auto"/>
            <w:noWrap/>
            <w:vAlign w:val="center"/>
            <w:hideMark/>
          </w:tcPr>
          <w:p w14:paraId="273BA4F5"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 xml:space="preserve"> -</w:t>
            </w:r>
          </w:p>
        </w:tc>
        <w:tc>
          <w:tcPr>
            <w:tcW w:w="468" w:type="pct"/>
            <w:tcBorders>
              <w:top w:val="nil"/>
              <w:left w:val="nil"/>
              <w:bottom w:val="single" w:sz="4" w:space="0" w:color="293F5B"/>
              <w:right w:val="nil"/>
            </w:tcBorders>
            <w:shd w:val="clear" w:color="auto" w:fill="auto"/>
            <w:noWrap/>
            <w:vAlign w:val="bottom"/>
            <w:hideMark/>
          </w:tcPr>
          <w:p w14:paraId="363425BE"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318</w:t>
            </w:r>
          </w:p>
        </w:tc>
        <w:tc>
          <w:tcPr>
            <w:tcW w:w="468" w:type="pct"/>
            <w:tcBorders>
              <w:top w:val="nil"/>
              <w:left w:val="nil"/>
              <w:bottom w:val="single" w:sz="4" w:space="0" w:color="293F5B"/>
              <w:right w:val="nil"/>
            </w:tcBorders>
            <w:shd w:val="clear" w:color="auto" w:fill="auto"/>
            <w:noWrap/>
            <w:vAlign w:val="bottom"/>
            <w:hideMark/>
          </w:tcPr>
          <w:p w14:paraId="0998C298"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89</w:t>
            </w:r>
          </w:p>
        </w:tc>
        <w:tc>
          <w:tcPr>
            <w:tcW w:w="468" w:type="pct"/>
            <w:tcBorders>
              <w:top w:val="nil"/>
              <w:left w:val="nil"/>
              <w:bottom w:val="single" w:sz="4" w:space="0" w:color="293F5B"/>
              <w:right w:val="nil"/>
            </w:tcBorders>
            <w:shd w:val="clear" w:color="auto" w:fill="auto"/>
            <w:noWrap/>
            <w:vAlign w:val="bottom"/>
            <w:hideMark/>
          </w:tcPr>
          <w:p w14:paraId="446DE928"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82</w:t>
            </w:r>
          </w:p>
        </w:tc>
        <w:tc>
          <w:tcPr>
            <w:tcW w:w="468" w:type="pct"/>
            <w:tcBorders>
              <w:top w:val="nil"/>
              <w:left w:val="nil"/>
              <w:bottom w:val="single" w:sz="4" w:space="0" w:color="293F5B"/>
              <w:right w:val="nil"/>
            </w:tcBorders>
            <w:shd w:val="clear" w:color="auto" w:fill="auto"/>
            <w:noWrap/>
            <w:vAlign w:val="bottom"/>
            <w:hideMark/>
          </w:tcPr>
          <w:p w14:paraId="47967640"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12</w:t>
            </w:r>
          </w:p>
        </w:tc>
        <w:tc>
          <w:tcPr>
            <w:tcW w:w="468" w:type="pct"/>
            <w:tcBorders>
              <w:top w:val="nil"/>
              <w:left w:val="nil"/>
              <w:bottom w:val="single" w:sz="4" w:space="0" w:color="293F5B"/>
              <w:right w:val="nil"/>
            </w:tcBorders>
            <w:shd w:val="clear" w:color="000000" w:fill="E6F2FF"/>
            <w:noWrap/>
            <w:vAlign w:val="bottom"/>
            <w:hideMark/>
          </w:tcPr>
          <w:p w14:paraId="72436377"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4,141</w:t>
            </w:r>
          </w:p>
        </w:tc>
      </w:tr>
      <w:tr w:rsidR="000D310F" w:rsidRPr="000D310F" w14:paraId="248F0DD7" w14:textId="77777777" w:rsidTr="000D310F">
        <w:trPr>
          <w:divId w:val="1307082392"/>
          <w:trHeight w:hRule="exact" w:val="225"/>
        </w:trPr>
        <w:tc>
          <w:tcPr>
            <w:tcW w:w="793" w:type="pct"/>
            <w:tcBorders>
              <w:top w:val="nil"/>
              <w:left w:val="nil"/>
              <w:bottom w:val="nil"/>
              <w:right w:val="nil"/>
            </w:tcBorders>
            <w:shd w:val="clear" w:color="000000" w:fill="FFFFFF"/>
            <w:noWrap/>
            <w:vAlign w:val="center"/>
            <w:hideMark/>
          </w:tcPr>
          <w:p w14:paraId="5E0B2357" w14:textId="77777777" w:rsidR="000D310F" w:rsidRPr="000D310F" w:rsidRDefault="000D310F" w:rsidP="000D310F">
            <w:pPr>
              <w:spacing w:before="0" w:after="0" w:line="240" w:lineRule="auto"/>
              <w:rPr>
                <w:rFonts w:ascii="Arial" w:hAnsi="Arial" w:cs="Arial"/>
                <w:color w:val="000000"/>
                <w:sz w:val="16"/>
                <w:szCs w:val="16"/>
              </w:rPr>
            </w:pPr>
            <w:r w:rsidRPr="000D310F">
              <w:rPr>
                <w:rFonts w:ascii="Arial" w:hAnsi="Arial" w:cs="Arial"/>
                <w:color w:val="000000"/>
                <w:sz w:val="16"/>
                <w:szCs w:val="16"/>
              </w:rPr>
              <w:t>Balancing</w:t>
            </w:r>
          </w:p>
        </w:tc>
        <w:tc>
          <w:tcPr>
            <w:tcW w:w="468" w:type="pct"/>
            <w:tcBorders>
              <w:top w:val="nil"/>
              <w:left w:val="nil"/>
              <w:bottom w:val="nil"/>
              <w:right w:val="nil"/>
            </w:tcBorders>
            <w:shd w:val="clear" w:color="auto" w:fill="auto"/>
            <w:noWrap/>
            <w:vAlign w:val="bottom"/>
            <w:hideMark/>
          </w:tcPr>
          <w:p w14:paraId="6C57B5F1" w14:textId="77777777" w:rsidR="000D310F" w:rsidRPr="000D310F" w:rsidRDefault="000D310F" w:rsidP="000D310F">
            <w:pPr>
              <w:spacing w:before="0" w:after="0" w:line="240" w:lineRule="auto"/>
              <w:rPr>
                <w:rFonts w:ascii="Arial" w:hAnsi="Arial" w:cs="Arial"/>
                <w:color w:val="000000"/>
                <w:sz w:val="16"/>
                <w:szCs w:val="16"/>
              </w:rPr>
            </w:pPr>
          </w:p>
        </w:tc>
        <w:tc>
          <w:tcPr>
            <w:tcW w:w="468" w:type="pct"/>
            <w:tcBorders>
              <w:top w:val="nil"/>
              <w:left w:val="nil"/>
              <w:bottom w:val="nil"/>
              <w:right w:val="nil"/>
            </w:tcBorders>
            <w:shd w:val="clear" w:color="auto" w:fill="auto"/>
            <w:noWrap/>
            <w:vAlign w:val="bottom"/>
            <w:hideMark/>
          </w:tcPr>
          <w:p w14:paraId="7BEBC99F" w14:textId="77777777" w:rsidR="000D310F" w:rsidRPr="000D310F" w:rsidRDefault="000D310F" w:rsidP="000D310F">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auto" w:fill="auto"/>
            <w:noWrap/>
            <w:vAlign w:val="bottom"/>
            <w:hideMark/>
          </w:tcPr>
          <w:p w14:paraId="1FA2C855" w14:textId="77777777" w:rsidR="000D310F" w:rsidRPr="000D310F" w:rsidRDefault="000D310F" w:rsidP="000D310F">
            <w:pPr>
              <w:spacing w:before="0" w:after="0" w:line="240" w:lineRule="auto"/>
              <w:jc w:val="right"/>
              <w:rPr>
                <w:rFonts w:ascii="Times New Roman" w:hAnsi="Times New Roman"/>
                <w:sz w:val="20"/>
              </w:rPr>
            </w:pPr>
          </w:p>
        </w:tc>
        <w:tc>
          <w:tcPr>
            <w:tcW w:w="468" w:type="pct"/>
            <w:tcBorders>
              <w:top w:val="single" w:sz="4" w:space="0" w:color="293F5B"/>
              <w:left w:val="nil"/>
              <w:bottom w:val="nil"/>
              <w:right w:val="nil"/>
            </w:tcBorders>
            <w:shd w:val="clear" w:color="auto" w:fill="auto"/>
            <w:noWrap/>
            <w:vAlign w:val="center"/>
            <w:hideMark/>
          </w:tcPr>
          <w:p w14:paraId="42EC2A30"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 </w:t>
            </w:r>
          </w:p>
        </w:tc>
        <w:tc>
          <w:tcPr>
            <w:tcW w:w="468" w:type="pct"/>
            <w:tcBorders>
              <w:top w:val="nil"/>
              <w:left w:val="nil"/>
              <w:bottom w:val="nil"/>
              <w:right w:val="nil"/>
            </w:tcBorders>
            <w:shd w:val="clear" w:color="auto" w:fill="auto"/>
            <w:noWrap/>
            <w:vAlign w:val="bottom"/>
            <w:hideMark/>
          </w:tcPr>
          <w:p w14:paraId="791B4DF3" w14:textId="77777777" w:rsidR="000D310F" w:rsidRPr="000D310F" w:rsidRDefault="000D310F" w:rsidP="000D310F">
            <w:pPr>
              <w:spacing w:before="0" w:after="0" w:line="240" w:lineRule="auto"/>
              <w:jc w:val="right"/>
              <w:rPr>
                <w:rFonts w:ascii="Arial" w:hAnsi="Arial" w:cs="Arial"/>
                <w:color w:val="000000"/>
                <w:sz w:val="16"/>
                <w:szCs w:val="16"/>
              </w:rPr>
            </w:pPr>
          </w:p>
        </w:tc>
        <w:tc>
          <w:tcPr>
            <w:tcW w:w="468" w:type="pct"/>
            <w:tcBorders>
              <w:top w:val="nil"/>
              <w:left w:val="nil"/>
              <w:bottom w:val="nil"/>
              <w:right w:val="nil"/>
            </w:tcBorders>
            <w:shd w:val="clear" w:color="auto" w:fill="auto"/>
            <w:noWrap/>
            <w:vAlign w:val="bottom"/>
            <w:hideMark/>
          </w:tcPr>
          <w:p w14:paraId="278A4D4D" w14:textId="77777777" w:rsidR="000D310F" w:rsidRPr="000D310F" w:rsidRDefault="000D310F" w:rsidP="000D310F">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auto" w:fill="auto"/>
            <w:noWrap/>
            <w:vAlign w:val="bottom"/>
            <w:hideMark/>
          </w:tcPr>
          <w:p w14:paraId="7FC45DB5" w14:textId="77777777" w:rsidR="000D310F" w:rsidRPr="000D310F" w:rsidRDefault="000D310F" w:rsidP="000D310F">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auto" w:fill="auto"/>
            <w:noWrap/>
            <w:vAlign w:val="bottom"/>
            <w:hideMark/>
          </w:tcPr>
          <w:p w14:paraId="2B4BE7AF" w14:textId="77777777" w:rsidR="000D310F" w:rsidRPr="000D310F" w:rsidRDefault="000D310F" w:rsidP="000D310F">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000000" w:fill="E6F2FF"/>
            <w:noWrap/>
            <w:vAlign w:val="bottom"/>
            <w:hideMark/>
          </w:tcPr>
          <w:p w14:paraId="1A03F307"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 </w:t>
            </w:r>
          </w:p>
        </w:tc>
      </w:tr>
      <w:tr w:rsidR="000D310F" w:rsidRPr="000D310F" w14:paraId="4DA20E67" w14:textId="77777777" w:rsidTr="000D310F">
        <w:trPr>
          <w:divId w:val="1307082392"/>
          <w:trHeight w:hRule="exact" w:val="225"/>
        </w:trPr>
        <w:tc>
          <w:tcPr>
            <w:tcW w:w="793" w:type="pct"/>
            <w:tcBorders>
              <w:top w:val="nil"/>
              <w:left w:val="nil"/>
              <w:bottom w:val="single" w:sz="4" w:space="0" w:color="293F5B"/>
              <w:right w:val="nil"/>
            </w:tcBorders>
            <w:shd w:val="clear" w:color="000000" w:fill="FFFFFF"/>
            <w:noWrap/>
            <w:vAlign w:val="center"/>
            <w:hideMark/>
          </w:tcPr>
          <w:p w14:paraId="1F12B0B9" w14:textId="77777777" w:rsidR="000D310F" w:rsidRPr="000D310F" w:rsidRDefault="000D310F" w:rsidP="000D310F">
            <w:pPr>
              <w:spacing w:before="0" w:after="0" w:line="240" w:lineRule="auto"/>
              <w:ind w:left="170"/>
              <w:rPr>
                <w:rFonts w:ascii="Arial" w:hAnsi="Arial" w:cs="Arial"/>
                <w:color w:val="000000"/>
                <w:sz w:val="16"/>
                <w:szCs w:val="16"/>
              </w:rPr>
            </w:pPr>
            <w:r w:rsidRPr="000D310F">
              <w:rPr>
                <w:rFonts w:ascii="Arial" w:hAnsi="Arial" w:cs="Arial"/>
                <w:color w:val="000000"/>
                <w:sz w:val="16"/>
                <w:szCs w:val="16"/>
              </w:rPr>
              <w:t>adjustment</w:t>
            </w:r>
          </w:p>
        </w:tc>
        <w:tc>
          <w:tcPr>
            <w:tcW w:w="468" w:type="pct"/>
            <w:tcBorders>
              <w:top w:val="nil"/>
              <w:left w:val="nil"/>
              <w:bottom w:val="single" w:sz="4" w:space="0" w:color="293F5B"/>
              <w:right w:val="nil"/>
            </w:tcBorders>
            <w:shd w:val="clear" w:color="auto" w:fill="auto"/>
            <w:noWrap/>
            <w:vAlign w:val="bottom"/>
            <w:hideMark/>
          </w:tcPr>
          <w:p w14:paraId="2B1264DA"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-10</w:t>
            </w:r>
          </w:p>
        </w:tc>
        <w:tc>
          <w:tcPr>
            <w:tcW w:w="468" w:type="pct"/>
            <w:tcBorders>
              <w:top w:val="nil"/>
              <w:left w:val="nil"/>
              <w:bottom w:val="single" w:sz="4" w:space="0" w:color="293F5B"/>
              <w:right w:val="nil"/>
            </w:tcBorders>
            <w:shd w:val="clear" w:color="auto" w:fill="auto"/>
            <w:noWrap/>
            <w:vAlign w:val="bottom"/>
            <w:hideMark/>
          </w:tcPr>
          <w:p w14:paraId="7BB3C925"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-9</w:t>
            </w:r>
          </w:p>
        </w:tc>
        <w:tc>
          <w:tcPr>
            <w:tcW w:w="468" w:type="pct"/>
            <w:tcBorders>
              <w:top w:val="nil"/>
              <w:left w:val="nil"/>
              <w:bottom w:val="single" w:sz="4" w:space="0" w:color="293F5B"/>
              <w:right w:val="nil"/>
            </w:tcBorders>
            <w:shd w:val="clear" w:color="auto" w:fill="auto"/>
            <w:noWrap/>
            <w:vAlign w:val="bottom"/>
            <w:hideMark/>
          </w:tcPr>
          <w:p w14:paraId="3B389B5C"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-6</w:t>
            </w:r>
          </w:p>
        </w:tc>
        <w:tc>
          <w:tcPr>
            <w:tcW w:w="468" w:type="pct"/>
            <w:tcBorders>
              <w:top w:val="nil"/>
              <w:left w:val="nil"/>
              <w:bottom w:val="single" w:sz="4" w:space="0" w:color="293F5B"/>
              <w:right w:val="nil"/>
            </w:tcBorders>
            <w:shd w:val="clear" w:color="auto" w:fill="auto"/>
            <w:noWrap/>
            <w:vAlign w:val="center"/>
            <w:hideMark/>
          </w:tcPr>
          <w:p w14:paraId="05ACE946" w14:textId="07298581" w:rsidR="000D310F" w:rsidRPr="000D310F" w:rsidRDefault="000D310F" w:rsidP="000D310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468" w:type="pct"/>
            <w:tcBorders>
              <w:top w:val="nil"/>
              <w:left w:val="nil"/>
              <w:bottom w:val="single" w:sz="4" w:space="0" w:color="293F5B"/>
              <w:right w:val="nil"/>
            </w:tcBorders>
            <w:shd w:val="clear" w:color="auto" w:fill="auto"/>
            <w:noWrap/>
            <w:vAlign w:val="bottom"/>
            <w:hideMark/>
          </w:tcPr>
          <w:p w14:paraId="557DD588"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-4</w:t>
            </w:r>
          </w:p>
        </w:tc>
        <w:tc>
          <w:tcPr>
            <w:tcW w:w="468" w:type="pct"/>
            <w:tcBorders>
              <w:top w:val="nil"/>
              <w:left w:val="nil"/>
              <w:bottom w:val="single" w:sz="4" w:space="0" w:color="293F5B"/>
              <w:right w:val="nil"/>
            </w:tcBorders>
            <w:shd w:val="clear" w:color="auto" w:fill="auto"/>
            <w:noWrap/>
            <w:vAlign w:val="bottom"/>
            <w:hideMark/>
          </w:tcPr>
          <w:p w14:paraId="57759799"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-2</w:t>
            </w:r>
          </w:p>
        </w:tc>
        <w:tc>
          <w:tcPr>
            <w:tcW w:w="468" w:type="pct"/>
            <w:tcBorders>
              <w:top w:val="nil"/>
              <w:left w:val="nil"/>
              <w:bottom w:val="single" w:sz="4" w:space="0" w:color="293F5B"/>
              <w:right w:val="nil"/>
            </w:tcBorders>
            <w:shd w:val="clear" w:color="auto" w:fill="auto"/>
            <w:noWrap/>
            <w:vAlign w:val="bottom"/>
            <w:hideMark/>
          </w:tcPr>
          <w:p w14:paraId="5545B693"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-2</w:t>
            </w:r>
          </w:p>
        </w:tc>
        <w:tc>
          <w:tcPr>
            <w:tcW w:w="468" w:type="pct"/>
            <w:tcBorders>
              <w:top w:val="nil"/>
              <w:left w:val="nil"/>
              <w:bottom w:val="single" w:sz="4" w:space="0" w:color="293F5B"/>
              <w:right w:val="nil"/>
            </w:tcBorders>
            <w:shd w:val="clear" w:color="auto" w:fill="auto"/>
            <w:noWrap/>
            <w:vAlign w:val="bottom"/>
            <w:hideMark/>
          </w:tcPr>
          <w:p w14:paraId="6E7A181D"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w:t>
            </w:r>
          </w:p>
        </w:tc>
        <w:tc>
          <w:tcPr>
            <w:tcW w:w="468" w:type="pct"/>
            <w:tcBorders>
              <w:top w:val="nil"/>
              <w:left w:val="nil"/>
              <w:bottom w:val="single" w:sz="4" w:space="0" w:color="293F5B"/>
              <w:right w:val="nil"/>
            </w:tcBorders>
            <w:shd w:val="clear" w:color="000000" w:fill="E6F2FF"/>
            <w:noWrap/>
            <w:vAlign w:val="bottom"/>
            <w:hideMark/>
          </w:tcPr>
          <w:p w14:paraId="5CFC1442" w14:textId="77777777" w:rsidR="000D310F" w:rsidRPr="000D310F" w:rsidRDefault="000D310F" w:rsidP="000D310F">
            <w:pPr>
              <w:spacing w:before="0" w:after="0" w:line="240" w:lineRule="auto"/>
              <w:jc w:val="right"/>
              <w:rPr>
                <w:rFonts w:ascii="Arial" w:hAnsi="Arial" w:cs="Arial"/>
                <w:color w:val="000000"/>
                <w:sz w:val="16"/>
                <w:szCs w:val="16"/>
              </w:rPr>
            </w:pPr>
            <w:r w:rsidRPr="000D310F">
              <w:rPr>
                <w:rFonts w:ascii="Arial" w:hAnsi="Arial" w:cs="Arial"/>
                <w:color w:val="000000"/>
                <w:sz w:val="16"/>
                <w:szCs w:val="16"/>
              </w:rPr>
              <w:t>-33</w:t>
            </w:r>
          </w:p>
        </w:tc>
      </w:tr>
    </w:tbl>
    <w:p w14:paraId="24271662" w14:textId="484D511B" w:rsidR="009175F2" w:rsidRPr="00934CF0" w:rsidRDefault="00FF68CE" w:rsidP="009175F2">
      <w:pPr>
        <w:pStyle w:val="SingleParagraph"/>
      </w:pPr>
      <w:r w:rsidRPr="002778CF">
        <w:rPr>
          <w:highlight w:val="lightGray"/>
        </w:rPr>
        <w:fldChar w:fldCharType="end"/>
      </w:r>
    </w:p>
    <w:p w14:paraId="0A926E7E" w14:textId="17E860DB" w:rsidR="009175F2" w:rsidRPr="00934CF0" w:rsidRDefault="000921C1" w:rsidP="009175F2">
      <w:pPr>
        <w:pStyle w:val="Heading3"/>
      </w:pPr>
      <w:r w:rsidRPr="00934CF0">
        <w:fldChar w:fldCharType="begin"/>
      </w:r>
      <w:r w:rsidRPr="00934CF0">
        <w:instrText xml:space="preserve"> :End:CSPD_MB3 </w:instrText>
      </w:r>
      <w:r w:rsidRPr="00934CF0">
        <w:fldChar w:fldCharType="end"/>
      </w:r>
      <w:r w:rsidR="000D315A" w:rsidRPr="00934CF0">
        <w:fldChar w:fldCharType="begin"/>
      </w:r>
      <w:r w:rsidR="000D315A" w:rsidRPr="00934CF0">
        <w:instrText xml:space="preserve"> :Start:PITCD_EB1 </w:instrText>
      </w:r>
      <w:r w:rsidR="000D315A" w:rsidRPr="00934CF0">
        <w:fldChar w:fldCharType="end"/>
      </w:r>
      <w:r w:rsidR="009175F2" w:rsidRPr="00934CF0">
        <w:t>GST administration</w:t>
      </w:r>
    </w:p>
    <w:p w14:paraId="2EA596CA" w14:textId="77777777" w:rsidR="009175F2" w:rsidRPr="00934CF0" w:rsidRDefault="009175F2" w:rsidP="009175F2">
      <w:r w:rsidRPr="00934CF0">
        <w:t>States compensate the Australian Government for the agreed costs incurred by the ATO in administering the GST, including costs incurred by the Department of Home Affairs, as shown in Table 3.12.</w:t>
      </w:r>
    </w:p>
    <w:p w14:paraId="2C133D3D" w14:textId="6AD1D61C" w:rsidR="006B7B04" w:rsidRPr="00934CF0" w:rsidRDefault="009175F2" w:rsidP="006B7B04">
      <w:pPr>
        <w:pStyle w:val="TableHeading"/>
      </w:pPr>
      <w:r w:rsidRPr="00934CF0">
        <w:t>Table 3.12: GST administration, 202</w:t>
      </w:r>
      <w:r w:rsidR="00E35EB4" w:rsidRPr="00934CF0">
        <w:t>2</w:t>
      </w:r>
      <w:r w:rsidR="00863F4D" w:rsidRPr="00934CF0">
        <w:t>–</w:t>
      </w:r>
      <w:r w:rsidRPr="00934CF0">
        <w:t>2</w:t>
      </w:r>
      <w:r w:rsidR="00E35EB4" w:rsidRPr="00934CF0">
        <w:t>3</w:t>
      </w:r>
      <w:r w:rsidR="003A0D27" w:rsidRPr="00934CF0">
        <w:fldChar w:fldCharType="begin" w:fldLock="1"/>
      </w:r>
      <w:r w:rsidR="003A0D27" w:rsidRPr="00934CF0">
        <w:instrText xml:space="preserve"> LINK </w:instrText>
      </w:r>
      <w:r w:rsidR="006B7B04" w:rsidRPr="00934CF0">
        <w:instrText xml:space="preserve">Excel.Sheet.12 "https://austreasury.sharepoint.com/sites/Budget/Shared Documents/2022-23 FBO/03 Part 3/Master Tables/GST Tables/GST Tables FBO 2022-23.xlsx" "GST admin!R3C1:R14C3" </w:instrText>
      </w:r>
      <w:r w:rsidR="003A0D27" w:rsidRPr="00934CF0">
        <w:instrText xml:space="preserve">\a \f 4 \h </w:instrText>
      </w:r>
      <w:r w:rsidR="00A23A7F" w:rsidRPr="00934CF0">
        <w:instrText xml:space="preserve"> \* MERGEFORMAT </w:instrText>
      </w:r>
      <w:r w:rsidR="003A0D27" w:rsidRPr="00934CF0">
        <w:fldChar w:fldCharType="separate"/>
      </w:r>
    </w:p>
    <w:tbl>
      <w:tblPr>
        <w:tblW w:w="5000" w:type="pct"/>
        <w:tblCellMar>
          <w:left w:w="0" w:type="dxa"/>
          <w:right w:w="28" w:type="dxa"/>
        </w:tblCellMar>
        <w:tblLook w:val="04A0" w:firstRow="1" w:lastRow="0" w:firstColumn="1" w:lastColumn="0" w:noHBand="0" w:noVBand="1"/>
      </w:tblPr>
      <w:tblGrid>
        <w:gridCol w:w="4887"/>
        <w:gridCol w:w="1411"/>
        <w:gridCol w:w="1412"/>
      </w:tblGrid>
      <w:tr w:rsidR="006B7B04" w:rsidRPr="00934CF0" w14:paraId="72D5CC35" w14:textId="77777777" w:rsidTr="006B7B04">
        <w:trPr>
          <w:divId w:val="1203178018"/>
          <w:trHeight w:hRule="exact" w:val="226"/>
        </w:trPr>
        <w:tc>
          <w:tcPr>
            <w:tcW w:w="3169" w:type="pct"/>
            <w:tcBorders>
              <w:top w:val="single" w:sz="4" w:space="0" w:color="293F5B"/>
              <w:left w:val="nil"/>
              <w:bottom w:val="nil"/>
              <w:right w:val="nil"/>
            </w:tcBorders>
            <w:shd w:val="clear" w:color="000000" w:fill="FFFFFF"/>
            <w:noWrap/>
            <w:vAlign w:val="center"/>
            <w:hideMark/>
          </w:tcPr>
          <w:p w14:paraId="3B9A54D2" w14:textId="135B2E7D" w:rsidR="006B7B04" w:rsidRPr="00934CF0" w:rsidRDefault="006B7B04" w:rsidP="006B7B04">
            <w:pPr>
              <w:spacing w:before="0" w:after="0" w:line="240" w:lineRule="auto"/>
              <w:rPr>
                <w:rFonts w:ascii="Arial" w:hAnsi="Arial" w:cs="Arial"/>
                <w:sz w:val="16"/>
                <w:szCs w:val="16"/>
              </w:rPr>
            </w:pPr>
            <w:r w:rsidRPr="00934CF0">
              <w:rPr>
                <w:rFonts w:ascii="Arial" w:hAnsi="Arial" w:cs="Arial"/>
                <w:sz w:val="16"/>
                <w:szCs w:val="16"/>
              </w:rPr>
              <w:t>$million</w:t>
            </w:r>
          </w:p>
        </w:tc>
        <w:tc>
          <w:tcPr>
            <w:tcW w:w="1831" w:type="pct"/>
            <w:gridSpan w:val="2"/>
            <w:tcBorders>
              <w:top w:val="single" w:sz="4" w:space="0" w:color="293F5B"/>
              <w:left w:val="nil"/>
              <w:bottom w:val="single" w:sz="4" w:space="0" w:color="293F5B"/>
              <w:right w:val="nil"/>
            </w:tcBorders>
            <w:shd w:val="clear" w:color="000000" w:fill="FFFFFF"/>
            <w:noWrap/>
            <w:vAlign w:val="center"/>
            <w:hideMark/>
          </w:tcPr>
          <w:p w14:paraId="2AB4BD7A" w14:textId="77777777" w:rsidR="006B7B04" w:rsidRPr="00934CF0" w:rsidRDefault="006B7B04" w:rsidP="006B7B04">
            <w:pPr>
              <w:pStyle w:val="TableTextRight"/>
            </w:pPr>
            <w:r w:rsidRPr="00934CF0">
              <w:t>Actual</w:t>
            </w:r>
          </w:p>
        </w:tc>
      </w:tr>
      <w:tr w:rsidR="006B7B04" w:rsidRPr="00934CF0" w14:paraId="14087157"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0F07F3C2" w14:textId="77777777" w:rsidR="006B7B04" w:rsidRPr="00934CF0" w:rsidRDefault="006B7B04" w:rsidP="006B7B04">
            <w:pPr>
              <w:spacing w:before="0" w:after="0" w:line="240" w:lineRule="auto"/>
              <w:rPr>
                <w:rFonts w:ascii="Arial" w:hAnsi="Arial" w:cs="Arial"/>
                <w:sz w:val="16"/>
                <w:szCs w:val="16"/>
              </w:rPr>
            </w:pPr>
            <w:r w:rsidRPr="00934CF0">
              <w:rPr>
                <w:rFonts w:ascii="Arial" w:hAnsi="Arial" w:cs="Arial"/>
                <w:sz w:val="16"/>
                <w:szCs w:val="16"/>
              </w:rPr>
              <w:t> </w:t>
            </w:r>
          </w:p>
        </w:tc>
        <w:tc>
          <w:tcPr>
            <w:tcW w:w="915" w:type="pct"/>
            <w:tcBorders>
              <w:top w:val="single" w:sz="4" w:space="0" w:color="293F5B"/>
              <w:left w:val="nil"/>
              <w:bottom w:val="single" w:sz="4" w:space="0" w:color="293F5B"/>
              <w:right w:val="nil"/>
            </w:tcBorders>
            <w:shd w:val="clear" w:color="000000" w:fill="FFFFFF"/>
            <w:noWrap/>
            <w:vAlign w:val="center"/>
            <w:hideMark/>
          </w:tcPr>
          <w:p w14:paraId="3F1F1F89" w14:textId="6A023CAB" w:rsidR="006B7B04" w:rsidRPr="00934CF0" w:rsidRDefault="006B7B04" w:rsidP="006B7B04">
            <w:pPr>
              <w:pStyle w:val="TableTextRight"/>
            </w:pPr>
            <w:r w:rsidRPr="00934CF0">
              <w:t>2021</w:t>
            </w:r>
            <w:r w:rsidR="00BD648E" w:rsidRPr="00934CF0">
              <w:noBreakHyphen/>
            </w:r>
            <w:r w:rsidRPr="00934CF0">
              <w:t>22</w:t>
            </w:r>
          </w:p>
        </w:tc>
        <w:tc>
          <w:tcPr>
            <w:tcW w:w="916" w:type="pct"/>
            <w:tcBorders>
              <w:top w:val="single" w:sz="4" w:space="0" w:color="293F5B"/>
              <w:left w:val="nil"/>
              <w:bottom w:val="single" w:sz="4" w:space="0" w:color="293F5B"/>
              <w:right w:val="nil"/>
            </w:tcBorders>
            <w:shd w:val="clear" w:color="auto" w:fill="E6F2FF"/>
            <w:noWrap/>
            <w:vAlign w:val="center"/>
            <w:hideMark/>
          </w:tcPr>
          <w:p w14:paraId="28099E3E" w14:textId="59C93682" w:rsidR="006B7B04" w:rsidRPr="00934CF0" w:rsidRDefault="006B7B04" w:rsidP="006B7B04">
            <w:pPr>
              <w:pStyle w:val="TableTextRight"/>
            </w:pPr>
            <w:r w:rsidRPr="00934CF0">
              <w:t>2022</w:t>
            </w:r>
            <w:r w:rsidR="00BD648E" w:rsidRPr="00934CF0">
              <w:noBreakHyphen/>
            </w:r>
            <w:r w:rsidRPr="00934CF0">
              <w:t>23</w:t>
            </w:r>
          </w:p>
        </w:tc>
      </w:tr>
      <w:tr w:rsidR="006B7B04" w:rsidRPr="00934CF0" w14:paraId="773FB260"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22F0CEA7" w14:textId="77777777" w:rsidR="006B7B04" w:rsidRPr="00934CF0" w:rsidRDefault="006B7B04" w:rsidP="006B7B04">
            <w:pPr>
              <w:spacing w:before="0" w:after="0" w:line="240" w:lineRule="auto"/>
              <w:rPr>
                <w:rFonts w:ascii="Arial" w:hAnsi="Arial" w:cs="Arial"/>
                <w:sz w:val="16"/>
                <w:szCs w:val="16"/>
              </w:rPr>
            </w:pPr>
            <w:r w:rsidRPr="00934CF0">
              <w:rPr>
                <w:rFonts w:ascii="Arial" w:hAnsi="Arial" w:cs="Arial"/>
                <w:sz w:val="16"/>
                <w:szCs w:val="16"/>
              </w:rPr>
              <w:t>Australian Taxation Office budget</w:t>
            </w:r>
          </w:p>
        </w:tc>
        <w:tc>
          <w:tcPr>
            <w:tcW w:w="915" w:type="pct"/>
            <w:tcBorders>
              <w:top w:val="single" w:sz="4" w:space="0" w:color="293F5B"/>
              <w:left w:val="nil"/>
              <w:bottom w:val="nil"/>
              <w:right w:val="nil"/>
            </w:tcBorders>
            <w:shd w:val="clear" w:color="000000" w:fill="FFFFFF"/>
            <w:noWrap/>
            <w:vAlign w:val="center"/>
            <w:hideMark/>
          </w:tcPr>
          <w:p w14:paraId="0B34B16A" w14:textId="77777777" w:rsidR="006B7B04" w:rsidRPr="00934CF0" w:rsidRDefault="006B7B04" w:rsidP="006B7B04">
            <w:pPr>
              <w:pStyle w:val="TableTextRight"/>
            </w:pPr>
            <w:r w:rsidRPr="00934CF0">
              <w:t>676</w:t>
            </w:r>
          </w:p>
        </w:tc>
        <w:tc>
          <w:tcPr>
            <w:tcW w:w="916" w:type="pct"/>
            <w:tcBorders>
              <w:top w:val="single" w:sz="4" w:space="0" w:color="293F5B"/>
              <w:left w:val="nil"/>
              <w:bottom w:val="nil"/>
              <w:right w:val="nil"/>
            </w:tcBorders>
            <w:shd w:val="clear" w:color="auto" w:fill="E6F2FF"/>
            <w:noWrap/>
            <w:vAlign w:val="center"/>
            <w:hideMark/>
          </w:tcPr>
          <w:p w14:paraId="7F86F3B0" w14:textId="77777777" w:rsidR="006B7B04" w:rsidRPr="00934CF0" w:rsidRDefault="006B7B04" w:rsidP="006B7B04">
            <w:pPr>
              <w:pStyle w:val="TableTextRight"/>
            </w:pPr>
            <w:r w:rsidRPr="00934CF0">
              <w:t>677</w:t>
            </w:r>
          </w:p>
        </w:tc>
      </w:tr>
      <w:tr w:rsidR="006B7B04" w:rsidRPr="00934CF0" w14:paraId="41DC2A88"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61AB0E6D"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less</w:t>
            </w:r>
            <w:r w:rsidRPr="00934CF0">
              <w:rPr>
                <w:rFonts w:ascii="Arial" w:hAnsi="Arial" w:cs="Arial"/>
                <w:sz w:val="16"/>
                <w:szCs w:val="16"/>
              </w:rPr>
              <w:t xml:space="preserve"> Prior year adjustment</w:t>
            </w:r>
          </w:p>
        </w:tc>
        <w:tc>
          <w:tcPr>
            <w:tcW w:w="915" w:type="pct"/>
            <w:tcBorders>
              <w:top w:val="nil"/>
              <w:left w:val="nil"/>
              <w:bottom w:val="single" w:sz="4" w:space="0" w:color="293F5B"/>
              <w:right w:val="nil"/>
            </w:tcBorders>
            <w:shd w:val="clear" w:color="000000" w:fill="FFFFFF"/>
            <w:noWrap/>
            <w:vAlign w:val="center"/>
            <w:hideMark/>
          </w:tcPr>
          <w:p w14:paraId="7A5547AE" w14:textId="77777777" w:rsidR="006B7B04" w:rsidRPr="00934CF0" w:rsidRDefault="006B7B04" w:rsidP="006B7B04">
            <w:pPr>
              <w:pStyle w:val="TableTextRight"/>
            </w:pPr>
            <w:r w:rsidRPr="00934CF0">
              <w:t>83</w:t>
            </w:r>
          </w:p>
        </w:tc>
        <w:tc>
          <w:tcPr>
            <w:tcW w:w="916" w:type="pct"/>
            <w:tcBorders>
              <w:top w:val="nil"/>
              <w:left w:val="nil"/>
              <w:bottom w:val="single" w:sz="4" w:space="0" w:color="293F5B"/>
              <w:right w:val="nil"/>
            </w:tcBorders>
            <w:shd w:val="clear" w:color="auto" w:fill="E6F2FF"/>
            <w:noWrap/>
            <w:vAlign w:val="center"/>
            <w:hideMark/>
          </w:tcPr>
          <w:p w14:paraId="34ABE77B" w14:textId="77777777" w:rsidR="006B7B04" w:rsidRPr="00934CF0" w:rsidRDefault="006B7B04" w:rsidP="006B7B04">
            <w:pPr>
              <w:pStyle w:val="TableTextRight"/>
            </w:pPr>
            <w:r w:rsidRPr="00934CF0">
              <w:t>23</w:t>
            </w:r>
          </w:p>
        </w:tc>
      </w:tr>
      <w:tr w:rsidR="006B7B04" w:rsidRPr="00934CF0" w14:paraId="263054D2" w14:textId="77777777" w:rsidTr="006B7B04">
        <w:trPr>
          <w:divId w:val="1203178018"/>
          <w:trHeight w:hRule="exact" w:val="60"/>
        </w:trPr>
        <w:tc>
          <w:tcPr>
            <w:tcW w:w="3169" w:type="pct"/>
            <w:tcBorders>
              <w:top w:val="nil"/>
              <w:left w:val="nil"/>
              <w:bottom w:val="nil"/>
              <w:right w:val="nil"/>
            </w:tcBorders>
            <w:shd w:val="clear" w:color="000000" w:fill="FFFFFF"/>
            <w:noWrap/>
            <w:vAlign w:val="center"/>
            <w:hideMark/>
          </w:tcPr>
          <w:p w14:paraId="36587CDF"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 </w:t>
            </w:r>
          </w:p>
        </w:tc>
        <w:tc>
          <w:tcPr>
            <w:tcW w:w="915" w:type="pct"/>
            <w:tcBorders>
              <w:top w:val="single" w:sz="4" w:space="0" w:color="293F5B"/>
              <w:left w:val="nil"/>
              <w:bottom w:val="nil"/>
              <w:right w:val="nil"/>
            </w:tcBorders>
            <w:shd w:val="clear" w:color="000000" w:fill="FFFFFF"/>
            <w:noWrap/>
            <w:vAlign w:val="center"/>
            <w:hideMark/>
          </w:tcPr>
          <w:p w14:paraId="7BBB4C34" w14:textId="77777777" w:rsidR="006B7B04" w:rsidRPr="00934CF0" w:rsidRDefault="006B7B04" w:rsidP="006B7B04">
            <w:pPr>
              <w:pStyle w:val="TableTextRight"/>
            </w:pPr>
            <w:r w:rsidRPr="00934CF0">
              <w:t> </w:t>
            </w:r>
          </w:p>
        </w:tc>
        <w:tc>
          <w:tcPr>
            <w:tcW w:w="916" w:type="pct"/>
            <w:tcBorders>
              <w:top w:val="single" w:sz="4" w:space="0" w:color="293F5B"/>
              <w:left w:val="nil"/>
              <w:bottom w:val="nil"/>
              <w:right w:val="nil"/>
            </w:tcBorders>
            <w:shd w:val="clear" w:color="auto" w:fill="E6F2FF"/>
            <w:noWrap/>
            <w:vAlign w:val="center"/>
            <w:hideMark/>
          </w:tcPr>
          <w:p w14:paraId="5B6754E2" w14:textId="77777777" w:rsidR="006B7B04" w:rsidRPr="00934CF0" w:rsidRDefault="006B7B04" w:rsidP="006B7B04">
            <w:pPr>
              <w:pStyle w:val="TableTextRight"/>
            </w:pPr>
            <w:r w:rsidRPr="00934CF0">
              <w:t> </w:t>
            </w:r>
          </w:p>
        </w:tc>
      </w:tr>
      <w:tr w:rsidR="006B7B04" w:rsidRPr="00934CF0" w14:paraId="5D0A83F5"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2732B34A"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 xml:space="preserve">equals </w:t>
            </w:r>
            <w:r w:rsidRPr="00934CF0">
              <w:rPr>
                <w:rFonts w:ascii="Arial" w:hAnsi="Arial" w:cs="Arial"/>
                <w:sz w:val="16"/>
                <w:szCs w:val="16"/>
              </w:rPr>
              <w:t>State government administration payments</w:t>
            </w:r>
          </w:p>
        </w:tc>
        <w:tc>
          <w:tcPr>
            <w:tcW w:w="915" w:type="pct"/>
            <w:tcBorders>
              <w:top w:val="nil"/>
              <w:left w:val="nil"/>
              <w:bottom w:val="nil"/>
              <w:right w:val="nil"/>
            </w:tcBorders>
            <w:shd w:val="clear" w:color="000000" w:fill="FFFFFF"/>
            <w:noWrap/>
            <w:vAlign w:val="center"/>
            <w:hideMark/>
          </w:tcPr>
          <w:p w14:paraId="5F14DDCC" w14:textId="77777777" w:rsidR="006B7B04" w:rsidRPr="00934CF0" w:rsidRDefault="006B7B04" w:rsidP="006B7B04">
            <w:pPr>
              <w:pStyle w:val="TableTextRight"/>
            </w:pPr>
            <w:r w:rsidRPr="00934CF0">
              <w:t>592</w:t>
            </w:r>
          </w:p>
        </w:tc>
        <w:tc>
          <w:tcPr>
            <w:tcW w:w="916" w:type="pct"/>
            <w:tcBorders>
              <w:top w:val="nil"/>
              <w:left w:val="nil"/>
              <w:bottom w:val="nil"/>
              <w:right w:val="nil"/>
            </w:tcBorders>
            <w:shd w:val="clear" w:color="auto" w:fill="E6F2FF"/>
            <w:noWrap/>
            <w:vAlign w:val="center"/>
            <w:hideMark/>
          </w:tcPr>
          <w:p w14:paraId="3E8DB2A0" w14:textId="77777777" w:rsidR="006B7B04" w:rsidRPr="00934CF0" w:rsidRDefault="006B7B04" w:rsidP="006B7B04">
            <w:pPr>
              <w:pStyle w:val="TableTextRight"/>
            </w:pPr>
            <w:r w:rsidRPr="00934CF0">
              <w:t>655</w:t>
            </w:r>
          </w:p>
        </w:tc>
      </w:tr>
      <w:tr w:rsidR="006B7B04" w:rsidRPr="00934CF0" w14:paraId="4339B3BE"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7775340E"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less</w:t>
            </w:r>
            <w:r w:rsidRPr="00934CF0">
              <w:rPr>
                <w:rFonts w:ascii="Arial" w:hAnsi="Arial" w:cs="Arial"/>
                <w:sz w:val="16"/>
                <w:szCs w:val="16"/>
              </w:rPr>
              <w:t xml:space="preserve"> Australian Taxation Office outcome</w:t>
            </w:r>
          </w:p>
        </w:tc>
        <w:tc>
          <w:tcPr>
            <w:tcW w:w="915" w:type="pct"/>
            <w:tcBorders>
              <w:top w:val="nil"/>
              <w:left w:val="nil"/>
              <w:bottom w:val="single" w:sz="4" w:space="0" w:color="293F5B"/>
              <w:right w:val="nil"/>
            </w:tcBorders>
            <w:shd w:val="clear" w:color="000000" w:fill="FFFFFF"/>
            <w:noWrap/>
            <w:vAlign w:val="center"/>
            <w:hideMark/>
          </w:tcPr>
          <w:p w14:paraId="665AE60F" w14:textId="77777777" w:rsidR="006B7B04" w:rsidRPr="00934CF0" w:rsidRDefault="006B7B04" w:rsidP="006B7B04">
            <w:pPr>
              <w:pStyle w:val="TableTextRight"/>
            </w:pPr>
            <w:r w:rsidRPr="00934CF0">
              <w:t>653</w:t>
            </w:r>
          </w:p>
        </w:tc>
        <w:tc>
          <w:tcPr>
            <w:tcW w:w="916" w:type="pct"/>
            <w:tcBorders>
              <w:top w:val="nil"/>
              <w:left w:val="nil"/>
              <w:bottom w:val="single" w:sz="4" w:space="0" w:color="293F5B"/>
              <w:right w:val="nil"/>
            </w:tcBorders>
            <w:shd w:val="clear" w:color="auto" w:fill="E6F2FF"/>
            <w:noWrap/>
            <w:vAlign w:val="center"/>
            <w:hideMark/>
          </w:tcPr>
          <w:p w14:paraId="4838B9B8" w14:textId="77777777" w:rsidR="006B7B04" w:rsidRPr="00934CF0" w:rsidRDefault="006B7B04" w:rsidP="006B7B04">
            <w:pPr>
              <w:pStyle w:val="TableTextRight"/>
            </w:pPr>
            <w:r w:rsidRPr="00934CF0">
              <w:t>653</w:t>
            </w:r>
          </w:p>
        </w:tc>
      </w:tr>
      <w:tr w:rsidR="006B7B04" w:rsidRPr="00934CF0" w14:paraId="6539777F" w14:textId="77777777" w:rsidTr="006B7B04">
        <w:trPr>
          <w:divId w:val="1203178018"/>
          <w:trHeight w:hRule="exact" w:val="60"/>
        </w:trPr>
        <w:tc>
          <w:tcPr>
            <w:tcW w:w="3169" w:type="pct"/>
            <w:tcBorders>
              <w:top w:val="nil"/>
              <w:left w:val="nil"/>
              <w:bottom w:val="nil"/>
              <w:right w:val="nil"/>
            </w:tcBorders>
            <w:shd w:val="clear" w:color="000000" w:fill="FFFFFF"/>
            <w:noWrap/>
            <w:vAlign w:val="center"/>
            <w:hideMark/>
          </w:tcPr>
          <w:p w14:paraId="17B14915"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 </w:t>
            </w:r>
          </w:p>
        </w:tc>
        <w:tc>
          <w:tcPr>
            <w:tcW w:w="915" w:type="pct"/>
            <w:tcBorders>
              <w:top w:val="single" w:sz="4" w:space="0" w:color="293F5B"/>
              <w:left w:val="nil"/>
              <w:bottom w:val="nil"/>
              <w:right w:val="nil"/>
            </w:tcBorders>
            <w:shd w:val="clear" w:color="000000" w:fill="FFFFFF"/>
            <w:noWrap/>
            <w:vAlign w:val="center"/>
            <w:hideMark/>
          </w:tcPr>
          <w:p w14:paraId="074D61EE" w14:textId="77777777" w:rsidR="006B7B04" w:rsidRPr="00934CF0" w:rsidRDefault="006B7B04" w:rsidP="006B7B04">
            <w:pPr>
              <w:pStyle w:val="TableTextRight"/>
            </w:pPr>
            <w:r w:rsidRPr="00934CF0">
              <w:t> </w:t>
            </w:r>
          </w:p>
        </w:tc>
        <w:tc>
          <w:tcPr>
            <w:tcW w:w="916" w:type="pct"/>
            <w:tcBorders>
              <w:top w:val="single" w:sz="4" w:space="0" w:color="293F5B"/>
              <w:left w:val="nil"/>
              <w:bottom w:val="nil"/>
              <w:right w:val="nil"/>
            </w:tcBorders>
            <w:shd w:val="clear" w:color="auto" w:fill="E6F2FF"/>
            <w:noWrap/>
            <w:vAlign w:val="center"/>
            <w:hideMark/>
          </w:tcPr>
          <w:p w14:paraId="3EB29CE3" w14:textId="77777777" w:rsidR="006B7B04" w:rsidRPr="00934CF0" w:rsidRDefault="006B7B04" w:rsidP="006B7B04">
            <w:pPr>
              <w:pStyle w:val="TableTextRight"/>
            </w:pPr>
            <w:r w:rsidRPr="00934CF0">
              <w:t> </w:t>
            </w:r>
          </w:p>
        </w:tc>
      </w:tr>
      <w:tr w:rsidR="006B7B04" w:rsidRPr="00934CF0" w14:paraId="2C0070C3"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68AA2477" w14:textId="77777777" w:rsidR="006B7B04" w:rsidRPr="00934CF0" w:rsidRDefault="006B7B04" w:rsidP="006B7B04">
            <w:pPr>
              <w:spacing w:before="0" w:after="0" w:line="240" w:lineRule="auto"/>
              <w:rPr>
                <w:rFonts w:ascii="Arial" w:hAnsi="Arial" w:cs="Arial"/>
                <w:b/>
                <w:i/>
                <w:sz w:val="16"/>
                <w:szCs w:val="16"/>
              </w:rPr>
            </w:pPr>
            <w:r w:rsidRPr="00934CF0">
              <w:rPr>
                <w:rFonts w:ascii="Arial" w:hAnsi="Arial" w:cs="Arial"/>
                <w:b/>
                <w:i/>
                <w:sz w:val="16"/>
                <w:szCs w:val="16"/>
              </w:rPr>
              <w:t>equals</w:t>
            </w:r>
            <w:r w:rsidRPr="00934CF0">
              <w:rPr>
                <w:rFonts w:ascii="Arial" w:hAnsi="Arial" w:cs="Arial"/>
                <w:b/>
                <w:sz w:val="16"/>
                <w:szCs w:val="16"/>
              </w:rPr>
              <w:t xml:space="preserve"> Commonwealth budget impact</w:t>
            </w:r>
          </w:p>
        </w:tc>
        <w:tc>
          <w:tcPr>
            <w:tcW w:w="915" w:type="pct"/>
            <w:tcBorders>
              <w:top w:val="nil"/>
              <w:left w:val="nil"/>
              <w:bottom w:val="nil"/>
              <w:right w:val="nil"/>
            </w:tcBorders>
            <w:shd w:val="clear" w:color="000000" w:fill="FFFFFF"/>
            <w:noWrap/>
            <w:vAlign w:val="center"/>
            <w:hideMark/>
          </w:tcPr>
          <w:p w14:paraId="6245E78F" w14:textId="19201B06" w:rsidR="006B7B04" w:rsidRPr="00934CF0" w:rsidRDefault="00BD648E" w:rsidP="006B7B04">
            <w:pPr>
              <w:pStyle w:val="TableTextRight"/>
              <w:rPr>
                <w:b/>
              </w:rPr>
            </w:pPr>
            <w:r w:rsidRPr="00934CF0">
              <w:rPr>
                <w:b/>
                <w:bCs/>
              </w:rPr>
              <w:noBreakHyphen/>
            </w:r>
            <w:r w:rsidR="006B7B04" w:rsidRPr="00934CF0">
              <w:rPr>
                <w:b/>
              </w:rPr>
              <w:t>61</w:t>
            </w:r>
          </w:p>
        </w:tc>
        <w:tc>
          <w:tcPr>
            <w:tcW w:w="916" w:type="pct"/>
            <w:tcBorders>
              <w:top w:val="nil"/>
              <w:left w:val="nil"/>
              <w:bottom w:val="nil"/>
              <w:right w:val="nil"/>
            </w:tcBorders>
            <w:shd w:val="clear" w:color="auto" w:fill="E6F2FF"/>
            <w:noWrap/>
            <w:vAlign w:val="center"/>
            <w:hideMark/>
          </w:tcPr>
          <w:p w14:paraId="2ED13C3B" w14:textId="77777777" w:rsidR="006B7B04" w:rsidRPr="00934CF0" w:rsidRDefault="006B7B04" w:rsidP="006B7B04">
            <w:pPr>
              <w:pStyle w:val="TableTextRight"/>
              <w:rPr>
                <w:b/>
              </w:rPr>
            </w:pPr>
            <w:r w:rsidRPr="00934CF0">
              <w:rPr>
                <w:b/>
              </w:rPr>
              <w:t>1</w:t>
            </w:r>
          </w:p>
        </w:tc>
      </w:tr>
      <w:tr w:rsidR="006B7B04" w:rsidRPr="00934CF0" w14:paraId="47F54039" w14:textId="77777777" w:rsidTr="006B7B04">
        <w:trPr>
          <w:divId w:val="1203178018"/>
          <w:trHeight w:hRule="exact" w:val="226"/>
        </w:trPr>
        <w:tc>
          <w:tcPr>
            <w:tcW w:w="3169" w:type="pct"/>
            <w:tcBorders>
              <w:top w:val="nil"/>
              <w:left w:val="nil"/>
              <w:bottom w:val="nil"/>
              <w:right w:val="nil"/>
            </w:tcBorders>
            <w:shd w:val="clear" w:color="000000" w:fill="FFFFFF"/>
            <w:noWrap/>
            <w:vAlign w:val="center"/>
            <w:hideMark/>
          </w:tcPr>
          <w:p w14:paraId="27F2ADB3"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plus</w:t>
            </w:r>
            <w:r w:rsidRPr="00934CF0">
              <w:rPr>
                <w:rFonts w:ascii="Arial" w:hAnsi="Arial" w:cs="Arial"/>
                <w:sz w:val="16"/>
                <w:szCs w:val="16"/>
              </w:rPr>
              <w:t xml:space="preserve"> Prior year adjustment</w:t>
            </w:r>
          </w:p>
        </w:tc>
        <w:tc>
          <w:tcPr>
            <w:tcW w:w="915" w:type="pct"/>
            <w:tcBorders>
              <w:top w:val="nil"/>
              <w:left w:val="nil"/>
              <w:right w:val="nil"/>
            </w:tcBorders>
            <w:shd w:val="clear" w:color="000000" w:fill="FFFFFF"/>
            <w:noWrap/>
            <w:vAlign w:val="center"/>
            <w:hideMark/>
          </w:tcPr>
          <w:p w14:paraId="23FE8319" w14:textId="77777777" w:rsidR="006B7B04" w:rsidRPr="00934CF0" w:rsidRDefault="006B7B04" w:rsidP="006B7B04">
            <w:pPr>
              <w:pStyle w:val="TableTextRight"/>
            </w:pPr>
            <w:r w:rsidRPr="00934CF0">
              <w:t>83</w:t>
            </w:r>
          </w:p>
        </w:tc>
        <w:tc>
          <w:tcPr>
            <w:tcW w:w="916" w:type="pct"/>
            <w:tcBorders>
              <w:top w:val="nil"/>
              <w:left w:val="nil"/>
              <w:right w:val="nil"/>
            </w:tcBorders>
            <w:shd w:val="clear" w:color="auto" w:fill="E6F2FF"/>
            <w:noWrap/>
            <w:vAlign w:val="center"/>
            <w:hideMark/>
          </w:tcPr>
          <w:p w14:paraId="75F80C1A" w14:textId="77777777" w:rsidR="006B7B04" w:rsidRPr="00934CF0" w:rsidRDefault="006B7B04" w:rsidP="006B7B04">
            <w:pPr>
              <w:pStyle w:val="TableTextRight"/>
            </w:pPr>
            <w:r w:rsidRPr="00934CF0">
              <w:t>23</w:t>
            </w:r>
          </w:p>
        </w:tc>
      </w:tr>
      <w:tr w:rsidR="006B7B04" w:rsidRPr="00934CF0" w14:paraId="26C8B54A" w14:textId="77777777" w:rsidTr="006B7B04">
        <w:trPr>
          <w:divId w:val="1203178018"/>
          <w:trHeight w:hRule="exact" w:val="60"/>
        </w:trPr>
        <w:tc>
          <w:tcPr>
            <w:tcW w:w="3169" w:type="pct"/>
            <w:tcBorders>
              <w:top w:val="nil"/>
              <w:left w:val="nil"/>
              <w:bottom w:val="nil"/>
              <w:right w:val="nil"/>
            </w:tcBorders>
            <w:shd w:val="clear" w:color="000000" w:fill="FFFFFF"/>
            <w:noWrap/>
            <w:vAlign w:val="center"/>
            <w:hideMark/>
          </w:tcPr>
          <w:p w14:paraId="26ADB170"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 </w:t>
            </w:r>
          </w:p>
        </w:tc>
        <w:tc>
          <w:tcPr>
            <w:tcW w:w="915" w:type="pct"/>
            <w:tcBorders>
              <w:left w:val="nil"/>
              <w:bottom w:val="single" w:sz="4" w:space="0" w:color="293F5B"/>
              <w:right w:val="nil"/>
            </w:tcBorders>
            <w:shd w:val="clear" w:color="000000" w:fill="FFFFFF"/>
            <w:noWrap/>
            <w:vAlign w:val="center"/>
            <w:hideMark/>
          </w:tcPr>
          <w:p w14:paraId="707CCA49" w14:textId="77777777" w:rsidR="006B7B04" w:rsidRPr="00934CF0" w:rsidRDefault="006B7B04" w:rsidP="006B7B04">
            <w:pPr>
              <w:pStyle w:val="TableTextRight"/>
            </w:pPr>
            <w:r w:rsidRPr="00934CF0">
              <w:t> </w:t>
            </w:r>
          </w:p>
        </w:tc>
        <w:tc>
          <w:tcPr>
            <w:tcW w:w="916" w:type="pct"/>
            <w:tcBorders>
              <w:left w:val="nil"/>
              <w:bottom w:val="single" w:sz="4" w:space="0" w:color="293F5B"/>
              <w:right w:val="nil"/>
            </w:tcBorders>
            <w:shd w:val="clear" w:color="auto" w:fill="E6F2FF"/>
            <w:noWrap/>
            <w:vAlign w:val="center"/>
            <w:hideMark/>
          </w:tcPr>
          <w:p w14:paraId="7E693FFC" w14:textId="77777777" w:rsidR="006B7B04" w:rsidRPr="00934CF0" w:rsidRDefault="006B7B04" w:rsidP="006B7B04">
            <w:pPr>
              <w:pStyle w:val="TableTextRight"/>
            </w:pPr>
            <w:r w:rsidRPr="00934CF0">
              <w:t> </w:t>
            </w:r>
          </w:p>
        </w:tc>
      </w:tr>
      <w:tr w:rsidR="006B7B04" w:rsidRPr="00934CF0" w14:paraId="466B373C" w14:textId="77777777" w:rsidTr="006B7B04">
        <w:trPr>
          <w:divId w:val="1203178018"/>
          <w:trHeight w:hRule="exact" w:val="226"/>
        </w:trPr>
        <w:tc>
          <w:tcPr>
            <w:tcW w:w="3169" w:type="pct"/>
            <w:tcBorders>
              <w:top w:val="nil"/>
              <w:left w:val="nil"/>
              <w:bottom w:val="single" w:sz="4" w:space="0" w:color="293F5B"/>
              <w:right w:val="nil"/>
            </w:tcBorders>
            <w:shd w:val="clear" w:color="000000" w:fill="FFFFFF"/>
            <w:noWrap/>
            <w:vAlign w:val="center"/>
            <w:hideMark/>
          </w:tcPr>
          <w:p w14:paraId="7CDF8C67" w14:textId="77777777" w:rsidR="006B7B04" w:rsidRPr="00934CF0" w:rsidRDefault="006B7B04" w:rsidP="006B7B04">
            <w:pPr>
              <w:spacing w:before="0" w:after="0" w:line="240" w:lineRule="auto"/>
              <w:rPr>
                <w:rFonts w:ascii="Arial" w:hAnsi="Arial" w:cs="Arial"/>
                <w:i/>
                <w:sz w:val="16"/>
                <w:szCs w:val="16"/>
              </w:rPr>
            </w:pPr>
            <w:r w:rsidRPr="00934CF0">
              <w:rPr>
                <w:rFonts w:ascii="Arial" w:hAnsi="Arial" w:cs="Arial"/>
                <w:i/>
                <w:sz w:val="16"/>
                <w:szCs w:val="16"/>
              </w:rPr>
              <w:t>equals</w:t>
            </w:r>
            <w:r w:rsidRPr="00934CF0">
              <w:rPr>
                <w:rFonts w:ascii="Arial" w:hAnsi="Arial" w:cs="Arial"/>
                <w:sz w:val="16"/>
                <w:szCs w:val="16"/>
              </w:rPr>
              <w:t xml:space="preserve"> Following year adjustment </w:t>
            </w:r>
          </w:p>
        </w:tc>
        <w:tc>
          <w:tcPr>
            <w:tcW w:w="915" w:type="pct"/>
            <w:tcBorders>
              <w:top w:val="single" w:sz="4" w:space="0" w:color="293F5B"/>
              <w:left w:val="nil"/>
              <w:bottom w:val="single" w:sz="4" w:space="0" w:color="293F5B"/>
              <w:right w:val="nil"/>
            </w:tcBorders>
            <w:shd w:val="clear" w:color="000000" w:fill="FFFFFF"/>
            <w:noWrap/>
            <w:vAlign w:val="center"/>
            <w:hideMark/>
          </w:tcPr>
          <w:p w14:paraId="271A5849" w14:textId="77777777" w:rsidR="006B7B04" w:rsidRPr="00934CF0" w:rsidRDefault="006B7B04" w:rsidP="006B7B04">
            <w:pPr>
              <w:pStyle w:val="TableTextRight"/>
            </w:pPr>
            <w:r w:rsidRPr="00934CF0">
              <w:t>23</w:t>
            </w:r>
          </w:p>
        </w:tc>
        <w:tc>
          <w:tcPr>
            <w:tcW w:w="916" w:type="pct"/>
            <w:tcBorders>
              <w:top w:val="single" w:sz="4" w:space="0" w:color="293F5B"/>
              <w:left w:val="nil"/>
              <w:bottom w:val="single" w:sz="4" w:space="0" w:color="293F5B"/>
              <w:right w:val="nil"/>
            </w:tcBorders>
            <w:shd w:val="clear" w:color="auto" w:fill="E6F2FF"/>
            <w:noWrap/>
            <w:vAlign w:val="center"/>
            <w:hideMark/>
          </w:tcPr>
          <w:p w14:paraId="38B9AE94" w14:textId="77777777" w:rsidR="006B7B04" w:rsidRPr="00934CF0" w:rsidRDefault="006B7B04" w:rsidP="006B7B04">
            <w:pPr>
              <w:pStyle w:val="TableTextRight"/>
            </w:pPr>
            <w:r w:rsidRPr="00934CF0">
              <w:t>24</w:t>
            </w:r>
          </w:p>
        </w:tc>
      </w:tr>
    </w:tbl>
    <w:p w14:paraId="55466E08" w14:textId="400746C0" w:rsidR="009175F2" w:rsidRPr="00934CF0" w:rsidRDefault="003A0D27" w:rsidP="0044499D">
      <w:pPr>
        <w:pStyle w:val="SingleParagraph"/>
      </w:pPr>
      <w:r w:rsidRPr="00934CF0">
        <w:fldChar w:fldCharType="end"/>
      </w:r>
    </w:p>
    <w:p w14:paraId="5904F488" w14:textId="51F21868" w:rsidR="0056260A" w:rsidRDefault="000D315A">
      <w:pPr>
        <w:spacing w:after="160" w:line="259" w:lineRule="auto"/>
      </w:pPr>
      <w:r>
        <w:fldChar w:fldCharType="begin"/>
      </w:r>
      <w:r>
        <w:instrText xml:space="preserve"> :End:PITCD_EB1 </w:instrText>
      </w:r>
      <w:r>
        <w:fldChar w:fldCharType="end"/>
      </w:r>
    </w:p>
    <w:sectPr w:rsidR="0056260A" w:rsidSect="00CD7D6A">
      <w:headerReference w:type="even" r:id="rId11"/>
      <w:headerReference w:type="default" r:id="rId12"/>
      <w:footerReference w:type="even" r:id="rId13"/>
      <w:footerReference w:type="default" r:id="rId14"/>
      <w:footerReference w:type="first" r:id="rId15"/>
      <w:pgSz w:w="11906" w:h="16838" w:code="9"/>
      <w:pgMar w:top="2835" w:right="2098" w:bottom="2466" w:left="2098" w:header="1814" w:footer="1814" w:gutter="0"/>
      <w:pgNumType w:start="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5692" w14:textId="77777777" w:rsidR="002E1D3F" w:rsidRDefault="002E1D3F" w:rsidP="00E40261">
      <w:pPr>
        <w:spacing w:after="0" w:line="240" w:lineRule="auto"/>
      </w:pPr>
      <w:r>
        <w:separator/>
      </w:r>
    </w:p>
  </w:endnote>
  <w:endnote w:type="continuationSeparator" w:id="0">
    <w:p w14:paraId="3E81C8C8" w14:textId="77777777" w:rsidR="002E1D3F" w:rsidRDefault="002E1D3F" w:rsidP="00E40261">
      <w:pPr>
        <w:spacing w:after="0" w:line="240" w:lineRule="auto"/>
      </w:pPr>
      <w:r>
        <w:continuationSeparator/>
      </w:r>
    </w:p>
  </w:endnote>
  <w:endnote w:type="continuationNotice" w:id="1">
    <w:p w14:paraId="720C046F" w14:textId="77777777" w:rsidR="002E1D3F" w:rsidRDefault="002E1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5E4" w14:textId="22A3C60D" w:rsidR="0099074A" w:rsidRDefault="0099074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4D3138">
      <w:t>Part 3: Australia</w:t>
    </w:r>
    <w:r w:rsidR="007379E9">
      <w:t>’</w:t>
    </w:r>
    <w:r w:rsidR="004D3138">
      <w:t>s Federal Financial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64F9" w14:textId="76A90254" w:rsidR="0099074A" w:rsidRDefault="004D3138" w:rsidP="002A6A16">
    <w:pPr>
      <w:pStyle w:val="FooterOdd"/>
    </w:pPr>
    <w:r w:rsidRPr="004D3138">
      <w:t xml:space="preserve"> </w:t>
    </w:r>
    <w:r>
      <w:t>Part 3: Australia</w:t>
    </w:r>
    <w:r w:rsidR="007379E9">
      <w:t>’</w:t>
    </w:r>
    <w:r>
      <w:t>s Federal Financial Relations</w:t>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9ED9" w14:textId="6E8376C5" w:rsidR="0099074A" w:rsidRDefault="00000000" w:rsidP="00360947">
    <w:pPr>
      <w:pStyle w:val="FooterOdd"/>
    </w:pPr>
    <w:fldSimple w:instr=" SUBJECT   \* MERGEFORMAT ">
      <w:r w:rsidR="00086582">
        <w:t>Part 3</w:t>
      </w:r>
    </w:fldSimple>
    <w:r w:rsidR="002C6FEF">
      <w:t>: Australia’s Federal Financial Relations</w:t>
    </w:r>
    <w:r w:rsidR="00D61BC8" w:rsidRPr="00B3705D">
      <w:t xml:space="preserve">  |  </w:t>
    </w:r>
    <w:r w:rsidR="00D61BC8"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00C8" w14:textId="77777777" w:rsidR="002E1D3F" w:rsidRDefault="002E1D3F" w:rsidP="00E40261">
      <w:pPr>
        <w:spacing w:after="0" w:line="240" w:lineRule="auto"/>
      </w:pPr>
      <w:r>
        <w:separator/>
      </w:r>
    </w:p>
  </w:footnote>
  <w:footnote w:type="continuationSeparator" w:id="0">
    <w:p w14:paraId="707AF40B" w14:textId="77777777" w:rsidR="002E1D3F" w:rsidRDefault="002E1D3F" w:rsidP="00E40261">
      <w:pPr>
        <w:spacing w:after="0" w:line="240" w:lineRule="auto"/>
      </w:pPr>
      <w:r>
        <w:continuationSeparator/>
      </w:r>
    </w:p>
  </w:footnote>
  <w:footnote w:type="continuationNotice" w:id="1">
    <w:p w14:paraId="3F0E9465" w14:textId="77777777" w:rsidR="002E1D3F" w:rsidRDefault="002E1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43DC6C62" w14:textId="77777777" w:rsidTr="002A6A16">
      <w:trPr>
        <w:trHeight w:hRule="exact" w:val="340"/>
      </w:trPr>
      <w:tc>
        <w:tcPr>
          <w:tcW w:w="7797" w:type="dxa"/>
        </w:tcPr>
        <w:p w14:paraId="1BE1E35F" w14:textId="7AF45CEC" w:rsidR="0056260A" w:rsidRDefault="0056260A" w:rsidP="008F55F8">
          <w:pPr>
            <w:pStyle w:val="HeaderEven"/>
            <w:ind w:left="-113"/>
          </w:pPr>
          <w:r w:rsidRPr="000635BE">
            <w:rPr>
              <w:rFonts w:ascii="Arial Bold" w:hAnsi="Arial Bold"/>
              <w:b/>
              <w:bCs/>
              <w:noProof/>
              <w:position w:val="-10"/>
            </w:rPr>
            <w:drawing>
              <wp:inline distT="0" distB="0" distL="0" distR="0" wp14:anchorId="0B83836A" wp14:editId="7752428C">
                <wp:extent cx="988770" cy="225870"/>
                <wp:effectExtent l="0" t="0" r="1905" b="31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8770" cy="225870"/>
                        </a:xfrm>
                        <a:prstGeom prst="rect">
                          <a:avLst/>
                        </a:prstGeom>
                        <a:noFill/>
                      </pic:spPr>
                    </pic:pic>
                  </a:graphicData>
                </a:graphic>
              </wp:inline>
            </w:drawing>
          </w:r>
          <w:r>
            <w:t xml:space="preserve">  |  </w:t>
          </w:r>
          <w:fldSimple w:instr=" TITLE   \* MERGEFORMAT ">
            <w:r w:rsidR="00086582">
              <w:t>Final Budget Outcome</w:t>
            </w:r>
          </w:fldSimple>
        </w:p>
      </w:tc>
    </w:tr>
  </w:tbl>
  <w:p w14:paraId="7A36C044" w14:textId="03B921D6" w:rsidR="0099074A" w:rsidRPr="00AA5439" w:rsidRDefault="0099074A" w:rsidP="00AA5439">
    <w:pPr>
      <w:pStyle w:val="HeaderEven"/>
      <w:rPr>
        <w:sz w:val="2"/>
        <w:szCs w:val="2"/>
      </w:rPr>
    </w:pPr>
  </w:p>
  <w:p w14:paraId="217AFAA6" w14:textId="77777777" w:rsidR="0099074A" w:rsidRPr="007703C7" w:rsidRDefault="0099074A"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14085462" w14:textId="77777777" w:rsidTr="008276DF">
      <w:trPr>
        <w:trHeight w:hRule="exact" w:val="340"/>
      </w:trPr>
      <w:tc>
        <w:tcPr>
          <w:tcW w:w="7797" w:type="dxa"/>
        </w:tcPr>
        <w:p w14:paraId="2813A0B0" w14:textId="3F530E31" w:rsidR="0056260A" w:rsidRDefault="00000000" w:rsidP="000635BE">
          <w:pPr>
            <w:pStyle w:val="HeaderOdd"/>
          </w:pPr>
          <w:fldSimple w:instr=" TITLE   \* MERGEFORMAT ">
            <w:r w:rsidR="00086582">
              <w:t>Final Budget Outcome</w:t>
            </w:r>
          </w:fldSimple>
          <w:r w:rsidR="0056260A">
            <w:t xml:space="preserve">  |  </w:t>
          </w:r>
          <w:r w:rsidR="0056260A" w:rsidRPr="000635BE">
            <w:rPr>
              <w:rFonts w:ascii="Arial Bold" w:hAnsi="Arial Bold"/>
              <w:b/>
              <w:bCs/>
              <w:noProof/>
              <w:position w:val="-10"/>
            </w:rPr>
            <w:drawing>
              <wp:inline distT="0" distB="0" distL="0" distR="0" wp14:anchorId="15B220F8" wp14:editId="29CFE434">
                <wp:extent cx="988770" cy="225870"/>
                <wp:effectExtent l="0" t="0" r="1905"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8770" cy="225870"/>
                        </a:xfrm>
                        <a:prstGeom prst="rect">
                          <a:avLst/>
                        </a:prstGeom>
                        <a:noFill/>
                      </pic:spPr>
                    </pic:pic>
                  </a:graphicData>
                </a:graphic>
              </wp:inline>
            </w:drawing>
          </w:r>
        </w:p>
      </w:tc>
    </w:tr>
  </w:tbl>
  <w:p w14:paraId="1E9A0247" w14:textId="3F2959FA" w:rsidR="0099074A" w:rsidRPr="0056260A" w:rsidRDefault="0099074A" w:rsidP="0056260A">
    <w:pPr>
      <w:pStyle w:val="HeaderOdd"/>
      <w:rPr>
        <w:sz w:val="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6154ECB"/>
    <w:multiLevelType w:val="multilevel"/>
    <w:tmpl w:val="6A96804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B2E19AC"/>
    <w:multiLevelType w:val="singleLevel"/>
    <w:tmpl w:val="78F61C62"/>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3D2455D5"/>
    <w:multiLevelType w:val="hybridMultilevel"/>
    <w:tmpl w:val="229AE27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295792494">
    <w:abstractNumId w:val="6"/>
  </w:num>
  <w:num w:numId="2" w16cid:durableId="1782917294">
    <w:abstractNumId w:val="1"/>
  </w:num>
  <w:num w:numId="3" w16cid:durableId="1244292667">
    <w:abstractNumId w:val="0"/>
  </w:num>
  <w:num w:numId="4" w16cid:durableId="56173759">
    <w:abstractNumId w:val="0"/>
  </w:num>
  <w:num w:numId="5" w16cid:durableId="1642808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902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977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488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602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851385">
    <w:abstractNumId w:val="2"/>
  </w:num>
  <w:num w:numId="11" w16cid:durableId="417867899">
    <w:abstractNumId w:val="5"/>
  </w:num>
  <w:num w:numId="12" w16cid:durableId="327902212">
    <w:abstractNumId w:val="4"/>
  </w:num>
  <w:num w:numId="13" w16cid:durableId="957684209">
    <w:abstractNumId w:val="7"/>
  </w:num>
  <w:num w:numId="14" w16cid:durableId="882712602">
    <w:abstractNumId w:val="4"/>
    <w:lvlOverride w:ilvl="0">
      <w:startOverride w:val="1"/>
    </w:lvlOverride>
  </w:num>
  <w:num w:numId="15" w16cid:durableId="19670737">
    <w:abstractNumId w:val="4"/>
    <w:lvlOverride w:ilvl="0">
      <w:startOverride w:val="1"/>
    </w:lvlOverride>
  </w:num>
  <w:num w:numId="16" w16cid:durableId="963849731">
    <w:abstractNumId w:val="4"/>
    <w:lvlOverride w:ilvl="0">
      <w:startOverride w:val="1"/>
    </w:lvlOverride>
  </w:num>
  <w:num w:numId="17" w16cid:durableId="1797678495">
    <w:abstractNumId w:val="4"/>
    <w:lvlOverride w:ilvl="0">
      <w:startOverride w:val="1"/>
    </w:lvlOverride>
  </w:num>
  <w:num w:numId="18" w16cid:durableId="2145275704">
    <w:abstractNumId w:val="4"/>
    <w:lvlOverride w:ilvl="0">
      <w:startOverride w:val="1"/>
    </w:lvlOverride>
  </w:num>
  <w:num w:numId="19" w16cid:durableId="1008026382">
    <w:abstractNumId w:val="4"/>
    <w:lvlOverride w:ilvl="0">
      <w:startOverride w:val="1"/>
    </w:lvlOverride>
  </w:num>
  <w:num w:numId="20" w16cid:durableId="1335917180">
    <w:abstractNumId w:val="4"/>
    <w:lvlOverride w:ilvl="0">
      <w:startOverride w:val="1"/>
    </w:lvlOverride>
  </w:num>
  <w:num w:numId="21" w16cid:durableId="172383010">
    <w:abstractNumId w:val="4"/>
    <w:lvlOverride w:ilvl="0">
      <w:startOverride w:val="1"/>
    </w:lvlOverride>
  </w:num>
  <w:num w:numId="22" w16cid:durableId="1257519569">
    <w:abstractNumId w:val="4"/>
    <w:lvlOverride w:ilvl="0">
      <w:startOverride w:val="1"/>
    </w:lvlOverride>
  </w:num>
  <w:num w:numId="23" w16cid:durableId="26755261">
    <w:abstractNumId w:val="4"/>
    <w:lvlOverride w:ilvl="0">
      <w:startOverride w:val="1"/>
    </w:lvlOverride>
  </w:num>
  <w:num w:numId="24" w16cid:durableId="2012021965">
    <w:abstractNumId w:val="4"/>
    <w:lvlOverride w:ilvl="0">
      <w:startOverride w:val="1"/>
    </w:lvlOverride>
  </w:num>
  <w:num w:numId="25" w16cid:durableId="1435439768">
    <w:abstractNumId w:val="4"/>
    <w:lvlOverride w:ilvl="0">
      <w:startOverride w:val="1"/>
    </w:lvlOverride>
  </w:num>
  <w:num w:numId="26" w16cid:durableId="2133865993">
    <w:abstractNumId w:val="4"/>
    <w:lvlOverride w:ilvl="0">
      <w:startOverride w:val="1"/>
    </w:lvlOverride>
  </w:num>
  <w:num w:numId="27" w16cid:durableId="1664972180">
    <w:abstractNumId w:val="4"/>
    <w:lvlOverride w:ilvl="0">
      <w:startOverride w:val="1"/>
    </w:lvlOverride>
  </w:num>
  <w:num w:numId="28" w16cid:durableId="714888731">
    <w:abstractNumId w:val="4"/>
    <w:lvlOverride w:ilvl="0">
      <w:startOverride w:val="1"/>
    </w:lvlOverride>
  </w:num>
  <w:num w:numId="29" w16cid:durableId="721173763">
    <w:abstractNumId w:val="4"/>
    <w:lvlOverride w:ilvl="0">
      <w:startOverride w:val="1"/>
    </w:lvlOverride>
  </w:num>
  <w:num w:numId="30" w16cid:durableId="61760474">
    <w:abstractNumId w:val="4"/>
    <w:lvlOverride w:ilvl="0">
      <w:startOverride w:val="1"/>
    </w:lvlOverride>
  </w:num>
  <w:num w:numId="31" w16cid:durableId="1428841047">
    <w:abstractNumId w:val="4"/>
    <w:lvlOverride w:ilvl="0">
      <w:startOverride w:val="1"/>
    </w:lvlOverride>
  </w:num>
  <w:num w:numId="32" w16cid:durableId="1140151199">
    <w:abstractNumId w:val="4"/>
    <w:lvlOverride w:ilvl="0">
      <w:startOverride w:val="1"/>
    </w:lvlOverride>
  </w:num>
  <w:num w:numId="33" w16cid:durableId="228854776">
    <w:abstractNumId w:val="4"/>
    <w:lvlOverride w:ilvl="0">
      <w:startOverride w:val="1"/>
    </w:lvlOverride>
  </w:num>
  <w:num w:numId="34" w16cid:durableId="977959300">
    <w:abstractNumId w:val="4"/>
    <w:lvlOverride w:ilvl="0">
      <w:startOverride w:val="1"/>
    </w:lvlOverride>
  </w:num>
  <w:num w:numId="35" w16cid:durableId="252788772">
    <w:abstractNumId w:val="4"/>
    <w:lvlOverride w:ilvl="0">
      <w:startOverride w:val="1"/>
    </w:lvlOverride>
  </w:num>
  <w:num w:numId="36" w16cid:durableId="1357006421">
    <w:abstractNumId w:val="4"/>
    <w:lvlOverride w:ilvl="0">
      <w:startOverride w:val="1"/>
    </w:lvlOverride>
  </w:num>
  <w:num w:numId="37" w16cid:durableId="1722173772">
    <w:abstractNumId w:val="4"/>
    <w:lvlOverride w:ilvl="0">
      <w:startOverride w:val="1"/>
    </w:lvlOverride>
  </w:num>
  <w:num w:numId="38" w16cid:durableId="1020012760">
    <w:abstractNumId w:val="4"/>
    <w:lvlOverride w:ilvl="0">
      <w:startOverride w:val="1"/>
    </w:lvlOverride>
  </w:num>
  <w:num w:numId="39" w16cid:durableId="1745956815">
    <w:abstractNumId w:val="4"/>
    <w:lvlOverride w:ilvl="0">
      <w:startOverride w:val="1"/>
    </w:lvlOverride>
  </w:num>
  <w:num w:numId="40" w16cid:durableId="895895194">
    <w:abstractNumId w:val="4"/>
    <w:lvlOverride w:ilvl="0">
      <w:startOverride w:val="1"/>
    </w:lvlOverride>
  </w:num>
  <w:num w:numId="41" w16cid:durableId="563298937">
    <w:abstractNumId w:val="4"/>
    <w:lvlOverride w:ilvl="0">
      <w:startOverride w:val="2"/>
    </w:lvlOverride>
  </w:num>
  <w:num w:numId="42" w16cid:durableId="759060960">
    <w:abstractNumId w:val="4"/>
    <w:lvlOverride w:ilvl="0">
      <w:startOverride w:val="2"/>
    </w:lvlOverride>
  </w:num>
  <w:num w:numId="43" w16cid:durableId="74714273">
    <w:abstractNumId w:val="4"/>
    <w:lvlOverride w:ilvl="0">
      <w:startOverride w:val="2"/>
    </w:lvlOverride>
  </w:num>
  <w:num w:numId="44" w16cid:durableId="1577469816">
    <w:abstractNumId w:val="4"/>
    <w:lvlOverride w:ilvl="0">
      <w:startOverride w:val="2"/>
    </w:lvlOverride>
  </w:num>
  <w:num w:numId="45" w16cid:durableId="608971170">
    <w:abstractNumId w:val="4"/>
    <w:lvlOverride w:ilvl="0">
      <w:startOverride w:val="2"/>
    </w:lvlOverride>
  </w:num>
  <w:num w:numId="46" w16cid:durableId="1839344134">
    <w:abstractNumId w:val="4"/>
    <w:lvlOverride w:ilvl="0">
      <w:startOverride w:val="2"/>
    </w:lvlOverride>
  </w:num>
  <w:num w:numId="47" w16cid:durableId="101911477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175F2"/>
    <w:rsid w:val="000074D0"/>
    <w:rsid w:val="00007633"/>
    <w:rsid w:val="00010590"/>
    <w:rsid w:val="0001099C"/>
    <w:rsid w:val="00011DBB"/>
    <w:rsid w:val="00013EA8"/>
    <w:rsid w:val="00014395"/>
    <w:rsid w:val="000144DA"/>
    <w:rsid w:val="00015FB0"/>
    <w:rsid w:val="00016278"/>
    <w:rsid w:val="00020071"/>
    <w:rsid w:val="0002169A"/>
    <w:rsid w:val="00023A1E"/>
    <w:rsid w:val="00026447"/>
    <w:rsid w:val="00030F1B"/>
    <w:rsid w:val="00034FD6"/>
    <w:rsid w:val="00035D8D"/>
    <w:rsid w:val="00036360"/>
    <w:rsid w:val="000437F9"/>
    <w:rsid w:val="00043D35"/>
    <w:rsid w:val="00044D90"/>
    <w:rsid w:val="000502F6"/>
    <w:rsid w:val="000514AF"/>
    <w:rsid w:val="00051542"/>
    <w:rsid w:val="00054B71"/>
    <w:rsid w:val="0005583A"/>
    <w:rsid w:val="00057DC2"/>
    <w:rsid w:val="000622DA"/>
    <w:rsid w:val="000627F4"/>
    <w:rsid w:val="000628C8"/>
    <w:rsid w:val="000635BE"/>
    <w:rsid w:val="000638AB"/>
    <w:rsid w:val="00064082"/>
    <w:rsid w:val="00080380"/>
    <w:rsid w:val="00086582"/>
    <w:rsid w:val="000906C7"/>
    <w:rsid w:val="000921C1"/>
    <w:rsid w:val="0009310C"/>
    <w:rsid w:val="000939B0"/>
    <w:rsid w:val="00093F56"/>
    <w:rsid w:val="00095770"/>
    <w:rsid w:val="00095B8A"/>
    <w:rsid w:val="000966F0"/>
    <w:rsid w:val="000A0769"/>
    <w:rsid w:val="000A096E"/>
    <w:rsid w:val="000A1D81"/>
    <w:rsid w:val="000A3B5F"/>
    <w:rsid w:val="000A586C"/>
    <w:rsid w:val="000A5E9E"/>
    <w:rsid w:val="000A72DB"/>
    <w:rsid w:val="000B03B7"/>
    <w:rsid w:val="000B64F1"/>
    <w:rsid w:val="000C22D2"/>
    <w:rsid w:val="000C24A5"/>
    <w:rsid w:val="000C4CB0"/>
    <w:rsid w:val="000C4EE8"/>
    <w:rsid w:val="000C5150"/>
    <w:rsid w:val="000C5A44"/>
    <w:rsid w:val="000C6F84"/>
    <w:rsid w:val="000C7299"/>
    <w:rsid w:val="000C7665"/>
    <w:rsid w:val="000C7F0F"/>
    <w:rsid w:val="000D310F"/>
    <w:rsid w:val="000D315A"/>
    <w:rsid w:val="000D425A"/>
    <w:rsid w:val="000D7DE0"/>
    <w:rsid w:val="000E07B4"/>
    <w:rsid w:val="000E105B"/>
    <w:rsid w:val="000E149B"/>
    <w:rsid w:val="000E2539"/>
    <w:rsid w:val="000E35D4"/>
    <w:rsid w:val="000E3F40"/>
    <w:rsid w:val="000E50E7"/>
    <w:rsid w:val="000F07AB"/>
    <w:rsid w:val="000F125B"/>
    <w:rsid w:val="000F1A1D"/>
    <w:rsid w:val="000F1ECE"/>
    <w:rsid w:val="000F2BA5"/>
    <w:rsid w:val="00102E09"/>
    <w:rsid w:val="00103159"/>
    <w:rsid w:val="00103F65"/>
    <w:rsid w:val="0011175D"/>
    <w:rsid w:val="00111A67"/>
    <w:rsid w:val="00112E56"/>
    <w:rsid w:val="00114D5E"/>
    <w:rsid w:val="0011539D"/>
    <w:rsid w:val="00116617"/>
    <w:rsid w:val="00121BBF"/>
    <w:rsid w:val="00122400"/>
    <w:rsid w:val="0012240C"/>
    <w:rsid w:val="0012466A"/>
    <w:rsid w:val="00124C2D"/>
    <w:rsid w:val="001326A9"/>
    <w:rsid w:val="00132F51"/>
    <w:rsid w:val="00142E45"/>
    <w:rsid w:val="00142F1B"/>
    <w:rsid w:val="00143C92"/>
    <w:rsid w:val="00144242"/>
    <w:rsid w:val="00145BAA"/>
    <w:rsid w:val="0014686C"/>
    <w:rsid w:val="001471D9"/>
    <w:rsid w:val="00147A54"/>
    <w:rsid w:val="00151AB3"/>
    <w:rsid w:val="001522CD"/>
    <w:rsid w:val="001570D9"/>
    <w:rsid w:val="001572F3"/>
    <w:rsid w:val="00160974"/>
    <w:rsid w:val="00161B56"/>
    <w:rsid w:val="00162917"/>
    <w:rsid w:val="001665DF"/>
    <w:rsid w:val="00171119"/>
    <w:rsid w:val="00172058"/>
    <w:rsid w:val="00172CFE"/>
    <w:rsid w:val="001745DD"/>
    <w:rsid w:val="001748B2"/>
    <w:rsid w:val="00174975"/>
    <w:rsid w:val="00175423"/>
    <w:rsid w:val="00175571"/>
    <w:rsid w:val="0018343D"/>
    <w:rsid w:val="00184F96"/>
    <w:rsid w:val="001855AC"/>
    <w:rsid w:val="00186624"/>
    <w:rsid w:val="00187980"/>
    <w:rsid w:val="00190B0A"/>
    <w:rsid w:val="0019115B"/>
    <w:rsid w:val="0019412A"/>
    <w:rsid w:val="00195778"/>
    <w:rsid w:val="001958CC"/>
    <w:rsid w:val="00195A7A"/>
    <w:rsid w:val="001970E6"/>
    <w:rsid w:val="001A21BC"/>
    <w:rsid w:val="001A2F72"/>
    <w:rsid w:val="001A3509"/>
    <w:rsid w:val="001A3B96"/>
    <w:rsid w:val="001A45C7"/>
    <w:rsid w:val="001A461F"/>
    <w:rsid w:val="001A6E4E"/>
    <w:rsid w:val="001B0C8C"/>
    <w:rsid w:val="001B192A"/>
    <w:rsid w:val="001B2A95"/>
    <w:rsid w:val="001B4424"/>
    <w:rsid w:val="001B5EEF"/>
    <w:rsid w:val="001B72FB"/>
    <w:rsid w:val="001B74D1"/>
    <w:rsid w:val="001B7CE8"/>
    <w:rsid w:val="001C0149"/>
    <w:rsid w:val="001C25C5"/>
    <w:rsid w:val="001C29BA"/>
    <w:rsid w:val="001C2A76"/>
    <w:rsid w:val="001D001A"/>
    <w:rsid w:val="001D244E"/>
    <w:rsid w:val="001D2C32"/>
    <w:rsid w:val="001D33D6"/>
    <w:rsid w:val="001D3EBF"/>
    <w:rsid w:val="001D4D54"/>
    <w:rsid w:val="001D579F"/>
    <w:rsid w:val="001D72DD"/>
    <w:rsid w:val="001E4A26"/>
    <w:rsid w:val="001E512C"/>
    <w:rsid w:val="001E59E6"/>
    <w:rsid w:val="001F08E1"/>
    <w:rsid w:val="001F2E89"/>
    <w:rsid w:val="001F332F"/>
    <w:rsid w:val="001F42EB"/>
    <w:rsid w:val="00201B22"/>
    <w:rsid w:val="0020243B"/>
    <w:rsid w:val="00202721"/>
    <w:rsid w:val="00204F47"/>
    <w:rsid w:val="0020596C"/>
    <w:rsid w:val="002116B8"/>
    <w:rsid w:val="002134F1"/>
    <w:rsid w:val="00216E22"/>
    <w:rsid w:val="00216F6A"/>
    <w:rsid w:val="00217C5D"/>
    <w:rsid w:val="0022396F"/>
    <w:rsid w:val="00225476"/>
    <w:rsid w:val="002258E7"/>
    <w:rsid w:val="00231B8E"/>
    <w:rsid w:val="002323EF"/>
    <w:rsid w:val="00236585"/>
    <w:rsid w:val="00237F04"/>
    <w:rsid w:val="002407F7"/>
    <w:rsid w:val="00242BAE"/>
    <w:rsid w:val="00243285"/>
    <w:rsid w:val="002435C4"/>
    <w:rsid w:val="00244B24"/>
    <w:rsid w:val="002476CE"/>
    <w:rsid w:val="002478D7"/>
    <w:rsid w:val="00250172"/>
    <w:rsid w:val="002538DA"/>
    <w:rsid w:val="00253E8F"/>
    <w:rsid w:val="00254F02"/>
    <w:rsid w:val="002572E6"/>
    <w:rsid w:val="0025772B"/>
    <w:rsid w:val="002606E5"/>
    <w:rsid w:val="00260C1A"/>
    <w:rsid w:val="0026536E"/>
    <w:rsid w:val="00265971"/>
    <w:rsid w:val="00266431"/>
    <w:rsid w:val="00267200"/>
    <w:rsid w:val="0027289C"/>
    <w:rsid w:val="0027371B"/>
    <w:rsid w:val="002737F2"/>
    <w:rsid w:val="00276844"/>
    <w:rsid w:val="00277738"/>
    <w:rsid w:val="002778CF"/>
    <w:rsid w:val="00277E9C"/>
    <w:rsid w:val="00280A92"/>
    <w:rsid w:val="00281716"/>
    <w:rsid w:val="0028236C"/>
    <w:rsid w:val="002837F3"/>
    <w:rsid w:val="00285C4D"/>
    <w:rsid w:val="00290397"/>
    <w:rsid w:val="002913AF"/>
    <w:rsid w:val="00291524"/>
    <w:rsid w:val="00293329"/>
    <w:rsid w:val="00293ABB"/>
    <w:rsid w:val="002947B2"/>
    <w:rsid w:val="00294981"/>
    <w:rsid w:val="00295FCC"/>
    <w:rsid w:val="00297ACE"/>
    <w:rsid w:val="002A0F21"/>
    <w:rsid w:val="002A226C"/>
    <w:rsid w:val="002A33AD"/>
    <w:rsid w:val="002A5A08"/>
    <w:rsid w:val="002A5D8B"/>
    <w:rsid w:val="002A6A16"/>
    <w:rsid w:val="002A7CD7"/>
    <w:rsid w:val="002B03CF"/>
    <w:rsid w:val="002B13D4"/>
    <w:rsid w:val="002B231E"/>
    <w:rsid w:val="002B460C"/>
    <w:rsid w:val="002B52BB"/>
    <w:rsid w:val="002B5BDD"/>
    <w:rsid w:val="002B6106"/>
    <w:rsid w:val="002B61EC"/>
    <w:rsid w:val="002C0CC0"/>
    <w:rsid w:val="002C3DEB"/>
    <w:rsid w:val="002C4951"/>
    <w:rsid w:val="002C53B7"/>
    <w:rsid w:val="002C5AC1"/>
    <w:rsid w:val="002C6FEF"/>
    <w:rsid w:val="002C7446"/>
    <w:rsid w:val="002C7798"/>
    <w:rsid w:val="002D2545"/>
    <w:rsid w:val="002D27A1"/>
    <w:rsid w:val="002D3D1E"/>
    <w:rsid w:val="002D662F"/>
    <w:rsid w:val="002D7A14"/>
    <w:rsid w:val="002E006B"/>
    <w:rsid w:val="002E1109"/>
    <w:rsid w:val="002E1D3F"/>
    <w:rsid w:val="002E638A"/>
    <w:rsid w:val="002E7B71"/>
    <w:rsid w:val="002E7B9E"/>
    <w:rsid w:val="002E7DB3"/>
    <w:rsid w:val="002E7F49"/>
    <w:rsid w:val="002F18FA"/>
    <w:rsid w:val="002F1A5B"/>
    <w:rsid w:val="002F21B6"/>
    <w:rsid w:val="002F2C52"/>
    <w:rsid w:val="002F362A"/>
    <w:rsid w:val="002F4803"/>
    <w:rsid w:val="002F5405"/>
    <w:rsid w:val="002F6855"/>
    <w:rsid w:val="00302332"/>
    <w:rsid w:val="00302AA0"/>
    <w:rsid w:val="00302D42"/>
    <w:rsid w:val="00305105"/>
    <w:rsid w:val="003066D5"/>
    <w:rsid w:val="00307A21"/>
    <w:rsid w:val="00307AC5"/>
    <w:rsid w:val="003109D6"/>
    <w:rsid w:val="00310A77"/>
    <w:rsid w:val="00311D51"/>
    <w:rsid w:val="00311E5A"/>
    <w:rsid w:val="00312CD0"/>
    <w:rsid w:val="003139CF"/>
    <w:rsid w:val="003205F9"/>
    <w:rsid w:val="003223F0"/>
    <w:rsid w:val="003235D7"/>
    <w:rsid w:val="00325DE0"/>
    <w:rsid w:val="00327F68"/>
    <w:rsid w:val="003303B0"/>
    <w:rsid w:val="00334EA2"/>
    <w:rsid w:val="00335EC5"/>
    <w:rsid w:val="00335FBE"/>
    <w:rsid w:val="00337BC1"/>
    <w:rsid w:val="003421CD"/>
    <w:rsid w:val="0034435A"/>
    <w:rsid w:val="003451B4"/>
    <w:rsid w:val="003451F5"/>
    <w:rsid w:val="003458E2"/>
    <w:rsid w:val="0034721A"/>
    <w:rsid w:val="003478ED"/>
    <w:rsid w:val="003506C0"/>
    <w:rsid w:val="0035440F"/>
    <w:rsid w:val="0035486D"/>
    <w:rsid w:val="003554FE"/>
    <w:rsid w:val="003571F0"/>
    <w:rsid w:val="00357E6B"/>
    <w:rsid w:val="00357F01"/>
    <w:rsid w:val="00360947"/>
    <w:rsid w:val="003648CE"/>
    <w:rsid w:val="0036759C"/>
    <w:rsid w:val="00367D3A"/>
    <w:rsid w:val="003762A9"/>
    <w:rsid w:val="00376B2F"/>
    <w:rsid w:val="00376C04"/>
    <w:rsid w:val="00377277"/>
    <w:rsid w:val="003776DE"/>
    <w:rsid w:val="00381095"/>
    <w:rsid w:val="0038110E"/>
    <w:rsid w:val="0038147F"/>
    <w:rsid w:val="00381D29"/>
    <w:rsid w:val="0038264E"/>
    <w:rsid w:val="00382DC9"/>
    <w:rsid w:val="00382E3D"/>
    <w:rsid w:val="00385395"/>
    <w:rsid w:val="003861EA"/>
    <w:rsid w:val="003863FF"/>
    <w:rsid w:val="00386F47"/>
    <w:rsid w:val="00391D65"/>
    <w:rsid w:val="00391DC4"/>
    <w:rsid w:val="00396D96"/>
    <w:rsid w:val="00397707"/>
    <w:rsid w:val="0039782C"/>
    <w:rsid w:val="003A04CB"/>
    <w:rsid w:val="003A0D27"/>
    <w:rsid w:val="003A1F5D"/>
    <w:rsid w:val="003A328E"/>
    <w:rsid w:val="003A32F0"/>
    <w:rsid w:val="003A3AC2"/>
    <w:rsid w:val="003A4BCF"/>
    <w:rsid w:val="003A7DE5"/>
    <w:rsid w:val="003B2656"/>
    <w:rsid w:val="003B3670"/>
    <w:rsid w:val="003B4EAF"/>
    <w:rsid w:val="003B5E9A"/>
    <w:rsid w:val="003B6569"/>
    <w:rsid w:val="003B6A16"/>
    <w:rsid w:val="003C07E3"/>
    <w:rsid w:val="003C3CFF"/>
    <w:rsid w:val="003C4815"/>
    <w:rsid w:val="003C5CBB"/>
    <w:rsid w:val="003C6659"/>
    <w:rsid w:val="003C6781"/>
    <w:rsid w:val="003D1F03"/>
    <w:rsid w:val="003D3EFF"/>
    <w:rsid w:val="003D7403"/>
    <w:rsid w:val="003E09C9"/>
    <w:rsid w:val="003E12CF"/>
    <w:rsid w:val="003E14A7"/>
    <w:rsid w:val="003E250C"/>
    <w:rsid w:val="003E3B8C"/>
    <w:rsid w:val="003E54C6"/>
    <w:rsid w:val="003E731F"/>
    <w:rsid w:val="003F2732"/>
    <w:rsid w:val="003F2D3E"/>
    <w:rsid w:val="00401B99"/>
    <w:rsid w:val="00407E0F"/>
    <w:rsid w:val="00413195"/>
    <w:rsid w:val="004134EA"/>
    <w:rsid w:val="0041422A"/>
    <w:rsid w:val="004146A0"/>
    <w:rsid w:val="004148A0"/>
    <w:rsid w:val="00414D1D"/>
    <w:rsid w:val="00414D61"/>
    <w:rsid w:val="00415F43"/>
    <w:rsid w:val="00422494"/>
    <w:rsid w:val="004233DE"/>
    <w:rsid w:val="00423701"/>
    <w:rsid w:val="00423B05"/>
    <w:rsid w:val="0042737B"/>
    <w:rsid w:val="004307AA"/>
    <w:rsid w:val="00432B65"/>
    <w:rsid w:val="00434659"/>
    <w:rsid w:val="0043497B"/>
    <w:rsid w:val="00435CC1"/>
    <w:rsid w:val="0043710F"/>
    <w:rsid w:val="00437A85"/>
    <w:rsid w:val="00442BBE"/>
    <w:rsid w:val="00443813"/>
    <w:rsid w:val="0044499D"/>
    <w:rsid w:val="00447E2C"/>
    <w:rsid w:val="004527DD"/>
    <w:rsid w:val="00452AB8"/>
    <w:rsid w:val="004632D2"/>
    <w:rsid w:val="00463E5D"/>
    <w:rsid w:val="00465377"/>
    <w:rsid w:val="00465CFC"/>
    <w:rsid w:val="00466F00"/>
    <w:rsid w:val="00471CF7"/>
    <w:rsid w:val="00472AA1"/>
    <w:rsid w:val="004734A2"/>
    <w:rsid w:val="00473A21"/>
    <w:rsid w:val="00475862"/>
    <w:rsid w:val="004769AA"/>
    <w:rsid w:val="00481121"/>
    <w:rsid w:val="004813D2"/>
    <w:rsid w:val="00482102"/>
    <w:rsid w:val="00483159"/>
    <w:rsid w:val="004850DB"/>
    <w:rsid w:val="0048563A"/>
    <w:rsid w:val="00486DA3"/>
    <w:rsid w:val="00486E6A"/>
    <w:rsid w:val="00490D9A"/>
    <w:rsid w:val="00491576"/>
    <w:rsid w:val="004916EC"/>
    <w:rsid w:val="00492E40"/>
    <w:rsid w:val="00493B4B"/>
    <w:rsid w:val="00493C34"/>
    <w:rsid w:val="00494F7D"/>
    <w:rsid w:val="00496EF5"/>
    <w:rsid w:val="00496F6D"/>
    <w:rsid w:val="004A3B9D"/>
    <w:rsid w:val="004A3E8A"/>
    <w:rsid w:val="004A4BF3"/>
    <w:rsid w:val="004A50B3"/>
    <w:rsid w:val="004A6B6D"/>
    <w:rsid w:val="004A78DB"/>
    <w:rsid w:val="004A7C54"/>
    <w:rsid w:val="004B11CA"/>
    <w:rsid w:val="004B13DD"/>
    <w:rsid w:val="004B2063"/>
    <w:rsid w:val="004B3429"/>
    <w:rsid w:val="004B4519"/>
    <w:rsid w:val="004C0140"/>
    <w:rsid w:val="004C02D0"/>
    <w:rsid w:val="004C1789"/>
    <w:rsid w:val="004C25DF"/>
    <w:rsid w:val="004C3490"/>
    <w:rsid w:val="004C431C"/>
    <w:rsid w:val="004D3138"/>
    <w:rsid w:val="004E180E"/>
    <w:rsid w:val="004E2FB3"/>
    <w:rsid w:val="004E3B8A"/>
    <w:rsid w:val="004E4AA4"/>
    <w:rsid w:val="004E7442"/>
    <w:rsid w:val="004E7B8E"/>
    <w:rsid w:val="004F1A13"/>
    <w:rsid w:val="004F3FD9"/>
    <w:rsid w:val="004F5E7F"/>
    <w:rsid w:val="004F60DD"/>
    <w:rsid w:val="004F61EA"/>
    <w:rsid w:val="00500E76"/>
    <w:rsid w:val="005014A7"/>
    <w:rsid w:val="0051087F"/>
    <w:rsid w:val="00512140"/>
    <w:rsid w:val="0051409D"/>
    <w:rsid w:val="00514602"/>
    <w:rsid w:val="00514B5E"/>
    <w:rsid w:val="005151D9"/>
    <w:rsid w:val="00515382"/>
    <w:rsid w:val="00516DFA"/>
    <w:rsid w:val="00520B5D"/>
    <w:rsid w:val="00521751"/>
    <w:rsid w:val="00523D24"/>
    <w:rsid w:val="0052486B"/>
    <w:rsid w:val="00525829"/>
    <w:rsid w:val="00527A7F"/>
    <w:rsid w:val="0053588B"/>
    <w:rsid w:val="005358C9"/>
    <w:rsid w:val="005365BA"/>
    <w:rsid w:val="00536C7E"/>
    <w:rsid w:val="00540A94"/>
    <w:rsid w:val="00544D6D"/>
    <w:rsid w:val="00545EC6"/>
    <w:rsid w:val="0054672A"/>
    <w:rsid w:val="00547B2E"/>
    <w:rsid w:val="00550463"/>
    <w:rsid w:val="00553082"/>
    <w:rsid w:val="00553C02"/>
    <w:rsid w:val="005544E1"/>
    <w:rsid w:val="00554CA1"/>
    <w:rsid w:val="0055728E"/>
    <w:rsid w:val="005578BE"/>
    <w:rsid w:val="005601E8"/>
    <w:rsid w:val="0056260A"/>
    <w:rsid w:val="00562A4C"/>
    <w:rsid w:val="00563C06"/>
    <w:rsid w:val="005648DC"/>
    <w:rsid w:val="0056683D"/>
    <w:rsid w:val="005676AA"/>
    <w:rsid w:val="00572E6B"/>
    <w:rsid w:val="00575669"/>
    <w:rsid w:val="005756B3"/>
    <w:rsid w:val="005756B6"/>
    <w:rsid w:val="0057652C"/>
    <w:rsid w:val="00576809"/>
    <w:rsid w:val="005775CE"/>
    <w:rsid w:val="0057795B"/>
    <w:rsid w:val="00580067"/>
    <w:rsid w:val="00582CD3"/>
    <w:rsid w:val="0058446F"/>
    <w:rsid w:val="005854AD"/>
    <w:rsid w:val="0059075D"/>
    <w:rsid w:val="00592043"/>
    <w:rsid w:val="00593B67"/>
    <w:rsid w:val="005944B0"/>
    <w:rsid w:val="005945E2"/>
    <w:rsid w:val="00595AB0"/>
    <w:rsid w:val="005A14FF"/>
    <w:rsid w:val="005A20DF"/>
    <w:rsid w:val="005A43A4"/>
    <w:rsid w:val="005A475F"/>
    <w:rsid w:val="005B1548"/>
    <w:rsid w:val="005B161A"/>
    <w:rsid w:val="005B2895"/>
    <w:rsid w:val="005B3010"/>
    <w:rsid w:val="005B3805"/>
    <w:rsid w:val="005B4B0E"/>
    <w:rsid w:val="005B4BD5"/>
    <w:rsid w:val="005B6A4D"/>
    <w:rsid w:val="005C4C13"/>
    <w:rsid w:val="005C6F18"/>
    <w:rsid w:val="005C7647"/>
    <w:rsid w:val="005D0159"/>
    <w:rsid w:val="005D0D98"/>
    <w:rsid w:val="005D23CB"/>
    <w:rsid w:val="005D2F4B"/>
    <w:rsid w:val="005D34B5"/>
    <w:rsid w:val="005D5BBC"/>
    <w:rsid w:val="005E2399"/>
    <w:rsid w:val="005E4683"/>
    <w:rsid w:val="005E792C"/>
    <w:rsid w:val="005F202F"/>
    <w:rsid w:val="005F2840"/>
    <w:rsid w:val="005F2CE5"/>
    <w:rsid w:val="005F5509"/>
    <w:rsid w:val="005F5686"/>
    <w:rsid w:val="005F6097"/>
    <w:rsid w:val="005F6973"/>
    <w:rsid w:val="005F73B3"/>
    <w:rsid w:val="005F7A72"/>
    <w:rsid w:val="005F7C89"/>
    <w:rsid w:val="00600B8C"/>
    <w:rsid w:val="00601BCB"/>
    <w:rsid w:val="0060238B"/>
    <w:rsid w:val="00602615"/>
    <w:rsid w:val="0060305C"/>
    <w:rsid w:val="00605AFA"/>
    <w:rsid w:val="00606BEF"/>
    <w:rsid w:val="00607A7E"/>
    <w:rsid w:val="00614554"/>
    <w:rsid w:val="006162A6"/>
    <w:rsid w:val="0061728B"/>
    <w:rsid w:val="00620988"/>
    <w:rsid w:val="00622CDB"/>
    <w:rsid w:val="00623425"/>
    <w:rsid w:val="0062508C"/>
    <w:rsid w:val="00625979"/>
    <w:rsid w:val="00625D82"/>
    <w:rsid w:val="00627403"/>
    <w:rsid w:val="00630067"/>
    <w:rsid w:val="00632722"/>
    <w:rsid w:val="006340FF"/>
    <w:rsid w:val="0063688E"/>
    <w:rsid w:val="00642E95"/>
    <w:rsid w:val="00643BAE"/>
    <w:rsid w:val="00643BD1"/>
    <w:rsid w:val="00650350"/>
    <w:rsid w:val="00651600"/>
    <w:rsid w:val="00651727"/>
    <w:rsid w:val="00651A94"/>
    <w:rsid w:val="00652176"/>
    <w:rsid w:val="00652602"/>
    <w:rsid w:val="00652FE4"/>
    <w:rsid w:val="006561B1"/>
    <w:rsid w:val="006568AA"/>
    <w:rsid w:val="00656AF3"/>
    <w:rsid w:val="00657A93"/>
    <w:rsid w:val="0066122A"/>
    <w:rsid w:val="0066242C"/>
    <w:rsid w:val="00663B05"/>
    <w:rsid w:val="00663D1E"/>
    <w:rsid w:val="006648DA"/>
    <w:rsid w:val="00664CA2"/>
    <w:rsid w:val="00664F1B"/>
    <w:rsid w:val="0066526B"/>
    <w:rsid w:val="00670A5A"/>
    <w:rsid w:val="00671FD2"/>
    <w:rsid w:val="00672D01"/>
    <w:rsid w:val="0067317B"/>
    <w:rsid w:val="006737D6"/>
    <w:rsid w:val="00673988"/>
    <w:rsid w:val="006751C4"/>
    <w:rsid w:val="006757E2"/>
    <w:rsid w:val="00676072"/>
    <w:rsid w:val="00677792"/>
    <w:rsid w:val="00677EBB"/>
    <w:rsid w:val="00680768"/>
    <w:rsid w:val="00682D05"/>
    <w:rsid w:val="00683338"/>
    <w:rsid w:val="00683BF8"/>
    <w:rsid w:val="006840ED"/>
    <w:rsid w:val="006858CA"/>
    <w:rsid w:val="0068617B"/>
    <w:rsid w:val="006915F1"/>
    <w:rsid w:val="00692105"/>
    <w:rsid w:val="0069675B"/>
    <w:rsid w:val="006A0BF6"/>
    <w:rsid w:val="006A2822"/>
    <w:rsid w:val="006A2862"/>
    <w:rsid w:val="006A3B07"/>
    <w:rsid w:val="006A5F17"/>
    <w:rsid w:val="006A5FC0"/>
    <w:rsid w:val="006A7891"/>
    <w:rsid w:val="006A7E8B"/>
    <w:rsid w:val="006B0304"/>
    <w:rsid w:val="006B0971"/>
    <w:rsid w:val="006B0995"/>
    <w:rsid w:val="006B160C"/>
    <w:rsid w:val="006B2697"/>
    <w:rsid w:val="006B4BCD"/>
    <w:rsid w:val="006B7B04"/>
    <w:rsid w:val="006C0ED4"/>
    <w:rsid w:val="006C131F"/>
    <w:rsid w:val="006C3124"/>
    <w:rsid w:val="006C3E1F"/>
    <w:rsid w:val="006C4A90"/>
    <w:rsid w:val="006C4CBB"/>
    <w:rsid w:val="006C5D35"/>
    <w:rsid w:val="006D15E6"/>
    <w:rsid w:val="006D16EA"/>
    <w:rsid w:val="006D2888"/>
    <w:rsid w:val="006D488C"/>
    <w:rsid w:val="006D4B04"/>
    <w:rsid w:val="006D69E2"/>
    <w:rsid w:val="006E14AA"/>
    <w:rsid w:val="006E23CE"/>
    <w:rsid w:val="006E3076"/>
    <w:rsid w:val="006E4797"/>
    <w:rsid w:val="006E54D9"/>
    <w:rsid w:val="006E562B"/>
    <w:rsid w:val="006E6C62"/>
    <w:rsid w:val="006E7F46"/>
    <w:rsid w:val="006F1E8C"/>
    <w:rsid w:val="006F2381"/>
    <w:rsid w:val="006F3DA2"/>
    <w:rsid w:val="006F6AE1"/>
    <w:rsid w:val="006F6EBE"/>
    <w:rsid w:val="006F7759"/>
    <w:rsid w:val="0070133D"/>
    <w:rsid w:val="00702304"/>
    <w:rsid w:val="00703DF7"/>
    <w:rsid w:val="007046C8"/>
    <w:rsid w:val="0070508F"/>
    <w:rsid w:val="0071000F"/>
    <w:rsid w:val="00710297"/>
    <w:rsid w:val="00714BA6"/>
    <w:rsid w:val="00717B45"/>
    <w:rsid w:val="00720346"/>
    <w:rsid w:val="00720E5F"/>
    <w:rsid w:val="00722747"/>
    <w:rsid w:val="0072449F"/>
    <w:rsid w:val="007263E7"/>
    <w:rsid w:val="00727A30"/>
    <w:rsid w:val="00730BC7"/>
    <w:rsid w:val="00732270"/>
    <w:rsid w:val="00732850"/>
    <w:rsid w:val="00735437"/>
    <w:rsid w:val="00735571"/>
    <w:rsid w:val="00735DD1"/>
    <w:rsid w:val="007379E9"/>
    <w:rsid w:val="00740875"/>
    <w:rsid w:val="00740CE5"/>
    <w:rsid w:val="00741718"/>
    <w:rsid w:val="007478C0"/>
    <w:rsid w:val="00750C8B"/>
    <w:rsid w:val="00751D9B"/>
    <w:rsid w:val="00752E4F"/>
    <w:rsid w:val="00754CF2"/>
    <w:rsid w:val="00755F34"/>
    <w:rsid w:val="00757459"/>
    <w:rsid w:val="00761D8C"/>
    <w:rsid w:val="00762D5A"/>
    <w:rsid w:val="00766753"/>
    <w:rsid w:val="00766A1A"/>
    <w:rsid w:val="007703C7"/>
    <w:rsid w:val="0077592B"/>
    <w:rsid w:val="0078303F"/>
    <w:rsid w:val="00784F81"/>
    <w:rsid w:val="007854F1"/>
    <w:rsid w:val="00786C6F"/>
    <w:rsid w:val="007909D7"/>
    <w:rsid w:val="00791275"/>
    <w:rsid w:val="00792F0C"/>
    <w:rsid w:val="0079414D"/>
    <w:rsid w:val="00795724"/>
    <w:rsid w:val="007968E1"/>
    <w:rsid w:val="007A0811"/>
    <w:rsid w:val="007A698D"/>
    <w:rsid w:val="007A7D34"/>
    <w:rsid w:val="007B0D3A"/>
    <w:rsid w:val="007B156C"/>
    <w:rsid w:val="007B2BBD"/>
    <w:rsid w:val="007B2C7B"/>
    <w:rsid w:val="007B3868"/>
    <w:rsid w:val="007B7657"/>
    <w:rsid w:val="007C140C"/>
    <w:rsid w:val="007C38BF"/>
    <w:rsid w:val="007C4041"/>
    <w:rsid w:val="007C4325"/>
    <w:rsid w:val="007C492B"/>
    <w:rsid w:val="007C5942"/>
    <w:rsid w:val="007C7502"/>
    <w:rsid w:val="007C77F4"/>
    <w:rsid w:val="007D0284"/>
    <w:rsid w:val="007D096F"/>
    <w:rsid w:val="007D4B0F"/>
    <w:rsid w:val="007D70E8"/>
    <w:rsid w:val="007D7D8A"/>
    <w:rsid w:val="007E12A7"/>
    <w:rsid w:val="007E2299"/>
    <w:rsid w:val="007E2A71"/>
    <w:rsid w:val="007E35BF"/>
    <w:rsid w:val="007E568A"/>
    <w:rsid w:val="007E578E"/>
    <w:rsid w:val="007E5CB6"/>
    <w:rsid w:val="007E6EB1"/>
    <w:rsid w:val="007F60DC"/>
    <w:rsid w:val="007F6D07"/>
    <w:rsid w:val="00803570"/>
    <w:rsid w:val="008150A4"/>
    <w:rsid w:val="00815DF2"/>
    <w:rsid w:val="00816480"/>
    <w:rsid w:val="00821AEC"/>
    <w:rsid w:val="00821B91"/>
    <w:rsid w:val="00822AE4"/>
    <w:rsid w:val="00824E07"/>
    <w:rsid w:val="008253FB"/>
    <w:rsid w:val="008276DF"/>
    <w:rsid w:val="00831097"/>
    <w:rsid w:val="00831685"/>
    <w:rsid w:val="00832505"/>
    <w:rsid w:val="008358E4"/>
    <w:rsid w:val="00836464"/>
    <w:rsid w:val="00836D63"/>
    <w:rsid w:val="0083715D"/>
    <w:rsid w:val="008417C5"/>
    <w:rsid w:val="008456D8"/>
    <w:rsid w:val="00845961"/>
    <w:rsid w:val="00845AF7"/>
    <w:rsid w:val="008524C8"/>
    <w:rsid w:val="00853747"/>
    <w:rsid w:val="00855379"/>
    <w:rsid w:val="0085576B"/>
    <w:rsid w:val="00855DB8"/>
    <w:rsid w:val="00863F4D"/>
    <w:rsid w:val="0086678C"/>
    <w:rsid w:val="00866960"/>
    <w:rsid w:val="0086726F"/>
    <w:rsid w:val="008678BC"/>
    <w:rsid w:val="0086794E"/>
    <w:rsid w:val="00871B22"/>
    <w:rsid w:val="00873B95"/>
    <w:rsid w:val="0087402C"/>
    <w:rsid w:val="00877084"/>
    <w:rsid w:val="00877E0E"/>
    <w:rsid w:val="00881626"/>
    <w:rsid w:val="00881D59"/>
    <w:rsid w:val="0088342D"/>
    <w:rsid w:val="00885620"/>
    <w:rsid w:val="00885918"/>
    <w:rsid w:val="00892A74"/>
    <w:rsid w:val="008933E6"/>
    <w:rsid w:val="00893781"/>
    <w:rsid w:val="00893D04"/>
    <w:rsid w:val="008941BA"/>
    <w:rsid w:val="0089451C"/>
    <w:rsid w:val="008950FD"/>
    <w:rsid w:val="0089737C"/>
    <w:rsid w:val="008A3402"/>
    <w:rsid w:val="008B0533"/>
    <w:rsid w:val="008B1337"/>
    <w:rsid w:val="008B1CB5"/>
    <w:rsid w:val="008B257A"/>
    <w:rsid w:val="008B2EE1"/>
    <w:rsid w:val="008B3120"/>
    <w:rsid w:val="008B3627"/>
    <w:rsid w:val="008B3EB2"/>
    <w:rsid w:val="008B5810"/>
    <w:rsid w:val="008B7E55"/>
    <w:rsid w:val="008C2DDD"/>
    <w:rsid w:val="008C2FB5"/>
    <w:rsid w:val="008C44DC"/>
    <w:rsid w:val="008C5DFD"/>
    <w:rsid w:val="008C6975"/>
    <w:rsid w:val="008C6C26"/>
    <w:rsid w:val="008D0A4D"/>
    <w:rsid w:val="008D2A5E"/>
    <w:rsid w:val="008D45DE"/>
    <w:rsid w:val="008D608D"/>
    <w:rsid w:val="008D6C13"/>
    <w:rsid w:val="008D71E5"/>
    <w:rsid w:val="008D72B5"/>
    <w:rsid w:val="008E25EC"/>
    <w:rsid w:val="008E2705"/>
    <w:rsid w:val="008E4A1A"/>
    <w:rsid w:val="008E52B8"/>
    <w:rsid w:val="008E5807"/>
    <w:rsid w:val="008E5CAD"/>
    <w:rsid w:val="008E685B"/>
    <w:rsid w:val="008E7225"/>
    <w:rsid w:val="008E7C6A"/>
    <w:rsid w:val="008F0051"/>
    <w:rsid w:val="008F1A83"/>
    <w:rsid w:val="008F2736"/>
    <w:rsid w:val="008F2B21"/>
    <w:rsid w:val="008F308C"/>
    <w:rsid w:val="008F4DEB"/>
    <w:rsid w:val="008F5491"/>
    <w:rsid w:val="008F55F8"/>
    <w:rsid w:val="008F6149"/>
    <w:rsid w:val="00902099"/>
    <w:rsid w:val="00903F34"/>
    <w:rsid w:val="009045F1"/>
    <w:rsid w:val="00906D84"/>
    <w:rsid w:val="0090709A"/>
    <w:rsid w:val="009175F2"/>
    <w:rsid w:val="00920BD3"/>
    <w:rsid w:val="00921208"/>
    <w:rsid w:val="009226DE"/>
    <w:rsid w:val="00922BBF"/>
    <w:rsid w:val="009320A1"/>
    <w:rsid w:val="009328DA"/>
    <w:rsid w:val="0093363A"/>
    <w:rsid w:val="00933890"/>
    <w:rsid w:val="009345C5"/>
    <w:rsid w:val="00934CF0"/>
    <w:rsid w:val="0093568E"/>
    <w:rsid w:val="0093593F"/>
    <w:rsid w:val="009411D1"/>
    <w:rsid w:val="009411F0"/>
    <w:rsid w:val="00942DE9"/>
    <w:rsid w:val="009436AB"/>
    <w:rsid w:val="00943C8B"/>
    <w:rsid w:val="00943F3F"/>
    <w:rsid w:val="0094430A"/>
    <w:rsid w:val="00945853"/>
    <w:rsid w:val="00946091"/>
    <w:rsid w:val="00946B70"/>
    <w:rsid w:val="009472FE"/>
    <w:rsid w:val="009506E0"/>
    <w:rsid w:val="0095358D"/>
    <w:rsid w:val="009542F3"/>
    <w:rsid w:val="00954EE1"/>
    <w:rsid w:val="00957F64"/>
    <w:rsid w:val="009617E1"/>
    <w:rsid w:val="0096200F"/>
    <w:rsid w:val="00962648"/>
    <w:rsid w:val="00964279"/>
    <w:rsid w:val="00964FFB"/>
    <w:rsid w:val="009676E1"/>
    <w:rsid w:val="00973636"/>
    <w:rsid w:val="009746C5"/>
    <w:rsid w:val="0097493A"/>
    <w:rsid w:val="00980331"/>
    <w:rsid w:val="009804F5"/>
    <w:rsid w:val="00983C78"/>
    <w:rsid w:val="00984701"/>
    <w:rsid w:val="0098541F"/>
    <w:rsid w:val="00986515"/>
    <w:rsid w:val="00987A69"/>
    <w:rsid w:val="0099074A"/>
    <w:rsid w:val="00990A9B"/>
    <w:rsid w:val="009912E9"/>
    <w:rsid w:val="00994DDA"/>
    <w:rsid w:val="0099736B"/>
    <w:rsid w:val="009973ED"/>
    <w:rsid w:val="00997CAB"/>
    <w:rsid w:val="009A3A63"/>
    <w:rsid w:val="009A4A3F"/>
    <w:rsid w:val="009A552C"/>
    <w:rsid w:val="009A553C"/>
    <w:rsid w:val="009B1332"/>
    <w:rsid w:val="009B1777"/>
    <w:rsid w:val="009B20A2"/>
    <w:rsid w:val="009B2C97"/>
    <w:rsid w:val="009B3EF6"/>
    <w:rsid w:val="009B40DE"/>
    <w:rsid w:val="009B513E"/>
    <w:rsid w:val="009B633F"/>
    <w:rsid w:val="009C37E9"/>
    <w:rsid w:val="009C3B0A"/>
    <w:rsid w:val="009C4905"/>
    <w:rsid w:val="009C6151"/>
    <w:rsid w:val="009C7973"/>
    <w:rsid w:val="009D28C2"/>
    <w:rsid w:val="009D2965"/>
    <w:rsid w:val="009D3001"/>
    <w:rsid w:val="009D7662"/>
    <w:rsid w:val="009E09E6"/>
    <w:rsid w:val="009E1587"/>
    <w:rsid w:val="009E6C54"/>
    <w:rsid w:val="009E766A"/>
    <w:rsid w:val="009F0405"/>
    <w:rsid w:val="009F1D7A"/>
    <w:rsid w:val="009F6550"/>
    <w:rsid w:val="009F7737"/>
    <w:rsid w:val="00A00DDA"/>
    <w:rsid w:val="00A0377D"/>
    <w:rsid w:val="00A04B29"/>
    <w:rsid w:val="00A05C9B"/>
    <w:rsid w:val="00A06B11"/>
    <w:rsid w:val="00A078FF"/>
    <w:rsid w:val="00A132DB"/>
    <w:rsid w:val="00A13C8C"/>
    <w:rsid w:val="00A17AAE"/>
    <w:rsid w:val="00A201FD"/>
    <w:rsid w:val="00A20DA0"/>
    <w:rsid w:val="00A215AE"/>
    <w:rsid w:val="00A21967"/>
    <w:rsid w:val="00A22A91"/>
    <w:rsid w:val="00A23A7F"/>
    <w:rsid w:val="00A25943"/>
    <w:rsid w:val="00A268AC"/>
    <w:rsid w:val="00A320D8"/>
    <w:rsid w:val="00A3311F"/>
    <w:rsid w:val="00A3312E"/>
    <w:rsid w:val="00A3483E"/>
    <w:rsid w:val="00A36880"/>
    <w:rsid w:val="00A37D6F"/>
    <w:rsid w:val="00A40580"/>
    <w:rsid w:val="00A407E9"/>
    <w:rsid w:val="00A40C3C"/>
    <w:rsid w:val="00A44624"/>
    <w:rsid w:val="00A45F4C"/>
    <w:rsid w:val="00A47FA7"/>
    <w:rsid w:val="00A51FFC"/>
    <w:rsid w:val="00A55168"/>
    <w:rsid w:val="00A571EA"/>
    <w:rsid w:val="00A572B4"/>
    <w:rsid w:val="00A57844"/>
    <w:rsid w:val="00A706A2"/>
    <w:rsid w:val="00A7270E"/>
    <w:rsid w:val="00A73396"/>
    <w:rsid w:val="00A734F6"/>
    <w:rsid w:val="00A7578E"/>
    <w:rsid w:val="00A76858"/>
    <w:rsid w:val="00A76D2A"/>
    <w:rsid w:val="00A80085"/>
    <w:rsid w:val="00A80AE7"/>
    <w:rsid w:val="00A8410F"/>
    <w:rsid w:val="00A8752F"/>
    <w:rsid w:val="00A91735"/>
    <w:rsid w:val="00A91B92"/>
    <w:rsid w:val="00A91E8C"/>
    <w:rsid w:val="00A91F9D"/>
    <w:rsid w:val="00A95EA7"/>
    <w:rsid w:val="00A97698"/>
    <w:rsid w:val="00AA0006"/>
    <w:rsid w:val="00AA0900"/>
    <w:rsid w:val="00AA52E4"/>
    <w:rsid w:val="00AA5439"/>
    <w:rsid w:val="00AB2032"/>
    <w:rsid w:val="00AB373B"/>
    <w:rsid w:val="00AB3B78"/>
    <w:rsid w:val="00AB56D1"/>
    <w:rsid w:val="00AB63E5"/>
    <w:rsid w:val="00AC0139"/>
    <w:rsid w:val="00AC02B5"/>
    <w:rsid w:val="00AC1180"/>
    <w:rsid w:val="00AC3F35"/>
    <w:rsid w:val="00AD104A"/>
    <w:rsid w:val="00AD2719"/>
    <w:rsid w:val="00AD38A1"/>
    <w:rsid w:val="00AD3F6D"/>
    <w:rsid w:val="00AD4FB6"/>
    <w:rsid w:val="00AD58B6"/>
    <w:rsid w:val="00AD68DA"/>
    <w:rsid w:val="00AD6E45"/>
    <w:rsid w:val="00AE0814"/>
    <w:rsid w:val="00AE3E99"/>
    <w:rsid w:val="00AE46D0"/>
    <w:rsid w:val="00AE62FA"/>
    <w:rsid w:val="00AF10DA"/>
    <w:rsid w:val="00AF322B"/>
    <w:rsid w:val="00B05459"/>
    <w:rsid w:val="00B070BF"/>
    <w:rsid w:val="00B11E2C"/>
    <w:rsid w:val="00B11FF5"/>
    <w:rsid w:val="00B12A9C"/>
    <w:rsid w:val="00B12E85"/>
    <w:rsid w:val="00B16325"/>
    <w:rsid w:val="00B17FB2"/>
    <w:rsid w:val="00B206D5"/>
    <w:rsid w:val="00B20C0C"/>
    <w:rsid w:val="00B23636"/>
    <w:rsid w:val="00B25590"/>
    <w:rsid w:val="00B25CB8"/>
    <w:rsid w:val="00B309EE"/>
    <w:rsid w:val="00B3124F"/>
    <w:rsid w:val="00B31E8F"/>
    <w:rsid w:val="00B326C9"/>
    <w:rsid w:val="00B3301B"/>
    <w:rsid w:val="00B34A7B"/>
    <w:rsid w:val="00B36F39"/>
    <w:rsid w:val="00B36FCD"/>
    <w:rsid w:val="00B408A8"/>
    <w:rsid w:val="00B45CE7"/>
    <w:rsid w:val="00B4661A"/>
    <w:rsid w:val="00B47482"/>
    <w:rsid w:val="00B535CD"/>
    <w:rsid w:val="00B54028"/>
    <w:rsid w:val="00B54956"/>
    <w:rsid w:val="00B5537C"/>
    <w:rsid w:val="00B56B73"/>
    <w:rsid w:val="00B57AFB"/>
    <w:rsid w:val="00B60007"/>
    <w:rsid w:val="00B60E27"/>
    <w:rsid w:val="00B61B92"/>
    <w:rsid w:val="00B61CBF"/>
    <w:rsid w:val="00B62F4B"/>
    <w:rsid w:val="00B742E3"/>
    <w:rsid w:val="00B74FD2"/>
    <w:rsid w:val="00B7505A"/>
    <w:rsid w:val="00B7594F"/>
    <w:rsid w:val="00B75C4E"/>
    <w:rsid w:val="00B778AF"/>
    <w:rsid w:val="00B82E1D"/>
    <w:rsid w:val="00B8330A"/>
    <w:rsid w:val="00B83B48"/>
    <w:rsid w:val="00B84BB1"/>
    <w:rsid w:val="00B85823"/>
    <w:rsid w:val="00B91AED"/>
    <w:rsid w:val="00B925A2"/>
    <w:rsid w:val="00B96A23"/>
    <w:rsid w:val="00B96EB7"/>
    <w:rsid w:val="00B979C1"/>
    <w:rsid w:val="00BA0A6F"/>
    <w:rsid w:val="00BA0C40"/>
    <w:rsid w:val="00BA1F9D"/>
    <w:rsid w:val="00BA3CF0"/>
    <w:rsid w:val="00BA76C8"/>
    <w:rsid w:val="00BB001C"/>
    <w:rsid w:val="00BB1C51"/>
    <w:rsid w:val="00BB207D"/>
    <w:rsid w:val="00BB2465"/>
    <w:rsid w:val="00BB33C8"/>
    <w:rsid w:val="00BB4A8C"/>
    <w:rsid w:val="00BC1BF5"/>
    <w:rsid w:val="00BC2A99"/>
    <w:rsid w:val="00BC4AEF"/>
    <w:rsid w:val="00BD050F"/>
    <w:rsid w:val="00BD336B"/>
    <w:rsid w:val="00BD464C"/>
    <w:rsid w:val="00BD648E"/>
    <w:rsid w:val="00BE1B3F"/>
    <w:rsid w:val="00BE1CDF"/>
    <w:rsid w:val="00BE30C3"/>
    <w:rsid w:val="00BE589D"/>
    <w:rsid w:val="00BF06D5"/>
    <w:rsid w:val="00BF0714"/>
    <w:rsid w:val="00BF11C0"/>
    <w:rsid w:val="00BF3620"/>
    <w:rsid w:val="00BF7A56"/>
    <w:rsid w:val="00BF7A98"/>
    <w:rsid w:val="00C04E95"/>
    <w:rsid w:val="00C060D7"/>
    <w:rsid w:val="00C06828"/>
    <w:rsid w:val="00C068C3"/>
    <w:rsid w:val="00C06D86"/>
    <w:rsid w:val="00C13976"/>
    <w:rsid w:val="00C13983"/>
    <w:rsid w:val="00C17374"/>
    <w:rsid w:val="00C20459"/>
    <w:rsid w:val="00C20919"/>
    <w:rsid w:val="00C234F6"/>
    <w:rsid w:val="00C33129"/>
    <w:rsid w:val="00C33C1E"/>
    <w:rsid w:val="00C3493B"/>
    <w:rsid w:val="00C36C3D"/>
    <w:rsid w:val="00C411DD"/>
    <w:rsid w:val="00C4150A"/>
    <w:rsid w:val="00C4293F"/>
    <w:rsid w:val="00C44195"/>
    <w:rsid w:val="00C453AF"/>
    <w:rsid w:val="00C457EA"/>
    <w:rsid w:val="00C45A8D"/>
    <w:rsid w:val="00C461BE"/>
    <w:rsid w:val="00C500A7"/>
    <w:rsid w:val="00C503A8"/>
    <w:rsid w:val="00C5063F"/>
    <w:rsid w:val="00C523FE"/>
    <w:rsid w:val="00C52508"/>
    <w:rsid w:val="00C574A5"/>
    <w:rsid w:val="00C601D0"/>
    <w:rsid w:val="00C61BA8"/>
    <w:rsid w:val="00C639CB"/>
    <w:rsid w:val="00C64CC1"/>
    <w:rsid w:val="00C6528E"/>
    <w:rsid w:val="00C656DA"/>
    <w:rsid w:val="00C65818"/>
    <w:rsid w:val="00C725F3"/>
    <w:rsid w:val="00C73159"/>
    <w:rsid w:val="00C73EED"/>
    <w:rsid w:val="00C75ABC"/>
    <w:rsid w:val="00C763CB"/>
    <w:rsid w:val="00C8052F"/>
    <w:rsid w:val="00C82312"/>
    <w:rsid w:val="00C84CA0"/>
    <w:rsid w:val="00C84E8F"/>
    <w:rsid w:val="00C87373"/>
    <w:rsid w:val="00C908A6"/>
    <w:rsid w:val="00C90CB5"/>
    <w:rsid w:val="00C93398"/>
    <w:rsid w:val="00C97522"/>
    <w:rsid w:val="00C97ED5"/>
    <w:rsid w:val="00CA2654"/>
    <w:rsid w:val="00CA3315"/>
    <w:rsid w:val="00CA3CC1"/>
    <w:rsid w:val="00CA42F1"/>
    <w:rsid w:val="00CA4FAC"/>
    <w:rsid w:val="00CA4FE5"/>
    <w:rsid w:val="00CA5205"/>
    <w:rsid w:val="00CA7526"/>
    <w:rsid w:val="00CB021D"/>
    <w:rsid w:val="00CB0FA9"/>
    <w:rsid w:val="00CB1538"/>
    <w:rsid w:val="00CB310E"/>
    <w:rsid w:val="00CB45D7"/>
    <w:rsid w:val="00CB5B44"/>
    <w:rsid w:val="00CB7C52"/>
    <w:rsid w:val="00CC021C"/>
    <w:rsid w:val="00CC0ACF"/>
    <w:rsid w:val="00CC173B"/>
    <w:rsid w:val="00CC1A0A"/>
    <w:rsid w:val="00CC6004"/>
    <w:rsid w:val="00CC6C2B"/>
    <w:rsid w:val="00CC6DB0"/>
    <w:rsid w:val="00CC6F63"/>
    <w:rsid w:val="00CD183E"/>
    <w:rsid w:val="00CD2786"/>
    <w:rsid w:val="00CD46D7"/>
    <w:rsid w:val="00CD5DB1"/>
    <w:rsid w:val="00CD7D6A"/>
    <w:rsid w:val="00CE0F30"/>
    <w:rsid w:val="00CE0F92"/>
    <w:rsid w:val="00CE2037"/>
    <w:rsid w:val="00CE2838"/>
    <w:rsid w:val="00CE3F63"/>
    <w:rsid w:val="00CF0F81"/>
    <w:rsid w:val="00CF133F"/>
    <w:rsid w:val="00CF15A6"/>
    <w:rsid w:val="00CF6E46"/>
    <w:rsid w:val="00CF6F34"/>
    <w:rsid w:val="00D00AF6"/>
    <w:rsid w:val="00D0274E"/>
    <w:rsid w:val="00D0435C"/>
    <w:rsid w:val="00D0470B"/>
    <w:rsid w:val="00D04CA7"/>
    <w:rsid w:val="00D063E4"/>
    <w:rsid w:val="00D10BD6"/>
    <w:rsid w:val="00D124BD"/>
    <w:rsid w:val="00D12723"/>
    <w:rsid w:val="00D165FC"/>
    <w:rsid w:val="00D1685E"/>
    <w:rsid w:val="00D16CBB"/>
    <w:rsid w:val="00D208CC"/>
    <w:rsid w:val="00D224B2"/>
    <w:rsid w:val="00D2520C"/>
    <w:rsid w:val="00D27078"/>
    <w:rsid w:val="00D271A5"/>
    <w:rsid w:val="00D31371"/>
    <w:rsid w:val="00D32418"/>
    <w:rsid w:val="00D33372"/>
    <w:rsid w:val="00D409F4"/>
    <w:rsid w:val="00D419A2"/>
    <w:rsid w:val="00D42BE8"/>
    <w:rsid w:val="00D4530A"/>
    <w:rsid w:val="00D50BAD"/>
    <w:rsid w:val="00D60197"/>
    <w:rsid w:val="00D60536"/>
    <w:rsid w:val="00D61BC8"/>
    <w:rsid w:val="00D62B6A"/>
    <w:rsid w:val="00D654B9"/>
    <w:rsid w:val="00D65919"/>
    <w:rsid w:val="00D671E2"/>
    <w:rsid w:val="00D708DB"/>
    <w:rsid w:val="00D70D09"/>
    <w:rsid w:val="00D73C96"/>
    <w:rsid w:val="00D73D7F"/>
    <w:rsid w:val="00D747EC"/>
    <w:rsid w:val="00D7669B"/>
    <w:rsid w:val="00D8161B"/>
    <w:rsid w:val="00D81CFB"/>
    <w:rsid w:val="00D82B0F"/>
    <w:rsid w:val="00D84ECA"/>
    <w:rsid w:val="00D85148"/>
    <w:rsid w:val="00D90E3A"/>
    <w:rsid w:val="00D94D60"/>
    <w:rsid w:val="00D9573A"/>
    <w:rsid w:val="00D96E5C"/>
    <w:rsid w:val="00D978D8"/>
    <w:rsid w:val="00DA072A"/>
    <w:rsid w:val="00DA0F6D"/>
    <w:rsid w:val="00DA12CB"/>
    <w:rsid w:val="00DA33E1"/>
    <w:rsid w:val="00DA42A3"/>
    <w:rsid w:val="00DA58C6"/>
    <w:rsid w:val="00DB0452"/>
    <w:rsid w:val="00DB0E76"/>
    <w:rsid w:val="00DB18D2"/>
    <w:rsid w:val="00DB429B"/>
    <w:rsid w:val="00DB7257"/>
    <w:rsid w:val="00DC1549"/>
    <w:rsid w:val="00DC1D87"/>
    <w:rsid w:val="00DC50A5"/>
    <w:rsid w:val="00DC5935"/>
    <w:rsid w:val="00DC7785"/>
    <w:rsid w:val="00DD1345"/>
    <w:rsid w:val="00DD2435"/>
    <w:rsid w:val="00DD3210"/>
    <w:rsid w:val="00DD528A"/>
    <w:rsid w:val="00DD5FBC"/>
    <w:rsid w:val="00DD6933"/>
    <w:rsid w:val="00DD7226"/>
    <w:rsid w:val="00DD7574"/>
    <w:rsid w:val="00DD79F8"/>
    <w:rsid w:val="00DE289C"/>
    <w:rsid w:val="00DE5032"/>
    <w:rsid w:val="00DE71D2"/>
    <w:rsid w:val="00DF2AB4"/>
    <w:rsid w:val="00DF402E"/>
    <w:rsid w:val="00DF47AC"/>
    <w:rsid w:val="00DF50F5"/>
    <w:rsid w:val="00DF5AC1"/>
    <w:rsid w:val="00E009C3"/>
    <w:rsid w:val="00E020B0"/>
    <w:rsid w:val="00E028E9"/>
    <w:rsid w:val="00E03517"/>
    <w:rsid w:val="00E04C5F"/>
    <w:rsid w:val="00E0521F"/>
    <w:rsid w:val="00E05C94"/>
    <w:rsid w:val="00E06B82"/>
    <w:rsid w:val="00E06EE2"/>
    <w:rsid w:val="00E0714F"/>
    <w:rsid w:val="00E10BB0"/>
    <w:rsid w:val="00E10EAA"/>
    <w:rsid w:val="00E11FAE"/>
    <w:rsid w:val="00E12BE3"/>
    <w:rsid w:val="00E1491D"/>
    <w:rsid w:val="00E152FB"/>
    <w:rsid w:val="00E17549"/>
    <w:rsid w:val="00E20841"/>
    <w:rsid w:val="00E20FCC"/>
    <w:rsid w:val="00E24AF4"/>
    <w:rsid w:val="00E327DD"/>
    <w:rsid w:val="00E347BC"/>
    <w:rsid w:val="00E34A89"/>
    <w:rsid w:val="00E35EB4"/>
    <w:rsid w:val="00E35EBB"/>
    <w:rsid w:val="00E375EC"/>
    <w:rsid w:val="00E37B97"/>
    <w:rsid w:val="00E40261"/>
    <w:rsid w:val="00E41638"/>
    <w:rsid w:val="00E41B8B"/>
    <w:rsid w:val="00E42C16"/>
    <w:rsid w:val="00E43ED6"/>
    <w:rsid w:val="00E456A1"/>
    <w:rsid w:val="00E4685E"/>
    <w:rsid w:val="00E52A80"/>
    <w:rsid w:val="00E53372"/>
    <w:rsid w:val="00E556D2"/>
    <w:rsid w:val="00E55B0F"/>
    <w:rsid w:val="00E603DD"/>
    <w:rsid w:val="00E62EE6"/>
    <w:rsid w:val="00E64867"/>
    <w:rsid w:val="00E65772"/>
    <w:rsid w:val="00E6660E"/>
    <w:rsid w:val="00E66821"/>
    <w:rsid w:val="00E66994"/>
    <w:rsid w:val="00E67C82"/>
    <w:rsid w:val="00E7170B"/>
    <w:rsid w:val="00E73984"/>
    <w:rsid w:val="00E747ED"/>
    <w:rsid w:val="00E75B43"/>
    <w:rsid w:val="00E80210"/>
    <w:rsid w:val="00E84EB7"/>
    <w:rsid w:val="00E85688"/>
    <w:rsid w:val="00E864E1"/>
    <w:rsid w:val="00E8703B"/>
    <w:rsid w:val="00E87A5B"/>
    <w:rsid w:val="00E91EFE"/>
    <w:rsid w:val="00E92BEF"/>
    <w:rsid w:val="00E932AA"/>
    <w:rsid w:val="00E94027"/>
    <w:rsid w:val="00EA1A99"/>
    <w:rsid w:val="00EA1D03"/>
    <w:rsid w:val="00EA4541"/>
    <w:rsid w:val="00EA52E4"/>
    <w:rsid w:val="00EA6462"/>
    <w:rsid w:val="00EA6D53"/>
    <w:rsid w:val="00EA6E4B"/>
    <w:rsid w:val="00EB0AC4"/>
    <w:rsid w:val="00EB3826"/>
    <w:rsid w:val="00EB44BC"/>
    <w:rsid w:val="00EC0098"/>
    <w:rsid w:val="00EC15A8"/>
    <w:rsid w:val="00EC351D"/>
    <w:rsid w:val="00EC51DF"/>
    <w:rsid w:val="00EC650F"/>
    <w:rsid w:val="00EC72D3"/>
    <w:rsid w:val="00ED20DC"/>
    <w:rsid w:val="00ED24F0"/>
    <w:rsid w:val="00ED4F80"/>
    <w:rsid w:val="00ED6817"/>
    <w:rsid w:val="00ED7162"/>
    <w:rsid w:val="00ED7EAC"/>
    <w:rsid w:val="00EE0D2B"/>
    <w:rsid w:val="00EE56EA"/>
    <w:rsid w:val="00EF4C8A"/>
    <w:rsid w:val="00EF52E9"/>
    <w:rsid w:val="00F009D1"/>
    <w:rsid w:val="00F01B7F"/>
    <w:rsid w:val="00F07573"/>
    <w:rsid w:val="00F07B6E"/>
    <w:rsid w:val="00F10059"/>
    <w:rsid w:val="00F12846"/>
    <w:rsid w:val="00F130B9"/>
    <w:rsid w:val="00F13448"/>
    <w:rsid w:val="00F148B8"/>
    <w:rsid w:val="00F204BC"/>
    <w:rsid w:val="00F21B09"/>
    <w:rsid w:val="00F24356"/>
    <w:rsid w:val="00F24EBB"/>
    <w:rsid w:val="00F25840"/>
    <w:rsid w:val="00F25D43"/>
    <w:rsid w:val="00F27C02"/>
    <w:rsid w:val="00F32DCE"/>
    <w:rsid w:val="00F340C2"/>
    <w:rsid w:val="00F34682"/>
    <w:rsid w:val="00F34DD5"/>
    <w:rsid w:val="00F35D2E"/>
    <w:rsid w:val="00F36235"/>
    <w:rsid w:val="00F362DE"/>
    <w:rsid w:val="00F3649C"/>
    <w:rsid w:val="00F36E44"/>
    <w:rsid w:val="00F41586"/>
    <w:rsid w:val="00F43A61"/>
    <w:rsid w:val="00F47B06"/>
    <w:rsid w:val="00F50291"/>
    <w:rsid w:val="00F5044A"/>
    <w:rsid w:val="00F51526"/>
    <w:rsid w:val="00F51DA2"/>
    <w:rsid w:val="00F54600"/>
    <w:rsid w:val="00F54DFA"/>
    <w:rsid w:val="00F559FC"/>
    <w:rsid w:val="00F56B42"/>
    <w:rsid w:val="00F56DFB"/>
    <w:rsid w:val="00F57229"/>
    <w:rsid w:val="00F60D81"/>
    <w:rsid w:val="00F6363B"/>
    <w:rsid w:val="00F64DFF"/>
    <w:rsid w:val="00F65CF8"/>
    <w:rsid w:val="00F66C86"/>
    <w:rsid w:val="00F7025F"/>
    <w:rsid w:val="00F70487"/>
    <w:rsid w:val="00F71AFA"/>
    <w:rsid w:val="00F72FDE"/>
    <w:rsid w:val="00F73247"/>
    <w:rsid w:val="00F7344B"/>
    <w:rsid w:val="00F73E05"/>
    <w:rsid w:val="00F74132"/>
    <w:rsid w:val="00F7670B"/>
    <w:rsid w:val="00F77BB6"/>
    <w:rsid w:val="00F84F40"/>
    <w:rsid w:val="00F8664F"/>
    <w:rsid w:val="00F87661"/>
    <w:rsid w:val="00F87FC0"/>
    <w:rsid w:val="00F90628"/>
    <w:rsid w:val="00F9092E"/>
    <w:rsid w:val="00F909D8"/>
    <w:rsid w:val="00F90FAF"/>
    <w:rsid w:val="00F93414"/>
    <w:rsid w:val="00F93942"/>
    <w:rsid w:val="00F939DD"/>
    <w:rsid w:val="00F94CA3"/>
    <w:rsid w:val="00F9787A"/>
    <w:rsid w:val="00FA1E8C"/>
    <w:rsid w:val="00FA6703"/>
    <w:rsid w:val="00FA6FCE"/>
    <w:rsid w:val="00FB1195"/>
    <w:rsid w:val="00FB14C8"/>
    <w:rsid w:val="00FB3F02"/>
    <w:rsid w:val="00FB506F"/>
    <w:rsid w:val="00FB59EA"/>
    <w:rsid w:val="00FB5A7B"/>
    <w:rsid w:val="00FB6F32"/>
    <w:rsid w:val="00FC58B1"/>
    <w:rsid w:val="00FC5F95"/>
    <w:rsid w:val="00FC7371"/>
    <w:rsid w:val="00FC750F"/>
    <w:rsid w:val="00FC7E0F"/>
    <w:rsid w:val="00FD08CD"/>
    <w:rsid w:val="00FD0DA7"/>
    <w:rsid w:val="00FD0E18"/>
    <w:rsid w:val="00FD2967"/>
    <w:rsid w:val="00FD2C28"/>
    <w:rsid w:val="00FD401F"/>
    <w:rsid w:val="00FE08A4"/>
    <w:rsid w:val="00FE2219"/>
    <w:rsid w:val="00FE2AC4"/>
    <w:rsid w:val="00FE2B75"/>
    <w:rsid w:val="00FE43DA"/>
    <w:rsid w:val="00FE48A3"/>
    <w:rsid w:val="00FE5714"/>
    <w:rsid w:val="00FE67BC"/>
    <w:rsid w:val="00FF292C"/>
    <w:rsid w:val="00FF68CE"/>
    <w:rsid w:val="00FF6DA3"/>
    <w:rsid w:val="1F839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1BFA"/>
  <w15:chartTrackingRefBased/>
  <w15:docId w15:val="{977131EA-F28F-49FE-A91D-06CB2E50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D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4850DB"/>
    <w:pPr>
      <w:spacing w:after="240"/>
      <w:outlineLvl w:val="0"/>
    </w:pPr>
    <w:rPr>
      <w:rFonts w:ascii="Arial Bold" w:hAnsi="Arial Bold"/>
      <w:b/>
      <w:kern w:val="34"/>
      <w:sz w:val="36"/>
    </w:rPr>
  </w:style>
  <w:style w:type="paragraph" w:styleId="Heading2">
    <w:name w:val="heading 2"/>
    <w:basedOn w:val="HeadingBase"/>
    <w:next w:val="Normal"/>
    <w:link w:val="Heading2Char"/>
    <w:qFormat/>
    <w:rsid w:val="00791275"/>
    <w:pPr>
      <w:spacing w:before="240" w:after="240"/>
      <w:outlineLvl w:val="1"/>
    </w:pPr>
    <w:rPr>
      <w:rFonts w:ascii="Arial Bold" w:hAnsi="Arial Bold"/>
      <w:b/>
      <w:sz w:val="26"/>
    </w:rPr>
  </w:style>
  <w:style w:type="paragraph" w:styleId="Heading3">
    <w:name w:val="heading 3"/>
    <w:basedOn w:val="HeadingBase"/>
    <w:next w:val="Normal"/>
    <w:link w:val="Heading3Char"/>
    <w:qFormat/>
    <w:rsid w:val="00BB207D"/>
    <w:pPr>
      <w:spacing w:before="120" w:after="120"/>
      <w:outlineLvl w:val="2"/>
    </w:pPr>
    <w:rPr>
      <w:rFonts w:ascii="Arial Bold" w:hAnsi="Arial Bold"/>
      <w:b/>
      <w:sz w:val="22"/>
    </w:rPr>
  </w:style>
  <w:style w:type="paragraph" w:styleId="Heading4">
    <w:name w:val="heading 4"/>
    <w:basedOn w:val="HeadingBase"/>
    <w:next w:val="Normal"/>
    <w:link w:val="Heading4Char"/>
    <w:qFormat/>
    <w:rsid w:val="00BB207D"/>
    <w:pPr>
      <w:spacing w:after="120"/>
      <w:outlineLvl w:val="3"/>
    </w:pPr>
    <w:rPr>
      <w:rFonts w:ascii="Arial Bold" w:hAnsi="Arial Bold"/>
      <w:b/>
      <w:sz w:val="20"/>
    </w:rPr>
  </w:style>
  <w:style w:type="paragraph" w:styleId="Heading5">
    <w:name w:val="heading 5"/>
    <w:basedOn w:val="HeadingBase"/>
    <w:next w:val="Normal"/>
    <w:link w:val="Heading5Char"/>
    <w:qFormat/>
    <w:rsid w:val="001D33D6"/>
    <w:pPr>
      <w:spacing w:after="120"/>
      <w:outlineLvl w:val="4"/>
    </w:pPr>
    <w:rPr>
      <w:bCs/>
      <w:i/>
      <w:iCs/>
      <w:sz w:val="20"/>
      <w:szCs w:val="26"/>
    </w:rPr>
  </w:style>
  <w:style w:type="paragraph" w:styleId="Heading6">
    <w:name w:val="heading 6"/>
    <w:basedOn w:val="HeadingBase"/>
    <w:next w:val="Normal"/>
    <w:link w:val="Heading6Char"/>
    <w:rsid w:val="00BB207D"/>
    <w:pPr>
      <w:spacing w:after="120"/>
      <w:outlineLvl w:val="5"/>
    </w:pPr>
    <w:rPr>
      <w:bCs/>
      <w:sz w:val="20"/>
      <w:szCs w:val="22"/>
    </w:rPr>
  </w:style>
  <w:style w:type="paragraph" w:styleId="Heading7">
    <w:name w:val="heading 7"/>
    <w:basedOn w:val="HeadingBase"/>
    <w:next w:val="Normal"/>
    <w:link w:val="Heading7Char"/>
    <w:rsid w:val="00BB207D"/>
    <w:pPr>
      <w:spacing w:before="120"/>
      <w:outlineLvl w:val="6"/>
    </w:pPr>
    <w:rPr>
      <w:sz w:val="20"/>
      <w:szCs w:val="24"/>
    </w:rPr>
  </w:style>
  <w:style w:type="paragraph" w:styleId="Heading8">
    <w:name w:val="heading 8"/>
    <w:basedOn w:val="HeadingBase"/>
    <w:next w:val="Normal"/>
    <w:link w:val="Heading8Char"/>
    <w:rsid w:val="00BB207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607A7E"/>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4850DB"/>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val="0"/>
      <w:caps/>
      <w:color w:val="002A54" w:themeColor="text2"/>
      <w:sz w:val="24"/>
      <w:szCs w:val="20"/>
      <w:lang w:eastAsia="en-AU"/>
    </w:rPr>
  </w:style>
  <w:style w:type="paragraph" w:customStyle="1" w:styleId="SecurityClassificationFooter">
    <w:name w:val="Security Classification Footer"/>
    <w:link w:val="SecurityClassificationFooterChar"/>
    <w:rsid w:val="004850DB"/>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val="0"/>
      <w:caps/>
      <w:color w:val="002A54" w:themeColor="text2"/>
      <w:sz w:val="24"/>
      <w:szCs w:val="20"/>
      <w:lang w:eastAsia="en-AU"/>
    </w:rPr>
  </w:style>
  <w:style w:type="paragraph" w:customStyle="1" w:styleId="DLMSecurityHeader">
    <w:name w:val="DLM Security Header"/>
    <w:link w:val="DLMSecurityHeaderChar"/>
    <w:rsid w:val="004850DB"/>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E40261"/>
    <w:rPr>
      <w:rFonts w:ascii="Calibri" w:eastAsia="Times New Roman" w:hAnsi="Calibri" w:cs="Calibri"/>
      <w:b/>
      <w:i w:val="0"/>
      <w:caps/>
      <w:color w:val="002A54" w:themeColor="text2"/>
      <w:sz w:val="24"/>
      <w:szCs w:val="20"/>
      <w:lang w:eastAsia="en-AU"/>
    </w:rPr>
  </w:style>
  <w:style w:type="paragraph" w:customStyle="1" w:styleId="DLMSecurityFooter">
    <w:name w:val="DLM Security Footer"/>
    <w:link w:val="DLMSecurityFooterChar"/>
    <w:rsid w:val="004850DB"/>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E40261"/>
    <w:rPr>
      <w:rFonts w:ascii="Calibri" w:eastAsia="Times New Roman" w:hAnsi="Calibri" w:cs="Calibri"/>
      <w:b/>
      <w:i w:val="0"/>
      <w:caps/>
      <w:color w:val="002A54" w:themeColor="text2"/>
      <w:sz w:val="24"/>
      <w:szCs w:val="20"/>
      <w:lang w:eastAsia="en-AU"/>
    </w:rPr>
  </w:style>
  <w:style w:type="paragraph" w:customStyle="1" w:styleId="Classification">
    <w:name w:val="Classification"/>
    <w:basedOn w:val="HeadingBase"/>
    <w:rsid w:val="0011175D"/>
    <w:pPr>
      <w:jc w:val="center"/>
    </w:pPr>
    <w:rPr>
      <w:rFonts w:ascii="Arial Bold" w:hAnsi="Arial Bold"/>
      <w:b/>
      <w:caps/>
      <w:sz w:val="22"/>
    </w:rPr>
  </w:style>
  <w:style w:type="paragraph" w:customStyle="1" w:styleId="FileProperties">
    <w:name w:val="File Properties"/>
    <w:basedOn w:val="Normal"/>
    <w:rsid w:val="004850DB"/>
    <w:pPr>
      <w:spacing w:before="0"/>
    </w:pPr>
    <w:rPr>
      <w:i/>
    </w:rPr>
  </w:style>
  <w:style w:type="paragraph" w:customStyle="1" w:styleId="AlphaParagraph">
    <w:name w:val="Alpha Paragraph"/>
    <w:basedOn w:val="Normal"/>
    <w:rsid w:val="004850DB"/>
    <w:pPr>
      <w:numPr>
        <w:numId w:val="1"/>
      </w:numPr>
      <w:tabs>
        <w:tab w:val="clear" w:pos="567"/>
        <w:tab w:val="num" w:pos="360"/>
      </w:tabs>
    </w:pPr>
  </w:style>
  <w:style w:type="paragraph" w:customStyle="1" w:styleId="HeadingBase">
    <w:name w:val="Heading Base"/>
    <w:rsid w:val="00BB207D"/>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BB207D"/>
    <w:pPr>
      <w:spacing w:before="120" w:after="120"/>
    </w:pPr>
    <w:rPr>
      <w:b/>
      <w:sz w:val="20"/>
    </w:rPr>
  </w:style>
  <w:style w:type="character" w:customStyle="1" w:styleId="Heading6Char">
    <w:name w:val="Heading 6 Char"/>
    <w:basedOn w:val="DefaultParagraphFont"/>
    <w:link w:val="Heading6"/>
    <w:rsid w:val="00BB207D"/>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basedOn w:val="Normal"/>
    <w:qFormat/>
    <w:rsid w:val="004850DB"/>
    <w:pPr>
      <w:numPr>
        <w:numId w:val="3"/>
      </w:numPr>
      <w:spacing w:after="160"/>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4850DB"/>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D61BC8"/>
    <w:pPr>
      <w:keepNext w:val="0"/>
      <w:numPr>
        <w:numId w:val="47"/>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4850DB"/>
    <w:rPr>
      <w:sz w:val="20"/>
    </w:rPr>
  </w:style>
  <w:style w:type="paragraph" w:customStyle="1" w:styleId="ChartHeading">
    <w:name w:val="Chart Heading"/>
    <w:basedOn w:val="HeadingBase"/>
    <w:next w:val="ChartGraphic"/>
    <w:qFormat/>
    <w:rsid w:val="00BB207D"/>
    <w:pPr>
      <w:spacing w:before="120" w:after="20"/>
      <w:jc w:val="center"/>
    </w:pPr>
    <w:rPr>
      <w:b/>
      <w:sz w:val="20"/>
    </w:rPr>
  </w:style>
  <w:style w:type="paragraph" w:customStyle="1" w:styleId="ChartMainHeading">
    <w:name w:val="Chart Main Heading"/>
    <w:basedOn w:val="Normal"/>
    <w:next w:val="ChartGraphic"/>
    <w:rsid w:val="004850DB"/>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4850DB"/>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4850DB"/>
    <w:pPr>
      <w:spacing w:after="720"/>
      <w:outlineLvl w:val="9"/>
    </w:pPr>
  </w:style>
  <w:style w:type="paragraph" w:customStyle="1" w:styleId="ContentsnoToC">
    <w:name w:val="Contents no ToC"/>
    <w:basedOn w:val="ContentsHeading"/>
    <w:rsid w:val="00BB207D"/>
  </w:style>
  <w:style w:type="paragraph" w:customStyle="1" w:styleId="Dash">
    <w:name w:val="Dash"/>
    <w:basedOn w:val="Normal"/>
    <w:qFormat/>
    <w:rsid w:val="00BB207D"/>
    <w:pPr>
      <w:numPr>
        <w:ilvl w:val="1"/>
        <w:numId w:val="4"/>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4"/>
      </w:numPr>
      <w:tabs>
        <w:tab w:val="clear" w:pos="850"/>
        <w:tab w:val="num" w:pos="36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4850DB"/>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4850DB"/>
    <w:pPr>
      <w:pBdr>
        <w:top w:val="single" w:sz="4" w:space="10" w:color="002A54" w:themeColor="text2"/>
      </w:pBdr>
      <w:jc w:val="left"/>
    </w:pPr>
    <w:rPr>
      <w:sz w:val="18"/>
    </w:rPr>
  </w:style>
  <w:style w:type="paragraph" w:customStyle="1" w:styleId="FooterOdd">
    <w:name w:val="Footer Odd"/>
    <w:basedOn w:val="Footer"/>
    <w:qFormat/>
    <w:rsid w:val="00D61BC8"/>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4850DB"/>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1D33D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4850DB"/>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BB207D"/>
  </w:style>
  <w:style w:type="paragraph" w:customStyle="1" w:styleId="HeaderOdd">
    <w:name w:val="Header Odd"/>
    <w:basedOn w:val="HeaderBase"/>
    <w:rsid w:val="00BB207D"/>
    <w:pPr>
      <w:jc w:val="right"/>
    </w:pPr>
  </w:style>
  <w:style w:type="character" w:customStyle="1" w:styleId="Heading1Char">
    <w:name w:val="Heading 1 Char"/>
    <w:basedOn w:val="DefaultParagraphFont"/>
    <w:link w:val="Heading1"/>
    <w:rsid w:val="0079127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9127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B207D"/>
    <w:rPr>
      <w:rFonts w:ascii="Arial Bold" w:eastAsia="Times New Roman" w:hAnsi="Arial Bold" w:cs="Times New Roman"/>
      <w:b/>
      <w:szCs w:val="20"/>
      <w:lang w:eastAsia="en-AU"/>
    </w:rPr>
  </w:style>
  <w:style w:type="paragraph" w:customStyle="1" w:styleId="Heading3noTOC">
    <w:name w:val="Heading 3 no TOC"/>
    <w:basedOn w:val="Heading3"/>
    <w:rsid w:val="00BB207D"/>
    <w:pPr>
      <w:outlineLvl w:val="9"/>
    </w:pPr>
  </w:style>
  <w:style w:type="character" w:customStyle="1" w:styleId="Heading4Char">
    <w:name w:val="Heading 4 Char"/>
    <w:basedOn w:val="DefaultParagraphFont"/>
    <w:link w:val="Heading4"/>
    <w:rsid w:val="00BB207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D33D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B207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B207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4850DB"/>
    <w:rPr>
      <w:color w:val="auto"/>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BB207D"/>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4850DB"/>
    <w:pPr>
      <w:spacing w:before="0" w:after="0"/>
    </w:pPr>
  </w:style>
  <w:style w:type="paragraph" w:customStyle="1" w:styleId="Source">
    <w:name w:val="Source"/>
    <w:basedOn w:val="Normal"/>
    <w:rsid w:val="004850DB"/>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4850DB"/>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BB207D"/>
    <w:pPr>
      <w:jc w:val="center"/>
    </w:pPr>
  </w:style>
  <w:style w:type="paragraph" w:customStyle="1" w:styleId="TableColumnHeadingLeft">
    <w:name w:val="Table Column Heading Left"/>
    <w:basedOn w:val="TableColumnHeadingBase"/>
    <w:next w:val="Normal"/>
    <w:rsid w:val="00BB207D"/>
  </w:style>
  <w:style w:type="paragraph" w:customStyle="1" w:styleId="TableColumnHeadingRight">
    <w:name w:val="Table Column Heading Right"/>
    <w:basedOn w:val="TableColumnHeadingBase"/>
    <w:next w:val="Normal"/>
    <w:rsid w:val="00BB207D"/>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4850DB"/>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B207D"/>
    <w:pPr>
      <w:spacing w:before="120" w:after="20"/>
    </w:pPr>
    <w:rPr>
      <w:b/>
      <w:sz w:val="20"/>
    </w:rPr>
  </w:style>
  <w:style w:type="paragraph" w:customStyle="1" w:styleId="TableHeadingcontinued">
    <w:name w:val="Table Heading continued"/>
    <w:basedOn w:val="HeadingBase"/>
    <w:next w:val="TableGraphic"/>
    <w:rsid w:val="00BB207D"/>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BB207D"/>
  </w:style>
  <w:style w:type="paragraph" w:customStyle="1" w:styleId="TableTextBase">
    <w:name w:val="Table Text Base"/>
    <w:basedOn w:val="Normal"/>
    <w:rsid w:val="004850DB"/>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4850DB"/>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4850DB"/>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BB207D"/>
    <w:pPr>
      <w:spacing w:before="60" w:after="60"/>
      <w:ind w:left="1134"/>
    </w:pPr>
    <w:rPr>
      <w:rFonts w:ascii="Arial Bold" w:hAnsi="Arial Bold"/>
      <w:b/>
      <w:caps/>
      <w:spacing w:val="-10"/>
      <w:sz w:val="28"/>
    </w:rPr>
  </w:style>
  <w:style w:type="paragraph" w:customStyle="1" w:styleId="TPHeading2">
    <w:name w:val="TP Heading 2"/>
    <w:basedOn w:val="HeadingBase"/>
    <w:semiHidden/>
    <w:rsid w:val="00BB207D"/>
    <w:pPr>
      <w:ind w:left="1134"/>
    </w:pPr>
    <w:rPr>
      <w:caps/>
      <w:spacing w:val="-10"/>
      <w:sz w:val="28"/>
    </w:rPr>
  </w:style>
  <w:style w:type="paragraph" w:customStyle="1" w:styleId="TPHeading3">
    <w:name w:val="TP Heading 3"/>
    <w:basedOn w:val="HeadingBase"/>
    <w:semiHidden/>
    <w:rsid w:val="00BB207D"/>
    <w:pPr>
      <w:ind w:left="1134"/>
    </w:pPr>
    <w:rPr>
      <w:caps/>
      <w:spacing w:val="-10"/>
    </w:rPr>
  </w:style>
  <w:style w:type="paragraph" w:customStyle="1" w:styleId="TPHeading3bold">
    <w:name w:val="TP Heading 3 bold"/>
    <w:basedOn w:val="TPHeading3"/>
    <w:semiHidden/>
    <w:rsid w:val="00BB207D"/>
    <w:rPr>
      <w:rFonts w:cs="Arial"/>
      <w:b/>
      <w:sz w:val="22"/>
      <w:szCs w:val="22"/>
    </w:rPr>
  </w:style>
  <w:style w:type="paragraph" w:customStyle="1" w:styleId="TPHEADING3boldspace">
    <w:name w:val="TP HEADING 3 bold space"/>
    <w:basedOn w:val="TPHeading3bold"/>
    <w:semiHidden/>
    <w:rsid w:val="00BB207D"/>
    <w:pPr>
      <w:spacing w:after="120"/>
    </w:pPr>
  </w:style>
  <w:style w:type="paragraph" w:customStyle="1" w:styleId="TPHEADING3space">
    <w:name w:val="TP HEADING 3 space"/>
    <w:basedOn w:val="TPHeading3"/>
    <w:semiHidden/>
    <w:rsid w:val="00BB207D"/>
    <w:pPr>
      <w:spacing w:before="120" w:after="120"/>
    </w:pPr>
    <w:rPr>
      <w:rFonts w:cs="Arial"/>
      <w:sz w:val="22"/>
      <w:szCs w:val="22"/>
    </w:rPr>
  </w:style>
  <w:style w:type="paragraph" w:customStyle="1" w:styleId="TPHeading4">
    <w:name w:val="TP Heading 4"/>
    <w:basedOn w:val="TPHeading3"/>
    <w:semiHidden/>
    <w:rsid w:val="00BB207D"/>
    <w:rPr>
      <w:sz w:val="20"/>
    </w:rPr>
  </w:style>
  <w:style w:type="paragraph" w:customStyle="1" w:styleId="TPHEADING4space">
    <w:name w:val="TP HEADING 4 space"/>
    <w:basedOn w:val="TPHEADING3space"/>
    <w:semiHidden/>
    <w:rsid w:val="00BB207D"/>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character" w:styleId="UnresolvedMention">
    <w:name w:val="Unresolved Mention"/>
    <w:basedOn w:val="DefaultParagraphFont"/>
    <w:uiPriority w:val="99"/>
    <w:semiHidden/>
    <w:unhideWhenUsed/>
    <w:rsid w:val="009175F2"/>
    <w:rPr>
      <w:color w:val="605E5C"/>
      <w:shd w:val="clear" w:color="auto" w:fill="E1DFDD"/>
    </w:rPr>
  </w:style>
  <w:style w:type="paragraph" w:styleId="Revision">
    <w:name w:val="Revision"/>
    <w:hidden/>
    <w:uiPriority w:val="99"/>
    <w:semiHidden/>
    <w:rsid w:val="009175F2"/>
    <w:pPr>
      <w:spacing w:after="0" w:line="240" w:lineRule="auto"/>
    </w:pPr>
    <w:rPr>
      <w:rFonts w:ascii="Book Antiqua" w:eastAsia="Times New Roman" w:hAnsi="Book Antiqua" w:cs="Times New Roman"/>
      <w:sz w:val="20"/>
      <w:szCs w:val="20"/>
      <w:lang w:eastAsia="en-AU"/>
    </w:rPr>
  </w:style>
  <w:style w:type="paragraph" w:styleId="NormalWeb">
    <w:name w:val="Normal (Web)"/>
    <w:basedOn w:val="Normal"/>
    <w:uiPriority w:val="99"/>
    <w:semiHidden/>
    <w:unhideWhenUsed/>
    <w:rsid w:val="009175F2"/>
    <w:rPr>
      <w:rFonts w:ascii="Times New Roman" w:hAnsi="Times New Roman"/>
      <w:sz w:val="24"/>
      <w:szCs w:val="24"/>
    </w:rPr>
  </w:style>
  <w:style w:type="character" w:styleId="Mention">
    <w:name w:val="Mention"/>
    <w:basedOn w:val="DefaultParagraphFont"/>
    <w:uiPriority w:val="99"/>
    <w:unhideWhenUsed/>
    <w:rsid w:val="000F1ECE"/>
    <w:rPr>
      <w:color w:val="2B579A"/>
      <w:shd w:val="clear" w:color="auto" w:fill="E1DFDD"/>
    </w:rPr>
  </w:style>
  <w:style w:type="character" w:customStyle="1" w:styleId="Heading9Char">
    <w:name w:val="Heading 9 Char"/>
    <w:basedOn w:val="DefaultParagraphFont"/>
    <w:link w:val="Heading9"/>
    <w:uiPriority w:val="9"/>
    <w:rsid w:val="00607A7E"/>
    <w:rPr>
      <w:rFonts w:ascii="Cambria" w:eastAsia="Times New Roman" w:hAnsi="Cambria" w:cs="Times New Roman"/>
      <w:lang w:eastAsia="en-AU"/>
    </w:rPr>
  </w:style>
  <w:style w:type="paragraph" w:customStyle="1" w:styleId="Box-continuedon">
    <w:name w:val="Box - continued on"/>
    <w:basedOn w:val="Normal"/>
    <w:qFormat/>
    <w:rsid w:val="00607A7E"/>
    <w:pPr>
      <w:jc w:val="right"/>
    </w:pPr>
    <w:rPr>
      <w:rFonts w:asciiTheme="majorHAnsi" w:hAnsiTheme="majorHAnsi" w:cstheme="majorHAnsi"/>
      <w:i/>
      <w:iCs/>
      <w:sz w:val="18"/>
      <w:szCs w:val="24"/>
    </w:rPr>
  </w:style>
  <w:style w:type="character" w:customStyle="1" w:styleId="BoxHeading-Continued">
    <w:name w:val="Box Heading - Continued"/>
    <w:uiPriority w:val="1"/>
    <w:qFormat/>
    <w:rsid w:val="00607A7E"/>
    <w:rPr>
      <w:sz w:val="16"/>
    </w:rPr>
  </w:style>
  <w:style w:type="paragraph" w:customStyle="1" w:styleId="BoxHeading2">
    <w:name w:val="Box Heading 2"/>
    <w:basedOn w:val="BoxHeading"/>
    <w:autoRedefine/>
    <w:rsid w:val="00607A7E"/>
    <w:pPr>
      <w:spacing w:after="0"/>
    </w:pPr>
    <w:rPr>
      <w:b w:val="0"/>
      <w:bCs/>
      <w:szCs w:val="14"/>
    </w:rPr>
  </w:style>
  <w:style w:type="paragraph" w:customStyle="1" w:styleId="ChartLine">
    <w:name w:val="Chart Line"/>
    <w:basedOn w:val="Normal"/>
    <w:autoRedefine/>
    <w:qFormat/>
    <w:rsid w:val="00D61BC8"/>
    <w:pPr>
      <w:pBdr>
        <w:bottom w:val="single" w:sz="4" w:space="2" w:color="626A77" w:themeColor="background2" w:themeShade="E6"/>
      </w:pBdr>
      <w:spacing w:before="0" w:line="240" w:lineRule="auto"/>
    </w:pPr>
    <w:rPr>
      <w:noProof/>
      <w:sz w:val="4"/>
      <w:szCs w:val="4"/>
    </w:rPr>
  </w:style>
  <w:style w:type="paragraph" w:styleId="NoSpacing">
    <w:name w:val="No Spacing"/>
    <w:uiPriority w:val="1"/>
    <w:qFormat/>
    <w:rsid w:val="00607A7E"/>
    <w:pPr>
      <w:spacing w:after="0" w:line="240" w:lineRule="auto"/>
    </w:pPr>
    <w:rPr>
      <w:rFonts w:eastAsia="Times New Roman" w:cs="Times New Roman"/>
      <w:sz w:val="19"/>
      <w:szCs w:val="20"/>
      <w:lang w:eastAsia="en-AU"/>
    </w:rPr>
  </w:style>
  <w:style w:type="paragraph" w:customStyle="1" w:styleId="GhostLine">
    <w:name w:val="Ghost Line"/>
    <w:basedOn w:val="NoSpacing"/>
    <w:qFormat/>
    <w:rsid w:val="00607A7E"/>
    <w:pPr>
      <w:jc w:val="both"/>
    </w:pPr>
    <w:rPr>
      <w:rFonts w:ascii="Book Antiqua" w:hAnsi="Book Antiqua"/>
      <w:sz w:val="2"/>
    </w:rPr>
  </w:style>
  <w:style w:type="paragraph" w:customStyle="1" w:styleId="Heading1-Statement">
    <w:name w:val="Heading 1 - Statement"/>
    <w:basedOn w:val="Heading1"/>
    <w:next w:val="Normal"/>
    <w:autoRedefine/>
    <w:qFormat/>
    <w:rsid w:val="00607A7E"/>
    <w:rPr>
      <w:bCs/>
      <w:color w:val="002A54" w:themeColor="text2"/>
      <w:szCs w:val="52"/>
    </w:rPr>
  </w:style>
  <w:style w:type="character" w:styleId="Strong">
    <w:name w:val="Strong"/>
    <w:basedOn w:val="DefaultParagraphFont"/>
    <w:uiPriority w:val="22"/>
    <w:qFormat/>
    <w:rsid w:val="00607A7E"/>
    <w:rPr>
      <w:b/>
      <w:bCs/>
      <w:color w:val="002A54" w:themeColor="text2"/>
    </w:rPr>
  </w:style>
  <w:style w:type="paragraph" w:customStyle="1" w:styleId="TableLine">
    <w:name w:val="Table Line"/>
    <w:basedOn w:val="Normal"/>
    <w:next w:val="Normal"/>
    <w:autoRedefine/>
    <w:rsid w:val="00D61BC8"/>
    <w:pPr>
      <w:pBdr>
        <w:bottom w:val="single" w:sz="4" w:space="2" w:color="626A77" w:themeColor="background2" w:themeShade="E6"/>
      </w:pBdr>
      <w:spacing w:before="0" w:line="240" w:lineRule="auto"/>
    </w:pPr>
    <w:rPr>
      <w:noProof/>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28">
      <w:bodyDiv w:val="1"/>
      <w:marLeft w:val="0"/>
      <w:marRight w:val="0"/>
      <w:marTop w:val="0"/>
      <w:marBottom w:val="0"/>
      <w:divBdr>
        <w:top w:val="none" w:sz="0" w:space="0" w:color="auto"/>
        <w:left w:val="none" w:sz="0" w:space="0" w:color="auto"/>
        <w:bottom w:val="none" w:sz="0" w:space="0" w:color="auto"/>
        <w:right w:val="none" w:sz="0" w:space="0" w:color="auto"/>
      </w:divBdr>
    </w:div>
    <w:div w:id="13726334">
      <w:bodyDiv w:val="1"/>
      <w:marLeft w:val="0"/>
      <w:marRight w:val="0"/>
      <w:marTop w:val="0"/>
      <w:marBottom w:val="0"/>
      <w:divBdr>
        <w:top w:val="none" w:sz="0" w:space="0" w:color="auto"/>
        <w:left w:val="none" w:sz="0" w:space="0" w:color="auto"/>
        <w:bottom w:val="none" w:sz="0" w:space="0" w:color="auto"/>
        <w:right w:val="none" w:sz="0" w:space="0" w:color="auto"/>
      </w:divBdr>
    </w:div>
    <w:div w:id="21328398">
      <w:bodyDiv w:val="1"/>
      <w:marLeft w:val="0"/>
      <w:marRight w:val="0"/>
      <w:marTop w:val="0"/>
      <w:marBottom w:val="0"/>
      <w:divBdr>
        <w:top w:val="none" w:sz="0" w:space="0" w:color="auto"/>
        <w:left w:val="none" w:sz="0" w:space="0" w:color="auto"/>
        <w:bottom w:val="none" w:sz="0" w:space="0" w:color="auto"/>
        <w:right w:val="none" w:sz="0" w:space="0" w:color="auto"/>
      </w:divBdr>
    </w:div>
    <w:div w:id="72313043">
      <w:bodyDiv w:val="1"/>
      <w:marLeft w:val="0"/>
      <w:marRight w:val="0"/>
      <w:marTop w:val="0"/>
      <w:marBottom w:val="0"/>
      <w:divBdr>
        <w:top w:val="none" w:sz="0" w:space="0" w:color="auto"/>
        <w:left w:val="none" w:sz="0" w:space="0" w:color="auto"/>
        <w:bottom w:val="none" w:sz="0" w:space="0" w:color="auto"/>
        <w:right w:val="none" w:sz="0" w:space="0" w:color="auto"/>
      </w:divBdr>
    </w:div>
    <w:div w:id="81075644">
      <w:bodyDiv w:val="1"/>
      <w:marLeft w:val="0"/>
      <w:marRight w:val="0"/>
      <w:marTop w:val="0"/>
      <w:marBottom w:val="0"/>
      <w:divBdr>
        <w:top w:val="none" w:sz="0" w:space="0" w:color="auto"/>
        <w:left w:val="none" w:sz="0" w:space="0" w:color="auto"/>
        <w:bottom w:val="none" w:sz="0" w:space="0" w:color="auto"/>
        <w:right w:val="none" w:sz="0" w:space="0" w:color="auto"/>
      </w:divBdr>
    </w:div>
    <w:div w:id="85420118">
      <w:bodyDiv w:val="1"/>
      <w:marLeft w:val="0"/>
      <w:marRight w:val="0"/>
      <w:marTop w:val="0"/>
      <w:marBottom w:val="0"/>
      <w:divBdr>
        <w:top w:val="none" w:sz="0" w:space="0" w:color="auto"/>
        <w:left w:val="none" w:sz="0" w:space="0" w:color="auto"/>
        <w:bottom w:val="none" w:sz="0" w:space="0" w:color="auto"/>
        <w:right w:val="none" w:sz="0" w:space="0" w:color="auto"/>
      </w:divBdr>
    </w:div>
    <w:div w:id="118961085">
      <w:bodyDiv w:val="1"/>
      <w:marLeft w:val="0"/>
      <w:marRight w:val="0"/>
      <w:marTop w:val="0"/>
      <w:marBottom w:val="0"/>
      <w:divBdr>
        <w:top w:val="none" w:sz="0" w:space="0" w:color="auto"/>
        <w:left w:val="none" w:sz="0" w:space="0" w:color="auto"/>
        <w:bottom w:val="none" w:sz="0" w:space="0" w:color="auto"/>
        <w:right w:val="none" w:sz="0" w:space="0" w:color="auto"/>
      </w:divBdr>
    </w:div>
    <w:div w:id="130248390">
      <w:bodyDiv w:val="1"/>
      <w:marLeft w:val="0"/>
      <w:marRight w:val="0"/>
      <w:marTop w:val="0"/>
      <w:marBottom w:val="0"/>
      <w:divBdr>
        <w:top w:val="none" w:sz="0" w:space="0" w:color="auto"/>
        <w:left w:val="none" w:sz="0" w:space="0" w:color="auto"/>
        <w:bottom w:val="none" w:sz="0" w:space="0" w:color="auto"/>
        <w:right w:val="none" w:sz="0" w:space="0" w:color="auto"/>
      </w:divBdr>
    </w:div>
    <w:div w:id="141387797">
      <w:bodyDiv w:val="1"/>
      <w:marLeft w:val="0"/>
      <w:marRight w:val="0"/>
      <w:marTop w:val="0"/>
      <w:marBottom w:val="0"/>
      <w:divBdr>
        <w:top w:val="none" w:sz="0" w:space="0" w:color="auto"/>
        <w:left w:val="none" w:sz="0" w:space="0" w:color="auto"/>
        <w:bottom w:val="none" w:sz="0" w:space="0" w:color="auto"/>
        <w:right w:val="none" w:sz="0" w:space="0" w:color="auto"/>
      </w:divBdr>
    </w:div>
    <w:div w:id="169487853">
      <w:bodyDiv w:val="1"/>
      <w:marLeft w:val="0"/>
      <w:marRight w:val="0"/>
      <w:marTop w:val="0"/>
      <w:marBottom w:val="0"/>
      <w:divBdr>
        <w:top w:val="none" w:sz="0" w:space="0" w:color="auto"/>
        <w:left w:val="none" w:sz="0" w:space="0" w:color="auto"/>
        <w:bottom w:val="none" w:sz="0" w:space="0" w:color="auto"/>
        <w:right w:val="none" w:sz="0" w:space="0" w:color="auto"/>
      </w:divBdr>
    </w:div>
    <w:div w:id="219367864">
      <w:bodyDiv w:val="1"/>
      <w:marLeft w:val="0"/>
      <w:marRight w:val="0"/>
      <w:marTop w:val="0"/>
      <w:marBottom w:val="0"/>
      <w:divBdr>
        <w:top w:val="none" w:sz="0" w:space="0" w:color="auto"/>
        <w:left w:val="none" w:sz="0" w:space="0" w:color="auto"/>
        <w:bottom w:val="none" w:sz="0" w:space="0" w:color="auto"/>
        <w:right w:val="none" w:sz="0" w:space="0" w:color="auto"/>
      </w:divBdr>
    </w:div>
    <w:div w:id="235169504">
      <w:bodyDiv w:val="1"/>
      <w:marLeft w:val="0"/>
      <w:marRight w:val="0"/>
      <w:marTop w:val="0"/>
      <w:marBottom w:val="0"/>
      <w:divBdr>
        <w:top w:val="none" w:sz="0" w:space="0" w:color="auto"/>
        <w:left w:val="none" w:sz="0" w:space="0" w:color="auto"/>
        <w:bottom w:val="none" w:sz="0" w:space="0" w:color="auto"/>
        <w:right w:val="none" w:sz="0" w:space="0" w:color="auto"/>
      </w:divBdr>
    </w:div>
    <w:div w:id="264578224">
      <w:bodyDiv w:val="1"/>
      <w:marLeft w:val="0"/>
      <w:marRight w:val="0"/>
      <w:marTop w:val="0"/>
      <w:marBottom w:val="0"/>
      <w:divBdr>
        <w:top w:val="none" w:sz="0" w:space="0" w:color="auto"/>
        <w:left w:val="none" w:sz="0" w:space="0" w:color="auto"/>
        <w:bottom w:val="none" w:sz="0" w:space="0" w:color="auto"/>
        <w:right w:val="none" w:sz="0" w:space="0" w:color="auto"/>
      </w:divBdr>
    </w:div>
    <w:div w:id="289560353">
      <w:bodyDiv w:val="1"/>
      <w:marLeft w:val="0"/>
      <w:marRight w:val="0"/>
      <w:marTop w:val="0"/>
      <w:marBottom w:val="0"/>
      <w:divBdr>
        <w:top w:val="none" w:sz="0" w:space="0" w:color="auto"/>
        <w:left w:val="none" w:sz="0" w:space="0" w:color="auto"/>
        <w:bottom w:val="none" w:sz="0" w:space="0" w:color="auto"/>
        <w:right w:val="none" w:sz="0" w:space="0" w:color="auto"/>
      </w:divBdr>
    </w:div>
    <w:div w:id="299380077">
      <w:bodyDiv w:val="1"/>
      <w:marLeft w:val="0"/>
      <w:marRight w:val="0"/>
      <w:marTop w:val="0"/>
      <w:marBottom w:val="0"/>
      <w:divBdr>
        <w:top w:val="none" w:sz="0" w:space="0" w:color="auto"/>
        <w:left w:val="none" w:sz="0" w:space="0" w:color="auto"/>
        <w:bottom w:val="none" w:sz="0" w:space="0" w:color="auto"/>
        <w:right w:val="none" w:sz="0" w:space="0" w:color="auto"/>
      </w:divBdr>
    </w:div>
    <w:div w:id="338167091">
      <w:bodyDiv w:val="1"/>
      <w:marLeft w:val="0"/>
      <w:marRight w:val="0"/>
      <w:marTop w:val="0"/>
      <w:marBottom w:val="0"/>
      <w:divBdr>
        <w:top w:val="none" w:sz="0" w:space="0" w:color="auto"/>
        <w:left w:val="none" w:sz="0" w:space="0" w:color="auto"/>
        <w:bottom w:val="none" w:sz="0" w:space="0" w:color="auto"/>
        <w:right w:val="none" w:sz="0" w:space="0" w:color="auto"/>
      </w:divBdr>
    </w:div>
    <w:div w:id="364870418">
      <w:bodyDiv w:val="1"/>
      <w:marLeft w:val="0"/>
      <w:marRight w:val="0"/>
      <w:marTop w:val="0"/>
      <w:marBottom w:val="0"/>
      <w:divBdr>
        <w:top w:val="none" w:sz="0" w:space="0" w:color="auto"/>
        <w:left w:val="none" w:sz="0" w:space="0" w:color="auto"/>
        <w:bottom w:val="none" w:sz="0" w:space="0" w:color="auto"/>
        <w:right w:val="none" w:sz="0" w:space="0" w:color="auto"/>
      </w:divBdr>
    </w:div>
    <w:div w:id="371614209">
      <w:bodyDiv w:val="1"/>
      <w:marLeft w:val="0"/>
      <w:marRight w:val="0"/>
      <w:marTop w:val="0"/>
      <w:marBottom w:val="0"/>
      <w:divBdr>
        <w:top w:val="none" w:sz="0" w:space="0" w:color="auto"/>
        <w:left w:val="none" w:sz="0" w:space="0" w:color="auto"/>
        <w:bottom w:val="none" w:sz="0" w:space="0" w:color="auto"/>
        <w:right w:val="none" w:sz="0" w:space="0" w:color="auto"/>
      </w:divBdr>
    </w:div>
    <w:div w:id="412774720">
      <w:bodyDiv w:val="1"/>
      <w:marLeft w:val="0"/>
      <w:marRight w:val="0"/>
      <w:marTop w:val="0"/>
      <w:marBottom w:val="0"/>
      <w:divBdr>
        <w:top w:val="none" w:sz="0" w:space="0" w:color="auto"/>
        <w:left w:val="none" w:sz="0" w:space="0" w:color="auto"/>
        <w:bottom w:val="none" w:sz="0" w:space="0" w:color="auto"/>
        <w:right w:val="none" w:sz="0" w:space="0" w:color="auto"/>
      </w:divBdr>
    </w:div>
    <w:div w:id="429081942">
      <w:bodyDiv w:val="1"/>
      <w:marLeft w:val="0"/>
      <w:marRight w:val="0"/>
      <w:marTop w:val="0"/>
      <w:marBottom w:val="0"/>
      <w:divBdr>
        <w:top w:val="none" w:sz="0" w:space="0" w:color="auto"/>
        <w:left w:val="none" w:sz="0" w:space="0" w:color="auto"/>
        <w:bottom w:val="none" w:sz="0" w:space="0" w:color="auto"/>
        <w:right w:val="none" w:sz="0" w:space="0" w:color="auto"/>
      </w:divBdr>
    </w:div>
    <w:div w:id="490758684">
      <w:bodyDiv w:val="1"/>
      <w:marLeft w:val="0"/>
      <w:marRight w:val="0"/>
      <w:marTop w:val="0"/>
      <w:marBottom w:val="0"/>
      <w:divBdr>
        <w:top w:val="none" w:sz="0" w:space="0" w:color="auto"/>
        <w:left w:val="none" w:sz="0" w:space="0" w:color="auto"/>
        <w:bottom w:val="none" w:sz="0" w:space="0" w:color="auto"/>
        <w:right w:val="none" w:sz="0" w:space="0" w:color="auto"/>
      </w:divBdr>
    </w:div>
    <w:div w:id="500657693">
      <w:bodyDiv w:val="1"/>
      <w:marLeft w:val="0"/>
      <w:marRight w:val="0"/>
      <w:marTop w:val="0"/>
      <w:marBottom w:val="0"/>
      <w:divBdr>
        <w:top w:val="none" w:sz="0" w:space="0" w:color="auto"/>
        <w:left w:val="none" w:sz="0" w:space="0" w:color="auto"/>
        <w:bottom w:val="none" w:sz="0" w:space="0" w:color="auto"/>
        <w:right w:val="none" w:sz="0" w:space="0" w:color="auto"/>
      </w:divBdr>
    </w:div>
    <w:div w:id="519121988">
      <w:bodyDiv w:val="1"/>
      <w:marLeft w:val="0"/>
      <w:marRight w:val="0"/>
      <w:marTop w:val="0"/>
      <w:marBottom w:val="0"/>
      <w:divBdr>
        <w:top w:val="none" w:sz="0" w:space="0" w:color="auto"/>
        <w:left w:val="none" w:sz="0" w:space="0" w:color="auto"/>
        <w:bottom w:val="none" w:sz="0" w:space="0" w:color="auto"/>
        <w:right w:val="none" w:sz="0" w:space="0" w:color="auto"/>
      </w:divBdr>
    </w:div>
    <w:div w:id="521163076">
      <w:bodyDiv w:val="1"/>
      <w:marLeft w:val="0"/>
      <w:marRight w:val="0"/>
      <w:marTop w:val="0"/>
      <w:marBottom w:val="0"/>
      <w:divBdr>
        <w:top w:val="none" w:sz="0" w:space="0" w:color="auto"/>
        <w:left w:val="none" w:sz="0" w:space="0" w:color="auto"/>
        <w:bottom w:val="none" w:sz="0" w:space="0" w:color="auto"/>
        <w:right w:val="none" w:sz="0" w:space="0" w:color="auto"/>
      </w:divBdr>
    </w:div>
    <w:div w:id="577714340">
      <w:bodyDiv w:val="1"/>
      <w:marLeft w:val="0"/>
      <w:marRight w:val="0"/>
      <w:marTop w:val="0"/>
      <w:marBottom w:val="0"/>
      <w:divBdr>
        <w:top w:val="none" w:sz="0" w:space="0" w:color="auto"/>
        <w:left w:val="none" w:sz="0" w:space="0" w:color="auto"/>
        <w:bottom w:val="none" w:sz="0" w:space="0" w:color="auto"/>
        <w:right w:val="none" w:sz="0" w:space="0" w:color="auto"/>
      </w:divBdr>
    </w:div>
    <w:div w:id="618027208">
      <w:bodyDiv w:val="1"/>
      <w:marLeft w:val="0"/>
      <w:marRight w:val="0"/>
      <w:marTop w:val="0"/>
      <w:marBottom w:val="0"/>
      <w:divBdr>
        <w:top w:val="none" w:sz="0" w:space="0" w:color="auto"/>
        <w:left w:val="none" w:sz="0" w:space="0" w:color="auto"/>
        <w:bottom w:val="none" w:sz="0" w:space="0" w:color="auto"/>
        <w:right w:val="none" w:sz="0" w:space="0" w:color="auto"/>
      </w:divBdr>
    </w:div>
    <w:div w:id="655230545">
      <w:bodyDiv w:val="1"/>
      <w:marLeft w:val="0"/>
      <w:marRight w:val="0"/>
      <w:marTop w:val="0"/>
      <w:marBottom w:val="0"/>
      <w:divBdr>
        <w:top w:val="none" w:sz="0" w:space="0" w:color="auto"/>
        <w:left w:val="none" w:sz="0" w:space="0" w:color="auto"/>
        <w:bottom w:val="none" w:sz="0" w:space="0" w:color="auto"/>
        <w:right w:val="none" w:sz="0" w:space="0" w:color="auto"/>
      </w:divBdr>
    </w:div>
    <w:div w:id="670523304">
      <w:bodyDiv w:val="1"/>
      <w:marLeft w:val="0"/>
      <w:marRight w:val="0"/>
      <w:marTop w:val="0"/>
      <w:marBottom w:val="0"/>
      <w:divBdr>
        <w:top w:val="none" w:sz="0" w:space="0" w:color="auto"/>
        <w:left w:val="none" w:sz="0" w:space="0" w:color="auto"/>
        <w:bottom w:val="none" w:sz="0" w:space="0" w:color="auto"/>
        <w:right w:val="none" w:sz="0" w:space="0" w:color="auto"/>
      </w:divBdr>
    </w:div>
    <w:div w:id="676465319">
      <w:bodyDiv w:val="1"/>
      <w:marLeft w:val="0"/>
      <w:marRight w:val="0"/>
      <w:marTop w:val="0"/>
      <w:marBottom w:val="0"/>
      <w:divBdr>
        <w:top w:val="none" w:sz="0" w:space="0" w:color="auto"/>
        <w:left w:val="none" w:sz="0" w:space="0" w:color="auto"/>
        <w:bottom w:val="none" w:sz="0" w:space="0" w:color="auto"/>
        <w:right w:val="none" w:sz="0" w:space="0" w:color="auto"/>
      </w:divBdr>
    </w:div>
    <w:div w:id="689068543">
      <w:bodyDiv w:val="1"/>
      <w:marLeft w:val="0"/>
      <w:marRight w:val="0"/>
      <w:marTop w:val="0"/>
      <w:marBottom w:val="0"/>
      <w:divBdr>
        <w:top w:val="none" w:sz="0" w:space="0" w:color="auto"/>
        <w:left w:val="none" w:sz="0" w:space="0" w:color="auto"/>
        <w:bottom w:val="none" w:sz="0" w:space="0" w:color="auto"/>
        <w:right w:val="none" w:sz="0" w:space="0" w:color="auto"/>
      </w:divBdr>
    </w:div>
    <w:div w:id="702290952">
      <w:bodyDiv w:val="1"/>
      <w:marLeft w:val="0"/>
      <w:marRight w:val="0"/>
      <w:marTop w:val="0"/>
      <w:marBottom w:val="0"/>
      <w:divBdr>
        <w:top w:val="none" w:sz="0" w:space="0" w:color="auto"/>
        <w:left w:val="none" w:sz="0" w:space="0" w:color="auto"/>
        <w:bottom w:val="none" w:sz="0" w:space="0" w:color="auto"/>
        <w:right w:val="none" w:sz="0" w:space="0" w:color="auto"/>
      </w:divBdr>
    </w:div>
    <w:div w:id="718015328">
      <w:bodyDiv w:val="1"/>
      <w:marLeft w:val="0"/>
      <w:marRight w:val="0"/>
      <w:marTop w:val="0"/>
      <w:marBottom w:val="0"/>
      <w:divBdr>
        <w:top w:val="none" w:sz="0" w:space="0" w:color="auto"/>
        <w:left w:val="none" w:sz="0" w:space="0" w:color="auto"/>
        <w:bottom w:val="none" w:sz="0" w:space="0" w:color="auto"/>
        <w:right w:val="none" w:sz="0" w:space="0" w:color="auto"/>
      </w:divBdr>
    </w:div>
    <w:div w:id="740565461">
      <w:bodyDiv w:val="1"/>
      <w:marLeft w:val="0"/>
      <w:marRight w:val="0"/>
      <w:marTop w:val="0"/>
      <w:marBottom w:val="0"/>
      <w:divBdr>
        <w:top w:val="none" w:sz="0" w:space="0" w:color="auto"/>
        <w:left w:val="none" w:sz="0" w:space="0" w:color="auto"/>
        <w:bottom w:val="none" w:sz="0" w:space="0" w:color="auto"/>
        <w:right w:val="none" w:sz="0" w:space="0" w:color="auto"/>
      </w:divBdr>
    </w:div>
    <w:div w:id="783308376">
      <w:bodyDiv w:val="1"/>
      <w:marLeft w:val="0"/>
      <w:marRight w:val="0"/>
      <w:marTop w:val="0"/>
      <w:marBottom w:val="0"/>
      <w:divBdr>
        <w:top w:val="none" w:sz="0" w:space="0" w:color="auto"/>
        <w:left w:val="none" w:sz="0" w:space="0" w:color="auto"/>
        <w:bottom w:val="none" w:sz="0" w:space="0" w:color="auto"/>
        <w:right w:val="none" w:sz="0" w:space="0" w:color="auto"/>
      </w:divBdr>
    </w:div>
    <w:div w:id="789783568">
      <w:bodyDiv w:val="1"/>
      <w:marLeft w:val="0"/>
      <w:marRight w:val="0"/>
      <w:marTop w:val="0"/>
      <w:marBottom w:val="0"/>
      <w:divBdr>
        <w:top w:val="none" w:sz="0" w:space="0" w:color="auto"/>
        <w:left w:val="none" w:sz="0" w:space="0" w:color="auto"/>
        <w:bottom w:val="none" w:sz="0" w:space="0" w:color="auto"/>
        <w:right w:val="none" w:sz="0" w:space="0" w:color="auto"/>
      </w:divBdr>
    </w:div>
    <w:div w:id="811487701">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823929735">
      <w:bodyDiv w:val="1"/>
      <w:marLeft w:val="0"/>
      <w:marRight w:val="0"/>
      <w:marTop w:val="0"/>
      <w:marBottom w:val="0"/>
      <w:divBdr>
        <w:top w:val="none" w:sz="0" w:space="0" w:color="auto"/>
        <w:left w:val="none" w:sz="0" w:space="0" w:color="auto"/>
        <w:bottom w:val="none" w:sz="0" w:space="0" w:color="auto"/>
        <w:right w:val="none" w:sz="0" w:space="0" w:color="auto"/>
      </w:divBdr>
    </w:div>
    <w:div w:id="848180360">
      <w:bodyDiv w:val="1"/>
      <w:marLeft w:val="0"/>
      <w:marRight w:val="0"/>
      <w:marTop w:val="0"/>
      <w:marBottom w:val="0"/>
      <w:divBdr>
        <w:top w:val="none" w:sz="0" w:space="0" w:color="auto"/>
        <w:left w:val="none" w:sz="0" w:space="0" w:color="auto"/>
        <w:bottom w:val="none" w:sz="0" w:space="0" w:color="auto"/>
        <w:right w:val="none" w:sz="0" w:space="0" w:color="auto"/>
      </w:divBdr>
    </w:div>
    <w:div w:id="880442352">
      <w:bodyDiv w:val="1"/>
      <w:marLeft w:val="0"/>
      <w:marRight w:val="0"/>
      <w:marTop w:val="0"/>
      <w:marBottom w:val="0"/>
      <w:divBdr>
        <w:top w:val="none" w:sz="0" w:space="0" w:color="auto"/>
        <w:left w:val="none" w:sz="0" w:space="0" w:color="auto"/>
        <w:bottom w:val="none" w:sz="0" w:space="0" w:color="auto"/>
        <w:right w:val="none" w:sz="0" w:space="0" w:color="auto"/>
      </w:divBdr>
    </w:div>
    <w:div w:id="904604150">
      <w:bodyDiv w:val="1"/>
      <w:marLeft w:val="0"/>
      <w:marRight w:val="0"/>
      <w:marTop w:val="0"/>
      <w:marBottom w:val="0"/>
      <w:divBdr>
        <w:top w:val="none" w:sz="0" w:space="0" w:color="auto"/>
        <w:left w:val="none" w:sz="0" w:space="0" w:color="auto"/>
        <w:bottom w:val="none" w:sz="0" w:space="0" w:color="auto"/>
        <w:right w:val="none" w:sz="0" w:space="0" w:color="auto"/>
      </w:divBdr>
    </w:div>
    <w:div w:id="913979066">
      <w:bodyDiv w:val="1"/>
      <w:marLeft w:val="0"/>
      <w:marRight w:val="0"/>
      <w:marTop w:val="0"/>
      <w:marBottom w:val="0"/>
      <w:divBdr>
        <w:top w:val="none" w:sz="0" w:space="0" w:color="auto"/>
        <w:left w:val="none" w:sz="0" w:space="0" w:color="auto"/>
        <w:bottom w:val="none" w:sz="0" w:space="0" w:color="auto"/>
        <w:right w:val="none" w:sz="0" w:space="0" w:color="auto"/>
      </w:divBdr>
    </w:div>
    <w:div w:id="991372747">
      <w:bodyDiv w:val="1"/>
      <w:marLeft w:val="0"/>
      <w:marRight w:val="0"/>
      <w:marTop w:val="0"/>
      <w:marBottom w:val="0"/>
      <w:divBdr>
        <w:top w:val="none" w:sz="0" w:space="0" w:color="auto"/>
        <w:left w:val="none" w:sz="0" w:space="0" w:color="auto"/>
        <w:bottom w:val="none" w:sz="0" w:space="0" w:color="auto"/>
        <w:right w:val="none" w:sz="0" w:space="0" w:color="auto"/>
      </w:divBdr>
    </w:div>
    <w:div w:id="1018000612">
      <w:bodyDiv w:val="1"/>
      <w:marLeft w:val="0"/>
      <w:marRight w:val="0"/>
      <w:marTop w:val="0"/>
      <w:marBottom w:val="0"/>
      <w:divBdr>
        <w:top w:val="none" w:sz="0" w:space="0" w:color="auto"/>
        <w:left w:val="none" w:sz="0" w:space="0" w:color="auto"/>
        <w:bottom w:val="none" w:sz="0" w:space="0" w:color="auto"/>
        <w:right w:val="none" w:sz="0" w:space="0" w:color="auto"/>
      </w:divBdr>
    </w:div>
    <w:div w:id="1129475851">
      <w:bodyDiv w:val="1"/>
      <w:marLeft w:val="0"/>
      <w:marRight w:val="0"/>
      <w:marTop w:val="0"/>
      <w:marBottom w:val="0"/>
      <w:divBdr>
        <w:top w:val="none" w:sz="0" w:space="0" w:color="auto"/>
        <w:left w:val="none" w:sz="0" w:space="0" w:color="auto"/>
        <w:bottom w:val="none" w:sz="0" w:space="0" w:color="auto"/>
        <w:right w:val="none" w:sz="0" w:space="0" w:color="auto"/>
      </w:divBdr>
    </w:div>
    <w:div w:id="1130395574">
      <w:bodyDiv w:val="1"/>
      <w:marLeft w:val="0"/>
      <w:marRight w:val="0"/>
      <w:marTop w:val="0"/>
      <w:marBottom w:val="0"/>
      <w:divBdr>
        <w:top w:val="none" w:sz="0" w:space="0" w:color="auto"/>
        <w:left w:val="none" w:sz="0" w:space="0" w:color="auto"/>
        <w:bottom w:val="none" w:sz="0" w:space="0" w:color="auto"/>
        <w:right w:val="none" w:sz="0" w:space="0" w:color="auto"/>
      </w:divBdr>
    </w:div>
    <w:div w:id="1174996282">
      <w:bodyDiv w:val="1"/>
      <w:marLeft w:val="0"/>
      <w:marRight w:val="0"/>
      <w:marTop w:val="0"/>
      <w:marBottom w:val="0"/>
      <w:divBdr>
        <w:top w:val="none" w:sz="0" w:space="0" w:color="auto"/>
        <w:left w:val="none" w:sz="0" w:space="0" w:color="auto"/>
        <w:bottom w:val="none" w:sz="0" w:space="0" w:color="auto"/>
        <w:right w:val="none" w:sz="0" w:space="0" w:color="auto"/>
      </w:divBdr>
    </w:div>
    <w:div w:id="1203178018">
      <w:bodyDiv w:val="1"/>
      <w:marLeft w:val="0"/>
      <w:marRight w:val="0"/>
      <w:marTop w:val="0"/>
      <w:marBottom w:val="0"/>
      <w:divBdr>
        <w:top w:val="none" w:sz="0" w:space="0" w:color="auto"/>
        <w:left w:val="none" w:sz="0" w:space="0" w:color="auto"/>
        <w:bottom w:val="none" w:sz="0" w:space="0" w:color="auto"/>
        <w:right w:val="none" w:sz="0" w:space="0" w:color="auto"/>
      </w:divBdr>
    </w:div>
    <w:div w:id="1226185944">
      <w:bodyDiv w:val="1"/>
      <w:marLeft w:val="0"/>
      <w:marRight w:val="0"/>
      <w:marTop w:val="0"/>
      <w:marBottom w:val="0"/>
      <w:divBdr>
        <w:top w:val="none" w:sz="0" w:space="0" w:color="auto"/>
        <w:left w:val="none" w:sz="0" w:space="0" w:color="auto"/>
        <w:bottom w:val="none" w:sz="0" w:space="0" w:color="auto"/>
        <w:right w:val="none" w:sz="0" w:space="0" w:color="auto"/>
      </w:divBdr>
    </w:div>
    <w:div w:id="1258827235">
      <w:bodyDiv w:val="1"/>
      <w:marLeft w:val="0"/>
      <w:marRight w:val="0"/>
      <w:marTop w:val="0"/>
      <w:marBottom w:val="0"/>
      <w:divBdr>
        <w:top w:val="none" w:sz="0" w:space="0" w:color="auto"/>
        <w:left w:val="none" w:sz="0" w:space="0" w:color="auto"/>
        <w:bottom w:val="none" w:sz="0" w:space="0" w:color="auto"/>
        <w:right w:val="none" w:sz="0" w:space="0" w:color="auto"/>
      </w:divBdr>
    </w:div>
    <w:div w:id="1263221947">
      <w:bodyDiv w:val="1"/>
      <w:marLeft w:val="0"/>
      <w:marRight w:val="0"/>
      <w:marTop w:val="0"/>
      <w:marBottom w:val="0"/>
      <w:divBdr>
        <w:top w:val="none" w:sz="0" w:space="0" w:color="auto"/>
        <w:left w:val="none" w:sz="0" w:space="0" w:color="auto"/>
        <w:bottom w:val="none" w:sz="0" w:space="0" w:color="auto"/>
        <w:right w:val="none" w:sz="0" w:space="0" w:color="auto"/>
      </w:divBdr>
    </w:div>
    <w:div w:id="1269778698">
      <w:bodyDiv w:val="1"/>
      <w:marLeft w:val="0"/>
      <w:marRight w:val="0"/>
      <w:marTop w:val="0"/>
      <w:marBottom w:val="0"/>
      <w:divBdr>
        <w:top w:val="none" w:sz="0" w:space="0" w:color="auto"/>
        <w:left w:val="none" w:sz="0" w:space="0" w:color="auto"/>
        <w:bottom w:val="none" w:sz="0" w:space="0" w:color="auto"/>
        <w:right w:val="none" w:sz="0" w:space="0" w:color="auto"/>
      </w:divBdr>
    </w:div>
    <w:div w:id="1271621622">
      <w:bodyDiv w:val="1"/>
      <w:marLeft w:val="0"/>
      <w:marRight w:val="0"/>
      <w:marTop w:val="0"/>
      <w:marBottom w:val="0"/>
      <w:divBdr>
        <w:top w:val="none" w:sz="0" w:space="0" w:color="auto"/>
        <w:left w:val="none" w:sz="0" w:space="0" w:color="auto"/>
        <w:bottom w:val="none" w:sz="0" w:space="0" w:color="auto"/>
        <w:right w:val="none" w:sz="0" w:space="0" w:color="auto"/>
      </w:divBdr>
    </w:div>
    <w:div w:id="1274171563">
      <w:bodyDiv w:val="1"/>
      <w:marLeft w:val="0"/>
      <w:marRight w:val="0"/>
      <w:marTop w:val="0"/>
      <w:marBottom w:val="0"/>
      <w:divBdr>
        <w:top w:val="none" w:sz="0" w:space="0" w:color="auto"/>
        <w:left w:val="none" w:sz="0" w:space="0" w:color="auto"/>
        <w:bottom w:val="none" w:sz="0" w:space="0" w:color="auto"/>
        <w:right w:val="none" w:sz="0" w:space="0" w:color="auto"/>
      </w:divBdr>
    </w:div>
    <w:div w:id="1307082392">
      <w:bodyDiv w:val="1"/>
      <w:marLeft w:val="0"/>
      <w:marRight w:val="0"/>
      <w:marTop w:val="0"/>
      <w:marBottom w:val="0"/>
      <w:divBdr>
        <w:top w:val="none" w:sz="0" w:space="0" w:color="auto"/>
        <w:left w:val="none" w:sz="0" w:space="0" w:color="auto"/>
        <w:bottom w:val="none" w:sz="0" w:space="0" w:color="auto"/>
        <w:right w:val="none" w:sz="0" w:space="0" w:color="auto"/>
      </w:divBdr>
    </w:div>
    <w:div w:id="1327243549">
      <w:bodyDiv w:val="1"/>
      <w:marLeft w:val="0"/>
      <w:marRight w:val="0"/>
      <w:marTop w:val="0"/>
      <w:marBottom w:val="0"/>
      <w:divBdr>
        <w:top w:val="none" w:sz="0" w:space="0" w:color="auto"/>
        <w:left w:val="none" w:sz="0" w:space="0" w:color="auto"/>
        <w:bottom w:val="none" w:sz="0" w:space="0" w:color="auto"/>
        <w:right w:val="none" w:sz="0" w:space="0" w:color="auto"/>
      </w:divBdr>
    </w:div>
    <w:div w:id="1340423689">
      <w:bodyDiv w:val="1"/>
      <w:marLeft w:val="0"/>
      <w:marRight w:val="0"/>
      <w:marTop w:val="0"/>
      <w:marBottom w:val="0"/>
      <w:divBdr>
        <w:top w:val="none" w:sz="0" w:space="0" w:color="auto"/>
        <w:left w:val="none" w:sz="0" w:space="0" w:color="auto"/>
        <w:bottom w:val="none" w:sz="0" w:space="0" w:color="auto"/>
        <w:right w:val="none" w:sz="0" w:space="0" w:color="auto"/>
      </w:divBdr>
    </w:div>
    <w:div w:id="1362513292">
      <w:bodyDiv w:val="1"/>
      <w:marLeft w:val="0"/>
      <w:marRight w:val="0"/>
      <w:marTop w:val="0"/>
      <w:marBottom w:val="0"/>
      <w:divBdr>
        <w:top w:val="none" w:sz="0" w:space="0" w:color="auto"/>
        <w:left w:val="none" w:sz="0" w:space="0" w:color="auto"/>
        <w:bottom w:val="none" w:sz="0" w:space="0" w:color="auto"/>
        <w:right w:val="none" w:sz="0" w:space="0" w:color="auto"/>
      </w:divBdr>
    </w:div>
    <w:div w:id="1405955010">
      <w:bodyDiv w:val="1"/>
      <w:marLeft w:val="0"/>
      <w:marRight w:val="0"/>
      <w:marTop w:val="0"/>
      <w:marBottom w:val="0"/>
      <w:divBdr>
        <w:top w:val="none" w:sz="0" w:space="0" w:color="auto"/>
        <w:left w:val="none" w:sz="0" w:space="0" w:color="auto"/>
        <w:bottom w:val="none" w:sz="0" w:space="0" w:color="auto"/>
        <w:right w:val="none" w:sz="0" w:space="0" w:color="auto"/>
      </w:divBdr>
    </w:div>
    <w:div w:id="1480731366">
      <w:bodyDiv w:val="1"/>
      <w:marLeft w:val="0"/>
      <w:marRight w:val="0"/>
      <w:marTop w:val="0"/>
      <w:marBottom w:val="0"/>
      <w:divBdr>
        <w:top w:val="none" w:sz="0" w:space="0" w:color="auto"/>
        <w:left w:val="none" w:sz="0" w:space="0" w:color="auto"/>
        <w:bottom w:val="none" w:sz="0" w:space="0" w:color="auto"/>
        <w:right w:val="none" w:sz="0" w:space="0" w:color="auto"/>
      </w:divBdr>
    </w:div>
    <w:div w:id="1483501193">
      <w:bodyDiv w:val="1"/>
      <w:marLeft w:val="0"/>
      <w:marRight w:val="0"/>
      <w:marTop w:val="0"/>
      <w:marBottom w:val="0"/>
      <w:divBdr>
        <w:top w:val="none" w:sz="0" w:space="0" w:color="auto"/>
        <w:left w:val="none" w:sz="0" w:space="0" w:color="auto"/>
        <w:bottom w:val="none" w:sz="0" w:space="0" w:color="auto"/>
        <w:right w:val="none" w:sz="0" w:space="0" w:color="auto"/>
      </w:divBdr>
    </w:div>
    <w:div w:id="1507744958">
      <w:bodyDiv w:val="1"/>
      <w:marLeft w:val="0"/>
      <w:marRight w:val="0"/>
      <w:marTop w:val="0"/>
      <w:marBottom w:val="0"/>
      <w:divBdr>
        <w:top w:val="none" w:sz="0" w:space="0" w:color="auto"/>
        <w:left w:val="none" w:sz="0" w:space="0" w:color="auto"/>
        <w:bottom w:val="none" w:sz="0" w:space="0" w:color="auto"/>
        <w:right w:val="none" w:sz="0" w:space="0" w:color="auto"/>
      </w:divBdr>
    </w:div>
    <w:div w:id="1526824315">
      <w:bodyDiv w:val="1"/>
      <w:marLeft w:val="0"/>
      <w:marRight w:val="0"/>
      <w:marTop w:val="0"/>
      <w:marBottom w:val="0"/>
      <w:divBdr>
        <w:top w:val="none" w:sz="0" w:space="0" w:color="auto"/>
        <w:left w:val="none" w:sz="0" w:space="0" w:color="auto"/>
        <w:bottom w:val="none" w:sz="0" w:space="0" w:color="auto"/>
        <w:right w:val="none" w:sz="0" w:space="0" w:color="auto"/>
      </w:divBdr>
    </w:div>
    <w:div w:id="1567764416">
      <w:bodyDiv w:val="1"/>
      <w:marLeft w:val="0"/>
      <w:marRight w:val="0"/>
      <w:marTop w:val="0"/>
      <w:marBottom w:val="0"/>
      <w:divBdr>
        <w:top w:val="none" w:sz="0" w:space="0" w:color="auto"/>
        <w:left w:val="none" w:sz="0" w:space="0" w:color="auto"/>
        <w:bottom w:val="none" w:sz="0" w:space="0" w:color="auto"/>
        <w:right w:val="none" w:sz="0" w:space="0" w:color="auto"/>
      </w:divBdr>
    </w:div>
    <w:div w:id="1580096791">
      <w:bodyDiv w:val="1"/>
      <w:marLeft w:val="0"/>
      <w:marRight w:val="0"/>
      <w:marTop w:val="0"/>
      <w:marBottom w:val="0"/>
      <w:divBdr>
        <w:top w:val="none" w:sz="0" w:space="0" w:color="auto"/>
        <w:left w:val="none" w:sz="0" w:space="0" w:color="auto"/>
        <w:bottom w:val="none" w:sz="0" w:space="0" w:color="auto"/>
        <w:right w:val="none" w:sz="0" w:space="0" w:color="auto"/>
      </w:divBdr>
    </w:div>
    <w:div w:id="1593121377">
      <w:bodyDiv w:val="1"/>
      <w:marLeft w:val="0"/>
      <w:marRight w:val="0"/>
      <w:marTop w:val="0"/>
      <w:marBottom w:val="0"/>
      <w:divBdr>
        <w:top w:val="none" w:sz="0" w:space="0" w:color="auto"/>
        <w:left w:val="none" w:sz="0" w:space="0" w:color="auto"/>
        <w:bottom w:val="none" w:sz="0" w:space="0" w:color="auto"/>
        <w:right w:val="none" w:sz="0" w:space="0" w:color="auto"/>
      </w:divBdr>
    </w:div>
    <w:div w:id="1598439719">
      <w:bodyDiv w:val="1"/>
      <w:marLeft w:val="0"/>
      <w:marRight w:val="0"/>
      <w:marTop w:val="0"/>
      <w:marBottom w:val="0"/>
      <w:divBdr>
        <w:top w:val="none" w:sz="0" w:space="0" w:color="auto"/>
        <w:left w:val="none" w:sz="0" w:space="0" w:color="auto"/>
        <w:bottom w:val="none" w:sz="0" w:space="0" w:color="auto"/>
        <w:right w:val="none" w:sz="0" w:space="0" w:color="auto"/>
      </w:divBdr>
    </w:div>
    <w:div w:id="1610120630">
      <w:bodyDiv w:val="1"/>
      <w:marLeft w:val="0"/>
      <w:marRight w:val="0"/>
      <w:marTop w:val="0"/>
      <w:marBottom w:val="0"/>
      <w:divBdr>
        <w:top w:val="none" w:sz="0" w:space="0" w:color="auto"/>
        <w:left w:val="none" w:sz="0" w:space="0" w:color="auto"/>
        <w:bottom w:val="none" w:sz="0" w:space="0" w:color="auto"/>
        <w:right w:val="none" w:sz="0" w:space="0" w:color="auto"/>
      </w:divBdr>
    </w:div>
    <w:div w:id="1611007511">
      <w:bodyDiv w:val="1"/>
      <w:marLeft w:val="0"/>
      <w:marRight w:val="0"/>
      <w:marTop w:val="0"/>
      <w:marBottom w:val="0"/>
      <w:divBdr>
        <w:top w:val="none" w:sz="0" w:space="0" w:color="auto"/>
        <w:left w:val="none" w:sz="0" w:space="0" w:color="auto"/>
        <w:bottom w:val="none" w:sz="0" w:space="0" w:color="auto"/>
        <w:right w:val="none" w:sz="0" w:space="0" w:color="auto"/>
      </w:divBdr>
    </w:div>
    <w:div w:id="1624381766">
      <w:bodyDiv w:val="1"/>
      <w:marLeft w:val="0"/>
      <w:marRight w:val="0"/>
      <w:marTop w:val="0"/>
      <w:marBottom w:val="0"/>
      <w:divBdr>
        <w:top w:val="none" w:sz="0" w:space="0" w:color="auto"/>
        <w:left w:val="none" w:sz="0" w:space="0" w:color="auto"/>
        <w:bottom w:val="none" w:sz="0" w:space="0" w:color="auto"/>
        <w:right w:val="none" w:sz="0" w:space="0" w:color="auto"/>
      </w:divBdr>
    </w:div>
    <w:div w:id="1708986452">
      <w:bodyDiv w:val="1"/>
      <w:marLeft w:val="0"/>
      <w:marRight w:val="0"/>
      <w:marTop w:val="0"/>
      <w:marBottom w:val="0"/>
      <w:divBdr>
        <w:top w:val="none" w:sz="0" w:space="0" w:color="auto"/>
        <w:left w:val="none" w:sz="0" w:space="0" w:color="auto"/>
        <w:bottom w:val="none" w:sz="0" w:space="0" w:color="auto"/>
        <w:right w:val="none" w:sz="0" w:space="0" w:color="auto"/>
      </w:divBdr>
    </w:div>
    <w:div w:id="1711488383">
      <w:bodyDiv w:val="1"/>
      <w:marLeft w:val="0"/>
      <w:marRight w:val="0"/>
      <w:marTop w:val="0"/>
      <w:marBottom w:val="0"/>
      <w:divBdr>
        <w:top w:val="none" w:sz="0" w:space="0" w:color="auto"/>
        <w:left w:val="none" w:sz="0" w:space="0" w:color="auto"/>
        <w:bottom w:val="none" w:sz="0" w:space="0" w:color="auto"/>
        <w:right w:val="none" w:sz="0" w:space="0" w:color="auto"/>
      </w:divBdr>
    </w:div>
    <w:div w:id="1721173627">
      <w:bodyDiv w:val="1"/>
      <w:marLeft w:val="0"/>
      <w:marRight w:val="0"/>
      <w:marTop w:val="0"/>
      <w:marBottom w:val="0"/>
      <w:divBdr>
        <w:top w:val="none" w:sz="0" w:space="0" w:color="auto"/>
        <w:left w:val="none" w:sz="0" w:space="0" w:color="auto"/>
        <w:bottom w:val="none" w:sz="0" w:space="0" w:color="auto"/>
        <w:right w:val="none" w:sz="0" w:space="0" w:color="auto"/>
      </w:divBdr>
    </w:div>
    <w:div w:id="1730230450">
      <w:bodyDiv w:val="1"/>
      <w:marLeft w:val="0"/>
      <w:marRight w:val="0"/>
      <w:marTop w:val="0"/>
      <w:marBottom w:val="0"/>
      <w:divBdr>
        <w:top w:val="none" w:sz="0" w:space="0" w:color="auto"/>
        <w:left w:val="none" w:sz="0" w:space="0" w:color="auto"/>
        <w:bottom w:val="none" w:sz="0" w:space="0" w:color="auto"/>
        <w:right w:val="none" w:sz="0" w:space="0" w:color="auto"/>
      </w:divBdr>
    </w:div>
    <w:div w:id="1734966706">
      <w:bodyDiv w:val="1"/>
      <w:marLeft w:val="0"/>
      <w:marRight w:val="0"/>
      <w:marTop w:val="0"/>
      <w:marBottom w:val="0"/>
      <w:divBdr>
        <w:top w:val="none" w:sz="0" w:space="0" w:color="auto"/>
        <w:left w:val="none" w:sz="0" w:space="0" w:color="auto"/>
        <w:bottom w:val="none" w:sz="0" w:space="0" w:color="auto"/>
        <w:right w:val="none" w:sz="0" w:space="0" w:color="auto"/>
      </w:divBdr>
    </w:div>
    <w:div w:id="1774351073">
      <w:bodyDiv w:val="1"/>
      <w:marLeft w:val="0"/>
      <w:marRight w:val="0"/>
      <w:marTop w:val="0"/>
      <w:marBottom w:val="0"/>
      <w:divBdr>
        <w:top w:val="none" w:sz="0" w:space="0" w:color="auto"/>
        <w:left w:val="none" w:sz="0" w:space="0" w:color="auto"/>
        <w:bottom w:val="none" w:sz="0" w:space="0" w:color="auto"/>
        <w:right w:val="none" w:sz="0" w:space="0" w:color="auto"/>
      </w:divBdr>
    </w:div>
    <w:div w:id="1782605093">
      <w:bodyDiv w:val="1"/>
      <w:marLeft w:val="0"/>
      <w:marRight w:val="0"/>
      <w:marTop w:val="0"/>
      <w:marBottom w:val="0"/>
      <w:divBdr>
        <w:top w:val="none" w:sz="0" w:space="0" w:color="auto"/>
        <w:left w:val="none" w:sz="0" w:space="0" w:color="auto"/>
        <w:bottom w:val="none" w:sz="0" w:space="0" w:color="auto"/>
        <w:right w:val="none" w:sz="0" w:space="0" w:color="auto"/>
      </w:divBdr>
    </w:div>
    <w:div w:id="1808930194">
      <w:bodyDiv w:val="1"/>
      <w:marLeft w:val="0"/>
      <w:marRight w:val="0"/>
      <w:marTop w:val="0"/>
      <w:marBottom w:val="0"/>
      <w:divBdr>
        <w:top w:val="none" w:sz="0" w:space="0" w:color="auto"/>
        <w:left w:val="none" w:sz="0" w:space="0" w:color="auto"/>
        <w:bottom w:val="none" w:sz="0" w:space="0" w:color="auto"/>
        <w:right w:val="none" w:sz="0" w:space="0" w:color="auto"/>
      </w:divBdr>
    </w:div>
    <w:div w:id="1824812636">
      <w:bodyDiv w:val="1"/>
      <w:marLeft w:val="0"/>
      <w:marRight w:val="0"/>
      <w:marTop w:val="0"/>
      <w:marBottom w:val="0"/>
      <w:divBdr>
        <w:top w:val="none" w:sz="0" w:space="0" w:color="auto"/>
        <w:left w:val="none" w:sz="0" w:space="0" w:color="auto"/>
        <w:bottom w:val="none" w:sz="0" w:space="0" w:color="auto"/>
        <w:right w:val="none" w:sz="0" w:space="0" w:color="auto"/>
      </w:divBdr>
    </w:div>
    <w:div w:id="1851336430">
      <w:bodyDiv w:val="1"/>
      <w:marLeft w:val="0"/>
      <w:marRight w:val="0"/>
      <w:marTop w:val="0"/>
      <w:marBottom w:val="0"/>
      <w:divBdr>
        <w:top w:val="none" w:sz="0" w:space="0" w:color="auto"/>
        <w:left w:val="none" w:sz="0" w:space="0" w:color="auto"/>
        <w:bottom w:val="none" w:sz="0" w:space="0" w:color="auto"/>
        <w:right w:val="none" w:sz="0" w:space="0" w:color="auto"/>
      </w:divBdr>
    </w:div>
    <w:div w:id="1860969915">
      <w:bodyDiv w:val="1"/>
      <w:marLeft w:val="0"/>
      <w:marRight w:val="0"/>
      <w:marTop w:val="0"/>
      <w:marBottom w:val="0"/>
      <w:divBdr>
        <w:top w:val="none" w:sz="0" w:space="0" w:color="auto"/>
        <w:left w:val="none" w:sz="0" w:space="0" w:color="auto"/>
        <w:bottom w:val="none" w:sz="0" w:space="0" w:color="auto"/>
        <w:right w:val="none" w:sz="0" w:space="0" w:color="auto"/>
      </w:divBdr>
    </w:div>
    <w:div w:id="1866677823">
      <w:bodyDiv w:val="1"/>
      <w:marLeft w:val="0"/>
      <w:marRight w:val="0"/>
      <w:marTop w:val="0"/>
      <w:marBottom w:val="0"/>
      <w:divBdr>
        <w:top w:val="none" w:sz="0" w:space="0" w:color="auto"/>
        <w:left w:val="none" w:sz="0" w:space="0" w:color="auto"/>
        <w:bottom w:val="none" w:sz="0" w:space="0" w:color="auto"/>
        <w:right w:val="none" w:sz="0" w:space="0" w:color="auto"/>
      </w:divBdr>
    </w:div>
    <w:div w:id="1888831057">
      <w:bodyDiv w:val="1"/>
      <w:marLeft w:val="0"/>
      <w:marRight w:val="0"/>
      <w:marTop w:val="0"/>
      <w:marBottom w:val="0"/>
      <w:divBdr>
        <w:top w:val="none" w:sz="0" w:space="0" w:color="auto"/>
        <w:left w:val="none" w:sz="0" w:space="0" w:color="auto"/>
        <w:bottom w:val="none" w:sz="0" w:space="0" w:color="auto"/>
        <w:right w:val="none" w:sz="0" w:space="0" w:color="auto"/>
      </w:divBdr>
    </w:div>
    <w:div w:id="1930431287">
      <w:bodyDiv w:val="1"/>
      <w:marLeft w:val="0"/>
      <w:marRight w:val="0"/>
      <w:marTop w:val="0"/>
      <w:marBottom w:val="0"/>
      <w:divBdr>
        <w:top w:val="none" w:sz="0" w:space="0" w:color="auto"/>
        <w:left w:val="none" w:sz="0" w:space="0" w:color="auto"/>
        <w:bottom w:val="none" w:sz="0" w:space="0" w:color="auto"/>
        <w:right w:val="none" w:sz="0" w:space="0" w:color="auto"/>
      </w:divBdr>
    </w:div>
    <w:div w:id="1944727947">
      <w:bodyDiv w:val="1"/>
      <w:marLeft w:val="0"/>
      <w:marRight w:val="0"/>
      <w:marTop w:val="0"/>
      <w:marBottom w:val="0"/>
      <w:divBdr>
        <w:top w:val="none" w:sz="0" w:space="0" w:color="auto"/>
        <w:left w:val="none" w:sz="0" w:space="0" w:color="auto"/>
        <w:bottom w:val="none" w:sz="0" w:space="0" w:color="auto"/>
        <w:right w:val="none" w:sz="0" w:space="0" w:color="auto"/>
      </w:divBdr>
    </w:div>
    <w:div w:id="1955671254">
      <w:bodyDiv w:val="1"/>
      <w:marLeft w:val="0"/>
      <w:marRight w:val="0"/>
      <w:marTop w:val="0"/>
      <w:marBottom w:val="0"/>
      <w:divBdr>
        <w:top w:val="none" w:sz="0" w:space="0" w:color="auto"/>
        <w:left w:val="none" w:sz="0" w:space="0" w:color="auto"/>
        <w:bottom w:val="none" w:sz="0" w:space="0" w:color="auto"/>
        <w:right w:val="none" w:sz="0" w:space="0" w:color="auto"/>
      </w:divBdr>
    </w:div>
    <w:div w:id="1972782729">
      <w:bodyDiv w:val="1"/>
      <w:marLeft w:val="0"/>
      <w:marRight w:val="0"/>
      <w:marTop w:val="0"/>
      <w:marBottom w:val="0"/>
      <w:divBdr>
        <w:top w:val="none" w:sz="0" w:space="0" w:color="auto"/>
        <w:left w:val="none" w:sz="0" w:space="0" w:color="auto"/>
        <w:bottom w:val="none" w:sz="0" w:space="0" w:color="auto"/>
        <w:right w:val="none" w:sz="0" w:space="0" w:color="auto"/>
      </w:divBdr>
    </w:div>
    <w:div w:id="1998338417">
      <w:bodyDiv w:val="1"/>
      <w:marLeft w:val="0"/>
      <w:marRight w:val="0"/>
      <w:marTop w:val="0"/>
      <w:marBottom w:val="0"/>
      <w:divBdr>
        <w:top w:val="none" w:sz="0" w:space="0" w:color="auto"/>
        <w:left w:val="none" w:sz="0" w:space="0" w:color="auto"/>
        <w:bottom w:val="none" w:sz="0" w:space="0" w:color="auto"/>
        <w:right w:val="none" w:sz="0" w:space="0" w:color="auto"/>
      </w:divBdr>
    </w:div>
    <w:div w:id="2000961523">
      <w:bodyDiv w:val="1"/>
      <w:marLeft w:val="0"/>
      <w:marRight w:val="0"/>
      <w:marTop w:val="0"/>
      <w:marBottom w:val="0"/>
      <w:divBdr>
        <w:top w:val="none" w:sz="0" w:space="0" w:color="auto"/>
        <w:left w:val="none" w:sz="0" w:space="0" w:color="auto"/>
        <w:bottom w:val="none" w:sz="0" w:space="0" w:color="auto"/>
        <w:right w:val="none" w:sz="0" w:space="0" w:color="auto"/>
      </w:divBdr>
    </w:div>
    <w:div w:id="2058432614">
      <w:bodyDiv w:val="1"/>
      <w:marLeft w:val="0"/>
      <w:marRight w:val="0"/>
      <w:marTop w:val="0"/>
      <w:marBottom w:val="0"/>
      <w:divBdr>
        <w:top w:val="none" w:sz="0" w:space="0" w:color="auto"/>
        <w:left w:val="none" w:sz="0" w:space="0" w:color="auto"/>
        <w:bottom w:val="none" w:sz="0" w:space="0" w:color="auto"/>
        <w:right w:val="none" w:sz="0" w:space="0" w:color="auto"/>
      </w:divBdr>
    </w:div>
    <w:div w:id="2092773183">
      <w:bodyDiv w:val="1"/>
      <w:marLeft w:val="0"/>
      <w:marRight w:val="0"/>
      <w:marTop w:val="0"/>
      <w:marBottom w:val="0"/>
      <w:divBdr>
        <w:top w:val="none" w:sz="0" w:space="0" w:color="auto"/>
        <w:left w:val="none" w:sz="0" w:space="0" w:color="auto"/>
        <w:bottom w:val="none" w:sz="0" w:space="0" w:color="auto"/>
        <w:right w:val="none" w:sz="0" w:space="0" w:color="auto"/>
      </w:divBdr>
    </w:div>
    <w:div w:id="2103792305">
      <w:bodyDiv w:val="1"/>
      <w:marLeft w:val="0"/>
      <w:marRight w:val="0"/>
      <w:marTop w:val="0"/>
      <w:marBottom w:val="0"/>
      <w:divBdr>
        <w:top w:val="none" w:sz="0" w:space="0" w:color="auto"/>
        <w:left w:val="none" w:sz="0" w:space="0" w:color="auto"/>
        <w:bottom w:val="none" w:sz="0" w:space="0" w:color="auto"/>
        <w:right w:val="none" w:sz="0" w:space="0" w:color="auto"/>
      </w:divBdr>
    </w:div>
    <w:div w:id="21252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5" ma:contentTypeDescription="Create a new document." ma:contentTypeScope="" ma:versionID="a11db13ca413e515761eb589cc68d577">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221823ec07f0a5cff04b66099ed6c72"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C33C-FAE0-4876-8932-57BBC5A81B47}">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2.xml><?xml version="1.0" encoding="utf-8"?>
<ds:datastoreItem xmlns:ds="http://schemas.openxmlformats.org/officeDocument/2006/customXml" ds:itemID="{951518DD-EA3D-4F1C-A98F-801A43230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441D5-FE68-4545-AF83-CAB3D582DEAF}">
  <ds:schemaRefs>
    <ds:schemaRef ds:uri="http://schemas.microsoft.com/sharepoint/v3/contenttype/forms"/>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FBO Template.dotm</Template>
  <TotalTime>322</TotalTime>
  <Pages>10</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Final Budget Outcome 2022–23</vt:lpstr>
    </vt:vector>
  </TitlesOfParts>
  <Company>Australian Government - The Treasury</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dc:title>
  <dc:subject>Part 3</dc:subject>
  <dc:creator>Australian Government</dc:creator>
  <cp:keywords/>
  <dc:description/>
  <cp:lastModifiedBy>Richardson, Tim</cp:lastModifiedBy>
  <cp:revision>214</cp:revision>
  <cp:lastPrinted>2023-09-21T03:31:00Z</cp:lastPrinted>
  <dcterms:created xsi:type="dcterms:W3CDTF">2023-09-03T01:50:00Z</dcterms:created>
  <dcterms:modified xsi:type="dcterms:W3CDTF">2023-09-21T03:32:00Z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diaServiceImageTags">
    <vt:lpwstr/>
  </property>
  <property fmtid="{D5CDD505-2E9C-101B-9397-08002B2CF9AE}" pid="6" name="metadataUpdateName">
    <vt:lpwstr>2022-23 FBO</vt:lpwstr>
  </property>
  <property fmtid="{D5CDD505-2E9C-101B-9397-08002B2CF9AE}" pid="7" name="metadataStatementName">
    <vt:lpwstr>Part 3</vt:lpwstr>
  </property>
  <property fmtid="{D5CDD505-2E9C-101B-9397-08002B2CF9AE}" pid="8" name="metadataCoordinator">
    <vt:lpwstr>Alyyar Khan (x2491)</vt:lpwstr>
  </property>
  <property fmtid="{D5CDD505-2E9C-101B-9397-08002B2CF9AE}" pid="9" name="GlobalLastAccountabilityID">
    <vt:lpwstr>CSPD_MB3</vt:lpwstr>
  </property>
</Properties>
</file>