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DB47" w14:textId="6D8A281A" w:rsidR="00D8138E" w:rsidRPr="0008597F" w:rsidRDefault="00D8138E" w:rsidP="002E3835">
      <w:pPr>
        <w:pStyle w:val="Heading1-Statement"/>
      </w:pPr>
      <w:r w:rsidRPr="002E3835">
        <w:t>Statement</w:t>
      </w:r>
      <w:r w:rsidRPr="008C6B7C">
        <w:t xml:space="preserve"> 1</w:t>
      </w:r>
      <w:r w:rsidR="004F07D2" w:rsidRPr="008C6B7C">
        <w:t>0</w:t>
      </w:r>
      <w:r w:rsidR="002541E7">
        <w:t>:</w:t>
      </w:r>
      <w:r w:rsidRPr="008C6B7C">
        <w:br/>
      </w:r>
      <w:r w:rsidRPr="004A4E80">
        <w:t>Australian Government Budget Financial Statements</w:t>
      </w:r>
      <w:r w:rsidR="00B93519">
        <w:t xml:space="preserve"> </w:t>
      </w:r>
    </w:p>
    <w:p w14:paraId="4F363026" w14:textId="6DC01A7F" w:rsidR="00D8138E" w:rsidRDefault="00D8138E" w:rsidP="00D8138E">
      <w:r>
        <w:t xml:space="preserve">Consistent with the </w:t>
      </w:r>
      <w:r w:rsidRPr="000F153B">
        <w:rPr>
          <w:rStyle w:val="Emphasis"/>
        </w:rPr>
        <w:t>Charter of Budget Honesty Act 1998 (the Charter),</w:t>
      </w:r>
      <w:r>
        <w:t xml:space="preserve"> the Government has produced a set of financial statements for the Australian Government general government sector (GGS), the public non</w:t>
      </w:r>
      <w:r w:rsidR="00325E1E">
        <w:noBreakHyphen/>
      </w:r>
      <w:r>
        <w:t>financial corporations (PNFC) sector, the total non</w:t>
      </w:r>
      <w:r w:rsidR="00325E1E">
        <w:noBreakHyphen/>
      </w:r>
      <w:r>
        <w:t>financial public sector (NFPS) and the public financial corporations (PFC) sector. The financial statements comply with both the Australian Bureau of Statistics</w:t>
      </w:r>
      <w:r w:rsidR="00325E1E">
        <w:t>’</w:t>
      </w:r>
      <w:r>
        <w:t xml:space="preserve"> (ABS) accrual Government Finance Statistics (GFS) and Australian Accounting Standards (AAS), with departures disclosed. These statements are:</w:t>
      </w:r>
    </w:p>
    <w:p w14:paraId="6CE1F74C" w14:textId="30901D24" w:rsidR="00D8138E" w:rsidRDefault="00D8138E" w:rsidP="00D8138E">
      <w:pPr>
        <w:pStyle w:val="Bullet"/>
      </w:pPr>
      <w:r>
        <w:t>an operating statement, including other economic flows, which shows net operating balance and net lending/borrowing (fiscal balance)</w:t>
      </w:r>
    </w:p>
    <w:p w14:paraId="33D9021D" w14:textId="23BAC78B" w:rsidR="00D8138E" w:rsidRDefault="00D8138E" w:rsidP="00D8138E">
      <w:pPr>
        <w:pStyle w:val="Bullet"/>
      </w:pPr>
      <w:r>
        <w:t>a balance sheet, which shows net worth, net financial worth, net financial liabilities and</w:t>
      </w:r>
      <w:r w:rsidR="00293B94">
        <w:t> </w:t>
      </w:r>
      <w:r>
        <w:t>net</w:t>
      </w:r>
      <w:r w:rsidR="004F66CC">
        <w:t> </w:t>
      </w:r>
      <w:r>
        <w:t>debt</w:t>
      </w:r>
    </w:p>
    <w:p w14:paraId="2732F4C5" w14:textId="4F85F4B0" w:rsidR="00D8138E" w:rsidRDefault="00D8138E" w:rsidP="00D8138E">
      <w:pPr>
        <w:pStyle w:val="Bullet"/>
      </w:pPr>
      <w:r>
        <w:t>a cash flow statement, which includes the calculation of the underlying cash balance.</w:t>
      </w:r>
    </w:p>
    <w:p w14:paraId="68E4E20F" w14:textId="77777777" w:rsidR="00D8138E" w:rsidRDefault="00D8138E" w:rsidP="00D8138E">
      <w:r>
        <w:t>In addition to these general purpose statements, notes to the financial statements are required. These notes include a summary of accounting policies, disaggregated information and other disclosures required by AAS.</w:t>
      </w:r>
    </w:p>
    <w:p w14:paraId="2FC15801" w14:textId="1C748776" w:rsidR="00D8138E" w:rsidRDefault="00D8138E" w:rsidP="00D8138E">
      <w:r>
        <w:t>The statements reflect the Government</w:t>
      </w:r>
      <w:r w:rsidR="00325E1E">
        <w:t>’</w:t>
      </w:r>
      <w:r>
        <w:t>s policy that the ABS GFS remains the basis of budget accounting policy, except where AAS is applied because it provides a better conceptual basis for presenting information of relevance to users of public sector financial</w:t>
      </w:r>
      <w:r w:rsidR="004F66CC">
        <w:t> </w:t>
      </w:r>
      <w:r>
        <w:t>reports.</w:t>
      </w:r>
    </w:p>
    <w:p w14:paraId="06CE2EEC" w14:textId="4D3FAB08" w:rsidR="00D8138E" w:rsidRPr="00D66947" w:rsidRDefault="00D8138E" w:rsidP="00D8138E">
      <w:pPr>
        <w:sectPr w:rsidR="00D8138E" w:rsidRPr="00D66947" w:rsidSect="006A14AA">
          <w:headerReference w:type="even" r:id="rId11"/>
          <w:headerReference w:type="default" r:id="rId12"/>
          <w:footerReference w:type="default" r:id="rId13"/>
          <w:headerReference w:type="first" r:id="rId14"/>
          <w:footerReference w:type="first" r:id="rId15"/>
          <w:footnotePr>
            <w:numStart w:val="41"/>
          </w:footnotePr>
          <w:type w:val="oddPage"/>
          <w:pgSz w:w="11906" w:h="16838" w:code="9"/>
          <w:pgMar w:top="2835" w:right="2098" w:bottom="2466" w:left="2098" w:header="1814" w:footer="1814" w:gutter="0"/>
          <w:pgNumType w:start="349"/>
          <w:cols w:space="708"/>
          <w:titlePg/>
          <w:docGrid w:linePitch="360"/>
        </w:sectPr>
      </w:pPr>
      <w:r>
        <w:t xml:space="preserve">The Australian, state and territory governments have an agreed framework </w:t>
      </w:r>
      <w:r w:rsidR="00B63272">
        <w:t>–</w:t>
      </w:r>
      <w:r>
        <w:t xml:space="preserve"> the Uniform Presentation Framework (UPF) – for the presentation of government financial information on a basis broadly consistent with the Australian Accounting Standard </w:t>
      </w:r>
      <w:r w:rsidR="00A96E0D">
        <w:t>AASB </w:t>
      </w:r>
      <w:r>
        <w:t>1049. The</w:t>
      </w:r>
      <w:r w:rsidR="004F66CC">
        <w:t> </w:t>
      </w:r>
      <w:r>
        <w:t>financial statements are consistent with the requirements of the UP</w:t>
      </w:r>
      <w:r w:rsidR="00426E52">
        <w:t>F.</w:t>
      </w:r>
    </w:p>
    <w:p w14:paraId="293C99E6" w14:textId="77777777" w:rsidR="00D07806" w:rsidRDefault="00D07806" w:rsidP="00D8138E">
      <w:pPr>
        <w:pStyle w:val="ContentsHeading"/>
        <w:sectPr w:rsidR="00D07806" w:rsidSect="00876738">
          <w:headerReference w:type="first" r:id="rId16"/>
          <w:footerReference w:type="first" r:id="rId17"/>
          <w:footnotePr>
            <w:numStart w:val="41"/>
          </w:footnotePr>
          <w:pgSz w:w="11906" w:h="16838" w:code="9"/>
          <w:pgMar w:top="2835" w:right="2098" w:bottom="2466" w:left="2098" w:header="1814" w:footer="1814" w:gutter="0"/>
          <w:cols w:space="708"/>
          <w:titlePg/>
          <w:docGrid w:linePitch="360"/>
        </w:sectPr>
      </w:pPr>
    </w:p>
    <w:p w14:paraId="2EEAD8AB" w14:textId="77777777" w:rsidR="00D8138E" w:rsidRPr="00114578" w:rsidRDefault="00D8138E" w:rsidP="00D8138E">
      <w:pPr>
        <w:pStyle w:val="ContentsHeading"/>
      </w:pPr>
      <w:r>
        <w:lastRenderedPageBreak/>
        <w:t>Statement c</w:t>
      </w:r>
      <w:r w:rsidRPr="00114578">
        <w:t>ontents</w:t>
      </w:r>
    </w:p>
    <w:p w14:paraId="733B8DDA" w14:textId="76AEA7F8" w:rsidR="008B6489" w:rsidRDefault="00D8138E">
      <w:pPr>
        <w:pStyle w:val="TOC1"/>
        <w:rPr>
          <w:rFonts w:asciiTheme="minorHAnsi" w:eastAsiaTheme="minorEastAsia" w:hAnsiTheme="minorHAnsi" w:cstheme="minorBidi"/>
          <w:b w:val="0"/>
          <w:noProof/>
          <w:kern w:val="2"/>
          <w:sz w:val="22"/>
          <w:szCs w:val="22"/>
          <w14:ligatures w14:val="standardContextual"/>
        </w:rPr>
      </w:pPr>
      <w:r>
        <w:rPr>
          <w:bCs/>
          <w:color w:val="002A54" w:themeColor="text2"/>
          <w:kern w:val="34"/>
          <w:szCs w:val="52"/>
        </w:rPr>
        <w:fldChar w:fldCharType="begin"/>
      </w:r>
      <w:r>
        <w:rPr>
          <w:bCs/>
          <w:color w:val="002A54" w:themeColor="text2"/>
          <w:szCs w:val="52"/>
        </w:rPr>
        <w:instrText xml:space="preserve"> TOC \o “2</w:instrText>
      </w:r>
      <w:r>
        <w:rPr>
          <w:bCs/>
          <w:color w:val="002A54" w:themeColor="text2"/>
          <w:szCs w:val="52"/>
        </w:rPr>
        <w:noBreakHyphen/>
        <w:instrText xml:space="preserve">2” \h \z \t “Heading 1,1” </w:instrText>
      </w:r>
      <w:r>
        <w:rPr>
          <w:bCs/>
          <w:color w:val="002A54" w:themeColor="text2"/>
          <w:kern w:val="34"/>
          <w:szCs w:val="52"/>
        </w:rPr>
        <w:fldChar w:fldCharType="separate"/>
      </w:r>
      <w:hyperlink w:anchor="_Toc166082636" w:history="1">
        <w:r w:rsidR="008B6489" w:rsidRPr="008168A0">
          <w:rPr>
            <w:rStyle w:val="Hyperlink"/>
            <w:noProof/>
          </w:rPr>
          <w:t>Statement 10: Australian Government Budget Financial Statements</w:t>
        </w:r>
        <w:r w:rsidR="008B6489">
          <w:rPr>
            <w:noProof/>
            <w:webHidden/>
          </w:rPr>
          <w:tab/>
        </w:r>
        <w:r w:rsidR="008B6489">
          <w:rPr>
            <w:noProof/>
            <w:webHidden/>
          </w:rPr>
          <w:fldChar w:fldCharType="begin"/>
        </w:r>
        <w:r w:rsidR="008B6489">
          <w:rPr>
            <w:noProof/>
            <w:webHidden/>
          </w:rPr>
          <w:instrText xml:space="preserve"> PAGEREF _Toc166082636 \h </w:instrText>
        </w:r>
        <w:r w:rsidR="008B6489">
          <w:rPr>
            <w:noProof/>
            <w:webHidden/>
          </w:rPr>
        </w:r>
        <w:r w:rsidR="008B6489">
          <w:rPr>
            <w:noProof/>
            <w:webHidden/>
          </w:rPr>
          <w:fldChar w:fldCharType="separate"/>
        </w:r>
        <w:r w:rsidR="00407E5F">
          <w:rPr>
            <w:noProof/>
            <w:webHidden/>
          </w:rPr>
          <w:t>353</w:t>
        </w:r>
        <w:r w:rsidR="008B6489">
          <w:rPr>
            <w:noProof/>
            <w:webHidden/>
          </w:rPr>
          <w:fldChar w:fldCharType="end"/>
        </w:r>
      </w:hyperlink>
    </w:p>
    <w:p w14:paraId="4EBDCE38" w14:textId="37471C83" w:rsidR="008B6489" w:rsidRDefault="00E93018">
      <w:pPr>
        <w:pStyle w:val="TOC2"/>
        <w:rPr>
          <w:rFonts w:asciiTheme="minorHAnsi" w:eastAsiaTheme="minorEastAsia" w:hAnsiTheme="minorHAnsi" w:cstheme="minorBidi"/>
          <w:noProof/>
          <w:kern w:val="2"/>
          <w:sz w:val="22"/>
          <w:szCs w:val="22"/>
          <w14:ligatures w14:val="standardContextual"/>
        </w:rPr>
      </w:pPr>
      <w:hyperlink w:anchor="_Toc166082637" w:history="1">
        <w:r w:rsidR="008B6489" w:rsidRPr="008168A0">
          <w:rPr>
            <w:rStyle w:val="Hyperlink"/>
            <w:noProof/>
          </w:rPr>
          <w:t>Notes to the general government sector financial statements</w:t>
        </w:r>
        <w:r w:rsidR="008B6489">
          <w:rPr>
            <w:noProof/>
            <w:webHidden/>
          </w:rPr>
          <w:tab/>
        </w:r>
        <w:r w:rsidR="008B6489">
          <w:rPr>
            <w:noProof/>
            <w:webHidden/>
          </w:rPr>
          <w:fldChar w:fldCharType="begin"/>
        </w:r>
        <w:r w:rsidR="008B6489">
          <w:rPr>
            <w:noProof/>
            <w:webHidden/>
          </w:rPr>
          <w:instrText xml:space="preserve"> PAGEREF _Toc166082637 \h </w:instrText>
        </w:r>
        <w:r w:rsidR="008B6489">
          <w:rPr>
            <w:noProof/>
            <w:webHidden/>
          </w:rPr>
        </w:r>
        <w:r w:rsidR="008B6489">
          <w:rPr>
            <w:noProof/>
            <w:webHidden/>
          </w:rPr>
          <w:fldChar w:fldCharType="separate"/>
        </w:r>
        <w:r w:rsidR="00407E5F">
          <w:rPr>
            <w:noProof/>
            <w:webHidden/>
          </w:rPr>
          <w:t>369</w:t>
        </w:r>
        <w:r w:rsidR="008B6489">
          <w:rPr>
            <w:noProof/>
            <w:webHidden/>
          </w:rPr>
          <w:fldChar w:fldCharType="end"/>
        </w:r>
      </w:hyperlink>
    </w:p>
    <w:p w14:paraId="629D1515" w14:textId="0F8AFCB8" w:rsidR="008B6489" w:rsidRDefault="00E93018">
      <w:pPr>
        <w:pStyle w:val="TOC1"/>
        <w:rPr>
          <w:rFonts w:asciiTheme="minorHAnsi" w:eastAsiaTheme="minorEastAsia" w:hAnsiTheme="minorHAnsi" w:cstheme="minorBidi"/>
          <w:b w:val="0"/>
          <w:noProof/>
          <w:kern w:val="2"/>
          <w:sz w:val="22"/>
          <w:szCs w:val="22"/>
          <w14:ligatures w14:val="standardContextual"/>
        </w:rPr>
      </w:pPr>
      <w:hyperlink w:anchor="_Toc166082638" w:history="1">
        <w:r w:rsidR="008B6489" w:rsidRPr="008168A0">
          <w:rPr>
            <w:rStyle w:val="Hyperlink"/>
            <w:noProof/>
          </w:rPr>
          <w:t>Appendix A: Financial reporting standards and budget concepts</w:t>
        </w:r>
        <w:r w:rsidR="008B6489">
          <w:rPr>
            <w:noProof/>
            <w:webHidden/>
          </w:rPr>
          <w:tab/>
        </w:r>
        <w:r w:rsidR="008B6489">
          <w:rPr>
            <w:noProof/>
            <w:webHidden/>
          </w:rPr>
          <w:fldChar w:fldCharType="begin"/>
        </w:r>
        <w:r w:rsidR="008B6489">
          <w:rPr>
            <w:noProof/>
            <w:webHidden/>
          </w:rPr>
          <w:instrText xml:space="preserve"> PAGEREF _Toc166082638 \h </w:instrText>
        </w:r>
        <w:r w:rsidR="008B6489">
          <w:rPr>
            <w:noProof/>
            <w:webHidden/>
          </w:rPr>
        </w:r>
        <w:r w:rsidR="008B6489">
          <w:rPr>
            <w:noProof/>
            <w:webHidden/>
          </w:rPr>
          <w:fldChar w:fldCharType="separate"/>
        </w:r>
        <w:r w:rsidR="00407E5F">
          <w:rPr>
            <w:noProof/>
            <w:webHidden/>
          </w:rPr>
          <w:t>385</w:t>
        </w:r>
        <w:r w:rsidR="008B6489">
          <w:rPr>
            <w:noProof/>
            <w:webHidden/>
          </w:rPr>
          <w:fldChar w:fldCharType="end"/>
        </w:r>
      </w:hyperlink>
    </w:p>
    <w:p w14:paraId="3F3E9F32" w14:textId="470E082D" w:rsidR="008B6489" w:rsidRDefault="00E93018">
      <w:pPr>
        <w:pStyle w:val="TOC2"/>
        <w:rPr>
          <w:noProof/>
        </w:rPr>
      </w:pPr>
      <w:hyperlink w:anchor="_Toc166082639" w:history="1">
        <w:r w:rsidR="008B6489" w:rsidRPr="008168A0">
          <w:rPr>
            <w:rStyle w:val="Hyperlink"/>
            <w:noProof/>
          </w:rPr>
          <w:t>AASB 1049 Conceptual framework</w:t>
        </w:r>
        <w:r w:rsidR="008B6489">
          <w:rPr>
            <w:noProof/>
            <w:webHidden/>
          </w:rPr>
          <w:tab/>
        </w:r>
        <w:r w:rsidR="008B6489">
          <w:rPr>
            <w:noProof/>
            <w:webHidden/>
          </w:rPr>
          <w:fldChar w:fldCharType="begin"/>
        </w:r>
        <w:r w:rsidR="008B6489">
          <w:rPr>
            <w:noProof/>
            <w:webHidden/>
          </w:rPr>
          <w:instrText xml:space="preserve"> PAGEREF _Toc166082639 \h </w:instrText>
        </w:r>
        <w:r w:rsidR="008B6489">
          <w:rPr>
            <w:noProof/>
            <w:webHidden/>
          </w:rPr>
        </w:r>
        <w:r w:rsidR="008B6489">
          <w:rPr>
            <w:noProof/>
            <w:webHidden/>
          </w:rPr>
          <w:fldChar w:fldCharType="separate"/>
        </w:r>
        <w:r w:rsidR="00407E5F">
          <w:rPr>
            <w:noProof/>
            <w:webHidden/>
          </w:rPr>
          <w:t>385</w:t>
        </w:r>
        <w:r w:rsidR="008B6489">
          <w:rPr>
            <w:noProof/>
            <w:webHidden/>
          </w:rPr>
          <w:fldChar w:fldCharType="end"/>
        </w:r>
      </w:hyperlink>
    </w:p>
    <w:p w14:paraId="71D4FD1E" w14:textId="1973A5A0" w:rsidR="00494689" w:rsidRPr="00494689" w:rsidRDefault="00970977" w:rsidP="00970977">
      <w:pPr>
        <w:pStyle w:val="TOC1"/>
        <w:rPr>
          <w:rFonts w:eastAsiaTheme="minorEastAsia"/>
        </w:rPr>
      </w:pPr>
      <w:r w:rsidRPr="00970977">
        <w:rPr>
          <w:rFonts w:eastAsiaTheme="minorEastAsia"/>
        </w:rPr>
        <w:t>Appendix B: Assets and Liabilities</w:t>
      </w:r>
      <w:r w:rsidRPr="00970977">
        <w:rPr>
          <w:rFonts w:eastAsiaTheme="minorEastAsia"/>
        </w:rPr>
        <w:tab/>
        <w:t>393</w:t>
      </w:r>
    </w:p>
    <w:p w14:paraId="4DFE3D17" w14:textId="606E0F76" w:rsidR="00D8138E" w:rsidRPr="003B5A22" w:rsidRDefault="00D8138E" w:rsidP="00D8138E">
      <w:pPr>
        <w:sectPr w:rsidR="00D8138E" w:rsidRPr="003B5A22" w:rsidSect="00D07806">
          <w:headerReference w:type="first" r:id="rId18"/>
          <w:footerReference w:type="first" r:id="rId19"/>
          <w:footnotePr>
            <w:numStart w:val="41"/>
          </w:footnotePr>
          <w:type w:val="oddPage"/>
          <w:pgSz w:w="11906" w:h="16838" w:code="9"/>
          <w:pgMar w:top="2835" w:right="2098" w:bottom="2466" w:left="2098" w:header="1814" w:footer="1814" w:gutter="0"/>
          <w:cols w:space="708"/>
          <w:titlePg/>
          <w:docGrid w:linePitch="360"/>
        </w:sectPr>
      </w:pPr>
      <w:r>
        <w:fldChar w:fldCharType="end"/>
      </w:r>
    </w:p>
    <w:p w14:paraId="2D7A7FE9" w14:textId="73D892D2" w:rsidR="00D8138E" w:rsidRPr="00EA746C" w:rsidRDefault="00D8138E" w:rsidP="00D8138E">
      <w:pPr>
        <w:pStyle w:val="Heading1"/>
      </w:pPr>
      <w:bookmarkStart w:id="0" w:name="_Toc99020929"/>
      <w:bookmarkStart w:id="1" w:name="_Toc117278210"/>
      <w:bookmarkStart w:id="2" w:name="_Toc166082636"/>
      <w:r>
        <w:lastRenderedPageBreak/>
        <w:t>S</w:t>
      </w:r>
      <w:r w:rsidRPr="00EA746C">
        <w:t xml:space="preserve">tatement </w:t>
      </w:r>
      <w:r w:rsidR="007E2255">
        <w:t>10</w:t>
      </w:r>
      <w:r w:rsidRPr="00EA746C">
        <w:t>: Australian Government Budget Financial Statements</w:t>
      </w:r>
      <w:bookmarkEnd w:id="0"/>
      <w:bookmarkEnd w:id="1"/>
      <w:bookmarkEnd w:id="2"/>
    </w:p>
    <w:p w14:paraId="78785D51" w14:textId="5A78F2B1" w:rsidR="007B7492" w:rsidRPr="00854182" w:rsidRDefault="00A96E0D" w:rsidP="007B7492">
      <w:pPr>
        <w:pStyle w:val="TableHeading"/>
        <w:rPr>
          <w:rFonts w:eastAsiaTheme="minorHAnsi"/>
          <w:b w:val="0"/>
        </w:rPr>
      </w:pPr>
      <w:r>
        <w:t>Table </w:t>
      </w:r>
      <w:r w:rsidR="00D8138E" w:rsidRPr="00EA746C">
        <w:t>1</w:t>
      </w:r>
      <w:r w:rsidR="007E2255">
        <w:t>0</w:t>
      </w:r>
      <w:r w:rsidR="00D8138E" w:rsidRPr="00EA746C">
        <w:t>.1: Australian Government general government sector operating statemen</w:t>
      </w:r>
      <w:r w:rsidR="007B7492">
        <w:t>t</w:t>
      </w:r>
    </w:p>
    <w:tbl>
      <w:tblPr>
        <w:tblpPr w:leftFromText="180" w:rightFromText="180" w:vertAnchor="text" w:horzAnchor="margin" w:tblpY="64"/>
        <w:tblW w:w="5000" w:type="pct"/>
        <w:tblLook w:val="04A0" w:firstRow="1" w:lastRow="0" w:firstColumn="1" w:lastColumn="0" w:noHBand="0" w:noVBand="1"/>
      </w:tblPr>
      <w:tblGrid>
        <w:gridCol w:w="3116"/>
        <w:gridCol w:w="554"/>
        <w:gridCol w:w="804"/>
        <w:gridCol w:w="804"/>
        <w:gridCol w:w="804"/>
        <w:gridCol w:w="804"/>
        <w:gridCol w:w="824"/>
      </w:tblGrid>
      <w:tr w:rsidR="001274EE" w:rsidRPr="007B7492" w14:paraId="3AB73A2D" w14:textId="77777777" w:rsidTr="00170877">
        <w:trPr>
          <w:trHeight w:val="225"/>
        </w:trPr>
        <w:tc>
          <w:tcPr>
            <w:tcW w:w="2022" w:type="pct"/>
            <w:tcBorders>
              <w:top w:val="single" w:sz="4" w:space="0" w:color="293F5B"/>
              <w:left w:val="nil"/>
              <w:bottom w:val="nil"/>
              <w:right w:val="nil"/>
            </w:tcBorders>
            <w:shd w:val="clear" w:color="000000" w:fill="FFFFFF"/>
            <w:noWrap/>
            <w:vAlign w:val="center"/>
            <w:hideMark/>
          </w:tcPr>
          <w:p w14:paraId="3CA0D7B9" w14:textId="77777777" w:rsidR="007B7492" w:rsidRPr="007B7492" w:rsidRDefault="007B7492" w:rsidP="003714DF">
            <w:pPr>
              <w:pStyle w:val="TableTextLeft"/>
            </w:pPr>
            <w:r w:rsidRPr="007B7492">
              <w:t> </w:t>
            </w:r>
          </w:p>
        </w:tc>
        <w:tc>
          <w:tcPr>
            <w:tcW w:w="359" w:type="pct"/>
            <w:tcBorders>
              <w:top w:val="single" w:sz="4" w:space="0" w:color="293F5B"/>
              <w:left w:val="nil"/>
              <w:bottom w:val="nil"/>
              <w:right w:val="nil"/>
            </w:tcBorders>
            <w:shd w:val="clear" w:color="000000" w:fill="FFFFFF"/>
            <w:noWrap/>
            <w:vAlign w:val="center"/>
            <w:hideMark/>
          </w:tcPr>
          <w:p w14:paraId="0180B23F" w14:textId="77777777" w:rsidR="007B7492" w:rsidRPr="007B7492" w:rsidRDefault="007B7492" w:rsidP="007B7492">
            <w:pPr>
              <w:spacing w:before="0" w:after="0" w:line="240" w:lineRule="auto"/>
              <w:jc w:val="center"/>
              <w:rPr>
                <w:rFonts w:ascii="Arial" w:hAnsi="Arial" w:cs="Arial"/>
                <w:sz w:val="16"/>
                <w:szCs w:val="16"/>
              </w:rPr>
            </w:pPr>
            <w:r w:rsidRPr="007B7492">
              <w:rPr>
                <w:rFonts w:ascii="Arial" w:hAnsi="Arial" w:cs="Arial"/>
                <w:sz w:val="16"/>
                <w:szCs w:val="16"/>
              </w:rPr>
              <w:t> </w:t>
            </w:r>
          </w:p>
        </w:tc>
        <w:tc>
          <w:tcPr>
            <w:tcW w:w="2619" w:type="pct"/>
            <w:gridSpan w:val="5"/>
            <w:tcBorders>
              <w:top w:val="single" w:sz="4" w:space="0" w:color="293F5B"/>
              <w:left w:val="nil"/>
              <w:bottom w:val="single" w:sz="4" w:space="0" w:color="293F5B"/>
              <w:right w:val="nil"/>
            </w:tcBorders>
            <w:shd w:val="clear" w:color="auto" w:fill="auto"/>
            <w:noWrap/>
            <w:vAlign w:val="center"/>
            <w:hideMark/>
          </w:tcPr>
          <w:p w14:paraId="4142CCCA" w14:textId="77777777" w:rsidR="007B7492" w:rsidRPr="007B7492" w:rsidRDefault="007B7492" w:rsidP="006049E3">
            <w:pPr>
              <w:pStyle w:val="TableTextCentred"/>
            </w:pPr>
            <w:r w:rsidRPr="007B7492">
              <w:t>Estimates</w:t>
            </w:r>
          </w:p>
        </w:tc>
      </w:tr>
      <w:tr w:rsidR="007B7492" w:rsidRPr="007B7492" w14:paraId="00FAD1CA" w14:textId="77777777" w:rsidTr="00170877">
        <w:trPr>
          <w:trHeight w:val="225"/>
        </w:trPr>
        <w:tc>
          <w:tcPr>
            <w:tcW w:w="2022" w:type="pct"/>
            <w:tcBorders>
              <w:top w:val="nil"/>
              <w:left w:val="nil"/>
              <w:bottom w:val="nil"/>
              <w:right w:val="nil"/>
            </w:tcBorders>
            <w:shd w:val="clear" w:color="000000" w:fill="FFFFFF"/>
            <w:noWrap/>
            <w:vAlign w:val="center"/>
            <w:hideMark/>
          </w:tcPr>
          <w:p w14:paraId="223F98A8" w14:textId="77777777" w:rsidR="007B7492" w:rsidRPr="007B7492" w:rsidRDefault="007B7492" w:rsidP="003714DF">
            <w:pPr>
              <w:pStyle w:val="TableTextLeft"/>
            </w:pPr>
            <w:r w:rsidRPr="007B7492">
              <w:t> </w:t>
            </w:r>
          </w:p>
        </w:tc>
        <w:tc>
          <w:tcPr>
            <w:tcW w:w="359" w:type="pct"/>
            <w:tcBorders>
              <w:top w:val="nil"/>
              <w:left w:val="nil"/>
              <w:bottom w:val="nil"/>
              <w:right w:val="nil"/>
            </w:tcBorders>
            <w:shd w:val="clear" w:color="000000" w:fill="FFFFFF"/>
            <w:noWrap/>
            <w:vAlign w:val="center"/>
            <w:hideMark/>
          </w:tcPr>
          <w:p w14:paraId="7CD0235E" w14:textId="77777777" w:rsidR="007B7492" w:rsidRPr="007B7492" w:rsidRDefault="007B7492" w:rsidP="007B7492">
            <w:pPr>
              <w:spacing w:before="0" w:after="0" w:line="240" w:lineRule="auto"/>
              <w:jc w:val="center"/>
              <w:rPr>
                <w:rFonts w:ascii="Arial" w:hAnsi="Arial" w:cs="Arial"/>
                <w:sz w:val="16"/>
                <w:szCs w:val="16"/>
              </w:rPr>
            </w:pPr>
            <w:r w:rsidRPr="007B7492">
              <w:rPr>
                <w:rFonts w:ascii="Arial" w:hAnsi="Arial" w:cs="Arial"/>
                <w:sz w:val="16"/>
                <w:szCs w:val="16"/>
              </w:rPr>
              <w:t> </w:t>
            </w:r>
          </w:p>
        </w:tc>
        <w:tc>
          <w:tcPr>
            <w:tcW w:w="521" w:type="pct"/>
            <w:tcBorders>
              <w:top w:val="nil"/>
              <w:left w:val="nil"/>
              <w:bottom w:val="nil"/>
              <w:right w:val="nil"/>
            </w:tcBorders>
            <w:shd w:val="clear" w:color="000000" w:fill="FFFFFF"/>
            <w:noWrap/>
            <w:vAlign w:val="center"/>
            <w:hideMark/>
          </w:tcPr>
          <w:p w14:paraId="57E9D225" w14:textId="3D844E0C" w:rsidR="007B7492" w:rsidRPr="007B7492" w:rsidRDefault="007B7492" w:rsidP="00D32902">
            <w:pPr>
              <w:pStyle w:val="TableTextRight"/>
            </w:pPr>
            <w:r w:rsidRPr="007B7492">
              <w:t>2023</w:t>
            </w:r>
            <w:r w:rsidR="00325E1E">
              <w:noBreakHyphen/>
            </w:r>
            <w:r w:rsidRPr="007B7492">
              <w:t>24</w:t>
            </w:r>
          </w:p>
        </w:tc>
        <w:tc>
          <w:tcPr>
            <w:tcW w:w="521" w:type="pct"/>
            <w:tcBorders>
              <w:top w:val="nil"/>
              <w:left w:val="nil"/>
              <w:bottom w:val="nil"/>
              <w:right w:val="nil"/>
            </w:tcBorders>
            <w:shd w:val="clear" w:color="000000" w:fill="E6F2FF"/>
            <w:noWrap/>
            <w:vAlign w:val="center"/>
            <w:hideMark/>
          </w:tcPr>
          <w:p w14:paraId="402FBF2A" w14:textId="4745D06D" w:rsidR="007B7492" w:rsidRPr="007B7492" w:rsidRDefault="007B7492" w:rsidP="00D32902">
            <w:pPr>
              <w:pStyle w:val="TableTextRight"/>
            </w:pPr>
            <w:r w:rsidRPr="007B7492">
              <w:t>2024</w:t>
            </w:r>
            <w:r w:rsidR="00325E1E">
              <w:noBreakHyphen/>
            </w:r>
            <w:r w:rsidRPr="007B7492">
              <w:t>25</w:t>
            </w:r>
          </w:p>
        </w:tc>
        <w:tc>
          <w:tcPr>
            <w:tcW w:w="521" w:type="pct"/>
            <w:tcBorders>
              <w:top w:val="nil"/>
              <w:left w:val="nil"/>
              <w:bottom w:val="nil"/>
              <w:right w:val="nil"/>
            </w:tcBorders>
            <w:shd w:val="clear" w:color="000000" w:fill="FFFFFF"/>
            <w:noWrap/>
            <w:vAlign w:val="center"/>
            <w:hideMark/>
          </w:tcPr>
          <w:p w14:paraId="02C5936A" w14:textId="78F28A4A" w:rsidR="007B7492" w:rsidRPr="007B7492" w:rsidRDefault="007B7492" w:rsidP="00D32902">
            <w:pPr>
              <w:pStyle w:val="TableTextRight"/>
            </w:pPr>
            <w:r w:rsidRPr="007B7492">
              <w:t>2025</w:t>
            </w:r>
            <w:r w:rsidR="00325E1E">
              <w:noBreakHyphen/>
            </w:r>
            <w:r w:rsidRPr="007B7492">
              <w:t>26</w:t>
            </w:r>
          </w:p>
        </w:tc>
        <w:tc>
          <w:tcPr>
            <w:tcW w:w="521" w:type="pct"/>
            <w:tcBorders>
              <w:top w:val="nil"/>
              <w:left w:val="nil"/>
              <w:bottom w:val="nil"/>
              <w:right w:val="nil"/>
            </w:tcBorders>
            <w:shd w:val="clear" w:color="000000" w:fill="FFFFFF"/>
            <w:noWrap/>
            <w:vAlign w:val="center"/>
            <w:hideMark/>
          </w:tcPr>
          <w:p w14:paraId="70B50539" w14:textId="00FE2497" w:rsidR="007B7492" w:rsidRPr="007B7492" w:rsidRDefault="007B7492" w:rsidP="00D32902">
            <w:pPr>
              <w:pStyle w:val="TableTextRight"/>
            </w:pPr>
            <w:r w:rsidRPr="007B7492">
              <w:t>2026</w:t>
            </w:r>
            <w:r w:rsidR="00325E1E">
              <w:noBreakHyphen/>
            </w:r>
            <w:r w:rsidRPr="007B7492">
              <w:t>27</w:t>
            </w:r>
          </w:p>
        </w:tc>
        <w:tc>
          <w:tcPr>
            <w:tcW w:w="533" w:type="pct"/>
            <w:tcBorders>
              <w:top w:val="nil"/>
              <w:left w:val="nil"/>
              <w:bottom w:val="nil"/>
              <w:right w:val="nil"/>
            </w:tcBorders>
            <w:shd w:val="clear" w:color="000000" w:fill="FFFFFF"/>
            <w:noWrap/>
            <w:vAlign w:val="center"/>
            <w:hideMark/>
          </w:tcPr>
          <w:p w14:paraId="6B9652FE" w14:textId="797CB6F0" w:rsidR="007B7492" w:rsidRPr="007B7492" w:rsidRDefault="007B7492" w:rsidP="00D32902">
            <w:pPr>
              <w:pStyle w:val="TableTextRight"/>
              <w:rPr>
                <w:color w:val="000000"/>
              </w:rPr>
            </w:pPr>
            <w:r w:rsidRPr="007B7492">
              <w:rPr>
                <w:color w:val="000000"/>
              </w:rPr>
              <w:t>2027</w:t>
            </w:r>
            <w:r w:rsidR="00325E1E">
              <w:rPr>
                <w:color w:val="000000"/>
              </w:rPr>
              <w:noBreakHyphen/>
            </w:r>
            <w:r w:rsidRPr="007B7492">
              <w:rPr>
                <w:color w:val="000000"/>
              </w:rPr>
              <w:t>28</w:t>
            </w:r>
          </w:p>
        </w:tc>
      </w:tr>
      <w:tr w:rsidR="007B7492" w:rsidRPr="007B7492" w14:paraId="1C28315A" w14:textId="77777777" w:rsidTr="00170877">
        <w:trPr>
          <w:trHeight w:val="225"/>
        </w:trPr>
        <w:tc>
          <w:tcPr>
            <w:tcW w:w="2022" w:type="pct"/>
            <w:tcBorders>
              <w:top w:val="nil"/>
              <w:left w:val="nil"/>
              <w:bottom w:val="nil"/>
              <w:right w:val="nil"/>
            </w:tcBorders>
            <w:shd w:val="clear" w:color="000000" w:fill="FFFFFF"/>
            <w:noWrap/>
            <w:vAlign w:val="center"/>
            <w:hideMark/>
          </w:tcPr>
          <w:p w14:paraId="314EDB12" w14:textId="77777777" w:rsidR="007B7492" w:rsidRPr="007B7492" w:rsidRDefault="007B7492" w:rsidP="003714DF">
            <w:pPr>
              <w:pStyle w:val="TableTextLeft"/>
            </w:pPr>
            <w:r w:rsidRPr="007B7492">
              <w:t> </w:t>
            </w:r>
          </w:p>
        </w:tc>
        <w:tc>
          <w:tcPr>
            <w:tcW w:w="359" w:type="pct"/>
            <w:tcBorders>
              <w:top w:val="nil"/>
              <w:left w:val="nil"/>
              <w:bottom w:val="nil"/>
              <w:right w:val="nil"/>
            </w:tcBorders>
            <w:shd w:val="clear" w:color="000000" w:fill="FFFFFF"/>
            <w:noWrap/>
            <w:vAlign w:val="center"/>
            <w:hideMark/>
          </w:tcPr>
          <w:p w14:paraId="39370D38" w14:textId="77777777" w:rsidR="007B7492" w:rsidRPr="007B7492" w:rsidRDefault="007B7492" w:rsidP="00C271F9">
            <w:pPr>
              <w:pStyle w:val="TableTextCentred"/>
            </w:pPr>
            <w:r w:rsidRPr="007B7492">
              <w:t>Note</w:t>
            </w:r>
          </w:p>
        </w:tc>
        <w:tc>
          <w:tcPr>
            <w:tcW w:w="521" w:type="pct"/>
            <w:tcBorders>
              <w:top w:val="nil"/>
              <w:left w:val="nil"/>
              <w:bottom w:val="single" w:sz="4" w:space="0" w:color="293F5B"/>
              <w:right w:val="nil"/>
            </w:tcBorders>
            <w:shd w:val="clear" w:color="000000" w:fill="FFFFFF"/>
            <w:noWrap/>
            <w:vAlign w:val="center"/>
            <w:hideMark/>
          </w:tcPr>
          <w:p w14:paraId="1002EDDC" w14:textId="77777777" w:rsidR="007B7492" w:rsidRPr="007B7492" w:rsidRDefault="007B7492" w:rsidP="00D32902">
            <w:pPr>
              <w:pStyle w:val="TableTextRight"/>
              <w:rPr>
                <w:color w:val="000000"/>
              </w:rPr>
            </w:pPr>
            <w:r w:rsidRPr="007B7492">
              <w:rPr>
                <w:color w:val="000000"/>
              </w:rPr>
              <w:t>$m</w:t>
            </w:r>
          </w:p>
        </w:tc>
        <w:tc>
          <w:tcPr>
            <w:tcW w:w="521" w:type="pct"/>
            <w:tcBorders>
              <w:top w:val="nil"/>
              <w:left w:val="nil"/>
              <w:bottom w:val="single" w:sz="4" w:space="0" w:color="293F5B"/>
              <w:right w:val="nil"/>
            </w:tcBorders>
            <w:shd w:val="clear" w:color="000000" w:fill="E6F2FF"/>
            <w:noWrap/>
            <w:vAlign w:val="center"/>
            <w:hideMark/>
          </w:tcPr>
          <w:p w14:paraId="5B6BB7E2" w14:textId="77777777" w:rsidR="007B7492" w:rsidRPr="007B7492" w:rsidRDefault="007B7492" w:rsidP="00D32902">
            <w:pPr>
              <w:pStyle w:val="TableTextRight"/>
              <w:rPr>
                <w:color w:val="000000"/>
              </w:rPr>
            </w:pPr>
            <w:r w:rsidRPr="007B7492">
              <w:rPr>
                <w:color w:val="000000"/>
              </w:rPr>
              <w:t>$m</w:t>
            </w:r>
          </w:p>
        </w:tc>
        <w:tc>
          <w:tcPr>
            <w:tcW w:w="521" w:type="pct"/>
            <w:tcBorders>
              <w:top w:val="nil"/>
              <w:left w:val="nil"/>
              <w:bottom w:val="single" w:sz="4" w:space="0" w:color="293F5B"/>
              <w:right w:val="nil"/>
            </w:tcBorders>
            <w:shd w:val="clear" w:color="000000" w:fill="FFFFFF"/>
            <w:noWrap/>
            <w:vAlign w:val="center"/>
            <w:hideMark/>
          </w:tcPr>
          <w:p w14:paraId="4E7A4453" w14:textId="77777777" w:rsidR="007B7492" w:rsidRPr="007B7492" w:rsidRDefault="007B7492" w:rsidP="00D32902">
            <w:pPr>
              <w:pStyle w:val="TableTextRight"/>
              <w:rPr>
                <w:color w:val="000000"/>
              </w:rPr>
            </w:pPr>
            <w:r w:rsidRPr="007B7492">
              <w:rPr>
                <w:color w:val="000000"/>
              </w:rPr>
              <w:t>$m</w:t>
            </w:r>
          </w:p>
        </w:tc>
        <w:tc>
          <w:tcPr>
            <w:tcW w:w="521" w:type="pct"/>
            <w:tcBorders>
              <w:top w:val="nil"/>
              <w:left w:val="nil"/>
              <w:bottom w:val="single" w:sz="4" w:space="0" w:color="293F5B"/>
              <w:right w:val="nil"/>
            </w:tcBorders>
            <w:shd w:val="clear" w:color="000000" w:fill="FFFFFF"/>
            <w:noWrap/>
            <w:vAlign w:val="center"/>
            <w:hideMark/>
          </w:tcPr>
          <w:p w14:paraId="439BFB38" w14:textId="77777777" w:rsidR="007B7492" w:rsidRPr="007B7492" w:rsidRDefault="007B7492" w:rsidP="00D32902">
            <w:pPr>
              <w:pStyle w:val="TableTextRight"/>
              <w:rPr>
                <w:color w:val="000000"/>
              </w:rPr>
            </w:pPr>
            <w:r w:rsidRPr="007B7492">
              <w:rPr>
                <w:color w:val="000000"/>
              </w:rPr>
              <w:t>$m</w:t>
            </w:r>
          </w:p>
        </w:tc>
        <w:tc>
          <w:tcPr>
            <w:tcW w:w="533" w:type="pct"/>
            <w:tcBorders>
              <w:top w:val="nil"/>
              <w:left w:val="nil"/>
              <w:bottom w:val="single" w:sz="4" w:space="0" w:color="293F5B"/>
              <w:right w:val="nil"/>
            </w:tcBorders>
            <w:shd w:val="clear" w:color="000000" w:fill="FFFFFF"/>
            <w:noWrap/>
            <w:vAlign w:val="center"/>
            <w:hideMark/>
          </w:tcPr>
          <w:p w14:paraId="52016FBB" w14:textId="77777777" w:rsidR="007B7492" w:rsidRPr="007B7492" w:rsidRDefault="007B7492" w:rsidP="00D32902">
            <w:pPr>
              <w:pStyle w:val="TableTextRight"/>
              <w:rPr>
                <w:color w:val="000000"/>
              </w:rPr>
            </w:pPr>
            <w:r w:rsidRPr="007B7492">
              <w:rPr>
                <w:color w:val="000000"/>
              </w:rPr>
              <w:t>$m</w:t>
            </w:r>
          </w:p>
        </w:tc>
      </w:tr>
      <w:tr w:rsidR="007B7492" w:rsidRPr="007B7492" w14:paraId="601AB4CA" w14:textId="77777777" w:rsidTr="00170877">
        <w:trPr>
          <w:trHeight w:val="225"/>
        </w:trPr>
        <w:tc>
          <w:tcPr>
            <w:tcW w:w="2022" w:type="pct"/>
            <w:tcBorders>
              <w:top w:val="nil"/>
              <w:left w:val="nil"/>
              <w:bottom w:val="nil"/>
              <w:right w:val="nil"/>
            </w:tcBorders>
            <w:shd w:val="clear" w:color="000000" w:fill="FFFFFF"/>
            <w:noWrap/>
            <w:vAlign w:val="center"/>
            <w:hideMark/>
          </w:tcPr>
          <w:p w14:paraId="4CFA0A0F" w14:textId="77777777" w:rsidR="007B7492" w:rsidRPr="00862858" w:rsidRDefault="007B7492" w:rsidP="003714DF">
            <w:pPr>
              <w:pStyle w:val="TableTextLeft"/>
              <w:rPr>
                <w:b/>
              </w:rPr>
            </w:pPr>
            <w:r w:rsidRPr="00862858">
              <w:rPr>
                <w:b/>
              </w:rPr>
              <w:t>Revenue</w:t>
            </w:r>
          </w:p>
        </w:tc>
        <w:tc>
          <w:tcPr>
            <w:tcW w:w="359" w:type="pct"/>
            <w:tcBorders>
              <w:top w:val="nil"/>
              <w:left w:val="nil"/>
              <w:bottom w:val="nil"/>
              <w:right w:val="nil"/>
            </w:tcBorders>
            <w:shd w:val="clear" w:color="000000" w:fill="FFFFFF"/>
            <w:noWrap/>
            <w:vAlign w:val="bottom"/>
            <w:hideMark/>
          </w:tcPr>
          <w:p w14:paraId="2F60BC6A" w14:textId="77777777" w:rsidR="007B7492" w:rsidRPr="007B7492" w:rsidRDefault="007B7492"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2D28F59E" w14:textId="77777777" w:rsidR="007B7492" w:rsidRPr="007B7492" w:rsidRDefault="007B7492" w:rsidP="00D32902">
            <w:pPr>
              <w:pStyle w:val="TableTextRight"/>
              <w:rPr>
                <w:color w:val="000000"/>
              </w:rPr>
            </w:pPr>
            <w:r w:rsidRPr="007B7492">
              <w:rPr>
                <w:color w:val="000000"/>
              </w:rPr>
              <w:t> </w:t>
            </w:r>
          </w:p>
        </w:tc>
        <w:tc>
          <w:tcPr>
            <w:tcW w:w="521" w:type="pct"/>
            <w:tcBorders>
              <w:top w:val="nil"/>
              <w:left w:val="nil"/>
              <w:bottom w:val="nil"/>
              <w:right w:val="nil"/>
            </w:tcBorders>
            <w:shd w:val="clear" w:color="000000" w:fill="E6F2FF"/>
            <w:noWrap/>
            <w:vAlign w:val="center"/>
            <w:hideMark/>
          </w:tcPr>
          <w:p w14:paraId="17637057" w14:textId="77777777" w:rsidR="007B7492" w:rsidRPr="007B7492" w:rsidRDefault="007B7492" w:rsidP="00D32902">
            <w:pPr>
              <w:pStyle w:val="TableTextRight"/>
              <w:rPr>
                <w:color w:val="000000"/>
              </w:rPr>
            </w:pPr>
            <w:r w:rsidRPr="007B7492">
              <w:rPr>
                <w:color w:val="000000"/>
              </w:rPr>
              <w:t> </w:t>
            </w:r>
          </w:p>
        </w:tc>
        <w:tc>
          <w:tcPr>
            <w:tcW w:w="521" w:type="pct"/>
            <w:tcBorders>
              <w:top w:val="nil"/>
              <w:left w:val="nil"/>
              <w:bottom w:val="nil"/>
              <w:right w:val="nil"/>
            </w:tcBorders>
            <w:shd w:val="clear" w:color="000000" w:fill="FFFFFF"/>
            <w:noWrap/>
            <w:vAlign w:val="center"/>
            <w:hideMark/>
          </w:tcPr>
          <w:p w14:paraId="5CD96716" w14:textId="77777777" w:rsidR="007B7492" w:rsidRPr="007B7492" w:rsidRDefault="007B7492" w:rsidP="00D32902">
            <w:pPr>
              <w:pStyle w:val="TableTextRight"/>
              <w:rPr>
                <w:color w:val="000000"/>
              </w:rPr>
            </w:pPr>
            <w:r w:rsidRPr="007B7492">
              <w:rPr>
                <w:color w:val="000000"/>
              </w:rPr>
              <w:t> </w:t>
            </w:r>
          </w:p>
        </w:tc>
        <w:tc>
          <w:tcPr>
            <w:tcW w:w="521" w:type="pct"/>
            <w:tcBorders>
              <w:top w:val="nil"/>
              <w:left w:val="nil"/>
              <w:bottom w:val="nil"/>
              <w:right w:val="nil"/>
            </w:tcBorders>
            <w:shd w:val="clear" w:color="000000" w:fill="FFFFFF"/>
            <w:noWrap/>
            <w:vAlign w:val="center"/>
            <w:hideMark/>
          </w:tcPr>
          <w:p w14:paraId="1B549AA6" w14:textId="77777777" w:rsidR="007B7492" w:rsidRPr="007B7492" w:rsidRDefault="007B7492" w:rsidP="00D32902">
            <w:pPr>
              <w:pStyle w:val="TableTextRight"/>
              <w:rPr>
                <w:color w:val="000000"/>
              </w:rPr>
            </w:pPr>
            <w:r w:rsidRPr="007B7492">
              <w:rPr>
                <w:color w:val="000000"/>
              </w:rPr>
              <w:t> </w:t>
            </w:r>
          </w:p>
        </w:tc>
        <w:tc>
          <w:tcPr>
            <w:tcW w:w="533" w:type="pct"/>
            <w:tcBorders>
              <w:top w:val="nil"/>
              <w:left w:val="nil"/>
              <w:bottom w:val="nil"/>
              <w:right w:val="nil"/>
            </w:tcBorders>
            <w:shd w:val="clear" w:color="000000" w:fill="FFFFFF"/>
            <w:noWrap/>
            <w:vAlign w:val="center"/>
            <w:hideMark/>
          </w:tcPr>
          <w:p w14:paraId="17BD9C1D" w14:textId="77777777" w:rsidR="007B7492" w:rsidRPr="007B7492" w:rsidRDefault="007B7492" w:rsidP="00D32902">
            <w:pPr>
              <w:pStyle w:val="TableTextRight"/>
              <w:rPr>
                <w:color w:val="000000"/>
              </w:rPr>
            </w:pPr>
            <w:r w:rsidRPr="007B7492">
              <w:rPr>
                <w:color w:val="000000"/>
              </w:rPr>
              <w:t> </w:t>
            </w:r>
          </w:p>
        </w:tc>
      </w:tr>
      <w:tr w:rsidR="00B73360" w:rsidRPr="007B7492" w14:paraId="3CCD4AFC" w14:textId="77777777" w:rsidTr="00170877">
        <w:trPr>
          <w:trHeight w:val="225"/>
        </w:trPr>
        <w:tc>
          <w:tcPr>
            <w:tcW w:w="2022" w:type="pct"/>
            <w:tcBorders>
              <w:top w:val="nil"/>
              <w:left w:val="nil"/>
              <w:bottom w:val="nil"/>
              <w:right w:val="nil"/>
            </w:tcBorders>
            <w:shd w:val="clear" w:color="000000" w:fill="FFFFFF"/>
            <w:noWrap/>
            <w:vAlign w:val="center"/>
            <w:hideMark/>
          </w:tcPr>
          <w:p w14:paraId="7B968252" w14:textId="77777777" w:rsidR="00B73360" w:rsidRPr="007B7492" w:rsidRDefault="00B73360" w:rsidP="003714DF">
            <w:pPr>
              <w:pStyle w:val="TableTextLeft"/>
            </w:pPr>
            <w:r w:rsidRPr="007B7492">
              <w:t>Taxation revenue</w:t>
            </w:r>
          </w:p>
        </w:tc>
        <w:tc>
          <w:tcPr>
            <w:tcW w:w="359" w:type="pct"/>
            <w:tcBorders>
              <w:top w:val="nil"/>
              <w:left w:val="nil"/>
              <w:bottom w:val="nil"/>
              <w:right w:val="nil"/>
            </w:tcBorders>
            <w:shd w:val="clear" w:color="000000" w:fill="FFFFFF"/>
            <w:noWrap/>
            <w:vAlign w:val="center"/>
            <w:hideMark/>
          </w:tcPr>
          <w:p w14:paraId="581274EE" w14:textId="77777777" w:rsidR="00B73360" w:rsidRPr="007B7492" w:rsidRDefault="00B73360" w:rsidP="00C271F9">
            <w:pPr>
              <w:pStyle w:val="TableTextCentred"/>
            </w:pPr>
            <w:r w:rsidRPr="007B7492">
              <w:t xml:space="preserve">   3 </w:t>
            </w:r>
          </w:p>
        </w:tc>
        <w:tc>
          <w:tcPr>
            <w:tcW w:w="521" w:type="pct"/>
            <w:tcBorders>
              <w:top w:val="nil"/>
              <w:left w:val="nil"/>
              <w:bottom w:val="nil"/>
              <w:right w:val="nil"/>
            </w:tcBorders>
            <w:shd w:val="clear" w:color="000000" w:fill="FFFFFF"/>
            <w:noWrap/>
            <w:vAlign w:val="center"/>
            <w:hideMark/>
          </w:tcPr>
          <w:p w14:paraId="571CB317" w14:textId="12BC1D12" w:rsidR="00B73360" w:rsidRPr="00897CEF" w:rsidRDefault="00B73360" w:rsidP="00D32902">
            <w:pPr>
              <w:pStyle w:val="TableTextRight"/>
              <w:rPr>
                <w:rFonts w:cs="Arial"/>
                <w:color w:val="000000"/>
                <w:szCs w:val="16"/>
              </w:rPr>
            </w:pPr>
            <w:r w:rsidRPr="00897CEF">
              <w:rPr>
                <w:rFonts w:cs="Arial"/>
                <w:color w:val="000000"/>
                <w:szCs w:val="16"/>
              </w:rPr>
              <w:t>656,039</w:t>
            </w:r>
          </w:p>
        </w:tc>
        <w:tc>
          <w:tcPr>
            <w:tcW w:w="521" w:type="pct"/>
            <w:tcBorders>
              <w:top w:val="nil"/>
              <w:left w:val="nil"/>
              <w:bottom w:val="nil"/>
              <w:right w:val="nil"/>
            </w:tcBorders>
            <w:shd w:val="clear" w:color="000000" w:fill="E6F2FF"/>
            <w:noWrap/>
            <w:vAlign w:val="center"/>
            <w:hideMark/>
          </w:tcPr>
          <w:p w14:paraId="030F5107" w14:textId="7374F7A8" w:rsidR="00B73360" w:rsidRPr="00897CEF" w:rsidRDefault="00B73360" w:rsidP="00D32902">
            <w:pPr>
              <w:pStyle w:val="TableTextRight"/>
              <w:rPr>
                <w:rFonts w:cs="Arial"/>
                <w:color w:val="000000"/>
                <w:szCs w:val="16"/>
              </w:rPr>
            </w:pPr>
            <w:r w:rsidRPr="00897CEF">
              <w:rPr>
                <w:rFonts w:cs="Arial"/>
                <w:color w:val="000000"/>
                <w:szCs w:val="16"/>
              </w:rPr>
              <w:t>658,962</w:t>
            </w:r>
          </w:p>
        </w:tc>
        <w:tc>
          <w:tcPr>
            <w:tcW w:w="521" w:type="pct"/>
            <w:tcBorders>
              <w:top w:val="nil"/>
              <w:left w:val="nil"/>
              <w:bottom w:val="nil"/>
              <w:right w:val="nil"/>
            </w:tcBorders>
            <w:shd w:val="clear" w:color="000000" w:fill="FFFFFF"/>
            <w:noWrap/>
            <w:vAlign w:val="center"/>
            <w:hideMark/>
          </w:tcPr>
          <w:p w14:paraId="7DA41A95" w14:textId="6A9FB0E4" w:rsidR="00B73360" w:rsidRPr="00897CEF" w:rsidRDefault="00B73360" w:rsidP="00D32902">
            <w:pPr>
              <w:pStyle w:val="TableTextRight"/>
              <w:rPr>
                <w:rFonts w:cs="Arial"/>
                <w:color w:val="000000"/>
                <w:szCs w:val="16"/>
              </w:rPr>
            </w:pPr>
            <w:r w:rsidRPr="00897CEF">
              <w:rPr>
                <w:rFonts w:cs="Arial"/>
                <w:color w:val="000000"/>
                <w:szCs w:val="16"/>
              </w:rPr>
              <w:t>679,469</w:t>
            </w:r>
          </w:p>
        </w:tc>
        <w:tc>
          <w:tcPr>
            <w:tcW w:w="521" w:type="pct"/>
            <w:tcBorders>
              <w:top w:val="nil"/>
              <w:left w:val="nil"/>
              <w:bottom w:val="nil"/>
              <w:right w:val="nil"/>
            </w:tcBorders>
            <w:shd w:val="clear" w:color="000000" w:fill="FFFFFF"/>
            <w:noWrap/>
            <w:vAlign w:val="center"/>
            <w:hideMark/>
          </w:tcPr>
          <w:p w14:paraId="1B9CCA4F" w14:textId="636EA6EB" w:rsidR="00B73360" w:rsidRPr="00897CEF" w:rsidRDefault="00B73360" w:rsidP="00D32902">
            <w:pPr>
              <w:pStyle w:val="TableTextRight"/>
              <w:rPr>
                <w:rFonts w:cs="Arial"/>
                <w:color w:val="000000"/>
                <w:szCs w:val="16"/>
              </w:rPr>
            </w:pPr>
            <w:r w:rsidRPr="00897CEF">
              <w:rPr>
                <w:rFonts w:cs="Arial"/>
                <w:color w:val="000000"/>
                <w:szCs w:val="16"/>
              </w:rPr>
              <w:t>721,170</w:t>
            </w:r>
          </w:p>
        </w:tc>
        <w:tc>
          <w:tcPr>
            <w:tcW w:w="533" w:type="pct"/>
            <w:tcBorders>
              <w:top w:val="nil"/>
              <w:left w:val="nil"/>
              <w:bottom w:val="nil"/>
              <w:right w:val="nil"/>
            </w:tcBorders>
            <w:shd w:val="clear" w:color="000000" w:fill="FFFFFF"/>
            <w:noWrap/>
            <w:vAlign w:val="center"/>
            <w:hideMark/>
          </w:tcPr>
          <w:p w14:paraId="6909ECC6" w14:textId="3E25A242" w:rsidR="00B73360" w:rsidRPr="00897CEF" w:rsidRDefault="00B73360" w:rsidP="00D32902">
            <w:pPr>
              <w:pStyle w:val="TableTextRight"/>
              <w:rPr>
                <w:rFonts w:cs="Arial"/>
                <w:color w:val="000000"/>
                <w:szCs w:val="16"/>
              </w:rPr>
            </w:pPr>
            <w:r w:rsidRPr="00897CEF">
              <w:rPr>
                <w:rFonts w:cs="Arial"/>
                <w:color w:val="000000"/>
                <w:szCs w:val="16"/>
              </w:rPr>
              <w:t>762,990</w:t>
            </w:r>
          </w:p>
        </w:tc>
      </w:tr>
      <w:tr w:rsidR="00B73360" w:rsidRPr="007B7492" w14:paraId="47BEC274" w14:textId="77777777" w:rsidTr="00170877">
        <w:trPr>
          <w:trHeight w:val="225"/>
        </w:trPr>
        <w:tc>
          <w:tcPr>
            <w:tcW w:w="2022" w:type="pct"/>
            <w:tcBorders>
              <w:top w:val="nil"/>
              <w:left w:val="nil"/>
              <w:bottom w:val="nil"/>
              <w:right w:val="nil"/>
            </w:tcBorders>
            <w:shd w:val="clear" w:color="000000" w:fill="FFFFFF"/>
            <w:noWrap/>
            <w:vAlign w:val="center"/>
            <w:hideMark/>
          </w:tcPr>
          <w:p w14:paraId="2AC28455" w14:textId="77777777" w:rsidR="00B73360" w:rsidRPr="007B7492" w:rsidRDefault="00B73360" w:rsidP="003714DF">
            <w:pPr>
              <w:pStyle w:val="TableTextLeft"/>
            </w:pPr>
            <w:r w:rsidRPr="007B7492">
              <w:t>Sales of goods and services</w:t>
            </w:r>
          </w:p>
        </w:tc>
        <w:tc>
          <w:tcPr>
            <w:tcW w:w="359" w:type="pct"/>
            <w:tcBorders>
              <w:top w:val="nil"/>
              <w:left w:val="nil"/>
              <w:bottom w:val="nil"/>
              <w:right w:val="nil"/>
            </w:tcBorders>
            <w:shd w:val="clear" w:color="000000" w:fill="FFFFFF"/>
            <w:noWrap/>
            <w:vAlign w:val="center"/>
            <w:hideMark/>
          </w:tcPr>
          <w:p w14:paraId="035B821B" w14:textId="77777777" w:rsidR="00B73360" w:rsidRPr="007B7492" w:rsidRDefault="00B73360" w:rsidP="00C271F9">
            <w:pPr>
              <w:pStyle w:val="TableTextCentred"/>
            </w:pPr>
            <w:r w:rsidRPr="007B7492">
              <w:t xml:space="preserve">   4 </w:t>
            </w:r>
          </w:p>
        </w:tc>
        <w:tc>
          <w:tcPr>
            <w:tcW w:w="521" w:type="pct"/>
            <w:tcBorders>
              <w:top w:val="nil"/>
              <w:left w:val="nil"/>
              <w:bottom w:val="nil"/>
              <w:right w:val="nil"/>
            </w:tcBorders>
            <w:shd w:val="clear" w:color="000000" w:fill="FFFFFF"/>
            <w:noWrap/>
            <w:vAlign w:val="center"/>
            <w:hideMark/>
          </w:tcPr>
          <w:p w14:paraId="689AF563" w14:textId="4513198E" w:rsidR="00B73360" w:rsidRPr="00897CEF" w:rsidRDefault="00B73360" w:rsidP="00D32902">
            <w:pPr>
              <w:pStyle w:val="TableTextRight"/>
              <w:rPr>
                <w:rFonts w:cs="Arial"/>
                <w:color w:val="000000"/>
                <w:szCs w:val="16"/>
              </w:rPr>
            </w:pPr>
            <w:r w:rsidRPr="00897CEF">
              <w:rPr>
                <w:rFonts w:cs="Arial"/>
                <w:color w:val="000000"/>
                <w:szCs w:val="16"/>
              </w:rPr>
              <w:t>20,274</w:t>
            </w:r>
          </w:p>
        </w:tc>
        <w:tc>
          <w:tcPr>
            <w:tcW w:w="521" w:type="pct"/>
            <w:tcBorders>
              <w:top w:val="nil"/>
              <w:left w:val="nil"/>
              <w:bottom w:val="nil"/>
              <w:right w:val="nil"/>
            </w:tcBorders>
            <w:shd w:val="clear" w:color="000000" w:fill="E6F2FF"/>
            <w:noWrap/>
            <w:vAlign w:val="center"/>
            <w:hideMark/>
          </w:tcPr>
          <w:p w14:paraId="1BC4BDEB" w14:textId="02B4B298" w:rsidR="00B73360" w:rsidRPr="00897CEF" w:rsidRDefault="00B73360" w:rsidP="00D32902">
            <w:pPr>
              <w:pStyle w:val="TableTextRight"/>
              <w:rPr>
                <w:rFonts w:cs="Arial"/>
                <w:color w:val="000000"/>
                <w:szCs w:val="16"/>
              </w:rPr>
            </w:pPr>
            <w:r w:rsidRPr="00897CEF">
              <w:rPr>
                <w:rFonts w:cs="Arial"/>
                <w:color w:val="000000"/>
                <w:szCs w:val="16"/>
              </w:rPr>
              <w:t>21,636</w:t>
            </w:r>
          </w:p>
        </w:tc>
        <w:tc>
          <w:tcPr>
            <w:tcW w:w="521" w:type="pct"/>
            <w:tcBorders>
              <w:top w:val="nil"/>
              <w:left w:val="nil"/>
              <w:bottom w:val="nil"/>
              <w:right w:val="nil"/>
            </w:tcBorders>
            <w:shd w:val="clear" w:color="000000" w:fill="FFFFFF"/>
            <w:noWrap/>
            <w:vAlign w:val="center"/>
            <w:hideMark/>
          </w:tcPr>
          <w:p w14:paraId="65B6A9E0" w14:textId="10BE2EDA" w:rsidR="00B73360" w:rsidRPr="00897CEF" w:rsidRDefault="00B73360" w:rsidP="00D32902">
            <w:pPr>
              <w:pStyle w:val="TableTextRight"/>
              <w:rPr>
                <w:rFonts w:cs="Arial"/>
                <w:color w:val="000000"/>
                <w:szCs w:val="16"/>
              </w:rPr>
            </w:pPr>
            <w:r w:rsidRPr="00897CEF">
              <w:rPr>
                <w:rFonts w:cs="Arial"/>
                <w:color w:val="000000"/>
                <w:szCs w:val="16"/>
              </w:rPr>
              <w:t>22,555</w:t>
            </w:r>
          </w:p>
        </w:tc>
        <w:tc>
          <w:tcPr>
            <w:tcW w:w="521" w:type="pct"/>
            <w:tcBorders>
              <w:top w:val="nil"/>
              <w:left w:val="nil"/>
              <w:bottom w:val="nil"/>
              <w:right w:val="nil"/>
            </w:tcBorders>
            <w:shd w:val="clear" w:color="000000" w:fill="FFFFFF"/>
            <w:noWrap/>
            <w:vAlign w:val="center"/>
            <w:hideMark/>
          </w:tcPr>
          <w:p w14:paraId="2B9FD77C" w14:textId="1411F0DA" w:rsidR="00B73360" w:rsidRPr="00897CEF" w:rsidRDefault="00B73360" w:rsidP="00D32902">
            <w:pPr>
              <w:pStyle w:val="TableTextRight"/>
              <w:rPr>
                <w:rFonts w:cs="Arial"/>
                <w:color w:val="000000"/>
                <w:szCs w:val="16"/>
              </w:rPr>
            </w:pPr>
            <w:r w:rsidRPr="00897CEF">
              <w:rPr>
                <w:rFonts w:cs="Arial"/>
                <w:color w:val="000000"/>
                <w:szCs w:val="16"/>
              </w:rPr>
              <w:t>23,525</w:t>
            </w:r>
          </w:p>
        </w:tc>
        <w:tc>
          <w:tcPr>
            <w:tcW w:w="533" w:type="pct"/>
            <w:tcBorders>
              <w:top w:val="nil"/>
              <w:left w:val="nil"/>
              <w:bottom w:val="nil"/>
              <w:right w:val="nil"/>
            </w:tcBorders>
            <w:shd w:val="clear" w:color="000000" w:fill="FFFFFF"/>
            <w:noWrap/>
            <w:vAlign w:val="center"/>
            <w:hideMark/>
          </w:tcPr>
          <w:p w14:paraId="2E1A731C" w14:textId="47E3A242" w:rsidR="00B73360" w:rsidRPr="00897CEF" w:rsidRDefault="00B73360" w:rsidP="00D32902">
            <w:pPr>
              <w:pStyle w:val="TableTextRight"/>
              <w:rPr>
                <w:rFonts w:cs="Arial"/>
                <w:color w:val="000000"/>
                <w:szCs w:val="16"/>
              </w:rPr>
            </w:pPr>
            <w:r w:rsidRPr="00897CEF">
              <w:rPr>
                <w:rFonts w:cs="Arial"/>
                <w:color w:val="000000"/>
                <w:szCs w:val="16"/>
              </w:rPr>
              <w:t>23,869</w:t>
            </w:r>
          </w:p>
        </w:tc>
      </w:tr>
      <w:tr w:rsidR="00B73360" w:rsidRPr="007B7492" w14:paraId="2E3709E2" w14:textId="77777777" w:rsidTr="00170877">
        <w:trPr>
          <w:trHeight w:val="225"/>
        </w:trPr>
        <w:tc>
          <w:tcPr>
            <w:tcW w:w="2022" w:type="pct"/>
            <w:tcBorders>
              <w:top w:val="nil"/>
              <w:left w:val="nil"/>
              <w:bottom w:val="nil"/>
              <w:right w:val="nil"/>
            </w:tcBorders>
            <w:shd w:val="clear" w:color="000000" w:fill="FFFFFF"/>
            <w:noWrap/>
            <w:vAlign w:val="center"/>
            <w:hideMark/>
          </w:tcPr>
          <w:p w14:paraId="7C36A857" w14:textId="77777777" w:rsidR="00B73360" w:rsidRPr="007B7492" w:rsidRDefault="00B73360" w:rsidP="003714DF">
            <w:pPr>
              <w:pStyle w:val="TableTextLeft"/>
            </w:pPr>
            <w:r w:rsidRPr="007B7492">
              <w:t>Interest income</w:t>
            </w:r>
          </w:p>
        </w:tc>
        <w:tc>
          <w:tcPr>
            <w:tcW w:w="359" w:type="pct"/>
            <w:tcBorders>
              <w:top w:val="nil"/>
              <w:left w:val="nil"/>
              <w:bottom w:val="nil"/>
              <w:right w:val="nil"/>
            </w:tcBorders>
            <w:shd w:val="clear" w:color="000000" w:fill="FFFFFF"/>
            <w:noWrap/>
            <w:vAlign w:val="center"/>
            <w:hideMark/>
          </w:tcPr>
          <w:p w14:paraId="57E50764" w14:textId="77777777" w:rsidR="00B73360" w:rsidRPr="007B7492" w:rsidRDefault="00B73360" w:rsidP="00C271F9">
            <w:pPr>
              <w:pStyle w:val="TableTextCentred"/>
            </w:pPr>
            <w:r w:rsidRPr="007B7492">
              <w:t xml:space="preserve">   5 </w:t>
            </w:r>
          </w:p>
        </w:tc>
        <w:tc>
          <w:tcPr>
            <w:tcW w:w="521" w:type="pct"/>
            <w:tcBorders>
              <w:top w:val="nil"/>
              <w:left w:val="nil"/>
              <w:bottom w:val="nil"/>
              <w:right w:val="nil"/>
            </w:tcBorders>
            <w:shd w:val="clear" w:color="000000" w:fill="FFFFFF"/>
            <w:noWrap/>
            <w:vAlign w:val="center"/>
            <w:hideMark/>
          </w:tcPr>
          <w:p w14:paraId="085975DA" w14:textId="316C379E" w:rsidR="00B73360" w:rsidRPr="00897CEF" w:rsidRDefault="00B73360" w:rsidP="00D32902">
            <w:pPr>
              <w:pStyle w:val="TableTextRight"/>
              <w:rPr>
                <w:rFonts w:cs="Arial"/>
                <w:color w:val="000000"/>
                <w:szCs w:val="16"/>
              </w:rPr>
            </w:pPr>
            <w:r w:rsidRPr="00897CEF">
              <w:rPr>
                <w:rFonts w:cs="Arial"/>
                <w:color w:val="000000"/>
                <w:szCs w:val="16"/>
              </w:rPr>
              <w:t>11,131</w:t>
            </w:r>
          </w:p>
        </w:tc>
        <w:tc>
          <w:tcPr>
            <w:tcW w:w="521" w:type="pct"/>
            <w:tcBorders>
              <w:top w:val="nil"/>
              <w:left w:val="nil"/>
              <w:bottom w:val="nil"/>
              <w:right w:val="nil"/>
            </w:tcBorders>
            <w:shd w:val="clear" w:color="000000" w:fill="E6F2FF"/>
            <w:noWrap/>
            <w:vAlign w:val="center"/>
            <w:hideMark/>
          </w:tcPr>
          <w:p w14:paraId="6B0ADC99" w14:textId="1A4B7CA3" w:rsidR="00B73360" w:rsidRPr="00897CEF" w:rsidRDefault="00B73360" w:rsidP="00D32902">
            <w:pPr>
              <w:pStyle w:val="TableTextRight"/>
              <w:rPr>
                <w:rFonts w:cs="Arial"/>
                <w:color w:val="000000"/>
                <w:szCs w:val="16"/>
              </w:rPr>
            </w:pPr>
            <w:r w:rsidRPr="00897CEF">
              <w:rPr>
                <w:rFonts w:cs="Arial"/>
                <w:color w:val="000000"/>
                <w:szCs w:val="16"/>
              </w:rPr>
              <w:t>10,276</w:t>
            </w:r>
          </w:p>
        </w:tc>
        <w:tc>
          <w:tcPr>
            <w:tcW w:w="521" w:type="pct"/>
            <w:tcBorders>
              <w:top w:val="nil"/>
              <w:left w:val="nil"/>
              <w:bottom w:val="nil"/>
              <w:right w:val="nil"/>
            </w:tcBorders>
            <w:shd w:val="clear" w:color="000000" w:fill="FFFFFF"/>
            <w:noWrap/>
            <w:vAlign w:val="center"/>
            <w:hideMark/>
          </w:tcPr>
          <w:p w14:paraId="1ABDC076" w14:textId="60BB16DF" w:rsidR="00B73360" w:rsidRPr="00897CEF" w:rsidRDefault="00B73360" w:rsidP="00D32902">
            <w:pPr>
              <w:pStyle w:val="TableTextRight"/>
              <w:rPr>
                <w:rFonts w:cs="Arial"/>
                <w:color w:val="000000"/>
                <w:szCs w:val="16"/>
              </w:rPr>
            </w:pPr>
            <w:r w:rsidRPr="00897CEF">
              <w:rPr>
                <w:rFonts w:cs="Arial"/>
                <w:color w:val="000000"/>
                <w:szCs w:val="16"/>
              </w:rPr>
              <w:t>9,998</w:t>
            </w:r>
          </w:p>
        </w:tc>
        <w:tc>
          <w:tcPr>
            <w:tcW w:w="521" w:type="pct"/>
            <w:tcBorders>
              <w:top w:val="nil"/>
              <w:left w:val="nil"/>
              <w:bottom w:val="nil"/>
              <w:right w:val="nil"/>
            </w:tcBorders>
            <w:shd w:val="clear" w:color="000000" w:fill="FFFFFF"/>
            <w:noWrap/>
            <w:vAlign w:val="center"/>
            <w:hideMark/>
          </w:tcPr>
          <w:p w14:paraId="7C8D317A" w14:textId="59EAE0AE" w:rsidR="00B73360" w:rsidRPr="00897CEF" w:rsidRDefault="00B73360" w:rsidP="00D32902">
            <w:pPr>
              <w:pStyle w:val="TableTextRight"/>
              <w:rPr>
                <w:rFonts w:cs="Arial"/>
                <w:color w:val="000000"/>
                <w:szCs w:val="16"/>
              </w:rPr>
            </w:pPr>
            <w:r w:rsidRPr="00897CEF">
              <w:rPr>
                <w:rFonts w:cs="Arial"/>
                <w:color w:val="000000"/>
                <w:szCs w:val="16"/>
              </w:rPr>
              <w:t>10,573</w:t>
            </w:r>
          </w:p>
        </w:tc>
        <w:tc>
          <w:tcPr>
            <w:tcW w:w="533" w:type="pct"/>
            <w:tcBorders>
              <w:top w:val="nil"/>
              <w:left w:val="nil"/>
              <w:bottom w:val="nil"/>
              <w:right w:val="nil"/>
            </w:tcBorders>
            <w:shd w:val="clear" w:color="000000" w:fill="FFFFFF"/>
            <w:noWrap/>
            <w:vAlign w:val="center"/>
            <w:hideMark/>
          </w:tcPr>
          <w:p w14:paraId="4FB00184" w14:textId="600B1ED1" w:rsidR="00B73360" w:rsidRPr="00897CEF" w:rsidRDefault="00B73360" w:rsidP="00D32902">
            <w:pPr>
              <w:pStyle w:val="TableTextRight"/>
              <w:rPr>
                <w:rFonts w:cs="Arial"/>
                <w:color w:val="000000"/>
                <w:szCs w:val="16"/>
              </w:rPr>
            </w:pPr>
            <w:r w:rsidRPr="00897CEF">
              <w:rPr>
                <w:rFonts w:cs="Arial"/>
                <w:color w:val="000000"/>
                <w:szCs w:val="16"/>
              </w:rPr>
              <w:t>11,338</w:t>
            </w:r>
          </w:p>
        </w:tc>
      </w:tr>
      <w:tr w:rsidR="00B73360" w:rsidRPr="007B7492" w14:paraId="24E4242C" w14:textId="77777777" w:rsidTr="00170877">
        <w:trPr>
          <w:trHeight w:val="225"/>
        </w:trPr>
        <w:tc>
          <w:tcPr>
            <w:tcW w:w="2022" w:type="pct"/>
            <w:tcBorders>
              <w:top w:val="nil"/>
              <w:left w:val="nil"/>
              <w:bottom w:val="nil"/>
              <w:right w:val="nil"/>
            </w:tcBorders>
            <w:shd w:val="clear" w:color="000000" w:fill="FFFFFF"/>
            <w:noWrap/>
            <w:vAlign w:val="center"/>
            <w:hideMark/>
          </w:tcPr>
          <w:p w14:paraId="1082F048" w14:textId="77777777" w:rsidR="00B73360" w:rsidRPr="007B7492" w:rsidRDefault="00B73360" w:rsidP="003714DF">
            <w:pPr>
              <w:pStyle w:val="TableTextLeft"/>
            </w:pPr>
            <w:r w:rsidRPr="007B7492">
              <w:t>Dividend and distribution income</w:t>
            </w:r>
          </w:p>
        </w:tc>
        <w:tc>
          <w:tcPr>
            <w:tcW w:w="359" w:type="pct"/>
            <w:tcBorders>
              <w:top w:val="nil"/>
              <w:left w:val="nil"/>
              <w:bottom w:val="nil"/>
              <w:right w:val="nil"/>
            </w:tcBorders>
            <w:shd w:val="clear" w:color="000000" w:fill="FFFFFF"/>
            <w:noWrap/>
            <w:vAlign w:val="center"/>
            <w:hideMark/>
          </w:tcPr>
          <w:p w14:paraId="0A48B115" w14:textId="77777777" w:rsidR="00B73360" w:rsidRPr="007B7492" w:rsidRDefault="00B73360" w:rsidP="00C271F9">
            <w:pPr>
              <w:pStyle w:val="TableTextCentred"/>
            </w:pPr>
            <w:r w:rsidRPr="007B7492">
              <w:t xml:space="preserve">   5 </w:t>
            </w:r>
          </w:p>
        </w:tc>
        <w:tc>
          <w:tcPr>
            <w:tcW w:w="521" w:type="pct"/>
            <w:tcBorders>
              <w:top w:val="nil"/>
              <w:left w:val="nil"/>
              <w:bottom w:val="nil"/>
              <w:right w:val="nil"/>
            </w:tcBorders>
            <w:shd w:val="clear" w:color="000000" w:fill="FFFFFF"/>
            <w:noWrap/>
            <w:vAlign w:val="center"/>
            <w:hideMark/>
          </w:tcPr>
          <w:p w14:paraId="21BE2B94" w14:textId="097272A1" w:rsidR="00B73360" w:rsidRPr="00897CEF" w:rsidRDefault="00B73360" w:rsidP="00D32902">
            <w:pPr>
              <w:pStyle w:val="TableTextRight"/>
              <w:rPr>
                <w:rFonts w:cs="Arial"/>
                <w:color w:val="000000"/>
                <w:szCs w:val="16"/>
              </w:rPr>
            </w:pPr>
            <w:r w:rsidRPr="00897CEF">
              <w:rPr>
                <w:rFonts w:cs="Arial"/>
                <w:color w:val="000000"/>
                <w:szCs w:val="16"/>
              </w:rPr>
              <w:t>5,798</w:t>
            </w:r>
          </w:p>
        </w:tc>
        <w:tc>
          <w:tcPr>
            <w:tcW w:w="521" w:type="pct"/>
            <w:tcBorders>
              <w:top w:val="nil"/>
              <w:left w:val="nil"/>
              <w:bottom w:val="nil"/>
              <w:right w:val="nil"/>
            </w:tcBorders>
            <w:shd w:val="clear" w:color="000000" w:fill="E6F2FF"/>
            <w:noWrap/>
            <w:vAlign w:val="center"/>
            <w:hideMark/>
          </w:tcPr>
          <w:p w14:paraId="179A820B" w14:textId="63DBF611" w:rsidR="00B73360" w:rsidRPr="00897CEF" w:rsidRDefault="00B73360" w:rsidP="00D32902">
            <w:pPr>
              <w:pStyle w:val="TableTextRight"/>
              <w:rPr>
                <w:rFonts w:cs="Arial"/>
                <w:color w:val="000000"/>
                <w:szCs w:val="16"/>
              </w:rPr>
            </w:pPr>
            <w:r w:rsidRPr="00897CEF">
              <w:rPr>
                <w:rFonts w:cs="Arial"/>
                <w:color w:val="000000"/>
                <w:szCs w:val="16"/>
              </w:rPr>
              <w:t>6,815</w:t>
            </w:r>
          </w:p>
        </w:tc>
        <w:tc>
          <w:tcPr>
            <w:tcW w:w="521" w:type="pct"/>
            <w:tcBorders>
              <w:top w:val="nil"/>
              <w:left w:val="nil"/>
              <w:bottom w:val="nil"/>
              <w:right w:val="nil"/>
            </w:tcBorders>
            <w:shd w:val="clear" w:color="000000" w:fill="FFFFFF"/>
            <w:noWrap/>
            <w:vAlign w:val="center"/>
            <w:hideMark/>
          </w:tcPr>
          <w:p w14:paraId="1D7B9918" w14:textId="12D31452" w:rsidR="00B73360" w:rsidRPr="00897CEF" w:rsidRDefault="00B73360" w:rsidP="00D32902">
            <w:pPr>
              <w:pStyle w:val="TableTextRight"/>
              <w:rPr>
                <w:rFonts w:cs="Arial"/>
                <w:color w:val="000000"/>
                <w:szCs w:val="16"/>
              </w:rPr>
            </w:pPr>
            <w:r w:rsidRPr="00897CEF">
              <w:rPr>
                <w:rFonts w:cs="Arial"/>
                <w:color w:val="000000"/>
                <w:szCs w:val="16"/>
              </w:rPr>
              <w:t>7,188</w:t>
            </w:r>
          </w:p>
        </w:tc>
        <w:tc>
          <w:tcPr>
            <w:tcW w:w="521" w:type="pct"/>
            <w:tcBorders>
              <w:top w:val="nil"/>
              <w:left w:val="nil"/>
              <w:bottom w:val="nil"/>
              <w:right w:val="nil"/>
            </w:tcBorders>
            <w:shd w:val="clear" w:color="000000" w:fill="FFFFFF"/>
            <w:noWrap/>
            <w:vAlign w:val="center"/>
            <w:hideMark/>
          </w:tcPr>
          <w:p w14:paraId="29ACF0EE" w14:textId="34B2E2CC" w:rsidR="00B73360" w:rsidRPr="00897CEF" w:rsidRDefault="00B73360" w:rsidP="00D32902">
            <w:pPr>
              <w:pStyle w:val="TableTextRight"/>
              <w:rPr>
                <w:rFonts w:cs="Arial"/>
                <w:color w:val="000000"/>
                <w:szCs w:val="16"/>
              </w:rPr>
            </w:pPr>
            <w:r w:rsidRPr="00897CEF">
              <w:rPr>
                <w:rFonts w:cs="Arial"/>
                <w:color w:val="000000"/>
                <w:szCs w:val="16"/>
              </w:rPr>
              <w:t>7,552</w:t>
            </w:r>
          </w:p>
        </w:tc>
        <w:tc>
          <w:tcPr>
            <w:tcW w:w="533" w:type="pct"/>
            <w:tcBorders>
              <w:top w:val="nil"/>
              <w:left w:val="nil"/>
              <w:bottom w:val="nil"/>
              <w:right w:val="nil"/>
            </w:tcBorders>
            <w:shd w:val="clear" w:color="000000" w:fill="FFFFFF"/>
            <w:noWrap/>
            <w:vAlign w:val="center"/>
            <w:hideMark/>
          </w:tcPr>
          <w:p w14:paraId="6AA3B1AD" w14:textId="76D3DEBD" w:rsidR="00B73360" w:rsidRPr="00897CEF" w:rsidRDefault="00B73360" w:rsidP="00D32902">
            <w:pPr>
              <w:pStyle w:val="TableTextRight"/>
              <w:rPr>
                <w:rFonts w:cs="Arial"/>
                <w:color w:val="000000"/>
                <w:szCs w:val="16"/>
              </w:rPr>
            </w:pPr>
            <w:r w:rsidRPr="00897CEF">
              <w:rPr>
                <w:rFonts w:cs="Arial"/>
                <w:color w:val="000000"/>
                <w:szCs w:val="16"/>
              </w:rPr>
              <w:t>8,029</w:t>
            </w:r>
          </w:p>
        </w:tc>
      </w:tr>
      <w:tr w:rsidR="00B73360" w:rsidRPr="007B7492" w14:paraId="2D8F99EF" w14:textId="77777777" w:rsidTr="00170877">
        <w:trPr>
          <w:trHeight w:val="222"/>
        </w:trPr>
        <w:tc>
          <w:tcPr>
            <w:tcW w:w="2022" w:type="pct"/>
            <w:tcBorders>
              <w:top w:val="nil"/>
              <w:left w:val="nil"/>
              <w:bottom w:val="nil"/>
              <w:right w:val="nil"/>
            </w:tcBorders>
            <w:shd w:val="clear" w:color="000000" w:fill="FFFFFF"/>
            <w:noWrap/>
            <w:vAlign w:val="center"/>
            <w:hideMark/>
          </w:tcPr>
          <w:p w14:paraId="5F4C7C28" w14:textId="77777777" w:rsidR="00B73360" w:rsidRPr="007B7492" w:rsidRDefault="00B73360" w:rsidP="003714DF">
            <w:pPr>
              <w:pStyle w:val="TableTextLeft"/>
            </w:pPr>
            <w:r w:rsidRPr="007B7492">
              <w:t>Other</w:t>
            </w:r>
          </w:p>
        </w:tc>
        <w:tc>
          <w:tcPr>
            <w:tcW w:w="359" w:type="pct"/>
            <w:tcBorders>
              <w:top w:val="nil"/>
              <w:left w:val="nil"/>
              <w:bottom w:val="nil"/>
              <w:right w:val="nil"/>
            </w:tcBorders>
            <w:shd w:val="clear" w:color="000000" w:fill="FFFFFF"/>
            <w:noWrap/>
            <w:vAlign w:val="center"/>
            <w:hideMark/>
          </w:tcPr>
          <w:p w14:paraId="1443F203" w14:textId="77777777" w:rsidR="00B73360" w:rsidRPr="007B7492" w:rsidRDefault="00B73360" w:rsidP="00C271F9">
            <w:pPr>
              <w:pStyle w:val="TableTextCentred"/>
            </w:pPr>
            <w:r w:rsidRPr="007B7492">
              <w:t xml:space="preserve">   6 </w:t>
            </w:r>
          </w:p>
        </w:tc>
        <w:tc>
          <w:tcPr>
            <w:tcW w:w="521" w:type="pct"/>
            <w:tcBorders>
              <w:top w:val="nil"/>
              <w:left w:val="nil"/>
              <w:bottom w:val="nil"/>
              <w:right w:val="nil"/>
            </w:tcBorders>
            <w:shd w:val="clear" w:color="000000" w:fill="FFFFFF"/>
            <w:noWrap/>
            <w:vAlign w:val="center"/>
            <w:hideMark/>
          </w:tcPr>
          <w:p w14:paraId="0DA80AA6" w14:textId="70D91347" w:rsidR="00B73360" w:rsidRPr="00897CEF" w:rsidRDefault="00B73360" w:rsidP="00D32902">
            <w:pPr>
              <w:pStyle w:val="TableTextRight"/>
              <w:rPr>
                <w:rFonts w:cs="Arial"/>
                <w:color w:val="000000"/>
                <w:szCs w:val="16"/>
              </w:rPr>
            </w:pPr>
            <w:r w:rsidRPr="00897CEF">
              <w:rPr>
                <w:rFonts w:cs="Arial"/>
                <w:color w:val="000000"/>
                <w:szCs w:val="16"/>
              </w:rPr>
              <w:t>13,635</w:t>
            </w:r>
          </w:p>
        </w:tc>
        <w:tc>
          <w:tcPr>
            <w:tcW w:w="521" w:type="pct"/>
            <w:tcBorders>
              <w:top w:val="nil"/>
              <w:left w:val="nil"/>
              <w:bottom w:val="nil"/>
              <w:right w:val="nil"/>
            </w:tcBorders>
            <w:shd w:val="clear" w:color="000000" w:fill="E6F2FF"/>
            <w:noWrap/>
            <w:vAlign w:val="center"/>
            <w:hideMark/>
          </w:tcPr>
          <w:p w14:paraId="02AD4692" w14:textId="7F4CCC23" w:rsidR="00B73360" w:rsidRPr="00897CEF" w:rsidRDefault="00B73360" w:rsidP="00D32902">
            <w:pPr>
              <w:pStyle w:val="TableTextRight"/>
              <w:rPr>
                <w:rFonts w:cs="Arial"/>
                <w:color w:val="000000"/>
                <w:szCs w:val="16"/>
              </w:rPr>
            </w:pPr>
            <w:r w:rsidRPr="00897CEF">
              <w:rPr>
                <w:rFonts w:cs="Arial"/>
                <w:color w:val="000000"/>
                <w:szCs w:val="16"/>
              </w:rPr>
              <w:t>13,815</w:t>
            </w:r>
          </w:p>
        </w:tc>
        <w:tc>
          <w:tcPr>
            <w:tcW w:w="521" w:type="pct"/>
            <w:tcBorders>
              <w:top w:val="nil"/>
              <w:left w:val="nil"/>
              <w:bottom w:val="nil"/>
              <w:right w:val="nil"/>
            </w:tcBorders>
            <w:shd w:val="clear" w:color="000000" w:fill="FFFFFF"/>
            <w:noWrap/>
            <w:vAlign w:val="center"/>
            <w:hideMark/>
          </w:tcPr>
          <w:p w14:paraId="4C78EE5C" w14:textId="7E79EBDF" w:rsidR="00B73360" w:rsidRPr="00897CEF" w:rsidRDefault="00B73360" w:rsidP="00D32902">
            <w:pPr>
              <w:pStyle w:val="TableTextRight"/>
              <w:rPr>
                <w:rFonts w:cs="Arial"/>
                <w:color w:val="000000"/>
                <w:szCs w:val="16"/>
              </w:rPr>
            </w:pPr>
            <w:r w:rsidRPr="00897CEF">
              <w:rPr>
                <w:rFonts w:cs="Arial"/>
                <w:color w:val="000000"/>
                <w:szCs w:val="16"/>
              </w:rPr>
              <w:t>13,531</w:t>
            </w:r>
          </w:p>
        </w:tc>
        <w:tc>
          <w:tcPr>
            <w:tcW w:w="521" w:type="pct"/>
            <w:tcBorders>
              <w:top w:val="nil"/>
              <w:left w:val="nil"/>
              <w:bottom w:val="nil"/>
              <w:right w:val="nil"/>
            </w:tcBorders>
            <w:shd w:val="clear" w:color="000000" w:fill="FFFFFF"/>
            <w:noWrap/>
            <w:vAlign w:val="center"/>
            <w:hideMark/>
          </w:tcPr>
          <w:p w14:paraId="565D166A" w14:textId="054003F8" w:rsidR="00B73360" w:rsidRPr="00897CEF" w:rsidRDefault="00B73360" w:rsidP="00D32902">
            <w:pPr>
              <w:pStyle w:val="TableTextRight"/>
              <w:rPr>
                <w:rFonts w:cs="Arial"/>
                <w:color w:val="000000"/>
                <w:szCs w:val="16"/>
              </w:rPr>
            </w:pPr>
            <w:r w:rsidRPr="00897CEF">
              <w:rPr>
                <w:rFonts w:cs="Arial"/>
                <w:color w:val="000000"/>
                <w:szCs w:val="16"/>
              </w:rPr>
              <w:t>13,418</w:t>
            </w:r>
          </w:p>
        </w:tc>
        <w:tc>
          <w:tcPr>
            <w:tcW w:w="533" w:type="pct"/>
            <w:tcBorders>
              <w:top w:val="nil"/>
              <w:left w:val="nil"/>
              <w:bottom w:val="nil"/>
              <w:right w:val="nil"/>
            </w:tcBorders>
            <w:shd w:val="clear" w:color="000000" w:fill="FFFFFF"/>
            <w:noWrap/>
            <w:vAlign w:val="center"/>
            <w:hideMark/>
          </w:tcPr>
          <w:p w14:paraId="4C31CCEE" w14:textId="00B58028" w:rsidR="00B73360" w:rsidRPr="00897CEF" w:rsidRDefault="00B73360" w:rsidP="00D32902">
            <w:pPr>
              <w:pStyle w:val="TableTextRight"/>
              <w:rPr>
                <w:rFonts w:cs="Arial"/>
                <w:color w:val="000000"/>
                <w:szCs w:val="16"/>
              </w:rPr>
            </w:pPr>
            <w:r w:rsidRPr="00897CEF">
              <w:rPr>
                <w:rFonts w:cs="Arial"/>
                <w:color w:val="000000"/>
                <w:szCs w:val="16"/>
              </w:rPr>
              <w:t>13,403</w:t>
            </w:r>
          </w:p>
        </w:tc>
      </w:tr>
      <w:tr w:rsidR="00B73360" w:rsidRPr="007B7492" w14:paraId="3B8C4009" w14:textId="77777777" w:rsidTr="00170877">
        <w:trPr>
          <w:trHeight w:val="225"/>
        </w:trPr>
        <w:tc>
          <w:tcPr>
            <w:tcW w:w="2022" w:type="pct"/>
            <w:tcBorders>
              <w:top w:val="nil"/>
              <w:left w:val="nil"/>
              <w:bottom w:val="nil"/>
              <w:right w:val="nil"/>
            </w:tcBorders>
            <w:shd w:val="clear" w:color="000000" w:fill="FFFFFF"/>
            <w:noWrap/>
            <w:vAlign w:val="center"/>
            <w:hideMark/>
          </w:tcPr>
          <w:p w14:paraId="791126A2" w14:textId="77777777" w:rsidR="00B73360" w:rsidRPr="00A7342F" w:rsidRDefault="00B73360" w:rsidP="003714DF">
            <w:pPr>
              <w:pStyle w:val="TableTextLeft"/>
              <w:rPr>
                <w:b/>
              </w:rPr>
            </w:pPr>
            <w:r w:rsidRPr="00A7342F">
              <w:rPr>
                <w:b/>
              </w:rPr>
              <w:t>Total revenue</w:t>
            </w:r>
          </w:p>
        </w:tc>
        <w:tc>
          <w:tcPr>
            <w:tcW w:w="359" w:type="pct"/>
            <w:tcBorders>
              <w:top w:val="nil"/>
              <w:left w:val="nil"/>
              <w:bottom w:val="nil"/>
              <w:right w:val="nil"/>
            </w:tcBorders>
            <w:shd w:val="clear" w:color="000000" w:fill="FFFFFF"/>
            <w:noWrap/>
            <w:vAlign w:val="center"/>
            <w:hideMark/>
          </w:tcPr>
          <w:p w14:paraId="220419A0" w14:textId="77777777" w:rsidR="00B73360" w:rsidRPr="007B7492" w:rsidRDefault="00B73360"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1257E3DF" w14:textId="444B33A7" w:rsidR="00B73360" w:rsidRPr="00897CEF" w:rsidRDefault="00B73360" w:rsidP="00D32902">
            <w:pPr>
              <w:pStyle w:val="TableTextRight"/>
              <w:rPr>
                <w:rFonts w:cs="Arial"/>
                <w:b/>
                <w:color w:val="000000"/>
                <w:szCs w:val="16"/>
              </w:rPr>
            </w:pPr>
            <w:r w:rsidRPr="00897CEF">
              <w:rPr>
                <w:rFonts w:cs="Arial"/>
                <w:b/>
                <w:color w:val="000000"/>
                <w:szCs w:val="16"/>
              </w:rPr>
              <w:t>706,877</w:t>
            </w:r>
          </w:p>
        </w:tc>
        <w:tc>
          <w:tcPr>
            <w:tcW w:w="521" w:type="pct"/>
            <w:tcBorders>
              <w:top w:val="nil"/>
              <w:left w:val="nil"/>
              <w:bottom w:val="nil"/>
              <w:right w:val="nil"/>
            </w:tcBorders>
            <w:shd w:val="clear" w:color="000000" w:fill="E6F2FF"/>
            <w:noWrap/>
            <w:vAlign w:val="center"/>
            <w:hideMark/>
          </w:tcPr>
          <w:p w14:paraId="50CDA632" w14:textId="45B85036" w:rsidR="00B73360" w:rsidRPr="00897CEF" w:rsidRDefault="00B73360" w:rsidP="00D32902">
            <w:pPr>
              <w:pStyle w:val="TableTextRight"/>
              <w:rPr>
                <w:rFonts w:cs="Arial"/>
                <w:b/>
                <w:color w:val="000000"/>
                <w:szCs w:val="16"/>
              </w:rPr>
            </w:pPr>
            <w:r w:rsidRPr="00897CEF">
              <w:rPr>
                <w:rFonts w:cs="Arial"/>
                <w:b/>
                <w:color w:val="000000"/>
                <w:szCs w:val="16"/>
              </w:rPr>
              <w:t>711,505</w:t>
            </w:r>
          </w:p>
        </w:tc>
        <w:tc>
          <w:tcPr>
            <w:tcW w:w="521" w:type="pct"/>
            <w:tcBorders>
              <w:top w:val="nil"/>
              <w:left w:val="nil"/>
              <w:bottom w:val="nil"/>
              <w:right w:val="nil"/>
            </w:tcBorders>
            <w:shd w:val="clear" w:color="000000" w:fill="FFFFFF"/>
            <w:noWrap/>
            <w:vAlign w:val="center"/>
            <w:hideMark/>
          </w:tcPr>
          <w:p w14:paraId="7C6DB13D" w14:textId="0F54EB06" w:rsidR="00B73360" w:rsidRPr="00897CEF" w:rsidRDefault="00B73360" w:rsidP="00D32902">
            <w:pPr>
              <w:pStyle w:val="TableTextRight"/>
              <w:rPr>
                <w:rFonts w:cs="Arial"/>
                <w:b/>
                <w:color w:val="000000"/>
                <w:szCs w:val="16"/>
              </w:rPr>
            </w:pPr>
            <w:r w:rsidRPr="00897CEF">
              <w:rPr>
                <w:rFonts w:cs="Arial"/>
                <w:b/>
                <w:color w:val="000000"/>
                <w:szCs w:val="16"/>
              </w:rPr>
              <w:t>732,740</w:t>
            </w:r>
          </w:p>
        </w:tc>
        <w:tc>
          <w:tcPr>
            <w:tcW w:w="521" w:type="pct"/>
            <w:tcBorders>
              <w:top w:val="nil"/>
              <w:left w:val="nil"/>
              <w:bottom w:val="nil"/>
              <w:right w:val="nil"/>
            </w:tcBorders>
            <w:shd w:val="clear" w:color="000000" w:fill="FFFFFF"/>
            <w:noWrap/>
            <w:vAlign w:val="center"/>
            <w:hideMark/>
          </w:tcPr>
          <w:p w14:paraId="173572A4" w14:textId="03571DF3" w:rsidR="00B73360" w:rsidRPr="00897CEF" w:rsidRDefault="00B73360" w:rsidP="00D32902">
            <w:pPr>
              <w:pStyle w:val="TableTextRight"/>
              <w:rPr>
                <w:rFonts w:cs="Arial"/>
                <w:b/>
                <w:color w:val="000000"/>
                <w:szCs w:val="16"/>
              </w:rPr>
            </w:pPr>
            <w:r w:rsidRPr="00897CEF">
              <w:rPr>
                <w:rFonts w:cs="Arial"/>
                <w:b/>
                <w:color w:val="000000"/>
                <w:szCs w:val="16"/>
              </w:rPr>
              <w:t>776,239</w:t>
            </w:r>
          </w:p>
        </w:tc>
        <w:tc>
          <w:tcPr>
            <w:tcW w:w="533" w:type="pct"/>
            <w:tcBorders>
              <w:top w:val="nil"/>
              <w:left w:val="nil"/>
              <w:bottom w:val="nil"/>
              <w:right w:val="nil"/>
            </w:tcBorders>
            <w:shd w:val="clear" w:color="000000" w:fill="FFFFFF"/>
            <w:noWrap/>
            <w:vAlign w:val="center"/>
            <w:hideMark/>
          </w:tcPr>
          <w:p w14:paraId="787BAC41" w14:textId="5923CB86" w:rsidR="00B73360" w:rsidRPr="00897CEF" w:rsidRDefault="00B73360" w:rsidP="00D32902">
            <w:pPr>
              <w:pStyle w:val="TableTextRight"/>
              <w:rPr>
                <w:rFonts w:cs="Arial"/>
                <w:b/>
                <w:color w:val="000000"/>
                <w:szCs w:val="16"/>
              </w:rPr>
            </w:pPr>
            <w:r w:rsidRPr="00897CEF">
              <w:rPr>
                <w:rFonts w:cs="Arial"/>
                <w:b/>
                <w:color w:val="000000"/>
                <w:szCs w:val="16"/>
              </w:rPr>
              <w:t>819,628</w:t>
            </w:r>
          </w:p>
        </w:tc>
      </w:tr>
      <w:tr w:rsidR="007B7492" w:rsidRPr="007B7492" w14:paraId="57F06365" w14:textId="77777777" w:rsidTr="00170877">
        <w:trPr>
          <w:trHeight w:val="225"/>
        </w:trPr>
        <w:tc>
          <w:tcPr>
            <w:tcW w:w="2022" w:type="pct"/>
            <w:tcBorders>
              <w:top w:val="nil"/>
              <w:left w:val="nil"/>
              <w:bottom w:val="nil"/>
              <w:right w:val="nil"/>
            </w:tcBorders>
            <w:shd w:val="clear" w:color="000000" w:fill="FFFFFF"/>
            <w:noWrap/>
            <w:vAlign w:val="center"/>
            <w:hideMark/>
          </w:tcPr>
          <w:p w14:paraId="36A59EA7" w14:textId="77777777" w:rsidR="007B7492" w:rsidRPr="00A7342F" w:rsidRDefault="007B7492" w:rsidP="003714DF">
            <w:pPr>
              <w:pStyle w:val="TableTextLeft"/>
              <w:rPr>
                <w:b/>
              </w:rPr>
            </w:pPr>
            <w:r w:rsidRPr="00A7342F">
              <w:rPr>
                <w:b/>
              </w:rPr>
              <w:t>Expenses</w:t>
            </w:r>
          </w:p>
        </w:tc>
        <w:tc>
          <w:tcPr>
            <w:tcW w:w="359" w:type="pct"/>
            <w:tcBorders>
              <w:top w:val="nil"/>
              <w:left w:val="nil"/>
              <w:bottom w:val="nil"/>
              <w:right w:val="nil"/>
            </w:tcBorders>
            <w:shd w:val="clear" w:color="000000" w:fill="FFFFFF"/>
            <w:noWrap/>
            <w:vAlign w:val="center"/>
            <w:hideMark/>
          </w:tcPr>
          <w:p w14:paraId="0AC442EA" w14:textId="77777777" w:rsidR="007B7492" w:rsidRPr="007B7492" w:rsidRDefault="007B7492"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2647C11C"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E6F2FF"/>
            <w:noWrap/>
            <w:vAlign w:val="center"/>
            <w:hideMark/>
          </w:tcPr>
          <w:p w14:paraId="29C80832"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FFFFFF"/>
            <w:noWrap/>
            <w:vAlign w:val="center"/>
            <w:hideMark/>
          </w:tcPr>
          <w:p w14:paraId="79EF2267"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FFFFFF"/>
            <w:noWrap/>
            <w:vAlign w:val="center"/>
            <w:hideMark/>
          </w:tcPr>
          <w:p w14:paraId="6607CB1E" w14:textId="77777777" w:rsidR="007B7492" w:rsidRPr="00897CEF" w:rsidRDefault="007B7492" w:rsidP="00D32902">
            <w:pPr>
              <w:pStyle w:val="TableTextRight"/>
              <w:rPr>
                <w:rFonts w:cs="Arial"/>
                <w:szCs w:val="16"/>
              </w:rPr>
            </w:pPr>
            <w:r w:rsidRPr="00897CEF">
              <w:rPr>
                <w:rFonts w:cs="Arial"/>
                <w:szCs w:val="16"/>
              </w:rPr>
              <w:t> </w:t>
            </w:r>
          </w:p>
        </w:tc>
        <w:tc>
          <w:tcPr>
            <w:tcW w:w="533" w:type="pct"/>
            <w:tcBorders>
              <w:top w:val="nil"/>
              <w:left w:val="nil"/>
              <w:bottom w:val="nil"/>
              <w:right w:val="nil"/>
            </w:tcBorders>
            <w:shd w:val="clear" w:color="000000" w:fill="FFFFFF"/>
            <w:noWrap/>
            <w:vAlign w:val="center"/>
            <w:hideMark/>
          </w:tcPr>
          <w:p w14:paraId="540827EC" w14:textId="77777777" w:rsidR="007B7492" w:rsidRPr="00897CEF" w:rsidRDefault="007B7492" w:rsidP="00D32902">
            <w:pPr>
              <w:pStyle w:val="TableTextRight"/>
              <w:rPr>
                <w:rFonts w:cs="Arial"/>
                <w:szCs w:val="16"/>
              </w:rPr>
            </w:pPr>
            <w:r w:rsidRPr="00897CEF">
              <w:rPr>
                <w:rFonts w:cs="Arial"/>
                <w:szCs w:val="16"/>
              </w:rPr>
              <w:t> </w:t>
            </w:r>
          </w:p>
        </w:tc>
      </w:tr>
      <w:tr w:rsidR="007B7492" w:rsidRPr="007B7492" w14:paraId="2201D8E7" w14:textId="77777777" w:rsidTr="00170877">
        <w:trPr>
          <w:trHeight w:val="225"/>
        </w:trPr>
        <w:tc>
          <w:tcPr>
            <w:tcW w:w="2022" w:type="pct"/>
            <w:tcBorders>
              <w:top w:val="nil"/>
              <w:left w:val="nil"/>
              <w:bottom w:val="nil"/>
              <w:right w:val="nil"/>
            </w:tcBorders>
            <w:shd w:val="clear" w:color="000000" w:fill="FFFFFF"/>
            <w:noWrap/>
            <w:vAlign w:val="center"/>
            <w:hideMark/>
          </w:tcPr>
          <w:p w14:paraId="3C2211A7" w14:textId="77777777" w:rsidR="007B7492" w:rsidRPr="007B7492" w:rsidRDefault="007B7492" w:rsidP="003714DF">
            <w:pPr>
              <w:pStyle w:val="TableTextLeft"/>
            </w:pPr>
            <w:r w:rsidRPr="007B7492">
              <w:t>Gross operating expenses</w:t>
            </w:r>
          </w:p>
        </w:tc>
        <w:tc>
          <w:tcPr>
            <w:tcW w:w="359" w:type="pct"/>
            <w:tcBorders>
              <w:top w:val="nil"/>
              <w:left w:val="nil"/>
              <w:bottom w:val="nil"/>
              <w:right w:val="nil"/>
            </w:tcBorders>
            <w:shd w:val="clear" w:color="000000" w:fill="FFFFFF"/>
            <w:noWrap/>
            <w:vAlign w:val="center"/>
            <w:hideMark/>
          </w:tcPr>
          <w:p w14:paraId="020C0618" w14:textId="77777777" w:rsidR="007B7492" w:rsidRPr="007B7492" w:rsidRDefault="007B7492"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225272B4"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E6F2FF"/>
            <w:noWrap/>
            <w:vAlign w:val="center"/>
            <w:hideMark/>
          </w:tcPr>
          <w:p w14:paraId="50072EC5"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FFFFFF"/>
            <w:noWrap/>
            <w:vAlign w:val="center"/>
            <w:hideMark/>
          </w:tcPr>
          <w:p w14:paraId="3E9A2212" w14:textId="77777777" w:rsidR="007B7492" w:rsidRPr="00897CEF" w:rsidRDefault="007B7492" w:rsidP="00D32902">
            <w:pPr>
              <w:pStyle w:val="TableTextRight"/>
              <w:rPr>
                <w:rFonts w:cs="Arial"/>
                <w:szCs w:val="16"/>
              </w:rPr>
            </w:pPr>
            <w:r w:rsidRPr="00897CEF">
              <w:rPr>
                <w:rFonts w:cs="Arial"/>
                <w:szCs w:val="16"/>
              </w:rPr>
              <w:t> </w:t>
            </w:r>
          </w:p>
        </w:tc>
        <w:tc>
          <w:tcPr>
            <w:tcW w:w="521" w:type="pct"/>
            <w:tcBorders>
              <w:top w:val="nil"/>
              <w:left w:val="nil"/>
              <w:bottom w:val="nil"/>
              <w:right w:val="nil"/>
            </w:tcBorders>
            <w:shd w:val="clear" w:color="000000" w:fill="FFFFFF"/>
            <w:noWrap/>
            <w:vAlign w:val="center"/>
            <w:hideMark/>
          </w:tcPr>
          <w:p w14:paraId="3A19D299" w14:textId="77777777" w:rsidR="007B7492" w:rsidRPr="00897CEF" w:rsidRDefault="007B7492" w:rsidP="00D32902">
            <w:pPr>
              <w:pStyle w:val="TableTextRight"/>
              <w:rPr>
                <w:rFonts w:cs="Arial"/>
                <w:szCs w:val="16"/>
              </w:rPr>
            </w:pPr>
            <w:r w:rsidRPr="00897CEF">
              <w:rPr>
                <w:rFonts w:cs="Arial"/>
                <w:szCs w:val="16"/>
              </w:rPr>
              <w:t> </w:t>
            </w:r>
          </w:p>
        </w:tc>
        <w:tc>
          <w:tcPr>
            <w:tcW w:w="533" w:type="pct"/>
            <w:tcBorders>
              <w:top w:val="nil"/>
              <w:left w:val="nil"/>
              <w:bottom w:val="nil"/>
              <w:right w:val="nil"/>
            </w:tcBorders>
            <w:shd w:val="clear" w:color="000000" w:fill="FFFFFF"/>
            <w:noWrap/>
            <w:vAlign w:val="center"/>
            <w:hideMark/>
          </w:tcPr>
          <w:p w14:paraId="0BB10B0E" w14:textId="77777777" w:rsidR="007B7492" w:rsidRPr="00897CEF" w:rsidRDefault="007B7492" w:rsidP="00D32902">
            <w:pPr>
              <w:pStyle w:val="TableTextRight"/>
              <w:rPr>
                <w:rFonts w:cs="Arial"/>
                <w:szCs w:val="16"/>
              </w:rPr>
            </w:pPr>
            <w:r w:rsidRPr="00897CEF">
              <w:rPr>
                <w:rFonts w:cs="Arial"/>
                <w:szCs w:val="16"/>
              </w:rPr>
              <w:t> </w:t>
            </w:r>
          </w:p>
        </w:tc>
      </w:tr>
      <w:tr w:rsidR="00B73360" w:rsidRPr="007B7492" w14:paraId="7A97F1DE" w14:textId="77777777" w:rsidTr="00170877">
        <w:trPr>
          <w:trHeight w:val="225"/>
        </w:trPr>
        <w:tc>
          <w:tcPr>
            <w:tcW w:w="2022" w:type="pct"/>
            <w:tcBorders>
              <w:top w:val="nil"/>
              <w:left w:val="nil"/>
              <w:bottom w:val="nil"/>
              <w:right w:val="nil"/>
            </w:tcBorders>
            <w:shd w:val="clear" w:color="000000" w:fill="FFFFFF"/>
            <w:noWrap/>
            <w:vAlign w:val="center"/>
            <w:hideMark/>
          </w:tcPr>
          <w:p w14:paraId="3BEACDF7" w14:textId="77777777" w:rsidR="00B73360" w:rsidRPr="00DA3A10" w:rsidRDefault="00B73360" w:rsidP="003714DF">
            <w:pPr>
              <w:pStyle w:val="TableTextIndented"/>
              <w:rPr>
                <w:rFonts w:cs="Arial"/>
                <w:szCs w:val="16"/>
              </w:rPr>
            </w:pPr>
            <w:r w:rsidRPr="00DA3A10">
              <w:rPr>
                <w:rFonts w:cs="Arial"/>
                <w:szCs w:val="16"/>
              </w:rPr>
              <w:t>Wages and salaries(a)</w:t>
            </w:r>
          </w:p>
        </w:tc>
        <w:tc>
          <w:tcPr>
            <w:tcW w:w="359" w:type="pct"/>
            <w:tcBorders>
              <w:top w:val="nil"/>
              <w:left w:val="nil"/>
              <w:bottom w:val="nil"/>
              <w:right w:val="nil"/>
            </w:tcBorders>
            <w:shd w:val="clear" w:color="000000" w:fill="FFFFFF"/>
            <w:noWrap/>
            <w:vAlign w:val="center"/>
            <w:hideMark/>
          </w:tcPr>
          <w:p w14:paraId="39EC517A" w14:textId="77777777" w:rsidR="00B73360" w:rsidRPr="007B7492" w:rsidRDefault="00B73360" w:rsidP="00C271F9">
            <w:pPr>
              <w:pStyle w:val="TableTextCentred"/>
            </w:pPr>
            <w:r w:rsidRPr="007B7492">
              <w:t xml:space="preserve">   7 </w:t>
            </w:r>
          </w:p>
        </w:tc>
        <w:tc>
          <w:tcPr>
            <w:tcW w:w="521" w:type="pct"/>
            <w:tcBorders>
              <w:top w:val="nil"/>
              <w:left w:val="nil"/>
              <w:bottom w:val="nil"/>
              <w:right w:val="nil"/>
            </w:tcBorders>
            <w:shd w:val="clear" w:color="000000" w:fill="FFFFFF"/>
            <w:noWrap/>
            <w:vAlign w:val="center"/>
            <w:hideMark/>
          </w:tcPr>
          <w:p w14:paraId="39FE7981" w14:textId="5E2065A0" w:rsidR="00B73360" w:rsidRPr="00897CEF" w:rsidRDefault="00B73360" w:rsidP="00D32902">
            <w:pPr>
              <w:pStyle w:val="TableTextRight"/>
              <w:rPr>
                <w:rFonts w:cs="Arial"/>
                <w:color w:val="000000"/>
                <w:szCs w:val="16"/>
              </w:rPr>
            </w:pPr>
            <w:r w:rsidRPr="00897CEF">
              <w:rPr>
                <w:rFonts w:cs="Arial"/>
                <w:color w:val="000000"/>
                <w:szCs w:val="16"/>
              </w:rPr>
              <w:t>27,326</w:t>
            </w:r>
          </w:p>
        </w:tc>
        <w:tc>
          <w:tcPr>
            <w:tcW w:w="521" w:type="pct"/>
            <w:tcBorders>
              <w:top w:val="nil"/>
              <w:left w:val="nil"/>
              <w:bottom w:val="nil"/>
              <w:right w:val="nil"/>
            </w:tcBorders>
            <w:shd w:val="clear" w:color="000000" w:fill="E6F2FF"/>
            <w:noWrap/>
            <w:vAlign w:val="center"/>
            <w:hideMark/>
          </w:tcPr>
          <w:p w14:paraId="72882EF0" w14:textId="1C3825A8" w:rsidR="00B73360" w:rsidRPr="00897CEF" w:rsidRDefault="00B73360" w:rsidP="00D32902">
            <w:pPr>
              <w:pStyle w:val="TableTextRight"/>
              <w:rPr>
                <w:rFonts w:cs="Arial"/>
                <w:color w:val="000000"/>
                <w:szCs w:val="16"/>
              </w:rPr>
            </w:pPr>
            <w:r w:rsidRPr="00897CEF">
              <w:rPr>
                <w:rFonts w:cs="Arial"/>
                <w:color w:val="000000"/>
                <w:szCs w:val="16"/>
              </w:rPr>
              <w:t>29,440</w:t>
            </w:r>
          </w:p>
        </w:tc>
        <w:tc>
          <w:tcPr>
            <w:tcW w:w="521" w:type="pct"/>
            <w:tcBorders>
              <w:top w:val="nil"/>
              <w:left w:val="nil"/>
              <w:bottom w:val="nil"/>
              <w:right w:val="nil"/>
            </w:tcBorders>
            <w:shd w:val="clear" w:color="000000" w:fill="FFFFFF"/>
            <w:noWrap/>
            <w:vAlign w:val="center"/>
            <w:hideMark/>
          </w:tcPr>
          <w:p w14:paraId="6D7DAEA9" w14:textId="4CCDE24E" w:rsidR="00B73360" w:rsidRPr="00897CEF" w:rsidRDefault="00B73360" w:rsidP="00D32902">
            <w:pPr>
              <w:pStyle w:val="TableTextRight"/>
              <w:rPr>
                <w:rFonts w:cs="Arial"/>
                <w:color w:val="000000"/>
                <w:szCs w:val="16"/>
              </w:rPr>
            </w:pPr>
            <w:r w:rsidRPr="00897CEF">
              <w:rPr>
                <w:rFonts w:cs="Arial"/>
                <w:color w:val="000000"/>
                <w:szCs w:val="16"/>
              </w:rPr>
              <w:t>29,282</w:t>
            </w:r>
          </w:p>
        </w:tc>
        <w:tc>
          <w:tcPr>
            <w:tcW w:w="521" w:type="pct"/>
            <w:tcBorders>
              <w:top w:val="nil"/>
              <w:left w:val="nil"/>
              <w:bottom w:val="nil"/>
              <w:right w:val="nil"/>
            </w:tcBorders>
            <w:shd w:val="clear" w:color="000000" w:fill="FFFFFF"/>
            <w:noWrap/>
            <w:vAlign w:val="center"/>
            <w:hideMark/>
          </w:tcPr>
          <w:p w14:paraId="09A284CE" w14:textId="02CF05F7" w:rsidR="00B73360" w:rsidRPr="00897CEF" w:rsidRDefault="00B73360" w:rsidP="00D32902">
            <w:pPr>
              <w:pStyle w:val="TableTextRight"/>
              <w:rPr>
                <w:rFonts w:cs="Arial"/>
                <w:color w:val="000000"/>
                <w:szCs w:val="16"/>
              </w:rPr>
            </w:pPr>
            <w:r w:rsidRPr="00897CEF">
              <w:rPr>
                <w:rFonts w:cs="Arial"/>
                <w:color w:val="000000"/>
                <w:szCs w:val="16"/>
              </w:rPr>
              <w:t>29,256</w:t>
            </w:r>
          </w:p>
        </w:tc>
        <w:tc>
          <w:tcPr>
            <w:tcW w:w="533" w:type="pct"/>
            <w:tcBorders>
              <w:top w:val="nil"/>
              <w:left w:val="nil"/>
              <w:bottom w:val="nil"/>
              <w:right w:val="nil"/>
            </w:tcBorders>
            <w:shd w:val="clear" w:color="000000" w:fill="FFFFFF"/>
            <w:noWrap/>
            <w:vAlign w:val="center"/>
            <w:hideMark/>
          </w:tcPr>
          <w:p w14:paraId="3ACD8C9B" w14:textId="213CE571" w:rsidR="00B73360" w:rsidRPr="00897CEF" w:rsidRDefault="00B73360" w:rsidP="00D32902">
            <w:pPr>
              <w:pStyle w:val="TableTextRight"/>
              <w:rPr>
                <w:rFonts w:cs="Arial"/>
                <w:color w:val="000000"/>
                <w:szCs w:val="16"/>
              </w:rPr>
            </w:pPr>
            <w:r w:rsidRPr="00897CEF">
              <w:rPr>
                <w:rFonts w:cs="Arial"/>
                <w:color w:val="000000"/>
                <w:szCs w:val="16"/>
              </w:rPr>
              <w:t>29,659</w:t>
            </w:r>
          </w:p>
        </w:tc>
      </w:tr>
      <w:tr w:rsidR="00B73360" w:rsidRPr="007B7492" w14:paraId="00289209" w14:textId="77777777" w:rsidTr="00170877">
        <w:trPr>
          <w:trHeight w:val="225"/>
        </w:trPr>
        <w:tc>
          <w:tcPr>
            <w:tcW w:w="2022" w:type="pct"/>
            <w:tcBorders>
              <w:top w:val="nil"/>
              <w:left w:val="nil"/>
              <w:bottom w:val="nil"/>
              <w:right w:val="nil"/>
            </w:tcBorders>
            <w:shd w:val="clear" w:color="000000" w:fill="FFFFFF"/>
            <w:noWrap/>
            <w:vAlign w:val="center"/>
            <w:hideMark/>
          </w:tcPr>
          <w:p w14:paraId="3226D081" w14:textId="77777777" w:rsidR="00B73360" w:rsidRPr="00DA3A10" w:rsidRDefault="00B73360" w:rsidP="003714DF">
            <w:pPr>
              <w:pStyle w:val="TableTextIndented"/>
              <w:rPr>
                <w:rFonts w:cs="Arial"/>
                <w:szCs w:val="16"/>
              </w:rPr>
            </w:pPr>
            <w:r w:rsidRPr="00DA3A10">
              <w:rPr>
                <w:rFonts w:cs="Arial"/>
                <w:szCs w:val="16"/>
              </w:rPr>
              <w:t>Superannuation</w:t>
            </w:r>
          </w:p>
        </w:tc>
        <w:tc>
          <w:tcPr>
            <w:tcW w:w="359" w:type="pct"/>
            <w:tcBorders>
              <w:top w:val="nil"/>
              <w:left w:val="nil"/>
              <w:bottom w:val="nil"/>
              <w:right w:val="nil"/>
            </w:tcBorders>
            <w:shd w:val="clear" w:color="000000" w:fill="FFFFFF"/>
            <w:noWrap/>
            <w:vAlign w:val="center"/>
            <w:hideMark/>
          </w:tcPr>
          <w:p w14:paraId="1619AC46" w14:textId="77777777" w:rsidR="00B73360" w:rsidRPr="007B7492" w:rsidRDefault="00B73360" w:rsidP="00C271F9">
            <w:pPr>
              <w:pStyle w:val="TableTextCentred"/>
            </w:pPr>
            <w:r w:rsidRPr="007B7492">
              <w:t xml:space="preserve">   7 </w:t>
            </w:r>
          </w:p>
        </w:tc>
        <w:tc>
          <w:tcPr>
            <w:tcW w:w="521" w:type="pct"/>
            <w:tcBorders>
              <w:top w:val="nil"/>
              <w:left w:val="nil"/>
              <w:bottom w:val="nil"/>
              <w:right w:val="nil"/>
            </w:tcBorders>
            <w:shd w:val="clear" w:color="000000" w:fill="FFFFFF"/>
            <w:noWrap/>
            <w:vAlign w:val="center"/>
            <w:hideMark/>
          </w:tcPr>
          <w:p w14:paraId="71F2B0E0" w14:textId="47528B5D" w:rsidR="00B73360" w:rsidRPr="00897CEF" w:rsidRDefault="00B73360" w:rsidP="00D32902">
            <w:pPr>
              <w:pStyle w:val="TableTextRight"/>
              <w:rPr>
                <w:rFonts w:cs="Arial"/>
                <w:color w:val="000000"/>
                <w:szCs w:val="16"/>
              </w:rPr>
            </w:pPr>
            <w:r w:rsidRPr="00897CEF">
              <w:rPr>
                <w:rFonts w:cs="Arial"/>
                <w:color w:val="000000"/>
                <w:szCs w:val="16"/>
              </w:rPr>
              <w:t>9,042</w:t>
            </w:r>
          </w:p>
        </w:tc>
        <w:tc>
          <w:tcPr>
            <w:tcW w:w="521" w:type="pct"/>
            <w:tcBorders>
              <w:top w:val="nil"/>
              <w:left w:val="nil"/>
              <w:bottom w:val="nil"/>
              <w:right w:val="nil"/>
            </w:tcBorders>
            <w:shd w:val="clear" w:color="000000" w:fill="E6F2FF"/>
            <w:noWrap/>
            <w:vAlign w:val="center"/>
            <w:hideMark/>
          </w:tcPr>
          <w:p w14:paraId="06786B1A" w14:textId="15DB9481" w:rsidR="00B73360" w:rsidRPr="00897CEF" w:rsidRDefault="00B73360" w:rsidP="00D32902">
            <w:pPr>
              <w:pStyle w:val="TableTextRight"/>
              <w:rPr>
                <w:rFonts w:cs="Arial"/>
                <w:color w:val="000000"/>
                <w:szCs w:val="16"/>
              </w:rPr>
            </w:pPr>
            <w:r w:rsidRPr="00897CEF">
              <w:rPr>
                <w:rFonts w:cs="Arial"/>
                <w:color w:val="000000"/>
                <w:szCs w:val="16"/>
              </w:rPr>
              <w:t>8,301</w:t>
            </w:r>
          </w:p>
        </w:tc>
        <w:tc>
          <w:tcPr>
            <w:tcW w:w="521" w:type="pct"/>
            <w:tcBorders>
              <w:top w:val="nil"/>
              <w:left w:val="nil"/>
              <w:bottom w:val="nil"/>
              <w:right w:val="nil"/>
            </w:tcBorders>
            <w:shd w:val="clear" w:color="000000" w:fill="FFFFFF"/>
            <w:noWrap/>
            <w:vAlign w:val="center"/>
            <w:hideMark/>
          </w:tcPr>
          <w:p w14:paraId="54B1834F" w14:textId="688C77CB" w:rsidR="00B73360" w:rsidRPr="00897CEF" w:rsidRDefault="00B73360" w:rsidP="00D32902">
            <w:pPr>
              <w:pStyle w:val="TableTextRight"/>
              <w:rPr>
                <w:rFonts w:cs="Arial"/>
                <w:color w:val="000000"/>
                <w:szCs w:val="16"/>
              </w:rPr>
            </w:pPr>
            <w:r w:rsidRPr="00897CEF">
              <w:rPr>
                <w:rFonts w:cs="Arial"/>
                <w:color w:val="000000"/>
                <w:szCs w:val="16"/>
              </w:rPr>
              <w:t>8,560</w:t>
            </w:r>
          </w:p>
        </w:tc>
        <w:tc>
          <w:tcPr>
            <w:tcW w:w="521" w:type="pct"/>
            <w:tcBorders>
              <w:top w:val="nil"/>
              <w:left w:val="nil"/>
              <w:bottom w:val="nil"/>
              <w:right w:val="nil"/>
            </w:tcBorders>
            <w:shd w:val="clear" w:color="000000" w:fill="FFFFFF"/>
            <w:noWrap/>
            <w:vAlign w:val="center"/>
            <w:hideMark/>
          </w:tcPr>
          <w:p w14:paraId="390756C0" w14:textId="7BA4F07C" w:rsidR="00B73360" w:rsidRPr="00897CEF" w:rsidRDefault="00B73360" w:rsidP="00D32902">
            <w:pPr>
              <w:pStyle w:val="TableTextRight"/>
              <w:rPr>
                <w:rFonts w:cs="Arial"/>
                <w:color w:val="000000"/>
                <w:szCs w:val="16"/>
              </w:rPr>
            </w:pPr>
            <w:r w:rsidRPr="00897CEF">
              <w:rPr>
                <w:rFonts w:cs="Arial"/>
                <w:color w:val="000000"/>
                <w:szCs w:val="16"/>
              </w:rPr>
              <w:t>8,989</w:t>
            </w:r>
          </w:p>
        </w:tc>
        <w:tc>
          <w:tcPr>
            <w:tcW w:w="533" w:type="pct"/>
            <w:tcBorders>
              <w:top w:val="nil"/>
              <w:left w:val="nil"/>
              <w:bottom w:val="nil"/>
              <w:right w:val="nil"/>
            </w:tcBorders>
            <w:shd w:val="clear" w:color="000000" w:fill="FFFFFF"/>
            <w:noWrap/>
            <w:vAlign w:val="center"/>
            <w:hideMark/>
          </w:tcPr>
          <w:p w14:paraId="6997D08D" w14:textId="0F5DFA00" w:rsidR="00B73360" w:rsidRPr="00897CEF" w:rsidRDefault="00B73360" w:rsidP="00D32902">
            <w:pPr>
              <w:pStyle w:val="TableTextRight"/>
              <w:rPr>
                <w:rFonts w:cs="Arial"/>
                <w:color w:val="000000"/>
                <w:szCs w:val="16"/>
              </w:rPr>
            </w:pPr>
            <w:r w:rsidRPr="00897CEF">
              <w:rPr>
                <w:rFonts w:cs="Arial"/>
                <w:color w:val="000000"/>
                <w:szCs w:val="16"/>
              </w:rPr>
              <w:t>9,315</w:t>
            </w:r>
          </w:p>
        </w:tc>
      </w:tr>
      <w:tr w:rsidR="00B73360" w:rsidRPr="007B7492" w14:paraId="2BE162B9" w14:textId="77777777" w:rsidTr="00170877">
        <w:trPr>
          <w:trHeight w:val="225"/>
        </w:trPr>
        <w:tc>
          <w:tcPr>
            <w:tcW w:w="2022" w:type="pct"/>
            <w:tcBorders>
              <w:top w:val="nil"/>
              <w:left w:val="nil"/>
              <w:bottom w:val="nil"/>
              <w:right w:val="nil"/>
            </w:tcBorders>
            <w:shd w:val="clear" w:color="000000" w:fill="FFFFFF"/>
            <w:noWrap/>
            <w:vAlign w:val="center"/>
            <w:hideMark/>
          </w:tcPr>
          <w:p w14:paraId="2F770A75" w14:textId="77777777" w:rsidR="00B73360" w:rsidRPr="00DA3A10" w:rsidRDefault="00B73360" w:rsidP="003714DF">
            <w:pPr>
              <w:pStyle w:val="TableTextIndented"/>
              <w:rPr>
                <w:rFonts w:cs="Arial"/>
                <w:szCs w:val="16"/>
              </w:rPr>
            </w:pPr>
            <w:r w:rsidRPr="00DA3A10">
              <w:rPr>
                <w:rFonts w:cs="Arial"/>
                <w:szCs w:val="16"/>
              </w:rPr>
              <w:t>Depreciation and amortisation</w:t>
            </w:r>
          </w:p>
        </w:tc>
        <w:tc>
          <w:tcPr>
            <w:tcW w:w="359" w:type="pct"/>
            <w:tcBorders>
              <w:top w:val="nil"/>
              <w:left w:val="nil"/>
              <w:bottom w:val="nil"/>
              <w:right w:val="nil"/>
            </w:tcBorders>
            <w:shd w:val="clear" w:color="000000" w:fill="FFFFFF"/>
            <w:noWrap/>
            <w:vAlign w:val="center"/>
            <w:hideMark/>
          </w:tcPr>
          <w:p w14:paraId="04D90446" w14:textId="77777777" w:rsidR="00B73360" w:rsidRPr="007B7492" w:rsidRDefault="00B73360" w:rsidP="00C271F9">
            <w:pPr>
              <w:pStyle w:val="TableTextCentred"/>
            </w:pPr>
            <w:r w:rsidRPr="007B7492">
              <w:t xml:space="preserve">   8 </w:t>
            </w:r>
          </w:p>
        </w:tc>
        <w:tc>
          <w:tcPr>
            <w:tcW w:w="521" w:type="pct"/>
            <w:tcBorders>
              <w:top w:val="nil"/>
              <w:left w:val="nil"/>
              <w:bottom w:val="nil"/>
              <w:right w:val="nil"/>
            </w:tcBorders>
            <w:shd w:val="clear" w:color="000000" w:fill="FFFFFF"/>
            <w:noWrap/>
            <w:vAlign w:val="center"/>
            <w:hideMark/>
          </w:tcPr>
          <w:p w14:paraId="1485A429" w14:textId="4AA396BE" w:rsidR="00B73360" w:rsidRPr="00897CEF" w:rsidRDefault="00B73360" w:rsidP="00D32902">
            <w:pPr>
              <w:pStyle w:val="TableTextRight"/>
              <w:rPr>
                <w:rFonts w:cs="Arial"/>
                <w:color w:val="000000"/>
                <w:szCs w:val="16"/>
              </w:rPr>
            </w:pPr>
            <w:r w:rsidRPr="00897CEF">
              <w:rPr>
                <w:rFonts w:cs="Arial"/>
                <w:color w:val="000000"/>
                <w:szCs w:val="16"/>
              </w:rPr>
              <w:t>12,889</w:t>
            </w:r>
          </w:p>
        </w:tc>
        <w:tc>
          <w:tcPr>
            <w:tcW w:w="521" w:type="pct"/>
            <w:tcBorders>
              <w:top w:val="nil"/>
              <w:left w:val="nil"/>
              <w:bottom w:val="nil"/>
              <w:right w:val="nil"/>
            </w:tcBorders>
            <w:shd w:val="clear" w:color="000000" w:fill="E6F2FF"/>
            <w:noWrap/>
            <w:vAlign w:val="center"/>
            <w:hideMark/>
          </w:tcPr>
          <w:p w14:paraId="65F76B3F" w14:textId="67E1650E" w:rsidR="00B73360" w:rsidRPr="00897CEF" w:rsidRDefault="00B73360" w:rsidP="00D32902">
            <w:pPr>
              <w:pStyle w:val="TableTextRight"/>
              <w:rPr>
                <w:rFonts w:cs="Arial"/>
                <w:color w:val="000000"/>
                <w:szCs w:val="16"/>
              </w:rPr>
            </w:pPr>
            <w:r w:rsidRPr="00897CEF">
              <w:rPr>
                <w:rFonts w:cs="Arial"/>
                <w:color w:val="000000"/>
                <w:szCs w:val="16"/>
              </w:rPr>
              <w:t>13,003</w:t>
            </w:r>
          </w:p>
        </w:tc>
        <w:tc>
          <w:tcPr>
            <w:tcW w:w="521" w:type="pct"/>
            <w:tcBorders>
              <w:top w:val="nil"/>
              <w:left w:val="nil"/>
              <w:bottom w:val="nil"/>
              <w:right w:val="nil"/>
            </w:tcBorders>
            <w:shd w:val="clear" w:color="000000" w:fill="FFFFFF"/>
            <w:noWrap/>
            <w:vAlign w:val="center"/>
            <w:hideMark/>
          </w:tcPr>
          <w:p w14:paraId="5FDA2C1F" w14:textId="7DC82D8D" w:rsidR="00B73360" w:rsidRPr="00897CEF" w:rsidRDefault="00B73360" w:rsidP="00D32902">
            <w:pPr>
              <w:pStyle w:val="TableTextRight"/>
              <w:rPr>
                <w:rFonts w:cs="Arial"/>
                <w:color w:val="000000"/>
                <w:szCs w:val="16"/>
              </w:rPr>
            </w:pPr>
            <w:r w:rsidRPr="00897CEF">
              <w:rPr>
                <w:rFonts w:cs="Arial"/>
                <w:color w:val="000000"/>
                <w:szCs w:val="16"/>
              </w:rPr>
              <w:t>13,200</w:t>
            </w:r>
          </w:p>
        </w:tc>
        <w:tc>
          <w:tcPr>
            <w:tcW w:w="521" w:type="pct"/>
            <w:tcBorders>
              <w:top w:val="nil"/>
              <w:left w:val="nil"/>
              <w:bottom w:val="nil"/>
              <w:right w:val="nil"/>
            </w:tcBorders>
            <w:shd w:val="clear" w:color="000000" w:fill="FFFFFF"/>
            <w:noWrap/>
            <w:vAlign w:val="center"/>
            <w:hideMark/>
          </w:tcPr>
          <w:p w14:paraId="4FDB921A" w14:textId="27B3436A" w:rsidR="00B73360" w:rsidRPr="00897CEF" w:rsidRDefault="00B73360" w:rsidP="00D32902">
            <w:pPr>
              <w:pStyle w:val="TableTextRight"/>
              <w:rPr>
                <w:rFonts w:cs="Arial"/>
                <w:color w:val="000000"/>
                <w:szCs w:val="16"/>
              </w:rPr>
            </w:pPr>
            <w:r w:rsidRPr="00897CEF">
              <w:rPr>
                <w:rFonts w:cs="Arial"/>
                <w:color w:val="000000"/>
                <w:szCs w:val="16"/>
              </w:rPr>
              <w:t>13,380</w:t>
            </w:r>
          </w:p>
        </w:tc>
        <w:tc>
          <w:tcPr>
            <w:tcW w:w="533" w:type="pct"/>
            <w:tcBorders>
              <w:top w:val="nil"/>
              <w:left w:val="nil"/>
              <w:bottom w:val="nil"/>
              <w:right w:val="nil"/>
            </w:tcBorders>
            <w:shd w:val="clear" w:color="000000" w:fill="FFFFFF"/>
            <w:noWrap/>
            <w:vAlign w:val="center"/>
            <w:hideMark/>
          </w:tcPr>
          <w:p w14:paraId="3580DE6A" w14:textId="38B4B9FF" w:rsidR="00B73360" w:rsidRPr="00897CEF" w:rsidRDefault="00B73360" w:rsidP="00D32902">
            <w:pPr>
              <w:pStyle w:val="TableTextRight"/>
              <w:rPr>
                <w:rFonts w:cs="Arial"/>
                <w:color w:val="000000"/>
                <w:szCs w:val="16"/>
              </w:rPr>
            </w:pPr>
            <w:r w:rsidRPr="00897CEF">
              <w:rPr>
                <w:rFonts w:cs="Arial"/>
                <w:color w:val="000000"/>
                <w:szCs w:val="16"/>
              </w:rPr>
              <w:t>13,501</w:t>
            </w:r>
          </w:p>
        </w:tc>
      </w:tr>
      <w:tr w:rsidR="00B73360" w:rsidRPr="007B7492" w14:paraId="26E89995" w14:textId="77777777" w:rsidTr="00170877">
        <w:trPr>
          <w:trHeight w:val="225"/>
        </w:trPr>
        <w:tc>
          <w:tcPr>
            <w:tcW w:w="2022" w:type="pct"/>
            <w:tcBorders>
              <w:top w:val="nil"/>
              <w:left w:val="nil"/>
              <w:bottom w:val="nil"/>
              <w:right w:val="nil"/>
            </w:tcBorders>
            <w:shd w:val="clear" w:color="000000" w:fill="FFFFFF"/>
            <w:noWrap/>
            <w:vAlign w:val="center"/>
            <w:hideMark/>
          </w:tcPr>
          <w:p w14:paraId="0095215D" w14:textId="77777777" w:rsidR="00B73360" w:rsidRPr="00DA3A10" w:rsidRDefault="00B73360" w:rsidP="003714DF">
            <w:pPr>
              <w:pStyle w:val="TableTextIndented"/>
              <w:rPr>
                <w:rFonts w:cs="Arial"/>
                <w:szCs w:val="16"/>
              </w:rPr>
            </w:pPr>
            <w:r w:rsidRPr="00DA3A10">
              <w:rPr>
                <w:rFonts w:cs="Arial"/>
                <w:szCs w:val="16"/>
              </w:rPr>
              <w:t>Supply of goods and services</w:t>
            </w:r>
          </w:p>
        </w:tc>
        <w:tc>
          <w:tcPr>
            <w:tcW w:w="359" w:type="pct"/>
            <w:tcBorders>
              <w:top w:val="nil"/>
              <w:left w:val="nil"/>
              <w:bottom w:val="nil"/>
              <w:right w:val="nil"/>
            </w:tcBorders>
            <w:shd w:val="clear" w:color="000000" w:fill="FFFFFF"/>
            <w:noWrap/>
            <w:vAlign w:val="center"/>
            <w:hideMark/>
          </w:tcPr>
          <w:p w14:paraId="742D8B34" w14:textId="77777777" w:rsidR="00B73360" w:rsidRPr="007B7492" w:rsidRDefault="00B73360" w:rsidP="00C271F9">
            <w:pPr>
              <w:pStyle w:val="TableTextCentred"/>
            </w:pPr>
            <w:r w:rsidRPr="007B7492">
              <w:t xml:space="preserve">   9 </w:t>
            </w:r>
          </w:p>
        </w:tc>
        <w:tc>
          <w:tcPr>
            <w:tcW w:w="521" w:type="pct"/>
            <w:tcBorders>
              <w:top w:val="nil"/>
              <w:left w:val="nil"/>
              <w:bottom w:val="nil"/>
              <w:right w:val="nil"/>
            </w:tcBorders>
            <w:shd w:val="clear" w:color="000000" w:fill="FFFFFF"/>
            <w:noWrap/>
            <w:vAlign w:val="center"/>
            <w:hideMark/>
          </w:tcPr>
          <w:p w14:paraId="1242405B" w14:textId="0B35831B" w:rsidR="00B73360" w:rsidRPr="00897CEF" w:rsidRDefault="00B73360" w:rsidP="00D32902">
            <w:pPr>
              <w:pStyle w:val="TableTextRight"/>
              <w:rPr>
                <w:rFonts w:cs="Arial"/>
                <w:color w:val="000000"/>
                <w:szCs w:val="16"/>
              </w:rPr>
            </w:pPr>
            <w:r w:rsidRPr="00897CEF">
              <w:rPr>
                <w:rFonts w:cs="Arial"/>
                <w:color w:val="000000"/>
                <w:szCs w:val="16"/>
              </w:rPr>
              <w:t>194,974</w:t>
            </w:r>
          </w:p>
        </w:tc>
        <w:tc>
          <w:tcPr>
            <w:tcW w:w="521" w:type="pct"/>
            <w:tcBorders>
              <w:top w:val="nil"/>
              <w:left w:val="nil"/>
              <w:bottom w:val="nil"/>
              <w:right w:val="nil"/>
            </w:tcBorders>
            <w:shd w:val="clear" w:color="000000" w:fill="E6F2FF"/>
            <w:noWrap/>
            <w:vAlign w:val="center"/>
            <w:hideMark/>
          </w:tcPr>
          <w:p w14:paraId="12ABA8D2" w14:textId="7AC30359" w:rsidR="00B73360" w:rsidRPr="00897CEF" w:rsidRDefault="00B73360" w:rsidP="00D32902">
            <w:pPr>
              <w:pStyle w:val="TableTextRight"/>
              <w:rPr>
                <w:rFonts w:cs="Arial"/>
                <w:color w:val="000000"/>
                <w:szCs w:val="16"/>
              </w:rPr>
            </w:pPr>
            <w:r w:rsidRPr="00897CEF">
              <w:rPr>
                <w:rFonts w:cs="Arial"/>
                <w:color w:val="000000"/>
                <w:szCs w:val="16"/>
              </w:rPr>
              <w:t>211,694</w:t>
            </w:r>
          </w:p>
        </w:tc>
        <w:tc>
          <w:tcPr>
            <w:tcW w:w="521" w:type="pct"/>
            <w:tcBorders>
              <w:top w:val="nil"/>
              <w:left w:val="nil"/>
              <w:bottom w:val="nil"/>
              <w:right w:val="nil"/>
            </w:tcBorders>
            <w:shd w:val="clear" w:color="000000" w:fill="FFFFFF"/>
            <w:noWrap/>
            <w:vAlign w:val="center"/>
            <w:hideMark/>
          </w:tcPr>
          <w:p w14:paraId="5E7837E2" w14:textId="75FBD03D" w:rsidR="00B73360" w:rsidRPr="00897CEF" w:rsidRDefault="00B73360" w:rsidP="00D32902">
            <w:pPr>
              <w:pStyle w:val="TableTextRight"/>
              <w:rPr>
                <w:rFonts w:cs="Arial"/>
                <w:color w:val="000000"/>
                <w:szCs w:val="16"/>
              </w:rPr>
            </w:pPr>
            <w:r w:rsidRPr="00897CEF">
              <w:rPr>
                <w:rFonts w:cs="Arial"/>
                <w:color w:val="000000"/>
                <w:szCs w:val="16"/>
              </w:rPr>
              <w:t>223,794</w:t>
            </w:r>
          </w:p>
        </w:tc>
        <w:tc>
          <w:tcPr>
            <w:tcW w:w="521" w:type="pct"/>
            <w:tcBorders>
              <w:top w:val="nil"/>
              <w:left w:val="nil"/>
              <w:bottom w:val="nil"/>
              <w:right w:val="nil"/>
            </w:tcBorders>
            <w:shd w:val="clear" w:color="000000" w:fill="FFFFFF"/>
            <w:noWrap/>
            <w:vAlign w:val="center"/>
            <w:hideMark/>
          </w:tcPr>
          <w:p w14:paraId="4504D0C3" w14:textId="77B2BADF" w:rsidR="00B73360" w:rsidRPr="00897CEF" w:rsidRDefault="00B73360" w:rsidP="00D32902">
            <w:pPr>
              <w:pStyle w:val="TableTextRight"/>
              <w:rPr>
                <w:rFonts w:cs="Arial"/>
                <w:color w:val="000000"/>
                <w:szCs w:val="16"/>
              </w:rPr>
            </w:pPr>
            <w:r w:rsidRPr="00897CEF">
              <w:rPr>
                <w:rFonts w:cs="Arial"/>
                <w:color w:val="000000"/>
                <w:szCs w:val="16"/>
              </w:rPr>
              <w:t>230,947</w:t>
            </w:r>
          </w:p>
        </w:tc>
        <w:tc>
          <w:tcPr>
            <w:tcW w:w="533" w:type="pct"/>
            <w:tcBorders>
              <w:top w:val="nil"/>
              <w:left w:val="nil"/>
              <w:bottom w:val="nil"/>
              <w:right w:val="nil"/>
            </w:tcBorders>
            <w:shd w:val="clear" w:color="000000" w:fill="FFFFFF"/>
            <w:noWrap/>
            <w:vAlign w:val="center"/>
            <w:hideMark/>
          </w:tcPr>
          <w:p w14:paraId="64C9A5C0" w14:textId="103B3E2E" w:rsidR="00B73360" w:rsidRPr="00897CEF" w:rsidRDefault="00B73360" w:rsidP="00D32902">
            <w:pPr>
              <w:pStyle w:val="TableTextRight"/>
              <w:rPr>
                <w:rFonts w:cs="Arial"/>
                <w:color w:val="000000"/>
                <w:szCs w:val="16"/>
              </w:rPr>
            </w:pPr>
            <w:r w:rsidRPr="00897CEF">
              <w:rPr>
                <w:rFonts w:cs="Arial"/>
                <w:color w:val="000000"/>
                <w:szCs w:val="16"/>
              </w:rPr>
              <w:t>243,589</w:t>
            </w:r>
          </w:p>
        </w:tc>
      </w:tr>
      <w:tr w:rsidR="00B73360" w:rsidRPr="007B7492" w14:paraId="1957D322" w14:textId="77777777" w:rsidTr="00170877">
        <w:trPr>
          <w:trHeight w:val="225"/>
        </w:trPr>
        <w:tc>
          <w:tcPr>
            <w:tcW w:w="2022" w:type="pct"/>
            <w:tcBorders>
              <w:top w:val="nil"/>
              <w:left w:val="nil"/>
              <w:bottom w:val="nil"/>
              <w:right w:val="nil"/>
            </w:tcBorders>
            <w:shd w:val="clear" w:color="000000" w:fill="FFFFFF"/>
            <w:noWrap/>
            <w:vAlign w:val="center"/>
            <w:hideMark/>
          </w:tcPr>
          <w:p w14:paraId="4458B302" w14:textId="77777777" w:rsidR="00B73360" w:rsidRPr="00DA3A10" w:rsidRDefault="00B73360" w:rsidP="003714DF">
            <w:pPr>
              <w:pStyle w:val="TableTextIndented"/>
              <w:rPr>
                <w:rFonts w:cs="Arial"/>
                <w:szCs w:val="16"/>
              </w:rPr>
            </w:pPr>
            <w:r w:rsidRPr="00DA3A10">
              <w:rPr>
                <w:rFonts w:cs="Arial"/>
                <w:szCs w:val="16"/>
              </w:rPr>
              <w:t>Other operating expenses(a)</w:t>
            </w:r>
          </w:p>
        </w:tc>
        <w:tc>
          <w:tcPr>
            <w:tcW w:w="359" w:type="pct"/>
            <w:tcBorders>
              <w:top w:val="nil"/>
              <w:left w:val="nil"/>
              <w:bottom w:val="nil"/>
              <w:right w:val="nil"/>
            </w:tcBorders>
            <w:shd w:val="clear" w:color="000000" w:fill="FFFFFF"/>
            <w:noWrap/>
            <w:vAlign w:val="center"/>
            <w:hideMark/>
          </w:tcPr>
          <w:p w14:paraId="19D83151" w14:textId="77777777" w:rsidR="00B73360" w:rsidRPr="007B7492" w:rsidRDefault="00B73360" w:rsidP="00C271F9">
            <w:pPr>
              <w:pStyle w:val="TableTextCentred"/>
            </w:pPr>
            <w:r w:rsidRPr="007B7492">
              <w:t xml:space="preserve">   7 </w:t>
            </w:r>
          </w:p>
        </w:tc>
        <w:tc>
          <w:tcPr>
            <w:tcW w:w="521" w:type="pct"/>
            <w:tcBorders>
              <w:top w:val="nil"/>
              <w:left w:val="nil"/>
              <w:bottom w:val="nil"/>
              <w:right w:val="nil"/>
            </w:tcBorders>
            <w:shd w:val="clear" w:color="000000" w:fill="FFFFFF"/>
            <w:noWrap/>
            <w:vAlign w:val="center"/>
            <w:hideMark/>
          </w:tcPr>
          <w:p w14:paraId="15E89EE2" w14:textId="19536EDC" w:rsidR="00B73360" w:rsidRPr="00897CEF" w:rsidRDefault="00B73360" w:rsidP="00D32902">
            <w:pPr>
              <w:pStyle w:val="TableTextRight"/>
              <w:rPr>
                <w:rFonts w:cs="Arial"/>
                <w:color w:val="000000"/>
                <w:szCs w:val="16"/>
              </w:rPr>
            </w:pPr>
            <w:r w:rsidRPr="00897CEF">
              <w:rPr>
                <w:rFonts w:cs="Arial"/>
                <w:color w:val="000000"/>
                <w:szCs w:val="16"/>
              </w:rPr>
              <w:t>9,248</w:t>
            </w:r>
          </w:p>
        </w:tc>
        <w:tc>
          <w:tcPr>
            <w:tcW w:w="521" w:type="pct"/>
            <w:tcBorders>
              <w:top w:val="nil"/>
              <w:left w:val="nil"/>
              <w:bottom w:val="nil"/>
              <w:right w:val="nil"/>
            </w:tcBorders>
            <w:shd w:val="clear" w:color="000000" w:fill="E6F2FF"/>
            <w:noWrap/>
            <w:vAlign w:val="center"/>
            <w:hideMark/>
          </w:tcPr>
          <w:p w14:paraId="18240F42" w14:textId="4FD7EBB3" w:rsidR="00B73360" w:rsidRPr="00897CEF" w:rsidRDefault="00B73360" w:rsidP="00D32902">
            <w:pPr>
              <w:pStyle w:val="TableTextRight"/>
              <w:rPr>
                <w:rFonts w:cs="Arial"/>
                <w:color w:val="000000"/>
                <w:szCs w:val="16"/>
              </w:rPr>
            </w:pPr>
            <w:r w:rsidRPr="00897CEF">
              <w:rPr>
                <w:rFonts w:cs="Arial"/>
                <w:color w:val="000000"/>
                <w:szCs w:val="16"/>
              </w:rPr>
              <w:t>9,925</w:t>
            </w:r>
          </w:p>
        </w:tc>
        <w:tc>
          <w:tcPr>
            <w:tcW w:w="521" w:type="pct"/>
            <w:tcBorders>
              <w:top w:val="nil"/>
              <w:left w:val="nil"/>
              <w:bottom w:val="nil"/>
              <w:right w:val="nil"/>
            </w:tcBorders>
            <w:shd w:val="clear" w:color="000000" w:fill="FFFFFF"/>
            <w:noWrap/>
            <w:vAlign w:val="center"/>
            <w:hideMark/>
          </w:tcPr>
          <w:p w14:paraId="3A6A1192" w14:textId="4A233573" w:rsidR="00B73360" w:rsidRPr="00897CEF" w:rsidRDefault="00B73360" w:rsidP="00D32902">
            <w:pPr>
              <w:pStyle w:val="TableTextRight"/>
              <w:rPr>
                <w:rFonts w:cs="Arial"/>
                <w:color w:val="000000"/>
                <w:szCs w:val="16"/>
              </w:rPr>
            </w:pPr>
            <w:r w:rsidRPr="00897CEF">
              <w:rPr>
                <w:rFonts w:cs="Arial"/>
                <w:color w:val="000000"/>
                <w:szCs w:val="16"/>
              </w:rPr>
              <w:t>14,442</w:t>
            </w:r>
          </w:p>
        </w:tc>
        <w:tc>
          <w:tcPr>
            <w:tcW w:w="521" w:type="pct"/>
            <w:tcBorders>
              <w:top w:val="nil"/>
              <w:left w:val="nil"/>
              <w:bottom w:val="nil"/>
              <w:right w:val="nil"/>
            </w:tcBorders>
            <w:shd w:val="clear" w:color="000000" w:fill="FFFFFF"/>
            <w:noWrap/>
            <w:vAlign w:val="center"/>
            <w:hideMark/>
          </w:tcPr>
          <w:p w14:paraId="1230E988" w14:textId="2B8296BC" w:rsidR="00B73360" w:rsidRPr="00897CEF" w:rsidRDefault="00B73360" w:rsidP="00D32902">
            <w:pPr>
              <w:pStyle w:val="TableTextRight"/>
              <w:rPr>
                <w:rFonts w:cs="Arial"/>
                <w:color w:val="000000"/>
                <w:szCs w:val="16"/>
              </w:rPr>
            </w:pPr>
            <w:r w:rsidRPr="00897CEF">
              <w:rPr>
                <w:rFonts w:cs="Arial"/>
                <w:color w:val="000000"/>
                <w:szCs w:val="16"/>
              </w:rPr>
              <w:t>12,184</w:t>
            </w:r>
          </w:p>
        </w:tc>
        <w:tc>
          <w:tcPr>
            <w:tcW w:w="533" w:type="pct"/>
            <w:tcBorders>
              <w:top w:val="nil"/>
              <w:left w:val="nil"/>
              <w:bottom w:val="nil"/>
              <w:right w:val="nil"/>
            </w:tcBorders>
            <w:shd w:val="clear" w:color="000000" w:fill="FFFFFF"/>
            <w:noWrap/>
            <w:vAlign w:val="center"/>
            <w:hideMark/>
          </w:tcPr>
          <w:p w14:paraId="797BB190" w14:textId="0A8DB6A0" w:rsidR="00B73360" w:rsidRPr="00897CEF" w:rsidRDefault="00B73360" w:rsidP="00D32902">
            <w:pPr>
              <w:pStyle w:val="TableTextRight"/>
              <w:rPr>
                <w:rFonts w:cs="Arial"/>
                <w:color w:val="000000"/>
                <w:szCs w:val="16"/>
              </w:rPr>
            </w:pPr>
            <w:r w:rsidRPr="00897CEF">
              <w:rPr>
                <w:rFonts w:cs="Arial"/>
                <w:color w:val="000000"/>
                <w:szCs w:val="16"/>
              </w:rPr>
              <w:t>12,414</w:t>
            </w:r>
          </w:p>
        </w:tc>
      </w:tr>
      <w:tr w:rsidR="00B73360" w:rsidRPr="007B7492" w14:paraId="1D85676E" w14:textId="77777777" w:rsidTr="00170877">
        <w:trPr>
          <w:trHeight w:val="225"/>
        </w:trPr>
        <w:tc>
          <w:tcPr>
            <w:tcW w:w="2022" w:type="pct"/>
            <w:tcBorders>
              <w:top w:val="nil"/>
              <w:left w:val="nil"/>
              <w:bottom w:val="nil"/>
              <w:right w:val="nil"/>
            </w:tcBorders>
            <w:shd w:val="clear" w:color="000000" w:fill="FFFFFF"/>
            <w:noWrap/>
            <w:vAlign w:val="center"/>
            <w:hideMark/>
          </w:tcPr>
          <w:p w14:paraId="594B6F87" w14:textId="77777777" w:rsidR="00B73360" w:rsidRPr="00382B84" w:rsidRDefault="00B73360" w:rsidP="003714DF">
            <w:pPr>
              <w:pStyle w:val="TableTextLeft"/>
              <w:rPr>
                <w:rStyle w:val="Emphasis"/>
              </w:rPr>
            </w:pPr>
            <w:r w:rsidRPr="00382B84">
              <w:rPr>
                <w:rStyle w:val="Emphasis"/>
              </w:rPr>
              <w:t>Total gross operating expenses</w:t>
            </w:r>
          </w:p>
        </w:tc>
        <w:tc>
          <w:tcPr>
            <w:tcW w:w="359" w:type="pct"/>
            <w:tcBorders>
              <w:top w:val="nil"/>
              <w:left w:val="nil"/>
              <w:bottom w:val="nil"/>
              <w:right w:val="nil"/>
            </w:tcBorders>
            <w:shd w:val="clear" w:color="000000" w:fill="FFFFFF"/>
            <w:noWrap/>
            <w:vAlign w:val="center"/>
            <w:hideMark/>
          </w:tcPr>
          <w:p w14:paraId="3E028661" w14:textId="77777777" w:rsidR="00B73360" w:rsidRPr="007B7492" w:rsidRDefault="00B73360" w:rsidP="00C271F9">
            <w:pPr>
              <w:pStyle w:val="TableTextCentred"/>
              <w:rPr>
                <w:i/>
              </w:rPr>
            </w:pPr>
            <w:r w:rsidRPr="007B7492">
              <w:rPr>
                <w:i/>
              </w:rPr>
              <w:t> </w:t>
            </w:r>
          </w:p>
        </w:tc>
        <w:tc>
          <w:tcPr>
            <w:tcW w:w="521" w:type="pct"/>
            <w:tcBorders>
              <w:top w:val="nil"/>
              <w:left w:val="nil"/>
              <w:bottom w:val="nil"/>
              <w:right w:val="nil"/>
            </w:tcBorders>
            <w:shd w:val="clear" w:color="000000" w:fill="FFFFFF"/>
            <w:noWrap/>
            <w:vAlign w:val="center"/>
            <w:hideMark/>
          </w:tcPr>
          <w:p w14:paraId="01EA0624" w14:textId="1C8CFBB2" w:rsidR="00B73360" w:rsidRPr="00897CEF" w:rsidRDefault="00B73360" w:rsidP="00D32902">
            <w:pPr>
              <w:pStyle w:val="TableTextRight"/>
              <w:rPr>
                <w:rStyle w:val="Emphasis"/>
                <w:rFonts w:cs="Arial"/>
                <w:szCs w:val="16"/>
              </w:rPr>
            </w:pPr>
            <w:r w:rsidRPr="00897CEF">
              <w:rPr>
                <w:rStyle w:val="Emphasis"/>
                <w:rFonts w:cs="Arial"/>
                <w:szCs w:val="16"/>
              </w:rPr>
              <w:t>253,478</w:t>
            </w:r>
          </w:p>
        </w:tc>
        <w:tc>
          <w:tcPr>
            <w:tcW w:w="521" w:type="pct"/>
            <w:tcBorders>
              <w:top w:val="nil"/>
              <w:left w:val="nil"/>
              <w:bottom w:val="nil"/>
              <w:right w:val="nil"/>
            </w:tcBorders>
            <w:shd w:val="clear" w:color="000000" w:fill="E6F2FF"/>
            <w:noWrap/>
            <w:vAlign w:val="center"/>
            <w:hideMark/>
          </w:tcPr>
          <w:p w14:paraId="09FA50D3" w14:textId="18F30379" w:rsidR="00B73360" w:rsidRPr="00897CEF" w:rsidRDefault="00B73360" w:rsidP="00D32902">
            <w:pPr>
              <w:pStyle w:val="TableTextRight"/>
              <w:rPr>
                <w:rStyle w:val="Emphasis"/>
                <w:rFonts w:cs="Arial"/>
                <w:szCs w:val="16"/>
              </w:rPr>
            </w:pPr>
            <w:r w:rsidRPr="00897CEF">
              <w:rPr>
                <w:rStyle w:val="Emphasis"/>
                <w:rFonts w:cs="Arial"/>
                <w:szCs w:val="16"/>
              </w:rPr>
              <w:t>272,364</w:t>
            </w:r>
          </w:p>
        </w:tc>
        <w:tc>
          <w:tcPr>
            <w:tcW w:w="521" w:type="pct"/>
            <w:tcBorders>
              <w:top w:val="nil"/>
              <w:left w:val="nil"/>
              <w:bottom w:val="nil"/>
              <w:right w:val="nil"/>
            </w:tcBorders>
            <w:shd w:val="clear" w:color="000000" w:fill="FFFFFF"/>
            <w:noWrap/>
            <w:vAlign w:val="center"/>
            <w:hideMark/>
          </w:tcPr>
          <w:p w14:paraId="62FB558A" w14:textId="470CE352" w:rsidR="00B73360" w:rsidRPr="00897CEF" w:rsidRDefault="00B73360" w:rsidP="00D32902">
            <w:pPr>
              <w:pStyle w:val="TableTextRight"/>
              <w:rPr>
                <w:rStyle w:val="Emphasis"/>
                <w:rFonts w:cs="Arial"/>
                <w:szCs w:val="16"/>
              </w:rPr>
            </w:pPr>
            <w:r w:rsidRPr="00897CEF">
              <w:rPr>
                <w:rStyle w:val="Emphasis"/>
                <w:rFonts w:cs="Arial"/>
                <w:szCs w:val="16"/>
              </w:rPr>
              <w:t>289,279</w:t>
            </w:r>
          </w:p>
        </w:tc>
        <w:tc>
          <w:tcPr>
            <w:tcW w:w="521" w:type="pct"/>
            <w:tcBorders>
              <w:top w:val="nil"/>
              <w:left w:val="nil"/>
              <w:bottom w:val="nil"/>
              <w:right w:val="nil"/>
            </w:tcBorders>
            <w:shd w:val="clear" w:color="000000" w:fill="FFFFFF"/>
            <w:noWrap/>
            <w:vAlign w:val="center"/>
            <w:hideMark/>
          </w:tcPr>
          <w:p w14:paraId="5F0D8A61" w14:textId="5AD445A3" w:rsidR="00B73360" w:rsidRPr="00897CEF" w:rsidRDefault="00B73360" w:rsidP="00D32902">
            <w:pPr>
              <w:pStyle w:val="TableTextRight"/>
              <w:rPr>
                <w:rStyle w:val="Emphasis"/>
                <w:rFonts w:cs="Arial"/>
                <w:szCs w:val="16"/>
              </w:rPr>
            </w:pPr>
            <w:r w:rsidRPr="00897CEF">
              <w:rPr>
                <w:rStyle w:val="Emphasis"/>
                <w:rFonts w:cs="Arial"/>
                <w:szCs w:val="16"/>
              </w:rPr>
              <w:t>294,756</w:t>
            </w:r>
          </w:p>
        </w:tc>
        <w:tc>
          <w:tcPr>
            <w:tcW w:w="533" w:type="pct"/>
            <w:tcBorders>
              <w:top w:val="nil"/>
              <w:left w:val="nil"/>
              <w:bottom w:val="nil"/>
              <w:right w:val="nil"/>
            </w:tcBorders>
            <w:shd w:val="clear" w:color="000000" w:fill="FFFFFF"/>
            <w:noWrap/>
            <w:vAlign w:val="center"/>
            <w:hideMark/>
          </w:tcPr>
          <w:p w14:paraId="25829471" w14:textId="0667F89A" w:rsidR="00B73360" w:rsidRPr="00897CEF" w:rsidRDefault="00B73360" w:rsidP="00D32902">
            <w:pPr>
              <w:pStyle w:val="TableTextRight"/>
              <w:rPr>
                <w:rStyle w:val="Emphasis"/>
                <w:rFonts w:cs="Arial"/>
                <w:szCs w:val="16"/>
              </w:rPr>
            </w:pPr>
            <w:r w:rsidRPr="00897CEF">
              <w:rPr>
                <w:rStyle w:val="Emphasis"/>
                <w:rFonts w:cs="Arial"/>
                <w:szCs w:val="16"/>
              </w:rPr>
              <w:t>308,477</w:t>
            </w:r>
          </w:p>
        </w:tc>
      </w:tr>
      <w:tr w:rsidR="00B73360" w:rsidRPr="007B7492" w14:paraId="0C48C0AF" w14:textId="77777777" w:rsidTr="00170877">
        <w:trPr>
          <w:trHeight w:val="225"/>
        </w:trPr>
        <w:tc>
          <w:tcPr>
            <w:tcW w:w="2022" w:type="pct"/>
            <w:tcBorders>
              <w:top w:val="nil"/>
              <w:left w:val="nil"/>
              <w:bottom w:val="nil"/>
              <w:right w:val="nil"/>
            </w:tcBorders>
            <w:shd w:val="clear" w:color="000000" w:fill="FFFFFF"/>
            <w:noWrap/>
            <w:vAlign w:val="center"/>
            <w:hideMark/>
          </w:tcPr>
          <w:p w14:paraId="21DD992A" w14:textId="77777777" w:rsidR="00B73360" w:rsidRPr="007B7492" w:rsidRDefault="00B73360" w:rsidP="003714DF">
            <w:pPr>
              <w:pStyle w:val="TableTextLeft"/>
            </w:pPr>
            <w:r w:rsidRPr="007B7492">
              <w:t>Superannuation interest expense</w:t>
            </w:r>
          </w:p>
        </w:tc>
        <w:tc>
          <w:tcPr>
            <w:tcW w:w="359" w:type="pct"/>
            <w:tcBorders>
              <w:top w:val="nil"/>
              <w:left w:val="nil"/>
              <w:bottom w:val="nil"/>
              <w:right w:val="nil"/>
            </w:tcBorders>
            <w:shd w:val="clear" w:color="000000" w:fill="FFFFFF"/>
            <w:noWrap/>
            <w:vAlign w:val="center"/>
            <w:hideMark/>
          </w:tcPr>
          <w:p w14:paraId="4D49AE8F" w14:textId="77777777" w:rsidR="00B73360" w:rsidRPr="007B7492" w:rsidRDefault="00B73360" w:rsidP="00C271F9">
            <w:pPr>
              <w:pStyle w:val="TableTextCentred"/>
            </w:pPr>
            <w:r w:rsidRPr="007B7492">
              <w:t xml:space="preserve">   7 </w:t>
            </w:r>
          </w:p>
        </w:tc>
        <w:tc>
          <w:tcPr>
            <w:tcW w:w="521" w:type="pct"/>
            <w:tcBorders>
              <w:top w:val="nil"/>
              <w:left w:val="nil"/>
              <w:bottom w:val="nil"/>
              <w:right w:val="nil"/>
            </w:tcBorders>
            <w:shd w:val="clear" w:color="000000" w:fill="FFFFFF"/>
            <w:noWrap/>
            <w:vAlign w:val="center"/>
            <w:hideMark/>
          </w:tcPr>
          <w:p w14:paraId="1EBA76AC" w14:textId="183205FA" w:rsidR="00B73360" w:rsidRPr="00897CEF" w:rsidRDefault="00B73360" w:rsidP="00D32902">
            <w:pPr>
              <w:pStyle w:val="TableTextRight"/>
              <w:rPr>
                <w:rFonts w:cs="Arial"/>
                <w:color w:val="000000"/>
                <w:szCs w:val="16"/>
              </w:rPr>
            </w:pPr>
            <w:r w:rsidRPr="00897CEF">
              <w:rPr>
                <w:rFonts w:cs="Arial"/>
                <w:color w:val="000000"/>
                <w:szCs w:val="16"/>
              </w:rPr>
              <w:t>13,374</w:t>
            </w:r>
          </w:p>
        </w:tc>
        <w:tc>
          <w:tcPr>
            <w:tcW w:w="521" w:type="pct"/>
            <w:tcBorders>
              <w:top w:val="nil"/>
              <w:left w:val="nil"/>
              <w:bottom w:val="nil"/>
              <w:right w:val="nil"/>
            </w:tcBorders>
            <w:shd w:val="clear" w:color="000000" w:fill="E6F2FF"/>
            <w:noWrap/>
            <w:vAlign w:val="center"/>
            <w:hideMark/>
          </w:tcPr>
          <w:p w14:paraId="72676C56" w14:textId="1A94F578" w:rsidR="00B73360" w:rsidRPr="00897CEF" w:rsidRDefault="00B73360" w:rsidP="00D32902">
            <w:pPr>
              <w:pStyle w:val="TableTextRight"/>
              <w:rPr>
                <w:rFonts w:cs="Arial"/>
                <w:color w:val="000000"/>
                <w:szCs w:val="16"/>
              </w:rPr>
            </w:pPr>
            <w:r w:rsidRPr="00897CEF">
              <w:rPr>
                <w:rFonts w:cs="Arial"/>
                <w:color w:val="000000"/>
                <w:szCs w:val="16"/>
              </w:rPr>
              <w:t>14,620</w:t>
            </w:r>
          </w:p>
        </w:tc>
        <w:tc>
          <w:tcPr>
            <w:tcW w:w="521" w:type="pct"/>
            <w:tcBorders>
              <w:top w:val="nil"/>
              <w:left w:val="nil"/>
              <w:bottom w:val="nil"/>
              <w:right w:val="nil"/>
            </w:tcBorders>
            <w:shd w:val="clear" w:color="000000" w:fill="FFFFFF"/>
            <w:noWrap/>
            <w:vAlign w:val="center"/>
            <w:hideMark/>
          </w:tcPr>
          <w:p w14:paraId="04B426DE" w14:textId="2699ED7D" w:rsidR="00B73360" w:rsidRPr="00897CEF" w:rsidRDefault="00B73360" w:rsidP="00D32902">
            <w:pPr>
              <w:pStyle w:val="TableTextRight"/>
              <w:rPr>
                <w:rFonts w:cs="Arial"/>
                <w:color w:val="000000"/>
                <w:szCs w:val="16"/>
              </w:rPr>
            </w:pPr>
            <w:r w:rsidRPr="00897CEF">
              <w:rPr>
                <w:rFonts w:cs="Arial"/>
                <w:color w:val="000000"/>
                <w:szCs w:val="16"/>
              </w:rPr>
              <w:t>15,126</w:t>
            </w:r>
          </w:p>
        </w:tc>
        <w:tc>
          <w:tcPr>
            <w:tcW w:w="521" w:type="pct"/>
            <w:tcBorders>
              <w:top w:val="nil"/>
              <w:left w:val="nil"/>
              <w:bottom w:val="nil"/>
              <w:right w:val="nil"/>
            </w:tcBorders>
            <w:shd w:val="clear" w:color="000000" w:fill="FFFFFF"/>
            <w:noWrap/>
            <w:vAlign w:val="center"/>
            <w:hideMark/>
          </w:tcPr>
          <w:p w14:paraId="0E43BD70" w14:textId="6812067E" w:rsidR="00B73360" w:rsidRPr="00897CEF" w:rsidRDefault="00B73360" w:rsidP="00D32902">
            <w:pPr>
              <w:pStyle w:val="TableTextRight"/>
              <w:rPr>
                <w:rFonts w:cs="Arial"/>
                <w:color w:val="000000"/>
                <w:szCs w:val="16"/>
              </w:rPr>
            </w:pPr>
            <w:r w:rsidRPr="00897CEF">
              <w:rPr>
                <w:rFonts w:cs="Arial"/>
                <w:color w:val="000000"/>
                <w:szCs w:val="16"/>
              </w:rPr>
              <w:t>15,610</w:t>
            </w:r>
          </w:p>
        </w:tc>
        <w:tc>
          <w:tcPr>
            <w:tcW w:w="533" w:type="pct"/>
            <w:tcBorders>
              <w:top w:val="nil"/>
              <w:left w:val="nil"/>
              <w:bottom w:val="nil"/>
              <w:right w:val="nil"/>
            </w:tcBorders>
            <w:shd w:val="clear" w:color="000000" w:fill="FFFFFF"/>
            <w:noWrap/>
            <w:vAlign w:val="center"/>
            <w:hideMark/>
          </w:tcPr>
          <w:p w14:paraId="57C71A4C" w14:textId="2EF2C4CE" w:rsidR="00B73360" w:rsidRPr="00897CEF" w:rsidRDefault="00B73360" w:rsidP="00D32902">
            <w:pPr>
              <w:pStyle w:val="TableTextRight"/>
              <w:rPr>
                <w:rFonts w:cs="Arial"/>
                <w:color w:val="000000"/>
                <w:szCs w:val="16"/>
              </w:rPr>
            </w:pPr>
            <w:r w:rsidRPr="00897CEF">
              <w:rPr>
                <w:rFonts w:cs="Arial"/>
                <w:color w:val="000000"/>
                <w:szCs w:val="16"/>
              </w:rPr>
              <w:t>16,054</w:t>
            </w:r>
          </w:p>
        </w:tc>
      </w:tr>
      <w:tr w:rsidR="00B73360" w:rsidRPr="007B7492" w14:paraId="4B3B9940" w14:textId="77777777" w:rsidTr="00170877">
        <w:trPr>
          <w:trHeight w:val="225"/>
        </w:trPr>
        <w:tc>
          <w:tcPr>
            <w:tcW w:w="2022" w:type="pct"/>
            <w:tcBorders>
              <w:top w:val="nil"/>
              <w:left w:val="nil"/>
              <w:bottom w:val="nil"/>
              <w:right w:val="nil"/>
            </w:tcBorders>
            <w:shd w:val="clear" w:color="000000" w:fill="FFFFFF"/>
            <w:noWrap/>
            <w:vAlign w:val="center"/>
            <w:hideMark/>
          </w:tcPr>
          <w:p w14:paraId="5E14C2B4" w14:textId="77777777" w:rsidR="00B73360" w:rsidRPr="007B7492" w:rsidRDefault="00B73360" w:rsidP="003714DF">
            <w:pPr>
              <w:pStyle w:val="TableTextLeft"/>
            </w:pPr>
            <w:r w:rsidRPr="007B7492">
              <w:t>Interest expenses</w:t>
            </w:r>
          </w:p>
        </w:tc>
        <w:tc>
          <w:tcPr>
            <w:tcW w:w="359" w:type="pct"/>
            <w:tcBorders>
              <w:top w:val="nil"/>
              <w:left w:val="nil"/>
              <w:bottom w:val="nil"/>
              <w:right w:val="nil"/>
            </w:tcBorders>
            <w:shd w:val="clear" w:color="000000" w:fill="FFFFFF"/>
            <w:noWrap/>
            <w:vAlign w:val="center"/>
            <w:hideMark/>
          </w:tcPr>
          <w:p w14:paraId="5D7E5805" w14:textId="77777777" w:rsidR="00B73360" w:rsidRPr="007B7492" w:rsidRDefault="00B73360" w:rsidP="00C271F9">
            <w:pPr>
              <w:pStyle w:val="TableTextCentred"/>
            </w:pPr>
            <w:r w:rsidRPr="007B7492">
              <w:t xml:space="preserve"> 10 </w:t>
            </w:r>
          </w:p>
        </w:tc>
        <w:tc>
          <w:tcPr>
            <w:tcW w:w="521" w:type="pct"/>
            <w:tcBorders>
              <w:top w:val="nil"/>
              <w:left w:val="nil"/>
              <w:bottom w:val="nil"/>
              <w:right w:val="nil"/>
            </w:tcBorders>
            <w:shd w:val="clear" w:color="000000" w:fill="FFFFFF"/>
            <w:noWrap/>
            <w:vAlign w:val="center"/>
            <w:hideMark/>
          </w:tcPr>
          <w:p w14:paraId="53038F7B" w14:textId="49104CE2" w:rsidR="00B73360" w:rsidRPr="00897CEF" w:rsidRDefault="00B73360" w:rsidP="00D32902">
            <w:pPr>
              <w:pStyle w:val="TableTextRight"/>
              <w:rPr>
                <w:rFonts w:cs="Arial"/>
                <w:color w:val="000000"/>
                <w:szCs w:val="16"/>
              </w:rPr>
            </w:pPr>
            <w:r w:rsidRPr="00897CEF">
              <w:rPr>
                <w:rFonts w:cs="Arial"/>
                <w:color w:val="000000"/>
                <w:szCs w:val="16"/>
              </w:rPr>
              <w:t>27,667</w:t>
            </w:r>
          </w:p>
        </w:tc>
        <w:tc>
          <w:tcPr>
            <w:tcW w:w="521" w:type="pct"/>
            <w:tcBorders>
              <w:top w:val="nil"/>
              <w:left w:val="nil"/>
              <w:bottom w:val="nil"/>
              <w:right w:val="nil"/>
            </w:tcBorders>
            <w:shd w:val="clear" w:color="000000" w:fill="E6F2FF"/>
            <w:noWrap/>
            <w:vAlign w:val="center"/>
            <w:hideMark/>
          </w:tcPr>
          <w:p w14:paraId="4AA44F74" w14:textId="059F8631" w:rsidR="00B73360" w:rsidRPr="00897CEF" w:rsidRDefault="00B73360" w:rsidP="00D32902">
            <w:pPr>
              <w:pStyle w:val="TableTextRight"/>
              <w:rPr>
                <w:rFonts w:cs="Arial"/>
                <w:color w:val="000000"/>
                <w:szCs w:val="16"/>
              </w:rPr>
            </w:pPr>
            <w:r w:rsidRPr="00897CEF">
              <w:rPr>
                <w:rFonts w:cs="Arial"/>
                <w:color w:val="000000"/>
                <w:szCs w:val="16"/>
              </w:rPr>
              <w:t>33,414</w:t>
            </w:r>
          </w:p>
        </w:tc>
        <w:tc>
          <w:tcPr>
            <w:tcW w:w="521" w:type="pct"/>
            <w:tcBorders>
              <w:top w:val="nil"/>
              <w:left w:val="nil"/>
              <w:bottom w:val="nil"/>
              <w:right w:val="nil"/>
            </w:tcBorders>
            <w:shd w:val="clear" w:color="000000" w:fill="FFFFFF"/>
            <w:noWrap/>
            <w:vAlign w:val="center"/>
            <w:hideMark/>
          </w:tcPr>
          <w:p w14:paraId="1C88F2F4" w14:textId="13470074" w:rsidR="00B73360" w:rsidRPr="00897CEF" w:rsidRDefault="00B73360" w:rsidP="00D32902">
            <w:pPr>
              <w:pStyle w:val="TableTextRight"/>
              <w:rPr>
                <w:rFonts w:cs="Arial"/>
                <w:color w:val="000000"/>
                <w:szCs w:val="16"/>
              </w:rPr>
            </w:pPr>
            <w:r w:rsidRPr="00897CEF">
              <w:rPr>
                <w:rFonts w:cs="Arial"/>
                <w:color w:val="000000"/>
                <w:szCs w:val="16"/>
              </w:rPr>
              <w:t>34,300</w:t>
            </w:r>
          </w:p>
        </w:tc>
        <w:tc>
          <w:tcPr>
            <w:tcW w:w="521" w:type="pct"/>
            <w:tcBorders>
              <w:top w:val="nil"/>
              <w:left w:val="nil"/>
              <w:bottom w:val="nil"/>
              <w:right w:val="nil"/>
            </w:tcBorders>
            <w:shd w:val="clear" w:color="000000" w:fill="FFFFFF"/>
            <w:noWrap/>
            <w:vAlign w:val="center"/>
            <w:hideMark/>
          </w:tcPr>
          <w:p w14:paraId="4CDD3E00" w14:textId="7B5F0F83" w:rsidR="00B73360" w:rsidRPr="00897CEF" w:rsidRDefault="00B73360" w:rsidP="00D32902">
            <w:pPr>
              <w:pStyle w:val="TableTextRight"/>
              <w:rPr>
                <w:rFonts w:cs="Arial"/>
                <w:color w:val="000000"/>
                <w:szCs w:val="16"/>
              </w:rPr>
            </w:pPr>
            <w:r w:rsidRPr="00897CEF">
              <w:rPr>
                <w:rFonts w:cs="Arial"/>
                <w:color w:val="000000"/>
                <w:szCs w:val="16"/>
              </w:rPr>
              <w:t>39,085</w:t>
            </w:r>
          </w:p>
        </w:tc>
        <w:tc>
          <w:tcPr>
            <w:tcW w:w="533" w:type="pct"/>
            <w:tcBorders>
              <w:top w:val="nil"/>
              <w:left w:val="nil"/>
              <w:bottom w:val="nil"/>
              <w:right w:val="nil"/>
            </w:tcBorders>
            <w:shd w:val="clear" w:color="000000" w:fill="FFFFFF"/>
            <w:noWrap/>
            <w:vAlign w:val="center"/>
            <w:hideMark/>
          </w:tcPr>
          <w:p w14:paraId="5EA06B27" w14:textId="0C0031B8" w:rsidR="00B73360" w:rsidRPr="00897CEF" w:rsidRDefault="00B73360" w:rsidP="00D32902">
            <w:pPr>
              <w:pStyle w:val="TableTextRight"/>
              <w:rPr>
                <w:rFonts w:cs="Arial"/>
                <w:color w:val="000000"/>
                <w:szCs w:val="16"/>
              </w:rPr>
            </w:pPr>
            <w:r w:rsidRPr="00897CEF">
              <w:rPr>
                <w:rFonts w:cs="Arial"/>
                <w:color w:val="000000"/>
                <w:szCs w:val="16"/>
              </w:rPr>
              <w:t>41,190</w:t>
            </w:r>
          </w:p>
        </w:tc>
      </w:tr>
      <w:tr w:rsidR="007B7492" w:rsidRPr="007B7492" w14:paraId="2DBBF30E" w14:textId="77777777" w:rsidTr="00170877">
        <w:trPr>
          <w:trHeight w:val="225"/>
        </w:trPr>
        <w:tc>
          <w:tcPr>
            <w:tcW w:w="2022" w:type="pct"/>
            <w:tcBorders>
              <w:top w:val="nil"/>
              <w:left w:val="nil"/>
              <w:bottom w:val="nil"/>
              <w:right w:val="nil"/>
            </w:tcBorders>
            <w:shd w:val="clear" w:color="000000" w:fill="FFFFFF"/>
            <w:noWrap/>
            <w:vAlign w:val="center"/>
            <w:hideMark/>
          </w:tcPr>
          <w:p w14:paraId="4872FD2C" w14:textId="77777777" w:rsidR="007B7492" w:rsidRPr="007B7492" w:rsidRDefault="007B7492" w:rsidP="003714DF">
            <w:pPr>
              <w:pStyle w:val="TableTextLeft"/>
            </w:pPr>
            <w:r w:rsidRPr="007B7492">
              <w:t>Current transfers</w:t>
            </w:r>
          </w:p>
        </w:tc>
        <w:tc>
          <w:tcPr>
            <w:tcW w:w="359" w:type="pct"/>
            <w:tcBorders>
              <w:top w:val="nil"/>
              <w:left w:val="nil"/>
              <w:bottom w:val="nil"/>
              <w:right w:val="nil"/>
            </w:tcBorders>
            <w:shd w:val="clear" w:color="000000" w:fill="FFFFFF"/>
            <w:noWrap/>
            <w:vAlign w:val="center"/>
            <w:hideMark/>
          </w:tcPr>
          <w:p w14:paraId="7E67616A" w14:textId="77777777" w:rsidR="007B7492" w:rsidRPr="007B7492" w:rsidRDefault="007B7492"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5F1116F1"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E6F2FF"/>
            <w:noWrap/>
            <w:vAlign w:val="center"/>
            <w:hideMark/>
          </w:tcPr>
          <w:p w14:paraId="2DAA0A12"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6F512B4E"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17F73637"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33" w:type="pct"/>
            <w:tcBorders>
              <w:top w:val="nil"/>
              <w:left w:val="nil"/>
              <w:bottom w:val="nil"/>
              <w:right w:val="nil"/>
            </w:tcBorders>
            <w:shd w:val="clear" w:color="000000" w:fill="FFFFFF"/>
            <w:noWrap/>
            <w:vAlign w:val="center"/>
            <w:hideMark/>
          </w:tcPr>
          <w:p w14:paraId="01E79E99" w14:textId="77777777" w:rsidR="007B7492" w:rsidRPr="00897CEF" w:rsidRDefault="007B7492" w:rsidP="00D32902">
            <w:pPr>
              <w:pStyle w:val="TableTextRight"/>
              <w:rPr>
                <w:rFonts w:cs="Arial"/>
                <w:color w:val="000000"/>
                <w:szCs w:val="16"/>
              </w:rPr>
            </w:pPr>
            <w:r w:rsidRPr="00897CEF">
              <w:rPr>
                <w:rFonts w:cs="Arial"/>
                <w:color w:val="000000"/>
                <w:szCs w:val="16"/>
              </w:rPr>
              <w:t> </w:t>
            </w:r>
          </w:p>
        </w:tc>
      </w:tr>
      <w:tr w:rsidR="001473F8" w:rsidRPr="007B7492" w14:paraId="4D75A041" w14:textId="77777777" w:rsidTr="00170877">
        <w:trPr>
          <w:trHeight w:val="225"/>
        </w:trPr>
        <w:tc>
          <w:tcPr>
            <w:tcW w:w="2022" w:type="pct"/>
            <w:tcBorders>
              <w:top w:val="nil"/>
              <w:left w:val="nil"/>
              <w:bottom w:val="nil"/>
              <w:right w:val="nil"/>
            </w:tcBorders>
            <w:shd w:val="clear" w:color="000000" w:fill="FFFFFF"/>
            <w:noWrap/>
            <w:vAlign w:val="center"/>
            <w:hideMark/>
          </w:tcPr>
          <w:p w14:paraId="1E681EA8" w14:textId="77777777" w:rsidR="001473F8" w:rsidRPr="00DA3A10" w:rsidRDefault="001473F8" w:rsidP="003714DF">
            <w:pPr>
              <w:pStyle w:val="TableTextIndented"/>
              <w:rPr>
                <w:rFonts w:cs="Arial"/>
                <w:szCs w:val="16"/>
              </w:rPr>
            </w:pPr>
            <w:r w:rsidRPr="00DA3A10">
              <w:rPr>
                <w:rFonts w:cs="Arial"/>
                <w:szCs w:val="16"/>
              </w:rPr>
              <w:t>Current grants</w:t>
            </w:r>
          </w:p>
        </w:tc>
        <w:tc>
          <w:tcPr>
            <w:tcW w:w="359" w:type="pct"/>
            <w:tcBorders>
              <w:top w:val="nil"/>
              <w:left w:val="nil"/>
              <w:bottom w:val="nil"/>
              <w:right w:val="nil"/>
            </w:tcBorders>
            <w:shd w:val="clear" w:color="000000" w:fill="FFFFFF"/>
            <w:noWrap/>
            <w:vAlign w:val="center"/>
            <w:hideMark/>
          </w:tcPr>
          <w:p w14:paraId="1B6CD0DA" w14:textId="77777777" w:rsidR="001473F8" w:rsidRPr="007B7492" w:rsidRDefault="001473F8" w:rsidP="00C271F9">
            <w:pPr>
              <w:pStyle w:val="TableTextCentred"/>
            </w:pPr>
            <w:r w:rsidRPr="007B7492">
              <w:t xml:space="preserve"> 11 </w:t>
            </w:r>
          </w:p>
        </w:tc>
        <w:tc>
          <w:tcPr>
            <w:tcW w:w="521" w:type="pct"/>
            <w:tcBorders>
              <w:top w:val="nil"/>
              <w:left w:val="nil"/>
              <w:bottom w:val="nil"/>
              <w:right w:val="nil"/>
            </w:tcBorders>
            <w:shd w:val="clear" w:color="000000" w:fill="FFFFFF"/>
            <w:noWrap/>
            <w:vAlign w:val="center"/>
            <w:hideMark/>
          </w:tcPr>
          <w:p w14:paraId="3894E90D" w14:textId="305CCDA9" w:rsidR="001473F8" w:rsidRPr="00897CEF" w:rsidRDefault="001473F8" w:rsidP="00D32902">
            <w:pPr>
              <w:pStyle w:val="TableTextRight"/>
              <w:rPr>
                <w:rFonts w:cs="Arial"/>
                <w:color w:val="000000"/>
                <w:szCs w:val="16"/>
              </w:rPr>
            </w:pPr>
            <w:r w:rsidRPr="00897CEF">
              <w:rPr>
                <w:rFonts w:cs="Arial"/>
                <w:color w:val="000000"/>
                <w:szCs w:val="16"/>
              </w:rPr>
              <w:t>203,194</w:t>
            </w:r>
          </w:p>
        </w:tc>
        <w:tc>
          <w:tcPr>
            <w:tcW w:w="521" w:type="pct"/>
            <w:tcBorders>
              <w:top w:val="nil"/>
              <w:left w:val="nil"/>
              <w:bottom w:val="nil"/>
              <w:right w:val="nil"/>
            </w:tcBorders>
            <w:shd w:val="clear" w:color="000000" w:fill="E6F2FF"/>
            <w:noWrap/>
            <w:vAlign w:val="center"/>
            <w:hideMark/>
          </w:tcPr>
          <w:p w14:paraId="43BD77DB" w14:textId="0ECD2085" w:rsidR="001473F8" w:rsidRPr="00897CEF" w:rsidRDefault="001473F8" w:rsidP="00D32902">
            <w:pPr>
              <w:pStyle w:val="TableTextRight"/>
              <w:rPr>
                <w:rFonts w:cs="Arial"/>
                <w:color w:val="000000"/>
                <w:szCs w:val="16"/>
              </w:rPr>
            </w:pPr>
            <w:r w:rsidRPr="00897CEF">
              <w:rPr>
                <w:rFonts w:cs="Arial"/>
                <w:color w:val="000000"/>
                <w:szCs w:val="16"/>
              </w:rPr>
              <w:t>208,915</w:t>
            </w:r>
          </w:p>
        </w:tc>
        <w:tc>
          <w:tcPr>
            <w:tcW w:w="521" w:type="pct"/>
            <w:tcBorders>
              <w:top w:val="nil"/>
              <w:left w:val="nil"/>
              <w:bottom w:val="nil"/>
              <w:right w:val="nil"/>
            </w:tcBorders>
            <w:shd w:val="clear" w:color="000000" w:fill="FFFFFF"/>
            <w:noWrap/>
            <w:vAlign w:val="center"/>
            <w:hideMark/>
          </w:tcPr>
          <w:p w14:paraId="56ABE81F" w14:textId="3E2F53B2" w:rsidR="001473F8" w:rsidRPr="00897CEF" w:rsidRDefault="001473F8" w:rsidP="00D32902">
            <w:pPr>
              <w:pStyle w:val="TableTextRight"/>
              <w:rPr>
                <w:rFonts w:cs="Arial"/>
                <w:color w:val="000000"/>
                <w:szCs w:val="16"/>
              </w:rPr>
            </w:pPr>
            <w:r w:rsidRPr="00897CEF">
              <w:rPr>
                <w:rFonts w:cs="Arial"/>
                <w:color w:val="000000"/>
                <w:szCs w:val="16"/>
              </w:rPr>
              <w:t>216,098</w:t>
            </w:r>
          </w:p>
        </w:tc>
        <w:tc>
          <w:tcPr>
            <w:tcW w:w="521" w:type="pct"/>
            <w:tcBorders>
              <w:top w:val="nil"/>
              <w:left w:val="nil"/>
              <w:bottom w:val="nil"/>
              <w:right w:val="nil"/>
            </w:tcBorders>
            <w:shd w:val="clear" w:color="000000" w:fill="FFFFFF"/>
            <w:noWrap/>
            <w:vAlign w:val="center"/>
            <w:hideMark/>
          </w:tcPr>
          <w:p w14:paraId="1BF4C5C1" w14:textId="036526DB" w:rsidR="001473F8" w:rsidRPr="00897CEF" w:rsidRDefault="001473F8" w:rsidP="00D32902">
            <w:pPr>
              <w:pStyle w:val="TableTextRight"/>
              <w:rPr>
                <w:rFonts w:cs="Arial"/>
                <w:color w:val="000000"/>
                <w:szCs w:val="16"/>
              </w:rPr>
            </w:pPr>
            <w:r w:rsidRPr="00897CEF">
              <w:rPr>
                <w:rFonts w:cs="Arial"/>
                <w:color w:val="000000"/>
                <w:szCs w:val="16"/>
              </w:rPr>
              <w:t>223,666</w:t>
            </w:r>
          </w:p>
        </w:tc>
        <w:tc>
          <w:tcPr>
            <w:tcW w:w="533" w:type="pct"/>
            <w:tcBorders>
              <w:top w:val="nil"/>
              <w:left w:val="nil"/>
              <w:bottom w:val="nil"/>
              <w:right w:val="nil"/>
            </w:tcBorders>
            <w:shd w:val="clear" w:color="000000" w:fill="FFFFFF"/>
            <w:noWrap/>
            <w:vAlign w:val="center"/>
            <w:hideMark/>
          </w:tcPr>
          <w:p w14:paraId="18534473" w14:textId="6BC3297A" w:rsidR="001473F8" w:rsidRPr="00897CEF" w:rsidRDefault="001473F8" w:rsidP="00D32902">
            <w:pPr>
              <w:pStyle w:val="TableTextRight"/>
              <w:rPr>
                <w:rFonts w:cs="Arial"/>
                <w:color w:val="000000"/>
                <w:szCs w:val="16"/>
              </w:rPr>
            </w:pPr>
            <w:r w:rsidRPr="00897CEF">
              <w:rPr>
                <w:rFonts w:cs="Arial"/>
                <w:color w:val="000000"/>
                <w:szCs w:val="16"/>
              </w:rPr>
              <w:t>231,953</w:t>
            </w:r>
          </w:p>
        </w:tc>
      </w:tr>
      <w:tr w:rsidR="001473F8" w:rsidRPr="007B7492" w14:paraId="38DA6064" w14:textId="77777777" w:rsidTr="00170877">
        <w:trPr>
          <w:trHeight w:val="225"/>
        </w:trPr>
        <w:tc>
          <w:tcPr>
            <w:tcW w:w="2022" w:type="pct"/>
            <w:tcBorders>
              <w:top w:val="nil"/>
              <w:left w:val="nil"/>
              <w:bottom w:val="nil"/>
              <w:right w:val="nil"/>
            </w:tcBorders>
            <w:shd w:val="clear" w:color="000000" w:fill="FFFFFF"/>
            <w:noWrap/>
            <w:vAlign w:val="center"/>
            <w:hideMark/>
          </w:tcPr>
          <w:p w14:paraId="3491CB76" w14:textId="77777777" w:rsidR="001473F8" w:rsidRPr="00DA3A10" w:rsidRDefault="001473F8" w:rsidP="003714DF">
            <w:pPr>
              <w:pStyle w:val="TableTextIndented"/>
              <w:rPr>
                <w:rFonts w:cs="Arial"/>
                <w:szCs w:val="16"/>
              </w:rPr>
            </w:pPr>
            <w:r w:rsidRPr="00DA3A10">
              <w:rPr>
                <w:rFonts w:cs="Arial"/>
                <w:szCs w:val="16"/>
              </w:rPr>
              <w:t>Subsidy expenses</w:t>
            </w:r>
          </w:p>
        </w:tc>
        <w:tc>
          <w:tcPr>
            <w:tcW w:w="359" w:type="pct"/>
            <w:tcBorders>
              <w:top w:val="nil"/>
              <w:left w:val="nil"/>
              <w:bottom w:val="nil"/>
              <w:right w:val="nil"/>
            </w:tcBorders>
            <w:shd w:val="clear" w:color="000000" w:fill="FFFFFF"/>
            <w:noWrap/>
            <w:vAlign w:val="center"/>
            <w:hideMark/>
          </w:tcPr>
          <w:p w14:paraId="58372C48" w14:textId="77777777" w:rsidR="001473F8" w:rsidRPr="007B7492" w:rsidRDefault="001473F8"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57AAABC2" w14:textId="6007DDF2" w:rsidR="001473F8" w:rsidRPr="00897CEF" w:rsidRDefault="001473F8" w:rsidP="00D32902">
            <w:pPr>
              <w:pStyle w:val="TableTextRight"/>
              <w:rPr>
                <w:rFonts w:cs="Arial"/>
                <w:color w:val="000000"/>
                <w:szCs w:val="16"/>
              </w:rPr>
            </w:pPr>
            <w:r w:rsidRPr="00897CEF">
              <w:rPr>
                <w:rFonts w:cs="Arial"/>
                <w:color w:val="000000"/>
                <w:szCs w:val="16"/>
              </w:rPr>
              <w:t>19,613</w:t>
            </w:r>
          </w:p>
        </w:tc>
        <w:tc>
          <w:tcPr>
            <w:tcW w:w="521" w:type="pct"/>
            <w:tcBorders>
              <w:top w:val="nil"/>
              <w:left w:val="nil"/>
              <w:bottom w:val="nil"/>
              <w:right w:val="nil"/>
            </w:tcBorders>
            <w:shd w:val="clear" w:color="000000" w:fill="E6F2FF"/>
            <w:noWrap/>
            <w:vAlign w:val="center"/>
            <w:hideMark/>
          </w:tcPr>
          <w:p w14:paraId="498C1701" w14:textId="60A44941" w:rsidR="001473F8" w:rsidRPr="00897CEF" w:rsidRDefault="001473F8" w:rsidP="00D32902">
            <w:pPr>
              <w:pStyle w:val="TableTextRight"/>
              <w:rPr>
                <w:rFonts w:cs="Arial"/>
                <w:color w:val="000000"/>
                <w:szCs w:val="16"/>
              </w:rPr>
            </w:pPr>
            <w:r w:rsidRPr="00897CEF">
              <w:rPr>
                <w:rFonts w:cs="Arial"/>
                <w:color w:val="000000"/>
                <w:szCs w:val="16"/>
              </w:rPr>
              <w:t>18,791</w:t>
            </w:r>
          </w:p>
        </w:tc>
        <w:tc>
          <w:tcPr>
            <w:tcW w:w="521" w:type="pct"/>
            <w:tcBorders>
              <w:top w:val="nil"/>
              <w:left w:val="nil"/>
              <w:bottom w:val="nil"/>
              <w:right w:val="nil"/>
            </w:tcBorders>
            <w:shd w:val="clear" w:color="000000" w:fill="FFFFFF"/>
            <w:noWrap/>
            <w:vAlign w:val="center"/>
            <w:hideMark/>
          </w:tcPr>
          <w:p w14:paraId="1E5B5FED" w14:textId="7062AB81" w:rsidR="001473F8" w:rsidRPr="00897CEF" w:rsidRDefault="001473F8" w:rsidP="00D32902">
            <w:pPr>
              <w:pStyle w:val="TableTextRight"/>
              <w:rPr>
                <w:rFonts w:cs="Arial"/>
                <w:color w:val="000000"/>
                <w:szCs w:val="16"/>
              </w:rPr>
            </w:pPr>
            <w:r w:rsidRPr="00897CEF">
              <w:rPr>
                <w:rFonts w:cs="Arial"/>
                <w:color w:val="000000"/>
                <w:szCs w:val="16"/>
              </w:rPr>
              <w:t>18,943</w:t>
            </w:r>
          </w:p>
        </w:tc>
        <w:tc>
          <w:tcPr>
            <w:tcW w:w="521" w:type="pct"/>
            <w:tcBorders>
              <w:top w:val="nil"/>
              <w:left w:val="nil"/>
              <w:bottom w:val="nil"/>
              <w:right w:val="nil"/>
            </w:tcBorders>
            <w:shd w:val="clear" w:color="000000" w:fill="FFFFFF"/>
            <w:noWrap/>
            <w:vAlign w:val="center"/>
            <w:hideMark/>
          </w:tcPr>
          <w:p w14:paraId="327BC36B" w14:textId="6DD899D9" w:rsidR="001473F8" w:rsidRPr="00897CEF" w:rsidRDefault="001473F8" w:rsidP="00D32902">
            <w:pPr>
              <w:pStyle w:val="TableTextRight"/>
              <w:rPr>
                <w:rFonts w:cs="Arial"/>
                <w:color w:val="000000"/>
                <w:szCs w:val="16"/>
              </w:rPr>
            </w:pPr>
            <w:r w:rsidRPr="00897CEF">
              <w:rPr>
                <w:rFonts w:cs="Arial"/>
                <w:color w:val="000000"/>
                <w:szCs w:val="16"/>
              </w:rPr>
              <w:t>19,487</w:t>
            </w:r>
          </w:p>
        </w:tc>
        <w:tc>
          <w:tcPr>
            <w:tcW w:w="533" w:type="pct"/>
            <w:tcBorders>
              <w:top w:val="nil"/>
              <w:left w:val="nil"/>
              <w:bottom w:val="nil"/>
              <w:right w:val="nil"/>
            </w:tcBorders>
            <w:shd w:val="clear" w:color="000000" w:fill="FFFFFF"/>
            <w:noWrap/>
            <w:vAlign w:val="center"/>
            <w:hideMark/>
          </w:tcPr>
          <w:p w14:paraId="51049BD0" w14:textId="08F658A4" w:rsidR="001473F8" w:rsidRPr="00897CEF" w:rsidRDefault="001473F8" w:rsidP="00D32902">
            <w:pPr>
              <w:pStyle w:val="TableTextRight"/>
              <w:rPr>
                <w:rFonts w:cs="Arial"/>
                <w:color w:val="000000"/>
                <w:szCs w:val="16"/>
              </w:rPr>
            </w:pPr>
            <w:r w:rsidRPr="00897CEF">
              <w:rPr>
                <w:rFonts w:cs="Arial"/>
                <w:color w:val="000000"/>
                <w:szCs w:val="16"/>
              </w:rPr>
              <w:t>20,957</w:t>
            </w:r>
          </w:p>
        </w:tc>
      </w:tr>
      <w:tr w:rsidR="001473F8" w:rsidRPr="007B7492" w14:paraId="63021B18" w14:textId="77777777" w:rsidTr="00170877">
        <w:trPr>
          <w:trHeight w:val="222"/>
        </w:trPr>
        <w:tc>
          <w:tcPr>
            <w:tcW w:w="2022" w:type="pct"/>
            <w:tcBorders>
              <w:top w:val="nil"/>
              <w:left w:val="nil"/>
              <w:bottom w:val="nil"/>
              <w:right w:val="nil"/>
            </w:tcBorders>
            <w:shd w:val="clear" w:color="000000" w:fill="FFFFFF"/>
            <w:noWrap/>
            <w:vAlign w:val="center"/>
            <w:hideMark/>
          </w:tcPr>
          <w:p w14:paraId="2CB0B066" w14:textId="77777777" w:rsidR="001473F8" w:rsidRPr="00DA3A10" w:rsidRDefault="001473F8" w:rsidP="003714DF">
            <w:pPr>
              <w:pStyle w:val="TableTextIndented"/>
              <w:rPr>
                <w:rFonts w:cs="Arial"/>
                <w:szCs w:val="16"/>
              </w:rPr>
            </w:pPr>
            <w:r w:rsidRPr="00DA3A10">
              <w:rPr>
                <w:rFonts w:cs="Arial"/>
                <w:szCs w:val="16"/>
              </w:rPr>
              <w:t>Personal benefits</w:t>
            </w:r>
          </w:p>
        </w:tc>
        <w:tc>
          <w:tcPr>
            <w:tcW w:w="359" w:type="pct"/>
            <w:tcBorders>
              <w:top w:val="nil"/>
              <w:left w:val="nil"/>
              <w:bottom w:val="nil"/>
              <w:right w:val="nil"/>
            </w:tcBorders>
            <w:shd w:val="clear" w:color="000000" w:fill="FFFFFF"/>
            <w:noWrap/>
            <w:vAlign w:val="center"/>
            <w:hideMark/>
          </w:tcPr>
          <w:p w14:paraId="116C0B41" w14:textId="77777777" w:rsidR="001473F8" w:rsidRPr="007B7492" w:rsidRDefault="001473F8" w:rsidP="00C271F9">
            <w:pPr>
              <w:pStyle w:val="TableTextCentred"/>
            </w:pPr>
            <w:r w:rsidRPr="007B7492">
              <w:t xml:space="preserve"> 12 </w:t>
            </w:r>
          </w:p>
        </w:tc>
        <w:tc>
          <w:tcPr>
            <w:tcW w:w="521" w:type="pct"/>
            <w:tcBorders>
              <w:top w:val="nil"/>
              <w:left w:val="nil"/>
              <w:bottom w:val="nil"/>
              <w:right w:val="nil"/>
            </w:tcBorders>
            <w:shd w:val="clear" w:color="000000" w:fill="FFFFFF"/>
            <w:noWrap/>
            <w:vAlign w:val="center"/>
            <w:hideMark/>
          </w:tcPr>
          <w:p w14:paraId="78F87A0D" w14:textId="11DCDE5F" w:rsidR="001473F8" w:rsidRPr="00897CEF" w:rsidRDefault="001473F8" w:rsidP="00D32902">
            <w:pPr>
              <w:pStyle w:val="TableTextRight"/>
              <w:rPr>
                <w:rFonts w:cs="Arial"/>
                <w:color w:val="000000"/>
                <w:szCs w:val="16"/>
              </w:rPr>
            </w:pPr>
            <w:r w:rsidRPr="00897CEF">
              <w:rPr>
                <w:rFonts w:cs="Arial"/>
                <w:color w:val="000000"/>
                <w:szCs w:val="16"/>
              </w:rPr>
              <w:t>152,866</w:t>
            </w:r>
          </w:p>
        </w:tc>
        <w:tc>
          <w:tcPr>
            <w:tcW w:w="521" w:type="pct"/>
            <w:tcBorders>
              <w:top w:val="nil"/>
              <w:left w:val="nil"/>
              <w:bottom w:val="nil"/>
              <w:right w:val="nil"/>
            </w:tcBorders>
            <w:shd w:val="clear" w:color="000000" w:fill="E6F2FF"/>
            <w:noWrap/>
            <w:vAlign w:val="center"/>
            <w:hideMark/>
          </w:tcPr>
          <w:p w14:paraId="6F6F42D3" w14:textId="2CF68EE0" w:rsidR="001473F8" w:rsidRPr="00897CEF" w:rsidRDefault="001473F8" w:rsidP="00D32902">
            <w:pPr>
              <w:pStyle w:val="TableTextRight"/>
              <w:rPr>
                <w:rFonts w:cs="Arial"/>
                <w:color w:val="000000"/>
                <w:szCs w:val="16"/>
              </w:rPr>
            </w:pPr>
            <w:r w:rsidRPr="00897CEF">
              <w:rPr>
                <w:rFonts w:cs="Arial"/>
                <w:color w:val="000000"/>
                <w:szCs w:val="16"/>
              </w:rPr>
              <w:t>161,051</w:t>
            </w:r>
          </w:p>
        </w:tc>
        <w:tc>
          <w:tcPr>
            <w:tcW w:w="521" w:type="pct"/>
            <w:tcBorders>
              <w:top w:val="nil"/>
              <w:left w:val="nil"/>
              <w:bottom w:val="nil"/>
              <w:right w:val="nil"/>
            </w:tcBorders>
            <w:shd w:val="clear" w:color="000000" w:fill="FFFFFF"/>
            <w:noWrap/>
            <w:vAlign w:val="center"/>
            <w:hideMark/>
          </w:tcPr>
          <w:p w14:paraId="1A638D78" w14:textId="22F50709" w:rsidR="001473F8" w:rsidRPr="00897CEF" w:rsidRDefault="001473F8" w:rsidP="00D32902">
            <w:pPr>
              <w:pStyle w:val="TableTextRight"/>
              <w:rPr>
                <w:rFonts w:cs="Arial"/>
                <w:color w:val="000000"/>
                <w:szCs w:val="16"/>
              </w:rPr>
            </w:pPr>
            <w:r w:rsidRPr="00897CEF">
              <w:rPr>
                <w:rFonts w:cs="Arial"/>
                <w:color w:val="000000"/>
                <w:szCs w:val="16"/>
              </w:rPr>
              <w:t>171,210</w:t>
            </w:r>
          </w:p>
        </w:tc>
        <w:tc>
          <w:tcPr>
            <w:tcW w:w="521" w:type="pct"/>
            <w:tcBorders>
              <w:top w:val="nil"/>
              <w:left w:val="nil"/>
              <w:bottom w:val="nil"/>
              <w:right w:val="nil"/>
            </w:tcBorders>
            <w:shd w:val="clear" w:color="000000" w:fill="FFFFFF"/>
            <w:noWrap/>
            <w:vAlign w:val="center"/>
            <w:hideMark/>
          </w:tcPr>
          <w:p w14:paraId="7836EEF6" w14:textId="1BC95050" w:rsidR="001473F8" w:rsidRPr="00897CEF" w:rsidRDefault="001473F8" w:rsidP="00D32902">
            <w:pPr>
              <w:pStyle w:val="TableTextRight"/>
              <w:rPr>
                <w:rFonts w:cs="Arial"/>
                <w:color w:val="000000"/>
                <w:szCs w:val="16"/>
              </w:rPr>
            </w:pPr>
            <w:r w:rsidRPr="00897CEF">
              <w:rPr>
                <w:rFonts w:cs="Arial"/>
                <w:color w:val="000000"/>
                <w:szCs w:val="16"/>
              </w:rPr>
              <w:t>179,664</w:t>
            </w:r>
          </w:p>
        </w:tc>
        <w:tc>
          <w:tcPr>
            <w:tcW w:w="533" w:type="pct"/>
            <w:tcBorders>
              <w:top w:val="nil"/>
              <w:left w:val="nil"/>
              <w:bottom w:val="nil"/>
              <w:right w:val="nil"/>
            </w:tcBorders>
            <w:shd w:val="clear" w:color="000000" w:fill="FFFFFF"/>
            <w:noWrap/>
            <w:vAlign w:val="center"/>
            <w:hideMark/>
          </w:tcPr>
          <w:p w14:paraId="6E7A404F" w14:textId="406A2802" w:rsidR="001473F8" w:rsidRPr="00897CEF" w:rsidRDefault="001473F8" w:rsidP="00D32902">
            <w:pPr>
              <w:pStyle w:val="TableTextRight"/>
              <w:rPr>
                <w:rFonts w:cs="Arial"/>
                <w:color w:val="000000"/>
                <w:szCs w:val="16"/>
              </w:rPr>
            </w:pPr>
            <w:r w:rsidRPr="00897CEF">
              <w:rPr>
                <w:rFonts w:cs="Arial"/>
                <w:color w:val="000000"/>
                <w:szCs w:val="16"/>
              </w:rPr>
              <w:t>191,598</w:t>
            </w:r>
          </w:p>
        </w:tc>
      </w:tr>
      <w:tr w:rsidR="001473F8" w:rsidRPr="007B7492" w14:paraId="045F054F" w14:textId="77777777" w:rsidTr="00170877">
        <w:trPr>
          <w:trHeight w:val="225"/>
        </w:trPr>
        <w:tc>
          <w:tcPr>
            <w:tcW w:w="2022" w:type="pct"/>
            <w:tcBorders>
              <w:top w:val="nil"/>
              <w:left w:val="nil"/>
              <w:bottom w:val="nil"/>
              <w:right w:val="nil"/>
            </w:tcBorders>
            <w:shd w:val="clear" w:color="000000" w:fill="FFFFFF"/>
            <w:noWrap/>
            <w:vAlign w:val="center"/>
            <w:hideMark/>
          </w:tcPr>
          <w:p w14:paraId="62D6666C" w14:textId="77777777" w:rsidR="001473F8" w:rsidRPr="00707AD7" w:rsidRDefault="001473F8" w:rsidP="00707AD7">
            <w:pPr>
              <w:pStyle w:val="TableTextLeft"/>
              <w:rPr>
                <w:rStyle w:val="Emphasis"/>
              </w:rPr>
            </w:pPr>
            <w:r w:rsidRPr="00707AD7">
              <w:rPr>
                <w:rStyle w:val="Emphasis"/>
              </w:rPr>
              <w:t>Total current transfers</w:t>
            </w:r>
          </w:p>
        </w:tc>
        <w:tc>
          <w:tcPr>
            <w:tcW w:w="359" w:type="pct"/>
            <w:tcBorders>
              <w:top w:val="nil"/>
              <w:left w:val="nil"/>
              <w:bottom w:val="nil"/>
              <w:right w:val="nil"/>
            </w:tcBorders>
            <w:shd w:val="clear" w:color="000000" w:fill="FFFFFF"/>
            <w:noWrap/>
            <w:vAlign w:val="center"/>
            <w:hideMark/>
          </w:tcPr>
          <w:p w14:paraId="56241CFE" w14:textId="77777777" w:rsidR="001473F8" w:rsidRPr="007B7492" w:rsidRDefault="001473F8" w:rsidP="00C271F9">
            <w:pPr>
              <w:pStyle w:val="TableTextCentred"/>
              <w:rPr>
                <w:i/>
              </w:rPr>
            </w:pPr>
            <w:r w:rsidRPr="007B7492">
              <w:rPr>
                <w:i/>
              </w:rPr>
              <w:t> </w:t>
            </w:r>
          </w:p>
        </w:tc>
        <w:tc>
          <w:tcPr>
            <w:tcW w:w="521" w:type="pct"/>
            <w:tcBorders>
              <w:top w:val="nil"/>
              <w:left w:val="nil"/>
              <w:bottom w:val="nil"/>
              <w:right w:val="nil"/>
            </w:tcBorders>
            <w:shd w:val="clear" w:color="000000" w:fill="FFFFFF"/>
            <w:noWrap/>
            <w:vAlign w:val="center"/>
            <w:hideMark/>
          </w:tcPr>
          <w:p w14:paraId="42791B5C" w14:textId="2EB6739B" w:rsidR="001473F8" w:rsidRPr="00897CEF" w:rsidRDefault="001473F8" w:rsidP="00D32902">
            <w:pPr>
              <w:pStyle w:val="TableTextRight"/>
              <w:rPr>
                <w:rStyle w:val="Emphasis"/>
                <w:rFonts w:cs="Arial"/>
                <w:szCs w:val="16"/>
              </w:rPr>
            </w:pPr>
            <w:r w:rsidRPr="00897CEF">
              <w:rPr>
                <w:rStyle w:val="Emphasis"/>
                <w:rFonts w:cs="Arial"/>
                <w:szCs w:val="16"/>
              </w:rPr>
              <w:t>375,674</w:t>
            </w:r>
          </w:p>
        </w:tc>
        <w:tc>
          <w:tcPr>
            <w:tcW w:w="521" w:type="pct"/>
            <w:tcBorders>
              <w:top w:val="nil"/>
              <w:left w:val="nil"/>
              <w:bottom w:val="nil"/>
              <w:right w:val="nil"/>
            </w:tcBorders>
            <w:shd w:val="clear" w:color="000000" w:fill="E6F2FF"/>
            <w:noWrap/>
            <w:vAlign w:val="center"/>
            <w:hideMark/>
          </w:tcPr>
          <w:p w14:paraId="3B1B5F28" w14:textId="7DD1A38B" w:rsidR="001473F8" w:rsidRPr="00897CEF" w:rsidRDefault="001473F8" w:rsidP="00D32902">
            <w:pPr>
              <w:pStyle w:val="TableTextRight"/>
              <w:rPr>
                <w:rStyle w:val="Emphasis"/>
                <w:rFonts w:cs="Arial"/>
                <w:szCs w:val="16"/>
              </w:rPr>
            </w:pPr>
            <w:r w:rsidRPr="00897CEF">
              <w:rPr>
                <w:rStyle w:val="Emphasis"/>
                <w:rFonts w:cs="Arial"/>
                <w:szCs w:val="16"/>
              </w:rPr>
              <w:t>388,757</w:t>
            </w:r>
          </w:p>
        </w:tc>
        <w:tc>
          <w:tcPr>
            <w:tcW w:w="521" w:type="pct"/>
            <w:tcBorders>
              <w:top w:val="nil"/>
              <w:left w:val="nil"/>
              <w:bottom w:val="nil"/>
              <w:right w:val="nil"/>
            </w:tcBorders>
            <w:shd w:val="clear" w:color="000000" w:fill="FFFFFF"/>
            <w:noWrap/>
            <w:vAlign w:val="center"/>
            <w:hideMark/>
          </w:tcPr>
          <w:p w14:paraId="241E46FE" w14:textId="28D0D8A7" w:rsidR="001473F8" w:rsidRPr="00897CEF" w:rsidRDefault="001473F8" w:rsidP="00D32902">
            <w:pPr>
              <w:pStyle w:val="TableTextRight"/>
              <w:rPr>
                <w:rStyle w:val="Emphasis"/>
                <w:rFonts w:cs="Arial"/>
                <w:szCs w:val="16"/>
              </w:rPr>
            </w:pPr>
            <w:r w:rsidRPr="00897CEF">
              <w:rPr>
                <w:rStyle w:val="Emphasis"/>
                <w:rFonts w:cs="Arial"/>
                <w:szCs w:val="16"/>
              </w:rPr>
              <w:t>406,251</w:t>
            </w:r>
          </w:p>
        </w:tc>
        <w:tc>
          <w:tcPr>
            <w:tcW w:w="521" w:type="pct"/>
            <w:tcBorders>
              <w:top w:val="nil"/>
              <w:left w:val="nil"/>
              <w:bottom w:val="nil"/>
              <w:right w:val="nil"/>
            </w:tcBorders>
            <w:shd w:val="clear" w:color="000000" w:fill="FFFFFF"/>
            <w:noWrap/>
            <w:vAlign w:val="center"/>
            <w:hideMark/>
          </w:tcPr>
          <w:p w14:paraId="3896405C" w14:textId="7A32894B" w:rsidR="001473F8" w:rsidRPr="00897CEF" w:rsidRDefault="001473F8" w:rsidP="00D32902">
            <w:pPr>
              <w:pStyle w:val="TableTextRight"/>
              <w:rPr>
                <w:rStyle w:val="Emphasis"/>
                <w:rFonts w:cs="Arial"/>
                <w:szCs w:val="16"/>
              </w:rPr>
            </w:pPr>
            <w:r w:rsidRPr="00897CEF">
              <w:rPr>
                <w:rStyle w:val="Emphasis"/>
                <w:rFonts w:cs="Arial"/>
                <w:szCs w:val="16"/>
              </w:rPr>
              <w:t>422,817</w:t>
            </w:r>
          </w:p>
        </w:tc>
        <w:tc>
          <w:tcPr>
            <w:tcW w:w="533" w:type="pct"/>
            <w:tcBorders>
              <w:top w:val="nil"/>
              <w:left w:val="nil"/>
              <w:bottom w:val="nil"/>
              <w:right w:val="nil"/>
            </w:tcBorders>
            <w:shd w:val="clear" w:color="000000" w:fill="FFFFFF"/>
            <w:noWrap/>
            <w:vAlign w:val="center"/>
            <w:hideMark/>
          </w:tcPr>
          <w:p w14:paraId="772FEB33" w14:textId="01BBDF53" w:rsidR="001473F8" w:rsidRPr="00897CEF" w:rsidRDefault="001473F8" w:rsidP="00D32902">
            <w:pPr>
              <w:pStyle w:val="TableTextRight"/>
              <w:rPr>
                <w:rStyle w:val="Emphasis"/>
                <w:rFonts w:cs="Arial"/>
                <w:szCs w:val="16"/>
              </w:rPr>
            </w:pPr>
            <w:r w:rsidRPr="00897CEF">
              <w:rPr>
                <w:rStyle w:val="Emphasis"/>
                <w:rFonts w:cs="Arial"/>
                <w:szCs w:val="16"/>
              </w:rPr>
              <w:t>444,508</w:t>
            </w:r>
          </w:p>
        </w:tc>
      </w:tr>
      <w:tr w:rsidR="007B7492" w:rsidRPr="007B7492" w14:paraId="4993BEC9" w14:textId="77777777" w:rsidTr="00170877">
        <w:trPr>
          <w:trHeight w:val="225"/>
        </w:trPr>
        <w:tc>
          <w:tcPr>
            <w:tcW w:w="2022" w:type="pct"/>
            <w:tcBorders>
              <w:top w:val="nil"/>
              <w:left w:val="nil"/>
              <w:bottom w:val="nil"/>
              <w:right w:val="nil"/>
            </w:tcBorders>
            <w:shd w:val="clear" w:color="000000" w:fill="FFFFFF"/>
            <w:noWrap/>
            <w:vAlign w:val="center"/>
            <w:hideMark/>
          </w:tcPr>
          <w:p w14:paraId="4C5B4BE4" w14:textId="77777777" w:rsidR="007B7492" w:rsidRPr="007B7492" w:rsidRDefault="007B7492" w:rsidP="003714DF">
            <w:pPr>
              <w:pStyle w:val="TableTextLeft"/>
            </w:pPr>
            <w:r w:rsidRPr="007B7492">
              <w:t>Capital transfers</w:t>
            </w:r>
          </w:p>
        </w:tc>
        <w:tc>
          <w:tcPr>
            <w:tcW w:w="359" w:type="pct"/>
            <w:tcBorders>
              <w:top w:val="nil"/>
              <w:left w:val="nil"/>
              <w:bottom w:val="nil"/>
              <w:right w:val="nil"/>
            </w:tcBorders>
            <w:shd w:val="clear" w:color="000000" w:fill="FFFFFF"/>
            <w:noWrap/>
            <w:vAlign w:val="center"/>
            <w:hideMark/>
          </w:tcPr>
          <w:p w14:paraId="657B3966" w14:textId="77777777" w:rsidR="007B7492" w:rsidRPr="007B7492" w:rsidRDefault="007B7492" w:rsidP="00C271F9">
            <w:pPr>
              <w:pStyle w:val="TableTextCentred"/>
            </w:pPr>
            <w:r w:rsidRPr="007B7492">
              <w:t xml:space="preserve"> 11 </w:t>
            </w:r>
          </w:p>
        </w:tc>
        <w:tc>
          <w:tcPr>
            <w:tcW w:w="521" w:type="pct"/>
            <w:tcBorders>
              <w:top w:val="nil"/>
              <w:left w:val="nil"/>
              <w:bottom w:val="nil"/>
              <w:right w:val="nil"/>
            </w:tcBorders>
            <w:shd w:val="clear" w:color="000000" w:fill="FFFFFF"/>
            <w:noWrap/>
            <w:vAlign w:val="center"/>
            <w:hideMark/>
          </w:tcPr>
          <w:p w14:paraId="4355FA83"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E6F2FF"/>
            <w:noWrap/>
            <w:vAlign w:val="center"/>
            <w:hideMark/>
          </w:tcPr>
          <w:p w14:paraId="5478421D"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248D3A2A"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58FD18C0"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33" w:type="pct"/>
            <w:tcBorders>
              <w:top w:val="nil"/>
              <w:left w:val="nil"/>
              <w:bottom w:val="nil"/>
              <w:right w:val="nil"/>
            </w:tcBorders>
            <w:shd w:val="clear" w:color="000000" w:fill="FFFFFF"/>
            <w:noWrap/>
            <w:vAlign w:val="center"/>
            <w:hideMark/>
          </w:tcPr>
          <w:p w14:paraId="00AB6023" w14:textId="77777777" w:rsidR="007B7492" w:rsidRPr="00897CEF" w:rsidRDefault="007B7492" w:rsidP="00D32902">
            <w:pPr>
              <w:pStyle w:val="TableTextRight"/>
              <w:rPr>
                <w:rFonts w:cs="Arial"/>
                <w:color w:val="000000"/>
                <w:szCs w:val="16"/>
              </w:rPr>
            </w:pPr>
            <w:r w:rsidRPr="00897CEF">
              <w:rPr>
                <w:rFonts w:cs="Arial"/>
                <w:color w:val="000000"/>
                <w:szCs w:val="16"/>
              </w:rPr>
              <w:t> </w:t>
            </w:r>
          </w:p>
        </w:tc>
      </w:tr>
      <w:tr w:rsidR="001473F8" w:rsidRPr="007B7492" w14:paraId="695CA62D" w14:textId="77777777" w:rsidTr="00170877">
        <w:trPr>
          <w:trHeight w:val="225"/>
        </w:trPr>
        <w:tc>
          <w:tcPr>
            <w:tcW w:w="2022" w:type="pct"/>
            <w:tcBorders>
              <w:top w:val="nil"/>
              <w:left w:val="nil"/>
              <w:bottom w:val="nil"/>
              <w:right w:val="nil"/>
            </w:tcBorders>
            <w:shd w:val="clear" w:color="000000" w:fill="FFFFFF"/>
            <w:noWrap/>
            <w:vAlign w:val="center"/>
            <w:hideMark/>
          </w:tcPr>
          <w:p w14:paraId="440AF4F8" w14:textId="7D9AF8D6" w:rsidR="001473F8" w:rsidRPr="00DA3A10" w:rsidRDefault="001473F8" w:rsidP="00707AD7">
            <w:pPr>
              <w:pStyle w:val="TableTextIndented"/>
              <w:rPr>
                <w:rFonts w:cs="Arial"/>
                <w:szCs w:val="16"/>
              </w:rPr>
            </w:pPr>
            <w:r w:rsidRPr="00DA3A10">
              <w:rPr>
                <w:rFonts w:cs="Arial"/>
                <w:szCs w:val="16"/>
              </w:rPr>
              <w:t>Mutually agreed write</w:t>
            </w:r>
            <w:r w:rsidR="00325E1E">
              <w:rPr>
                <w:rFonts w:cs="Arial"/>
                <w:szCs w:val="16"/>
              </w:rPr>
              <w:noBreakHyphen/>
            </w:r>
            <w:r w:rsidRPr="00DA3A10">
              <w:rPr>
                <w:rFonts w:cs="Arial"/>
                <w:szCs w:val="16"/>
              </w:rPr>
              <w:t>downs</w:t>
            </w:r>
          </w:p>
        </w:tc>
        <w:tc>
          <w:tcPr>
            <w:tcW w:w="359" w:type="pct"/>
            <w:tcBorders>
              <w:top w:val="nil"/>
              <w:left w:val="nil"/>
              <w:bottom w:val="nil"/>
              <w:right w:val="nil"/>
            </w:tcBorders>
            <w:shd w:val="clear" w:color="000000" w:fill="FFFFFF"/>
            <w:noWrap/>
            <w:vAlign w:val="center"/>
            <w:hideMark/>
          </w:tcPr>
          <w:p w14:paraId="7364AC20" w14:textId="77777777" w:rsidR="001473F8" w:rsidRPr="007B7492" w:rsidRDefault="001473F8"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782C4640" w14:textId="5B48DEA2" w:rsidR="001473F8" w:rsidRPr="00897CEF" w:rsidRDefault="001473F8" w:rsidP="00D32902">
            <w:pPr>
              <w:pStyle w:val="TableTextRight"/>
              <w:rPr>
                <w:rFonts w:cs="Arial"/>
                <w:color w:val="000000"/>
                <w:szCs w:val="16"/>
              </w:rPr>
            </w:pPr>
            <w:r w:rsidRPr="00897CEF">
              <w:rPr>
                <w:rFonts w:cs="Arial"/>
                <w:color w:val="000000"/>
                <w:szCs w:val="16"/>
              </w:rPr>
              <w:t>3,039</w:t>
            </w:r>
          </w:p>
        </w:tc>
        <w:tc>
          <w:tcPr>
            <w:tcW w:w="521" w:type="pct"/>
            <w:tcBorders>
              <w:top w:val="nil"/>
              <w:left w:val="nil"/>
              <w:bottom w:val="nil"/>
              <w:right w:val="nil"/>
            </w:tcBorders>
            <w:shd w:val="clear" w:color="000000" w:fill="E6F2FF"/>
            <w:noWrap/>
            <w:vAlign w:val="center"/>
            <w:hideMark/>
          </w:tcPr>
          <w:p w14:paraId="5590048D" w14:textId="143B4914" w:rsidR="001473F8" w:rsidRPr="00897CEF" w:rsidRDefault="001473F8" w:rsidP="00D32902">
            <w:pPr>
              <w:pStyle w:val="TableTextRight"/>
              <w:rPr>
                <w:rFonts w:cs="Arial"/>
                <w:color w:val="000000"/>
                <w:szCs w:val="16"/>
              </w:rPr>
            </w:pPr>
            <w:r w:rsidRPr="00897CEF">
              <w:rPr>
                <w:rFonts w:cs="Arial"/>
                <w:color w:val="000000"/>
                <w:szCs w:val="16"/>
              </w:rPr>
              <w:t>5,137</w:t>
            </w:r>
          </w:p>
        </w:tc>
        <w:tc>
          <w:tcPr>
            <w:tcW w:w="521" w:type="pct"/>
            <w:tcBorders>
              <w:top w:val="nil"/>
              <w:left w:val="nil"/>
              <w:bottom w:val="nil"/>
              <w:right w:val="nil"/>
            </w:tcBorders>
            <w:shd w:val="clear" w:color="000000" w:fill="FFFFFF"/>
            <w:noWrap/>
            <w:vAlign w:val="center"/>
            <w:hideMark/>
          </w:tcPr>
          <w:p w14:paraId="110B8671" w14:textId="65FBE030" w:rsidR="001473F8" w:rsidRPr="00897CEF" w:rsidRDefault="001473F8" w:rsidP="00D32902">
            <w:pPr>
              <w:pStyle w:val="TableTextRight"/>
              <w:rPr>
                <w:rFonts w:cs="Arial"/>
                <w:color w:val="000000"/>
                <w:szCs w:val="16"/>
              </w:rPr>
            </w:pPr>
            <w:r w:rsidRPr="00897CEF">
              <w:rPr>
                <w:rFonts w:cs="Arial"/>
                <w:color w:val="000000"/>
                <w:szCs w:val="16"/>
              </w:rPr>
              <w:t>3,318</w:t>
            </w:r>
          </w:p>
        </w:tc>
        <w:tc>
          <w:tcPr>
            <w:tcW w:w="521" w:type="pct"/>
            <w:tcBorders>
              <w:top w:val="nil"/>
              <w:left w:val="nil"/>
              <w:bottom w:val="nil"/>
              <w:right w:val="nil"/>
            </w:tcBorders>
            <w:shd w:val="clear" w:color="000000" w:fill="FFFFFF"/>
            <w:noWrap/>
            <w:vAlign w:val="center"/>
            <w:hideMark/>
          </w:tcPr>
          <w:p w14:paraId="02316224" w14:textId="16F29D1E" w:rsidR="001473F8" w:rsidRPr="00897CEF" w:rsidRDefault="001473F8" w:rsidP="00D32902">
            <w:pPr>
              <w:pStyle w:val="TableTextRight"/>
              <w:rPr>
                <w:rFonts w:cs="Arial"/>
                <w:color w:val="000000"/>
                <w:szCs w:val="16"/>
              </w:rPr>
            </w:pPr>
            <w:r w:rsidRPr="00897CEF">
              <w:rPr>
                <w:rFonts w:cs="Arial"/>
                <w:color w:val="000000"/>
                <w:szCs w:val="16"/>
              </w:rPr>
              <w:t>3,510</w:t>
            </w:r>
          </w:p>
        </w:tc>
        <w:tc>
          <w:tcPr>
            <w:tcW w:w="533" w:type="pct"/>
            <w:tcBorders>
              <w:top w:val="nil"/>
              <w:left w:val="nil"/>
              <w:bottom w:val="nil"/>
              <w:right w:val="nil"/>
            </w:tcBorders>
            <w:shd w:val="clear" w:color="000000" w:fill="FFFFFF"/>
            <w:noWrap/>
            <w:vAlign w:val="center"/>
            <w:hideMark/>
          </w:tcPr>
          <w:p w14:paraId="3B8E9E53" w14:textId="433DE2C5" w:rsidR="001473F8" w:rsidRPr="00897CEF" w:rsidRDefault="001473F8" w:rsidP="00D32902">
            <w:pPr>
              <w:pStyle w:val="TableTextRight"/>
              <w:rPr>
                <w:rFonts w:cs="Arial"/>
                <w:color w:val="000000"/>
                <w:szCs w:val="16"/>
              </w:rPr>
            </w:pPr>
            <w:r w:rsidRPr="00897CEF">
              <w:rPr>
                <w:rFonts w:cs="Arial"/>
                <w:color w:val="000000"/>
                <w:szCs w:val="16"/>
              </w:rPr>
              <w:t>3,726</w:t>
            </w:r>
          </w:p>
        </w:tc>
      </w:tr>
      <w:tr w:rsidR="001473F8" w:rsidRPr="007B7492" w14:paraId="63676AFD" w14:textId="77777777" w:rsidTr="00170877">
        <w:trPr>
          <w:trHeight w:val="225"/>
        </w:trPr>
        <w:tc>
          <w:tcPr>
            <w:tcW w:w="2022" w:type="pct"/>
            <w:tcBorders>
              <w:top w:val="nil"/>
              <w:left w:val="nil"/>
              <w:bottom w:val="nil"/>
              <w:right w:val="nil"/>
            </w:tcBorders>
            <w:shd w:val="clear" w:color="000000" w:fill="FFFFFF"/>
            <w:noWrap/>
            <w:vAlign w:val="center"/>
            <w:hideMark/>
          </w:tcPr>
          <w:p w14:paraId="225FFCE4" w14:textId="77777777" w:rsidR="001473F8" w:rsidRPr="00DA3A10" w:rsidRDefault="001473F8" w:rsidP="00707AD7">
            <w:pPr>
              <w:pStyle w:val="TableTextIndented"/>
              <w:rPr>
                <w:rFonts w:cs="Arial"/>
                <w:szCs w:val="16"/>
              </w:rPr>
            </w:pPr>
            <w:r w:rsidRPr="00DA3A10">
              <w:rPr>
                <w:rFonts w:cs="Arial"/>
                <w:szCs w:val="16"/>
              </w:rPr>
              <w:t>Other capital grants</w:t>
            </w:r>
          </w:p>
        </w:tc>
        <w:tc>
          <w:tcPr>
            <w:tcW w:w="359" w:type="pct"/>
            <w:tcBorders>
              <w:top w:val="nil"/>
              <w:left w:val="nil"/>
              <w:bottom w:val="nil"/>
              <w:right w:val="nil"/>
            </w:tcBorders>
            <w:shd w:val="clear" w:color="000000" w:fill="FFFFFF"/>
            <w:noWrap/>
            <w:vAlign w:val="center"/>
            <w:hideMark/>
          </w:tcPr>
          <w:p w14:paraId="577589EC" w14:textId="77777777" w:rsidR="001473F8" w:rsidRPr="007B7492" w:rsidRDefault="001473F8"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53390D6E" w14:textId="5F0545B1" w:rsidR="001473F8" w:rsidRPr="00897CEF" w:rsidRDefault="001473F8" w:rsidP="00D32902">
            <w:pPr>
              <w:pStyle w:val="TableTextRight"/>
              <w:rPr>
                <w:rFonts w:cs="Arial"/>
                <w:color w:val="000000"/>
                <w:szCs w:val="16"/>
              </w:rPr>
            </w:pPr>
            <w:r w:rsidRPr="00897CEF">
              <w:rPr>
                <w:rFonts w:cs="Arial"/>
                <w:color w:val="000000"/>
                <w:szCs w:val="16"/>
              </w:rPr>
              <w:t>17,838</w:t>
            </w:r>
          </w:p>
        </w:tc>
        <w:tc>
          <w:tcPr>
            <w:tcW w:w="521" w:type="pct"/>
            <w:tcBorders>
              <w:top w:val="nil"/>
              <w:left w:val="nil"/>
              <w:bottom w:val="nil"/>
              <w:right w:val="nil"/>
            </w:tcBorders>
            <w:shd w:val="clear" w:color="000000" w:fill="E6F2FF"/>
            <w:noWrap/>
            <w:vAlign w:val="center"/>
            <w:hideMark/>
          </w:tcPr>
          <w:p w14:paraId="4EC527FA" w14:textId="4B2CFE51" w:rsidR="001473F8" w:rsidRPr="00897CEF" w:rsidRDefault="001473F8" w:rsidP="00D32902">
            <w:pPr>
              <w:pStyle w:val="TableTextRight"/>
              <w:rPr>
                <w:rFonts w:cs="Arial"/>
                <w:color w:val="000000"/>
                <w:szCs w:val="16"/>
              </w:rPr>
            </w:pPr>
            <w:r w:rsidRPr="00897CEF">
              <w:rPr>
                <w:rFonts w:cs="Arial"/>
                <w:color w:val="000000"/>
                <w:szCs w:val="16"/>
              </w:rPr>
              <w:t>20,226</w:t>
            </w:r>
          </w:p>
        </w:tc>
        <w:tc>
          <w:tcPr>
            <w:tcW w:w="521" w:type="pct"/>
            <w:tcBorders>
              <w:top w:val="nil"/>
              <w:left w:val="nil"/>
              <w:bottom w:val="nil"/>
              <w:right w:val="nil"/>
            </w:tcBorders>
            <w:shd w:val="clear" w:color="000000" w:fill="FFFFFF"/>
            <w:noWrap/>
            <w:vAlign w:val="center"/>
            <w:hideMark/>
          </w:tcPr>
          <w:p w14:paraId="7C9B74B0" w14:textId="6B4FB9D1" w:rsidR="001473F8" w:rsidRPr="00897CEF" w:rsidRDefault="001473F8" w:rsidP="00D32902">
            <w:pPr>
              <w:pStyle w:val="TableTextRight"/>
              <w:rPr>
                <w:rFonts w:cs="Arial"/>
                <w:color w:val="000000"/>
                <w:szCs w:val="16"/>
              </w:rPr>
            </w:pPr>
            <w:r w:rsidRPr="00897CEF">
              <w:rPr>
                <w:rFonts w:cs="Arial"/>
                <w:color w:val="000000"/>
                <w:szCs w:val="16"/>
              </w:rPr>
              <w:t>19,017</w:t>
            </w:r>
          </w:p>
        </w:tc>
        <w:tc>
          <w:tcPr>
            <w:tcW w:w="521" w:type="pct"/>
            <w:tcBorders>
              <w:top w:val="nil"/>
              <w:left w:val="nil"/>
              <w:bottom w:val="nil"/>
              <w:right w:val="nil"/>
            </w:tcBorders>
            <w:shd w:val="clear" w:color="000000" w:fill="FFFFFF"/>
            <w:noWrap/>
            <w:vAlign w:val="center"/>
            <w:hideMark/>
          </w:tcPr>
          <w:p w14:paraId="72D88017" w14:textId="313D1D7B" w:rsidR="001473F8" w:rsidRPr="00897CEF" w:rsidRDefault="001473F8" w:rsidP="00D32902">
            <w:pPr>
              <w:pStyle w:val="TableTextRight"/>
              <w:rPr>
                <w:rFonts w:cs="Arial"/>
                <w:color w:val="000000"/>
                <w:szCs w:val="16"/>
              </w:rPr>
            </w:pPr>
            <w:r w:rsidRPr="00897CEF">
              <w:rPr>
                <w:rFonts w:cs="Arial"/>
                <w:color w:val="000000"/>
                <w:szCs w:val="16"/>
              </w:rPr>
              <w:t>17,988</w:t>
            </w:r>
          </w:p>
        </w:tc>
        <w:tc>
          <w:tcPr>
            <w:tcW w:w="533" w:type="pct"/>
            <w:tcBorders>
              <w:top w:val="nil"/>
              <w:left w:val="nil"/>
              <w:bottom w:val="nil"/>
              <w:right w:val="nil"/>
            </w:tcBorders>
            <w:shd w:val="clear" w:color="000000" w:fill="FFFFFF"/>
            <w:noWrap/>
            <w:vAlign w:val="center"/>
            <w:hideMark/>
          </w:tcPr>
          <w:p w14:paraId="76B6F1CE" w14:textId="013A39E5" w:rsidR="001473F8" w:rsidRPr="00897CEF" w:rsidRDefault="001473F8" w:rsidP="00D32902">
            <w:pPr>
              <w:pStyle w:val="TableTextRight"/>
              <w:rPr>
                <w:rFonts w:cs="Arial"/>
                <w:color w:val="000000"/>
                <w:szCs w:val="16"/>
              </w:rPr>
            </w:pPr>
            <w:r w:rsidRPr="00897CEF">
              <w:rPr>
                <w:rFonts w:cs="Arial"/>
                <w:color w:val="000000"/>
                <w:szCs w:val="16"/>
              </w:rPr>
              <w:t>15,798</w:t>
            </w:r>
          </w:p>
        </w:tc>
      </w:tr>
      <w:tr w:rsidR="001473F8" w:rsidRPr="007B7492" w14:paraId="66EF3CED" w14:textId="77777777" w:rsidTr="00170877">
        <w:trPr>
          <w:trHeight w:val="225"/>
        </w:trPr>
        <w:tc>
          <w:tcPr>
            <w:tcW w:w="2022" w:type="pct"/>
            <w:tcBorders>
              <w:top w:val="nil"/>
              <w:left w:val="nil"/>
              <w:bottom w:val="nil"/>
              <w:right w:val="nil"/>
            </w:tcBorders>
            <w:shd w:val="clear" w:color="000000" w:fill="FFFFFF"/>
            <w:noWrap/>
            <w:vAlign w:val="center"/>
            <w:hideMark/>
          </w:tcPr>
          <w:p w14:paraId="11804F31" w14:textId="77777777" w:rsidR="001473F8" w:rsidRPr="00F975AA" w:rsidRDefault="001473F8" w:rsidP="003714DF">
            <w:pPr>
              <w:pStyle w:val="TableTextLeft"/>
              <w:rPr>
                <w:rStyle w:val="Emphasis"/>
              </w:rPr>
            </w:pPr>
            <w:r w:rsidRPr="00F975AA">
              <w:rPr>
                <w:rStyle w:val="Emphasis"/>
              </w:rPr>
              <w:t>Total capital transfers</w:t>
            </w:r>
          </w:p>
        </w:tc>
        <w:tc>
          <w:tcPr>
            <w:tcW w:w="359" w:type="pct"/>
            <w:tcBorders>
              <w:top w:val="nil"/>
              <w:left w:val="nil"/>
              <w:bottom w:val="nil"/>
              <w:right w:val="nil"/>
            </w:tcBorders>
            <w:shd w:val="clear" w:color="000000" w:fill="FFFFFF"/>
            <w:noWrap/>
            <w:vAlign w:val="center"/>
            <w:hideMark/>
          </w:tcPr>
          <w:p w14:paraId="026AD822" w14:textId="77777777" w:rsidR="001473F8" w:rsidRPr="007B7492" w:rsidRDefault="001473F8"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57F22ED9" w14:textId="6F9EA6CB" w:rsidR="001473F8" w:rsidRPr="00897CEF" w:rsidRDefault="001473F8" w:rsidP="00D32902">
            <w:pPr>
              <w:pStyle w:val="TableTextRight"/>
              <w:rPr>
                <w:rStyle w:val="Emphasis"/>
                <w:rFonts w:cs="Arial"/>
                <w:szCs w:val="16"/>
              </w:rPr>
            </w:pPr>
            <w:r w:rsidRPr="00897CEF">
              <w:rPr>
                <w:rStyle w:val="Emphasis"/>
                <w:rFonts w:cs="Arial"/>
                <w:szCs w:val="16"/>
              </w:rPr>
              <w:t>20,877</w:t>
            </w:r>
          </w:p>
        </w:tc>
        <w:tc>
          <w:tcPr>
            <w:tcW w:w="521" w:type="pct"/>
            <w:tcBorders>
              <w:top w:val="nil"/>
              <w:left w:val="nil"/>
              <w:bottom w:val="nil"/>
              <w:right w:val="nil"/>
            </w:tcBorders>
            <w:shd w:val="clear" w:color="000000" w:fill="E6F2FF"/>
            <w:noWrap/>
            <w:vAlign w:val="center"/>
            <w:hideMark/>
          </w:tcPr>
          <w:p w14:paraId="00FC11E8" w14:textId="05DFB034" w:rsidR="001473F8" w:rsidRPr="00897CEF" w:rsidRDefault="001473F8" w:rsidP="00D32902">
            <w:pPr>
              <w:pStyle w:val="TableTextRight"/>
              <w:rPr>
                <w:rStyle w:val="Emphasis"/>
                <w:rFonts w:cs="Arial"/>
                <w:szCs w:val="16"/>
              </w:rPr>
            </w:pPr>
            <w:r w:rsidRPr="00897CEF">
              <w:rPr>
                <w:rStyle w:val="Emphasis"/>
                <w:rFonts w:cs="Arial"/>
                <w:szCs w:val="16"/>
              </w:rPr>
              <w:t>25,364</w:t>
            </w:r>
          </w:p>
        </w:tc>
        <w:tc>
          <w:tcPr>
            <w:tcW w:w="521" w:type="pct"/>
            <w:tcBorders>
              <w:top w:val="nil"/>
              <w:left w:val="nil"/>
              <w:bottom w:val="nil"/>
              <w:right w:val="nil"/>
            </w:tcBorders>
            <w:shd w:val="clear" w:color="000000" w:fill="FFFFFF"/>
            <w:noWrap/>
            <w:vAlign w:val="center"/>
            <w:hideMark/>
          </w:tcPr>
          <w:p w14:paraId="614797F1" w14:textId="10362247" w:rsidR="001473F8" w:rsidRPr="00897CEF" w:rsidRDefault="001473F8" w:rsidP="00D32902">
            <w:pPr>
              <w:pStyle w:val="TableTextRight"/>
              <w:rPr>
                <w:rStyle w:val="Emphasis"/>
                <w:rFonts w:cs="Arial"/>
                <w:szCs w:val="16"/>
              </w:rPr>
            </w:pPr>
            <w:r w:rsidRPr="00897CEF">
              <w:rPr>
                <w:rStyle w:val="Emphasis"/>
                <w:rFonts w:cs="Arial"/>
                <w:szCs w:val="16"/>
              </w:rPr>
              <w:t>22,334</w:t>
            </w:r>
          </w:p>
        </w:tc>
        <w:tc>
          <w:tcPr>
            <w:tcW w:w="521" w:type="pct"/>
            <w:tcBorders>
              <w:top w:val="nil"/>
              <w:left w:val="nil"/>
              <w:bottom w:val="nil"/>
              <w:right w:val="nil"/>
            </w:tcBorders>
            <w:shd w:val="clear" w:color="000000" w:fill="FFFFFF"/>
            <w:noWrap/>
            <w:vAlign w:val="center"/>
            <w:hideMark/>
          </w:tcPr>
          <w:p w14:paraId="129CEE44" w14:textId="79B76E7E" w:rsidR="001473F8" w:rsidRPr="00897CEF" w:rsidRDefault="001473F8" w:rsidP="00D32902">
            <w:pPr>
              <w:pStyle w:val="TableTextRight"/>
              <w:rPr>
                <w:rStyle w:val="Emphasis"/>
                <w:rFonts w:cs="Arial"/>
                <w:szCs w:val="16"/>
              </w:rPr>
            </w:pPr>
            <w:r w:rsidRPr="00897CEF">
              <w:rPr>
                <w:rStyle w:val="Emphasis"/>
                <w:rFonts w:cs="Arial"/>
                <w:szCs w:val="16"/>
              </w:rPr>
              <w:t>21,497</w:t>
            </w:r>
          </w:p>
        </w:tc>
        <w:tc>
          <w:tcPr>
            <w:tcW w:w="533" w:type="pct"/>
            <w:tcBorders>
              <w:top w:val="nil"/>
              <w:left w:val="nil"/>
              <w:bottom w:val="nil"/>
              <w:right w:val="nil"/>
            </w:tcBorders>
            <w:shd w:val="clear" w:color="000000" w:fill="FFFFFF"/>
            <w:noWrap/>
            <w:vAlign w:val="center"/>
            <w:hideMark/>
          </w:tcPr>
          <w:p w14:paraId="296D735B" w14:textId="40402561" w:rsidR="001473F8" w:rsidRPr="00897CEF" w:rsidRDefault="001473F8" w:rsidP="00D32902">
            <w:pPr>
              <w:pStyle w:val="TableTextRight"/>
              <w:rPr>
                <w:rStyle w:val="Emphasis"/>
                <w:rFonts w:cs="Arial"/>
                <w:szCs w:val="16"/>
              </w:rPr>
            </w:pPr>
            <w:r w:rsidRPr="00897CEF">
              <w:rPr>
                <w:rStyle w:val="Emphasis"/>
                <w:rFonts w:cs="Arial"/>
                <w:szCs w:val="16"/>
              </w:rPr>
              <w:t>19,525</w:t>
            </w:r>
          </w:p>
        </w:tc>
      </w:tr>
      <w:tr w:rsidR="001473F8" w:rsidRPr="007B7492" w14:paraId="19E75329" w14:textId="77777777" w:rsidTr="009A548A">
        <w:trPr>
          <w:trHeight w:val="257"/>
        </w:trPr>
        <w:tc>
          <w:tcPr>
            <w:tcW w:w="2022" w:type="pct"/>
            <w:tcBorders>
              <w:top w:val="nil"/>
              <w:left w:val="nil"/>
              <w:bottom w:val="nil"/>
              <w:right w:val="nil"/>
            </w:tcBorders>
            <w:shd w:val="clear" w:color="000000" w:fill="FFFFFF"/>
            <w:noWrap/>
            <w:vAlign w:val="center"/>
            <w:hideMark/>
          </w:tcPr>
          <w:p w14:paraId="03014C42" w14:textId="77777777" w:rsidR="001473F8" w:rsidRPr="00BF135E" w:rsidRDefault="001473F8" w:rsidP="003714DF">
            <w:pPr>
              <w:pStyle w:val="TableTextLeft"/>
              <w:rPr>
                <w:b/>
              </w:rPr>
            </w:pPr>
            <w:r w:rsidRPr="00BF135E">
              <w:rPr>
                <w:b/>
              </w:rPr>
              <w:t>Total expenses</w:t>
            </w:r>
          </w:p>
        </w:tc>
        <w:tc>
          <w:tcPr>
            <w:tcW w:w="359" w:type="pct"/>
            <w:tcBorders>
              <w:top w:val="nil"/>
              <w:left w:val="nil"/>
              <w:bottom w:val="nil"/>
              <w:right w:val="nil"/>
            </w:tcBorders>
            <w:shd w:val="clear" w:color="000000" w:fill="FFFFFF"/>
            <w:noWrap/>
            <w:vAlign w:val="center"/>
            <w:hideMark/>
          </w:tcPr>
          <w:p w14:paraId="63D732A0" w14:textId="77777777" w:rsidR="001473F8" w:rsidRPr="007B7492" w:rsidRDefault="001473F8"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51BE1C3D" w14:textId="6B82CA88" w:rsidR="001473F8" w:rsidRPr="00897CEF" w:rsidRDefault="001473F8" w:rsidP="00D32902">
            <w:pPr>
              <w:pStyle w:val="TableTextRight"/>
              <w:rPr>
                <w:rFonts w:cs="Arial"/>
                <w:b/>
                <w:color w:val="000000"/>
                <w:szCs w:val="16"/>
              </w:rPr>
            </w:pPr>
            <w:r w:rsidRPr="00897CEF">
              <w:rPr>
                <w:rFonts w:cs="Arial"/>
                <w:b/>
                <w:color w:val="000000"/>
                <w:szCs w:val="16"/>
              </w:rPr>
              <w:t>691,070</w:t>
            </w:r>
          </w:p>
        </w:tc>
        <w:tc>
          <w:tcPr>
            <w:tcW w:w="521" w:type="pct"/>
            <w:tcBorders>
              <w:top w:val="nil"/>
              <w:left w:val="nil"/>
              <w:bottom w:val="nil"/>
              <w:right w:val="nil"/>
            </w:tcBorders>
            <w:shd w:val="clear" w:color="000000" w:fill="E6F2FF"/>
            <w:noWrap/>
            <w:vAlign w:val="center"/>
            <w:hideMark/>
          </w:tcPr>
          <w:p w14:paraId="054E2129" w14:textId="19158E14" w:rsidR="001473F8" w:rsidRPr="00897CEF" w:rsidRDefault="001473F8" w:rsidP="00D32902">
            <w:pPr>
              <w:pStyle w:val="TableTextRight"/>
              <w:rPr>
                <w:rFonts w:cs="Arial"/>
                <w:b/>
                <w:color w:val="000000"/>
                <w:szCs w:val="16"/>
              </w:rPr>
            </w:pPr>
            <w:r w:rsidRPr="00897CEF">
              <w:rPr>
                <w:rFonts w:cs="Arial"/>
                <w:b/>
                <w:color w:val="000000"/>
                <w:szCs w:val="16"/>
              </w:rPr>
              <w:t>734,518</w:t>
            </w:r>
          </w:p>
        </w:tc>
        <w:tc>
          <w:tcPr>
            <w:tcW w:w="521" w:type="pct"/>
            <w:tcBorders>
              <w:top w:val="nil"/>
              <w:left w:val="nil"/>
              <w:bottom w:val="nil"/>
              <w:right w:val="nil"/>
            </w:tcBorders>
            <w:shd w:val="clear" w:color="000000" w:fill="FFFFFF"/>
            <w:noWrap/>
            <w:vAlign w:val="center"/>
            <w:hideMark/>
          </w:tcPr>
          <w:p w14:paraId="215AE2EF" w14:textId="5242103D" w:rsidR="001473F8" w:rsidRPr="00897CEF" w:rsidRDefault="001473F8" w:rsidP="00D32902">
            <w:pPr>
              <w:pStyle w:val="TableTextRight"/>
              <w:rPr>
                <w:rFonts w:cs="Arial"/>
                <w:b/>
                <w:color w:val="000000"/>
                <w:szCs w:val="16"/>
              </w:rPr>
            </w:pPr>
            <w:r w:rsidRPr="00897CEF">
              <w:rPr>
                <w:rFonts w:cs="Arial"/>
                <w:b/>
                <w:color w:val="000000"/>
                <w:szCs w:val="16"/>
              </w:rPr>
              <w:t>767,290</w:t>
            </w:r>
          </w:p>
        </w:tc>
        <w:tc>
          <w:tcPr>
            <w:tcW w:w="521" w:type="pct"/>
            <w:tcBorders>
              <w:top w:val="nil"/>
              <w:left w:val="nil"/>
              <w:bottom w:val="nil"/>
              <w:right w:val="nil"/>
            </w:tcBorders>
            <w:shd w:val="clear" w:color="000000" w:fill="FFFFFF"/>
            <w:noWrap/>
            <w:vAlign w:val="center"/>
            <w:hideMark/>
          </w:tcPr>
          <w:p w14:paraId="36C0B7C7" w14:textId="0121EB0A" w:rsidR="001473F8" w:rsidRPr="00897CEF" w:rsidRDefault="001473F8" w:rsidP="00D32902">
            <w:pPr>
              <w:pStyle w:val="TableTextRight"/>
              <w:rPr>
                <w:rFonts w:cs="Arial"/>
                <w:b/>
                <w:color w:val="000000"/>
                <w:szCs w:val="16"/>
              </w:rPr>
            </w:pPr>
            <w:r w:rsidRPr="00897CEF">
              <w:rPr>
                <w:rFonts w:cs="Arial"/>
                <w:b/>
                <w:color w:val="000000"/>
                <w:szCs w:val="16"/>
              </w:rPr>
              <w:t>793,765</w:t>
            </w:r>
          </w:p>
        </w:tc>
        <w:tc>
          <w:tcPr>
            <w:tcW w:w="533" w:type="pct"/>
            <w:tcBorders>
              <w:top w:val="nil"/>
              <w:left w:val="nil"/>
              <w:bottom w:val="nil"/>
              <w:right w:val="nil"/>
            </w:tcBorders>
            <w:shd w:val="clear" w:color="000000" w:fill="FFFFFF"/>
            <w:noWrap/>
            <w:vAlign w:val="center"/>
            <w:hideMark/>
          </w:tcPr>
          <w:p w14:paraId="1A5715AD" w14:textId="4CAA1C54" w:rsidR="001473F8" w:rsidRPr="00897CEF" w:rsidRDefault="001473F8" w:rsidP="00D32902">
            <w:pPr>
              <w:pStyle w:val="TableTextRight"/>
              <w:rPr>
                <w:rFonts w:cs="Arial"/>
                <w:b/>
                <w:color w:val="000000"/>
                <w:szCs w:val="16"/>
              </w:rPr>
            </w:pPr>
            <w:r w:rsidRPr="00897CEF">
              <w:rPr>
                <w:rFonts w:cs="Arial"/>
                <w:b/>
                <w:color w:val="000000"/>
                <w:szCs w:val="16"/>
              </w:rPr>
              <w:t>829,755</w:t>
            </w:r>
          </w:p>
        </w:tc>
      </w:tr>
      <w:tr w:rsidR="001473F8" w:rsidRPr="007B7492" w14:paraId="4E6E4045" w14:textId="77777777" w:rsidTr="00170877">
        <w:trPr>
          <w:trHeight w:val="225"/>
        </w:trPr>
        <w:tc>
          <w:tcPr>
            <w:tcW w:w="2022" w:type="pct"/>
            <w:tcBorders>
              <w:top w:val="nil"/>
              <w:left w:val="nil"/>
              <w:bottom w:val="nil"/>
              <w:right w:val="nil"/>
            </w:tcBorders>
            <w:shd w:val="clear" w:color="000000" w:fill="FFFFFF"/>
            <w:noWrap/>
            <w:vAlign w:val="center"/>
            <w:hideMark/>
          </w:tcPr>
          <w:p w14:paraId="2F42053E" w14:textId="77777777" w:rsidR="001473F8" w:rsidRPr="00BF135E" w:rsidRDefault="001473F8" w:rsidP="003714DF">
            <w:pPr>
              <w:pStyle w:val="TableTextLeft"/>
              <w:rPr>
                <w:b/>
              </w:rPr>
            </w:pPr>
            <w:r w:rsidRPr="00BF135E">
              <w:rPr>
                <w:b/>
              </w:rPr>
              <w:t>Net operating balance</w:t>
            </w:r>
          </w:p>
        </w:tc>
        <w:tc>
          <w:tcPr>
            <w:tcW w:w="359" w:type="pct"/>
            <w:tcBorders>
              <w:top w:val="nil"/>
              <w:left w:val="nil"/>
              <w:bottom w:val="nil"/>
              <w:right w:val="nil"/>
            </w:tcBorders>
            <w:shd w:val="clear" w:color="000000" w:fill="FFFFFF"/>
            <w:noWrap/>
            <w:vAlign w:val="center"/>
            <w:hideMark/>
          </w:tcPr>
          <w:p w14:paraId="12CFEE8C" w14:textId="77777777" w:rsidR="001473F8" w:rsidRPr="007B7492" w:rsidRDefault="001473F8"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4DFF2E3A" w14:textId="1ABF7C93" w:rsidR="001473F8" w:rsidRPr="00897CEF" w:rsidRDefault="001473F8" w:rsidP="00D32902">
            <w:pPr>
              <w:pStyle w:val="TableTextRight"/>
              <w:rPr>
                <w:rFonts w:cs="Arial"/>
                <w:b/>
                <w:color w:val="000000"/>
                <w:szCs w:val="16"/>
              </w:rPr>
            </w:pPr>
            <w:r w:rsidRPr="00897CEF">
              <w:rPr>
                <w:rFonts w:cs="Arial"/>
                <w:b/>
                <w:color w:val="000000"/>
                <w:szCs w:val="16"/>
              </w:rPr>
              <w:t>15,807</w:t>
            </w:r>
          </w:p>
        </w:tc>
        <w:tc>
          <w:tcPr>
            <w:tcW w:w="521" w:type="pct"/>
            <w:tcBorders>
              <w:top w:val="nil"/>
              <w:left w:val="nil"/>
              <w:bottom w:val="nil"/>
              <w:right w:val="nil"/>
            </w:tcBorders>
            <w:shd w:val="clear" w:color="000000" w:fill="E6F2FF"/>
            <w:noWrap/>
            <w:vAlign w:val="center"/>
            <w:hideMark/>
          </w:tcPr>
          <w:p w14:paraId="519D37D8" w14:textId="38097B0C" w:rsidR="001473F8" w:rsidRPr="00897CEF" w:rsidRDefault="00325E1E" w:rsidP="00D32902">
            <w:pPr>
              <w:pStyle w:val="TableTextRight"/>
              <w:rPr>
                <w:rFonts w:cs="Arial"/>
                <w:b/>
                <w:color w:val="000000"/>
                <w:szCs w:val="16"/>
              </w:rPr>
            </w:pPr>
            <w:r>
              <w:rPr>
                <w:rFonts w:cs="Arial"/>
                <w:b/>
                <w:bCs/>
                <w:color w:val="000000"/>
                <w:szCs w:val="16"/>
              </w:rPr>
              <w:noBreakHyphen/>
            </w:r>
            <w:r w:rsidR="001473F8" w:rsidRPr="00897CEF">
              <w:rPr>
                <w:rFonts w:cs="Arial"/>
                <w:b/>
                <w:color w:val="000000"/>
                <w:szCs w:val="16"/>
              </w:rPr>
              <w:t>23,014</w:t>
            </w:r>
          </w:p>
        </w:tc>
        <w:tc>
          <w:tcPr>
            <w:tcW w:w="521" w:type="pct"/>
            <w:tcBorders>
              <w:top w:val="nil"/>
              <w:left w:val="nil"/>
              <w:bottom w:val="nil"/>
              <w:right w:val="nil"/>
            </w:tcBorders>
            <w:shd w:val="clear" w:color="000000" w:fill="FFFFFF"/>
            <w:noWrap/>
            <w:vAlign w:val="center"/>
            <w:hideMark/>
          </w:tcPr>
          <w:p w14:paraId="17742BF8" w14:textId="60037A6E" w:rsidR="001473F8" w:rsidRPr="00897CEF" w:rsidRDefault="00325E1E" w:rsidP="00D32902">
            <w:pPr>
              <w:pStyle w:val="TableTextRight"/>
              <w:rPr>
                <w:rFonts w:cs="Arial"/>
                <w:b/>
                <w:color w:val="000000"/>
                <w:szCs w:val="16"/>
              </w:rPr>
            </w:pPr>
            <w:r>
              <w:rPr>
                <w:rFonts w:cs="Arial"/>
                <w:b/>
                <w:bCs/>
                <w:color w:val="000000"/>
                <w:szCs w:val="16"/>
              </w:rPr>
              <w:noBreakHyphen/>
            </w:r>
            <w:r w:rsidR="001473F8" w:rsidRPr="00897CEF">
              <w:rPr>
                <w:rFonts w:cs="Arial"/>
                <w:b/>
                <w:color w:val="000000"/>
                <w:szCs w:val="16"/>
              </w:rPr>
              <w:t>34,550</w:t>
            </w:r>
          </w:p>
        </w:tc>
        <w:tc>
          <w:tcPr>
            <w:tcW w:w="521" w:type="pct"/>
            <w:tcBorders>
              <w:top w:val="nil"/>
              <w:left w:val="nil"/>
              <w:bottom w:val="nil"/>
              <w:right w:val="nil"/>
            </w:tcBorders>
            <w:shd w:val="clear" w:color="000000" w:fill="FFFFFF"/>
            <w:noWrap/>
            <w:vAlign w:val="center"/>
            <w:hideMark/>
          </w:tcPr>
          <w:p w14:paraId="5EC77C0B" w14:textId="4D1DE887" w:rsidR="001473F8" w:rsidRPr="00897CEF" w:rsidRDefault="00325E1E" w:rsidP="00D32902">
            <w:pPr>
              <w:pStyle w:val="TableTextRight"/>
              <w:rPr>
                <w:rFonts w:cs="Arial"/>
                <w:b/>
                <w:color w:val="000000"/>
                <w:szCs w:val="16"/>
              </w:rPr>
            </w:pPr>
            <w:r>
              <w:rPr>
                <w:rFonts w:cs="Arial"/>
                <w:b/>
                <w:bCs/>
                <w:color w:val="000000"/>
                <w:szCs w:val="16"/>
              </w:rPr>
              <w:noBreakHyphen/>
            </w:r>
            <w:r w:rsidR="001473F8" w:rsidRPr="00897CEF">
              <w:rPr>
                <w:rFonts w:cs="Arial"/>
                <w:b/>
                <w:color w:val="000000"/>
                <w:szCs w:val="16"/>
              </w:rPr>
              <w:t>17,526</w:t>
            </w:r>
          </w:p>
        </w:tc>
        <w:tc>
          <w:tcPr>
            <w:tcW w:w="533" w:type="pct"/>
            <w:tcBorders>
              <w:top w:val="nil"/>
              <w:left w:val="nil"/>
              <w:bottom w:val="nil"/>
              <w:right w:val="nil"/>
            </w:tcBorders>
            <w:shd w:val="clear" w:color="000000" w:fill="FFFFFF"/>
            <w:noWrap/>
            <w:vAlign w:val="center"/>
            <w:hideMark/>
          </w:tcPr>
          <w:p w14:paraId="25EE9F9E" w14:textId="1783CC06" w:rsidR="001473F8" w:rsidRPr="00897CEF" w:rsidRDefault="00325E1E" w:rsidP="00D32902">
            <w:pPr>
              <w:pStyle w:val="TableTextRight"/>
              <w:rPr>
                <w:rFonts w:cs="Arial"/>
                <w:b/>
                <w:color w:val="000000"/>
                <w:szCs w:val="16"/>
              </w:rPr>
            </w:pPr>
            <w:r>
              <w:rPr>
                <w:rFonts w:cs="Arial"/>
                <w:b/>
                <w:bCs/>
                <w:color w:val="000000"/>
                <w:szCs w:val="16"/>
              </w:rPr>
              <w:noBreakHyphen/>
            </w:r>
            <w:r w:rsidR="001473F8" w:rsidRPr="00897CEF">
              <w:rPr>
                <w:rFonts w:cs="Arial"/>
                <w:b/>
                <w:color w:val="000000"/>
                <w:szCs w:val="16"/>
              </w:rPr>
              <w:t>10,127</w:t>
            </w:r>
          </w:p>
        </w:tc>
      </w:tr>
      <w:tr w:rsidR="007B7492" w:rsidRPr="007B7492" w14:paraId="1260EF28" w14:textId="77777777" w:rsidTr="00170877">
        <w:trPr>
          <w:trHeight w:val="225"/>
        </w:trPr>
        <w:tc>
          <w:tcPr>
            <w:tcW w:w="2022" w:type="pct"/>
            <w:tcBorders>
              <w:top w:val="nil"/>
              <w:left w:val="nil"/>
              <w:bottom w:val="nil"/>
              <w:right w:val="nil"/>
            </w:tcBorders>
            <w:shd w:val="clear" w:color="000000" w:fill="FFFFFF"/>
            <w:vAlign w:val="center"/>
            <w:hideMark/>
          </w:tcPr>
          <w:p w14:paraId="483A913B" w14:textId="77777777" w:rsidR="007B7492" w:rsidRPr="00BF135E" w:rsidRDefault="007B7492" w:rsidP="003714DF">
            <w:pPr>
              <w:pStyle w:val="TableTextLeft"/>
              <w:rPr>
                <w:b/>
              </w:rPr>
            </w:pPr>
            <w:r w:rsidRPr="00BF135E">
              <w:rPr>
                <w:b/>
              </w:rPr>
              <w:t xml:space="preserve">Other economic flows – </w:t>
            </w:r>
          </w:p>
        </w:tc>
        <w:tc>
          <w:tcPr>
            <w:tcW w:w="359" w:type="pct"/>
            <w:tcBorders>
              <w:top w:val="nil"/>
              <w:left w:val="nil"/>
              <w:bottom w:val="nil"/>
              <w:right w:val="nil"/>
            </w:tcBorders>
            <w:shd w:val="clear" w:color="000000" w:fill="FFFFFF"/>
            <w:noWrap/>
            <w:vAlign w:val="center"/>
            <w:hideMark/>
          </w:tcPr>
          <w:p w14:paraId="09E2670B" w14:textId="77777777" w:rsidR="007B7492" w:rsidRPr="007B7492" w:rsidRDefault="007B7492"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4D97C5F8"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E6F2FF"/>
            <w:noWrap/>
            <w:vAlign w:val="center"/>
            <w:hideMark/>
          </w:tcPr>
          <w:p w14:paraId="5292A50B"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FFFFFF"/>
            <w:noWrap/>
            <w:vAlign w:val="center"/>
            <w:hideMark/>
          </w:tcPr>
          <w:p w14:paraId="5ED26AB0"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FFFFFF"/>
            <w:noWrap/>
            <w:vAlign w:val="center"/>
            <w:hideMark/>
          </w:tcPr>
          <w:p w14:paraId="4953DE05"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33" w:type="pct"/>
            <w:tcBorders>
              <w:top w:val="nil"/>
              <w:left w:val="nil"/>
              <w:bottom w:val="nil"/>
              <w:right w:val="nil"/>
            </w:tcBorders>
            <w:shd w:val="clear" w:color="000000" w:fill="FFFFFF"/>
            <w:noWrap/>
            <w:vAlign w:val="center"/>
            <w:hideMark/>
          </w:tcPr>
          <w:p w14:paraId="317937DD"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r>
      <w:tr w:rsidR="007B7492" w:rsidRPr="007B7492" w14:paraId="250B1844" w14:textId="77777777" w:rsidTr="00170877">
        <w:trPr>
          <w:trHeight w:val="225"/>
        </w:trPr>
        <w:tc>
          <w:tcPr>
            <w:tcW w:w="2022" w:type="pct"/>
            <w:tcBorders>
              <w:top w:val="nil"/>
              <w:left w:val="nil"/>
              <w:bottom w:val="nil"/>
              <w:right w:val="nil"/>
            </w:tcBorders>
            <w:shd w:val="clear" w:color="000000" w:fill="FFFFFF"/>
            <w:vAlign w:val="center"/>
            <w:hideMark/>
          </w:tcPr>
          <w:p w14:paraId="2BC38B27" w14:textId="77777777" w:rsidR="007B7492" w:rsidRPr="00DA3A10" w:rsidRDefault="007B7492" w:rsidP="00707AD7">
            <w:pPr>
              <w:pStyle w:val="TableTextIndented"/>
              <w:rPr>
                <w:rFonts w:cs="Arial"/>
                <w:b/>
                <w:szCs w:val="16"/>
              </w:rPr>
            </w:pPr>
            <w:r w:rsidRPr="00DA3A10">
              <w:rPr>
                <w:rFonts w:cs="Arial"/>
                <w:b/>
                <w:szCs w:val="16"/>
              </w:rPr>
              <w:t>included in operating result</w:t>
            </w:r>
          </w:p>
        </w:tc>
        <w:tc>
          <w:tcPr>
            <w:tcW w:w="359" w:type="pct"/>
            <w:tcBorders>
              <w:top w:val="nil"/>
              <w:left w:val="nil"/>
              <w:bottom w:val="nil"/>
              <w:right w:val="nil"/>
            </w:tcBorders>
            <w:shd w:val="clear" w:color="000000" w:fill="FFFFFF"/>
            <w:noWrap/>
            <w:vAlign w:val="center"/>
            <w:hideMark/>
          </w:tcPr>
          <w:p w14:paraId="07BE24CC" w14:textId="77777777" w:rsidR="007B7492" w:rsidRPr="007B7492" w:rsidRDefault="007B7492"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center"/>
            <w:hideMark/>
          </w:tcPr>
          <w:p w14:paraId="2496607B"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E6F2FF"/>
            <w:noWrap/>
            <w:vAlign w:val="center"/>
            <w:hideMark/>
          </w:tcPr>
          <w:p w14:paraId="38001544"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FFFFFF"/>
            <w:noWrap/>
            <w:vAlign w:val="center"/>
            <w:hideMark/>
          </w:tcPr>
          <w:p w14:paraId="763CAF96"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21" w:type="pct"/>
            <w:tcBorders>
              <w:top w:val="nil"/>
              <w:left w:val="nil"/>
              <w:bottom w:val="nil"/>
              <w:right w:val="nil"/>
            </w:tcBorders>
            <w:shd w:val="clear" w:color="000000" w:fill="FFFFFF"/>
            <w:noWrap/>
            <w:vAlign w:val="center"/>
            <w:hideMark/>
          </w:tcPr>
          <w:p w14:paraId="1128FE30"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c>
          <w:tcPr>
            <w:tcW w:w="533" w:type="pct"/>
            <w:tcBorders>
              <w:top w:val="nil"/>
              <w:left w:val="nil"/>
              <w:bottom w:val="nil"/>
              <w:right w:val="nil"/>
            </w:tcBorders>
            <w:shd w:val="clear" w:color="000000" w:fill="FFFFFF"/>
            <w:noWrap/>
            <w:vAlign w:val="center"/>
            <w:hideMark/>
          </w:tcPr>
          <w:p w14:paraId="6CAC321B" w14:textId="77777777" w:rsidR="007B7492" w:rsidRPr="00897CEF" w:rsidRDefault="007B7492" w:rsidP="00D32902">
            <w:pPr>
              <w:pStyle w:val="TableTextRight"/>
              <w:rPr>
                <w:rFonts w:cs="Arial"/>
                <w:b/>
                <w:color w:val="000000"/>
                <w:szCs w:val="16"/>
              </w:rPr>
            </w:pPr>
            <w:r w:rsidRPr="00897CEF">
              <w:rPr>
                <w:rFonts w:cs="Arial"/>
                <w:b/>
                <w:color w:val="000000"/>
                <w:szCs w:val="16"/>
              </w:rPr>
              <w:t> </w:t>
            </w:r>
          </w:p>
        </w:tc>
      </w:tr>
      <w:tr w:rsidR="00243205" w:rsidRPr="007B7492" w14:paraId="21C4406C" w14:textId="77777777" w:rsidTr="00170877">
        <w:trPr>
          <w:trHeight w:val="225"/>
        </w:trPr>
        <w:tc>
          <w:tcPr>
            <w:tcW w:w="2022" w:type="pct"/>
            <w:tcBorders>
              <w:top w:val="nil"/>
              <w:left w:val="nil"/>
              <w:bottom w:val="nil"/>
              <w:right w:val="nil"/>
            </w:tcBorders>
            <w:shd w:val="clear" w:color="000000" w:fill="FFFFFF"/>
            <w:vAlign w:val="center"/>
            <w:hideMark/>
          </w:tcPr>
          <w:p w14:paraId="35AEB641" w14:textId="70394DC8" w:rsidR="00243205" w:rsidRPr="00DA3A10" w:rsidRDefault="00243205" w:rsidP="00707AD7">
            <w:pPr>
              <w:pStyle w:val="TableTextIndented"/>
              <w:rPr>
                <w:rFonts w:cs="Arial"/>
                <w:szCs w:val="16"/>
              </w:rPr>
            </w:pPr>
            <w:r w:rsidRPr="00DA3A10">
              <w:rPr>
                <w:rFonts w:cs="Arial"/>
                <w:szCs w:val="16"/>
              </w:rPr>
              <w:t>Net write</w:t>
            </w:r>
            <w:r w:rsidR="00325E1E">
              <w:rPr>
                <w:rFonts w:cs="Arial"/>
                <w:szCs w:val="16"/>
              </w:rPr>
              <w:noBreakHyphen/>
            </w:r>
            <w:r w:rsidRPr="00DA3A10">
              <w:rPr>
                <w:rFonts w:cs="Arial"/>
                <w:szCs w:val="16"/>
              </w:rPr>
              <w:t xml:space="preserve">downs of assets  </w:t>
            </w:r>
          </w:p>
        </w:tc>
        <w:tc>
          <w:tcPr>
            <w:tcW w:w="359" w:type="pct"/>
            <w:tcBorders>
              <w:top w:val="nil"/>
              <w:left w:val="nil"/>
              <w:bottom w:val="nil"/>
              <w:right w:val="nil"/>
            </w:tcBorders>
            <w:shd w:val="clear" w:color="000000" w:fill="FFFFFF"/>
            <w:noWrap/>
            <w:vAlign w:val="center"/>
            <w:hideMark/>
          </w:tcPr>
          <w:p w14:paraId="0A92B562"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394514F1" w14:textId="35B2F63A"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10,994</w:t>
            </w:r>
          </w:p>
        </w:tc>
        <w:tc>
          <w:tcPr>
            <w:tcW w:w="521" w:type="pct"/>
            <w:tcBorders>
              <w:top w:val="nil"/>
              <w:left w:val="nil"/>
              <w:bottom w:val="nil"/>
              <w:right w:val="nil"/>
            </w:tcBorders>
            <w:shd w:val="clear" w:color="000000" w:fill="E6F2FF"/>
            <w:noWrap/>
            <w:vAlign w:val="center"/>
            <w:hideMark/>
          </w:tcPr>
          <w:p w14:paraId="2A413F10" w14:textId="7410CD4F"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11,427</w:t>
            </w:r>
          </w:p>
        </w:tc>
        <w:tc>
          <w:tcPr>
            <w:tcW w:w="521" w:type="pct"/>
            <w:tcBorders>
              <w:top w:val="nil"/>
              <w:left w:val="nil"/>
              <w:bottom w:val="nil"/>
              <w:right w:val="nil"/>
            </w:tcBorders>
            <w:shd w:val="clear" w:color="000000" w:fill="FFFFFF"/>
            <w:noWrap/>
            <w:vAlign w:val="center"/>
            <w:hideMark/>
          </w:tcPr>
          <w:p w14:paraId="241D16AA" w14:textId="1EBF7FE0"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11,335</w:t>
            </w:r>
          </w:p>
        </w:tc>
        <w:tc>
          <w:tcPr>
            <w:tcW w:w="521" w:type="pct"/>
            <w:tcBorders>
              <w:top w:val="nil"/>
              <w:left w:val="nil"/>
              <w:bottom w:val="nil"/>
              <w:right w:val="nil"/>
            </w:tcBorders>
            <w:shd w:val="clear" w:color="000000" w:fill="FFFFFF"/>
            <w:noWrap/>
            <w:vAlign w:val="center"/>
            <w:hideMark/>
          </w:tcPr>
          <w:p w14:paraId="0AFB4709" w14:textId="2367D75F"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11,981</w:t>
            </w:r>
          </w:p>
        </w:tc>
        <w:tc>
          <w:tcPr>
            <w:tcW w:w="533" w:type="pct"/>
            <w:tcBorders>
              <w:top w:val="nil"/>
              <w:left w:val="nil"/>
              <w:bottom w:val="nil"/>
              <w:right w:val="nil"/>
            </w:tcBorders>
            <w:shd w:val="clear" w:color="000000" w:fill="FFFFFF"/>
            <w:noWrap/>
            <w:vAlign w:val="center"/>
            <w:hideMark/>
          </w:tcPr>
          <w:p w14:paraId="64E0DE7D" w14:textId="56C60EE5"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12,823</w:t>
            </w:r>
          </w:p>
        </w:tc>
      </w:tr>
      <w:tr w:rsidR="00243205" w:rsidRPr="007B7492" w14:paraId="1CDCAF2F" w14:textId="77777777" w:rsidTr="00170877">
        <w:trPr>
          <w:trHeight w:val="225"/>
        </w:trPr>
        <w:tc>
          <w:tcPr>
            <w:tcW w:w="2022" w:type="pct"/>
            <w:tcBorders>
              <w:top w:val="nil"/>
              <w:left w:val="nil"/>
              <w:bottom w:val="nil"/>
              <w:right w:val="nil"/>
            </w:tcBorders>
            <w:shd w:val="clear" w:color="000000" w:fill="FFFFFF"/>
            <w:vAlign w:val="center"/>
            <w:hideMark/>
          </w:tcPr>
          <w:p w14:paraId="00E82F01" w14:textId="77777777" w:rsidR="00243205" w:rsidRPr="00DA3A10" w:rsidRDefault="00243205" w:rsidP="00707AD7">
            <w:pPr>
              <w:pStyle w:val="TableTextIndented"/>
              <w:rPr>
                <w:rFonts w:cs="Arial"/>
                <w:szCs w:val="16"/>
              </w:rPr>
            </w:pPr>
            <w:r w:rsidRPr="00DA3A10">
              <w:rPr>
                <w:rFonts w:cs="Arial"/>
                <w:szCs w:val="16"/>
              </w:rPr>
              <w:t>Assets recognised for the first time</w:t>
            </w:r>
          </w:p>
        </w:tc>
        <w:tc>
          <w:tcPr>
            <w:tcW w:w="359" w:type="pct"/>
            <w:tcBorders>
              <w:top w:val="nil"/>
              <w:left w:val="nil"/>
              <w:bottom w:val="nil"/>
              <w:right w:val="nil"/>
            </w:tcBorders>
            <w:shd w:val="clear" w:color="000000" w:fill="FFFFFF"/>
            <w:noWrap/>
            <w:vAlign w:val="center"/>
            <w:hideMark/>
          </w:tcPr>
          <w:p w14:paraId="665FDC94"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069E01D9" w14:textId="7346A2AC" w:rsidR="00243205" w:rsidRPr="00897CEF" w:rsidRDefault="00243205" w:rsidP="00D32902">
            <w:pPr>
              <w:pStyle w:val="TableTextRight"/>
              <w:rPr>
                <w:rFonts w:cs="Arial"/>
                <w:color w:val="000000"/>
                <w:szCs w:val="16"/>
              </w:rPr>
            </w:pPr>
            <w:r w:rsidRPr="00897CEF">
              <w:rPr>
                <w:rFonts w:cs="Arial"/>
                <w:color w:val="000000"/>
                <w:szCs w:val="16"/>
              </w:rPr>
              <w:t>298</w:t>
            </w:r>
          </w:p>
        </w:tc>
        <w:tc>
          <w:tcPr>
            <w:tcW w:w="521" w:type="pct"/>
            <w:tcBorders>
              <w:top w:val="nil"/>
              <w:left w:val="nil"/>
              <w:bottom w:val="nil"/>
              <w:right w:val="nil"/>
            </w:tcBorders>
            <w:shd w:val="clear" w:color="000000" w:fill="E6F2FF"/>
            <w:noWrap/>
            <w:vAlign w:val="center"/>
            <w:hideMark/>
          </w:tcPr>
          <w:p w14:paraId="76B985DF" w14:textId="3C2C9A3D" w:rsidR="00243205" w:rsidRPr="00897CEF" w:rsidRDefault="00243205" w:rsidP="00D32902">
            <w:pPr>
              <w:pStyle w:val="TableTextRight"/>
              <w:rPr>
                <w:rFonts w:cs="Arial"/>
                <w:color w:val="000000"/>
                <w:szCs w:val="16"/>
              </w:rPr>
            </w:pPr>
            <w:r w:rsidRPr="00897CEF">
              <w:rPr>
                <w:rFonts w:cs="Arial"/>
                <w:color w:val="000000"/>
                <w:szCs w:val="16"/>
              </w:rPr>
              <w:t>316</w:t>
            </w:r>
          </w:p>
        </w:tc>
        <w:tc>
          <w:tcPr>
            <w:tcW w:w="521" w:type="pct"/>
            <w:tcBorders>
              <w:top w:val="nil"/>
              <w:left w:val="nil"/>
              <w:bottom w:val="nil"/>
              <w:right w:val="nil"/>
            </w:tcBorders>
            <w:shd w:val="clear" w:color="000000" w:fill="FFFFFF"/>
            <w:noWrap/>
            <w:vAlign w:val="center"/>
            <w:hideMark/>
          </w:tcPr>
          <w:p w14:paraId="4651A403" w14:textId="48528339" w:rsidR="00243205" w:rsidRPr="00897CEF" w:rsidRDefault="00243205" w:rsidP="00D32902">
            <w:pPr>
              <w:pStyle w:val="TableTextRight"/>
              <w:rPr>
                <w:rFonts w:cs="Arial"/>
                <w:color w:val="000000"/>
                <w:szCs w:val="16"/>
              </w:rPr>
            </w:pPr>
            <w:r w:rsidRPr="00897CEF">
              <w:rPr>
                <w:rFonts w:cs="Arial"/>
                <w:color w:val="000000"/>
                <w:szCs w:val="16"/>
              </w:rPr>
              <w:t>335</w:t>
            </w:r>
          </w:p>
        </w:tc>
        <w:tc>
          <w:tcPr>
            <w:tcW w:w="521" w:type="pct"/>
            <w:tcBorders>
              <w:top w:val="nil"/>
              <w:left w:val="nil"/>
              <w:bottom w:val="nil"/>
              <w:right w:val="nil"/>
            </w:tcBorders>
            <w:shd w:val="clear" w:color="000000" w:fill="FFFFFF"/>
            <w:noWrap/>
            <w:vAlign w:val="center"/>
            <w:hideMark/>
          </w:tcPr>
          <w:p w14:paraId="450DE56D" w14:textId="10D7292C" w:rsidR="00243205" w:rsidRPr="00897CEF" w:rsidRDefault="00243205" w:rsidP="00D32902">
            <w:pPr>
              <w:pStyle w:val="TableTextRight"/>
              <w:rPr>
                <w:rFonts w:cs="Arial"/>
                <w:color w:val="000000"/>
                <w:szCs w:val="16"/>
              </w:rPr>
            </w:pPr>
            <w:r w:rsidRPr="00897CEF">
              <w:rPr>
                <w:rFonts w:cs="Arial"/>
                <w:color w:val="000000"/>
                <w:szCs w:val="16"/>
              </w:rPr>
              <w:t>356</w:t>
            </w:r>
          </w:p>
        </w:tc>
        <w:tc>
          <w:tcPr>
            <w:tcW w:w="533" w:type="pct"/>
            <w:tcBorders>
              <w:top w:val="nil"/>
              <w:left w:val="nil"/>
              <w:bottom w:val="nil"/>
              <w:right w:val="nil"/>
            </w:tcBorders>
            <w:shd w:val="clear" w:color="000000" w:fill="FFFFFF"/>
            <w:noWrap/>
            <w:vAlign w:val="center"/>
            <w:hideMark/>
          </w:tcPr>
          <w:p w14:paraId="41275460" w14:textId="75F00220" w:rsidR="00243205" w:rsidRPr="00897CEF" w:rsidRDefault="00243205" w:rsidP="00D32902">
            <w:pPr>
              <w:pStyle w:val="TableTextRight"/>
              <w:rPr>
                <w:rFonts w:cs="Arial"/>
                <w:color w:val="000000"/>
                <w:szCs w:val="16"/>
              </w:rPr>
            </w:pPr>
            <w:r w:rsidRPr="00897CEF">
              <w:rPr>
                <w:rFonts w:cs="Arial"/>
                <w:color w:val="000000"/>
                <w:szCs w:val="16"/>
              </w:rPr>
              <w:t>377</w:t>
            </w:r>
          </w:p>
        </w:tc>
      </w:tr>
      <w:tr w:rsidR="00243205" w:rsidRPr="007B7492" w14:paraId="3B3232B2" w14:textId="77777777" w:rsidTr="00170877">
        <w:trPr>
          <w:trHeight w:val="225"/>
        </w:trPr>
        <w:tc>
          <w:tcPr>
            <w:tcW w:w="2022" w:type="pct"/>
            <w:tcBorders>
              <w:top w:val="nil"/>
              <w:left w:val="nil"/>
              <w:bottom w:val="nil"/>
              <w:right w:val="nil"/>
            </w:tcBorders>
            <w:shd w:val="clear" w:color="000000" w:fill="FFFFFF"/>
            <w:vAlign w:val="center"/>
            <w:hideMark/>
          </w:tcPr>
          <w:p w14:paraId="59395C6A" w14:textId="77777777" w:rsidR="00243205" w:rsidRPr="00DA3A10" w:rsidRDefault="00243205" w:rsidP="00707AD7">
            <w:pPr>
              <w:pStyle w:val="TableTextIndented"/>
              <w:rPr>
                <w:rFonts w:cs="Arial"/>
                <w:szCs w:val="16"/>
              </w:rPr>
            </w:pPr>
            <w:r w:rsidRPr="00DA3A10">
              <w:rPr>
                <w:rFonts w:cs="Arial"/>
                <w:szCs w:val="16"/>
              </w:rPr>
              <w:t>Actuarial revaluations</w:t>
            </w:r>
          </w:p>
        </w:tc>
        <w:tc>
          <w:tcPr>
            <w:tcW w:w="359" w:type="pct"/>
            <w:tcBorders>
              <w:top w:val="nil"/>
              <w:left w:val="nil"/>
              <w:bottom w:val="nil"/>
              <w:right w:val="nil"/>
            </w:tcBorders>
            <w:shd w:val="clear" w:color="000000" w:fill="FFFFFF"/>
            <w:noWrap/>
            <w:vAlign w:val="center"/>
            <w:hideMark/>
          </w:tcPr>
          <w:p w14:paraId="089B2D25"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441FA7BA" w14:textId="5B60C267" w:rsidR="00243205" w:rsidRPr="00897CEF" w:rsidRDefault="00243205" w:rsidP="00D32902">
            <w:pPr>
              <w:pStyle w:val="TableTextRight"/>
              <w:rPr>
                <w:rFonts w:cs="Arial"/>
                <w:color w:val="000000"/>
                <w:szCs w:val="16"/>
              </w:rPr>
            </w:pPr>
            <w:r w:rsidRPr="00897CEF">
              <w:rPr>
                <w:rFonts w:cs="Arial"/>
                <w:color w:val="000000"/>
                <w:szCs w:val="16"/>
              </w:rPr>
              <w:t>652</w:t>
            </w:r>
          </w:p>
        </w:tc>
        <w:tc>
          <w:tcPr>
            <w:tcW w:w="521" w:type="pct"/>
            <w:tcBorders>
              <w:top w:val="nil"/>
              <w:left w:val="nil"/>
              <w:bottom w:val="nil"/>
              <w:right w:val="nil"/>
            </w:tcBorders>
            <w:shd w:val="clear" w:color="000000" w:fill="E6F2FF"/>
            <w:noWrap/>
            <w:vAlign w:val="center"/>
            <w:hideMark/>
          </w:tcPr>
          <w:p w14:paraId="0D7268C2" w14:textId="489D33BD"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20</w:t>
            </w:r>
          </w:p>
        </w:tc>
        <w:tc>
          <w:tcPr>
            <w:tcW w:w="521" w:type="pct"/>
            <w:tcBorders>
              <w:top w:val="nil"/>
              <w:left w:val="nil"/>
              <w:bottom w:val="nil"/>
              <w:right w:val="nil"/>
            </w:tcBorders>
            <w:shd w:val="clear" w:color="000000" w:fill="FFFFFF"/>
            <w:noWrap/>
            <w:vAlign w:val="center"/>
            <w:hideMark/>
          </w:tcPr>
          <w:p w14:paraId="79299A50" w14:textId="37884674"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18</w:t>
            </w:r>
          </w:p>
        </w:tc>
        <w:tc>
          <w:tcPr>
            <w:tcW w:w="521" w:type="pct"/>
            <w:tcBorders>
              <w:top w:val="nil"/>
              <w:left w:val="nil"/>
              <w:bottom w:val="nil"/>
              <w:right w:val="nil"/>
            </w:tcBorders>
            <w:shd w:val="clear" w:color="000000" w:fill="FFFFFF"/>
            <w:noWrap/>
            <w:vAlign w:val="center"/>
            <w:hideMark/>
          </w:tcPr>
          <w:p w14:paraId="4C11E5F9" w14:textId="60860066"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23</w:t>
            </w:r>
          </w:p>
        </w:tc>
        <w:tc>
          <w:tcPr>
            <w:tcW w:w="533" w:type="pct"/>
            <w:tcBorders>
              <w:top w:val="nil"/>
              <w:left w:val="nil"/>
              <w:bottom w:val="nil"/>
              <w:right w:val="nil"/>
            </w:tcBorders>
            <w:shd w:val="clear" w:color="000000" w:fill="FFFFFF"/>
            <w:noWrap/>
            <w:vAlign w:val="center"/>
            <w:hideMark/>
          </w:tcPr>
          <w:p w14:paraId="65B0657C" w14:textId="5B0258D6"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29</w:t>
            </w:r>
          </w:p>
        </w:tc>
      </w:tr>
      <w:tr w:rsidR="00243205" w:rsidRPr="007B7492" w14:paraId="6978A970" w14:textId="77777777" w:rsidTr="00170877">
        <w:trPr>
          <w:trHeight w:val="225"/>
        </w:trPr>
        <w:tc>
          <w:tcPr>
            <w:tcW w:w="2022" w:type="pct"/>
            <w:tcBorders>
              <w:top w:val="nil"/>
              <w:left w:val="nil"/>
              <w:bottom w:val="nil"/>
              <w:right w:val="nil"/>
            </w:tcBorders>
            <w:shd w:val="clear" w:color="000000" w:fill="FFFFFF"/>
            <w:vAlign w:val="center"/>
            <w:hideMark/>
          </w:tcPr>
          <w:p w14:paraId="0FCF98AE" w14:textId="77777777" w:rsidR="00243205" w:rsidRPr="00DA3A10" w:rsidRDefault="00243205" w:rsidP="00707AD7">
            <w:pPr>
              <w:pStyle w:val="TableTextIndented"/>
              <w:rPr>
                <w:rFonts w:cs="Arial"/>
                <w:szCs w:val="16"/>
              </w:rPr>
            </w:pPr>
            <w:r w:rsidRPr="00DA3A10">
              <w:rPr>
                <w:rFonts w:cs="Arial"/>
                <w:szCs w:val="16"/>
              </w:rPr>
              <w:t>Net foreign exchange gains</w:t>
            </w:r>
          </w:p>
        </w:tc>
        <w:tc>
          <w:tcPr>
            <w:tcW w:w="359" w:type="pct"/>
            <w:tcBorders>
              <w:top w:val="nil"/>
              <w:left w:val="nil"/>
              <w:bottom w:val="nil"/>
              <w:right w:val="nil"/>
            </w:tcBorders>
            <w:shd w:val="clear" w:color="000000" w:fill="FFFFFF"/>
            <w:noWrap/>
            <w:vAlign w:val="center"/>
            <w:hideMark/>
          </w:tcPr>
          <w:p w14:paraId="2A20FFAA"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4EFCD5ED" w14:textId="70F610A3" w:rsidR="00243205" w:rsidRPr="00897CEF" w:rsidRDefault="00243205" w:rsidP="00D32902">
            <w:pPr>
              <w:pStyle w:val="TableTextRight"/>
              <w:rPr>
                <w:rFonts w:cs="Arial"/>
                <w:color w:val="000000"/>
                <w:szCs w:val="16"/>
              </w:rPr>
            </w:pPr>
            <w:r w:rsidRPr="00897CEF">
              <w:rPr>
                <w:rFonts w:cs="Arial"/>
                <w:color w:val="000000"/>
                <w:szCs w:val="16"/>
              </w:rPr>
              <w:t>188</w:t>
            </w:r>
          </w:p>
        </w:tc>
        <w:tc>
          <w:tcPr>
            <w:tcW w:w="521" w:type="pct"/>
            <w:tcBorders>
              <w:top w:val="nil"/>
              <w:left w:val="nil"/>
              <w:bottom w:val="nil"/>
              <w:right w:val="nil"/>
            </w:tcBorders>
            <w:shd w:val="clear" w:color="000000" w:fill="E6F2FF"/>
            <w:noWrap/>
            <w:vAlign w:val="center"/>
            <w:hideMark/>
          </w:tcPr>
          <w:p w14:paraId="54A7D5A4" w14:textId="5036AB95" w:rsidR="00243205" w:rsidRPr="00897CEF" w:rsidRDefault="00243205" w:rsidP="00D32902">
            <w:pPr>
              <w:pStyle w:val="TableTextRight"/>
              <w:rPr>
                <w:rFonts w:cs="Arial"/>
                <w:color w:val="000000"/>
                <w:szCs w:val="16"/>
              </w:rPr>
            </w:pPr>
            <w:r w:rsidRPr="00897CEF">
              <w:rPr>
                <w:rFonts w:cs="Arial"/>
                <w:color w:val="000000"/>
                <w:szCs w:val="16"/>
              </w:rPr>
              <w:t>5</w:t>
            </w:r>
          </w:p>
        </w:tc>
        <w:tc>
          <w:tcPr>
            <w:tcW w:w="521" w:type="pct"/>
            <w:tcBorders>
              <w:top w:val="nil"/>
              <w:left w:val="nil"/>
              <w:bottom w:val="nil"/>
              <w:right w:val="nil"/>
            </w:tcBorders>
            <w:shd w:val="clear" w:color="000000" w:fill="FFFFFF"/>
            <w:noWrap/>
            <w:vAlign w:val="center"/>
            <w:hideMark/>
          </w:tcPr>
          <w:p w14:paraId="45BBC7AC" w14:textId="1B45BE1B" w:rsidR="00243205" w:rsidRPr="00897CEF" w:rsidRDefault="00243205" w:rsidP="00D32902">
            <w:pPr>
              <w:pStyle w:val="TableTextRight"/>
              <w:rPr>
                <w:rFonts w:cs="Arial"/>
                <w:color w:val="000000"/>
                <w:szCs w:val="16"/>
              </w:rPr>
            </w:pPr>
            <w:r w:rsidRPr="00897CEF">
              <w:rPr>
                <w:rFonts w:cs="Arial"/>
                <w:color w:val="000000"/>
                <w:szCs w:val="16"/>
              </w:rPr>
              <w:t>0</w:t>
            </w:r>
          </w:p>
        </w:tc>
        <w:tc>
          <w:tcPr>
            <w:tcW w:w="521" w:type="pct"/>
            <w:tcBorders>
              <w:top w:val="nil"/>
              <w:left w:val="nil"/>
              <w:bottom w:val="nil"/>
              <w:right w:val="nil"/>
            </w:tcBorders>
            <w:shd w:val="clear" w:color="000000" w:fill="FFFFFF"/>
            <w:noWrap/>
            <w:vAlign w:val="center"/>
            <w:hideMark/>
          </w:tcPr>
          <w:p w14:paraId="4FE7FC2E" w14:textId="17022283" w:rsidR="00243205" w:rsidRPr="00897CEF" w:rsidRDefault="00243205" w:rsidP="00D32902">
            <w:pPr>
              <w:pStyle w:val="TableTextRight"/>
              <w:rPr>
                <w:rFonts w:cs="Arial"/>
                <w:color w:val="000000"/>
                <w:szCs w:val="16"/>
              </w:rPr>
            </w:pPr>
            <w:r w:rsidRPr="00897CEF">
              <w:rPr>
                <w:rFonts w:cs="Arial"/>
                <w:color w:val="000000"/>
                <w:szCs w:val="16"/>
              </w:rPr>
              <w:t>0</w:t>
            </w:r>
          </w:p>
        </w:tc>
        <w:tc>
          <w:tcPr>
            <w:tcW w:w="533" w:type="pct"/>
            <w:tcBorders>
              <w:top w:val="nil"/>
              <w:left w:val="nil"/>
              <w:bottom w:val="nil"/>
              <w:right w:val="nil"/>
            </w:tcBorders>
            <w:shd w:val="clear" w:color="000000" w:fill="FFFFFF"/>
            <w:noWrap/>
            <w:vAlign w:val="center"/>
            <w:hideMark/>
          </w:tcPr>
          <w:p w14:paraId="11C263BB" w14:textId="44F3882F" w:rsidR="00243205" w:rsidRPr="00897CEF" w:rsidRDefault="00243205" w:rsidP="00D32902">
            <w:pPr>
              <w:pStyle w:val="TableTextRight"/>
              <w:rPr>
                <w:rFonts w:cs="Arial"/>
                <w:color w:val="000000"/>
                <w:szCs w:val="16"/>
              </w:rPr>
            </w:pPr>
            <w:r w:rsidRPr="00897CEF">
              <w:rPr>
                <w:rFonts w:cs="Arial"/>
                <w:color w:val="000000"/>
                <w:szCs w:val="16"/>
              </w:rPr>
              <w:t>0</w:t>
            </w:r>
          </w:p>
        </w:tc>
      </w:tr>
      <w:tr w:rsidR="00243205" w:rsidRPr="007B7492" w14:paraId="37D23D27" w14:textId="77777777" w:rsidTr="00170877">
        <w:trPr>
          <w:trHeight w:val="225"/>
        </w:trPr>
        <w:tc>
          <w:tcPr>
            <w:tcW w:w="2022" w:type="pct"/>
            <w:tcBorders>
              <w:top w:val="nil"/>
              <w:left w:val="nil"/>
              <w:bottom w:val="nil"/>
              <w:right w:val="nil"/>
            </w:tcBorders>
            <w:shd w:val="clear" w:color="000000" w:fill="FFFFFF"/>
            <w:vAlign w:val="center"/>
            <w:hideMark/>
          </w:tcPr>
          <w:p w14:paraId="550929D8" w14:textId="77777777" w:rsidR="00243205" w:rsidRPr="00DA3A10" w:rsidRDefault="00243205" w:rsidP="00707AD7">
            <w:pPr>
              <w:pStyle w:val="TableTextIndented"/>
              <w:rPr>
                <w:rFonts w:cs="Arial"/>
                <w:szCs w:val="16"/>
              </w:rPr>
            </w:pPr>
            <w:r w:rsidRPr="00DA3A10">
              <w:rPr>
                <w:rFonts w:cs="Arial"/>
                <w:szCs w:val="16"/>
              </w:rPr>
              <w:t>Net swap interest received</w:t>
            </w:r>
          </w:p>
        </w:tc>
        <w:tc>
          <w:tcPr>
            <w:tcW w:w="359" w:type="pct"/>
            <w:tcBorders>
              <w:top w:val="nil"/>
              <w:left w:val="nil"/>
              <w:bottom w:val="nil"/>
              <w:right w:val="nil"/>
            </w:tcBorders>
            <w:shd w:val="clear" w:color="000000" w:fill="FFFFFF"/>
            <w:noWrap/>
            <w:vAlign w:val="center"/>
            <w:hideMark/>
          </w:tcPr>
          <w:p w14:paraId="5B971C7B"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4F2C92CB" w14:textId="7EE048E2"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347</w:t>
            </w:r>
          </w:p>
        </w:tc>
        <w:tc>
          <w:tcPr>
            <w:tcW w:w="521" w:type="pct"/>
            <w:tcBorders>
              <w:top w:val="nil"/>
              <w:left w:val="nil"/>
              <w:bottom w:val="nil"/>
              <w:right w:val="nil"/>
            </w:tcBorders>
            <w:shd w:val="clear" w:color="000000" w:fill="E6F2FF"/>
            <w:noWrap/>
            <w:vAlign w:val="center"/>
            <w:hideMark/>
          </w:tcPr>
          <w:p w14:paraId="7C08561A" w14:textId="582354CF"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24</w:t>
            </w:r>
          </w:p>
        </w:tc>
        <w:tc>
          <w:tcPr>
            <w:tcW w:w="521" w:type="pct"/>
            <w:tcBorders>
              <w:top w:val="nil"/>
              <w:left w:val="nil"/>
              <w:bottom w:val="nil"/>
              <w:right w:val="nil"/>
            </w:tcBorders>
            <w:shd w:val="clear" w:color="000000" w:fill="FFFFFF"/>
            <w:noWrap/>
            <w:vAlign w:val="center"/>
            <w:hideMark/>
          </w:tcPr>
          <w:p w14:paraId="66DC13E9" w14:textId="75C19B4C"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7</w:t>
            </w:r>
          </w:p>
        </w:tc>
        <w:tc>
          <w:tcPr>
            <w:tcW w:w="521" w:type="pct"/>
            <w:tcBorders>
              <w:top w:val="nil"/>
              <w:left w:val="nil"/>
              <w:bottom w:val="nil"/>
              <w:right w:val="nil"/>
            </w:tcBorders>
            <w:shd w:val="clear" w:color="000000" w:fill="FFFFFF"/>
            <w:noWrap/>
            <w:vAlign w:val="center"/>
            <w:hideMark/>
          </w:tcPr>
          <w:p w14:paraId="23F4C436" w14:textId="65916BD4" w:rsidR="00243205" w:rsidRPr="00897CEF" w:rsidRDefault="00243205" w:rsidP="00D32902">
            <w:pPr>
              <w:pStyle w:val="TableTextRight"/>
              <w:rPr>
                <w:rFonts w:cs="Arial"/>
                <w:color w:val="000000"/>
                <w:szCs w:val="16"/>
              </w:rPr>
            </w:pPr>
            <w:r w:rsidRPr="00897CEF">
              <w:rPr>
                <w:rFonts w:cs="Arial"/>
                <w:color w:val="000000"/>
                <w:szCs w:val="16"/>
              </w:rPr>
              <w:t>3</w:t>
            </w:r>
          </w:p>
        </w:tc>
        <w:tc>
          <w:tcPr>
            <w:tcW w:w="533" w:type="pct"/>
            <w:tcBorders>
              <w:top w:val="nil"/>
              <w:left w:val="nil"/>
              <w:bottom w:val="nil"/>
              <w:right w:val="nil"/>
            </w:tcBorders>
            <w:shd w:val="clear" w:color="000000" w:fill="FFFFFF"/>
            <w:noWrap/>
            <w:vAlign w:val="center"/>
            <w:hideMark/>
          </w:tcPr>
          <w:p w14:paraId="00181B0C" w14:textId="18E70170"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w:t>
            </w:r>
          </w:p>
        </w:tc>
      </w:tr>
      <w:tr w:rsidR="00243205" w:rsidRPr="007B7492" w14:paraId="5955C3D6" w14:textId="77777777" w:rsidTr="00170877">
        <w:trPr>
          <w:trHeight w:val="225"/>
        </w:trPr>
        <w:tc>
          <w:tcPr>
            <w:tcW w:w="2022" w:type="pct"/>
            <w:tcBorders>
              <w:top w:val="nil"/>
              <w:left w:val="nil"/>
              <w:bottom w:val="nil"/>
              <w:right w:val="nil"/>
            </w:tcBorders>
            <w:shd w:val="clear" w:color="000000" w:fill="FFFFFF"/>
            <w:vAlign w:val="center"/>
            <w:hideMark/>
          </w:tcPr>
          <w:p w14:paraId="1780D7F0" w14:textId="77777777" w:rsidR="00243205" w:rsidRPr="006B4293" w:rsidRDefault="00243205" w:rsidP="00707AD7">
            <w:pPr>
              <w:pStyle w:val="TableTextIndented"/>
              <w:rPr>
                <w:rFonts w:cs="Arial"/>
                <w:szCs w:val="16"/>
              </w:rPr>
            </w:pPr>
            <w:r w:rsidRPr="006B4293">
              <w:rPr>
                <w:rFonts w:cs="Arial"/>
                <w:szCs w:val="16"/>
              </w:rPr>
              <w:t>Market valuation of debt</w:t>
            </w:r>
          </w:p>
        </w:tc>
        <w:tc>
          <w:tcPr>
            <w:tcW w:w="359" w:type="pct"/>
            <w:tcBorders>
              <w:top w:val="nil"/>
              <w:left w:val="nil"/>
              <w:bottom w:val="nil"/>
              <w:right w:val="nil"/>
            </w:tcBorders>
            <w:shd w:val="clear" w:color="000000" w:fill="FFFFFF"/>
            <w:noWrap/>
            <w:vAlign w:val="center"/>
            <w:hideMark/>
          </w:tcPr>
          <w:p w14:paraId="44E8E056"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34F32E64" w14:textId="2C8D5A99"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10,639</w:t>
            </w:r>
          </w:p>
        </w:tc>
        <w:tc>
          <w:tcPr>
            <w:tcW w:w="521" w:type="pct"/>
            <w:tcBorders>
              <w:top w:val="nil"/>
              <w:left w:val="nil"/>
              <w:bottom w:val="nil"/>
              <w:right w:val="nil"/>
            </w:tcBorders>
            <w:shd w:val="clear" w:color="000000" w:fill="E6F2FF"/>
            <w:noWrap/>
            <w:vAlign w:val="center"/>
            <w:hideMark/>
          </w:tcPr>
          <w:p w14:paraId="7047826D" w14:textId="3E682BB5"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13,050</w:t>
            </w:r>
          </w:p>
        </w:tc>
        <w:tc>
          <w:tcPr>
            <w:tcW w:w="521" w:type="pct"/>
            <w:tcBorders>
              <w:top w:val="nil"/>
              <w:left w:val="nil"/>
              <w:bottom w:val="nil"/>
              <w:right w:val="nil"/>
            </w:tcBorders>
            <w:shd w:val="clear" w:color="000000" w:fill="FFFFFF"/>
            <w:noWrap/>
            <w:vAlign w:val="center"/>
            <w:hideMark/>
          </w:tcPr>
          <w:p w14:paraId="0263701C" w14:textId="624AA65B"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11,690</w:t>
            </w:r>
          </w:p>
        </w:tc>
        <w:tc>
          <w:tcPr>
            <w:tcW w:w="521" w:type="pct"/>
            <w:tcBorders>
              <w:top w:val="nil"/>
              <w:left w:val="nil"/>
              <w:bottom w:val="nil"/>
              <w:right w:val="nil"/>
            </w:tcBorders>
            <w:shd w:val="clear" w:color="000000" w:fill="FFFFFF"/>
            <w:noWrap/>
            <w:vAlign w:val="center"/>
            <w:hideMark/>
          </w:tcPr>
          <w:p w14:paraId="3BD093DA" w14:textId="0A17F4EA"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10,140</w:t>
            </w:r>
          </w:p>
        </w:tc>
        <w:tc>
          <w:tcPr>
            <w:tcW w:w="533" w:type="pct"/>
            <w:tcBorders>
              <w:top w:val="nil"/>
              <w:left w:val="nil"/>
              <w:bottom w:val="nil"/>
              <w:right w:val="nil"/>
            </w:tcBorders>
            <w:shd w:val="clear" w:color="000000" w:fill="FFFFFF"/>
            <w:noWrap/>
            <w:vAlign w:val="center"/>
            <w:hideMark/>
          </w:tcPr>
          <w:p w14:paraId="4BC4D615" w14:textId="39C67741" w:rsidR="00243205" w:rsidRPr="00897CEF" w:rsidRDefault="00325E1E" w:rsidP="00D32902">
            <w:pPr>
              <w:pStyle w:val="TableTextRight"/>
              <w:rPr>
                <w:rFonts w:cs="Arial"/>
                <w:color w:val="000000"/>
                <w:szCs w:val="16"/>
              </w:rPr>
            </w:pPr>
            <w:r>
              <w:rPr>
                <w:rFonts w:cs="Arial"/>
                <w:color w:val="000000"/>
                <w:szCs w:val="16"/>
              </w:rPr>
              <w:noBreakHyphen/>
            </w:r>
            <w:r w:rsidR="00243205" w:rsidRPr="00897CEF">
              <w:rPr>
                <w:rFonts w:cs="Arial"/>
                <w:color w:val="000000"/>
                <w:szCs w:val="16"/>
              </w:rPr>
              <w:t>9,304</w:t>
            </w:r>
          </w:p>
        </w:tc>
      </w:tr>
      <w:tr w:rsidR="00243205" w:rsidRPr="007B7492" w14:paraId="60AAE3BF" w14:textId="77777777" w:rsidTr="00170877">
        <w:trPr>
          <w:trHeight w:val="225"/>
        </w:trPr>
        <w:tc>
          <w:tcPr>
            <w:tcW w:w="2022" w:type="pct"/>
            <w:tcBorders>
              <w:top w:val="nil"/>
              <w:left w:val="nil"/>
              <w:bottom w:val="nil"/>
              <w:right w:val="nil"/>
            </w:tcBorders>
            <w:shd w:val="clear" w:color="000000" w:fill="FFFFFF"/>
            <w:vAlign w:val="center"/>
            <w:hideMark/>
          </w:tcPr>
          <w:p w14:paraId="4A46CB46" w14:textId="77777777" w:rsidR="00243205" w:rsidRPr="006B4293" w:rsidRDefault="00243205" w:rsidP="00707AD7">
            <w:pPr>
              <w:pStyle w:val="TableTextIndented"/>
              <w:rPr>
                <w:rFonts w:cs="Arial"/>
                <w:szCs w:val="16"/>
              </w:rPr>
            </w:pPr>
            <w:r w:rsidRPr="006B4293">
              <w:rPr>
                <w:rFonts w:cs="Arial"/>
                <w:szCs w:val="16"/>
              </w:rPr>
              <w:t>Other gains/(losses)</w:t>
            </w:r>
          </w:p>
        </w:tc>
        <w:tc>
          <w:tcPr>
            <w:tcW w:w="359" w:type="pct"/>
            <w:tcBorders>
              <w:top w:val="nil"/>
              <w:left w:val="nil"/>
              <w:bottom w:val="nil"/>
              <w:right w:val="nil"/>
            </w:tcBorders>
            <w:shd w:val="clear" w:color="000000" w:fill="FFFFFF"/>
            <w:noWrap/>
            <w:vAlign w:val="center"/>
            <w:hideMark/>
          </w:tcPr>
          <w:p w14:paraId="18F110CD" w14:textId="77777777" w:rsidR="00243205" w:rsidRPr="007B7492" w:rsidRDefault="00243205"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731E502D" w14:textId="5782C473" w:rsidR="00243205" w:rsidRPr="00897CEF" w:rsidRDefault="00243205" w:rsidP="00D32902">
            <w:pPr>
              <w:pStyle w:val="TableTextRight"/>
              <w:rPr>
                <w:rFonts w:cs="Arial"/>
                <w:color w:val="000000"/>
                <w:szCs w:val="16"/>
              </w:rPr>
            </w:pPr>
            <w:r w:rsidRPr="00897CEF">
              <w:rPr>
                <w:rFonts w:cs="Arial"/>
                <w:color w:val="000000"/>
                <w:szCs w:val="16"/>
              </w:rPr>
              <w:t>9,262</w:t>
            </w:r>
          </w:p>
        </w:tc>
        <w:tc>
          <w:tcPr>
            <w:tcW w:w="521" w:type="pct"/>
            <w:tcBorders>
              <w:top w:val="nil"/>
              <w:left w:val="nil"/>
              <w:bottom w:val="nil"/>
              <w:right w:val="nil"/>
            </w:tcBorders>
            <w:shd w:val="clear" w:color="000000" w:fill="E6F2FF"/>
            <w:noWrap/>
            <w:vAlign w:val="center"/>
            <w:hideMark/>
          </w:tcPr>
          <w:p w14:paraId="6CF6C807" w14:textId="69817934" w:rsidR="00243205" w:rsidRPr="00897CEF" w:rsidRDefault="00243205" w:rsidP="00D32902">
            <w:pPr>
              <w:pStyle w:val="TableTextRight"/>
              <w:rPr>
                <w:rFonts w:cs="Arial"/>
                <w:color w:val="000000"/>
                <w:szCs w:val="16"/>
              </w:rPr>
            </w:pPr>
            <w:r w:rsidRPr="00897CEF">
              <w:rPr>
                <w:rFonts w:cs="Arial"/>
                <w:color w:val="000000"/>
                <w:szCs w:val="16"/>
              </w:rPr>
              <w:t>9,093</w:t>
            </w:r>
          </w:p>
        </w:tc>
        <w:tc>
          <w:tcPr>
            <w:tcW w:w="521" w:type="pct"/>
            <w:tcBorders>
              <w:top w:val="nil"/>
              <w:left w:val="nil"/>
              <w:bottom w:val="nil"/>
              <w:right w:val="nil"/>
            </w:tcBorders>
            <w:shd w:val="clear" w:color="000000" w:fill="FFFFFF"/>
            <w:noWrap/>
            <w:vAlign w:val="center"/>
            <w:hideMark/>
          </w:tcPr>
          <w:p w14:paraId="5264B425" w14:textId="3B896CB8" w:rsidR="00243205" w:rsidRPr="00897CEF" w:rsidRDefault="00243205" w:rsidP="00D32902">
            <w:pPr>
              <w:pStyle w:val="TableTextRight"/>
              <w:rPr>
                <w:rFonts w:cs="Arial"/>
                <w:color w:val="000000"/>
                <w:szCs w:val="16"/>
              </w:rPr>
            </w:pPr>
            <w:r w:rsidRPr="00897CEF">
              <w:rPr>
                <w:rFonts w:cs="Arial"/>
                <w:color w:val="000000"/>
                <w:szCs w:val="16"/>
              </w:rPr>
              <w:t>9,357</w:t>
            </w:r>
          </w:p>
        </w:tc>
        <w:tc>
          <w:tcPr>
            <w:tcW w:w="521" w:type="pct"/>
            <w:tcBorders>
              <w:top w:val="nil"/>
              <w:left w:val="nil"/>
              <w:bottom w:val="nil"/>
              <w:right w:val="nil"/>
            </w:tcBorders>
            <w:shd w:val="clear" w:color="000000" w:fill="FFFFFF"/>
            <w:noWrap/>
            <w:vAlign w:val="center"/>
            <w:hideMark/>
          </w:tcPr>
          <w:p w14:paraId="7C5FD62A" w14:textId="400D186B" w:rsidR="00243205" w:rsidRPr="00897CEF" w:rsidRDefault="00243205" w:rsidP="00D32902">
            <w:pPr>
              <w:pStyle w:val="TableTextRight"/>
              <w:rPr>
                <w:rFonts w:cs="Arial"/>
                <w:color w:val="000000"/>
                <w:szCs w:val="16"/>
              </w:rPr>
            </w:pPr>
            <w:r w:rsidRPr="00897CEF">
              <w:rPr>
                <w:rFonts w:cs="Arial"/>
                <w:color w:val="000000"/>
                <w:szCs w:val="16"/>
              </w:rPr>
              <w:t>10,319</w:t>
            </w:r>
          </w:p>
        </w:tc>
        <w:tc>
          <w:tcPr>
            <w:tcW w:w="533" w:type="pct"/>
            <w:tcBorders>
              <w:top w:val="nil"/>
              <w:left w:val="nil"/>
              <w:bottom w:val="nil"/>
              <w:right w:val="nil"/>
            </w:tcBorders>
            <w:shd w:val="clear" w:color="000000" w:fill="FFFFFF"/>
            <w:noWrap/>
            <w:vAlign w:val="center"/>
            <w:hideMark/>
          </w:tcPr>
          <w:p w14:paraId="03A80A97" w14:textId="1CD5B6E9" w:rsidR="00243205" w:rsidRPr="00897CEF" w:rsidRDefault="00243205" w:rsidP="00D32902">
            <w:pPr>
              <w:pStyle w:val="TableTextRight"/>
              <w:rPr>
                <w:rFonts w:cs="Arial"/>
                <w:color w:val="000000"/>
                <w:szCs w:val="16"/>
              </w:rPr>
            </w:pPr>
            <w:r w:rsidRPr="00897CEF">
              <w:rPr>
                <w:rFonts w:cs="Arial"/>
                <w:color w:val="000000"/>
                <w:szCs w:val="16"/>
              </w:rPr>
              <w:t>11,148</w:t>
            </w:r>
          </w:p>
        </w:tc>
      </w:tr>
      <w:tr w:rsidR="007B7492" w:rsidRPr="007B7492" w14:paraId="4DF5CA05" w14:textId="77777777" w:rsidTr="00170877">
        <w:trPr>
          <w:trHeight w:val="222"/>
        </w:trPr>
        <w:tc>
          <w:tcPr>
            <w:tcW w:w="2022" w:type="pct"/>
            <w:tcBorders>
              <w:top w:val="nil"/>
              <w:left w:val="nil"/>
              <w:bottom w:val="nil"/>
              <w:right w:val="nil"/>
            </w:tcBorders>
            <w:shd w:val="clear" w:color="000000" w:fill="FFFFFF"/>
            <w:vAlign w:val="center"/>
            <w:hideMark/>
          </w:tcPr>
          <w:p w14:paraId="16F00CA0" w14:textId="77777777" w:rsidR="007B7492" w:rsidRPr="00707AD7" w:rsidRDefault="007B7492" w:rsidP="003714DF">
            <w:pPr>
              <w:pStyle w:val="TableTextLeft"/>
              <w:rPr>
                <w:b/>
              </w:rPr>
            </w:pPr>
            <w:r w:rsidRPr="00707AD7">
              <w:rPr>
                <w:b/>
              </w:rPr>
              <w:t xml:space="preserve">Total other economic flows – </w:t>
            </w:r>
          </w:p>
        </w:tc>
        <w:tc>
          <w:tcPr>
            <w:tcW w:w="359" w:type="pct"/>
            <w:tcBorders>
              <w:top w:val="nil"/>
              <w:left w:val="nil"/>
              <w:bottom w:val="nil"/>
              <w:right w:val="nil"/>
            </w:tcBorders>
            <w:shd w:val="clear" w:color="000000" w:fill="FFFFFF"/>
            <w:noWrap/>
            <w:vAlign w:val="center"/>
            <w:hideMark/>
          </w:tcPr>
          <w:p w14:paraId="122121BB" w14:textId="77777777" w:rsidR="007B7492" w:rsidRPr="007B7492" w:rsidRDefault="007B7492" w:rsidP="00C271F9">
            <w:pPr>
              <w:pStyle w:val="TableTextCentred"/>
            </w:pPr>
            <w:r w:rsidRPr="007B7492">
              <w:t> </w:t>
            </w:r>
          </w:p>
        </w:tc>
        <w:tc>
          <w:tcPr>
            <w:tcW w:w="521" w:type="pct"/>
            <w:tcBorders>
              <w:top w:val="nil"/>
              <w:left w:val="nil"/>
              <w:bottom w:val="nil"/>
              <w:right w:val="nil"/>
            </w:tcBorders>
            <w:shd w:val="clear" w:color="000000" w:fill="FFFFFF"/>
            <w:noWrap/>
            <w:vAlign w:val="center"/>
            <w:hideMark/>
          </w:tcPr>
          <w:p w14:paraId="1C17C0FA"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E6F2FF"/>
            <w:noWrap/>
            <w:vAlign w:val="center"/>
            <w:hideMark/>
          </w:tcPr>
          <w:p w14:paraId="5652F995"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483D9CE6"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21" w:type="pct"/>
            <w:tcBorders>
              <w:top w:val="nil"/>
              <w:left w:val="nil"/>
              <w:bottom w:val="nil"/>
              <w:right w:val="nil"/>
            </w:tcBorders>
            <w:shd w:val="clear" w:color="000000" w:fill="FFFFFF"/>
            <w:noWrap/>
            <w:vAlign w:val="center"/>
            <w:hideMark/>
          </w:tcPr>
          <w:p w14:paraId="7EB9003D" w14:textId="77777777" w:rsidR="007B7492" w:rsidRPr="00897CEF" w:rsidRDefault="007B7492" w:rsidP="00D32902">
            <w:pPr>
              <w:pStyle w:val="TableTextRight"/>
              <w:rPr>
                <w:rFonts w:cs="Arial"/>
                <w:color w:val="000000"/>
                <w:szCs w:val="16"/>
              </w:rPr>
            </w:pPr>
            <w:r w:rsidRPr="00897CEF">
              <w:rPr>
                <w:rFonts w:cs="Arial"/>
                <w:color w:val="000000"/>
                <w:szCs w:val="16"/>
              </w:rPr>
              <w:t> </w:t>
            </w:r>
          </w:p>
        </w:tc>
        <w:tc>
          <w:tcPr>
            <w:tcW w:w="533" w:type="pct"/>
            <w:tcBorders>
              <w:top w:val="nil"/>
              <w:left w:val="nil"/>
              <w:bottom w:val="nil"/>
              <w:right w:val="nil"/>
            </w:tcBorders>
            <w:shd w:val="clear" w:color="000000" w:fill="FFFFFF"/>
            <w:noWrap/>
            <w:vAlign w:val="center"/>
            <w:hideMark/>
          </w:tcPr>
          <w:p w14:paraId="1A4B1874" w14:textId="77777777" w:rsidR="007B7492" w:rsidRPr="00897CEF" w:rsidRDefault="007B7492" w:rsidP="00D32902">
            <w:pPr>
              <w:pStyle w:val="TableTextRight"/>
              <w:rPr>
                <w:rFonts w:cs="Arial"/>
                <w:color w:val="000000"/>
                <w:szCs w:val="16"/>
              </w:rPr>
            </w:pPr>
            <w:r w:rsidRPr="00897CEF">
              <w:rPr>
                <w:rFonts w:cs="Arial"/>
                <w:color w:val="000000"/>
                <w:szCs w:val="16"/>
              </w:rPr>
              <w:t> </w:t>
            </w:r>
          </w:p>
        </w:tc>
      </w:tr>
      <w:tr w:rsidR="00243205" w:rsidRPr="007B7492" w14:paraId="67A14E7E" w14:textId="77777777" w:rsidTr="00170877">
        <w:trPr>
          <w:trHeight w:val="225"/>
        </w:trPr>
        <w:tc>
          <w:tcPr>
            <w:tcW w:w="2022" w:type="pct"/>
            <w:tcBorders>
              <w:top w:val="nil"/>
              <w:left w:val="nil"/>
              <w:bottom w:val="nil"/>
              <w:right w:val="nil"/>
            </w:tcBorders>
            <w:shd w:val="clear" w:color="000000" w:fill="FFFFFF"/>
            <w:vAlign w:val="center"/>
            <w:hideMark/>
          </w:tcPr>
          <w:p w14:paraId="6953FE47" w14:textId="77777777" w:rsidR="00243205" w:rsidRPr="006B4293" w:rsidRDefault="00243205" w:rsidP="00707AD7">
            <w:pPr>
              <w:pStyle w:val="TableTextIndented"/>
              <w:rPr>
                <w:rFonts w:cs="Arial"/>
                <w:b/>
                <w:szCs w:val="16"/>
              </w:rPr>
            </w:pPr>
            <w:r w:rsidRPr="006B4293">
              <w:rPr>
                <w:rFonts w:cs="Arial"/>
                <w:b/>
                <w:szCs w:val="16"/>
              </w:rPr>
              <w:t>included in operating result</w:t>
            </w:r>
          </w:p>
        </w:tc>
        <w:tc>
          <w:tcPr>
            <w:tcW w:w="359" w:type="pct"/>
            <w:tcBorders>
              <w:top w:val="nil"/>
              <w:left w:val="nil"/>
              <w:bottom w:val="nil"/>
              <w:right w:val="nil"/>
            </w:tcBorders>
            <w:shd w:val="clear" w:color="000000" w:fill="FFFFFF"/>
            <w:noWrap/>
            <w:vAlign w:val="center"/>
            <w:hideMark/>
          </w:tcPr>
          <w:p w14:paraId="564EC92D" w14:textId="77777777" w:rsidR="00243205" w:rsidRPr="007B7492" w:rsidRDefault="00243205" w:rsidP="00C271F9">
            <w:pPr>
              <w:pStyle w:val="TableTextCentred"/>
              <w:rPr>
                <w:b/>
              </w:rPr>
            </w:pPr>
            <w:r w:rsidRPr="007B7492">
              <w:rPr>
                <w:b/>
              </w:rPr>
              <w:t> </w:t>
            </w:r>
          </w:p>
        </w:tc>
        <w:tc>
          <w:tcPr>
            <w:tcW w:w="521" w:type="pct"/>
            <w:tcBorders>
              <w:top w:val="nil"/>
              <w:left w:val="nil"/>
              <w:bottom w:val="nil"/>
              <w:right w:val="nil"/>
            </w:tcBorders>
            <w:shd w:val="clear" w:color="000000" w:fill="FFFFFF"/>
            <w:noWrap/>
            <w:vAlign w:val="bottom"/>
            <w:hideMark/>
          </w:tcPr>
          <w:p w14:paraId="2788A5F5" w14:textId="78DE78A3" w:rsidR="00243205" w:rsidRPr="00897CEF" w:rsidRDefault="00325E1E" w:rsidP="00D32902">
            <w:pPr>
              <w:pStyle w:val="TableTextRight"/>
              <w:rPr>
                <w:rFonts w:cs="Arial"/>
                <w:b/>
                <w:color w:val="000000"/>
                <w:szCs w:val="16"/>
              </w:rPr>
            </w:pPr>
            <w:r>
              <w:rPr>
                <w:rFonts w:cs="Arial"/>
                <w:b/>
                <w:bCs/>
                <w:color w:val="000000"/>
                <w:szCs w:val="16"/>
              </w:rPr>
              <w:noBreakHyphen/>
            </w:r>
            <w:r w:rsidR="00243205" w:rsidRPr="00897CEF">
              <w:rPr>
                <w:rFonts w:cs="Arial"/>
                <w:b/>
                <w:color w:val="000000"/>
                <w:szCs w:val="16"/>
              </w:rPr>
              <w:t>11,578</w:t>
            </w:r>
          </w:p>
        </w:tc>
        <w:tc>
          <w:tcPr>
            <w:tcW w:w="521" w:type="pct"/>
            <w:tcBorders>
              <w:top w:val="nil"/>
              <w:left w:val="nil"/>
              <w:bottom w:val="nil"/>
              <w:right w:val="nil"/>
            </w:tcBorders>
            <w:shd w:val="clear" w:color="000000" w:fill="E6F2FF"/>
            <w:noWrap/>
            <w:vAlign w:val="bottom"/>
            <w:hideMark/>
          </w:tcPr>
          <w:p w14:paraId="40535CFB" w14:textId="3161800D" w:rsidR="00243205" w:rsidRPr="00897CEF" w:rsidRDefault="00325E1E" w:rsidP="00D32902">
            <w:pPr>
              <w:pStyle w:val="TableTextRight"/>
              <w:rPr>
                <w:rFonts w:cs="Arial"/>
                <w:b/>
                <w:color w:val="000000"/>
                <w:szCs w:val="16"/>
              </w:rPr>
            </w:pPr>
            <w:r>
              <w:rPr>
                <w:rFonts w:cs="Arial"/>
                <w:b/>
                <w:bCs/>
                <w:color w:val="000000"/>
                <w:szCs w:val="16"/>
              </w:rPr>
              <w:noBreakHyphen/>
            </w:r>
            <w:r w:rsidR="00243205" w:rsidRPr="00897CEF">
              <w:rPr>
                <w:rFonts w:cs="Arial"/>
                <w:b/>
                <w:color w:val="000000"/>
                <w:szCs w:val="16"/>
              </w:rPr>
              <w:t>15,107</w:t>
            </w:r>
          </w:p>
        </w:tc>
        <w:tc>
          <w:tcPr>
            <w:tcW w:w="521" w:type="pct"/>
            <w:tcBorders>
              <w:top w:val="nil"/>
              <w:left w:val="nil"/>
              <w:bottom w:val="nil"/>
              <w:right w:val="nil"/>
            </w:tcBorders>
            <w:shd w:val="clear" w:color="000000" w:fill="FFFFFF"/>
            <w:noWrap/>
            <w:vAlign w:val="bottom"/>
            <w:hideMark/>
          </w:tcPr>
          <w:p w14:paraId="5922CCC5" w14:textId="63A9D88B" w:rsidR="00243205" w:rsidRPr="00897CEF" w:rsidRDefault="00325E1E" w:rsidP="00D32902">
            <w:pPr>
              <w:pStyle w:val="TableTextRight"/>
              <w:rPr>
                <w:rFonts w:cs="Arial"/>
                <w:b/>
                <w:color w:val="000000"/>
                <w:szCs w:val="16"/>
              </w:rPr>
            </w:pPr>
            <w:r>
              <w:rPr>
                <w:rFonts w:cs="Arial"/>
                <w:b/>
                <w:bCs/>
                <w:color w:val="000000"/>
                <w:szCs w:val="16"/>
              </w:rPr>
              <w:noBreakHyphen/>
            </w:r>
            <w:r w:rsidR="00243205" w:rsidRPr="00897CEF">
              <w:rPr>
                <w:rFonts w:cs="Arial"/>
                <w:b/>
                <w:color w:val="000000"/>
                <w:szCs w:val="16"/>
              </w:rPr>
              <w:t>13,359</w:t>
            </w:r>
          </w:p>
        </w:tc>
        <w:tc>
          <w:tcPr>
            <w:tcW w:w="521" w:type="pct"/>
            <w:tcBorders>
              <w:top w:val="nil"/>
              <w:left w:val="nil"/>
              <w:bottom w:val="nil"/>
              <w:right w:val="nil"/>
            </w:tcBorders>
            <w:shd w:val="clear" w:color="000000" w:fill="FFFFFF"/>
            <w:noWrap/>
            <w:vAlign w:val="bottom"/>
            <w:hideMark/>
          </w:tcPr>
          <w:p w14:paraId="27167543" w14:textId="43D41937" w:rsidR="00243205" w:rsidRPr="00897CEF" w:rsidRDefault="00325E1E" w:rsidP="00D32902">
            <w:pPr>
              <w:pStyle w:val="TableTextRight"/>
              <w:rPr>
                <w:rFonts w:cs="Arial"/>
                <w:b/>
                <w:color w:val="000000"/>
                <w:szCs w:val="16"/>
              </w:rPr>
            </w:pPr>
            <w:r>
              <w:rPr>
                <w:rFonts w:cs="Arial"/>
                <w:b/>
                <w:bCs/>
                <w:color w:val="000000"/>
                <w:szCs w:val="16"/>
              </w:rPr>
              <w:noBreakHyphen/>
            </w:r>
            <w:r w:rsidR="00243205" w:rsidRPr="00897CEF">
              <w:rPr>
                <w:rFonts w:cs="Arial"/>
                <w:b/>
                <w:color w:val="000000"/>
                <w:szCs w:val="16"/>
              </w:rPr>
              <w:t>11,466</w:t>
            </w:r>
          </w:p>
        </w:tc>
        <w:tc>
          <w:tcPr>
            <w:tcW w:w="533" w:type="pct"/>
            <w:tcBorders>
              <w:top w:val="nil"/>
              <w:left w:val="nil"/>
              <w:bottom w:val="nil"/>
              <w:right w:val="nil"/>
            </w:tcBorders>
            <w:shd w:val="clear" w:color="000000" w:fill="FFFFFF"/>
            <w:noWrap/>
            <w:vAlign w:val="bottom"/>
            <w:hideMark/>
          </w:tcPr>
          <w:p w14:paraId="239D610F" w14:textId="11D7AA7E" w:rsidR="00243205" w:rsidRPr="00897CEF" w:rsidRDefault="00325E1E" w:rsidP="00D32902">
            <w:pPr>
              <w:pStyle w:val="TableTextRight"/>
              <w:rPr>
                <w:rFonts w:cs="Arial"/>
                <w:b/>
                <w:color w:val="000000"/>
                <w:szCs w:val="16"/>
              </w:rPr>
            </w:pPr>
            <w:r>
              <w:rPr>
                <w:rFonts w:cs="Arial"/>
                <w:b/>
                <w:bCs/>
                <w:color w:val="000000"/>
                <w:szCs w:val="16"/>
              </w:rPr>
              <w:noBreakHyphen/>
            </w:r>
            <w:r w:rsidR="00243205" w:rsidRPr="00897CEF">
              <w:rPr>
                <w:rFonts w:cs="Arial"/>
                <w:b/>
                <w:color w:val="000000"/>
                <w:szCs w:val="16"/>
              </w:rPr>
              <w:t>10,631</w:t>
            </w:r>
          </w:p>
        </w:tc>
      </w:tr>
      <w:tr w:rsidR="00170877" w:rsidRPr="007B7492" w14:paraId="75113B17" w14:textId="77777777" w:rsidTr="00170877">
        <w:trPr>
          <w:trHeight w:val="225"/>
        </w:trPr>
        <w:tc>
          <w:tcPr>
            <w:tcW w:w="2022" w:type="pct"/>
            <w:tcBorders>
              <w:top w:val="nil"/>
              <w:left w:val="nil"/>
              <w:bottom w:val="single" w:sz="4" w:space="0" w:color="293F5B"/>
              <w:right w:val="nil"/>
            </w:tcBorders>
            <w:shd w:val="clear" w:color="000000" w:fill="FFFFFF"/>
            <w:noWrap/>
            <w:vAlign w:val="center"/>
            <w:hideMark/>
          </w:tcPr>
          <w:p w14:paraId="6884555D" w14:textId="77777777" w:rsidR="00170877" w:rsidRPr="007B7492" w:rsidRDefault="00170877" w:rsidP="003714DF">
            <w:pPr>
              <w:pStyle w:val="TableTextLeft"/>
              <w:rPr>
                <w:b/>
                <w:color w:val="000000"/>
              </w:rPr>
            </w:pPr>
            <w:r w:rsidRPr="007B7492">
              <w:rPr>
                <w:b/>
                <w:color w:val="000000"/>
              </w:rPr>
              <w:t>Operating result(b)</w:t>
            </w:r>
          </w:p>
        </w:tc>
        <w:tc>
          <w:tcPr>
            <w:tcW w:w="359" w:type="pct"/>
            <w:tcBorders>
              <w:top w:val="nil"/>
              <w:left w:val="nil"/>
              <w:bottom w:val="single" w:sz="4" w:space="0" w:color="293F5B"/>
              <w:right w:val="nil"/>
            </w:tcBorders>
            <w:shd w:val="clear" w:color="000000" w:fill="FFFFFF"/>
            <w:noWrap/>
            <w:vAlign w:val="center"/>
            <w:hideMark/>
          </w:tcPr>
          <w:p w14:paraId="37CBC48D" w14:textId="77777777" w:rsidR="00170877" w:rsidRPr="007B7492" w:rsidRDefault="00170877" w:rsidP="00C271F9">
            <w:pPr>
              <w:pStyle w:val="TableTextCentred"/>
              <w:rPr>
                <w:b/>
              </w:rPr>
            </w:pPr>
            <w:r w:rsidRPr="007B7492">
              <w:rPr>
                <w:b/>
              </w:rPr>
              <w:t> </w:t>
            </w:r>
          </w:p>
        </w:tc>
        <w:tc>
          <w:tcPr>
            <w:tcW w:w="521" w:type="pct"/>
            <w:tcBorders>
              <w:top w:val="nil"/>
              <w:left w:val="nil"/>
              <w:bottom w:val="single" w:sz="4" w:space="0" w:color="293F5B"/>
              <w:right w:val="nil"/>
            </w:tcBorders>
            <w:shd w:val="clear" w:color="000000" w:fill="FFFFFF"/>
            <w:noWrap/>
            <w:vAlign w:val="center"/>
            <w:hideMark/>
          </w:tcPr>
          <w:p w14:paraId="1F40210D" w14:textId="32037C22" w:rsidR="00170877" w:rsidRPr="00897CEF" w:rsidRDefault="00170877" w:rsidP="00D32902">
            <w:pPr>
              <w:pStyle w:val="TableTextRight"/>
              <w:rPr>
                <w:rFonts w:cs="Arial"/>
                <w:b/>
                <w:color w:val="000000"/>
                <w:szCs w:val="16"/>
              </w:rPr>
            </w:pPr>
            <w:r w:rsidRPr="00897CEF">
              <w:rPr>
                <w:rFonts w:cs="Arial"/>
                <w:b/>
                <w:color w:val="000000"/>
                <w:szCs w:val="16"/>
              </w:rPr>
              <w:t>4,228</w:t>
            </w:r>
          </w:p>
        </w:tc>
        <w:tc>
          <w:tcPr>
            <w:tcW w:w="521" w:type="pct"/>
            <w:tcBorders>
              <w:top w:val="nil"/>
              <w:left w:val="nil"/>
              <w:bottom w:val="single" w:sz="4" w:space="0" w:color="293F5B"/>
              <w:right w:val="nil"/>
            </w:tcBorders>
            <w:shd w:val="clear" w:color="000000" w:fill="E6F2FF"/>
            <w:noWrap/>
            <w:vAlign w:val="center"/>
            <w:hideMark/>
          </w:tcPr>
          <w:p w14:paraId="7A40C2AA" w14:textId="3511349B" w:rsidR="00170877" w:rsidRPr="00897CEF" w:rsidRDefault="00325E1E" w:rsidP="00D32902">
            <w:pPr>
              <w:pStyle w:val="TableTextRight"/>
              <w:rPr>
                <w:rFonts w:cs="Arial"/>
                <w:b/>
                <w:color w:val="000000"/>
                <w:szCs w:val="16"/>
              </w:rPr>
            </w:pPr>
            <w:r>
              <w:rPr>
                <w:rFonts w:cs="Arial"/>
                <w:b/>
                <w:bCs/>
                <w:color w:val="000000"/>
                <w:szCs w:val="16"/>
              </w:rPr>
              <w:noBreakHyphen/>
            </w:r>
            <w:r w:rsidR="00170877" w:rsidRPr="00897CEF">
              <w:rPr>
                <w:rFonts w:cs="Arial"/>
                <w:b/>
                <w:color w:val="000000"/>
                <w:szCs w:val="16"/>
              </w:rPr>
              <w:t>38,120</w:t>
            </w:r>
          </w:p>
        </w:tc>
        <w:tc>
          <w:tcPr>
            <w:tcW w:w="521" w:type="pct"/>
            <w:tcBorders>
              <w:top w:val="nil"/>
              <w:left w:val="nil"/>
              <w:bottom w:val="single" w:sz="4" w:space="0" w:color="293F5B"/>
              <w:right w:val="nil"/>
            </w:tcBorders>
            <w:shd w:val="clear" w:color="000000" w:fill="FFFFFF"/>
            <w:noWrap/>
            <w:vAlign w:val="center"/>
            <w:hideMark/>
          </w:tcPr>
          <w:p w14:paraId="2178F6E2" w14:textId="7B2885B1" w:rsidR="00170877" w:rsidRPr="00897CEF" w:rsidRDefault="00325E1E" w:rsidP="00D32902">
            <w:pPr>
              <w:pStyle w:val="TableTextRight"/>
              <w:rPr>
                <w:rFonts w:cs="Arial"/>
                <w:b/>
                <w:color w:val="000000"/>
                <w:szCs w:val="16"/>
              </w:rPr>
            </w:pPr>
            <w:r>
              <w:rPr>
                <w:rFonts w:cs="Arial"/>
                <w:b/>
                <w:bCs/>
                <w:color w:val="000000"/>
                <w:szCs w:val="16"/>
              </w:rPr>
              <w:noBreakHyphen/>
            </w:r>
            <w:r w:rsidR="00170877" w:rsidRPr="00897CEF">
              <w:rPr>
                <w:rFonts w:cs="Arial"/>
                <w:b/>
                <w:color w:val="000000"/>
                <w:szCs w:val="16"/>
              </w:rPr>
              <w:t>47,908</w:t>
            </w:r>
          </w:p>
        </w:tc>
        <w:tc>
          <w:tcPr>
            <w:tcW w:w="521" w:type="pct"/>
            <w:tcBorders>
              <w:top w:val="nil"/>
              <w:left w:val="nil"/>
              <w:bottom w:val="single" w:sz="4" w:space="0" w:color="293F5B"/>
              <w:right w:val="nil"/>
            </w:tcBorders>
            <w:shd w:val="clear" w:color="000000" w:fill="FFFFFF"/>
            <w:noWrap/>
            <w:vAlign w:val="center"/>
            <w:hideMark/>
          </w:tcPr>
          <w:p w14:paraId="38A41125" w14:textId="2B5EE445" w:rsidR="00170877" w:rsidRPr="00897CEF" w:rsidRDefault="00325E1E" w:rsidP="00D32902">
            <w:pPr>
              <w:pStyle w:val="TableTextRight"/>
              <w:rPr>
                <w:rFonts w:cs="Arial"/>
                <w:b/>
                <w:color w:val="000000"/>
                <w:szCs w:val="16"/>
              </w:rPr>
            </w:pPr>
            <w:r>
              <w:rPr>
                <w:rFonts w:cs="Arial"/>
                <w:b/>
                <w:bCs/>
                <w:color w:val="000000"/>
                <w:szCs w:val="16"/>
              </w:rPr>
              <w:noBreakHyphen/>
            </w:r>
            <w:r w:rsidR="00170877" w:rsidRPr="00897CEF">
              <w:rPr>
                <w:rFonts w:cs="Arial"/>
                <w:b/>
                <w:color w:val="000000"/>
                <w:szCs w:val="16"/>
              </w:rPr>
              <w:t>28,992</w:t>
            </w:r>
          </w:p>
        </w:tc>
        <w:tc>
          <w:tcPr>
            <w:tcW w:w="533" w:type="pct"/>
            <w:tcBorders>
              <w:top w:val="nil"/>
              <w:left w:val="nil"/>
              <w:bottom w:val="single" w:sz="4" w:space="0" w:color="293F5B"/>
              <w:right w:val="nil"/>
            </w:tcBorders>
            <w:shd w:val="clear" w:color="000000" w:fill="FFFFFF"/>
            <w:noWrap/>
            <w:vAlign w:val="center"/>
            <w:hideMark/>
          </w:tcPr>
          <w:p w14:paraId="09329881" w14:textId="1B54ACAC" w:rsidR="00170877" w:rsidRPr="00897CEF" w:rsidRDefault="00325E1E" w:rsidP="00D32902">
            <w:pPr>
              <w:pStyle w:val="TableTextRight"/>
              <w:rPr>
                <w:rFonts w:cs="Arial"/>
                <w:b/>
                <w:color w:val="000000"/>
                <w:szCs w:val="16"/>
              </w:rPr>
            </w:pPr>
            <w:r>
              <w:rPr>
                <w:rFonts w:cs="Arial"/>
                <w:b/>
                <w:bCs/>
                <w:color w:val="000000"/>
                <w:szCs w:val="16"/>
              </w:rPr>
              <w:noBreakHyphen/>
            </w:r>
            <w:r w:rsidR="00170877" w:rsidRPr="00897CEF">
              <w:rPr>
                <w:rFonts w:cs="Arial"/>
                <w:b/>
                <w:color w:val="000000"/>
                <w:szCs w:val="16"/>
              </w:rPr>
              <w:t>20,758</w:t>
            </w:r>
          </w:p>
        </w:tc>
      </w:tr>
    </w:tbl>
    <w:p w14:paraId="596423F9" w14:textId="34CFF442" w:rsidR="00FD1C3A" w:rsidRDefault="00A96E0D" w:rsidP="00654D36">
      <w:pPr>
        <w:pStyle w:val="TableHeadingcontinued"/>
      </w:pPr>
      <w:r>
        <w:lastRenderedPageBreak/>
        <w:t>Table </w:t>
      </w:r>
      <w:r w:rsidR="005A3823">
        <w:t>10</w:t>
      </w:r>
      <w:r w:rsidR="00D8138E" w:rsidRPr="00EA746C">
        <w:t xml:space="preserve">.1: </w:t>
      </w:r>
      <w:bookmarkStart w:id="3" w:name="_Hlk130213961"/>
      <w:r w:rsidR="00D8138E" w:rsidRPr="00EA746C">
        <w:t>Australian Government general government sector operating statement</w:t>
      </w:r>
      <w:bookmarkEnd w:id="3"/>
      <w:r w:rsidR="00D8138E" w:rsidRPr="00EA746C">
        <w:t xml:space="preserve"> (continued)</w:t>
      </w:r>
      <w:r w:rsidR="00D8138E">
        <w:t xml:space="preserve"> </w:t>
      </w:r>
    </w:p>
    <w:tbl>
      <w:tblPr>
        <w:tblW w:w="5000" w:type="pct"/>
        <w:tblLayout w:type="fixed"/>
        <w:tblLook w:val="04A0" w:firstRow="1" w:lastRow="0" w:firstColumn="1" w:lastColumn="0" w:noHBand="0" w:noVBand="1"/>
      </w:tblPr>
      <w:tblGrid>
        <w:gridCol w:w="2977"/>
        <w:gridCol w:w="567"/>
        <w:gridCol w:w="950"/>
        <w:gridCol w:w="804"/>
        <w:gridCol w:w="804"/>
        <w:gridCol w:w="804"/>
        <w:gridCol w:w="804"/>
      </w:tblGrid>
      <w:tr w:rsidR="006F3CBF" w:rsidRPr="006F3CBF" w14:paraId="4037AB5A" w14:textId="77777777" w:rsidTr="007D11F4">
        <w:trPr>
          <w:trHeight w:val="225"/>
        </w:trPr>
        <w:tc>
          <w:tcPr>
            <w:tcW w:w="2977" w:type="dxa"/>
            <w:tcBorders>
              <w:top w:val="single" w:sz="4" w:space="0" w:color="293F5B"/>
            </w:tcBorders>
            <w:shd w:val="clear" w:color="000000" w:fill="FFFFFF"/>
            <w:noWrap/>
            <w:vAlign w:val="center"/>
            <w:hideMark/>
          </w:tcPr>
          <w:p w14:paraId="2056ED8E" w14:textId="77777777" w:rsidR="006F3CBF" w:rsidRPr="006F3CBF" w:rsidRDefault="006F3CBF" w:rsidP="00E02CA5">
            <w:pPr>
              <w:pStyle w:val="TableTextLeft"/>
            </w:pPr>
            <w:r w:rsidRPr="006F3CBF">
              <w:t> </w:t>
            </w:r>
          </w:p>
        </w:tc>
        <w:tc>
          <w:tcPr>
            <w:tcW w:w="567" w:type="dxa"/>
            <w:tcBorders>
              <w:top w:val="single" w:sz="4" w:space="0" w:color="293F5B"/>
            </w:tcBorders>
            <w:shd w:val="clear" w:color="000000" w:fill="FFFFFF"/>
            <w:noWrap/>
            <w:vAlign w:val="center"/>
            <w:hideMark/>
          </w:tcPr>
          <w:p w14:paraId="41E42333" w14:textId="150B6290" w:rsidR="006F3CBF" w:rsidRPr="006F3CBF" w:rsidRDefault="006F3CBF" w:rsidP="0036099C">
            <w:pPr>
              <w:pStyle w:val="TableTextCentred"/>
            </w:pPr>
          </w:p>
        </w:tc>
        <w:tc>
          <w:tcPr>
            <w:tcW w:w="4166" w:type="dxa"/>
            <w:gridSpan w:val="5"/>
            <w:tcBorders>
              <w:top w:val="single" w:sz="4" w:space="0" w:color="293F5B"/>
              <w:bottom w:val="single" w:sz="4" w:space="0" w:color="293F5B"/>
            </w:tcBorders>
            <w:shd w:val="clear" w:color="000000" w:fill="FFFFFF"/>
            <w:noWrap/>
            <w:vAlign w:val="center"/>
            <w:hideMark/>
          </w:tcPr>
          <w:p w14:paraId="6827215C" w14:textId="77777777" w:rsidR="006F3CBF" w:rsidRPr="006F3CBF" w:rsidRDefault="006F3CBF" w:rsidP="003340DD">
            <w:pPr>
              <w:pStyle w:val="TableTextCentred"/>
            </w:pPr>
            <w:r w:rsidRPr="006F3CBF">
              <w:t>Estimates</w:t>
            </w:r>
          </w:p>
        </w:tc>
      </w:tr>
      <w:tr w:rsidR="006F3CBF" w:rsidRPr="006F3CBF" w14:paraId="2A41D096" w14:textId="77777777" w:rsidTr="00B37879">
        <w:trPr>
          <w:trHeight w:val="225"/>
        </w:trPr>
        <w:tc>
          <w:tcPr>
            <w:tcW w:w="2977" w:type="dxa"/>
            <w:shd w:val="clear" w:color="000000" w:fill="FFFFFF"/>
            <w:noWrap/>
            <w:vAlign w:val="center"/>
            <w:hideMark/>
          </w:tcPr>
          <w:p w14:paraId="32B568DF" w14:textId="77777777" w:rsidR="006F3CBF" w:rsidRPr="006F3CBF" w:rsidRDefault="006F3CBF" w:rsidP="00E02CA5">
            <w:pPr>
              <w:pStyle w:val="TableTextLeft"/>
              <w:rPr>
                <w:b/>
              </w:rPr>
            </w:pPr>
            <w:r w:rsidRPr="006F3CBF">
              <w:rPr>
                <w:b/>
              </w:rPr>
              <w:t> </w:t>
            </w:r>
          </w:p>
        </w:tc>
        <w:tc>
          <w:tcPr>
            <w:tcW w:w="567" w:type="dxa"/>
            <w:shd w:val="clear" w:color="000000" w:fill="FFFFFF"/>
            <w:noWrap/>
            <w:vAlign w:val="center"/>
            <w:hideMark/>
          </w:tcPr>
          <w:p w14:paraId="7485104B" w14:textId="70D0EBD3" w:rsidR="006F3CBF" w:rsidRPr="006F3CBF" w:rsidRDefault="006F3CBF" w:rsidP="0036099C">
            <w:pPr>
              <w:pStyle w:val="TableTextCentred"/>
            </w:pPr>
          </w:p>
        </w:tc>
        <w:tc>
          <w:tcPr>
            <w:tcW w:w="950" w:type="dxa"/>
            <w:tcBorders>
              <w:top w:val="single" w:sz="4" w:space="0" w:color="293F5B"/>
            </w:tcBorders>
            <w:shd w:val="clear" w:color="000000" w:fill="FFFFFF"/>
            <w:noWrap/>
            <w:vAlign w:val="center"/>
            <w:hideMark/>
          </w:tcPr>
          <w:p w14:paraId="2FCF12EB" w14:textId="7C02DFBE" w:rsidR="006F3CBF" w:rsidRPr="006F3CBF" w:rsidRDefault="006F3CBF" w:rsidP="003340DD">
            <w:pPr>
              <w:pStyle w:val="TableTextRight"/>
            </w:pPr>
            <w:r w:rsidRPr="006F3CBF">
              <w:t>2023</w:t>
            </w:r>
            <w:r w:rsidR="00325E1E">
              <w:noBreakHyphen/>
            </w:r>
            <w:r w:rsidRPr="006F3CBF">
              <w:t>24</w:t>
            </w:r>
          </w:p>
        </w:tc>
        <w:tc>
          <w:tcPr>
            <w:tcW w:w="804" w:type="dxa"/>
            <w:tcBorders>
              <w:top w:val="single" w:sz="4" w:space="0" w:color="293F5B"/>
            </w:tcBorders>
            <w:shd w:val="clear" w:color="000000" w:fill="E6F2FF"/>
            <w:noWrap/>
            <w:vAlign w:val="center"/>
            <w:hideMark/>
          </w:tcPr>
          <w:p w14:paraId="36159D02" w14:textId="7BDBB306" w:rsidR="006F3CBF" w:rsidRPr="006F3CBF" w:rsidRDefault="006F3CBF" w:rsidP="003340DD">
            <w:pPr>
              <w:pStyle w:val="TableTextRight"/>
            </w:pPr>
            <w:r w:rsidRPr="006F3CBF">
              <w:t>2024</w:t>
            </w:r>
            <w:r w:rsidR="00325E1E">
              <w:noBreakHyphen/>
            </w:r>
            <w:r w:rsidRPr="006F3CBF">
              <w:t>25</w:t>
            </w:r>
          </w:p>
        </w:tc>
        <w:tc>
          <w:tcPr>
            <w:tcW w:w="804" w:type="dxa"/>
            <w:tcBorders>
              <w:top w:val="single" w:sz="4" w:space="0" w:color="293F5B"/>
            </w:tcBorders>
            <w:shd w:val="clear" w:color="000000" w:fill="FFFFFF"/>
            <w:noWrap/>
            <w:vAlign w:val="center"/>
            <w:hideMark/>
          </w:tcPr>
          <w:p w14:paraId="7635352F" w14:textId="005FAA01" w:rsidR="006F3CBF" w:rsidRPr="006F3CBF" w:rsidRDefault="006F3CBF" w:rsidP="003340DD">
            <w:pPr>
              <w:pStyle w:val="TableTextRight"/>
            </w:pPr>
            <w:r w:rsidRPr="006F3CBF">
              <w:t>2025</w:t>
            </w:r>
            <w:r w:rsidR="00325E1E">
              <w:noBreakHyphen/>
            </w:r>
            <w:r w:rsidRPr="006F3CBF">
              <w:t>26</w:t>
            </w:r>
          </w:p>
        </w:tc>
        <w:tc>
          <w:tcPr>
            <w:tcW w:w="804" w:type="dxa"/>
            <w:tcBorders>
              <w:top w:val="single" w:sz="4" w:space="0" w:color="293F5B"/>
            </w:tcBorders>
            <w:shd w:val="clear" w:color="000000" w:fill="FFFFFF"/>
            <w:noWrap/>
            <w:vAlign w:val="center"/>
            <w:hideMark/>
          </w:tcPr>
          <w:p w14:paraId="724635A5" w14:textId="17000C0D" w:rsidR="006F3CBF" w:rsidRPr="006F3CBF" w:rsidRDefault="006F3CBF" w:rsidP="003340DD">
            <w:pPr>
              <w:pStyle w:val="TableTextRight"/>
            </w:pPr>
            <w:r w:rsidRPr="006F3CBF">
              <w:t>2026</w:t>
            </w:r>
            <w:r w:rsidR="00325E1E">
              <w:noBreakHyphen/>
            </w:r>
            <w:r w:rsidRPr="006F3CBF">
              <w:t>27</w:t>
            </w:r>
          </w:p>
        </w:tc>
        <w:tc>
          <w:tcPr>
            <w:tcW w:w="804" w:type="dxa"/>
            <w:tcBorders>
              <w:top w:val="single" w:sz="4" w:space="0" w:color="293F5B"/>
            </w:tcBorders>
            <w:shd w:val="clear" w:color="000000" w:fill="FFFFFF"/>
            <w:noWrap/>
            <w:vAlign w:val="center"/>
            <w:hideMark/>
          </w:tcPr>
          <w:p w14:paraId="0A84F89A" w14:textId="2A1257A1" w:rsidR="006F3CBF" w:rsidRPr="006F3CBF" w:rsidRDefault="006F3CBF" w:rsidP="003340DD">
            <w:pPr>
              <w:pStyle w:val="TableTextRight"/>
              <w:rPr>
                <w:color w:val="000000"/>
              </w:rPr>
            </w:pPr>
            <w:r w:rsidRPr="006F3CBF">
              <w:rPr>
                <w:color w:val="000000"/>
              </w:rPr>
              <w:t>2027</w:t>
            </w:r>
            <w:r w:rsidR="00325E1E">
              <w:rPr>
                <w:color w:val="000000"/>
              </w:rPr>
              <w:noBreakHyphen/>
            </w:r>
            <w:r w:rsidRPr="006F3CBF">
              <w:rPr>
                <w:color w:val="000000"/>
              </w:rPr>
              <w:t>28</w:t>
            </w:r>
          </w:p>
        </w:tc>
      </w:tr>
      <w:tr w:rsidR="006F3CBF" w:rsidRPr="006F3CBF" w14:paraId="7EADAB5F" w14:textId="77777777" w:rsidTr="00B37879">
        <w:trPr>
          <w:trHeight w:val="225"/>
        </w:trPr>
        <w:tc>
          <w:tcPr>
            <w:tcW w:w="2977" w:type="dxa"/>
            <w:shd w:val="clear" w:color="000000" w:fill="FFFFFF"/>
            <w:noWrap/>
            <w:vAlign w:val="center"/>
            <w:hideMark/>
          </w:tcPr>
          <w:p w14:paraId="39EBDD83" w14:textId="77777777" w:rsidR="006F3CBF" w:rsidRPr="006F3CBF" w:rsidRDefault="006F3CBF" w:rsidP="00E02CA5">
            <w:pPr>
              <w:pStyle w:val="TableTextLeft"/>
              <w:rPr>
                <w:b/>
              </w:rPr>
            </w:pPr>
            <w:r w:rsidRPr="006F3CBF">
              <w:rPr>
                <w:b/>
              </w:rPr>
              <w:t> </w:t>
            </w:r>
          </w:p>
        </w:tc>
        <w:tc>
          <w:tcPr>
            <w:tcW w:w="567" w:type="dxa"/>
            <w:shd w:val="clear" w:color="000000" w:fill="FFFFFF"/>
            <w:noWrap/>
            <w:vAlign w:val="center"/>
            <w:hideMark/>
          </w:tcPr>
          <w:p w14:paraId="289DCE52" w14:textId="77777777" w:rsidR="006F3CBF" w:rsidRPr="006F3CBF" w:rsidRDefault="006F3CBF" w:rsidP="008B7D30">
            <w:pPr>
              <w:pStyle w:val="TableTextCentred"/>
            </w:pPr>
            <w:r w:rsidRPr="006F3CBF">
              <w:t>Note</w:t>
            </w:r>
          </w:p>
        </w:tc>
        <w:tc>
          <w:tcPr>
            <w:tcW w:w="950" w:type="dxa"/>
            <w:tcBorders>
              <w:bottom w:val="single" w:sz="4" w:space="0" w:color="293F5B"/>
            </w:tcBorders>
            <w:shd w:val="clear" w:color="000000" w:fill="FFFFFF"/>
            <w:noWrap/>
            <w:vAlign w:val="center"/>
            <w:hideMark/>
          </w:tcPr>
          <w:p w14:paraId="4900F090" w14:textId="77777777" w:rsidR="006F3CBF" w:rsidRPr="006F3CBF" w:rsidRDefault="006F3CBF" w:rsidP="003340DD">
            <w:pPr>
              <w:pStyle w:val="TableTextRight"/>
              <w:rPr>
                <w:color w:val="000000"/>
              </w:rPr>
            </w:pPr>
            <w:r w:rsidRPr="006F3CBF">
              <w:rPr>
                <w:color w:val="000000"/>
              </w:rPr>
              <w:t>$m</w:t>
            </w:r>
          </w:p>
        </w:tc>
        <w:tc>
          <w:tcPr>
            <w:tcW w:w="804" w:type="dxa"/>
            <w:tcBorders>
              <w:bottom w:val="single" w:sz="4" w:space="0" w:color="293F5B"/>
            </w:tcBorders>
            <w:shd w:val="clear" w:color="000000" w:fill="E6F2FF"/>
            <w:noWrap/>
            <w:vAlign w:val="center"/>
            <w:hideMark/>
          </w:tcPr>
          <w:p w14:paraId="441996CF" w14:textId="77777777" w:rsidR="006F3CBF" w:rsidRPr="006F3CBF" w:rsidRDefault="006F3CBF" w:rsidP="003340DD">
            <w:pPr>
              <w:pStyle w:val="TableTextRight"/>
              <w:rPr>
                <w:color w:val="000000"/>
              </w:rPr>
            </w:pPr>
            <w:r w:rsidRPr="006F3CBF">
              <w:rPr>
                <w:color w:val="000000"/>
              </w:rPr>
              <w:t>$m</w:t>
            </w:r>
          </w:p>
        </w:tc>
        <w:tc>
          <w:tcPr>
            <w:tcW w:w="804" w:type="dxa"/>
            <w:tcBorders>
              <w:bottom w:val="single" w:sz="4" w:space="0" w:color="293F5B"/>
            </w:tcBorders>
            <w:shd w:val="clear" w:color="000000" w:fill="FFFFFF"/>
            <w:noWrap/>
            <w:vAlign w:val="center"/>
            <w:hideMark/>
          </w:tcPr>
          <w:p w14:paraId="24BB5C84" w14:textId="77777777" w:rsidR="006F3CBF" w:rsidRPr="006F3CBF" w:rsidRDefault="006F3CBF" w:rsidP="003340DD">
            <w:pPr>
              <w:pStyle w:val="TableTextRight"/>
              <w:rPr>
                <w:color w:val="000000"/>
              </w:rPr>
            </w:pPr>
            <w:r w:rsidRPr="006F3CBF">
              <w:rPr>
                <w:color w:val="000000"/>
              </w:rPr>
              <w:t>$m</w:t>
            </w:r>
          </w:p>
        </w:tc>
        <w:tc>
          <w:tcPr>
            <w:tcW w:w="804" w:type="dxa"/>
            <w:tcBorders>
              <w:bottom w:val="single" w:sz="4" w:space="0" w:color="293F5B"/>
            </w:tcBorders>
            <w:shd w:val="clear" w:color="000000" w:fill="FFFFFF"/>
            <w:noWrap/>
            <w:vAlign w:val="center"/>
            <w:hideMark/>
          </w:tcPr>
          <w:p w14:paraId="42D8FB36" w14:textId="77777777" w:rsidR="006F3CBF" w:rsidRPr="006F3CBF" w:rsidRDefault="006F3CBF" w:rsidP="003340DD">
            <w:pPr>
              <w:pStyle w:val="TableTextRight"/>
              <w:rPr>
                <w:color w:val="000000"/>
              </w:rPr>
            </w:pPr>
            <w:r w:rsidRPr="006F3CBF">
              <w:rPr>
                <w:color w:val="000000"/>
              </w:rPr>
              <w:t>$m</w:t>
            </w:r>
          </w:p>
        </w:tc>
        <w:tc>
          <w:tcPr>
            <w:tcW w:w="804" w:type="dxa"/>
            <w:tcBorders>
              <w:bottom w:val="single" w:sz="4" w:space="0" w:color="293F5B"/>
            </w:tcBorders>
            <w:shd w:val="clear" w:color="000000" w:fill="FFFFFF"/>
            <w:noWrap/>
            <w:vAlign w:val="center"/>
            <w:hideMark/>
          </w:tcPr>
          <w:p w14:paraId="192A167E" w14:textId="77777777" w:rsidR="006F3CBF" w:rsidRPr="006F3CBF" w:rsidRDefault="006F3CBF" w:rsidP="003340DD">
            <w:pPr>
              <w:pStyle w:val="TableTextRight"/>
              <w:rPr>
                <w:color w:val="000000"/>
              </w:rPr>
            </w:pPr>
            <w:r w:rsidRPr="006F3CBF">
              <w:rPr>
                <w:color w:val="000000"/>
              </w:rPr>
              <w:t>$m</w:t>
            </w:r>
          </w:p>
        </w:tc>
      </w:tr>
      <w:tr w:rsidR="006F3CBF" w:rsidRPr="006F3CBF" w14:paraId="26D7D1C8" w14:textId="77777777" w:rsidTr="007D11F4">
        <w:trPr>
          <w:trHeight w:val="225"/>
        </w:trPr>
        <w:tc>
          <w:tcPr>
            <w:tcW w:w="2977" w:type="dxa"/>
            <w:shd w:val="clear" w:color="000000" w:fill="FFFFFF"/>
            <w:vAlign w:val="center"/>
            <w:hideMark/>
          </w:tcPr>
          <w:p w14:paraId="67946647" w14:textId="6DD8A51F" w:rsidR="006F3CBF" w:rsidRPr="00E20C91" w:rsidRDefault="006F3CBF" w:rsidP="00E02CA5">
            <w:pPr>
              <w:pStyle w:val="TableTextLeft"/>
              <w:rPr>
                <w:b/>
              </w:rPr>
            </w:pPr>
            <w:r w:rsidRPr="00E20C91">
              <w:rPr>
                <w:b/>
              </w:rPr>
              <w:t>Non</w:t>
            </w:r>
            <w:r w:rsidR="00325E1E">
              <w:rPr>
                <w:b/>
              </w:rPr>
              <w:noBreakHyphen/>
            </w:r>
            <w:r w:rsidRPr="00E20C91">
              <w:rPr>
                <w:b/>
              </w:rPr>
              <w:t>owner movements in equity</w:t>
            </w:r>
          </w:p>
        </w:tc>
        <w:tc>
          <w:tcPr>
            <w:tcW w:w="567" w:type="dxa"/>
            <w:shd w:val="clear" w:color="000000" w:fill="FFFFFF"/>
            <w:noWrap/>
            <w:vAlign w:val="center"/>
            <w:hideMark/>
          </w:tcPr>
          <w:p w14:paraId="43249AEB" w14:textId="19F402BA" w:rsidR="006F3CBF" w:rsidRPr="006F3CBF" w:rsidRDefault="006F3CBF" w:rsidP="008B7D30">
            <w:pPr>
              <w:pStyle w:val="TableTextCentred"/>
              <w:rPr>
                <w:b/>
                <w:color w:val="000000"/>
              </w:rPr>
            </w:pPr>
          </w:p>
        </w:tc>
        <w:tc>
          <w:tcPr>
            <w:tcW w:w="950" w:type="dxa"/>
            <w:tcBorders>
              <w:top w:val="single" w:sz="4" w:space="0" w:color="293F5B"/>
            </w:tcBorders>
            <w:shd w:val="clear" w:color="000000" w:fill="FFFFFF"/>
            <w:noWrap/>
            <w:vAlign w:val="center"/>
            <w:hideMark/>
          </w:tcPr>
          <w:p w14:paraId="6E57FD23" w14:textId="77777777" w:rsidR="006F3CBF" w:rsidRPr="006F3CBF" w:rsidRDefault="006F3CBF" w:rsidP="003340DD">
            <w:pPr>
              <w:pStyle w:val="TableTextRight"/>
              <w:rPr>
                <w:b/>
                <w:color w:val="000000"/>
              </w:rPr>
            </w:pPr>
            <w:r w:rsidRPr="006F3CBF">
              <w:rPr>
                <w:b/>
                <w:color w:val="000000"/>
              </w:rPr>
              <w:t> </w:t>
            </w:r>
          </w:p>
        </w:tc>
        <w:tc>
          <w:tcPr>
            <w:tcW w:w="804" w:type="dxa"/>
            <w:tcBorders>
              <w:top w:val="single" w:sz="4" w:space="0" w:color="293F5B"/>
            </w:tcBorders>
            <w:shd w:val="clear" w:color="000000" w:fill="E6F2FF"/>
            <w:noWrap/>
            <w:vAlign w:val="center"/>
            <w:hideMark/>
          </w:tcPr>
          <w:p w14:paraId="40972AC4" w14:textId="77777777" w:rsidR="006F3CBF" w:rsidRPr="006F3CBF" w:rsidRDefault="006F3CBF" w:rsidP="003340DD">
            <w:pPr>
              <w:pStyle w:val="TableTextRight"/>
              <w:rPr>
                <w:b/>
                <w:color w:val="000000"/>
              </w:rPr>
            </w:pPr>
            <w:r w:rsidRPr="006F3CBF">
              <w:rPr>
                <w:b/>
                <w:color w:val="000000"/>
              </w:rPr>
              <w:t> </w:t>
            </w:r>
          </w:p>
        </w:tc>
        <w:tc>
          <w:tcPr>
            <w:tcW w:w="804" w:type="dxa"/>
            <w:tcBorders>
              <w:top w:val="single" w:sz="4" w:space="0" w:color="293F5B"/>
            </w:tcBorders>
            <w:shd w:val="clear" w:color="000000" w:fill="FFFFFF"/>
            <w:noWrap/>
            <w:vAlign w:val="center"/>
            <w:hideMark/>
          </w:tcPr>
          <w:p w14:paraId="02506F35" w14:textId="77777777" w:rsidR="006F3CBF" w:rsidRPr="006F3CBF" w:rsidRDefault="006F3CBF" w:rsidP="003340DD">
            <w:pPr>
              <w:pStyle w:val="TableTextRight"/>
              <w:rPr>
                <w:b/>
                <w:color w:val="000000"/>
              </w:rPr>
            </w:pPr>
            <w:r w:rsidRPr="006F3CBF">
              <w:rPr>
                <w:b/>
                <w:color w:val="000000"/>
              </w:rPr>
              <w:t> </w:t>
            </w:r>
          </w:p>
        </w:tc>
        <w:tc>
          <w:tcPr>
            <w:tcW w:w="804" w:type="dxa"/>
            <w:tcBorders>
              <w:top w:val="single" w:sz="4" w:space="0" w:color="293F5B"/>
            </w:tcBorders>
            <w:shd w:val="clear" w:color="000000" w:fill="FFFFFF"/>
            <w:noWrap/>
            <w:vAlign w:val="center"/>
            <w:hideMark/>
          </w:tcPr>
          <w:p w14:paraId="62C6FB1A" w14:textId="77777777" w:rsidR="006F3CBF" w:rsidRPr="006F3CBF" w:rsidRDefault="006F3CBF" w:rsidP="003340DD">
            <w:pPr>
              <w:pStyle w:val="TableTextRight"/>
              <w:rPr>
                <w:b/>
                <w:color w:val="000000"/>
              </w:rPr>
            </w:pPr>
            <w:r w:rsidRPr="006F3CBF">
              <w:rPr>
                <w:b/>
                <w:color w:val="000000"/>
              </w:rPr>
              <w:t> </w:t>
            </w:r>
          </w:p>
        </w:tc>
        <w:tc>
          <w:tcPr>
            <w:tcW w:w="804" w:type="dxa"/>
            <w:tcBorders>
              <w:top w:val="single" w:sz="4" w:space="0" w:color="293F5B"/>
            </w:tcBorders>
            <w:shd w:val="clear" w:color="000000" w:fill="FFFFFF"/>
            <w:noWrap/>
            <w:vAlign w:val="center"/>
            <w:hideMark/>
          </w:tcPr>
          <w:p w14:paraId="069BECCB" w14:textId="77777777" w:rsidR="006F3CBF" w:rsidRPr="006F3CBF" w:rsidRDefault="006F3CBF" w:rsidP="003340DD">
            <w:pPr>
              <w:pStyle w:val="TableTextRight"/>
              <w:rPr>
                <w:b/>
                <w:color w:val="000000"/>
              </w:rPr>
            </w:pPr>
            <w:r w:rsidRPr="006F3CBF">
              <w:rPr>
                <w:b/>
                <w:color w:val="000000"/>
              </w:rPr>
              <w:t> </w:t>
            </w:r>
          </w:p>
        </w:tc>
      </w:tr>
      <w:tr w:rsidR="006F3CBF" w:rsidRPr="006F3CBF" w14:paraId="2027F0F3" w14:textId="77777777" w:rsidTr="008356B8">
        <w:trPr>
          <w:trHeight w:val="225"/>
        </w:trPr>
        <w:tc>
          <w:tcPr>
            <w:tcW w:w="2977" w:type="dxa"/>
            <w:shd w:val="clear" w:color="000000" w:fill="FFFFFF"/>
            <w:vAlign w:val="center"/>
            <w:hideMark/>
          </w:tcPr>
          <w:p w14:paraId="4097BBAD" w14:textId="77777777" w:rsidR="006F3CBF" w:rsidRPr="006B4293" w:rsidRDefault="006F3CBF" w:rsidP="00E43CE2">
            <w:pPr>
              <w:pStyle w:val="TableTextIndented"/>
              <w:rPr>
                <w:rFonts w:cs="Arial"/>
                <w:szCs w:val="16"/>
              </w:rPr>
            </w:pPr>
            <w:r w:rsidRPr="006B4293">
              <w:rPr>
                <w:rFonts w:cs="Arial"/>
                <w:szCs w:val="16"/>
              </w:rPr>
              <w:t>Revaluation of equity investments</w:t>
            </w:r>
          </w:p>
        </w:tc>
        <w:tc>
          <w:tcPr>
            <w:tcW w:w="567" w:type="dxa"/>
            <w:shd w:val="clear" w:color="000000" w:fill="FFFFFF"/>
            <w:noWrap/>
            <w:vAlign w:val="center"/>
            <w:hideMark/>
          </w:tcPr>
          <w:p w14:paraId="1807A368" w14:textId="411963D3" w:rsidR="006F3CBF" w:rsidRPr="006F3CBF" w:rsidRDefault="006F3CBF" w:rsidP="008B7D30">
            <w:pPr>
              <w:pStyle w:val="TableTextCentred"/>
              <w:rPr>
                <w:color w:val="000000"/>
              </w:rPr>
            </w:pPr>
          </w:p>
        </w:tc>
        <w:tc>
          <w:tcPr>
            <w:tcW w:w="950" w:type="dxa"/>
            <w:shd w:val="clear" w:color="000000" w:fill="FFFFFF"/>
            <w:noWrap/>
            <w:vAlign w:val="center"/>
            <w:hideMark/>
          </w:tcPr>
          <w:p w14:paraId="78149229" w14:textId="564A1A84" w:rsidR="006F3CBF" w:rsidRPr="006F3CBF" w:rsidRDefault="00325E1E" w:rsidP="003340DD">
            <w:pPr>
              <w:pStyle w:val="TableTextRight"/>
              <w:rPr>
                <w:color w:val="000000"/>
              </w:rPr>
            </w:pPr>
            <w:r>
              <w:rPr>
                <w:color w:val="000000"/>
              </w:rPr>
              <w:noBreakHyphen/>
            </w:r>
            <w:r w:rsidR="006F3CBF" w:rsidRPr="006F3CBF">
              <w:rPr>
                <w:color w:val="000000"/>
              </w:rPr>
              <w:t>785</w:t>
            </w:r>
          </w:p>
        </w:tc>
        <w:tc>
          <w:tcPr>
            <w:tcW w:w="804" w:type="dxa"/>
            <w:shd w:val="clear" w:color="000000" w:fill="E6F2FF"/>
            <w:noWrap/>
            <w:vAlign w:val="center"/>
            <w:hideMark/>
          </w:tcPr>
          <w:p w14:paraId="483836BD" w14:textId="2CFDD9DF" w:rsidR="006F3CBF" w:rsidRPr="006F3CBF" w:rsidRDefault="00325E1E" w:rsidP="003340DD">
            <w:pPr>
              <w:pStyle w:val="TableTextRight"/>
              <w:rPr>
                <w:color w:val="000000"/>
              </w:rPr>
            </w:pPr>
            <w:r>
              <w:rPr>
                <w:color w:val="000000"/>
              </w:rPr>
              <w:noBreakHyphen/>
            </w:r>
            <w:r w:rsidR="006F3CBF" w:rsidRPr="006F3CBF">
              <w:rPr>
                <w:color w:val="000000"/>
              </w:rPr>
              <w:t>392</w:t>
            </w:r>
          </w:p>
        </w:tc>
        <w:tc>
          <w:tcPr>
            <w:tcW w:w="804" w:type="dxa"/>
            <w:shd w:val="clear" w:color="000000" w:fill="FFFFFF"/>
            <w:noWrap/>
            <w:vAlign w:val="center"/>
            <w:hideMark/>
          </w:tcPr>
          <w:p w14:paraId="2F98D6A4" w14:textId="77777777" w:rsidR="006F3CBF" w:rsidRPr="006F3CBF" w:rsidRDefault="006F3CBF" w:rsidP="003340DD">
            <w:pPr>
              <w:pStyle w:val="TableTextRight"/>
              <w:rPr>
                <w:color w:val="000000"/>
              </w:rPr>
            </w:pPr>
            <w:r w:rsidRPr="006F3CBF">
              <w:rPr>
                <w:color w:val="000000"/>
              </w:rPr>
              <w:t>0</w:t>
            </w:r>
          </w:p>
        </w:tc>
        <w:tc>
          <w:tcPr>
            <w:tcW w:w="804" w:type="dxa"/>
            <w:shd w:val="clear" w:color="000000" w:fill="FFFFFF"/>
            <w:noWrap/>
            <w:vAlign w:val="center"/>
            <w:hideMark/>
          </w:tcPr>
          <w:p w14:paraId="156F0D39" w14:textId="77777777" w:rsidR="006F3CBF" w:rsidRPr="006F3CBF" w:rsidRDefault="006F3CBF" w:rsidP="003340DD">
            <w:pPr>
              <w:pStyle w:val="TableTextRight"/>
              <w:rPr>
                <w:color w:val="000000"/>
              </w:rPr>
            </w:pPr>
            <w:r w:rsidRPr="006F3CBF">
              <w:rPr>
                <w:color w:val="000000"/>
              </w:rPr>
              <w:t>0</w:t>
            </w:r>
          </w:p>
        </w:tc>
        <w:tc>
          <w:tcPr>
            <w:tcW w:w="804" w:type="dxa"/>
            <w:shd w:val="clear" w:color="000000" w:fill="FFFFFF"/>
            <w:noWrap/>
            <w:vAlign w:val="center"/>
            <w:hideMark/>
          </w:tcPr>
          <w:p w14:paraId="605B0DA9" w14:textId="77777777" w:rsidR="006F3CBF" w:rsidRPr="006F3CBF" w:rsidRDefault="006F3CBF" w:rsidP="003340DD">
            <w:pPr>
              <w:pStyle w:val="TableTextRight"/>
              <w:rPr>
                <w:color w:val="000000"/>
              </w:rPr>
            </w:pPr>
            <w:r w:rsidRPr="006F3CBF">
              <w:rPr>
                <w:color w:val="000000"/>
              </w:rPr>
              <w:t>0</w:t>
            </w:r>
          </w:p>
        </w:tc>
      </w:tr>
      <w:tr w:rsidR="006F3CBF" w:rsidRPr="006F3CBF" w14:paraId="3C258D40" w14:textId="77777777" w:rsidTr="008356B8">
        <w:trPr>
          <w:trHeight w:val="225"/>
        </w:trPr>
        <w:tc>
          <w:tcPr>
            <w:tcW w:w="2977" w:type="dxa"/>
            <w:shd w:val="clear" w:color="000000" w:fill="FFFFFF"/>
            <w:vAlign w:val="center"/>
            <w:hideMark/>
          </w:tcPr>
          <w:p w14:paraId="37536AFA" w14:textId="77777777" w:rsidR="006F3CBF" w:rsidRPr="006B4293" w:rsidRDefault="006F3CBF" w:rsidP="00E43CE2">
            <w:pPr>
              <w:pStyle w:val="TableTextIndented"/>
              <w:rPr>
                <w:rFonts w:cs="Arial"/>
                <w:szCs w:val="16"/>
              </w:rPr>
            </w:pPr>
            <w:r w:rsidRPr="006B4293">
              <w:rPr>
                <w:rFonts w:cs="Arial"/>
                <w:szCs w:val="16"/>
              </w:rPr>
              <w:t xml:space="preserve">Actuarial revaluations </w:t>
            </w:r>
          </w:p>
        </w:tc>
        <w:tc>
          <w:tcPr>
            <w:tcW w:w="567" w:type="dxa"/>
            <w:shd w:val="clear" w:color="000000" w:fill="FFFFFF"/>
            <w:noWrap/>
            <w:vAlign w:val="center"/>
            <w:hideMark/>
          </w:tcPr>
          <w:p w14:paraId="163BC45A" w14:textId="06176FB8" w:rsidR="006F3CBF" w:rsidRPr="006F3CBF" w:rsidRDefault="006F3CBF" w:rsidP="008B7D30">
            <w:pPr>
              <w:pStyle w:val="TableTextCentred"/>
              <w:rPr>
                <w:color w:val="000000"/>
              </w:rPr>
            </w:pPr>
          </w:p>
        </w:tc>
        <w:tc>
          <w:tcPr>
            <w:tcW w:w="950" w:type="dxa"/>
            <w:shd w:val="clear" w:color="000000" w:fill="FFFFFF"/>
            <w:noWrap/>
            <w:vAlign w:val="center"/>
            <w:hideMark/>
          </w:tcPr>
          <w:p w14:paraId="0DE867C5" w14:textId="7A932924" w:rsidR="006F3CBF" w:rsidRPr="006F3CBF" w:rsidRDefault="00325E1E" w:rsidP="003340DD">
            <w:pPr>
              <w:pStyle w:val="TableTextRight"/>
              <w:rPr>
                <w:color w:val="000000"/>
              </w:rPr>
            </w:pPr>
            <w:r>
              <w:rPr>
                <w:color w:val="000000"/>
              </w:rPr>
              <w:noBreakHyphen/>
            </w:r>
            <w:r w:rsidR="006F3CBF" w:rsidRPr="006F3CBF">
              <w:rPr>
                <w:color w:val="000000"/>
              </w:rPr>
              <w:t>1,002</w:t>
            </w:r>
          </w:p>
        </w:tc>
        <w:tc>
          <w:tcPr>
            <w:tcW w:w="804" w:type="dxa"/>
            <w:shd w:val="clear" w:color="000000" w:fill="E6F2FF"/>
            <w:noWrap/>
            <w:vAlign w:val="center"/>
            <w:hideMark/>
          </w:tcPr>
          <w:p w14:paraId="27E1B773" w14:textId="2771A870" w:rsidR="006F3CBF" w:rsidRPr="006F3CBF" w:rsidRDefault="00325E1E" w:rsidP="003340DD">
            <w:pPr>
              <w:pStyle w:val="TableTextRight"/>
              <w:rPr>
                <w:color w:val="000000"/>
              </w:rPr>
            </w:pPr>
            <w:r>
              <w:rPr>
                <w:color w:val="000000"/>
              </w:rPr>
              <w:noBreakHyphen/>
            </w:r>
            <w:r w:rsidR="006F3CBF" w:rsidRPr="006F3CBF">
              <w:rPr>
                <w:color w:val="000000"/>
              </w:rPr>
              <w:t>228</w:t>
            </w:r>
          </w:p>
        </w:tc>
        <w:tc>
          <w:tcPr>
            <w:tcW w:w="804" w:type="dxa"/>
            <w:shd w:val="clear" w:color="000000" w:fill="FFFFFF"/>
            <w:noWrap/>
            <w:vAlign w:val="center"/>
            <w:hideMark/>
          </w:tcPr>
          <w:p w14:paraId="19478A2D" w14:textId="106A3A6E" w:rsidR="006F3CBF" w:rsidRPr="006F3CBF" w:rsidRDefault="00325E1E" w:rsidP="003340DD">
            <w:pPr>
              <w:pStyle w:val="TableTextRight"/>
              <w:rPr>
                <w:color w:val="000000"/>
              </w:rPr>
            </w:pPr>
            <w:r>
              <w:rPr>
                <w:color w:val="000000"/>
              </w:rPr>
              <w:noBreakHyphen/>
            </w:r>
            <w:r w:rsidR="006F3CBF" w:rsidRPr="006F3CBF">
              <w:rPr>
                <w:color w:val="000000"/>
              </w:rPr>
              <w:t>230</w:t>
            </w:r>
          </w:p>
        </w:tc>
        <w:tc>
          <w:tcPr>
            <w:tcW w:w="804" w:type="dxa"/>
            <w:shd w:val="clear" w:color="000000" w:fill="FFFFFF"/>
            <w:noWrap/>
            <w:vAlign w:val="center"/>
            <w:hideMark/>
          </w:tcPr>
          <w:p w14:paraId="688C9A31" w14:textId="61A023B3" w:rsidR="006F3CBF" w:rsidRPr="006F3CBF" w:rsidRDefault="00325E1E" w:rsidP="003340DD">
            <w:pPr>
              <w:pStyle w:val="TableTextRight"/>
              <w:rPr>
                <w:color w:val="000000"/>
              </w:rPr>
            </w:pPr>
            <w:r>
              <w:rPr>
                <w:color w:val="000000"/>
              </w:rPr>
              <w:noBreakHyphen/>
            </w:r>
            <w:r w:rsidR="006F3CBF" w:rsidRPr="006F3CBF">
              <w:rPr>
                <w:color w:val="000000"/>
              </w:rPr>
              <w:t>231</w:t>
            </w:r>
          </w:p>
        </w:tc>
        <w:tc>
          <w:tcPr>
            <w:tcW w:w="804" w:type="dxa"/>
            <w:shd w:val="clear" w:color="000000" w:fill="FFFFFF"/>
            <w:noWrap/>
            <w:vAlign w:val="center"/>
            <w:hideMark/>
          </w:tcPr>
          <w:p w14:paraId="75042C54" w14:textId="5D7DA19B" w:rsidR="006F3CBF" w:rsidRPr="006F3CBF" w:rsidRDefault="00325E1E" w:rsidP="003340DD">
            <w:pPr>
              <w:pStyle w:val="TableTextRight"/>
              <w:rPr>
                <w:color w:val="000000"/>
              </w:rPr>
            </w:pPr>
            <w:r>
              <w:rPr>
                <w:color w:val="000000"/>
              </w:rPr>
              <w:noBreakHyphen/>
            </w:r>
            <w:r w:rsidR="006F3CBF" w:rsidRPr="006F3CBF">
              <w:rPr>
                <w:color w:val="000000"/>
              </w:rPr>
              <w:t>233</w:t>
            </w:r>
          </w:p>
        </w:tc>
      </w:tr>
      <w:tr w:rsidR="006F3CBF" w:rsidRPr="006F3CBF" w14:paraId="515A6682" w14:textId="77777777" w:rsidTr="008356B8">
        <w:trPr>
          <w:trHeight w:val="225"/>
        </w:trPr>
        <w:tc>
          <w:tcPr>
            <w:tcW w:w="2977" w:type="dxa"/>
            <w:shd w:val="clear" w:color="000000" w:fill="FFFFFF"/>
            <w:vAlign w:val="center"/>
            <w:hideMark/>
          </w:tcPr>
          <w:p w14:paraId="07A8981C" w14:textId="77777777" w:rsidR="006F3CBF" w:rsidRPr="006B4293" w:rsidRDefault="006F3CBF" w:rsidP="00E43CE2">
            <w:pPr>
              <w:pStyle w:val="TableTextIndented"/>
              <w:rPr>
                <w:rFonts w:cs="Arial"/>
                <w:szCs w:val="16"/>
              </w:rPr>
            </w:pPr>
            <w:r w:rsidRPr="006B4293">
              <w:rPr>
                <w:rFonts w:cs="Arial"/>
                <w:szCs w:val="16"/>
              </w:rPr>
              <w:t>Other economic revaluations</w:t>
            </w:r>
          </w:p>
        </w:tc>
        <w:tc>
          <w:tcPr>
            <w:tcW w:w="567" w:type="dxa"/>
            <w:shd w:val="clear" w:color="000000" w:fill="FFFFFF"/>
            <w:noWrap/>
            <w:vAlign w:val="center"/>
            <w:hideMark/>
          </w:tcPr>
          <w:p w14:paraId="69E02510" w14:textId="4C25A60F" w:rsidR="006F3CBF" w:rsidRPr="006F3CBF" w:rsidRDefault="006F3CBF" w:rsidP="008B7D30">
            <w:pPr>
              <w:pStyle w:val="TableTextCentred"/>
              <w:rPr>
                <w:color w:val="000000"/>
              </w:rPr>
            </w:pPr>
          </w:p>
        </w:tc>
        <w:tc>
          <w:tcPr>
            <w:tcW w:w="950" w:type="dxa"/>
            <w:shd w:val="clear" w:color="000000" w:fill="FFFFFF"/>
            <w:noWrap/>
            <w:vAlign w:val="center"/>
            <w:hideMark/>
          </w:tcPr>
          <w:p w14:paraId="56FACE2C" w14:textId="77777777" w:rsidR="006F3CBF" w:rsidRPr="006F3CBF" w:rsidRDefault="006F3CBF" w:rsidP="003340DD">
            <w:pPr>
              <w:pStyle w:val="TableTextRight"/>
              <w:rPr>
                <w:color w:val="000000"/>
              </w:rPr>
            </w:pPr>
            <w:r w:rsidRPr="006F3CBF">
              <w:rPr>
                <w:color w:val="000000"/>
              </w:rPr>
              <w:t>736</w:t>
            </w:r>
          </w:p>
        </w:tc>
        <w:tc>
          <w:tcPr>
            <w:tcW w:w="804" w:type="dxa"/>
            <w:shd w:val="clear" w:color="000000" w:fill="E6F2FF"/>
            <w:noWrap/>
            <w:vAlign w:val="center"/>
            <w:hideMark/>
          </w:tcPr>
          <w:p w14:paraId="6EC45562" w14:textId="77777777" w:rsidR="006F3CBF" w:rsidRPr="006F3CBF" w:rsidRDefault="006F3CBF" w:rsidP="003340DD">
            <w:pPr>
              <w:pStyle w:val="TableTextRight"/>
              <w:rPr>
                <w:color w:val="000000"/>
              </w:rPr>
            </w:pPr>
            <w:r w:rsidRPr="006F3CBF">
              <w:rPr>
                <w:color w:val="000000"/>
              </w:rPr>
              <w:t>2,228</w:t>
            </w:r>
          </w:p>
        </w:tc>
        <w:tc>
          <w:tcPr>
            <w:tcW w:w="804" w:type="dxa"/>
            <w:shd w:val="clear" w:color="000000" w:fill="FFFFFF"/>
            <w:noWrap/>
            <w:vAlign w:val="center"/>
            <w:hideMark/>
          </w:tcPr>
          <w:p w14:paraId="7D0C83EA" w14:textId="77777777" w:rsidR="006F3CBF" w:rsidRPr="006F3CBF" w:rsidRDefault="006F3CBF" w:rsidP="003340DD">
            <w:pPr>
              <w:pStyle w:val="TableTextRight"/>
              <w:rPr>
                <w:color w:val="000000"/>
              </w:rPr>
            </w:pPr>
            <w:r w:rsidRPr="006F3CBF">
              <w:rPr>
                <w:color w:val="000000"/>
              </w:rPr>
              <w:t>165</w:t>
            </w:r>
          </w:p>
        </w:tc>
        <w:tc>
          <w:tcPr>
            <w:tcW w:w="804" w:type="dxa"/>
            <w:shd w:val="clear" w:color="000000" w:fill="FFFFFF"/>
            <w:noWrap/>
            <w:vAlign w:val="center"/>
            <w:hideMark/>
          </w:tcPr>
          <w:p w14:paraId="642D96D3" w14:textId="77777777" w:rsidR="006F3CBF" w:rsidRPr="006F3CBF" w:rsidRDefault="006F3CBF" w:rsidP="003340DD">
            <w:pPr>
              <w:pStyle w:val="TableTextRight"/>
              <w:rPr>
                <w:color w:val="000000"/>
              </w:rPr>
            </w:pPr>
            <w:r w:rsidRPr="006F3CBF">
              <w:rPr>
                <w:color w:val="000000"/>
              </w:rPr>
              <w:t>188</w:t>
            </w:r>
          </w:p>
        </w:tc>
        <w:tc>
          <w:tcPr>
            <w:tcW w:w="804" w:type="dxa"/>
            <w:shd w:val="clear" w:color="000000" w:fill="FFFFFF"/>
            <w:noWrap/>
            <w:vAlign w:val="center"/>
            <w:hideMark/>
          </w:tcPr>
          <w:p w14:paraId="44000F5E" w14:textId="77777777" w:rsidR="006F3CBF" w:rsidRPr="006F3CBF" w:rsidRDefault="006F3CBF" w:rsidP="003340DD">
            <w:pPr>
              <w:pStyle w:val="TableTextRight"/>
              <w:rPr>
                <w:color w:val="000000"/>
              </w:rPr>
            </w:pPr>
            <w:r w:rsidRPr="006F3CBF">
              <w:rPr>
                <w:color w:val="000000"/>
              </w:rPr>
              <w:t>175</w:t>
            </w:r>
          </w:p>
        </w:tc>
      </w:tr>
      <w:tr w:rsidR="006F3CBF" w:rsidRPr="006F3CBF" w14:paraId="680C8567" w14:textId="77777777" w:rsidTr="008356B8">
        <w:trPr>
          <w:trHeight w:val="225"/>
        </w:trPr>
        <w:tc>
          <w:tcPr>
            <w:tcW w:w="2977" w:type="dxa"/>
            <w:shd w:val="clear" w:color="000000" w:fill="FFFFFF"/>
            <w:vAlign w:val="center"/>
            <w:hideMark/>
          </w:tcPr>
          <w:p w14:paraId="141B6F82" w14:textId="1C8E8379" w:rsidR="006F3CBF" w:rsidRPr="00E43CE2" w:rsidRDefault="006F3CBF" w:rsidP="00E02CA5">
            <w:pPr>
              <w:pStyle w:val="TableTextLeft"/>
              <w:rPr>
                <w:b/>
              </w:rPr>
            </w:pPr>
            <w:r w:rsidRPr="00E43CE2">
              <w:rPr>
                <w:b/>
              </w:rPr>
              <w:t xml:space="preserve">Total other economic flows </w:t>
            </w:r>
            <w:r w:rsidR="00325E1E">
              <w:rPr>
                <w:b/>
              </w:rPr>
              <w:noBreakHyphen/>
            </w:r>
          </w:p>
        </w:tc>
        <w:tc>
          <w:tcPr>
            <w:tcW w:w="567" w:type="dxa"/>
            <w:shd w:val="clear" w:color="000000" w:fill="FFFFFF"/>
            <w:noWrap/>
            <w:vAlign w:val="center"/>
            <w:hideMark/>
          </w:tcPr>
          <w:p w14:paraId="7B917F60" w14:textId="5B605A79" w:rsidR="006F3CBF" w:rsidRPr="006F3CBF" w:rsidRDefault="006F3CBF" w:rsidP="008B7D30">
            <w:pPr>
              <w:pStyle w:val="TableTextCentred"/>
              <w:rPr>
                <w:color w:val="000000"/>
              </w:rPr>
            </w:pPr>
          </w:p>
        </w:tc>
        <w:tc>
          <w:tcPr>
            <w:tcW w:w="950" w:type="dxa"/>
            <w:shd w:val="clear" w:color="000000" w:fill="FFFFFF"/>
            <w:noWrap/>
            <w:vAlign w:val="center"/>
            <w:hideMark/>
          </w:tcPr>
          <w:p w14:paraId="17D08C13" w14:textId="77777777" w:rsidR="006F3CBF" w:rsidRPr="006F3CBF" w:rsidRDefault="006F3CBF" w:rsidP="003340DD">
            <w:pPr>
              <w:pStyle w:val="TableTextRight"/>
              <w:rPr>
                <w:color w:val="000000"/>
              </w:rPr>
            </w:pPr>
            <w:r w:rsidRPr="006F3CBF">
              <w:rPr>
                <w:color w:val="000000"/>
              </w:rPr>
              <w:t> </w:t>
            </w:r>
          </w:p>
        </w:tc>
        <w:tc>
          <w:tcPr>
            <w:tcW w:w="804" w:type="dxa"/>
            <w:shd w:val="clear" w:color="000000" w:fill="E6F2FF"/>
            <w:noWrap/>
            <w:vAlign w:val="center"/>
            <w:hideMark/>
          </w:tcPr>
          <w:p w14:paraId="369A74AB" w14:textId="77777777" w:rsidR="006F3CBF" w:rsidRPr="006F3CBF" w:rsidRDefault="006F3CBF" w:rsidP="003340DD">
            <w:pPr>
              <w:pStyle w:val="TableTextRight"/>
              <w:rPr>
                <w:color w:val="000000"/>
              </w:rPr>
            </w:pPr>
            <w:r w:rsidRPr="006F3CBF">
              <w:rPr>
                <w:color w:val="000000"/>
              </w:rPr>
              <w:t> </w:t>
            </w:r>
          </w:p>
        </w:tc>
        <w:tc>
          <w:tcPr>
            <w:tcW w:w="804" w:type="dxa"/>
            <w:shd w:val="clear" w:color="000000" w:fill="FFFFFF"/>
            <w:noWrap/>
            <w:vAlign w:val="center"/>
            <w:hideMark/>
          </w:tcPr>
          <w:p w14:paraId="5E7A8DB3" w14:textId="77777777" w:rsidR="006F3CBF" w:rsidRPr="006F3CBF" w:rsidRDefault="006F3CBF" w:rsidP="003340DD">
            <w:pPr>
              <w:pStyle w:val="TableTextRight"/>
              <w:rPr>
                <w:color w:val="000000"/>
              </w:rPr>
            </w:pPr>
            <w:r w:rsidRPr="006F3CBF">
              <w:rPr>
                <w:color w:val="000000"/>
              </w:rPr>
              <w:t> </w:t>
            </w:r>
          </w:p>
        </w:tc>
        <w:tc>
          <w:tcPr>
            <w:tcW w:w="804" w:type="dxa"/>
            <w:shd w:val="clear" w:color="000000" w:fill="FFFFFF"/>
            <w:noWrap/>
            <w:vAlign w:val="center"/>
            <w:hideMark/>
          </w:tcPr>
          <w:p w14:paraId="1E9AF41B" w14:textId="77777777" w:rsidR="006F3CBF" w:rsidRPr="006F3CBF" w:rsidRDefault="006F3CBF" w:rsidP="003340DD">
            <w:pPr>
              <w:pStyle w:val="TableTextRight"/>
              <w:rPr>
                <w:color w:val="000000"/>
              </w:rPr>
            </w:pPr>
            <w:r w:rsidRPr="006F3CBF">
              <w:rPr>
                <w:color w:val="000000"/>
              </w:rPr>
              <w:t> </w:t>
            </w:r>
          </w:p>
        </w:tc>
        <w:tc>
          <w:tcPr>
            <w:tcW w:w="804" w:type="dxa"/>
            <w:shd w:val="clear" w:color="000000" w:fill="FFFFFF"/>
            <w:noWrap/>
            <w:vAlign w:val="center"/>
            <w:hideMark/>
          </w:tcPr>
          <w:p w14:paraId="39936EC0" w14:textId="77777777" w:rsidR="006F3CBF" w:rsidRPr="006F3CBF" w:rsidRDefault="006F3CBF" w:rsidP="003340DD">
            <w:pPr>
              <w:pStyle w:val="TableTextRight"/>
              <w:rPr>
                <w:color w:val="000000"/>
              </w:rPr>
            </w:pPr>
            <w:r w:rsidRPr="006F3CBF">
              <w:rPr>
                <w:color w:val="000000"/>
              </w:rPr>
              <w:t> </w:t>
            </w:r>
          </w:p>
        </w:tc>
      </w:tr>
      <w:tr w:rsidR="006F3CBF" w:rsidRPr="006F3CBF" w14:paraId="38495C0F" w14:textId="77777777" w:rsidTr="002D6E82">
        <w:trPr>
          <w:trHeight w:val="235"/>
        </w:trPr>
        <w:tc>
          <w:tcPr>
            <w:tcW w:w="2977" w:type="dxa"/>
            <w:shd w:val="clear" w:color="000000" w:fill="FFFFFF"/>
            <w:vAlign w:val="center"/>
            <w:hideMark/>
          </w:tcPr>
          <w:p w14:paraId="4366AF76" w14:textId="77777777" w:rsidR="006F3CBF" w:rsidRPr="006B4293" w:rsidRDefault="006F3CBF" w:rsidP="00E43CE2">
            <w:pPr>
              <w:pStyle w:val="TableTextIndented"/>
              <w:rPr>
                <w:rFonts w:cs="Arial"/>
                <w:b/>
                <w:szCs w:val="16"/>
              </w:rPr>
            </w:pPr>
            <w:r w:rsidRPr="006B4293">
              <w:rPr>
                <w:rFonts w:cs="Arial"/>
                <w:b/>
                <w:szCs w:val="16"/>
              </w:rPr>
              <w:t>included in equity</w:t>
            </w:r>
          </w:p>
        </w:tc>
        <w:tc>
          <w:tcPr>
            <w:tcW w:w="567" w:type="dxa"/>
            <w:shd w:val="clear" w:color="000000" w:fill="FFFFFF"/>
            <w:noWrap/>
            <w:vAlign w:val="center"/>
            <w:hideMark/>
          </w:tcPr>
          <w:p w14:paraId="5566230C" w14:textId="1A7BC9AC" w:rsidR="006F3CBF" w:rsidRPr="00E4340C" w:rsidRDefault="006F3CBF" w:rsidP="00E4340C">
            <w:pPr>
              <w:pStyle w:val="TableTextCentred"/>
            </w:pPr>
          </w:p>
        </w:tc>
        <w:tc>
          <w:tcPr>
            <w:tcW w:w="950" w:type="dxa"/>
            <w:shd w:val="clear" w:color="000000" w:fill="FFFFFF"/>
            <w:noWrap/>
            <w:vAlign w:val="center"/>
            <w:hideMark/>
          </w:tcPr>
          <w:p w14:paraId="4A5B73C0" w14:textId="6C05C7E7" w:rsidR="006F3CBF" w:rsidRPr="006F3CBF" w:rsidRDefault="00325E1E" w:rsidP="003340DD">
            <w:pPr>
              <w:pStyle w:val="TableTextRight"/>
              <w:rPr>
                <w:b/>
                <w:color w:val="000000"/>
              </w:rPr>
            </w:pPr>
            <w:r>
              <w:rPr>
                <w:b/>
                <w:bCs/>
                <w:color w:val="000000"/>
              </w:rPr>
              <w:noBreakHyphen/>
            </w:r>
            <w:r w:rsidR="006F3CBF" w:rsidRPr="006F3CBF">
              <w:rPr>
                <w:b/>
                <w:color w:val="000000"/>
              </w:rPr>
              <w:t>1,051</w:t>
            </w:r>
          </w:p>
        </w:tc>
        <w:tc>
          <w:tcPr>
            <w:tcW w:w="804" w:type="dxa"/>
            <w:shd w:val="clear" w:color="000000" w:fill="E6F2FF"/>
            <w:noWrap/>
            <w:vAlign w:val="center"/>
            <w:hideMark/>
          </w:tcPr>
          <w:p w14:paraId="31747846" w14:textId="77777777" w:rsidR="006F3CBF" w:rsidRPr="006F3CBF" w:rsidRDefault="006F3CBF" w:rsidP="003340DD">
            <w:pPr>
              <w:pStyle w:val="TableTextRight"/>
              <w:rPr>
                <w:b/>
                <w:color w:val="000000"/>
              </w:rPr>
            </w:pPr>
            <w:r w:rsidRPr="006F3CBF">
              <w:rPr>
                <w:b/>
                <w:color w:val="000000"/>
              </w:rPr>
              <w:t>1,608</w:t>
            </w:r>
          </w:p>
        </w:tc>
        <w:tc>
          <w:tcPr>
            <w:tcW w:w="804" w:type="dxa"/>
            <w:shd w:val="clear" w:color="000000" w:fill="FFFFFF"/>
            <w:noWrap/>
            <w:vAlign w:val="center"/>
            <w:hideMark/>
          </w:tcPr>
          <w:p w14:paraId="5C36E201" w14:textId="187A30B4" w:rsidR="006F3CBF" w:rsidRPr="006F3CBF" w:rsidRDefault="00325E1E" w:rsidP="003340DD">
            <w:pPr>
              <w:pStyle w:val="TableTextRight"/>
              <w:rPr>
                <w:b/>
                <w:color w:val="000000"/>
              </w:rPr>
            </w:pPr>
            <w:r>
              <w:rPr>
                <w:b/>
                <w:bCs/>
                <w:color w:val="000000"/>
              </w:rPr>
              <w:noBreakHyphen/>
            </w:r>
            <w:r w:rsidR="006F3CBF" w:rsidRPr="006F3CBF">
              <w:rPr>
                <w:b/>
                <w:color w:val="000000"/>
              </w:rPr>
              <w:t>65</w:t>
            </w:r>
          </w:p>
        </w:tc>
        <w:tc>
          <w:tcPr>
            <w:tcW w:w="804" w:type="dxa"/>
            <w:shd w:val="clear" w:color="000000" w:fill="FFFFFF"/>
            <w:noWrap/>
            <w:vAlign w:val="center"/>
            <w:hideMark/>
          </w:tcPr>
          <w:p w14:paraId="408932A1" w14:textId="1B8D4AA8" w:rsidR="006F3CBF" w:rsidRPr="006F3CBF" w:rsidRDefault="00325E1E" w:rsidP="003340DD">
            <w:pPr>
              <w:pStyle w:val="TableTextRight"/>
              <w:rPr>
                <w:b/>
                <w:color w:val="000000"/>
              </w:rPr>
            </w:pPr>
            <w:r>
              <w:rPr>
                <w:b/>
                <w:bCs/>
                <w:color w:val="000000"/>
              </w:rPr>
              <w:noBreakHyphen/>
            </w:r>
            <w:r w:rsidR="006F3CBF" w:rsidRPr="006F3CBF">
              <w:rPr>
                <w:b/>
                <w:color w:val="000000"/>
              </w:rPr>
              <w:t>43</w:t>
            </w:r>
          </w:p>
        </w:tc>
        <w:tc>
          <w:tcPr>
            <w:tcW w:w="804" w:type="dxa"/>
            <w:shd w:val="clear" w:color="000000" w:fill="FFFFFF"/>
            <w:noWrap/>
            <w:vAlign w:val="center"/>
            <w:hideMark/>
          </w:tcPr>
          <w:p w14:paraId="6A682466" w14:textId="4099910B" w:rsidR="006F3CBF" w:rsidRPr="006F3CBF" w:rsidRDefault="00325E1E" w:rsidP="003340DD">
            <w:pPr>
              <w:pStyle w:val="TableTextRight"/>
              <w:rPr>
                <w:b/>
                <w:color w:val="000000"/>
              </w:rPr>
            </w:pPr>
            <w:r>
              <w:rPr>
                <w:b/>
                <w:bCs/>
                <w:color w:val="000000"/>
              </w:rPr>
              <w:noBreakHyphen/>
            </w:r>
            <w:r w:rsidR="006F3CBF" w:rsidRPr="006F3CBF">
              <w:rPr>
                <w:b/>
                <w:color w:val="000000"/>
              </w:rPr>
              <w:t>58</w:t>
            </w:r>
          </w:p>
        </w:tc>
      </w:tr>
      <w:tr w:rsidR="006F3CBF" w:rsidRPr="006F3CBF" w14:paraId="2D674FBC" w14:textId="77777777" w:rsidTr="008356B8">
        <w:trPr>
          <w:trHeight w:val="225"/>
        </w:trPr>
        <w:tc>
          <w:tcPr>
            <w:tcW w:w="2977" w:type="dxa"/>
            <w:shd w:val="clear" w:color="000000" w:fill="FFFFFF"/>
            <w:noWrap/>
            <w:vAlign w:val="center"/>
            <w:hideMark/>
          </w:tcPr>
          <w:p w14:paraId="1F1CE8A2" w14:textId="679C33DE" w:rsidR="006F3CBF" w:rsidRPr="00E43CE2" w:rsidRDefault="006F3CBF" w:rsidP="00E02CA5">
            <w:pPr>
              <w:pStyle w:val="TableTextLeft"/>
              <w:rPr>
                <w:b/>
              </w:rPr>
            </w:pPr>
            <w:r w:rsidRPr="00E43CE2">
              <w:rPr>
                <w:b/>
              </w:rPr>
              <w:t xml:space="preserve">Comprehensive result </w:t>
            </w:r>
            <w:r w:rsidR="00480091" w:rsidRPr="00E43CE2">
              <w:rPr>
                <w:b/>
              </w:rPr>
              <w:t>–</w:t>
            </w:r>
            <w:r w:rsidRPr="00E43CE2">
              <w:rPr>
                <w:b/>
              </w:rPr>
              <w:t xml:space="preserve"> </w:t>
            </w:r>
          </w:p>
        </w:tc>
        <w:tc>
          <w:tcPr>
            <w:tcW w:w="567" w:type="dxa"/>
            <w:shd w:val="clear" w:color="000000" w:fill="FFFFFF"/>
            <w:noWrap/>
            <w:vAlign w:val="center"/>
            <w:hideMark/>
          </w:tcPr>
          <w:p w14:paraId="331548C6" w14:textId="55C57D5F" w:rsidR="006F3CBF" w:rsidRPr="00E4340C" w:rsidRDefault="006F3CBF" w:rsidP="00E4340C">
            <w:pPr>
              <w:pStyle w:val="TableTextCentred"/>
            </w:pPr>
          </w:p>
        </w:tc>
        <w:tc>
          <w:tcPr>
            <w:tcW w:w="950" w:type="dxa"/>
            <w:shd w:val="clear" w:color="000000" w:fill="FFFFFF"/>
            <w:noWrap/>
            <w:vAlign w:val="center"/>
            <w:hideMark/>
          </w:tcPr>
          <w:p w14:paraId="52959711"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E6F2FF"/>
            <w:noWrap/>
            <w:vAlign w:val="center"/>
            <w:hideMark/>
          </w:tcPr>
          <w:p w14:paraId="4FD1376C"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284818AE"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70E79B02"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003286BA" w14:textId="77777777" w:rsidR="006F3CBF" w:rsidRPr="006F3CBF" w:rsidRDefault="006F3CBF" w:rsidP="003340DD">
            <w:pPr>
              <w:pStyle w:val="TableTextRight"/>
              <w:rPr>
                <w:b/>
                <w:color w:val="000000"/>
              </w:rPr>
            </w:pPr>
            <w:r w:rsidRPr="006F3CBF">
              <w:rPr>
                <w:b/>
                <w:color w:val="000000"/>
              </w:rPr>
              <w:t> </w:t>
            </w:r>
          </w:p>
        </w:tc>
      </w:tr>
      <w:tr w:rsidR="006F3CBF" w:rsidRPr="006F3CBF" w14:paraId="6B1F1DE8" w14:textId="77777777" w:rsidTr="002D6E82">
        <w:trPr>
          <w:trHeight w:val="340"/>
        </w:trPr>
        <w:tc>
          <w:tcPr>
            <w:tcW w:w="2977" w:type="dxa"/>
            <w:shd w:val="clear" w:color="000000" w:fill="FFFFFF"/>
            <w:noWrap/>
            <w:vAlign w:val="center"/>
            <w:hideMark/>
          </w:tcPr>
          <w:p w14:paraId="6F6AA1AF" w14:textId="77777777" w:rsidR="006F3CBF" w:rsidRPr="006B4293" w:rsidRDefault="006F3CBF" w:rsidP="00E43CE2">
            <w:pPr>
              <w:pStyle w:val="TableTextIndented"/>
              <w:rPr>
                <w:rFonts w:cs="Arial"/>
                <w:b/>
                <w:szCs w:val="16"/>
              </w:rPr>
            </w:pPr>
            <w:r w:rsidRPr="006B4293">
              <w:rPr>
                <w:rFonts w:cs="Arial"/>
                <w:b/>
                <w:szCs w:val="16"/>
              </w:rPr>
              <w:t>Total change in net worth</w:t>
            </w:r>
          </w:p>
        </w:tc>
        <w:tc>
          <w:tcPr>
            <w:tcW w:w="567" w:type="dxa"/>
            <w:shd w:val="clear" w:color="000000" w:fill="FFFFFF"/>
            <w:noWrap/>
            <w:vAlign w:val="center"/>
            <w:hideMark/>
          </w:tcPr>
          <w:p w14:paraId="68C99C40" w14:textId="14678C04" w:rsidR="006F3CBF" w:rsidRPr="00E4340C" w:rsidRDefault="006F3CBF" w:rsidP="00E4340C">
            <w:pPr>
              <w:pStyle w:val="TableTextCentred"/>
            </w:pPr>
          </w:p>
        </w:tc>
        <w:tc>
          <w:tcPr>
            <w:tcW w:w="950" w:type="dxa"/>
            <w:shd w:val="clear" w:color="000000" w:fill="FFFFFF"/>
            <w:noWrap/>
            <w:vAlign w:val="center"/>
            <w:hideMark/>
          </w:tcPr>
          <w:p w14:paraId="197C2FD3" w14:textId="77777777" w:rsidR="006F3CBF" w:rsidRPr="006F3CBF" w:rsidRDefault="006F3CBF" w:rsidP="003340DD">
            <w:pPr>
              <w:pStyle w:val="TableTextRight"/>
              <w:rPr>
                <w:b/>
                <w:color w:val="000000"/>
              </w:rPr>
            </w:pPr>
            <w:r w:rsidRPr="006F3CBF">
              <w:rPr>
                <w:b/>
                <w:color w:val="000000"/>
              </w:rPr>
              <w:t>3,177</w:t>
            </w:r>
          </w:p>
        </w:tc>
        <w:tc>
          <w:tcPr>
            <w:tcW w:w="804" w:type="dxa"/>
            <w:shd w:val="clear" w:color="000000" w:fill="E6F2FF"/>
            <w:noWrap/>
            <w:vAlign w:val="center"/>
            <w:hideMark/>
          </w:tcPr>
          <w:p w14:paraId="4C436CB2" w14:textId="5CF68A68" w:rsidR="006F3CBF" w:rsidRPr="006F3CBF" w:rsidRDefault="00325E1E" w:rsidP="003340DD">
            <w:pPr>
              <w:pStyle w:val="TableTextRight"/>
              <w:rPr>
                <w:b/>
                <w:color w:val="000000"/>
              </w:rPr>
            </w:pPr>
            <w:r>
              <w:rPr>
                <w:b/>
                <w:bCs/>
                <w:color w:val="000000"/>
              </w:rPr>
              <w:noBreakHyphen/>
            </w:r>
            <w:r w:rsidR="006F3CBF" w:rsidRPr="006F3CBF">
              <w:rPr>
                <w:b/>
                <w:color w:val="000000"/>
              </w:rPr>
              <w:t>36,512</w:t>
            </w:r>
          </w:p>
        </w:tc>
        <w:tc>
          <w:tcPr>
            <w:tcW w:w="804" w:type="dxa"/>
            <w:shd w:val="clear" w:color="000000" w:fill="FFFFFF"/>
            <w:noWrap/>
            <w:vAlign w:val="center"/>
            <w:hideMark/>
          </w:tcPr>
          <w:p w14:paraId="51ADC799" w14:textId="2516AA8C" w:rsidR="006F3CBF" w:rsidRPr="006F3CBF" w:rsidRDefault="00325E1E" w:rsidP="003340DD">
            <w:pPr>
              <w:pStyle w:val="TableTextRight"/>
              <w:rPr>
                <w:b/>
                <w:color w:val="000000"/>
              </w:rPr>
            </w:pPr>
            <w:r>
              <w:rPr>
                <w:b/>
                <w:bCs/>
                <w:color w:val="000000"/>
              </w:rPr>
              <w:noBreakHyphen/>
            </w:r>
            <w:r w:rsidR="006F3CBF" w:rsidRPr="006F3CBF">
              <w:rPr>
                <w:b/>
                <w:color w:val="000000"/>
              </w:rPr>
              <w:t>47,974</w:t>
            </w:r>
          </w:p>
        </w:tc>
        <w:tc>
          <w:tcPr>
            <w:tcW w:w="804" w:type="dxa"/>
            <w:shd w:val="clear" w:color="000000" w:fill="FFFFFF"/>
            <w:noWrap/>
            <w:vAlign w:val="center"/>
            <w:hideMark/>
          </w:tcPr>
          <w:p w14:paraId="12CF17BE" w14:textId="28FB47F2" w:rsidR="006F3CBF" w:rsidRPr="006F3CBF" w:rsidRDefault="00325E1E" w:rsidP="003340DD">
            <w:pPr>
              <w:pStyle w:val="TableTextRight"/>
              <w:rPr>
                <w:b/>
                <w:color w:val="000000"/>
              </w:rPr>
            </w:pPr>
            <w:r>
              <w:rPr>
                <w:b/>
                <w:bCs/>
                <w:color w:val="000000"/>
              </w:rPr>
              <w:noBreakHyphen/>
            </w:r>
            <w:r w:rsidR="006F3CBF" w:rsidRPr="006F3CBF">
              <w:rPr>
                <w:b/>
                <w:color w:val="000000"/>
              </w:rPr>
              <w:t>29,035</w:t>
            </w:r>
          </w:p>
        </w:tc>
        <w:tc>
          <w:tcPr>
            <w:tcW w:w="804" w:type="dxa"/>
            <w:shd w:val="clear" w:color="000000" w:fill="FFFFFF"/>
            <w:noWrap/>
            <w:vAlign w:val="center"/>
            <w:hideMark/>
          </w:tcPr>
          <w:p w14:paraId="2DCEA1BA" w14:textId="6F9D8A70" w:rsidR="006F3CBF" w:rsidRPr="006F3CBF" w:rsidRDefault="00325E1E" w:rsidP="003340DD">
            <w:pPr>
              <w:pStyle w:val="TableTextRight"/>
              <w:rPr>
                <w:b/>
                <w:color w:val="000000"/>
              </w:rPr>
            </w:pPr>
            <w:r>
              <w:rPr>
                <w:b/>
                <w:bCs/>
                <w:color w:val="000000"/>
              </w:rPr>
              <w:noBreakHyphen/>
            </w:r>
            <w:r w:rsidR="006F3CBF" w:rsidRPr="006F3CBF">
              <w:rPr>
                <w:b/>
                <w:color w:val="000000"/>
              </w:rPr>
              <w:t>20,816</w:t>
            </w:r>
          </w:p>
        </w:tc>
      </w:tr>
      <w:tr w:rsidR="006F3CBF" w:rsidRPr="006F3CBF" w14:paraId="75DFB1B3" w14:textId="77777777" w:rsidTr="002D6E82">
        <w:trPr>
          <w:trHeight w:val="287"/>
        </w:trPr>
        <w:tc>
          <w:tcPr>
            <w:tcW w:w="2977" w:type="dxa"/>
            <w:shd w:val="clear" w:color="000000" w:fill="FFFFFF"/>
            <w:noWrap/>
            <w:vAlign w:val="center"/>
            <w:hideMark/>
          </w:tcPr>
          <w:p w14:paraId="083ABB6A" w14:textId="77777777" w:rsidR="006F3CBF" w:rsidRPr="00E43CE2" w:rsidRDefault="006F3CBF" w:rsidP="00E02CA5">
            <w:pPr>
              <w:pStyle w:val="TableTextLeft"/>
              <w:rPr>
                <w:b/>
              </w:rPr>
            </w:pPr>
            <w:r w:rsidRPr="00E43CE2">
              <w:rPr>
                <w:b/>
              </w:rPr>
              <w:t>Net operating balance</w:t>
            </w:r>
          </w:p>
        </w:tc>
        <w:tc>
          <w:tcPr>
            <w:tcW w:w="567" w:type="dxa"/>
            <w:shd w:val="clear" w:color="000000" w:fill="FFFFFF"/>
            <w:noWrap/>
            <w:vAlign w:val="center"/>
            <w:hideMark/>
          </w:tcPr>
          <w:p w14:paraId="50347BB1" w14:textId="56BEE40F" w:rsidR="006F3CBF" w:rsidRPr="00E4340C" w:rsidRDefault="006F3CBF" w:rsidP="00E4340C">
            <w:pPr>
              <w:pStyle w:val="TableTextCentred"/>
            </w:pPr>
          </w:p>
        </w:tc>
        <w:tc>
          <w:tcPr>
            <w:tcW w:w="950" w:type="dxa"/>
            <w:shd w:val="clear" w:color="000000" w:fill="FFFFFF"/>
            <w:noWrap/>
            <w:vAlign w:val="center"/>
            <w:hideMark/>
          </w:tcPr>
          <w:p w14:paraId="087A1942" w14:textId="77777777" w:rsidR="006F3CBF" w:rsidRPr="006F3CBF" w:rsidRDefault="006F3CBF" w:rsidP="003340DD">
            <w:pPr>
              <w:pStyle w:val="TableTextRight"/>
              <w:rPr>
                <w:b/>
                <w:color w:val="000000"/>
              </w:rPr>
            </w:pPr>
            <w:r w:rsidRPr="006F3CBF">
              <w:rPr>
                <w:b/>
                <w:color w:val="000000"/>
              </w:rPr>
              <w:t>15,807</w:t>
            </w:r>
          </w:p>
        </w:tc>
        <w:tc>
          <w:tcPr>
            <w:tcW w:w="804" w:type="dxa"/>
            <w:shd w:val="clear" w:color="000000" w:fill="E6F2FF"/>
            <w:noWrap/>
            <w:vAlign w:val="center"/>
            <w:hideMark/>
          </w:tcPr>
          <w:p w14:paraId="4F27B84A" w14:textId="476F4825" w:rsidR="006F3CBF" w:rsidRPr="006F3CBF" w:rsidRDefault="00325E1E" w:rsidP="003340DD">
            <w:pPr>
              <w:pStyle w:val="TableTextRight"/>
              <w:rPr>
                <w:b/>
                <w:color w:val="000000"/>
              </w:rPr>
            </w:pPr>
            <w:r>
              <w:rPr>
                <w:b/>
                <w:bCs/>
                <w:color w:val="000000"/>
              </w:rPr>
              <w:noBreakHyphen/>
            </w:r>
            <w:r w:rsidR="006F3CBF" w:rsidRPr="006F3CBF">
              <w:rPr>
                <w:b/>
                <w:color w:val="000000"/>
              </w:rPr>
              <w:t>23,014</w:t>
            </w:r>
          </w:p>
        </w:tc>
        <w:tc>
          <w:tcPr>
            <w:tcW w:w="804" w:type="dxa"/>
            <w:shd w:val="clear" w:color="000000" w:fill="FFFFFF"/>
            <w:noWrap/>
            <w:vAlign w:val="center"/>
            <w:hideMark/>
          </w:tcPr>
          <w:p w14:paraId="41D5DB61" w14:textId="22FB2CF1" w:rsidR="006F3CBF" w:rsidRPr="006F3CBF" w:rsidRDefault="00325E1E" w:rsidP="003340DD">
            <w:pPr>
              <w:pStyle w:val="TableTextRight"/>
              <w:rPr>
                <w:b/>
                <w:color w:val="000000"/>
              </w:rPr>
            </w:pPr>
            <w:r>
              <w:rPr>
                <w:b/>
                <w:bCs/>
                <w:color w:val="000000"/>
              </w:rPr>
              <w:noBreakHyphen/>
            </w:r>
            <w:r w:rsidR="006F3CBF" w:rsidRPr="006F3CBF">
              <w:rPr>
                <w:b/>
                <w:color w:val="000000"/>
              </w:rPr>
              <w:t>34,550</w:t>
            </w:r>
          </w:p>
        </w:tc>
        <w:tc>
          <w:tcPr>
            <w:tcW w:w="804" w:type="dxa"/>
            <w:shd w:val="clear" w:color="000000" w:fill="FFFFFF"/>
            <w:noWrap/>
            <w:vAlign w:val="center"/>
            <w:hideMark/>
          </w:tcPr>
          <w:p w14:paraId="444DF2AD" w14:textId="78025A5F" w:rsidR="006F3CBF" w:rsidRPr="006F3CBF" w:rsidRDefault="00325E1E" w:rsidP="003340DD">
            <w:pPr>
              <w:pStyle w:val="TableTextRight"/>
              <w:rPr>
                <w:b/>
                <w:color w:val="000000"/>
              </w:rPr>
            </w:pPr>
            <w:r>
              <w:rPr>
                <w:b/>
                <w:bCs/>
                <w:color w:val="000000"/>
              </w:rPr>
              <w:noBreakHyphen/>
            </w:r>
            <w:r w:rsidR="006F3CBF" w:rsidRPr="006F3CBF">
              <w:rPr>
                <w:b/>
                <w:color w:val="000000"/>
              </w:rPr>
              <w:t>17,526</w:t>
            </w:r>
          </w:p>
        </w:tc>
        <w:tc>
          <w:tcPr>
            <w:tcW w:w="804" w:type="dxa"/>
            <w:shd w:val="clear" w:color="000000" w:fill="FFFFFF"/>
            <w:noWrap/>
            <w:vAlign w:val="center"/>
            <w:hideMark/>
          </w:tcPr>
          <w:p w14:paraId="7D63B9E6" w14:textId="1B7091F5" w:rsidR="006F3CBF" w:rsidRPr="006F3CBF" w:rsidRDefault="00325E1E" w:rsidP="003340DD">
            <w:pPr>
              <w:pStyle w:val="TableTextRight"/>
              <w:rPr>
                <w:b/>
                <w:color w:val="000000"/>
              </w:rPr>
            </w:pPr>
            <w:r>
              <w:rPr>
                <w:b/>
                <w:bCs/>
                <w:color w:val="000000"/>
              </w:rPr>
              <w:noBreakHyphen/>
            </w:r>
            <w:r w:rsidR="006F3CBF" w:rsidRPr="006F3CBF">
              <w:rPr>
                <w:b/>
                <w:color w:val="000000"/>
              </w:rPr>
              <w:t>10,127</w:t>
            </w:r>
          </w:p>
        </w:tc>
      </w:tr>
      <w:tr w:rsidR="006F3CBF" w:rsidRPr="006F3CBF" w14:paraId="40336D77" w14:textId="77777777" w:rsidTr="008356B8">
        <w:trPr>
          <w:trHeight w:val="225"/>
        </w:trPr>
        <w:tc>
          <w:tcPr>
            <w:tcW w:w="2977" w:type="dxa"/>
            <w:shd w:val="clear" w:color="000000" w:fill="FFFFFF"/>
            <w:noWrap/>
            <w:vAlign w:val="center"/>
            <w:hideMark/>
          </w:tcPr>
          <w:p w14:paraId="5A31E850" w14:textId="282C30A0" w:rsidR="00600386" w:rsidRDefault="006F3CBF" w:rsidP="00E02CA5">
            <w:pPr>
              <w:pStyle w:val="TableTextLeft"/>
              <w:rPr>
                <w:b/>
              </w:rPr>
            </w:pPr>
            <w:r w:rsidRPr="00E43CE2">
              <w:rPr>
                <w:b/>
              </w:rPr>
              <w:t>Net acquisition of non</w:t>
            </w:r>
            <w:r w:rsidR="00325E1E">
              <w:rPr>
                <w:b/>
              </w:rPr>
              <w:noBreakHyphen/>
            </w:r>
            <w:r w:rsidRPr="00E43CE2">
              <w:rPr>
                <w:b/>
              </w:rPr>
              <w:t>financial</w:t>
            </w:r>
          </w:p>
          <w:p w14:paraId="5CD62980" w14:textId="2A6B5156" w:rsidR="006F3CBF" w:rsidRPr="00E43CE2" w:rsidRDefault="006F3CBF" w:rsidP="00724953">
            <w:pPr>
              <w:pStyle w:val="TableTextIndented"/>
              <w:rPr>
                <w:b/>
              </w:rPr>
            </w:pPr>
            <w:r w:rsidRPr="00724953">
              <w:rPr>
                <w:rFonts w:cs="Arial"/>
                <w:b/>
                <w:szCs w:val="16"/>
              </w:rPr>
              <w:t>assets</w:t>
            </w:r>
          </w:p>
        </w:tc>
        <w:tc>
          <w:tcPr>
            <w:tcW w:w="567" w:type="dxa"/>
            <w:shd w:val="clear" w:color="000000" w:fill="FFFFFF"/>
            <w:noWrap/>
            <w:vAlign w:val="center"/>
            <w:hideMark/>
          </w:tcPr>
          <w:p w14:paraId="1F02F116" w14:textId="557EAA89" w:rsidR="006F3CBF" w:rsidRPr="00E4340C" w:rsidRDefault="006F3CBF" w:rsidP="00E4340C">
            <w:pPr>
              <w:pStyle w:val="TableTextCentred"/>
            </w:pPr>
          </w:p>
        </w:tc>
        <w:tc>
          <w:tcPr>
            <w:tcW w:w="950" w:type="dxa"/>
            <w:shd w:val="clear" w:color="000000" w:fill="FFFFFF"/>
            <w:noWrap/>
            <w:vAlign w:val="center"/>
            <w:hideMark/>
          </w:tcPr>
          <w:p w14:paraId="4EE7ADCF"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E6F2FF"/>
            <w:noWrap/>
            <w:vAlign w:val="center"/>
            <w:hideMark/>
          </w:tcPr>
          <w:p w14:paraId="2903CFB8"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12448071"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6900242C"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4578A3DF" w14:textId="77777777" w:rsidR="006F3CBF" w:rsidRPr="006F3CBF" w:rsidRDefault="006F3CBF" w:rsidP="003340DD">
            <w:pPr>
              <w:pStyle w:val="TableTextRight"/>
              <w:rPr>
                <w:b/>
                <w:color w:val="000000"/>
              </w:rPr>
            </w:pPr>
            <w:r w:rsidRPr="006F3CBF">
              <w:rPr>
                <w:b/>
                <w:color w:val="000000"/>
              </w:rPr>
              <w:t> </w:t>
            </w:r>
          </w:p>
        </w:tc>
      </w:tr>
      <w:tr w:rsidR="006F3CBF" w:rsidRPr="006F3CBF" w14:paraId="6E093F57" w14:textId="77777777" w:rsidTr="008356B8">
        <w:trPr>
          <w:trHeight w:val="225"/>
        </w:trPr>
        <w:tc>
          <w:tcPr>
            <w:tcW w:w="2977" w:type="dxa"/>
            <w:shd w:val="clear" w:color="000000" w:fill="FFFFFF"/>
            <w:vAlign w:val="center"/>
            <w:hideMark/>
          </w:tcPr>
          <w:p w14:paraId="0FFB44B3" w14:textId="63B0C9D5" w:rsidR="006F3CBF" w:rsidRPr="006F3CBF" w:rsidRDefault="006F3CBF" w:rsidP="00E02CA5">
            <w:pPr>
              <w:pStyle w:val="TableTextLeft"/>
            </w:pPr>
            <w:r w:rsidRPr="006F3CBF">
              <w:t>Purchases of non</w:t>
            </w:r>
            <w:r w:rsidR="00325E1E">
              <w:noBreakHyphen/>
            </w:r>
            <w:r w:rsidRPr="006F3CBF">
              <w:t>financial assets</w:t>
            </w:r>
          </w:p>
        </w:tc>
        <w:tc>
          <w:tcPr>
            <w:tcW w:w="567" w:type="dxa"/>
            <w:shd w:val="clear" w:color="000000" w:fill="FFFFFF"/>
            <w:vAlign w:val="center"/>
            <w:hideMark/>
          </w:tcPr>
          <w:p w14:paraId="35875208" w14:textId="77611E83" w:rsidR="006F3CBF" w:rsidRPr="006F3CBF" w:rsidRDefault="006F3CBF" w:rsidP="008B7D30">
            <w:pPr>
              <w:pStyle w:val="TableTextCentred"/>
              <w:rPr>
                <w:color w:val="000000"/>
              </w:rPr>
            </w:pPr>
          </w:p>
        </w:tc>
        <w:tc>
          <w:tcPr>
            <w:tcW w:w="950" w:type="dxa"/>
            <w:shd w:val="clear" w:color="000000" w:fill="FFFFFF"/>
            <w:noWrap/>
            <w:vAlign w:val="center"/>
            <w:hideMark/>
          </w:tcPr>
          <w:p w14:paraId="2362CFEE" w14:textId="77777777" w:rsidR="006F3CBF" w:rsidRPr="006F3CBF" w:rsidRDefault="006F3CBF" w:rsidP="003340DD">
            <w:pPr>
              <w:pStyle w:val="TableTextRight"/>
              <w:rPr>
                <w:color w:val="000000"/>
              </w:rPr>
            </w:pPr>
            <w:r w:rsidRPr="006F3CBF">
              <w:rPr>
                <w:color w:val="000000"/>
              </w:rPr>
              <w:t>21,771</w:t>
            </w:r>
          </w:p>
        </w:tc>
        <w:tc>
          <w:tcPr>
            <w:tcW w:w="804" w:type="dxa"/>
            <w:shd w:val="clear" w:color="000000" w:fill="E6F2FF"/>
            <w:noWrap/>
            <w:vAlign w:val="center"/>
            <w:hideMark/>
          </w:tcPr>
          <w:p w14:paraId="20CF9AD4" w14:textId="77777777" w:rsidR="006F3CBF" w:rsidRPr="006F3CBF" w:rsidRDefault="006F3CBF" w:rsidP="003340DD">
            <w:pPr>
              <w:pStyle w:val="TableTextRight"/>
              <w:rPr>
                <w:color w:val="000000"/>
              </w:rPr>
            </w:pPr>
            <w:r w:rsidRPr="006F3CBF">
              <w:rPr>
                <w:color w:val="000000"/>
              </w:rPr>
              <w:t>21,960</w:t>
            </w:r>
          </w:p>
        </w:tc>
        <w:tc>
          <w:tcPr>
            <w:tcW w:w="804" w:type="dxa"/>
            <w:shd w:val="clear" w:color="000000" w:fill="FFFFFF"/>
            <w:noWrap/>
            <w:vAlign w:val="center"/>
            <w:hideMark/>
          </w:tcPr>
          <w:p w14:paraId="577387CA" w14:textId="77777777" w:rsidR="006F3CBF" w:rsidRPr="006F3CBF" w:rsidRDefault="006F3CBF" w:rsidP="003340DD">
            <w:pPr>
              <w:pStyle w:val="TableTextRight"/>
              <w:rPr>
                <w:color w:val="000000"/>
              </w:rPr>
            </w:pPr>
            <w:r w:rsidRPr="006F3CBF">
              <w:rPr>
                <w:color w:val="000000"/>
              </w:rPr>
              <w:t>20,556</w:t>
            </w:r>
          </w:p>
        </w:tc>
        <w:tc>
          <w:tcPr>
            <w:tcW w:w="804" w:type="dxa"/>
            <w:shd w:val="clear" w:color="000000" w:fill="FFFFFF"/>
            <w:noWrap/>
            <w:vAlign w:val="center"/>
            <w:hideMark/>
          </w:tcPr>
          <w:p w14:paraId="062D22E2" w14:textId="77777777" w:rsidR="006F3CBF" w:rsidRPr="006F3CBF" w:rsidRDefault="006F3CBF" w:rsidP="003340DD">
            <w:pPr>
              <w:pStyle w:val="TableTextRight"/>
              <w:rPr>
                <w:color w:val="000000"/>
              </w:rPr>
            </w:pPr>
            <w:r w:rsidRPr="006F3CBF">
              <w:rPr>
                <w:color w:val="000000"/>
              </w:rPr>
              <w:t>21,785</w:t>
            </w:r>
          </w:p>
        </w:tc>
        <w:tc>
          <w:tcPr>
            <w:tcW w:w="804" w:type="dxa"/>
            <w:shd w:val="clear" w:color="000000" w:fill="FFFFFF"/>
            <w:noWrap/>
            <w:vAlign w:val="center"/>
            <w:hideMark/>
          </w:tcPr>
          <w:p w14:paraId="0C9FEB0E" w14:textId="77777777" w:rsidR="006F3CBF" w:rsidRPr="006F3CBF" w:rsidRDefault="006F3CBF" w:rsidP="003340DD">
            <w:pPr>
              <w:pStyle w:val="TableTextRight"/>
              <w:rPr>
                <w:color w:val="000000"/>
              </w:rPr>
            </w:pPr>
            <w:r w:rsidRPr="006F3CBF">
              <w:rPr>
                <w:color w:val="000000"/>
              </w:rPr>
              <w:t>24,917</w:t>
            </w:r>
          </w:p>
        </w:tc>
      </w:tr>
      <w:tr w:rsidR="006F3CBF" w:rsidRPr="006F3CBF" w14:paraId="51FD67D4" w14:textId="77777777" w:rsidTr="008356B8">
        <w:trPr>
          <w:trHeight w:val="225"/>
        </w:trPr>
        <w:tc>
          <w:tcPr>
            <w:tcW w:w="2977" w:type="dxa"/>
            <w:shd w:val="clear" w:color="000000" w:fill="FFFFFF"/>
            <w:noWrap/>
            <w:vAlign w:val="center"/>
            <w:hideMark/>
          </w:tcPr>
          <w:p w14:paraId="73CFE2D7" w14:textId="60DDB71C" w:rsidR="006F3CBF" w:rsidRPr="006F3CBF" w:rsidRDefault="006F3CBF" w:rsidP="00E02CA5">
            <w:pPr>
              <w:pStyle w:val="TableTextLeft"/>
              <w:rPr>
                <w:i/>
              </w:rPr>
            </w:pPr>
            <w:r w:rsidRPr="006F3CBF">
              <w:rPr>
                <w:i/>
              </w:rPr>
              <w:t>less</w:t>
            </w:r>
            <w:r w:rsidRPr="006F3CBF">
              <w:t xml:space="preserve"> Sales of non</w:t>
            </w:r>
            <w:r w:rsidR="00325E1E">
              <w:noBreakHyphen/>
            </w:r>
            <w:r w:rsidRPr="006F3CBF">
              <w:t>financial assets</w:t>
            </w:r>
          </w:p>
        </w:tc>
        <w:tc>
          <w:tcPr>
            <w:tcW w:w="567" w:type="dxa"/>
            <w:shd w:val="clear" w:color="000000" w:fill="FFFFFF"/>
            <w:noWrap/>
            <w:vAlign w:val="center"/>
            <w:hideMark/>
          </w:tcPr>
          <w:p w14:paraId="093E443A" w14:textId="17EB98C3" w:rsidR="006F3CBF" w:rsidRPr="006F3CBF" w:rsidRDefault="006F3CBF" w:rsidP="00E4340C">
            <w:pPr>
              <w:pStyle w:val="TableTextCentred"/>
            </w:pPr>
          </w:p>
        </w:tc>
        <w:tc>
          <w:tcPr>
            <w:tcW w:w="950" w:type="dxa"/>
            <w:shd w:val="clear" w:color="000000" w:fill="FFFFFF"/>
            <w:noWrap/>
            <w:vAlign w:val="center"/>
            <w:hideMark/>
          </w:tcPr>
          <w:p w14:paraId="34CC0AC3" w14:textId="77777777" w:rsidR="006F3CBF" w:rsidRPr="006F3CBF" w:rsidRDefault="006F3CBF" w:rsidP="003340DD">
            <w:pPr>
              <w:pStyle w:val="TableTextRight"/>
              <w:rPr>
                <w:color w:val="000000"/>
              </w:rPr>
            </w:pPr>
            <w:r w:rsidRPr="006F3CBF">
              <w:rPr>
                <w:color w:val="000000"/>
              </w:rPr>
              <w:t>777</w:t>
            </w:r>
          </w:p>
        </w:tc>
        <w:tc>
          <w:tcPr>
            <w:tcW w:w="804" w:type="dxa"/>
            <w:shd w:val="clear" w:color="000000" w:fill="E6F2FF"/>
            <w:noWrap/>
            <w:vAlign w:val="center"/>
            <w:hideMark/>
          </w:tcPr>
          <w:p w14:paraId="12C59C55" w14:textId="77777777" w:rsidR="006F3CBF" w:rsidRPr="006F3CBF" w:rsidRDefault="006F3CBF" w:rsidP="003340DD">
            <w:pPr>
              <w:pStyle w:val="TableTextRight"/>
              <w:rPr>
                <w:color w:val="000000"/>
              </w:rPr>
            </w:pPr>
            <w:r w:rsidRPr="006F3CBF">
              <w:rPr>
                <w:color w:val="000000"/>
              </w:rPr>
              <w:t>2,407</w:t>
            </w:r>
          </w:p>
        </w:tc>
        <w:tc>
          <w:tcPr>
            <w:tcW w:w="804" w:type="dxa"/>
            <w:shd w:val="clear" w:color="000000" w:fill="FFFFFF"/>
            <w:noWrap/>
            <w:vAlign w:val="center"/>
            <w:hideMark/>
          </w:tcPr>
          <w:p w14:paraId="420B12EA" w14:textId="77777777" w:rsidR="006F3CBF" w:rsidRPr="006F3CBF" w:rsidRDefault="006F3CBF" w:rsidP="003340DD">
            <w:pPr>
              <w:pStyle w:val="TableTextRight"/>
              <w:rPr>
                <w:color w:val="000000"/>
              </w:rPr>
            </w:pPr>
            <w:r w:rsidRPr="006F3CBF">
              <w:rPr>
                <w:color w:val="000000"/>
              </w:rPr>
              <w:t>67</w:t>
            </w:r>
          </w:p>
        </w:tc>
        <w:tc>
          <w:tcPr>
            <w:tcW w:w="804" w:type="dxa"/>
            <w:shd w:val="clear" w:color="000000" w:fill="FFFFFF"/>
            <w:noWrap/>
            <w:vAlign w:val="center"/>
            <w:hideMark/>
          </w:tcPr>
          <w:p w14:paraId="3DE17107" w14:textId="77777777" w:rsidR="006F3CBF" w:rsidRPr="006F3CBF" w:rsidRDefault="006F3CBF" w:rsidP="003340DD">
            <w:pPr>
              <w:pStyle w:val="TableTextRight"/>
              <w:rPr>
                <w:color w:val="000000"/>
              </w:rPr>
            </w:pPr>
            <w:r w:rsidRPr="006F3CBF">
              <w:rPr>
                <w:color w:val="000000"/>
              </w:rPr>
              <w:t>0</w:t>
            </w:r>
          </w:p>
        </w:tc>
        <w:tc>
          <w:tcPr>
            <w:tcW w:w="804" w:type="dxa"/>
            <w:shd w:val="clear" w:color="000000" w:fill="FFFFFF"/>
            <w:noWrap/>
            <w:vAlign w:val="center"/>
            <w:hideMark/>
          </w:tcPr>
          <w:p w14:paraId="0CB9E11A" w14:textId="77777777" w:rsidR="006F3CBF" w:rsidRPr="006F3CBF" w:rsidRDefault="006F3CBF" w:rsidP="003340DD">
            <w:pPr>
              <w:pStyle w:val="TableTextRight"/>
              <w:rPr>
                <w:color w:val="000000"/>
              </w:rPr>
            </w:pPr>
            <w:r w:rsidRPr="006F3CBF">
              <w:rPr>
                <w:color w:val="000000"/>
              </w:rPr>
              <w:t>5</w:t>
            </w:r>
          </w:p>
        </w:tc>
      </w:tr>
      <w:tr w:rsidR="006F3CBF" w:rsidRPr="006F3CBF" w14:paraId="687BFB32" w14:textId="77777777" w:rsidTr="008356B8">
        <w:trPr>
          <w:trHeight w:val="225"/>
        </w:trPr>
        <w:tc>
          <w:tcPr>
            <w:tcW w:w="2977" w:type="dxa"/>
            <w:shd w:val="clear" w:color="000000" w:fill="FFFFFF"/>
            <w:noWrap/>
            <w:vAlign w:val="center"/>
            <w:hideMark/>
          </w:tcPr>
          <w:p w14:paraId="01851180" w14:textId="77777777" w:rsidR="006F3CBF" w:rsidRPr="006F3CBF" w:rsidRDefault="006F3CBF" w:rsidP="00E02CA5">
            <w:pPr>
              <w:pStyle w:val="TableTextLeft"/>
              <w:rPr>
                <w:i/>
              </w:rPr>
            </w:pPr>
            <w:r w:rsidRPr="006F3CBF">
              <w:rPr>
                <w:i/>
              </w:rPr>
              <w:t xml:space="preserve">less </w:t>
            </w:r>
            <w:r w:rsidRPr="006F3CBF">
              <w:t>Depreciation</w:t>
            </w:r>
          </w:p>
        </w:tc>
        <w:tc>
          <w:tcPr>
            <w:tcW w:w="567" w:type="dxa"/>
            <w:shd w:val="clear" w:color="000000" w:fill="FFFFFF"/>
            <w:noWrap/>
            <w:vAlign w:val="center"/>
            <w:hideMark/>
          </w:tcPr>
          <w:p w14:paraId="68FD1B09" w14:textId="44503420" w:rsidR="006F3CBF" w:rsidRPr="00E4340C" w:rsidRDefault="006F3CBF" w:rsidP="00E4340C">
            <w:pPr>
              <w:pStyle w:val="TableTextCentred"/>
            </w:pPr>
          </w:p>
        </w:tc>
        <w:tc>
          <w:tcPr>
            <w:tcW w:w="950" w:type="dxa"/>
            <w:shd w:val="clear" w:color="000000" w:fill="FFFFFF"/>
            <w:noWrap/>
            <w:vAlign w:val="center"/>
            <w:hideMark/>
          </w:tcPr>
          <w:p w14:paraId="510329AC" w14:textId="77777777" w:rsidR="006F3CBF" w:rsidRPr="006F3CBF" w:rsidRDefault="006F3CBF" w:rsidP="003340DD">
            <w:pPr>
              <w:pStyle w:val="TableTextRight"/>
              <w:rPr>
                <w:color w:val="000000"/>
              </w:rPr>
            </w:pPr>
            <w:r w:rsidRPr="006F3CBF">
              <w:rPr>
                <w:color w:val="000000"/>
              </w:rPr>
              <w:t>12,889</w:t>
            </w:r>
          </w:p>
        </w:tc>
        <w:tc>
          <w:tcPr>
            <w:tcW w:w="804" w:type="dxa"/>
            <w:shd w:val="clear" w:color="000000" w:fill="E6F2FF"/>
            <w:noWrap/>
            <w:vAlign w:val="center"/>
            <w:hideMark/>
          </w:tcPr>
          <w:p w14:paraId="01628507" w14:textId="77777777" w:rsidR="006F3CBF" w:rsidRPr="006F3CBF" w:rsidRDefault="006F3CBF" w:rsidP="003340DD">
            <w:pPr>
              <w:pStyle w:val="TableTextRight"/>
              <w:rPr>
                <w:color w:val="000000"/>
              </w:rPr>
            </w:pPr>
            <w:r w:rsidRPr="006F3CBF">
              <w:rPr>
                <w:color w:val="000000"/>
              </w:rPr>
              <w:t>13,003</w:t>
            </w:r>
          </w:p>
        </w:tc>
        <w:tc>
          <w:tcPr>
            <w:tcW w:w="804" w:type="dxa"/>
            <w:shd w:val="clear" w:color="auto" w:fill="auto"/>
            <w:noWrap/>
            <w:vAlign w:val="center"/>
            <w:hideMark/>
          </w:tcPr>
          <w:p w14:paraId="3B961358" w14:textId="77777777" w:rsidR="006F3CBF" w:rsidRPr="006F3CBF" w:rsidRDefault="006F3CBF" w:rsidP="003340DD">
            <w:pPr>
              <w:pStyle w:val="TableTextRight"/>
              <w:rPr>
                <w:color w:val="000000"/>
              </w:rPr>
            </w:pPr>
            <w:r w:rsidRPr="006F3CBF">
              <w:rPr>
                <w:color w:val="000000"/>
              </w:rPr>
              <w:t>13,200</w:t>
            </w:r>
          </w:p>
        </w:tc>
        <w:tc>
          <w:tcPr>
            <w:tcW w:w="804" w:type="dxa"/>
            <w:shd w:val="clear" w:color="000000" w:fill="FFFFFF"/>
            <w:noWrap/>
            <w:vAlign w:val="center"/>
            <w:hideMark/>
          </w:tcPr>
          <w:p w14:paraId="0770DA7C" w14:textId="77777777" w:rsidR="006F3CBF" w:rsidRPr="006F3CBF" w:rsidRDefault="006F3CBF" w:rsidP="003340DD">
            <w:pPr>
              <w:pStyle w:val="TableTextRight"/>
              <w:rPr>
                <w:color w:val="000000"/>
              </w:rPr>
            </w:pPr>
            <w:r w:rsidRPr="006F3CBF">
              <w:rPr>
                <w:color w:val="000000"/>
              </w:rPr>
              <w:t>13,380</w:t>
            </w:r>
          </w:p>
        </w:tc>
        <w:tc>
          <w:tcPr>
            <w:tcW w:w="804" w:type="dxa"/>
            <w:shd w:val="clear" w:color="000000" w:fill="FFFFFF"/>
            <w:noWrap/>
            <w:vAlign w:val="center"/>
            <w:hideMark/>
          </w:tcPr>
          <w:p w14:paraId="0F7A78E1" w14:textId="77777777" w:rsidR="006F3CBF" w:rsidRPr="006F3CBF" w:rsidRDefault="006F3CBF" w:rsidP="003340DD">
            <w:pPr>
              <w:pStyle w:val="TableTextRight"/>
              <w:rPr>
                <w:color w:val="000000"/>
              </w:rPr>
            </w:pPr>
            <w:r w:rsidRPr="006F3CBF">
              <w:rPr>
                <w:color w:val="000000"/>
              </w:rPr>
              <w:t>13,501</w:t>
            </w:r>
          </w:p>
        </w:tc>
      </w:tr>
      <w:tr w:rsidR="006F3CBF" w:rsidRPr="006F3CBF" w14:paraId="6FD6AB75" w14:textId="77777777" w:rsidTr="008356B8">
        <w:trPr>
          <w:trHeight w:val="225"/>
        </w:trPr>
        <w:tc>
          <w:tcPr>
            <w:tcW w:w="2977" w:type="dxa"/>
            <w:shd w:val="clear" w:color="000000" w:fill="FFFFFF"/>
            <w:noWrap/>
            <w:vAlign w:val="center"/>
            <w:hideMark/>
          </w:tcPr>
          <w:p w14:paraId="7760947D" w14:textId="77777777" w:rsidR="006F3CBF" w:rsidRPr="006F3CBF" w:rsidRDefault="006F3CBF" w:rsidP="00E02CA5">
            <w:pPr>
              <w:pStyle w:val="TableTextLeft"/>
              <w:rPr>
                <w:i/>
              </w:rPr>
            </w:pPr>
            <w:r w:rsidRPr="006F3CBF">
              <w:rPr>
                <w:i/>
              </w:rPr>
              <w:t xml:space="preserve">plus </w:t>
            </w:r>
            <w:r w:rsidRPr="006F3CBF">
              <w:t>Change in inventories</w:t>
            </w:r>
          </w:p>
        </w:tc>
        <w:tc>
          <w:tcPr>
            <w:tcW w:w="567" w:type="dxa"/>
            <w:shd w:val="clear" w:color="000000" w:fill="FFFFFF"/>
            <w:noWrap/>
            <w:vAlign w:val="center"/>
            <w:hideMark/>
          </w:tcPr>
          <w:p w14:paraId="4F2D6BC2" w14:textId="59B0CC49" w:rsidR="006F3CBF" w:rsidRPr="00E4340C" w:rsidRDefault="006F3CBF" w:rsidP="00E4340C">
            <w:pPr>
              <w:pStyle w:val="TableTextCentred"/>
            </w:pPr>
          </w:p>
        </w:tc>
        <w:tc>
          <w:tcPr>
            <w:tcW w:w="950" w:type="dxa"/>
            <w:shd w:val="clear" w:color="000000" w:fill="FFFFFF"/>
            <w:noWrap/>
            <w:vAlign w:val="center"/>
            <w:hideMark/>
          </w:tcPr>
          <w:p w14:paraId="1C8BBE21" w14:textId="4092201D" w:rsidR="006F3CBF" w:rsidRPr="006F3CBF" w:rsidRDefault="00325E1E" w:rsidP="003340DD">
            <w:pPr>
              <w:pStyle w:val="TableTextRight"/>
              <w:rPr>
                <w:color w:val="000000"/>
              </w:rPr>
            </w:pPr>
            <w:r>
              <w:rPr>
                <w:color w:val="000000"/>
              </w:rPr>
              <w:noBreakHyphen/>
            </w:r>
            <w:r w:rsidR="006F3CBF" w:rsidRPr="006F3CBF">
              <w:rPr>
                <w:color w:val="000000"/>
              </w:rPr>
              <w:t>351</w:t>
            </w:r>
          </w:p>
        </w:tc>
        <w:tc>
          <w:tcPr>
            <w:tcW w:w="804" w:type="dxa"/>
            <w:shd w:val="clear" w:color="000000" w:fill="E6F2FF"/>
            <w:noWrap/>
            <w:vAlign w:val="center"/>
            <w:hideMark/>
          </w:tcPr>
          <w:p w14:paraId="3809CADC" w14:textId="72131F31" w:rsidR="006F3CBF" w:rsidRPr="006F3CBF" w:rsidRDefault="00325E1E" w:rsidP="003340DD">
            <w:pPr>
              <w:pStyle w:val="TableTextRight"/>
              <w:rPr>
                <w:color w:val="000000"/>
              </w:rPr>
            </w:pPr>
            <w:r>
              <w:rPr>
                <w:color w:val="000000"/>
              </w:rPr>
              <w:noBreakHyphen/>
            </w:r>
            <w:r w:rsidR="006F3CBF" w:rsidRPr="006F3CBF">
              <w:rPr>
                <w:color w:val="000000"/>
              </w:rPr>
              <w:t>242</w:t>
            </w:r>
          </w:p>
        </w:tc>
        <w:tc>
          <w:tcPr>
            <w:tcW w:w="804" w:type="dxa"/>
            <w:shd w:val="clear" w:color="000000" w:fill="FFFFFF"/>
            <w:noWrap/>
            <w:vAlign w:val="center"/>
            <w:hideMark/>
          </w:tcPr>
          <w:p w14:paraId="6AB82FB6" w14:textId="77777777" w:rsidR="006F3CBF" w:rsidRPr="006F3CBF" w:rsidRDefault="006F3CBF" w:rsidP="003340DD">
            <w:pPr>
              <w:pStyle w:val="TableTextRight"/>
              <w:rPr>
                <w:color w:val="000000"/>
              </w:rPr>
            </w:pPr>
            <w:r w:rsidRPr="006F3CBF">
              <w:rPr>
                <w:color w:val="000000"/>
              </w:rPr>
              <w:t>766</w:t>
            </w:r>
          </w:p>
        </w:tc>
        <w:tc>
          <w:tcPr>
            <w:tcW w:w="804" w:type="dxa"/>
            <w:shd w:val="clear" w:color="000000" w:fill="FFFFFF"/>
            <w:noWrap/>
            <w:vAlign w:val="center"/>
            <w:hideMark/>
          </w:tcPr>
          <w:p w14:paraId="370B587F" w14:textId="77777777" w:rsidR="006F3CBF" w:rsidRPr="006F3CBF" w:rsidRDefault="006F3CBF" w:rsidP="003340DD">
            <w:pPr>
              <w:pStyle w:val="TableTextRight"/>
              <w:rPr>
                <w:color w:val="000000"/>
              </w:rPr>
            </w:pPr>
            <w:r w:rsidRPr="006F3CBF">
              <w:rPr>
                <w:color w:val="000000"/>
              </w:rPr>
              <w:t>583</w:t>
            </w:r>
          </w:p>
        </w:tc>
        <w:tc>
          <w:tcPr>
            <w:tcW w:w="804" w:type="dxa"/>
            <w:shd w:val="clear" w:color="000000" w:fill="FFFFFF"/>
            <w:noWrap/>
            <w:vAlign w:val="center"/>
            <w:hideMark/>
          </w:tcPr>
          <w:p w14:paraId="494ED1E2" w14:textId="77777777" w:rsidR="006F3CBF" w:rsidRPr="006F3CBF" w:rsidRDefault="006F3CBF" w:rsidP="003340DD">
            <w:pPr>
              <w:pStyle w:val="TableTextRight"/>
              <w:rPr>
                <w:color w:val="000000"/>
              </w:rPr>
            </w:pPr>
            <w:r w:rsidRPr="006F3CBF">
              <w:rPr>
                <w:color w:val="000000"/>
              </w:rPr>
              <w:t>489</w:t>
            </w:r>
          </w:p>
        </w:tc>
      </w:tr>
      <w:tr w:rsidR="006F3CBF" w:rsidRPr="006F3CBF" w14:paraId="1FAC1B78" w14:textId="77777777" w:rsidTr="008356B8">
        <w:trPr>
          <w:trHeight w:val="225"/>
        </w:trPr>
        <w:tc>
          <w:tcPr>
            <w:tcW w:w="3544" w:type="dxa"/>
            <w:gridSpan w:val="2"/>
            <w:shd w:val="clear" w:color="000000" w:fill="FFFFFF"/>
            <w:noWrap/>
            <w:vAlign w:val="center"/>
            <w:hideMark/>
          </w:tcPr>
          <w:p w14:paraId="197C97F9" w14:textId="43ACC676" w:rsidR="006F3CBF" w:rsidRPr="006F3CBF" w:rsidRDefault="006F3CBF" w:rsidP="00E02CA5">
            <w:pPr>
              <w:pStyle w:val="TableTextLeft"/>
              <w:rPr>
                <w:i/>
              </w:rPr>
            </w:pPr>
            <w:r w:rsidRPr="006F3CBF">
              <w:rPr>
                <w:i/>
              </w:rPr>
              <w:t xml:space="preserve">plus </w:t>
            </w:r>
            <w:r w:rsidRPr="006F3CBF">
              <w:t>Other movements in non</w:t>
            </w:r>
            <w:r w:rsidR="00325E1E">
              <w:noBreakHyphen/>
            </w:r>
            <w:r w:rsidRPr="006F3CBF">
              <w:t>financial assets</w:t>
            </w:r>
          </w:p>
        </w:tc>
        <w:tc>
          <w:tcPr>
            <w:tcW w:w="950" w:type="dxa"/>
            <w:shd w:val="clear" w:color="000000" w:fill="FFFFFF"/>
            <w:noWrap/>
            <w:vAlign w:val="center"/>
            <w:hideMark/>
          </w:tcPr>
          <w:p w14:paraId="5BDEF7A8" w14:textId="68CBE958" w:rsidR="006F3CBF" w:rsidRPr="006F3CBF" w:rsidRDefault="00325E1E" w:rsidP="003340DD">
            <w:pPr>
              <w:pStyle w:val="TableTextRight"/>
              <w:rPr>
                <w:color w:val="000000"/>
              </w:rPr>
            </w:pPr>
            <w:r>
              <w:rPr>
                <w:color w:val="000000"/>
              </w:rPr>
              <w:noBreakHyphen/>
            </w:r>
            <w:r w:rsidR="006F3CBF" w:rsidRPr="006F3CBF">
              <w:rPr>
                <w:color w:val="000000"/>
              </w:rPr>
              <w:t>1</w:t>
            </w:r>
          </w:p>
        </w:tc>
        <w:tc>
          <w:tcPr>
            <w:tcW w:w="804" w:type="dxa"/>
            <w:shd w:val="clear" w:color="000000" w:fill="E6F2FF"/>
            <w:noWrap/>
            <w:vAlign w:val="center"/>
            <w:hideMark/>
          </w:tcPr>
          <w:p w14:paraId="13CFDDD2" w14:textId="007CAEAB" w:rsidR="006F3CBF" w:rsidRPr="006F3CBF" w:rsidRDefault="00325E1E" w:rsidP="003340DD">
            <w:pPr>
              <w:pStyle w:val="TableTextRight"/>
              <w:rPr>
                <w:color w:val="000000"/>
              </w:rPr>
            </w:pPr>
            <w:r>
              <w:rPr>
                <w:color w:val="000000"/>
              </w:rPr>
              <w:noBreakHyphen/>
            </w:r>
            <w:r w:rsidR="006F3CBF" w:rsidRPr="006F3CBF">
              <w:rPr>
                <w:color w:val="000000"/>
              </w:rPr>
              <w:t>5</w:t>
            </w:r>
          </w:p>
        </w:tc>
        <w:tc>
          <w:tcPr>
            <w:tcW w:w="804" w:type="dxa"/>
            <w:shd w:val="clear" w:color="000000" w:fill="FFFFFF"/>
            <w:noWrap/>
            <w:vAlign w:val="center"/>
            <w:hideMark/>
          </w:tcPr>
          <w:p w14:paraId="287D8972" w14:textId="77777777" w:rsidR="006F3CBF" w:rsidRPr="006F3CBF" w:rsidRDefault="006F3CBF" w:rsidP="003340DD">
            <w:pPr>
              <w:pStyle w:val="TableTextRight"/>
              <w:rPr>
                <w:color w:val="000000"/>
              </w:rPr>
            </w:pPr>
            <w:r w:rsidRPr="006F3CBF">
              <w:rPr>
                <w:color w:val="000000"/>
              </w:rPr>
              <w:t>0</w:t>
            </w:r>
          </w:p>
        </w:tc>
        <w:tc>
          <w:tcPr>
            <w:tcW w:w="804" w:type="dxa"/>
            <w:shd w:val="clear" w:color="000000" w:fill="FFFFFF"/>
            <w:noWrap/>
            <w:vAlign w:val="center"/>
            <w:hideMark/>
          </w:tcPr>
          <w:p w14:paraId="730EB12E" w14:textId="77777777" w:rsidR="006F3CBF" w:rsidRPr="006F3CBF" w:rsidRDefault="006F3CBF" w:rsidP="003340DD">
            <w:pPr>
              <w:pStyle w:val="TableTextRight"/>
              <w:rPr>
                <w:color w:val="000000"/>
              </w:rPr>
            </w:pPr>
            <w:r w:rsidRPr="006F3CBF">
              <w:rPr>
                <w:color w:val="000000"/>
              </w:rPr>
              <w:t>0</w:t>
            </w:r>
          </w:p>
        </w:tc>
        <w:tc>
          <w:tcPr>
            <w:tcW w:w="804" w:type="dxa"/>
            <w:shd w:val="clear" w:color="000000" w:fill="FFFFFF"/>
            <w:noWrap/>
            <w:vAlign w:val="center"/>
            <w:hideMark/>
          </w:tcPr>
          <w:p w14:paraId="15B01897" w14:textId="77777777" w:rsidR="006F3CBF" w:rsidRPr="006F3CBF" w:rsidRDefault="006F3CBF" w:rsidP="003340DD">
            <w:pPr>
              <w:pStyle w:val="TableTextRight"/>
              <w:rPr>
                <w:color w:val="000000"/>
              </w:rPr>
            </w:pPr>
            <w:r w:rsidRPr="006F3CBF">
              <w:rPr>
                <w:color w:val="000000"/>
              </w:rPr>
              <w:t>0</w:t>
            </w:r>
          </w:p>
        </w:tc>
      </w:tr>
      <w:tr w:rsidR="006F3CBF" w:rsidRPr="006F3CBF" w14:paraId="5180910B" w14:textId="77777777" w:rsidTr="008356B8">
        <w:trPr>
          <w:trHeight w:val="225"/>
        </w:trPr>
        <w:tc>
          <w:tcPr>
            <w:tcW w:w="2977" w:type="dxa"/>
            <w:shd w:val="clear" w:color="000000" w:fill="FFFFFF"/>
            <w:noWrap/>
            <w:vAlign w:val="center"/>
            <w:hideMark/>
          </w:tcPr>
          <w:p w14:paraId="28A6906E" w14:textId="77777777" w:rsidR="006F3CBF" w:rsidRPr="00802A7A" w:rsidRDefault="006F3CBF" w:rsidP="00E02CA5">
            <w:pPr>
              <w:pStyle w:val="TableTextLeft"/>
              <w:rPr>
                <w:b/>
              </w:rPr>
            </w:pPr>
            <w:r w:rsidRPr="00802A7A">
              <w:rPr>
                <w:b/>
              </w:rPr>
              <w:t>Total net acquisition of</w:t>
            </w:r>
          </w:p>
        </w:tc>
        <w:tc>
          <w:tcPr>
            <w:tcW w:w="567" w:type="dxa"/>
            <w:shd w:val="clear" w:color="000000" w:fill="FFFFFF"/>
            <w:noWrap/>
            <w:vAlign w:val="center"/>
            <w:hideMark/>
          </w:tcPr>
          <w:p w14:paraId="18FF8A87" w14:textId="75DC34B0" w:rsidR="006F3CBF" w:rsidRPr="001A258B" w:rsidRDefault="006F3CBF" w:rsidP="001A258B">
            <w:pPr>
              <w:pStyle w:val="TableTextCentred"/>
            </w:pPr>
          </w:p>
        </w:tc>
        <w:tc>
          <w:tcPr>
            <w:tcW w:w="950" w:type="dxa"/>
            <w:shd w:val="clear" w:color="000000" w:fill="FFFFFF"/>
            <w:noWrap/>
            <w:vAlign w:val="center"/>
            <w:hideMark/>
          </w:tcPr>
          <w:p w14:paraId="1E722A39" w14:textId="77777777" w:rsidR="006F3CBF" w:rsidRPr="00802A7A" w:rsidRDefault="006F3CBF" w:rsidP="003340DD">
            <w:pPr>
              <w:pStyle w:val="TableTextRight"/>
              <w:rPr>
                <w:b/>
                <w:color w:val="000000"/>
              </w:rPr>
            </w:pPr>
            <w:r w:rsidRPr="00802A7A">
              <w:rPr>
                <w:b/>
                <w:color w:val="000000"/>
              </w:rPr>
              <w:t> </w:t>
            </w:r>
          </w:p>
        </w:tc>
        <w:tc>
          <w:tcPr>
            <w:tcW w:w="804" w:type="dxa"/>
            <w:shd w:val="clear" w:color="000000" w:fill="E6F2FF"/>
            <w:noWrap/>
            <w:vAlign w:val="center"/>
            <w:hideMark/>
          </w:tcPr>
          <w:p w14:paraId="1CCA83A2" w14:textId="77777777" w:rsidR="006F3CBF" w:rsidRPr="00802A7A" w:rsidRDefault="006F3CBF" w:rsidP="003340DD">
            <w:pPr>
              <w:pStyle w:val="TableTextRight"/>
              <w:rPr>
                <w:b/>
                <w:color w:val="000000"/>
              </w:rPr>
            </w:pPr>
            <w:r w:rsidRPr="00802A7A">
              <w:rPr>
                <w:b/>
                <w:color w:val="000000"/>
              </w:rPr>
              <w:t> </w:t>
            </w:r>
          </w:p>
        </w:tc>
        <w:tc>
          <w:tcPr>
            <w:tcW w:w="804" w:type="dxa"/>
            <w:shd w:val="clear" w:color="000000" w:fill="FFFFFF"/>
            <w:noWrap/>
            <w:vAlign w:val="center"/>
            <w:hideMark/>
          </w:tcPr>
          <w:p w14:paraId="202896CD" w14:textId="77777777" w:rsidR="006F3CBF" w:rsidRPr="00802A7A" w:rsidRDefault="006F3CBF" w:rsidP="003340DD">
            <w:pPr>
              <w:pStyle w:val="TableTextRight"/>
              <w:rPr>
                <w:b/>
                <w:color w:val="000000"/>
              </w:rPr>
            </w:pPr>
            <w:r w:rsidRPr="00802A7A">
              <w:rPr>
                <w:b/>
                <w:color w:val="000000"/>
              </w:rPr>
              <w:t> </w:t>
            </w:r>
          </w:p>
        </w:tc>
        <w:tc>
          <w:tcPr>
            <w:tcW w:w="804" w:type="dxa"/>
            <w:shd w:val="clear" w:color="000000" w:fill="FFFFFF"/>
            <w:noWrap/>
            <w:vAlign w:val="center"/>
            <w:hideMark/>
          </w:tcPr>
          <w:p w14:paraId="502DEBBF" w14:textId="77777777" w:rsidR="006F3CBF" w:rsidRPr="00802A7A" w:rsidRDefault="006F3CBF" w:rsidP="003340DD">
            <w:pPr>
              <w:pStyle w:val="TableTextRight"/>
              <w:rPr>
                <w:b/>
                <w:color w:val="000000"/>
              </w:rPr>
            </w:pPr>
            <w:r w:rsidRPr="00802A7A">
              <w:rPr>
                <w:b/>
                <w:color w:val="000000"/>
              </w:rPr>
              <w:t> </w:t>
            </w:r>
          </w:p>
        </w:tc>
        <w:tc>
          <w:tcPr>
            <w:tcW w:w="804" w:type="dxa"/>
            <w:shd w:val="clear" w:color="000000" w:fill="FFFFFF"/>
            <w:noWrap/>
            <w:vAlign w:val="center"/>
            <w:hideMark/>
          </w:tcPr>
          <w:p w14:paraId="0CB9DDD9" w14:textId="77777777" w:rsidR="006F3CBF" w:rsidRPr="00802A7A" w:rsidRDefault="006F3CBF" w:rsidP="003340DD">
            <w:pPr>
              <w:pStyle w:val="TableTextRight"/>
              <w:rPr>
                <w:b/>
                <w:color w:val="000000"/>
              </w:rPr>
            </w:pPr>
            <w:r w:rsidRPr="00802A7A">
              <w:rPr>
                <w:b/>
                <w:color w:val="000000"/>
              </w:rPr>
              <w:t> </w:t>
            </w:r>
          </w:p>
        </w:tc>
      </w:tr>
      <w:tr w:rsidR="006F3CBF" w:rsidRPr="006F3CBF" w14:paraId="1EA240A7" w14:textId="77777777" w:rsidTr="008356B8">
        <w:trPr>
          <w:trHeight w:val="225"/>
        </w:trPr>
        <w:tc>
          <w:tcPr>
            <w:tcW w:w="2977" w:type="dxa"/>
            <w:shd w:val="clear" w:color="000000" w:fill="FFFFFF"/>
            <w:noWrap/>
            <w:vAlign w:val="center"/>
            <w:hideMark/>
          </w:tcPr>
          <w:p w14:paraId="4C492A36" w14:textId="6A93EF0B" w:rsidR="006F3CBF" w:rsidRPr="006B4293" w:rsidRDefault="006F3CBF" w:rsidP="00802A7A">
            <w:pPr>
              <w:pStyle w:val="TableTextIndented"/>
              <w:rPr>
                <w:rFonts w:cs="Arial"/>
                <w:b/>
                <w:szCs w:val="16"/>
              </w:rPr>
            </w:pPr>
            <w:r w:rsidRPr="006B4293">
              <w:rPr>
                <w:rFonts w:cs="Arial"/>
                <w:b/>
                <w:szCs w:val="16"/>
              </w:rPr>
              <w:t xml:space="preserve"> non</w:t>
            </w:r>
            <w:r w:rsidR="00325E1E">
              <w:rPr>
                <w:rFonts w:cs="Arial"/>
                <w:b/>
                <w:bCs/>
                <w:szCs w:val="16"/>
              </w:rPr>
              <w:noBreakHyphen/>
            </w:r>
            <w:r w:rsidRPr="006B4293">
              <w:rPr>
                <w:rFonts w:cs="Arial"/>
                <w:b/>
                <w:szCs w:val="16"/>
              </w:rPr>
              <w:t>financial assets</w:t>
            </w:r>
          </w:p>
        </w:tc>
        <w:tc>
          <w:tcPr>
            <w:tcW w:w="567" w:type="dxa"/>
            <w:shd w:val="clear" w:color="000000" w:fill="FFFFFF"/>
            <w:noWrap/>
            <w:vAlign w:val="center"/>
            <w:hideMark/>
          </w:tcPr>
          <w:p w14:paraId="2DE543F1" w14:textId="1BDE3A2D" w:rsidR="006F3CBF" w:rsidRPr="006F3CBF" w:rsidRDefault="006F3CBF" w:rsidP="008B7D30">
            <w:pPr>
              <w:pStyle w:val="TableTextCentred"/>
            </w:pPr>
          </w:p>
        </w:tc>
        <w:tc>
          <w:tcPr>
            <w:tcW w:w="950" w:type="dxa"/>
            <w:shd w:val="clear" w:color="000000" w:fill="FFFFFF"/>
            <w:noWrap/>
            <w:vAlign w:val="center"/>
            <w:hideMark/>
          </w:tcPr>
          <w:p w14:paraId="4F6C44B9" w14:textId="77777777" w:rsidR="006F3CBF" w:rsidRPr="006F3CBF" w:rsidRDefault="006F3CBF" w:rsidP="003340DD">
            <w:pPr>
              <w:pStyle w:val="TableTextRight"/>
              <w:rPr>
                <w:b/>
                <w:color w:val="000000"/>
              </w:rPr>
            </w:pPr>
            <w:r w:rsidRPr="006F3CBF">
              <w:rPr>
                <w:b/>
                <w:color w:val="000000"/>
              </w:rPr>
              <w:t>7,754</w:t>
            </w:r>
          </w:p>
        </w:tc>
        <w:tc>
          <w:tcPr>
            <w:tcW w:w="804" w:type="dxa"/>
            <w:shd w:val="clear" w:color="000000" w:fill="E6F2FF"/>
            <w:noWrap/>
            <w:vAlign w:val="center"/>
            <w:hideMark/>
          </w:tcPr>
          <w:p w14:paraId="079554B0" w14:textId="77777777" w:rsidR="006F3CBF" w:rsidRPr="006F3CBF" w:rsidRDefault="006F3CBF" w:rsidP="003340DD">
            <w:pPr>
              <w:pStyle w:val="TableTextRight"/>
              <w:rPr>
                <w:b/>
                <w:color w:val="000000"/>
              </w:rPr>
            </w:pPr>
            <w:r w:rsidRPr="006F3CBF">
              <w:rPr>
                <w:b/>
                <w:color w:val="000000"/>
              </w:rPr>
              <w:t>6,303</w:t>
            </w:r>
          </w:p>
        </w:tc>
        <w:tc>
          <w:tcPr>
            <w:tcW w:w="804" w:type="dxa"/>
            <w:shd w:val="clear" w:color="000000" w:fill="FFFFFF"/>
            <w:noWrap/>
            <w:vAlign w:val="center"/>
            <w:hideMark/>
          </w:tcPr>
          <w:p w14:paraId="06DE917F" w14:textId="77777777" w:rsidR="006F3CBF" w:rsidRPr="006F3CBF" w:rsidRDefault="006F3CBF" w:rsidP="003340DD">
            <w:pPr>
              <w:pStyle w:val="TableTextRight"/>
              <w:rPr>
                <w:b/>
                <w:color w:val="000000"/>
              </w:rPr>
            </w:pPr>
            <w:r w:rsidRPr="006F3CBF">
              <w:rPr>
                <w:b/>
                <w:color w:val="000000"/>
              </w:rPr>
              <w:t>8,055</w:t>
            </w:r>
          </w:p>
        </w:tc>
        <w:tc>
          <w:tcPr>
            <w:tcW w:w="804" w:type="dxa"/>
            <w:shd w:val="clear" w:color="000000" w:fill="FFFFFF"/>
            <w:noWrap/>
            <w:vAlign w:val="center"/>
            <w:hideMark/>
          </w:tcPr>
          <w:p w14:paraId="23807966" w14:textId="77777777" w:rsidR="006F3CBF" w:rsidRPr="006F3CBF" w:rsidRDefault="006F3CBF" w:rsidP="003340DD">
            <w:pPr>
              <w:pStyle w:val="TableTextRight"/>
              <w:rPr>
                <w:b/>
                <w:color w:val="000000"/>
              </w:rPr>
            </w:pPr>
            <w:r w:rsidRPr="006F3CBF">
              <w:rPr>
                <w:b/>
                <w:color w:val="000000"/>
              </w:rPr>
              <w:t>8,988</w:t>
            </w:r>
          </w:p>
        </w:tc>
        <w:tc>
          <w:tcPr>
            <w:tcW w:w="804" w:type="dxa"/>
            <w:shd w:val="clear" w:color="000000" w:fill="FFFFFF"/>
            <w:noWrap/>
            <w:vAlign w:val="center"/>
            <w:hideMark/>
          </w:tcPr>
          <w:p w14:paraId="12BE03BE" w14:textId="77777777" w:rsidR="006F3CBF" w:rsidRPr="006F3CBF" w:rsidRDefault="006F3CBF" w:rsidP="003340DD">
            <w:pPr>
              <w:pStyle w:val="TableTextRight"/>
              <w:rPr>
                <w:b/>
                <w:color w:val="000000"/>
              </w:rPr>
            </w:pPr>
            <w:r w:rsidRPr="006F3CBF">
              <w:rPr>
                <w:b/>
                <w:color w:val="000000"/>
              </w:rPr>
              <w:t>11,899</w:t>
            </w:r>
          </w:p>
        </w:tc>
      </w:tr>
      <w:tr w:rsidR="006F3CBF" w:rsidRPr="006F3CBF" w14:paraId="74C11B9B" w14:textId="77777777" w:rsidTr="007D11F4">
        <w:trPr>
          <w:trHeight w:val="225"/>
        </w:trPr>
        <w:tc>
          <w:tcPr>
            <w:tcW w:w="2977" w:type="dxa"/>
            <w:shd w:val="clear" w:color="000000" w:fill="FFFFFF"/>
            <w:noWrap/>
            <w:vAlign w:val="center"/>
            <w:hideMark/>
          </w:tcPr>
          <w:p w14:paraId="51971C16" w14:textId="77777777" w:rsidR="006F3CBF" w:rsidRPr="00802A7A" w:rsidRDefault="006F3CBF" w:rsidP="00E02CA5">
            <w:pPr>
              <w:pStyle w:val="TableTextLeft"/>
              <w:rPr>
                <w:b/>
              </w:rPr>
            </w:pPr>
            <w:r w:rsidRPr="00802A7A">
              <w:rPr>
                <w:b/>
              </w:rPr>
              <w:t>Fiscal balance</w:t>
            </w:r>
          </w:p>
        </w:tc>
        <w:tc>
          <w:tcPr>
            <w:tcW w:w="567" w:type="dxa"/>
            <w:shd w:val="clear" w:color="000000" w:fill="FFFFFF"/>
            <w:noWrap/>
            <w:vAlign w:val="center"/>
            <w:hideMark/>
          </w:tcPr>
          <w:p w14:paraId="2D1D5488" w14:textId="7E7D412F" w:rsidR="006F3CBF" w:rsidRPr="001A258B" w:rsidRDefault="006F3CBF" w:rsidP="001A258B">
            <w:pPr>
              <w:pStyle w:val="TableTextCentred"/>
            </w:pPr>
          </w:p>
        </w:tc>
        <w:tc>
          <w:tcPr>
            <w:tcW w:w="950" w:type="dxa"/>
            <w:shd w:val="clear" w:color="000000" w:fill="FFFFFF"/>
            <w:noWrap/>
            <w:vAlign w:val="center"/>
            <w:hideMark/>
          </w:tcPr>
          <w:p w14:paraId="5940A565"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E6F2FF"/>
            <w:noWrap/>
            <w:vAlign w:val="center"/>
            <w:hideMark/>
          </w:tcPr>
          <w:p w14:paraId="2015F22E"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04F88410"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4CEF19E0" w14:textId="77777777" w:rsidR="006F3CBF" w:rsidRPr="006F3CBF" w:rsidRDefault="006F3CBF" w:rsidP="003340DD">
            <w:pPr>
              <w:pStyle w:val="TableTextRight"/>
              <w:rPr>
                <w:b/>
                <w:color w:val="000000"/>
              </w:rPr>
            </w:pPr>
            <w:r w:rsidRPr="006F3CBF">
              <w:rPr>
                <w:b/>
                <w:color w:val="000000"/>
              </w:rPr>
              <w:t> </w:t>
            </w:r>
          </w:p>
        </w:tc>
        <w:tc>
          <w:tcPr>
            <w:tcW w:w="804" w:type="dxa"/>
            <w:shd w:val="clear" w:color="000000" w:fill="FFFFFF"/>
            <w:noWrap/>
            <w:vAlign w:val="center"/>
            <w:hideMark/>
          </w:tcPr>
          <w:p w14:paraId="0BC08BD5" w14:textId="77777777" w:rsidR="006F3CBF" w:rsidRPr="006F3CBF" w:rsidRDefault="006F3CBF" w:rsidP="003340DD">
            <w:pPr>
              <w:pStyle w:val="TableTextRight"/>
              <w:rPr>
                <w:b/>
                <w:color w:val="000000"/>
              </w:rPr>
            </w:pPr>
            <w:r w:rsidRPr="006F3CBF">
              <w:rPr>
                <w:b/>
                <w:color w:val="000000"/>
              </w:rPr>
              <w:t> </w:t>
            </w:r>
          </w:p>
        </w:tc>
      </w:tr>
      <w:tr w:rsidR="006F3CBF" w:rsidRPr="006F3CBF" w14:paraId="5B3BB56C" w14:textId="77777777" w:rsidTr="007D11F4">
        <w:trPr>
          <w:trHeight w:val="225"/>
        </w:trPr>
        <w:tc>
          <w:tcPr>
            <w:tcW w:w="2977" w:type="dxa"/>
            <w:tcBorders>
              <w:bottom w:val="single" w:sz="4" w:space="0" w:color="293F5B"/>
            </w:tcBorders>
            <w:shd w:val="clear" w:color="000000" w:fill="FFFFFF"/>
            <w:noWrap/>
            <w:vAlign w:val="center"/>
            <w:hideMark/>
          </w:tcPr>
          <w:p w14:paraId="2F4CF01D" w14:textId="77777777" w:rsidR="006F3CBF" w:rsidRPr="006B4293" w:rsidRDefault="006F3CBF" w:rsidP="00802A7A">
            <w:pPr>
              <w:pStyle w:val="TableTextIndented"/>
              <w:rPr>
                <w:rFonts w:cs="Arial"/>
                <w:b/>
                <w:szCs w:val="16"/>
              </w:rPr>
            </w:pPr>
            <w:r w:rsidRPr="006B4293">
              <w:rPr>
                <w:rFonts w:cs="Arial"/>
                <w:b/>
                <w:szCs w:val="16"/>
              </w:rPr>
              <w:t>(Net lending/borrowing)(c)</w:t>
            </w:r>
          </w:p>
        </w:tc>
        <w:tc>
          <w:tcPr>
            <w:tcW w:w="567" w:type="dxa"/>
            <w:tcBorders>
              <w:bottom w:val="single" w:sz="4" w:space="0" w:color="293F5B"/>
            </w:tcBorders>
            <w:shd w:val="clear" w:color="000000" w:fill="FFFFFF"/>
            <w:noWrap/>
            <w:vAlign w:val="center"/>
            <w:hideMark/>
          </w:tcPr>
          <w:p w14:paraId="35A4441B" w14:textId="263A9F23" w:rsidR="006F3CBF" w:rsidRPr="001A258B" w:rsidRDefault="006F3CBF" w:rsidP="001A258B">
            <w:pPr>
              <w:pStyle w:val="TableTextCentred"/>
            </w:pPr>
          </w:p>
        </w:tc>
        <w:tc>
          <w:tcPr>
            <w:tcW w:w="950" w:type="dxa"/>
            <w:tcBorders>
              <w:bottom w:val="single" w:sz="4" w:space="0" w:color="293F5B"/>
            </w:tcBorders>
            <w:shd w:val="clear" w:color="000000" w:fill="FFFFFF"/>
            <w:noWrap/>
            <w:vAlign w:val="center"/>
            <w:hideMark/>
          </w:tcPr>
          <w:p w14:paraId="79D582CB" w14:textId="77777777" w:rsidR="006F3CBF" w:rsidRPr="006F3CBF" w:rsidRDefault="006F3CBF" w:rsidP="003340DD">
            <w:pPr>
              <w:pStyle w:val="TableTextRight"/>
              <w:rPr>
                <w:b/>
                <w:color w:val="000000"/>
              </w:rPr>
            </w:pPr>
            <w:r w:rsidRPr="006F3CBF">
              <w:rPr>
                <w:b/>
                <w:color w:val="000000"/>
              </w:rPr>
              <w:t>8,053</w:t>
            </w:r>
          </w:p>
        </w:tc>
        <w:tc>
          <w:tcPr>
            <w:tcW w:w="804" w:type="dxa"/>
            <w:tcBorders>
              <w:bottom w:val="single" w:sz="4" w:space="0" w:color="293F5B"/>
            </w:tcBorders>
            <w:shd w:val="clear" w:color="000000" w:fill="E6F2FF"/>
            <w:noWrap/>
            <w:vAlign w:val="center"/>
            <w:hideMark/>
          </w:tcPr>
          <w:p w14:paraId="0F078E6D" w14:textId="50BEA10E" w:rsidR="006F3CBF" w:rsidRPr="006F3CBF" w:rsidRDefault="00325E1E" w:rsidP="003340DD">
            <w:pPr>
              <w:pStyle w:val="TableTextRight"/>
              <w:rPr>
                <w:b/>
                <w:color w:val="000000"/>
              </w:rPr>
            </w:pPr>
            <w:r>
              <w:rPr>
                <w:b/>
                <w:bCs/>
                <w:color w:val="000000"/>
              </w:rPr>
              <w:noBreakHyphen/>
            </w:r>
            <w:r w:rsidR="006F3CBF" w:rsidRPr="006F3CBF">
              <w:rPr>
                <w:b/>
                <w:color w:val="000000"/>
              </w:rPr>
              <w:t>29,316</w:t>
            </w:r>
          </w:p>
        </w:tc>
        <w:tc>
          <w:tcPr>
            <w:tcW w:w="804" w:type="dxa"/>
            <w:tcBorders>
              <w:bottom w:val="single" w:sz="4" w:space="0" w:color="293F5B"/>
            </w:tcBorders>
            <w:shd w:val="clear" w:color="000000" w:fill="FFFFFF"/>
            <w:noWrap/>
            <w:vAlign w:val="center"/>
            <w:hideMark/>
          </w:tcPr>
          <w:p w14:paraId="2FEF95A2" w14:textId="69E57F54" w:rsidR="006F3CBF" w:rsidRPr="006F3CBF" w:rsidRDefault="00325E1E" w:rsidP="003340DD">
            <w:pPr>
              <w:pStyle w:val="TableTextRight"/>
              <w:rPr>
                <w:b/>
                <w:color w:val="000000"/>
              </w:rPr>
            </w:pPr>
            <w:r>
              <w:rPr>
                <w:b/>
                <w:bCs/>
                <w:color w:val="000000"/>
              </w:rPr>
              <w:noBreakHyphen/>
            </w:r>
            <w:r w:rsidR="006F3CBF" w:rsidRPr="006F3CBF">
              <w:rPr>
                <w:b/>
                <w:color w:val="000000"/>
              </w:rPr>
              <w:t>42,604</w:t>
            </w:r>
          </w:p>
        </w:tc>
        <w:tc>
          <w:tcPr>
            <w:tcW w:w="804" w:type="dxa"/>
            <w:tcBorders>
              <w:bottom w:val="single" w:sz="4" w:space="0" w:color="293F5B"/>
            </w:tcBorders>
            <w:shd w:val="clear" w:color="000000" w:fill="FFFFFF"/>
            <w:noWrap/>
            <w:vAlign w:val="center"/>
            <w:hideMark/>
          </w:tcPr>
          <w:p w14:paraId="154C3DDF" w14:textId="0FC37209" w:rsidR="006F3CBF" w:rsidRPr="006F3CBF" w:rsidRDefault="00325E1E" w:rsidP="003340DD">
            <w:pPr>
              <w:pStyle w:val="TableTextRight"/>
              <w:rPr>
                <w:b/>
                <w:color w:val="000000"/>
              </w:rPr>
            </w:pPr>
            <w:r>
              <w:rPr>
                <w:b/>
                <w:bCs/>
                <w:color w:val="000000"/>
              </w:rPr>
              <w:noBreakHyphen/>
            </w:r>
            <w:r w:rsidR="006F3CBF" w:rsidRPr="006F3CBF">
              <w:rPr>
                <w:b/>
                <w:color w:val="000000"/>
              </w:rPr>
              <w:t>26,514</w:t>
            </w:r>
          </w:p>
        </w:tc>
        <w:tc>
          <w:tcPr>
            <w:tcW w:w="804" w:type="dxa"/>
            <w:tcBorders>
              <w:bottom w:val="single" w:sz="4" w:space="0" w:color="293F5B"/>
            </w:tcBorders>
            <w:shd w:val="clear" w:color="000000" w:fill="FFFFFF"/>
            <w:noWrap/>
            <w:vAlign w:val="center"/>
            <w:hideMark/>
          </w:tcPr>
          <w:p w14:paraId="28EE5B92" w14:textId="3E45B396" w:rsidR="006F3CBF" w:rsidRPr="006F3CBF" w:rsidRDefault="00325E1E" w:rsidP="003340DD">
            <w:pPr>
              <w:pStyle w:val="TableTextRight"/>
              <w:rPr>
                <w:b/>
                <w:color w:val="000000"/>
              </w:rPr>
            </w:pPr>
            <w:r>
              <w:rPr>
                <w:b/>
                <w:bCs/>
                <w:color w:val="000000"/>
              </w:rPr>
              <w:noBreakHyphen/>
            </w:r>
            <w:r w:rsidR="006F3CBF" w:rsidRPr="006F3CBF">
              <w:rPr>
                <w:b/>
                <w:color w:val="000000"/>
              </w:rPr>
              <w:t>22,026</w:t>
            </w:r>
          </w:p>
        </w:tc>
      </w:tr>
    </w:tbl>
    <w:p w14:paraId="13E1E8CB" w14:textId="4B3D4098" w:rsidR="00D8138E" w:rsidRPr="005E27E0" w:rsidRDefault="00D8138E" w:rsidP="001238B3">
      <w:pPr>
        <w:pStyle w:val="ChartandTableFootnoteAlpha"/>
      </w:pPr>
      <w:r w:rsidRPr="00663990">
        <w:t>Consistent</w:t>
      </w:r>
      <w:r w:rsidRPr="005E27E0">
        <w:t xml:space="preserve"> </w:t>
      </w:r>
      <w:r w:rsidRPr="00663990">
        <w:t>with</w:t>
      </w:r>
      <w:r w:rsidRPr="005E27E0">
        <w:t xml:space="preserve"> the ABS GFS classification, other employee related expenses are classified separately from wages and salaries under other operating expenses. Total employee expenses equal wages and salaries plus other operating expenses.</w:t>
      </w:r>
    </w:p>
    <w:p w14:paraId="5CAC7382" w14:textId="77777777" w:rsidR="00D8138E" w:rsidRPr="005E27E0" w:rsidRDefault="00D8138E" w:rsidP="00D8138E">
      <w:pPr>
        <w:pStyle w:val="ChartandTableFootnoteAlpha"/>
      </w:pPr>
      <w:r w:rsidRPr="005E27E0">
        <w:t>Operating result under AAS.</w:t>
      </w:r>
    </w:p>
    <w:p w14:paraId="5ED8322B" w14:textId="77777777" w:rsidR="00D8138E" w:rsidRPr="005E27E0" w:rsidRDefault="00D8138E" w:rsidP="00D8138E">
      <w:pPr>
        <w:pStyle w:val="ChartandTableFootnoteAlpha"/>
      </w:pPr>
      <w:r w:rsidRPr="005E27E0">
        <w:t>The term fiscal balance is not used by the ABS.</w:t>
      </w:r>
    </w:p>
    <w:p w14:paraId="270983B3" w14:textId="77777777" w:rsidR="00D8138E" w:rsidRPr="00EA746C" w:rsidRDefault="00D8138E" w:rsidP="0045580D">
      <w:pPr>
        <w:pStyle w:val="TableLine"/>
      </w:pPr>
    </w:p>
    <w:p w14:paraId="330E28F8" w14:textId="0ABBB6E0" w:rsidR="00D8138E" w:rsidRPr="00EA746C" w:rsidRDefault="00D8138E" w:rsidP="00D8138E">
      <w:r w:rsidRPr="00EA746C">
        <w:br w:type="page"/>
      </w:r>
    </w:p>
    <w:p w14:paraId="1C627392" w14:textId="0BFE790B" w:rsidR="006951D1" w:rsidRPr="006951D1" w:rsidRDefault="00A96E0D" w:rsidP="006951D1">
      <w:pPr>
        <w:pStyle w:val="TableHeading"/>
        <w:rPr>
          <w:rFonts w:asciiTheme="minorHAnsi" w:eastAsiaTheme="minorHAnsi" w:hAnsiTheme="minorHAnsi" w:cstheme="minorBidi"/>
          <w:b w:val="0"/>
          <w:sz w:val="22"/>
          <w:szCs w:val="22"/>
          <w:lang w:eastAsia="en-US"/>
        </w:rPr>
      </w:pPr>
      <w:r>
        <w:lastRenderedPageBreak/>
        <w:t>Table </w:t>
      </w:r>
      <w:r w:rsidR="00D8138E" w:rsidRPr="00E86D73">
        <w:t>1</w:t>
      </w:r>
      <w:r w:rsidR="005A3823">
        <w:t>0</w:t>
      </w:r>
      <w:r w:rsidR="00D8138E" w:rsidRPr="00E86D73">
        <w:t>.</w:t>
      </w:r>
      <w:r w:rsidR="001231EE">
        <w:t>2</w:t>
      </w:r>
      <w:r w:rsidR="00D8138E" w:rsidRPr="00E86D73">
        <w:t>: Australian Government general government sector balance sheet</w:t>
      </w:r>
    </w:p>
    <w:tbl>
      <w:tblPr>
        <w:tblW w:w="5000" w:type="pct"/>
        <w:tblCellMar>
          <w:left w:w="0" w:type="dxa"/>
          <w:right w:w="28" w:type="dxa"/>
        </w:tblCellMar>
        <w:tblLook w:val="04A0" w:firstRow="1" w:lastRow="0" w:firstColumn="1" w:lastColumn="0" w:noHBand="0" w:noVBand="1"/>
      </w:tblPr>
      <w:tblGrid>
        <w:gridCol w:w="2886"/>
        <w:gridCol w:w="540"/>
        <w:gridCol w:w="791"/>
        <w:gridCol w:w="791"/>
        <w:gridCol w:w="790"/>
        <w:gridCol w:w="956"/>
        <w:gridCol w:w="956"/>
      </w:tblGrid>
      <w:tr w:rsidR="006951D1" w:rsidRPr="006951D1" w14:paraId="6C9EE9AD" w14:textId="77777777" w:rsidTr="008A66B4">
        <w:trPr>
          <w:trHeight w:hRule="exact" w:val="225"/>
        </w:trPr>
        <w:tc>
          <w:tcPr>
            <w:tcW w:w="1872" w:type="pct"/>
            <w:tcBorders>
              <w:top w:val="single" w:sz="4" w:space="0" w:color="293F5B"/>
              <w:left w:val="nil"/>
              <w:bottom w:val="nil"/>
              <w:right w:val="nil"/>
            </w:tcBorders>
            <w:shd w:val="clear" w:color="000000" w:fill="FFFFFF"/>
            <w:noWrap/>
            <w:vAlign w:val="center"/>
            <w:hideMark/>
          </w:tcPr>
          <w:p w14:paraId="3E1026D2" w14:textId="37499193" w:rsidR="006951D1" w:rsidRPr="006951D1" w:rsidRDefault="006951D1" w:rsidP="006951D1">
            <w:pPr>
              <w:spacing w:after="0"/>
              <w:rPr>
                <w:rFonts w:ascii="Arial" w:hAnsi="Arial" w:cs="Arial"/>
                <w:sz w:val="16"/>
                <w:szCs w:val="16"/>
              </w:rPr>
            </w:pPr>
            <w:r w:rsidRPr="006951D1">
              <w:rPr>
                <w:rFonts w:ascii="Arial" w:hAnsi="Arial" w:cs="Arial"/>
                <w:sz w:val="16"/>
                <w:szCs w:val="16"/>
              </w:rPr>
              <w:t> </w:t>
            </w:r>
          </w:p>
        </w:tc>
        <w:tc>
          <w:tcPr>
            <w:tcW w:w="350" w:type="pct"/>
            <w:tcBorders>
              <w:top w:val="single" w:sz="4" w:space="0" w:color="293F5B"/>
              <w:left w:val="nil"/>
              <w:bottom w:val="nil"/>
              <w:right w:val="nil"/>
            </w:tcBorders>
            <w:shd w:val="clear" w:color="000000" w:fill="FFFFFF"/>
            <w:noWrap/>
            <w:vAlign w:val="center"/>
            <w:hideMark/>
          </w:tcPr>
          <w:p w14:paraId="0CAE08E7" w14:textId="77777777" w:rsidR="006951D1" w:rsidRPr="006951D1" w:rsidRDefault="006951D1" w:rsidP="006951D1">
            <w:pPr>
              <w:spacing w:before="0" w:after="0" w:line="240" w:lineRule="auto"/>
              <w:jc w:val="center"/>
              <w:rPr>
                <w:rFonts w:ascii="Arial" w:hAnsi="Arial" w:cs="Arial"/>
                <w:sz w:val="16"/>
                <w:szCs w:val="16"/>
              </w:rPr>
            </w:pPr>
            <w:r w:rsidRPr="006951D1">
              <w:rPr>
                <w:rFonts w:ascii="Arial" w:hAnsi="Arial" w:cs="Arial"/>
                <w:sz w:val="16"/>
                <w:szCs w:val="16"/>
              </w:rPr>
              <w:t> </w:t>
            </w:r>
          </w:p>
        </w:tc>
        <w:tc>
          <w:tcPr>
            <w:tcW w:w="2777" w:type="pct"/>
            <w:gridSpan w:val="5"/>
            <w:tcBorders>
              <w:top w:val="single" w:sz="4" w:space="0" w:color="293F5B"/>
              <w:left w:val="nil"/>
              <w:bottom w:val="single" w:sz="4" w:space="0" w:color="293F5B"/>
              <w:right w:val="nil"/>
            </w:tcBorders>
            <w:shd w:val="clear" w:color="000000" w:fill="FFFFFF"/>
            <w:noWrap/>
            <w:vAlign w:val="center"/>
            <w:hideMark/>
          </w:tcPr>
          <w:p w14:paraId="0B984BC1" w14:textId="77E76309" w:rsidR="006951D1" w:rsidRPr="006951D1" w:rsidRDefault="00337E17" w:rsidP="00EC6741">
            <w:pPr>
              <w:spacing w:before="0" w:after="0" w:line="240" w:lineRule="auto"/>
              <w:jc w:val="center"/>
              <w:rPr>
                <w:rFonts w:ascii="Arial" w:hAnsi="Arial" w:cs="Arial"/>
                <w:sz w:val="16"/>
                <w:szCs w:val="16"/>
              </w:rPr>
            </w:pPr>
            <w:r w:rsidRPr="00247568">
              <w:rPr>
                <w:rFonts w:ascii="Arial" w:hAnsi="Arial" w:cs="Arial"/>
                <w:sz w:val="16"/>
                <w:szCs w:val="16"/>
              </w:rPr>
              <w:t>Estimates</w:t>
            </w:r>
          </w:p>
        </w:tc>
      </w:tr>
      <w:tr w:rsidR="006951D1" w:rsidRPr="006951D1" w14:paraId="012183C8"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27778564" w14:textId="77777777" w:rsidR="006951D1" w:rsidRPr="006951D1" w:rsidRDefault="006951D1" w:rsidP="006951D1">
            <w:pPr>
              <w:spacing w:before="0" w:after="0" w:line="240" w:lineRule="auto"/>
              <w:rPr>
                <w:rFonts w:ascii="Arial" w:hAnsi="Arial" w:cs="Arial"/>
                <w:sz w:val="16"/>
                <w:szCs w:val="16"/>
              </w:rPr>
            </w:pPr>
            <w:r w:rsidRPr="006951D1">
              <w:rPr>
                <w:rFonts w:ascii="Arial" w:hAnsi="Arial" w:cs="Arial"/>
                <w:sz w:val="16"/>
                <w:szCs w:val="16"/>
              </w:rPr>
              <w:t> </w:t>
            </w:r>
          </w:p>
        </w:tc>
        <w:tc>
          <w:tcPr>
            <w:tcW w:w="350" w:type="pct"/>
            <w:tcBorders>
              <w:top w:val="nil"/>
              <w:left w:val="nil"/>
              <w:bottom w:val="nil"/>
              <w:right w:val="nil"/>
            </w:tcBorders>
            <w:shd w:val="clear" w:color="000000" w:fill="FFFFFF"/>
            <w:noWrap/>
            <w:vAlign w:val="center"/>
            <w:hideMark/>
          </w:tcPr>
          <w:p w14:paraId="2F450467" w14:textId="77777777" w:rsidR="006951D1" w:rsidRPr="006951D1" w:rsidRDefault="006951D1" w:rsidP="006951D1">
            <w:pPr>
              <w:spacing w:before="0" w:after="0" w:line="240" w:lineRule="auto"/>
              <w:jc w:val="center"/>
              <w:rPr>
                <w:rFonts w:ascii="Arial" w:hAnsi="Arial" w:cs="Arial"/>
                <w:sz w:val="16"/>
                <w:szCs w:val="16"/>
              </w:rPr>
            </w:pPr>
            <w:r w:rsidRPr="006951D1">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05C6AA4E" w14:textId="1AD4CE3D" w:rsidR="006951D1" w:rsidRPr="006951D1" w:rsidRDefault="006951D1" w:rsidP="006951D1">
            <w:pPr>
              <w:spacing w:before="0" w:after="0" w:line="240" w:lineRule="auto"/>
              <w:jc w:val="right"/>
              <w:rPr>
                <w:rFonts w:ascii="Arial" w:hAnsi="Arial" w:cs="Arial"/>
                <w:sz w:val="16"/>
                <w:szCs w:val="16"/>
              </w:rPr>
            </w:pPr>
            <w:r w:rsidRPr="006951D1">
              <w:rPr>
                <w:rFonts w:ascii="Arial" w:hAnsi="Arial" w:cs="Arial"/>
                <w:sz w:val="16"/>
                <w:szCs w:val="16"/>
              </w:rPr>
              <w:t>2023</w:t>
            </w:r>
            <w:r w:rsidR="00325E1E">
              <w:rPr>
                <w:rFonts w:ascii="Arial" w:hAnsi="Arial" w:cs="Arial"/>
                <w:sz w:val="16"/>
                <w:szCs w:val="16"/>
              </w:rPr>
              <w:noBreakHyphen/>
            </w:r>
            <w:r w:rsidRPr="006951D1">
              <w:rPr>
                <w:rFonts w:ascii="Arial" w:hAnsi="Arial" w:cs="Arial"/>
                <w:sz w:val="16"/>
                <w:szCs w:val="16"/>
              </w:rPr>
              <w:t>24</w:t>
            </w:r>
          </w:p>
        </w:tc>
        <w:tc>
          <w:tcPr>
            <w:tcW w:w="513" w:type="pct"/>
            <w:tcBorders>
              <w:top w:val="nil"/>
              <w:left w:val="nil"/>
              <w:bottom w:val="nil"/>
              <w:right w:val="nil"/>
            </w:tcBorders>
            <w:shd w:val="clear" w:color="000000" w:fill="E6F2FF"/>
            <w:noWrap/>
            <w:vAlign w:val="center"/>
            <w:hideMark/>
          </w:tcPr>
          <w:p w14:paraId="31801F5E" w14:textId="0E47021B" w:rsidR="006951D1" w:rsidRPr="006951D1" w:rsidRDefault="006951D1" w:rsidP="006951D1">
            <w:pPr>
              <w:spacing w:before="0" w:after="0" w:line="240" w:lineRule="auto"/>
              <w:jc w:val="right"/>
              <w:rPr>
                <w:rFonts w:ascii="Arial" w:hAnsi="Arial" w:cs="Arial"/>
                <w:sz w:val="16"/>
                <w:szCs w:val="16"/>
              </w:rPr>
            </w:pPr>
            <w:r w:rsidRPr="006951D1">
              <w:rPr>
                <w:rFonts w:ascii="Arial" w:hAnsi="Arial" w:cs="Arial"/>
                <w:sz w:val="16"/>
                <w:szCs w:val="16"/>
              </w:rPr>
              <w:t>2024</w:t>
            </w:r>
            <w:r w:rsidR="00325E1E">
              <w:rPr>
                <w:rFonts w:ascii="Arial" w:hAnsi="Arial" w:cs="Arial"/>
                <w:sz w:val="16"/>
                <w:szCs w:val="16"/>
              </w:rPr>
              <w:noBreakHyphen/>
            </w:r>
            <w:r w:rsidRPr="006951D1">
              <w:rPr>
                <w:rFonts w:ascii="Arial" w:hAnsi="Arial" w:cs="Arial"/>
                <w:sz w:val="16"/>
                <w:szCs w:val="16"/>
              </w:rPr>
              <w:t>25</w:t>
            </w:r>
          </w:p>
        </w:tc>
        <w:tc>
          <w:tcPr>
            <w:tcW w:w="512" w:type="pct"/>
            <w:tcBorders>
              <w:top w:val="nil"/>
              <w:left w:val="nil"/>
              <w:bottom w:val="nil"/>
              <w:right w:val="nil"/>
            </w:tcBorders>
            <w:shd w:val="clear" w:color="000000" w:fill="FFFFFF"/>
            <w:noWrap/>
            <w:vAlign w:val="center"/>
            <w:hideMark/>
          </w:tcPr>
          <w:p w14:paraId="1B40395C" w14:textId="0F7F17A4" w:rsidR="006951D1" w:rsidRPr="006951D1" w:rsidRDefault="006951D1" w:rsidP="006951D1">
            <w:pPr>
              <w:spacing w:before="0" w:after="0" w:line="240" w:lineRule="auto"/>
              <w:jc w:val="right"/>
              <w:rPr>
                <w:rFonts w:ascii="Arial" w:hAnsi="Arial" w:cs="Arial"/>
                <w:sz w:val="16"/>
                <w:szCs w:val="16"/>
              </w:rPr>
            </w:pPr>
            <w:r w:rsidRPr="006951D1">
              <w:rPr>
                <w:rFonts w:ascii="Arial" w:hAnsi="Arial" w:cs="Arial"/>
                <w:sz w:val="16"/>
                <w:szCs w:val="16"/>
              </w:rPr>
              <w:t>2025</w:t>
            </w:r>
            <w:r w:rsidR="00325E1E">
              <w:rPr>
                <w:rFonts w:ascii="Arial" w:hAnsi="Arial" w:cs="Arial"/>
                <w:sz w:val="16"/>
                <w:szCs w:val="16"/>
              </w:rPr>
              <w:noBreakHyphen/>
            </w:r>
            <w:r w:rsidRPr="006951D1">
              <w:rPr>
                <w:rFonts w:ascii="Arial" w:hAnsi="Arial" w:cs="Arial"/>
                <w:sz w:val="16"/>
                <w:szCs w:val="16"/>
              </w:rPr>
              <w:t>26</w:t>
            </w:r>
          </w:p>
        </w:tc>
        <w:tc>
          <w:tcPr>
            <w:tcW w:w="620" w:type="pct"/>
            <w:tcBorders>
              <w:top w:val="nil"/>
              <w:left w:val="nil"/>
              <w:bottom w:val="nil"/>
              <w:right w:val="nil"/>
            </w:tcBorders>
            <w:shd w:val="clear" w:color="000000" w:fill="FFFFFF"/>
            <w:noWrap/>
            <w:vAlign w:val="center"/>
            <w:hideMark/>
          </w:tcPr>
          <w:p w14:paraId="09E53A98" w14:textId="26A01381" w:rsidR="006951D1" w:rsidRPr="006951D1" w:rsidRDefault="006951D1" w:rsidP="006951D1">
            <w:pPr>
              <w:spacing w:before="0" w:after="0" w:line="240" w:lineRule="auto"/>
              <w:jc w:val="right"/>
              <w:rPr>
                <w:rFonts w:ascii="Arial" w:hAnsi="Arial" w:cs="Arial"/>
                <w:sz w:val="16"/>
                <w:szCs w:val="16"/>
              </w:rPr>
            </w:pPr>
            <w:r w:rsidRPr="006951D1">
              <w:rPr>
                <w:rFonts w:ascii="Arial" w:hAnsi="Arial" w:cs="Arial"/>
                <w:sz w:val="16"/>
                <w:szCs w:val="16"/>
              </w:rPr>
              <w:t>2026</w:t>
            </w:r>
            <w:r w:rsidR="00325E1E">
              <w:rPr>
                <w:rFonts w:ascii="Arial" w:hAnsi="Arial" w:cs="Arial"/>
                <w:sz w:val="16"/>
                <w:szCs w:val="16"/>
              </w:rPr>
              <w:noBreakHyphen/>
            </w:r>
            <w:r w:rsidRPr="006951D1">
              <w:rPr>
                <w:rFonts w:ascii="Arial" w:hAnsi="Arial" w:cs="Arial"/>
                <w:sz w:val="16"/>
                <w:szCs w:val="16"/>
              </w:rPr>
              <w:t>27</w:t>
            </w:r>
          </w:p>
        </w:tc>
        <w:tc>
          <w:tcPr>
            <w:tcW w:w="620" w:type="pct"/>
            <w:tcBorders>
              <w:top w:val="nil"/>
              <w:left w:val="nil"/>
              <w:bottom w:val="nil"/>
              <w:right w:val="nil"/>
            </w:tcBorders>
            <w:shd w:val="clear" w:color="000000" w:fill="FFFFFF"/>
            <w:noWrap/>
            <w:vAlign w:val="center"/>
            <w:hideMark/>
          </w:tcPr>
          <w:p w14:paraId="3A05873A" w14:textId="66FB9EC2"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2027</w:t>
            </w:r>
            <w:r w:rsidR="00325E1E">
              <w:rPr>
                <w:rFonts w:ascii="Arial" w:hAnsi="Arial" w:cs="Arial"/>
                <w:color w:val="000000"/>
                <w:sz w:val="16"/>
                <w:szCs w:val="16"/>
              </w:rPr>
              <w:noBreakHyphen/>
            </w:r>
            <w:r w:rsidRPr="006951D1">
              <w:rPr>
                <w:rFonts w:ascii="Arial" w:hAnsi="Arial" w:cs="Arial"/>
                <w:color w:val="000000"/>
                <w:sz w:val="16"/>
                <w:szCs w:val="16"/>
              </w:rPr>
              <w:t>28</w:t>
            </w:r>
          </w:p>
        </w:tc>
      </w:tr>
      <w:tr w:rsidR="006951D1" w:rsidRPr="006951D1" w14:paraId="1DC6AB21"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7DC93C9C" w14:textId="77777777" w:rsidR="006951D1" w:rsidRPr="006951D1" w:rsidRDefault="006951D1" w:rsidP="006951D1">
            <w:pPr>
              <w:spacing w:before="0" w:after="0" w:line="240" w:lineRule="auto"/>
              <w:rPr>
                <w:rFonts w:ascii="Arial" w:hAnsi="Arial" w:cs="Arial"/>
                <w:sz w:val="16"/>
                <w:szCs w:val="16"/>
              </w:rPr>
            </w:pPr>
            <w:r w:rsidRPr="006951D1">
              <w:rPr>
                <w:rFonts w:ascii="Arial" w:hAnsi="Arial" w:cs="Arial"/>
                <w:sz w:val="16"/>
                <w:szCs w:val="16"/>
              </w:rPr>
              <w:t> </w:t>
            </w:r>
          </w:p>
        </w:tc>
        <w:tc>
          <w:tcPr>
            <w:tcW w:w="350" w:type="pct"/>
            <w:tcBorders>
              <w:top w:val="nil"/>
              <w:left w:val="nil"/>
              <w:bottom w:val="nil"/>
              <w:right w:val="nil"/>
            </w:tcBorders>
            <w:shd w:val="clear" w:color="000000" w:fill="FFFFFF"/>
            <w:noWrap/>
            <w:vAlign w:val="center"/>
            <w:hideMark/>
          </w:tcPr>
          <w:p w14:paraId="2C272C47"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Note</w:t>
            </w:r>
          </w:p>
        </w:tc>
        <w:tc>
          <w:tcPr>
            <w:tcW w:w="513" w:type="pct"/>
            <w:tcBorders>
              <w:top w:val="nil"/>
              <w:left w:val="nil"/>
              <w:bottom w:val="single" w:sz="4" w:space="0" w:color="293F5B"/>
              <w:right w:val="nil"/>
            </w:tcBorders>
            <w:shd w:val="clear" w:color="000000" w:fill="FFFFFF"/>
            <w:noWrap/>
            <w:vAlign w:val="center"/>
            <w:hideMark/>
          </w:tcPr>
          <w:p w14:paraId="75DA6BB1"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E6F2FF"/>
            <w:noWrap/>
            <w:vAlign w:val="center"/>
            <w:hideMark/>
          </w:tcPr>
          <w:p w14:paraId="57626594"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$m</w:t>
            </w:r>
          </w:p>
        </w:tc>
        <w:tc>
          <w:tcPr>
            <w:tcW w:w="512" w:type="pct"/>
            <w:tcBorders>
              <w:top w:val="nil"/>
              <w:left w:val="nil"/>
              <w:bottom w:val="single" w:sz="4" w:space="0" w:color="293F5B"/>
              <w:right w:val="nil"/>
            </w:tcBorders>
            <w:shd w:val="clear" w:color="000000" w:fill="FFFFFF"/>
            <w:noWrap/>
            <w:vAlign w:val="center"/>
            <w:hideMark/>
          </w:tcPr>
          <w:p w14:paraId="74DFB767"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$m</w:t>
            </w:r>
          </w:p>
        </w:tc>
        <w:tc>
          <w:tcPr>
            <w:tcW w:w="620" w:type="pct"/>
            <w:tcBorders>
              <w:top w:val="nil"/>
              <w:left w:val="nil"/>
              <w:bottom w:val="single" w:sz="4" w:space="0" w:color="293F5B"/>
              <w:right w:val="nil"/>
            </w:tcBorders>
            <w:shd w:val="clear" w:color="000000" w:fill="FFFFFF"/>
            <w:noWrap/>
            <w:vAlign w:val="center"/>
            <w:hideMark/>
          </w:tcPr>
          <w:p w14:paraId="458BE60D"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$m</w:t>
            </w:r>
          </w:p>
        </w:tc>
        <w:tc>
          <w:tcPr>
            <w:tcW w:w="620" w:type="pct"/>
            <w:tcBorders>
              <w:top w:val="nil"/>
              <w:left w:val="nil"/>
              <w:bottom w:val="single" w:sz="4" w:space="0" w:color="293F5B"/>
              <w:right w:val="nil"/>
            </w:tcBorders>
            <w:shd w:val="clear" w:color="000000" w:fill="FFFFFF"/>
            <w:noWrap/>
            <w:vAlign w:val="center"/>
            <w:hideMark/>
          </w:tcPr>
          <w:p w14:paraId="23054F79" w14:textId="77777777" w:rsidR="006951D1" w:rsidRPr="006951D1" w:rsidRDefault="006951D1" w:rsidP="006951D1">
            <w:pPr>
              <w:spacing w:before="0" w:after="0" w:line="240" w:lineRule="auto"/>
              <w:jc w:val="right"/>
              <w:rPr>
                <w:rFonts w:ascii="Arial" w:hAnsi="Arial" w:cs="Arial"/>
                <w:color w:val="000000"/>
                <w:sz w:val="16"/>
                <w:szCs w:val="16"/>
              </w:rPr>
            </w:pPr>
            <w:r w:rsidRPr="006951D1">
              <w:rPr>
                <w:rFonts w:ascii="Arial" w:hAnsi="Arial" w:cs="Arial"/>
                <w:color w:val="000000"/>
                <w:sz w:val="16"/>
                <w:szCs w:val="16"/>
              </w:rPr>
              <w:t>$m</w:t>
            </w:r>
          </w:p>
        </w:tc>
      </w:tr>
      <w:tr w:rsidR="006951D1" w:rsidRPr="006951D1" w14:paraId="08E54086"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699FC01E" w14:textId="77777777" w:rsidR="006951D1" w:rsidRPr="00897CEF" w:rsidRDefault="006951D1" w:rsidP="006951D1">
            <w:pPr>
              <w:spacing w:before="0" w:after="0" w:line="240" w:lineRule="auto"/>
              <w:rPr>
                <w:rFonts w:ascii="Arial" w:hAnsi="Arial" w:cs="Arial"/>
                <w:b/>
                <w:bCs/>
                <w:color w:val="000000"/>
                <w:sz w:val="16"/>
                <w:szCs w:val="16"/>
              </w:rPr>
            </w:pPr>
            <w:r w:rsidRPr="00897CEF">
              <w:rPr>
                <w:rFonts w:ascii="Arial" w:hAnsi="Arial" w:cs="Arial"/>
                <w:b/>
                <w:bCs/>
                <w:color w:val="000000"/>
                <w:sz w:val="16"/>
                <w:szCs w:val="16"/>
              </w:rPr>
              <w:t>Assets</w:t>
            </w:r>
          </w:p>
        </w:tc>
        <w:tc>
          <w:tcPr>
            <w:tcW w:w="350" w:type="pct"/>
            <w:tcBorders>
              <w:top w:val="nil"/>
              <w:left w:val="nil"/>
              <w:bottom w:val="nil"/>
              <w:right w:val="nil"/>
            </w:tcBorders>
            <w:shd w:val="clear" w:color="000000" w:fill="FFFFFF"/>
            <w:noWrap/>
            <w:vAlign w:val="center"/>
            <w:hideMark/>
          </w:tcPr>
          <w:p w14:paraId="309A2268" w14:textId="77777777" w:rsidR="006951D1" w:rsidRPr="00897CEF" w:rsidRDefault="006951D1" w:rsidP="006951D1">
            <w:pPr>
              <w:spacing w:before="0" w:after="0" w:line="240" w:lineRule="auto"/>
              <w:jc w:val="center"/>
              <w:rPr>
                <w:rFonts w:ascii="Arial" w:hAnsi="Arial" w:cs="Arial"/>
                <w:b/>
                <w:bCs/>
                <w:color w:val="000000"/>
                <w:sz w:val="16"/>
                <w:szCs w:val="16"/>
              </w:rPr>
            </w:pPr>
            <w:r w:rsidRPr="00897CEF">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426ABA7"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7A93DE29"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15BEC974" w14:textId="77777777" w:rsidR="006951D1" w:rsidRPr="00897CEF" w:rsidRDefault="006951D1" w:rsidP="006951D1">
            <w:pPr>
              <w:spacing w:before="0" w:after="0" w:line="240" w:lineRule="auto"/>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534312AC" w14:textId="77777777" w:rsidR="006951D1" w:rsidRPr="00897CEF" w:rsidRDefault="006951D1" w:rsidP="006951D1">
            <w:pPr>
              <w:spacing w:before="0" w:after="0" w:line="240" w:lineRule="auto"/>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4F303EC7" w14:textId="77777777" w:rsidR="006951D1" w:rsidRPr="00897CEF" w:rsidRDefault="006951D1" w:rsidP="006951D1">
            <w:pPr>
              <w:spacing w:before="0" w:after="0" w:line="240" w:lineRule="auto"/>
              <w:rPr>
                <w:rFonts w:ascii="Arial" w:hAnsi="Arial" w:cs="Arial"/>
                <w:color w:val="000000"/>
                <w:sz w:val="16"/>
                <w:szCs w:val="16"/>
              </w:rPr>
            </w:pPr>
            <w:r w:rsidRPr="00897CEF">
              <w:rPr>
                <w:rFonts w:ascii="Arial" w:hAnsi="Arial" w:cs="Arial"/>
                <w:color w:val="000000"/>
                <w:sz w:val="16"/>
                <w:szCs w:val="16"/>
              </w:rPr>
              <w:t> </w:t>
            </w:r>
          </w:p>
        </w:tc>
      </w:tr>
      <w:tr w:rsidR="006951D1" w:rsidRPr="006951D1" w14:paraId="3D4C64EF"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5DE8FB31" w14:textId="77777777" w:rsidR="006951D1" w:rsidRPr="00897CEF" w:rsidRDefault="006951D1" w:rsidP="006951D1">
            <w:pPr>
              <w:spacing w:before="0" w:after="0" w:line="240" w:lineRule="auto"/>
              <w:rPr>
                <w:rFonts w:ascii="Arial" w:hAnsi="Arial" w:cs="Arial"/>
                <w:color w:val="000000"/>
                <w:sz w:val="16"/>
                <w:szCs w:val="16"/>
              </w:rPr>
            </w:pPr>
            <w:r w:rsidRPr="00897CEF">
              <w:rPr>
                <w:rFonts w:ascii="Arial" w:hAnsi="Arial" w:cs="Arial"/>
                <w:color w:val="000000"/>
                <w:sz w:val="16"/>
                <w:szCs w:val="16"/>
              </w:rPr>
              <w:t>Financial assets</w:t>
            </w:r>
          </w:p>
        </w:tc>
        <w:tc>
          <w:tcPr>
            <w:tcW w:w="350" w:type="pct"/>
            <w:tcBorders>
              <w:top w:val="nil"/>
              <w:left w:val="nil"/>
              <w:bottom w:val="nil"/>
              <w:right w:val="nil"/>
            </w:tcBorders>
            <w:shd w:val="clear" w:color="000000" w:fill="FFFFFF"/>
            <w:noWrap/>
            <w:vAlign w:val="center"/>
            <w:hideMark/>
          </w:tcPr>
          <w:p w14:paraId="4DF96E93" w14:textId="77777777" w:rsidR="006951D1" w:rsidRPr="00897CEF" w:rsidRDefault="006951D1" w:rsidP="006951D1">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513ED31"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187F714E"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6C2A8497"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362D8B18"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0C3DE37A"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8568DA" w:rsidRPr="006951D1" w14:paraId="01377E6D"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36C905B5" w14:textId="77777777" w:rsidR="008568DA" w:rsidRPr="00897CEF" w:rsidRDefault="008568DA"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Cash and deposits</w:t>
            </w:r>
          </w:p>
        </w:tc>
        <w:tc>
          <w:tcPr>
            <w:tcW w:w="350" w:type="pct"/>
            <w:tcBorders>
              <w:top w:val="nil"/>
              <w:left w:val="nil"/>
              <w:bottom w:val="nil"/>
              <w:right w:val="nil"/>
            </w:tcBorders>
            <w:shd w:val="clear" w:color="000000" w:fill="FFFFFF"/>
            <w:noWrap/>
            <w:vAlign w:val="center"/>
            <w:hideMark/>
          </w:tcPr>
          <w:p w14:paraId="58ECC546" w14:textId="77777777" w:rsidR="008568DA" w:rsidRPr="00897CEF" w:rsidRDefault="008568DA" w:rsidP="008568DA">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0E58E413" w14:textId="257B46B2"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89,311</w:t>
            </w:r>
          </w:p>
        </w:tc>
        <w:tc>
          <w:tcPr>
            <w:tcW w:w="513" w:type="pct"/>
            <w:tcBorders>
              <w:top w:val="nil"/>
              <w:left w:val="nil"/>
              <w:bottom w:val="nil"/>
              <w:right w:val="nil"/>
            </w:tcBorders>
            <w:shd w:val="clear" w:color="000000" w:fill="E6F2FF"/>
            <w:noWrap/>
            <w:vAlign w:val="center"/>
            <w:hideMark/>
          </w:tcPr>
          <w:p w14:paraId="033277FC" w14:textId="003C9186"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61,997</w:t>
            </w:r>
          </w:p>
        </w:tc>
        <w:tc>
          <w:tcPr>
            <w:tcW w:w="512" w:type="pct"/>
            <w:tcBorders>
              <w:top w:val="nil"/>
              <w:left w:val="nil"/>
              <w:bottom w:val="nil"/>
              <w:right w:val="nil"/>
            </w:tcBorders>
            <w:shd w:val="clear" w:color="000000" w:fill="FFFFFF"/>
            <w:noWrap/>
            <w:vAlign w:val="center"/>
            <w:hideMark/>
          </w:tcPr>
          <w:p w14:paraId="4231B22C" w14:textId="680FDF2B"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57,532</w:t>
            </w:r>
          </w:p>
        </w:tc>
        <w:tc>
          <w:tcPr>
            <w:tcW w:w="620" w:type="pct"/>
            <w:tcBorders>
              <w:top w:val="nil"/>
              <w:left w:val="nil"/>
              <w:bottom w:val="nil"/>
              <w:right w:val="nil"/>
            </w:tcBorders>
            <w:shd w:val="clear" w:color="000000" w:fill="FFFFFF"/>
            <w:noWrap/>
            <w:vAlign w:val="center"/>
            <w:hideMark/>
          </w:tcPr>
          <w:p w14:paraId="078D2199" w14:textId="20E7D6A7"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54,634</w:t>
            </w:r>
          </w:p>
        </w:tc>
        <w:tc>
          <w:tcPr>
            <w:tcW w:w="620" w:type="pct"/>
            <w:tcBorders>
              <w:top w:val="nil"/>
              <w:left w:val="nil"/>
              <w:bottom w:val="nil"/>
              <w:right w:val="nil"/>
            </w:tcBorders>
            <w:shd w:val="clear" w:color="000000" w:fill="FFFFFF"/>
            <w:noWrap/>
            <w:vAlign w:val="center"/>
            <w:hideMark/>
          </w:tcPr>
          <w:p w14:paraId="4C4EAC5E" w14:textId="3FB4B812"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49,732</w:t>
            </w:r>
          </w:p>
        </w:tc>
      </w:tr>
      <w:tr w:rsidR="008568DA" w:rsidRPr="006951D1" w14:paraId="5312C1B3"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48F9BAC5" w14:textId="77777777" w:rsidR="008568DA" w:rsidRPr="00897CEF" w:rsidRDefault="008568DA"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Advances paid</w:t>
            </w:r>
          </w:p>
        </w:tc>
        <w:tc>
          <w:tcPr>
            <w:tcW w:w="350" w:type="pct"/>
            <w:tcBorders>
              <w:top w:val="nil"/>
              <w:left w:val="nil"/>
              <w:bottom w:val="nil"/>
              <w:right w:val="nil"/>
            </w:tcBorders>
            <w:shd w:val="clear" w:color="000000" w:fill="FFFFFF"/>
            <w:noWrap/>
            <w:vAlign w:val="center"/>
            <w:hideMark/>
          </w:tcPr>
          <w:p w14:paraId="2F7EE0A0" w14:textId="77777777" w:rsidR="008568DA" w:rsidRPr="00897CEF" w:rsidRDefault="008568DA" w:rsidP="008568DA">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13</w:t>
            </w:r>
          </w:p>
        </w:tc>
        <w:tc>
          <w:tcPr>
            <w:tcW w:w="513" w:type="pct"/>
            <w:tcBorders>
              <w:top w:val="nil"/>
              <w:left w:val="nil"/>
              <w:bottom w:val="nil"/>
              <w:right w:val="nil"/>
            </w:tcBorders>
            <w:shd w:val="clear" w:color="000000" w:fill="FFFFFF"/>
            <w:noWrap/>
            <w:vAlign w:val="center"/>
            <w:hideMark/>
          </w:tcPr>
          <w:p w14:paraId="317C1CE3" w14:textId="78EF1BC4"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67,539</w:t>
            </w:r>
          </w:p>
        </w:tc>
        <w:tc>
          <w:tcPr>
            <w:tcW w:w="513" w:type="pct"/>
            <w:tcBorders>
              <w:top w:val="nil"/>
              <w:left w:val="nil"/>
              <w:bottom w:val="nil"/>
              <w:right w:val="nil"/>
            </w:tcBorders>
            <w:shd w:val="clear" w:color="000000" w:fill="E6F2FF"/>
            <w:noWrap/>
            <w:vAlign w:val="center"/>
            <w:hideMark/>
          </w:tcPr>
          <w:p w14:paraId="016D043D" w14:textId="63CA5794"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73,193</w:t>
            </w:r>
          </w:p>
        </w:tc>
        <w:tc>
          <w:tcPr>
            <w:tcW w:w="512" w:type="pct"/>
            <w:tcBorders>
              <w:top w:val="nil"/>
              <w:left w:val="nil"/>
              <w:bottom w:val="nil"/>
              <w:right w:val="nil"/>
            </w:tcBorders>
            <w:shd w:val="clear" w:color="000000" w:fill="FFFFFF"/>
            <w:noWrap/>
            <w:vAlign w:val="center"/>
            <w:hideMark/>
          </w:tcPr>
          <w:p w14:paraId="4E484E7C" w14:textId="505136D9"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83,592</w:t>
            </w:r>
          </w:p>
        </w:tc>
        <w:tc>
          <w:tcPr>
            <w:tcW w:w="620" w:type="pct"/>
            <w:tcBorders>
              <w:top w:val="nil"/>
              <w:left w:val="nil"/>
              <w:bottom w:val="nil"/>
              <w:right w:val="nil"/>
            </w:tcBorders>
            <w:shd w:val="clear" w:color="000000" w:fill="FFFFFF"/>
            <w:noWrap/>
            <w:vAlign w:val="center"/>
            <w:hideMark/>
          </w:tcPr>
          <w:p w14:paraId="46F7B8F9" w14:textId="07A1285B"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94,634</w:t>
            </w:r>
          </w:p>
        </w:tc>
        <w:tc>
          <w:tcPr>
            <w:tcW w:w="620" w:type="pct"/>
            <w:tcBorders>
              <w:top w:val="nil"/>
              <w:left w:val="nil"/>
              <w:bottom w:val="nil"/>
              <w:right w:val="nil"/>
            </w:tcBorders>
            <w:shd w:val="clear" w:color="000000" w:fill="FFFFFF"/>
            <w:noWrap/>
            <w:vAlign w:val="center"/>
            <w:hideMark/>
          </w:tcPr>
          <w:p w14:paraId="28800A2A" w14:textId="2BE8E68E"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105,091</w:t>
            </w:r>
          </w:p>
        </w:tc>
      </w:tr>
      <w:tr w:rsidR="008568DA" w:rsidRPr="006951D1" w14:paraId="5AFA2BCC"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119DE512" w14:textId="77777777" w:rsidR="008568DA" w:rsidRPr="00897CEF" w:rsidRDefault="008568DA"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Investments, loans and placements</w:t>
            </w:r>
          </w:p>
        </w:tc>
        <w:tc>
          <w:tcPr>
            <w:tcW w:w="350" w:type="pct"/>
            <w:tcBorders>
              <w:top w:val="nil"/>
              <w:left w:val="nil"/>
              <w:bottom w:val="nil"/>
              <w:right w:val="nil"/>
            </w:tcBorders>
            <w:shd w:val="clear" w:color="000000" w:fill="FFFFFF"/>
            <w:noWrap/>
            <w:vAlign w:val="center"/>
            <w:hideMark/>
          </w:tcPr>
          <w:p w14:paraId="71698C5F" w14:textId="77777777" w:rsidR="008568DA" w:rsidRPr="00897CEF" w:rsidRDefault="008568DA" w:rsidP="008568DA">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14</w:t>
            </w:r>
          </w:p>
        </w:tc>
        <w:tc>
          <w:tcPr>
            <w:tcW w:w="513" w:type="pct"/>
            <w:tcBorders>
              <w:top w:val="nil"/>
              <w:left w:val="nil"/>
              <w:bottom w:val="nil"/>
              <w:right w:val="nil"/>
            </w:tcBorders>
            <w:shd w:val="clear" w:color="000000" w:fill="FFFFFF"/>
            <w:noWrap/>
            <w:vAlign w:val="center"/>
            <w:hideMark/>
          </w:tcPr>
          <w:p w14:paraId="793B187C" w14:textId="0C7B6121"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242,528</w:t>
            </w:r>
          </w:p>
        </w:tc>
        <w:tc>
          <w:tcPr>
            <w:tcW w:w="513" w:type="pct"/>
            <w:tcBorders>
              <w:top w:val="nil"/>
              <w:left w:val="nil"/>
              <w:bottom w:val="nil"/>
              <w:right w:val="nil"/>
            </w:tcBorders>
            <w:shd w:val="clear" w:color="000000" w:fill="E6F2FF"/>
            <w:noWrap/>
            <w:vAlign w:val="center"/>
            <w:hideMark/>
          </w:tcPr>
          <w:p w14:paraId="6B27568A" w14:textId="4FAD35FB"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249,588</w:t>
            </w:r>
          </w:p>
        </w:tc>
        <w:tc>
          <w:tcPr>
            <w:tcW w:w="512" w:type="pct"/>
            <w:tcBorders>
              <w:top w:val="nil"/>
              <w:left w:val="nil"/>
              <w:bottom w:val="nil"/>
              <w:right w:val="nil"/>
            </w:tcBorders>
            <w:shd w:val="clear" w:color="000000" w:fill="FFFFFF"/>
            <w:noWrap/>
            <w:vAlign w:val="center"/>
            <w:hideMark/>
          </w:tcPr>
          <w:p w14:paraId="5F2FD1F5" w14:textId="770C6EBE"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257,386</w:t>
            </w:r>
          </w:p>
        </w:tc>
        <w:tc>
          <w:tcPr>
            <w:tcW w:w="620" w:type="pct"/>
            <w:tcBorders>
              <w:top w:val="nil"/>
              <w:left w:val="nil"/>
              <w:bottom w:val="nil"/>
              <w:right w:val="nil"/>
            </w:tcBorders>
            <w:shd w:val="clear" w:color="000000" w:fill="FFFFFF"/>
            <w:noWrap/>
            <w:vAlign w:val="center"/>
            <w:hideMark/>
          </w:tcPr>
          <w:p w14:paraId="48969E83" w14:textId="5623B7B3"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267,513</w:t>
            </w:r>
          </w:p>
        </w:tc>
        <w:tc>
          <w:tcPr>
            <w:tcW w:w="620" w:type="pct"/>
            <w:tcBorders>
              <w:top w:val="nil"/>
              <w:left w:val="nil"/>
              <w:bottom w:val="nil"/>
              <w:right w:val="nil"/>
            </w:tcBorders>
            <w:shd w:val="clear" w:color="000000" w:fill="FFFFFF"/>
            <w:noWrap/>
            <w:vAlign w:val="center"/>
            <w:hideMark/>
          </w:tcPr>
          <w:p w14:paraId="554BE0C1" w14:textId="67140C7F"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278,151</w:t>
            </w:r>
          </w:p>
        </w:tc>
      </w:tr>
      <w:tr w:rsidR="008568DA" w:rsidRPr="006951D1" w14:paraId="5F848742"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4A6F093A" w14:textId="77777777" w:rsidR="008568DA" w:rsidRPr="00897CEF" w:rsidRDefault="008568DA"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Other receivables</w:t>
            </w:r>
          </w:p>
        </w:tc>
        <w:tc>
          <w:tcPr>
            <w:tcW w:w="350" w:type="pct"/>
            <w:tcBorders>
              <w:top w:val="nil"/>
              <w:left w:val="nil"/>
              <w:bottom w:val="nil"/>
              <w:right w:val="nil"/>
            </w:tcBorders>
            <w:shd w:val="clear" w:color="000000" w:fill="FFFFFF"/>
            <w:noWrap/>
            <w:vAlign w:val="center"/>
            <w:hideMark/>
          </w:tcPr>
          <w:p w14:paraId="20C1C0ED" w14:textId="77777777" w:rsidR="008568DA" w:rsidRPr="00897CEF" w:rsidRDefault="008568DA" w:rsidP="008568DA">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13</w:t>
            </w:r>
          </w:p>
        </w:tc>
        <w:tc>
          <w:tcPr>
            <w:tcW w:w="513" w:type="pct"/>
            <w:tcBorders>
              <w:top w:val="nil"/>
              <w:left w:val="nil"/>
              <w:bottom w:val="nil"/>
              <w:right w:val="nil"/>
            </w:tcBorders>
            <w:shd w:val="clear" w:color="000000" w:fill="FFFFFF"/>
            <w:noWrap/>
            <w:vAlign w:val="center"/>
            <w:hideMark/>
          </w:tcPr>
          <w:p w14:paraId="4413092E" w14:textId="64C2E394"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79,105</w:t>
            </w:r>
          </w:p>
        </w:tc>
        <w:tc>
          <w:tcPr>
            <w:tcW w:w="513" w:type="pct"/>
            <w:tcBorders>
              <w:top w:val="nil"/>
              <w:left w:val="nil"/>
              <w:bottom w:val="nil"/>
              <w:right w:val="nil"/>
            </w:tcBorders>
            <w:shd w:val="clear" w:color="000000" w:fill="E6F2FF"/>
            <w:noWrap/>
            <w:vAlign w:val="center"/>
            <w:hideMark/>
          </w:tcPr>
          <w:p w14:paraId="295415AF" w14:textId="0A6AF978"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84,638</w:t>
            </w:r>
          </w:p>
        </w:tc>
        <w:tc>
          <w:tcPr>
            <w:tcW w:w="512" w:type="pct"/>
            <w:tcBorders>
              <w:top w:val="nil"/>
              <w:left w:val="nil"/>
              <w:bottom w:val="nil"/>
              <w:right w:val="nil"/>
            </w:tcBorders>
            <w:shd w:val="clear" w:color="000000" w:fill="FFFFFF"/>
            <w:noWrap/>
            <w:vAlign w:val="center"/>
            <w:hideMark/>
          </w:tcPr>
          <w:p w14:paraId="19D0AA9A" w14:textId="7243B53C"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91,128</w:t>
            </w:r>
          </w:p>
        </w:tc>
        <w:tc>
          <w:tcPr>
            <w:tcW w:w="620" w:type="pct"/>
            <w:tcBorders>
              <w:top w:val="nil"/>
              <w:left w:val="nil"/>
              <w:bottom w:val="nil"/>
              <w:right w:val="nil"/>
            </w:tcBorders>
            <w:shd w:val="clear" w:color="000000" w:fill="FFFFFF"/>
            <w:noWrap/>
            <w:vAlign w:val="center"/>
            <w:hideMark/>
          </w:tcPr>
          <w:p w14:paraId="752D891E" w14:textId="71C2349D"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97,971</w:t>
            </w:r>
          </w:p>
        </w:tc>
        <w:tc>
          <w:tcPr>
            <w:tcW w:w="620" w:type="pct"/>
            <w:tcBorders>
              <w:top w:val="nil"/>
              <w:left w:val="nil"/>
              <w:bottom w:val="nil"/>
              <w:right w:val="nil"/>
            </w:tcBorders>
            <w:shd w:val="clear" w:color="000000" w:fill="FFFFFF"/>
            <w:noWrap/>
            <w:vAlign w:val="center"/>
            <w:hideMark/>
          </w:tcPr>
          <w:p w14:paraId="6EF2466C" w14:textId="5E8394AA"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105,736</w:t>
            </w:r>
          </w:p>
        </w:tc>
      </w:tr>
      <w:tr w:rsidR="006951D1" w:rsidRPr="006951D1" w14:paraId="684366D8" w14:textId="77777777" w:rsidTr="008A66B4">
        <w:trPr>
          <w:trHeight w:hRule="exact" w:val="225"/>
        </w:trPr>
        <w:tc>
          <w:tcPr>
            <w:tcW w:w="1872" w:type="pct"/>
            <w:tcBorders>
              <w:top w:val="nil"/>
              <w:left w:val="nil"/>
              <w:bottom w:val="nil"/>
              <w:right w:val="nil"/>
            </w:tcBorders>
            <w:shd w:val="clear" w:color="000000" w:fill="FFFFFF"/>
            <w:noWrap/>
            <w:vAlign w:val="center"/>
            <w:hideMark/>
          </w:tcPr>
          <w:p w14:paraId="7A45C9B6" w14:textId="77777777" w:rsidR="006951D1" w:rsidRPr="00897CEF" w:rsidRDefault="006951D1"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Equity investments</w:t>
            </w:r>
          </w:p>
        </w:tc>
        <w:tc>
          <w:tcPr>
            <w:tcW w:w="350" w:type="pct"/>
            <w:tcBorders>
              <w:top w:val="nil"/>
              <w:left w:val="nil"/>
              <w:bottom w:val="nil"/>
              <w:right w:val="nil"/>
            </w:tcBorders>
            <w:shd w:val="clear" w:color="000000" w:fill="FFFFFF"/>
            <w:noWrap/>
            <w:vAlign w:val="center"/>
            <w:hideMark/>
          </w:tcPr>
          <w:p w14:paraId="62584A0B" w14:textId="77777777" w:rsidR="006951D1" w:rsidRPr="00897CEF" w:rsidRDefault="006951D1" w:rsidP="006951D1">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01D7CCF"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3649F1DC"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4DD044AF"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49E7DD84"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5F29F907"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6951D1" w:rsidRPr="006951D1" w14:paraId="1F89812E"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7CCD5C7C" w14:textId="77777777" w:rsidR="006951D1" w:rsidRPr="00897CEF" w:rsidRDefault="006951D1" w:rsidP="008A66B4">
            <w:pPr>
              <w:spacing w:before="0" w:after="0" w:line="240" w:lineRule="auto"/>
              <w:ind w:left="340"/>
              <w:rPr>
                <w:rFonts w:ascii="Arial" w:hAnsi="Arial" w:cs="Arial"/>
                <w:color w:val="000000"/>
                <w:sz w:val="16"/>
                <w:szCs w:val="16"/>
              </w:rPr>
            </w:pPr>
            <w:r w:rsidRPr="00897CEF">
              <w:rPr>
                <w:rFonts w:ascii="Arial" w:hAnsi="Arial" w:cs="Arial"/>
                <w:color w:val="000000"/>
                <w:sz w:val="16"/>
                <w:szCs w:val="16"/>
              </w:rPr>
              <w:t xml:space="preserve">Investments in other public sector </w:t>
            </w:r>
          </w:p>
        </w:tc>
        <w:tc>
          <w:tcPr>
            <w:tcW w:w="350" w:type="pct"/>
            <w:tcBorders>
              <w:top w:val="nil"/>
              <w:left w:val="nil"/>
              <w:bottom w:val="nil"/>
              <w:right w:val="nil"/>
            </w:tcBorders>
            <w:shd w:val="clear" w:color="000000" w:fill="FFFFFF"/>
            <w:noWrap/>
            <w:vAlign w:val="center"/>
            <w:hideMark/>
          </w:tcPr>
          <w:p w14:paraId="6D61F017" w14:textId="77777777" w:rsidR="006951D1" w:rsidRPr="00897CEF" w:rsidRDefault="006951D1" w:rsidP="006951D1">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614483B0"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1C7CCEFB"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7B1D3711"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2AD676BF"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009642B3"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8568DA" w:rsidRPr="006951D1" w14:paraId="4E7944C9"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792D855F" w14:textId="77777777" w:rsidR="008568DA" w:rsidRPr="00897CEF" w:rsidRDefault="008568DA" w:rsidP="008A66B4">
            <w:pPr>
              <w:spacing w:before="0" w:after="0" w:line="240" w:lineRule="auto"/>
              <w:ind w:left="510"/>
              <w:rPr>
                <w:rFonts w:ascii="Arial" w:hAnsi="Arial" w:cs="Arial"/>
                <w:sz w:val="16"/>
                <w:szCs w:val="16"/>
              </w:rPr>
            </w:pPr>
            <w:r w:rsidRPr="00897CEF">
              <w:rPr>
                <w:rFonts w:ascii="Arial" w:hAnsi="Arial" w:cs="Arial"/>
                <w:sz w:val="16"/>
                <w:szCs w:val="16"/>
              </w:rPr>
              <w:t>entities</w:t>
            </w:r>
          </w:p>
        </w:tc>
        <w:tc>
          <w:tcPr>
            <w:tcW w:w="350" w:type="pct"/>
            <w:tcBorders>
              <w:top w:val="nil"/>
              <w:left w:val="nil"/>
              <w:bottom w:val="nil"/>
              <w:right w:val="nil"/>
            </w:tcBorders>
            <w:shd w:val="clear" w:color="000000" w:fill="FFFFFF"/>
            <w:noWrap/>
            <w:vAlign w:val="bottom"/>
            <w:hideMark/>
          </w:tcPr>
          <w:p w14:paraId="626273AD" w14:textId="77777777" w:rsidR="008568DA" w:rsidRPr="00897CEF" w:rsidRDefault="008568DA" w:rsidP="008568DA">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75FC9421" w14:textId="53C1D9B6"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44,934</w:t>
            </w:r>
          </w:p>
        </w:tc>
        <w:tc>
          <w:tcPr>
            <w:tcW w:w="513" w:type="pct"/>
            <w:tcBorders>
              <w:top w:val="nil"/>
              <w:left w:val="nil"/>
              <w:bottom w:val="nil"/>
              <w:right w:val="nil"/>
            </w:tcBorders>
            <w:shd w:val="clear" w:color="000000" w:fill="E6F2FF"/>
            <w:noWrap/>
            <w:vAlign w:val="center"/>
            <w:hideMark/>
          </w:tcPr>
          <w:p w14:paraId="75CB9F7C" w14:textId="36E0B47E"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51,451</w:t>
            </w:r>
          </w:p>
        </w:tc>
        <w:tc>
          <w:tcPr>
            <w:tcW w:w="512" w:type="pct"/>
            <w:tcBorders>
              <w:top w:val="nil"/>
              <w:left w:val="nil"/>
              <w:bottom w:val="nil"/>
              <w:right w:val="nil"/>
            </w:tcBorders>
            <w:shd w:val="clear" w:color="000000" w:fill="FFFFFF"/>
            <w:noWrap/>
            <w:vAlign w:val="center"/>
            <w:hideMark/>
          </w:tcPr>
          <w:p w14:paraId="1FB24EA9" w14:textId="722C024D"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55,807</w:t>
            </w:r>
          </w:p>
        </w:tc>
        <w:tc>
          <w:tcPr>
            <w:tcW w:w="620" w:type="pct"/>
            <w:tcBorders>
              <w:top w:val="nil"/>
              <w:left w:val="nil"/>
              <w:bottom w:val="nil"/>
              <w:right w:val="nil"/>
            </w:tcBorders>
            <w:shd w:val="clear" w:color="000000" w:fill="FFFFFF"/>
            <w:noWrap/>
            <w:vAlign w:val="center"/>
            <w:hideMark/>
          </w:tcPr>
          <w:p w14:paraId="1680718E" w14:textId="3470877A"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57,352</w:t>
            </w:r>
          </w:p>
        </w:tc>
        <w:tc>
          <w:tcPr>
            <w:tcW w:w="620" w:type="pct"/>
            <w:tcBorders>
              <w:top w:val="nil"/>
              <w:left w:val="nil"/>
              <w:bottom w:val="nil"/>
              <w:right w:val="nil"/>
            </w:tcBorders>
            <w:shd w:val="clear" w:color="000000" w:fill="FFFFFF"/>
            <w:noWrap/>
            <w:vAlign w:val="center"/>
            <w:hideMark/>
          </w:tcPr>
          <w:p w14:paraId="589104FD" w14:textId="0B9904E9"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57,842</w:t>
            </w:r>
          </w:p>
        </w:tc>
      </w:tr>
      <w:tr w:rsidR="008568DA" w:rsidRPr="006951D1" w14:paraId="40350526" w14:textId="77777777" w:rsidTr="008A66B4">
        <w:trPr>
          <w:trHeight w:hRule="exact" w:val="227"/>
        </w:trPr>
        <w:tc>
          <w:tcPr>
            <w:tcW w:w="1872" w:type="pct"/>
            <w:tcBorders>
              <w:top w:val="nil"/>
              <w:left w:val="nil"/>
              <w:bottom w:val="nil"/>
              <w:right w:val="nil"/>
            </w:tcBorders>
            <w:shd w:val="clear" w:color="000000" w:fill="FFFFFF"/>
            <w:noWrap/>
            <w:vAlign w:val="bottom"/>
            <w:hideMark/>
          </w:tcPr>
          <w:p w14:paraId="1D50BBEC" w14:textId="77777777" w:rsidR="008568DA" w:rsidRPr="00897CEF" w:rsidRDefault="008568DA" w:rsidP="008A66B4">
            <w:pPr>
              <w:spacing w:before="0" w:after="0" w:line="240" w:lineRule="auto"/>
              <w:ind w:left="340"/>
              <w:rPr>
                <w:rFonts w:ascii="Arial" w:hAnsi="Arial" w:cs="Arial"/>
                <w:sz w:val="16"/>
                <w:szCs w:val="16"/>
              </w:rPr>
            </w:pPr>
            <w:r w:rsidRPr="00897CEF">
              <w:rPr>
                <w:rFonts w:ascii="Arial" w:hAnsi="Arial" w:cs="Arial"/>
                <w:sz w:val="16"/>
                <w:szCs w:val="16"/>
              </w:rPr>
              <w:t>Equity accounted investments</w:t>
            </w:r>
          </w:p>
        </w:tc>
        <w:tc>
          <w:tcPr>
            <w:tcW w:w="350" w:type="pct"/>
            <w:tcBorders>
              <w:top w:val="nil"/>
              <w:left w:val="nil"/>
              <w:bottom w:val="nil"/>
              <w:right w:val="nil"/>
            </w:tcBorders>
            <w:shd w:val="clear" w:color="000000" w:fill="FFFFFF"/>
            <w:noWrap/>
            <w:vAlign w:val="bottom"/>
            <w:hideMark/>
          </w:tcPr>
          <w:p w14:paraId="3D460B9A" w14:textId="77777777" w:rsidR="008568DA" w:rsidRPr="00897CEF" w:rsidRDefault="008568DA" w:rsidP="008568DA">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4337D5A2" w14:textId="1A4373F2"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5,894</w:t>
            </w:r>
          </w:p>
        </w:tc>
        <w:tc>
          <w:tcPr>
            <w:tcW w:w="513" w:type="pct"/>
            <w:tcBorders>
              <w:top w:val="nil"/>
              <w:left w:val="nil"/>
              <w:bottom w:val="nil"/>
              <w:right w:val="nil"/>
            </w:tcBorders>
            <w:shd w:val="clear" w:color="000000" w:fill="E6F2FF"/>
            <w:noWrap/>
            <w:vAlign w:val="center"/>
            <w:hideMark/>
          </w:tcPr>
          <w:p w14:paraId="500B74A7" w14:textId="7CE6C065"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6,025</w:t>
            </w:r>
          </w:p>
        </w:tc>
        <w:tc>
          <w:tcPr>
            <w:tcW w:w="512" w:type="pct"/>
            <w:tcBorders>
              <w:top w:val="nil"/>
              <w:left w:val="nil"/>
              <w:bottom w:val="nil"/>
              <w:right w:val="nil"/>
            </w:tcBorders>
            <w:shd w:val="clear" w:color="000000" w:fill="FFFFFF"/>
            <w:noWrap/>
            <w:vAlign w:val="center"/>
            <w:hideMark/>
          </w:tcPr>
          <w:p w14:paraId="62870B79" w14:textId="4F1B1475"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6,136</w:t>
            </w:r>
          </w:p>
        </w:tc>
        <w:tc>
          <w:tcPr>
            <w:tcW w:w="620" w:type="pct"/>
            <w:tcBorders>
              <w:top w:val="nil"/>
              <w:left w:val="nil"/>
              <w:bottom w:val="nil"/>
              <w:right w:val="nil"/>
            </w:tcBorders>
            <w:shd w:val="clear" w:color="000000" w:fill="FFFFFF"/>
            <w:noWrap/>
            <w:vAlign w:val="center"/>
            <w:hideMark/>
          </w:tcPr>
          <w:p w14:paraId="71D014DE" w14:textId="7DBEEF40"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6,149</w:t>
            </w:r>
          </w:p>
        </w:tc>
        <w:tc>
          <w:tcPr>
            <w:tcW w:w="620" w:type="pct"/>
            <w:tcBorders>
              <w:top w:val="nil"/>
              <w:left w:val="nil"/>
              <w:bottom w:val="nil"/>
              <w:right w:val="nil"/>
            </w:tcBorders>
            <w:shd w:val="clear" w:color="000000" w:fill="FFFFFF"/>
            <w:noWrap/>
            <w:vAlign w:val="center"/>
            <w:hideMark/>
          </w:tcPr>
          <w:p w14:paraId="56BD88C6" w14:textId="4D2E2BED"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6,111</w:t>
            </w:r>
          </w:p>
        </w:tc>
      </w:tr>
      <w:tr w:rsidR="008568DA" w:rsidRPr="006951D1" w14:paraId="0A346A2D" w14:textId="77777777" w:rsidTr="008A66B4">
        <w:trPr>
          <w:trHeight w:hRule="exact" w:val="227"/>
        </w:trPr>
        <w:tc>
          <w:tcPr>
            <w:tcW w:w="1872" w:type="pct"/>
            <w:tcBorders>
              <w:top w:val="nil"/>
              <w:left w:val="nil"/>
              <w:bottom w:val="nil"/>
              <w:right w:val="nil"/>
            </w:tcBorders>
            <w:shd w:val="clear" w:color="000000" w:fill="FFFFFF"/>
            <w:vAlign w:val="center"/>
            <w:hideMark/>
          </w:tcPr>
          <w:p w14:paraId="4D1347E3" w14:textId="0E378036" w:rsidR="008568DA" w:rsidRPr="00897CEF" w:rsidRDefault="008568DA" w:rsidP="008A66B4">
            <w:pPr>
              <w:spacing w:before="0" w:after="0" w:line="240" w:lineRule="auto"/>
              <w:ind w:left="340"/>
              <w:rPr>
                <w:rFonts w:ascii="Arial" w:hAnsi="Arial" w:cs="Arial"/>
                <w:sz w:val="16"/>
                <w:szCs w:val="16"/>
              </w:rPr>
            </w:pPr>
            <w:r w:rsidRPr="00897CEF">
              <w:rPr>
                <w:rFonts w:ascii="Arial" w:hAnsi="Arial" w:cs="Arial"/>
                <w:sz w:val="16"/>
                <w:szCs w:val="16"/>
              </w:rPr>
              <w:t>Investments</w:t>
            </w:r>
            <w:r w:rsidR="00480091" w:rsidRPr="00897CEF">
              <w:rPr>
                <w:rFonts w:ascii="Arial" w:hAnsi="Arial" w:cs="Arial"/>
                <w:sz w:val="16"/>
                <w:szCs w:val="16"/>
              </w:rPr>
              <w:t xml:space="preserve"> – </w:t>
            </w:r>
            <w:r w:rsidRPr="00897CEF">
              <w:rPr>
                <w:rFonts w:ascii="Arial" w:hAnsi="Arial" w:cs="Arial"/>
                <w:sz w:val="16"/>
                <w:szCs w:val="16"/>
              </w:rPr>
              <w:t>shares</w:t>
            </w:r>
          </w:p>
        </w:tc>
        <w:tc>
          <w:tcPr>
            <w:tcW w:w="350" w:type="pct"/>
            <w:tcBorders>
              <w:top w:val="nil"/>
              <w:left w:val="nil"/>
              <w:bottom w:val="nil"/>
              <w:right w:val="nil"/>
            </w:tcBorders>
            <w:shd w:val="clear" w:color="000000" w:fill="FFFFFF"/>
            <w:vAlign w:val="bottom"/>
            <w:hideMark/>
          </w:tcPr>
          <w:p w14:paraId="77B9BB6F" w14:textId="77777777" w:rsidR="008568DA" w:rsidRPr="00897CEF" w:rsidRDefault="008568DA" w:rsidP="008568DA">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2B5887B6" w14:textId="6F9D5D31"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84,931</w:t>
            </w:r>
          </w:p>
        </w:tc>
        <w:tc>
          <w:tcPr>
            <w:tcW w:w="513" w:type="pct"/>
            <w:tcBorders>
              <w:top w:val="nil"/>
              <w:left w:val="nil"/>
              <w:bottom w:val="nil"/>
              <w:right w:val="nil"/>
            </w:tcBorders>
            <w:shd w:val="clear" w:color="000000" w:fill="E6F2FF"/>
            <w:noWrap/>
            <w:vAlign w:val="center"/>
            <w:hideMark/>
          </w:tcPr>
          <w:p w14:paraId="7E5B2AA7" w14:textId="25E0E157"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91,336</w:t>
            </w:r>
          </w:p>
        </w:tc>
        <w:tc>
          <w:tcPr>
            <w:tcW w:w="512" w:type="pct"/>
            <w:tcBorders>
              <w:top w:val="nil"/>
              <w:left w:val="nil"/>
              <w:bottom w:val="nil"/>
              <w:right w:val="nil"/>
            </w:tcBorders>
            <w:shd w:val="clear" w:color="000000" w:fill="FFFFFF"/>
            <w:noWrap/>
            <w:vAlign w:val="center"/>
            <w:hideMark/>
          </w:tcPr>
          <w:p w14:paraId="0A804B32" w14:textId="6D5E042A"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98,980</w:t>
            </w:r>
          </w:p>
        </w:tc>
        <w:tc>
          <w:tcPr>
            <w:tcW w:w="620" w:type="pct"/>
            <w:tcBorders>
              <w:top w:val="nil"/>
              <w:left w:val="nil"/>
              <w:bottom w:val="nil"/>
              <w:right w:val="nil"/>
            </w:tcBorders>
            <w:shd w:val="clear" w:color="000000" w:fill="FFFFFF"/>
            <w:noWrap/>
            <w:vAlign w:val="center"/>
            <w:hideMark/>
          </w:tcPr>
          <w:p w14:paraId="76D180D2" w14:textId="10E2B0CF"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106,828</w:t>
            </w:r>
          </w:p>
        </w:tc>
        <w:tc>
          <w:tcPr>
            <w:tcW w:w="620" w:type="pct"/>
            <w:tcBorders>
              <w:top w:val="nil"/>
              <w:left w:val="nil"/>
              <w:bottom w:val="nil"/>
              <w:right w:val="nil"/>
            </w:tcBorders>
            <w:shd w:val="clear" w:color="000000" w:fill="FFFFFF"/>
            <w:noWrap/>
            <w:vAlign w:val="center"/>
            <w:hideMark/>
          </w:tcPr>
          <w:p w14:paraId="5E47F950" w14:textId="65FF9E1C" w:rsidR="008568DA" w:rsidRPr="00897CEF" w:rsidRDefault="008568DA" w:rsidP="008568DA">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114,856</w:t>
            </w:r>
          </w:p>
        </w:tc>
      </w:tr>
      <w:tr w:rsidR="008568DA" w:rsidRPr="006951D1" w14:paraId="4B2F5F3A" w14:textId="77777777" w:rsidTr="00DA76DD">
        <w:trPr>
          <w:trHeight w:hRule="exact" w:val="278"/>
        </w:trPr>
        <w:tc>
          <w:tcPr>
            <w:tcW w:w="1872" w:type="pct"/>
            <w:tcBorders>
              <w:top w:val="nil"/>
              <w:left w:val="nil"/>
              <w:bottom w:val="nil"/>
              <w:right w:val="nil"/>
            </w:tcBorders>
            <w:shd w:val="clear" w:color="000000" w:fill="FFFFFF"/>
            <w:noWrap/>
            <w:vAlign w:val="center"/>
            <w:hideMark/>
          </w:tcPr>
          <w:p w14:paraId="17D9FA58" w14:textId="77777777" w:rsidR="008568DA" w:rsidRPr="00897CEF" w:rsidRDefault="008568DA" w:rsidP="008568DA">
            <w:pPr>
              <w:spacing w:before="0" w:after="0" w:line="240" w:lineRule="auto"/>
              <w:rPr>
                <w:rFonts w:ascii="Arial" w:hAnsi="Arial" w:cs="Arial"/>
                <w:i/>
                <w:iCs/>
                <w:color w:val="000000"/>
                <w:sz w:val="16"/>
                <w:szCs w:val="16"/>
              </w:rPr>
            </w:pPr>
            <w:r w:rsidRPr="00897CEF">
              <w:rPr>
                <w:rFonts w:ascii="Arial" w:hAnsi="Arial" w:cs="Arial"/>
                <w:i/>
                <w:iCs/>
                <w:color w:val="000000"/>
                <w:sz w:val="16"/>
                <w:szCs w:val="16"/>
              </w:rPr>
              <w:t>Total financial assets</w:t>
            </w:r>
          </w:p>
        </w:tc>
        <w:tc>
          <w:tcPr>
            <w:tcW w:w="350" w:type="pct"/>
            <w:tcBorders>
              <w:top w:val="nil"/>
              <w:left w:val="nil"/>
              <w:bottom w:val="nil"/>
              <w:right w:val="nil"/>
            </w:tcBorders>
            <w:shd w:val="clear" w:color="000000" w:fill="FFFFFF"/>
            <w:noWrap/>
            <w:vAlign w:val="center"/>
            <w:hideMark/>
          </w:tcPr>
          <w:p w14:paraId="2065CC13" w14:textId="77777777" w:rsidR="008568DA" w:rsidRPr="00897CEF" w:rsidRDefault="008568DA" w:rsidP="008568DA">
            <w:pPr>
              <w:spacing w:before="0" w:after="0" w:line="240" w:lineRule="auto"/>
              <w:jc w:val="center"/>
              <w:rPr>
                <w:rFonts w:ascii="Arial" w:hAnsi="Arial" w:cs="Arial"/>
                <w:i/>
                <w:iCs/>
                <w:color w:val="000000"/>
                <w:sz w:val="16"/>
                <w:szCs w:val="16"/>
              </w:rPr>
            </w:pPr>
            <w:r w:rsidRPr="00897CEF">
              <w:rPr>
                <w:rFonts w:ascii="Arial" w:hAnsi="Arial" w:cs="Arial"/>
                <w:i/>
                <w:iCs/>
                <w:color w:val="000000"/>
                <w:sz w:val="16"/>
                <w:szCs w:val="16"/>
              </w:rPr>
              <w:t> </w:t>
            </w:r>
          </w:p>
        </w:tc>
        <w:tc>
          <w:tcPr>
            <w:tcW w:w="513" w:type="pct"/>
            <w:tcBorders>
              <w:top w:val="nil"/>
              <w:left w:val="nil"/>
              <w:bottom w:val="nil"/>
              <w:right w:val="nil"/>
            </w:tcBorders>
            <w:shd w:val="clear" w:color="000000" w:fill="FFFFFF"/>
            <w:noWrap/>
            <w:vAlign w:val="center"/>
            <w:hideMark/>
          </w:tcPr>
          <w:p w14:paraId="7C52C107" w14:textId="2D280C29" w:rsidR="008568DA" w:rsidRPr="00897CEF" w:rsidRDefault="008568DA" w:rsidP="008568DA">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614,242</w:t>
            </w:r>
          </w:p>
        </w:tc>
        <w:tc>
          <w:tcPr>
            <w:tcW w:w="513" w:type="pct"/>
            <w:tcBorders>
              <w:top w:val="nil"/>
              <w:left w:val="nil"/>
              <w:bottom w:val="nil"/>
              <w:right w:val="nil"/>
            </w:tcBorders>
            <w:shd w:val="clear" w:color="000000" w:fill="E6F2FF"/>
            <w:noWrap/>
            <w:vAlign w:val="center"/>
            <w:hideMark/>
          </w:tcPr>
          <w:p w14:paraId="0DC4185E" w14:textId="3A252616" w:rsidR="008568DA" w:rsidRPr="00897CEF" w:rsidRDefault="008568DA" w:rsidP="008568DA">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618,227</w:t>
            </w:r>
          </w:p>
        </w:tc>
        <w:tc>
          <w:tcPr>
            <w:tcW w:w="512" w:type="pct"/>
            <w:tcBorders>
              <w:top w:val="nil"/>
              <w:left w:val="nil"/>
              <w:bottom w:val="nil"/>
              <w:right w:val="nil"/>
            </w:tcBorders>
            <w:shd w:val="clear" w:color="000000" w:fill="FFFFFF"/>
            <w:noWrap/>
            <w:vAlign w:val="center"/>
            <w:hideMark/>
          </w:tcPr>
          <w:p w14:paraId="36E77423" w14:textId="40122E78" w:rsidR="008568DA" w:rsidRPr="00897CEF" w:rsidRDefault="008568DA" w:rsidP="008568DA">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650,560</w:t>
            </w:r>
          </w:p>
        </w:tc>
        <w:tc>
          <w:tcPr>
            <w:tcW w:w="620" w:type="pct"/>
            <w:tcBorders>
              <w:top w:val="nil"/>
              <w:left w:val="nil"/>
              <w:bottom w:val="nil"/>
              <w:right w:val="nil"/>
            </w:tcBorders>
            <w:shd w:val="clear" w:color="000000" w:fill="FFFFFF"/>
            <w:noWrap/>
            <w:vAlign w:val="center"/>
            <w:hideMark/>
          </w:tcPr>
          <w:p w14:paraId="685F4013" w14:textId="1672A441" w:rsidR="008568DA" w:rsidRPr="00897CEF" w:rsidRDefault="008568DA" w:rsidP="008568DA">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685,082</w:t>
            </w:r>
          </w:p>
        </w:tc>
        <w:tc>
          <w:tcPr>
            <w:tcW w:w="620" w:type="pct"/>
            <w:tcBorders>
              <w:top w:val="nil"/>
              <w:left w:val="nil"/>
              <w:bottom w:val="nil"/>
              <w:right w:val="nil"/>
            </w:tcBorders>
            <w:shd w:val="clear" w:color="000000" w:fill="FFFFFF"/>
            <w:noWrap/>
            <w:vAlign w:val="center"/>
            <w:hideMark/>
          </w:tcPr>
          <w:p w14:paraId="2929FF2E" w14:textId="6A5863E2" w:rsidR="008568DA" w:rsidRPr="00897CEF" w:rsidRDefault="008568DA" w:rsidP="008568DA">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717,520</w:t>
            </w:r>
          </w:p>
        </w:tc>
      </w:tr>
      <w:tr w:rsidR="006951D1" w:rsidRPr="006951D1" w14:paraId="74835E78"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635BD4ED" w14:textId="342078A2" w:rsidR="006951D1" w:rsidRPr="00897CEF" w:rsidRDefault="006951D1" w:rsidP="006951D1">
            <w:pPr>
              <w:spacing w:before="0" w:after="0" w:line="240" w:lineRule="auto"/>
              <w:rPr>
                <w:rFonts w:ascii="Arial" w:hAnsi="Arial" w:cs="Arial"/>
                <w:color w:val="000000"/>
                <w:sz w:val="16"/>
                <w:szCs w:val="16"/>
              </w:rPr>
            </w:pPr>
            <w:r w:rsidRPr="00897CEF">
              <w:rPr>
                <w:rFonts w:ascii="Arial" w:hAnsi="Arial" w:cs="Arial"/>
                <w:color w:val="000000"/>
                <w:sz w:val="16"/>
                <w:szCs w:val="16"/>
              </w:rPr>
              <w:t>Non</w:t>
            </w:r>
            <w:r w:rsidR="00325E1E">
              <w:rPr>
                <w:rFonts w:ascii="Arial" w:hAnsi="Arial" w:cs="Arial"/>
                <w:color w:val="000000"/>
                <w:sz w:val="16"/>
                <w:szCs w:val="16"/>
              </w:rPr>
              <w:noBreakHyphen/>
            </w:r>
            <w:r w:rsidRPr="00897CEF">
              <w:rPr>
                <w:rFonts w:ascii="Arial" w:hAnsi="Arial" w:cs="Arial"/>
                <w:color w:val="000000"/>
                <w:sz w:val="16"/>
                <w:szCs w:val="16"/>
              </w:rPr>
              <w:t>financial assets</w:t>
            </w:r>
          </w:p>
        </w:tc>
        <w:tc>
          <w:tcPr>
            <w:tcW w:w="350" w:type="pct"/>
            <w:tcBorders>
              <w:top w:val="nil"/>
              <w:left w:val="nil"/>
              <w:bottom w:val="nil"/>
              <w:right w:val="nil"/>
            </w:tcBorders>
            <w:shd w:val="clear" w:color="000000" w:fill="FFFFFF"/>
            <w:noWrap/>
            <w:vAlign w:val="center"/>
            <w:hideMark/>
          </w:tcPr>
          <w:p w14:paraId="550464B5" w14:textId="77777777" w:rsidR="006951D1" w:rsidRPr="00897CEF" w:rsidRDefault="006951D1" w:rsidP="006951D1">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15</w:t>
            </w:r>
          </w:p>
        </w:tc>
        <w:tc>
          <w:tcPr>
            <w:tcW w:w="513" w:type="pct"/>
            <w:tcBorders>
              <w:top w:val="nil"/>
              <w:left w:val="nil"/>
              <w:bottom w:val="nil"/>
              <w:right w:val="nil"/>
            </w:tcBorders>
            <w:shd w:val="clear" w:color="000000" w:fill="FFFFFF"/>
            <w:noWrap/>
            <w:vAlign w:val="center"/>
            <w:hideMark/>
          </w:tcPr>
          <w:p w14:paraId="24986114"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4D0F045"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5E9E3CCA"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778EF449"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423E8BBB"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F73597" w:rsidRPr="006951D1" w14:paraId="56929B0C"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6ECC241E" w14:textId="77777777" w:rsidR="00F73597" w:rsidRPr="00897CEF" w:rsidRDefault="00F73597" w:rsidP="00F73597">
            <w:pPr>
              <w:spacing w:before="0" w:after="0" w:line="240" w:lineRule="auto"/>
              <w:ind w:firstLineChars="100" w:firstLine="160"/>
              <w:rPr>
                <w:rFonts w:ascii="Arial" w:hAnsi="Arial" w:cs="Arial"/>
                <w:color w:val="000000"/>
                <w:sz w:val="16"/>
                <w:szCs w:val="16"/>
              </w:rPr>
            </w:pPr>
            <w:r w:rsidRPr="00897CEF">
              <w:rPr>
                <w:rFonts w:ascii="Arial" w:hAnsi="Arial" w:cs="Arial"/>
                <w:color w:val="000000"/>
                <w:sz w:val="16"/>
                <w:szCs w:val="16"/>
              </w:rPr>
              <w:t xml:space="preserve">Land </w:t>
            </w:r>
          </w:p>
        </w:tc>
        <w:tc>
          <w:tcPr>
            <w:tcW w:w="350" w:type="pct"/>
            <w:tcBorders>
              <w:top w:val="nil"/>
              <w:left w:val="nil"/>
              <w:bottom w:val="nil"/>
              <w:right w:val="nil"/>
            </w:tcBorders>
            <w:shd w:val="clear" w:color="000000" w:fill="FFFFFF"/>
            <w:noWrap/>
            <w:vAlign w:val="center"/>
            <w:hideMark/>
          </w:tcPr>
          <w:p w14:paraId="28927CEC"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16CF447A" w14:textId="201502B0"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13,506</w:t>
            </w:r>
          </w:p>
        </w:tc>
        <w:tc>
          <w:tcPr>
            <w:tcW w:w="513" w:type="pct"/>
            <w:tcBorders>
              <w:top w:val="nil"/>
              <w:left w:val="nil"/>
              <w:bottom w:val="nil"/>
              <w:right w:val="nil"/>
            </w:tcBorders>
            <w:shd w:val="clear" w:color="000000" w:fill="E6F2FF"/>
            <w:noWrap/>
            <w:vAlign w:val="center"/>
            <w:hideMark/>
          </w:tcPr>
          <w:p w14:paraId="2882AE86" w14:textId="795AC7AC"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13,473</w:t>
            </w:r>
          </w:p>
        </w:tc>
        <w:tc>
          <w:tcPr>
            <w:tcW w:w="512" w:type="pct"/>
            <w:tcBorders>
              <w:top w:val="nil"/>
              <w:left w:val="nil"/>
              <w:bottom w:val="nil"/>
              <w:right w:val="nil"/>
            </w:tcBorders>
            <w:shd w:val="clear" w:color="000000" w:fill="FFFFFF"/>
            <w:noWrap/>
            <w:vAlign w:val="center"/>
            <w:hideMark/>
          </w:tcPr>
          <w:p w14:paraId="386E18FB" w14:textId="7EE0E98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13,399</w:t>
            </w:r>
          </w:p>
        </w:tc>
        <w:tc>
          <w:tcPr>
            <w:tcW w:w="620" w:type="pct"/>
            <w:tcBorders>
              <w:top w:val="nil"/>
              <w:left w:val="nil"/>
              <w:bottom w:val="nil"/>
              <w:right w:val="nil"/>
            </w:tcBorders>
            <w:shd w:val="clear" w:color="000000" w:fill="FFFFFF"/>
            <w:noWrap/>
            <w:vAlign w:val="center"/>
            <w:hideMark/>
          </w:tcPr>
          <w:p w14:paraId="72C127E7" w14:textId="7EA22D0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13,481</w:t>
            </w:r>
          </w:p>
        </w:tc>
        <w:tc>
          <w:tcPr>
            <w:tcW w:w="620" w:type="pct"/>
            <w:tcBorders>
              <w:top w:val="nil"/>
              <w:left w:val="nil"/>
              <w:bottom w:val="nil"/>
              <w:right w:val="nil"/>
            </w:tcBorders>
            <w:shd w:val="clear" w:color="000000" w:fill="FFFFFF"/>
            <w:noWrap/>
            <w:vAlign w:val="center"/>
            <w:hideMark/>
          </w:tcPr>
          <w:p w14:paraId="7724B722" w14:textId="55F84C1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13,643</w:t>
            </w:r>
          </w:p>
        </w:tc>
      </w:tr>
      <w:tr w:rsidR="00F73597" w:rsidRPr="006951D1" w14:paraId="6111A8CD"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5152F366" w14:textId="77777777" w:rsidR="00F73597" w:rsidRPr="00897CEF" w:rsidRDefault="00F73597"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Buildings</w:t>
            </w:r>
          </w:p>
        </w:tc>
        <w:tc>
          <w:tcPr>
            <w:tcW w:w="350" w:type="pct"/>
            <w:tcBorders>
              <w:top w:val="nil"/>
              <w:left w:val="nil"/>
              <w:bottom w:val="nil"/>
              <w:right w:val="nil"/>
            </w:tcBorders>
            <w:shd w:val="clear" w:color="000000" w:fill="FFFFFF"/>
            <w:noWrap/>
            <w:vAlign w:val="center"/>
            <w:hideMark/>
          </w:tcPr>
          <w:p w14:paraId="76507A4D"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0870CB8B" w14:textId="702C75F9"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50,673</w:t>
            </w:r>
          </w:p>
        </w:tc>
        <w:tc>
          <w:tcPr>
            <w:tcW w:w="513" w:type="pct"/>
            <w:tcBorders>
              <w:top w:val="nil"/>
              <w:left w:val="nil"/>
              <w:bottom w:val="nil"/>
              <w:right w:val="nil"/>
            </w:tcBorders>
            <w:shd w:val="clear" w:color="000000" w:fill="E6F2FF"/>
            <w:noWrap/>
            <w:vAlign w:val="center"/>
            <w:hideMark/>
          </w:tcPr>
          <w:p w14:paraId="6A3D58CD" w14:textId="245F748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52,246</w:t>
            </w:r>
          </w:p>
        </w:tc>
        <w:tc>
          <w:tcPr>
            <w:tcW w:w="512" w:type="pct"/>
            <w:tcBorders>
              <w:top w:val="nil"/>
              <w:left w:val="nil"/>
              <w:bottom w:val="nil"/>
              <w:right w:val="nil"/>
            </w:tcBorders>
            <w:shd w:val="clear" w:color="000000" w:fill="FFFFFF"/>
            <w:noWrap/>
            <w:vAlign w:val="center"/>
            <w:hideMark/>
          </w:tcPr>
          <w:p w14:paraId="4E84B159" w14:textId="6D2F47E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53,585</w:t>
            </w:r>
          </w:p>
        </w:tc>
        <w:tc>
          <w:tcPr>
            <w:tcW w:w="620" w:type="pct"/>
            <w:tcBorders>
              <w:top w:val="nil"/>
              <w:left w:val="nil"/>
              <w:bottom w:val="nil"/>
              <w:right w:val="nil"/>
            </w:tcBorders>
            <w:shd w:val="clear" w:color="000000" w:fill="FFFFFF"/>
            <w:noWrap/>
            <w:vAlign w:val="center"/>
            <w:hideMark/>
          </w:tcPr>
          <w:p w14:paraId="53948D5B" w14:textId="3A2D434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55,466</w:t>
            </w:r>
          </w:p>
        </w:tc>
        <w:tc>
          <w:tcPr>
            <w:tcW w:w="620" w:type="pct"/>
            <w:tcBorders>
              <w:top w:val="nil"/>
              <w:left w:val="nil"/>
              <w:bottom w:val="nil"/>
              <w:right w:val="nil"/>
            </w:tcBorders>
            <w:shd w:val="clear" w:color="000000" w:fill="FFFFFF"/>
            <w:noWrap/>
            <w:vAlign w:val="center"/>
            <w:hideMark/>
          </w:tcPr>
          <w:p w14:paraId="04FFB6BA" w14:textId="683DFEE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57,806</w:t>
            </w:r>
          </w:p>
        </w:tc>
      </w:tr>
      <w:tr w:rsidR="00F73597" w:rsidRPr="006951D1" w14:paraId="277E0BE1"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7D85B941"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Plant, equipment and infrastructure</w:t>
            </w:r>
          </w:p>
        </w:tc>
        <w:tc>
          <w:tcPr>
            <w:tcW w:w="350" w:type="pct"/>
            <w:tcBorders>
              <w:top w:val="nil"/>
              <w:left w:val="nil"/>
              <w:bottom w:val="nil"/>
              <w:right w:val="nil"/>
            </w:tcBorders>
            <w:shd w:val="clear" w:color="000000" w:fill="FFFFFF"/>
            <w:noWrap/>
            <w:vAlign w:val="center"/>
            <w:hideMark/>
          </w:tcPr>
          <w:p w14:paraId="0E20EB53"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FF09A9B" w14:textId="5311C923"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110,044</w:t>
            </w:r>
          </w:p>
        </w:tc>
        <w:tc>
          <w:tcPr>
            <w:tcW w:w="513" w:type="pct"/>
            <w:tcBorders>
              <w:top w:val="nil"/>
              <w:left w:val="nil"/>
              <w:bottom w:val="nil"/>
              <w:right w:val="nil"/>
            </w:tcBorders>
            <w:shd w:val="clear" w:color="000000" w:fill="E6F2FF"/>
            <w:noWrap/>
            <w:vAlign w:val="center"/>
            <w:hideMark/>
          </w:tcPr>
          <w:p w14:paraId="6C6802C6" w14:textId="73C8896D"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114,335</w:t>
            </w:r>
          </w:p>
        </w:tc>
        <w:tc>
          <w:tcPr>
            <w:tcW w:w="512" w:type="pct"/>
            <w:tcBorders>
              <w:top w:val="nil"/>
              <w:left w:val="nil"/>
              <w:bottom w:val="nil"/>
              <w:right w:val="nil"/>
            </w:tcBorders>
            <w:shd w:val="clear" w:color="000000" w:fill="FFFFFF"/>
            <w:noWrap/>
            <w:vAlign w:val="center"/>
            <w:hideMark/>
          </w:tcPr>
          <w:p w14:paraId="6D3F574B" w14:textId="7866A61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118,812</w:t>
            </w:r>
          </w:p>
        </w:tc>
        <w:tc>
          <w:tcPr>
            <w:tcW w:w="620" w:type="pct"/>
            <w:tcBorders>
              <w:top w:val="nil"/>
              <w:left w:val="nil"/>
              <w:bottom w:val="nil"/>
              <w:right w:val="nil"/>
            </w:tcBorders>
            <w:shd w:val="clear" w:color="000000" w:fill="FFFFFF"/>
            <w:noWrap/>
            <w:vAlign w:val="center"/>
            <w:hideMark/>
          </w:tcPr>
          <w:p w14:paraId="3204D1B5" w14:textId="3449B1BF"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124,311</w:t>
            </w:r>
          </w:p>
        </w:tc>
        <w:tc>
          <w:tcPr>
            <w:tcW w:w="620" w:type="pct"/>
            <w:tcBorders>
              <w:top w:val="nil"/>
              <w:left w:val="nil"/>
              <w:bottom w:val="nil"/>
              <w:right w:val="nil"/>
            </w:tcBorders>
            <w:shd w:val="clear" w:color="000000" w:fill="FFFFFF"/>
            <w:noWrap/>
            <w:vAlign w:val="center"/>
            <w:hideMark/>
          </w:tcPr>
          <w:p w14:paraId="7DEDD129" w14:textId="22893491"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132,680</w:t>
            </w:r>
          </w:p>
        </w:tc>
      </w:tr>
      <w:tr w:rsidR="00F73597" w:rsidRPr="006951D1" w14:paraId="0F2BBCEE"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299A857D"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Inventories</w:t>
            </w:r>
          </w:p>
        </w:tc>
        <w:tc>
          <w:tcPr>
            <w:tcW w:w="350" w:type="pct"/>
            <w:tcBorders>
              <w:top w:val="nil"/>
              <w:left w:val="nil"/>
              <w:bottom w:val="nil"/>
              <w:right w:val="nil"/>
            </w:tcBorders>
            <w:shd w:val="clear" w:color="000000" w:fill="FFFFFF"/>
            <w:noWrap/>
            <w:vAlign w:val="center"/>
            <w:hideMark/>
          </w:tcPr>
          <w:p w14:paraId="27FFE294"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EA41D43" w14:textId="4C4DA291"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11,763</w:t>
            </w:r>
          </w:p>
        </w:tc>
        <w:tc>
          <w:tcPr>
            <w:tcW w:w="513" w:type="pct"/>
            <w:tcBorders>
              <w:top w:val="nil"/>
              <w:left w:val="nil"/>
              <w:bottom w:val="nil"/>
              <w:right w:val="nil"/>
            </w:tcBorders>
            <w:shd w:val="clear" w:color="000000" w:fill="E6F2FF"/>
            <w:noWrap/>
            <w:vAlign w:val="center"/>
            <w:hideMark/>
          </w:tcPr>
          <w:p w14:paraId="1903507C" w14:textId="308FAB9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12,007</w:t>
            </w:r>
          </w:p>
        </w:tc>
        <w:tc>
          <w:tcPr>
            <w:tcW w:w="512" w:type="pct"/>
            <w:tcBorders>
              <w:top w:val="nil"/>
              <w:left w:val="nil"/>
              <w:bottom w:val="nil"/>
              <w:right w:val="nil"/>
            </w:tcBorders>
            <w:shd w:val="clear" w:color="000000" w:fill="FFFFFF"/>
            <w:noWrap/>
            <w:vAlign w:val="center"/>
            <w:hideMark/>
          </w:tcPr>
          <w:p w14:paraId="2F3360EA" w14:textId="287A3A7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12,605</w:t>
            </w:r>
          </w:p>
        </w:tc>
        <w:tc>
          <w:tcPr>
            <w:tcW w:w="620" w:type="pct"/>
            <w:tcBorders>
              <w:top w:val="nil"/>
              <w:left w:val="nil"/>
              <w:bottom w:val="nil"/>
              <w:right w:val="nil"/>
            </w:tcBorders>
            <w:shd w:val="clear" w:color="000000" w:fill="FFFFFF"/>
            <w:noWrap/>
            <w:vAlign w:val="center"/>
            <w:hideMark/>
          </w:tcPr>
          <w:p w14:paraId="6119CFDE" w14:textId="4CBF4F4F"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13,095</w:t>
            </w:r>
          </w:p>
        </w:tc>
        <w:tc>
          <w:tcPr>
            <w:tcW w:w="620" w:type="pct"/>
            <w:tcBorders>
              <w:top w:val="nil"/>
              <w:left w:val="nil"/>
              <w:bottom w:val="nil"/>
              <w:right w:val="nil"/>
            </w:tcBorders>
            <w:shd w:val="clear" w:color="000000" w:fill="FFFFFF"/>
            <w:noWrap/>
            <w:vAlign w:val="center"/>
            <w:hideMark/>
          </w:tcPr>
          <w:p w14:paraId="36484FD7" w14:textId="0C06CAB9"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13,417</w:t>
            </w:r>
          </w:p>
        </w:tc>
      </w:tr>
      <w:tr w:rsidR="00F73597" w:rsidRPr="006951D1" w14:paraId="7E0BC453"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1BFBB76D"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Intangibles</w:t>
            </w:r>
          </w:p>
        </w:tc>
        <w:tc>
          <w:tcPr>
            <w:tcW w:w="350" w:type="pct"/>
            <w:tcBorders>
              <w:top w:val="nil"/>
              <w:left w:val="nil"/>
              <w:bottom w:val="nil"/>
              <w:right w:val="nil"/>
            </w:tcBorders>
            <w:shd w:val="clear" w:color="000000" w:fill="FFFFFF"/>
            <w:noWrap/>
            <w:vAlign w:val="center"/>
            <w:hideMark/>
          </w:tcPr>
          <w:p w14:paraId="22B89695"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E759EA2" w14:textId="2662BE1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12,697</w:t>
            </w:r>
          </w:p>
        </w:tc>
        <w:tc>
          <w:tcPr>
            <w:tcW w:w="513" w:type="pct"/>
            <w:tcBorders>
              <w:top w:val="nil"/>
              <w:left w:val="nil"/>
              <w:bottom w:val="nil"/>
              <w:right w:val="nil"/>
            </w:tcBorders>
            <w:shd w:val="clear" w:color="000000" w:fill="E6F2FF"/>
            <w:noWrap/>
            <w:vAlign w:val="center"/>
            <w:hideMark/>
          </w:tcPr>
          <w:p w14:paraId="215371CA" w14:textId="0908F3E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14,280</w:t>
            </w:r>
          </w:p>
        </w:tc>
        <w:tc>
          <w:tcPr>
            <w:tcW w:w="512" w:type="pct"/>
            <w:tcBorders>
              <w:top w:val="nil"/>
              <w:left w:val="nil"/>
              <w:bottom w:val="nil"/>
              <w:right w:val="nil"/>
            </w:tcBorders>
            <w:shd w:val="clear" w:color="000000" w:fill="FFFFFF"/>
            <w:noWrap/>
            <w:vAlign w:val="center"/>
            <w:hideMark/>
          </w:tcPr>
          <w:p w14:paraId="19410A0F" w14:textId="159487F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15,091</w:t>
            </w:r>
          </w:p>
        </w:tc>
        <w:tc>
          <w:tcPr>
            <w:tcW w:w="620" w:type="pct"/>
            <w:tcBorders>
              <w:top w:val="nil"/>
              <w:left w:val="nil"/>
              <w:bottom w:val="nil"/>
              <w:right w:val="nil"/>
            </w:tcBorders>
            <w:shd w:val="clear" w:color="000000" w:fill="FFFFFF"/>
            <w:noWrap/>
            <w:vAlign w:val="center"/>
            <w:hideMark/>
          </w:tcPr>
          <w:p w14:paraId="6F2B9359" w14:textId="427463A9"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15,190</w:t>
            </w:r>
          </w:p>
        </w:tc>
        <w:tc>
          <w:tcPr>
            <w:tcW w:w="620" w:type="pct"/>
            <w:tcBorders>
              <w:top w:val="nil"/>
              <w:left w:val="nil"/>
              <w:bottom w:val="nil"/>
              <w:right w:val="nil"/>
            </w:tcBorders>
            <w:shd w:val="clear" w:color="000000" w:fill="FFFFFF"/>
            <w:noWrap/>
            <w:vAlign w:val="center"/>
            <w:hideMark/>
          </w:tcPr>
          <w:p w14:paraId="75C0BC7B" w14:textId="175D830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15,165</w:t>
            </w:r>
          </w:p>
        </w:tc>
      </w:tr>
      <w:tr w:rsidR="00F73597" w:rsidRPr="006951D1" w14:paraId="52E36841"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247797EB"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Investment properties</w:t>
            </w:r>
          </w:p>
        </w:tc>
        <w:tc>
          <w:tcPr>
            <w:tcW w:w="350" w:type="pct"/>
            <w:tcBorders>
              <w:top w:val="nil"/>
              <w:left w:val="nil"/>
              <w:bottom w:val="nil"/>
              <w:right w:val="nil"/>
            </w:tcBorders>
            <w:shd w:val="clear" w:color="000000" w:fill="FFFFFF"/>
            <w:noWrap/>
            <w:vAlign w:val="center"/>
            <w:hideMark/>
          </w:tcPr>
          <w:p w14:paraId="1B0BDE47"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15AFD58" w14:textId="19D45F4D"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220</w:t>
            </w:r>
          </w:p>
        </w:tc>
        <w:tc>
          <w:tcPr>
            <w:tcW w:w="513" w:type="pct"/>
            <w:tcBorders>
              <w:top w:val="nil"/>
              <w:left w:val="nil"/>
              <w:bottom w:val="nil"/>
              <w:right w:val="nil"/>
            </w:tcBorders>
            <w:shd w:val="clear" w:color="000000" w:fill="E6F2FF"/>
            <w:noWrap/>
            <w:vAlign w:val="center"/>
            <w:hideMark/>
          </w:tcPr>
          <w:p w14:paraId="0AB5F19D" w14:textId="7F09CB60"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227</w:t>
            </w:r>
          </w:p>
        </w:tc>
        <w:tc>
          <w:tcPr>
            <w:tcW w:w="512" w:type="pct"/>
            <w:tcBorders>
              <w:top w:val="nil"/>
              <w:left w:val="nil"/>
              <w:bottom w:val="nil"/>
              <w:right w:val="nil"/>
            </w:tcBorders>
            <w:shd w:val="clear" w:color="000000" w:fill="FFFFFF"/>
            <w:noWrap/>
            <w:vAlign w:val="center"/>
            <w:hideMark/>
          </w:tcPr>
          <w:p w14:paraId="0102C2F2" w14:textId="74D0D92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227</w:t>
            </w:r>
          </w:p>
        </w:tc>
        <w:tc>
          <w:tcPr>
            <w:tcW w:w="620" w:type="pct"/>
            <w:tcBorders>
              <w:top w:val="nil"/>
              <w:left w:val="nil"/>
              <w:bottom w:val="nil"/>
              <w:right w:val="nil"/>
            </w:tcBorders>
            <w:shd w:val="clear" w:color="000000" w:fill="FFFFFF"/>
            <w:noWrap/>
            <w:vAlign w:val="center"/>
            <w:hideMark/>
          </w:tcPr>
          <w:p w14:paraId="61FD6626" w14:textId="19AF2BD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227</w:t>
            </w:r>
          </w:p>
        </w:tc>
        <w:tc>
          <w:tcPr>
            <w:tcW w:w="620" w:type="pct"/>
            <w:tcBorders>
              <w:top w:val="nil"/>
              <w:left w:val="nil"/>
              <w:bottom w:val="nil"/>
              <w:right w:val="nil"/>
            </w:tcBorders>
            <w:shd w:val="clear" w:color="000000" w:fill="FFFFFF"/>
            <w:noWrap/>
            <w:vAlign w:val="center"/>
            <w:hideMark/>
          </w:tcPr>
          <w:p w14:paraId="5144AE66" w14:textId="5FB719F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227</w:t>
            </w:r>
          </w:p>
        </w:tc>
      </w:tr>
      <w:tr w:rsidR="00F73597" w:rsidRPr="006951D1" w14:paraId="17D46ED0"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79236059"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Biological assets</w:t>
            </w:r>
          </w:p>
        </w:tc>
        <w:tc>
          <w:tcPr>
            <w:tcW w:w="350" w:type="pct"/>
            <w:tcBorders>
              <w:top w:val="nil"/>
              <w:left w:val="nil"/>
              <w:bottom w:val="nil"/>
              <w:right w:val="nil"/>
            </w:tcBorders>
            <w:shd w:val="clear" w:color="000000" w:fill="FFFFFF"/>
            <w:noWrap/>
            <w:vAlign w:val="center"/>
            <w:hideMark/>
          </w:tcPr>
          <w:p w14:paraId="5D343542"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6EC19CA" w14:textId="71BDFC75"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w:t>
            </w:r>
          </w:p>
        </w:tc>
        <w:tc>
          <w:tcPr>
            <w:tcW w:w="513" w:type="pct"/>
            <w:tcBorders>
              <w:top w:val="nil"/>
              <w:left w:val="nil"/>
              <w:bottom w:val="nil"/>
              <w:right w:val="nil"/>
            </w:tcBorders>
            <w:shd w:val="clear" w:color="000000" w:fill="E6F2FF"/>
            <w:noWrap/>
            <w:vAlign w:val="center"/>
            <w:hideMark/>
          </w:tcPr>
          <w:p w14:paraId="1AA63B0B" w14:textId="11084820"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w:t>
            </w:r>
          </w:p>
        </w:tc>
        <w:tc>
          <w:tcPr>
            <w:tcW w:w="512" w:type="pct"/>
            <w:tcBorders>
              <w:top w:val="nil"/>
              <w:left w:val="nil"/>
              <w:bottom w:val="nil"/>
              <w:right w:val="nil"/>
            </w:tcBorders>
            <w:shd w:val="clear" w:color="000000" w:fill="FFFFFF"/>
            <w:noWrap/>
            <w:vAlign w:val="center"/>
            <w:hideMark/>
          </w:tcPr>
          <w:p w14:paraId="7633D49B" w14:textId="419A57D4"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w:t>
            </w:r>
          </w:p>
        </w:tc>
        <w:tc>
          <w:tcPr>
            <w:tcW w:w="620" w:type="pct"/>
            <w:tcBorders>
              <w:top w:val="nil"/>
              <w:left w:val="nil"/>
              <w:bottom w:val="nil"/>
              <w:right w:val="nil"/>
            </w:tcBorders>
            <w:shd w:val="clear" w:color="000000" w:fill="FFFFFF"/>
            <w:noWrap/>
            <w:vAlign w:val="center"/>
            <w:hideMark/>
          </w:tcPr>
          <w:p w14:paraId="3D7046AE" w14:textId="76744169"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w:t>
            </w:r>
          </w:p>
        </w:tc>
        <w:tc>
          <w:tcPr>
            <w:tcW w:w="620" w:type="pct"/>
            <w:tcBorders>
              <w:top w:val="nil"/>
              <w:left w:val="nil"/>
              <w:bottom w:val="nil"/>
              <w:right w:val="nil"/>
            </w:tcBorders>
            <w:shd w:val="clear" w:color="000000" w:fill="FFFFFF"/>
            <w:noWrap/>
            <w:vAlign w:val="center"/>
            <w:hideMark/>
          </w:tcPr>
          <w:p w14:paraId="17544B2B" w14:textId="0A8036A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5</w:t>
            </w:r>
          </w:p>
        </w:tc>
      </w:tr>
      <w:tr w:rsidR="00F73597" w:rsidRPr="006951D1" w14:paraId="0EA82D3D"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4BABF243"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Heritage and cultural assets</w:t>
            </w:r>
          </w:p>
        </w:tc>
        <w:tc>
          <w:tcPr>
            <w:tcW w:w="350" w:type="pct"/>
            <w:tcBorders>
              <w:top w:val="nil"/>
              <w:left w:val="nil"/>
              <w:bottom w:val="nil"/>
              <w:right w:val="nil"/>
            </w:tcBorders>
            <w:shd w:val="clear" w:color="000000" w:fill="FFFFFF"/>
            <w:noWrap/>
            <w:vAlign w:val="center"/>
            <w:hideMark/>
          </w:tcPr>
          <w:p w14:paraId="1E79BFDF"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FC28516" w14:textId="28209E2D"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12,664</w:t>
            </w:r>
          </w:p>
        </w:tc>
        <w:tc>
          <w:tcPr>
            <w:tcW w:w="513" w:type="pct"/>
            <w:tcBorders>
              <w:top w:val="nil"/>
              <w:left w:val="nil"/>
              <w:bottom w:val="nil"/>
              <w:right w:val="nil"/>
            </w:tcBorders>
            <w:shd w:val="clear" w:color="000000" w:fill="E6F2FF"/>
            <w:noWrap/>
            <w:vAlign w:val="center"/>
            <w:hideMark/>
          </w:tcPr>
          <w:p w14:paraId="247863E0" w14:textId="50831A70"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12,687</w:t>
            </w:r>
          </w:p>
        </w:tc>
        <w:tc>
          <w:tcPr>
            <w:tcW w:w="512" w:type="pct"/>
            <w:tcBorders>
              <w:top w:val="nil"/>
              <w:left w:val="nil"/>
              <w:bottom w:val="nil"/>
              <w:right w:val="nil"/>
            </w:tcBorders>
            <w:shd w:val="clear" w:color="000000" w:fill="FFFFFF"/>
            <w:noWrap/>
            <w:vAlign w:val="center"/>
            <w:hideMark/>
          </w:tcPr>
          <w:p w14:paraId="399C5BC5" w14:textId="4445B75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12,685</w:t>
            </w:r>
          </w:p>
        </w:tc>
        <w:tc>
          <w:tcPr>
            <w:tcW w:w="620" w:type="pct"/>
            <w:tcBorders>
              <w:top w:val="nil"/>
              <w:left w:val="nil"/>
              <w:bottom w:val="nil"/>
              <w:right w:val="nil"/>
            </w:tcBorders>
            <w:shd w:val="clear" w:color="000000" w:fill="FFFFFF"/>
            <w:noWrap/>
            <w:vAlign w:val="center"/>
            <w:hideMark/>
          </w:tcPr>
          <w:p w14:paraId="3E7974C6" w14:textId="0EEB81F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12,683</w:t>
            </w:r>
          </w:p>
        </w:tc>
        <w:tc>
          <w:tcPr>
            <w:tcW w:w="620" w:type="pct"/>
            <w:tcBorders>
              <w:top w:val="nil"/>
              <w:left w:val="nil"/>
              <w:bottom w:val="nil"/>
              <w:right w:val="nil"/>
            </w:tcBorders>
            <w:shd w:val="clear" w:color="000000" w:fill="FFFFFF"/>
            <w:noWrap/>
            <w:vAlign w:val="center"/>
            <w:hideMark/>
          </w:tcPr>
          <w:p w14:paraId="5481B276" w14:textId="4C2153A6"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12,684</w:t>
            </w:r>
          </w:p>
        </w:tc>
      </w:tr>
      <w:tr w:rsidR="00F73597" w:rsidRPr="006951D1" w14:paraId="30ABB063"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64DC44DD" w14:textId="77777777"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Assets held for sale</w:t>
            </w:r>
          </w:p>
        </w:tc>
        <w:tc>
          <w:tcPr>
            <w:tcW w:w="350" w:type="pct"/>
            <w:tcBorders>
              <w:top w:val="nil"/>
              <w:left w:val="nil"/>
              <w:bottom w:val="nil"/>
              <w:right w:val="nil"/>
            </w:tcBorders>
            <w:shd w:val="clear" w:color="000000" w:fill="FFFFFF"/>
            <w:noWrap/>
            <w:vAlign w:val="center"/>
            <w:hideMark/>
          </w:tcPr>
          <w:p w14:paraId="714ACBF7"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5D7FC255" w14:textId="5D6FAA26"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102</w:t>
            </w:r>
          </w:p>
        </w:tc>
        <w:tc>
          <w:tcPr>
            <w:tcW w:w="513" w:type="pct"/>
            <w:tcBorders>
              <w:top w:val="nil"/>
              <w:left w:val="nil"/>
              <w:bottom w:val="nil"/>
              <w:right w:val="nil"/>
            </w:tcBorders>
            <w:shd w:val="clear" w:color="000000" w:fill="E6F2FF"/>
            <w:noWrap/>
            <w:vAlign w:val="center"/>
            <w:hideMark/>
          </w:tcPr>
          <w:p w14:paraId="094F1D9C" w14:textId="5678B02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94</w:t>
            </w:r>
          </w:p>
        </w:tc>
        <w:tc>
          <w:tcPr>
            <w:tcW w:w="512" w:type="pct"/>
            <w:tcBorders>
              <w:top w:val="nil"/>
              <w:left w:val="nil"/>
              <w:bottom w:val="nil"/>
              <w:right w:val="nil"/>
            </w:tcBorders>
            <w:shd w:val="clear" w:color="000000" w:fill="FFFFFF"/>
            <w:noWrap/>
            <w:vAlign w:val="center"/>
            <w:hideMark/>
          </w:tcPr>
          <w:p w14:paraId="3B2F9E46" w14:textId="2E4B27DC"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89</w:t>
            </w:r>
          </w:p>
        </w:tc>
        <w:tc>
          <w:tcPr>
            <w:tcW w:w="620" w:type="pct"/>
            <w:tcBorders>
              <w:top w:val="nil"/>
              <w:left w:val="nil"/>
              <w:bottom w:val="nil"/>
              <w:right w:val="nil"/>
            </w:tcBorders>
            <w:shd w:val="clear" w:color="000000" w:fill="FFFFFF"/>
            <w:noWrap/>
            <w:vAlign w:val="center"/>
            <w:hideMark/>
          </w:tcPr>
          <w:p w14:paraId="2CD7AA8A" w14:textId="36650DB8"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89</w:t>
            </w:r>
          </w:p>
        </w:tc>
        <w:tc>
          <w:tcPr>
            <w:tcW w:w="620" w:type="pct"/>
            <w:tcBorders>
              <w:top w:val="nil"/>
              <w:left w:val="nil"/>
              <w:bottom w:val="nil"/>
              <w:right w:val="nil"/>
            </w:tcBorders>
            <w:shd w:val="clear" w:color="000000" w:fill="FFFFFF"/>
            <w:noWrap/>
            <w:vAlign w:val="center"/>
            <w:hideMark/>
          </w:tcPr>
          <w:p w14:paraId="68B63211" w14:textId="79FCD13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89</w:t>
            </w:r>
          </w:p>
        </w:tc>
      </w:tr>
      <w:tr w:rsidR="00F73597" w:rsidRPr="006951D1" w14:paraId="522B3341"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459A8342" w14:textId="6646C952" w:rsidR="00F73597" w:rsidRPr="00897CEF" w:rsidRDefault="00F73597" w:rsidP="008A66B4">
            <w:pPr>
              <w:spacing w:before="0" w:after="0" w:line="240" w:lineRule="auto"/>
              <w:ind w:left="170"/>
              <w:rPr>
                <w:rFonts w:ascii="Arial" w:hAnsi="Arial" w:cs="Arial"/>
                <w:sz w:val="16"/>
                <w:szCs w:val="16"/>
              </w:rPr>
            </w:pPr>
            <w:r w:rsidRPr="00897CEF">
              <w:rPr>
                <w:rFonts w:ascii="Arial" w:hAnsi="Arial" w:cs="Arial"/>
                <w:sz w:val="16"/>
                <w:szCs w:val="16"/>
              </w:rPr>
              <w:t>Other non</w:t>
            </w:r>
            <w:r w:rsidR="00325E1E">
              <w:rPr>
                <w:rFonts w:ascii="Arial" w:hAnsi="Arial" w:cs="Arial"/>
                <w:sz w:val="16"/>
                <w:szCs w:val="16"/>
              </w:rPr>
              <w:noBreakHyphen/>
            </w:r>
            <w:r w:rsidRPr="00897CEF">
              <w:rPr>
                <w:rFonts w:ascii="Arial" w:hAnsi="Arial" w:cs="Arial"/>
                <w:sz w:val="16"/>
                <w:szCs w:val="16"/>
              </w:rPr>
              <w:t>financial assets</w:t>
            </w:r>
          </w:p>
        </w:tc>
        <w:tc>
          <w:tcPr>
            <w:tcW w:w="350" w:type="pct"/>
            <w:tcBorders>
              <w:top w:val="nil"/>
              <w:left w:val="nil"/>
              <w:bottom w:val="nil"/>
              <w:right w:val="nil"/>
            </w:tcBorders>
            <w:shd w:val="clear" w:color="000000" w:fill="FFFFFF"/>
            <w:noWrap/>
            <w:vAlign w:val="center"/>
            <w:hideMark/>
          </w:tcPr>
          <w:p w14:paraId="53AA44C8" w14:textId="77777777" w:rsidR="00F73597" w:rsidRPr="00897CEF" w:rsidRDefault="00F73597" w:rsidP="00F73597">
            <w:pPr>
              <w:spacing w:before="0" w:after="0" w:line="240" w:lineRule="auto"/>
              <w:jc w:val="center"/>
              <w:rPr>
                <w:rFonts w:ascii="Arial" w:hAnsi="Arial" w:cs="Arial"/>
                <w:sz w:val="16"/>
                <w:szCs w:val="16"/>
              </w:rPr>
            </w:pPr>
            <w:r w:rsidRPr="00897CEF">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461D8346" w14:textId="558CEF3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14</w:t>
            </w:r>
          </w:p>
        </w:tc>
        <w:tc>
          <w:tcPr>
            <w:tcW w:w="513" w:type="pct"/>
            <w:tcBorders>
              <w:top w:val="nil"/>
              <w:left w:val="nil"/>
              <w:bottom w:val="nil"/>
              <w:right w:val="nil"/>
            </w:tcBorders>
            <w:shd w:val="clear" w:color="000000" w:fill="E6F2FF"/>
            <w:noWrap/>
            <w:vAlign w:val="center"/>
            <w:hideMark/>
          </w:tcPr>
          <w:p w14:paraId="7541ED5E" w14:textId="488C4EEF"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w:t>
            </w:r>
          </w:p>
        </w:tc>
        <w:tc>
          <w:tcPr>
            <w:tcW w:w="512" w:type="pct"/>
            <w:tcBorders>
              <w:top w:val="nil"/>
              <w:left w:val="nil"/>
              <w:bottom w:val="nil"/>
              <w:right w:val="nil"/>
            </w:tcBorders>
            <w:shd w:val="clear" w:color="000000" w:fill="FFFFFF"/>
            <w:noWrap/>
            <w:vAlign w:val="center"/>
            <w:hideMark/>
          </w:tcPr>
          <w:p w14:paraId="7D3C2049" w14:textId="73D1FFC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w:t>
            </w:r>
          </w:p>
        </w:tc>
        <w:tc>
          <w:tcPr>
            <w:tcW w:w="620" w:type="pct"/>
            <w:tcBorders>
              <w:top w:val="nil"/>
              <w:left w:val="nil"/>
              <w:bottom w:val="nil"/>
              <w:right w:val="nil"/>
            </w:tcBorders>
            <w:shd w:val="clear" w:color="000000" w:fill="FFFFFF"/>
            <w:noWrap/>
            <w:vAlign w:val="center"/>
            <w:hideMark/>
          </w:tcPr>
          <w:p w14:paraId="06AF9B84" w14:textId="1C55413F"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w:t>
            </w:r>
          </w:p>
        </w:tc>
        <w:tc>
          <w:tcPr>
            <w:tcW w:w="620" w:type="pct"/>
            <w:tcBorders>
              <w:top w:val="nil"/>
              <w:left w:val="nil"/>
              <w:bottom w:val="nil"/>
              <w:right w:val="nil"/>
            </w:tcBorders>
            <w:shd w:val="clear" w:color="000000" w:fill="FFFFFF"/>
            <w:noWrap/>
            <w:vAlign w:val="center"/>
            <w:hideMark/>
          </w:tcPr>
          <w:p w14:paraId="19EDC855" w14:textId="6D9859D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w:t>
            </w:r>
          </w:p>
        </w:tc>
      </w:tr>
      <w:tr w:rsidR="00F73597" w:rsidRPr="006951D1" w14:paraId="1E9B1F27"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5E5A1E4D" w14:textId="35B0B751" w:rsidR="00F73597" w:rsidRPr="00897CEF" w:rsidRDefault="00F73597" w:rsidP="00A53B0E">
            <w:pPr>
              <w:spacing w:before="0" w:after="0" w:line="240" w:lineRule="auto"/>
              <w:rPr>
                <w:rFonts w:ascii="Arial" w:hAnsi="Arial" w:cs="Arial"/>
                <w:i/>
                <w:iCs/>
                <w:sz w:val="16"/>
                <w:szCs w:val="16"/>
              </w:rPr>
            </w:pPr>
            <w:r w:rsidRPr="00897CEF">
              <w:rPr>
                <w:rFonts w:ascii="Arial" w:hAnsi="Arial" w:cs="Arial"/>
                <w:i/>
                <w:iCs/>
                <w:sz w:val="16"/>
                <w:szCs w:val="16"/>
              </w:rPr>
              <w:t>Total non</w:t>
            </w:r>
            <w:r w:rsidR="00325E1E">
              <w:rPr>
                <w:rFonts w:ascii="Arial" w:hAnsi="Arial" w:cs="Arial"/>
                <w:i/>
                <w:iCs/>
                <w:sz w:val="16"/>
                <w:szCs w:val="16"/>
              </w:rPr>
              <w:noBreakHyphen/>
            </w:r>
            <w:r w:rsidRPr="00897CEF">
              <w:rPr>
                <w:rFonts w:ascii="Arial" w:hAnsi="Arial" w:cs="Arial"/>
                <w:i/>
                <w:iCs/>
                <w:sz w:val="16"/>
                <w:szCs w:val="16"/>
              </w:rPr>
              <w:t>financial assets</w:t>
            </w:r>
          </w:p>
        </w:tc>
        <w:tc>
          <w:tcPr>
            <w:tcW w:w="350" w:type="pct"/>
            <w:tcBorders>
              <w:top w:val="nil"/>
              <w:left w:val="nil"/>
              <w:bottom w:val="nil"/>
              <w:right w:val="nil"/>
            </w:tcBorders>
            <w:shd w:val="clear" w:color="000000" w:fill="FFFFFF"/>
            <w:noWrap/>
            <w:vAlign w:val="center"/>
            <w:hideMark/>
          </w:tcPr>
          <w:p w14:paraId="42495A12" w14:textId="77777777" w:rsidR="00F73597" w:rsidRPr="00897CEF" w:rsidRDefault="00F73597" w:rsidP="00F73597">
            <w:pPr>
              <w:spacing w:before="0" w:after="0" w:line="240" w:lineRule="auto"/>
              <w:jc w:val="center"/>
              <w:rPr>
                <w:rFonts w:ascii="Arial" w:hAnsi="Arial" w:cs="Arial"/>
                <w:i/>
                <w:iCs/>
                <w:sz w:val="16"/>
                <w:szCs w:val="16"/>
              </w:rPr>
            </w:pPr>
            <w:r w:rsidRPr="00897CEF">
              <w:rPr>
                <w:rFonts w:ascii="Arial" w:hAnsi="Arial" w:cs="Arial"/>
                <w:i/>
                <w:iCs/>
                <w:sz w:val="16"/>
                <w:szCs w:val="16"/>
              </w:rPr>
              <w:t> </w:t>
            </w:r>
          </w:p>
        </w:tc>
        <w:tc>
          <w:tcPr>
            <w:tcW w:w="513" w:type="pct"/>
            <w:tcBorders>
              <w:top w:val="nil"/>
              <w:left w:val="nil"/>
              <w:bottom w:val="nil"/>
              <w:right w:val="nil"/>
            </w:tcBorders>
            <w:shd w:val="clear" w:color="000000" w:fill="FFFFFF"/>
            <w:noWrap/>
            <w:vAlign w:val="center"/>
            <w:hideMark/>
          </w:tcPr>
          <w:p w14:paraId="1311462C" w14:textId="32C953CD"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211,687</w:t>
            </w:r>
          </w:p>
        </w:tc>
        <w:tc>
          <w:tcPr>
            <w:tcW w:w="513" w:type="pct"/>
            <w:tcBorders>
              <w:top w:val="nil"/>
              <w:left w:val="nil"/>
              <w:bottom w:val="nil"/>
              <w:right w:val="nil"/>
            </w:tcBorders>
            <w:shd w:val="clear" w:color="000000" w:fill="E6F2FF"/>
            <w:noWrap/>
            <w:vAlign w:val="center"/>
            <w:hideMark/>
          </w:tcPr>
          <w:p w14:paraId="18BDD377" w14:textId="5EF53AA0"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219,362</w:t>
            </w:r>
          </w:p>
        </w:tc>
        <w:tc>
          <w:tcPr>
            <w:tcW w:w="512" w:type="pct"/>
            <w:tcBorders>
              <w:top w:val="nil"/>
              <w:left w:val="nil"/>
              <w:bottom w:val="nil"/>
              <w:right w:val="nil"/>
            </w:tcBorders>
            <w:shd w:val="clear" w:color="000000" w:fill="FFFFFF"/>
            <w:noWrap/>
            <w:vAlign w:val="center"/>
            <w:hideMark/>
          </w:tcPr>
          <w:p w14:paraId="456628AA" w14:textId="4F46C625"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226,506</w:t>
            </w:r>
          </w:p>
        </w:tc>
        <w:tc>
          <w:tcPr>
            <w:tcW w:w="620" w:type="pct"/>
            <w:tcBorders>
              <w:top w:val="nil"/>
              <w:left w:val="nil"/>
              <w:bottom w:val="nil"/>
              <w:right w:val="nil"/>
            </w:tcBorders>
            <w:shd w:val="clear" w:color="000000" w:fill="FFFFFF"/>
            <w:noWrap/>
            <w:vAlign w:val="center"/>
            <w:hideMark/>
          </w:tcPr>
          <w:p w14:paraId="7B32D094" w14:textId="63365D4B"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234,556</w:t>
            </w:r>
          </w:p>
        </w:tc>
        <w:tc>
          <w:tcPr>
            <w:tcW w:w="620" w:type="pct"/>
            <w:tcBorders>
              <w:top w:val="nil"/>
              <w:left w:val="nil"/>
              <w:bottom w:val="nil"/>
              <w:right w:val="nil"/>
            </w:tcBorders>
            <w:shd w:val="clear" w:color="000000" w:fill="FFFFFF"/>
            <w:noWrap/>
            <w:vAlign w:val="center"/>
            <w:hideMark/>
          </w:tcPr>
          <w:p w14:paraId="6778C143" w14:textId="72F40DC1"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245,726</w:t>
            </w:r>
          </w:p>
        </w:tc>
      </w:tr>
      <w:tr w:rsidR="00F73597" w:rsidRPr="006951D1" w14:paraId="02AA617D"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4006DFA7" w14:textId="77777777" w:rsidR="00F73597" w:rsidRPr="00897CEF" w:rsidRDefault="00F73597" w:rsidP="00F73597">
            <w:pPr>
              <w:spacing w:before="0" w:after="0" w:line="240" w:lineRule="auto"/>
              <w:rPr>
                <w:rFonts w:ascii="Arial" w:hAnsi="Arial" w:cs="Arial"/>
                <w:b/>
                <w:bCs/>
                <w:sz w:val="16"/>
                <w:szCs w:val="16"/>
              </w:rPr>
            </w:pPr>
            <w:r w:rsidRPr="00897CEF">
              <w:rPr>
                <w:rFonts w:ascii="Arial" w:hAnsi="Arial" w:cs="Arial"/>
                <w:b/>
                <w:bCs/>
                <w:sz w:val="16"/>
                <w:szCs w:val="16"/>
              </w:rPr>
              <w:t>Total assets</w:t>
            </w:r>
          </w:p>
        </w:tc>
        <w:tc>
          <w:tcPr>
            <w:tcW w:w="350" w:type="pct"/>
            <w:tcBorders>
              <w:top w:val="nil"/>
              <w:left w:val="nil"/>
              <w:bottom w:val="nil"/>
              <w:right w:val="nil"/>
            </w:tcBorders>
            <w:shd w:val="clear" w:color="000000" w:fill="FFFFFF"/>
            <w:noWrap/>
            <w:vAlign w:val="center"/>
            <w:hideMark/>
          </w:tcPr>
          <w:p w14:paraId="62BEE441" w14:textId="77777777" w:rsidR="00F73597" w:rsidRPr="00897CEF" w:rsidRDefault="00F73597" w:rsidP="00F73597">
            <w:pPr>
              <w:spacing w:before="0" w:after="0" w:line="240" w:lineRule="auto"/>
              <w:jc w:val="center"/>
              <w:rPr>
                <w:rFonts w:ascii="Arial" w:hAnsi="Arial" w:cs="Arial"/>
                <w:b/>
                <w:bCs/>
                <w:sz w:val="16"/>
                <w:szCs w:val="16"/>
              </w:rPr>
            </w:pPr>
            <w:r w:rsidRPr="00897CEF">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5047829B" w14:textId="534854F8" w:rsidR="00F73597" w:rsidRPr="00897CEF" w:rsidRDefault="00F73597" w:rsidP="00F73597">
            <w:pPr>
              <w:spacing w:before="0" w:after="0" w:line="240" w:lineRule="auto"/>
              <w:jc w:val="right"/>
              <w:rPr>
                <w:rFonts w:ascii="Arial" w:hAnsi="Arial" w:cs="Arial"/>
                <w:b/>
                <w:bCs/>
                <w:color w:val="000000"/>
                <w:sz w:val="16"/>
                <w:szCs w:val="16"/>
              </w:rPr>
            </w:pPr>
            <w:r w:rsidRPr="00897CEF">
              <w:rPr>
                <w:rFonts w:ascii="Arial" w:hAnsi="Arial" w:cs="Arial"/>
                <w:b/>
                <w:bCs/>
                <w:color w:val="000000"/>
                <w:sz w:val="16"/>
                <w:szCs w:val="16"/>
              </w:rPr>
              <w:t>825,929</w:t>
            </w:r>
          </w:p>
        </w:tc>
        <w:tc>
          <w:tcPr>
            <w:tcW w:w="513" w:type="pct"/>
            <w:tcBorders>
              <w:top w:val="nil"/>
              <w:left w:val="nil"/>
              <w:bottom w:val="nil"/>
              <w:right w:val="nil"/>
            </w:tcBorders>
            <w:shd w:val="clear" w:color="000000" w:fill="E6F2FF"/>
            <w:noWrap/>
            <w:vAlign w:val="center"/>
            <w:hideMark/>
          </w:tcPr>
          <w:p w14:paraId="626A4AD9" w14:textId="6092B6DD" w:rsidR="00F73597" w:rsidRPr="00897CEF" w:rsidRDefault="00F73597" w:rsidP="00F73597">
            <w:pPr>
              <w:spacing w:before="0" w:after="0" w:line="240" w:lineRule="auto"/>
              <w:jc w:val="right"/>
              <w:rPr>
                <w:rFonts w:ascii="Arial" w:hAnsi="Arial" w:cs="Arial"/>
                <w:b/>
                <w:bCs/>
                <w:color w:val="000000"/>
                <w:sz w:val="16"/>
                <w:szCs w:val="16"/>
              </w:rPr>
            </w:pPr>
            <w:r w:rsidRPr="00897CEF">
              <w:rPr>
                <w:rFonts w:ascii="Arial" w:hAnsi="Arial" w:cs="Arial"/>
                <w:b/>
                <w:bCs/>
                <w:color w:val="000000"/>
                <w:sz w:val="16"/>
                <w:szCs w:val="16"/>
              </w:rPr>
              <w:t>837,590</w:t>
            </w:r>
          </w:p>
        </w:tc>
        <w:tc>
          <w:tcPr>
            <w:tcW w:w="512" w:type="pct"/>
            <w:tcBorders>
              <w:top w:val="nil"/>
              <w:left w:val="nil"/>
              <w:bottom w:val="nil"/>
              <w:right w:val="nil"/>
            </w:tcBorders>
            <w:shd w:val="clear" w:color="000000" w:fill="FFFFFF"/>
            <w:noWrap/>
            <w:vAlign w:val="center"/>
            <w:hideMark/>
          </w:tcPr>
          <w:p w14:paraId="22C65F2B" w14:textId="3C3A6EC1" w:rsidR="00F73597" w:rsidRPr="00897CEF" w:rsidRDefault="00F73597" w:rsidP="00F73597">
            <w:pPr>
              <w:spacing w:before="0" w:after="0" w:line="240" w:lineRule="auto"/>
              <w:jc w:val="right"/>
              <w:rPr>
                <w:rFonts w:ascii="Arial" w:hAnsi="Arial" w:cs="Arial"/>
                <w:b/>
                <w:bCs/>
                <w:color w:val="000000"/>
                <w:sz w:val="16"/>
                <w:szCs w:val="16"/>
              </w:rPr>
            </w:pPr>
            <w:r w:rsidRPr="00897CEF">
              <w:rPr>
                <w:rFonts w:ascii="Arial" w:hAnsi="Arial" w:cs="Arial"/>
                <w:b/>
                <w:bCs/>
                <w:color w:val="000000"/>
                <w:sz w:val="16"/>
                <w:szCs w:val="16"/>
              </w:rPr>
              <w:t>877,066</w:t>
            </w:r>
          </w:p>
        </w:tc>
        <w:tc>
          <w:tcPr>
            <w:tcW w:w="620" w:type="pct"/>
            <w:tcBorders>
              <w:top w:val="nil"/>
              <w:left w:val="nil"/>
              <w:bottom w:val="nil"/>
              <w:right w:val="nil"/>
            </w:tcBorders>
            <w:shd w:val="clear" w:color="000000" w:fill="FFFFFF"/>
            <w:noWrap/>
            <w:vAlign w:val="center"/>
            <w:hideMark/>
          </w:tcPr>
          <w:p w14:paraId="2F3DC386" w14:textId="2939EDC4" w:rsidR="00F73597" w:rsidRPr="00897CEF" w:rsidRDefault="00F73597" w:rsidP="00F73597">
            <w:pPr>
              <w:spacing w:before="0" w:after="0" w:line="240" w:lineRule="auto"/>
              <w:jc w:val="right"/>
              <w:rPr>
                <w:rFonts w:ascii="Arial" w:hAnsi="Arial" w:cs="Arial"/>
                <w:b/>
                <w:bCs/>
                <w:color w:val="000000"/>
                <w:sz w:val="16"/>
                <w:szCs w:val="16"/>
              </w:rPr>
            </w:pPr>
            <w:r w:rsidRPr="00897CEF">
              <w:rPr>
                <w:rFonts w:ascii="Arial" w:hAnsi="Arial" w:cs="Arial"/>
                <w:b/>
                <w:bCs/>
                <w:color w:val="000000"/>
                <w:sz w:val="16"/>
                <w:szCs w:val="16"/>
              </w:rPr>
              <w:t>919,637</w:t>
            </w:r>
          </w:p>
        </w:tc>
        <w:tc>
          <w:tcPr>
            <w:tcW w:w="620" w:type="pct"/>
            <w:tcBorders>
              <w:top w:val="nil"/>
              <w:left w:val="nil"/>
              <w:bottom w:val="nil"/>
              <w:right w:val="nil"/>
            </w:tcBorders>
            <w:shd w:val="clear" w:color="000000" w:fill="FFFFFF"/>
            <w:noWrap/>
            <w:vAlign w:val="center"/>
            <w:hideMark/>
          </w:tcPr>
          <w:p w14:paraId="6F82A96B" w14:textId="31219AC2" w:rsidR="00F73597" w:rsidRPr="00897CEF" w:rsidRDefault="00F73597" w:rsidP="00F73597">
            <w:pPr>
              <w:spacing w:before="0" w:after="0" w:line="240" w:lineRule="auto"/>
              <w:jc w:val="right"/>
              <w:rPr>
                <w:rFonts w:ascii="Arial" w:hAnsi="Arial" w:cs="Arial"/>
                <w:b/>
                <w:bCs/>
                <w:color w:val="000000"/>
                <w:sz w:val="16"/>
                <w:szCs w:val="16"/>
              </w:rPr>
            </w:pPr>
            <w:r w:rsidRPr="00897CEF">
              <w:rPr>
                <w:rFonts w:ascii="Arial" w:hAnsi="Arial" w:cs="Arial"/>
                <w:b/>
                <w:bCs/>
                <w:color w:val="000000"/>
                <w:sz w:val="16"/>
                <w:szCs w:val="16"/>
              </w:rPr>
              <w:t>963,247</w:t>
            </w:r>
          </w:p>
        </w:tc>
      </w:tr>
      <w:tr w:rsidR="006951D1" w:rsidRPr="006951D1" w14:paraId="7E6064EA"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616458AB" w14:textId="77777777" w:rsidR="006951D1" w:rsidRPr="00897CEF" w:rsidRDefault="006951D1" w:rsidP="006951D1">
            <w:pPr>
              <w:spacing w:before="0" w:after="0" w:line="240" w:lineRule="auto"/>
              <w:rPr>
                <w:rFonts w:ascii="Arial" w:hAnsi="Arial" w:cs="Arial"/>
                <w:b/>
                <w:bCs/>
                <w:sz w:val="16"/>
                <w:szCs w:val="16"/>
              </w:rPr>
            </w:pPr>
            <w:r w:rsidRPr="00897CEF">
              <w:rPr>
                <w:rFonts w:ascii="Arial" w:hAnsi="Arial" w:cs="Arial"/>
                <w:b/>
                <w:bCs/>
                <w:sz w:val="16"/>
                <w:szCs w:val="16"/>
              </w:rPr>
              <w:t>Liabilities</w:t>
            </w:r>
          </w:p>
        </w:tc>
        <w:tc>
          <w:tcPr>
            <w:tcW w:w="350" w:type="pct"/>
            <w:tcBorders>
              <w:top w:val="nil"/>
              <w:left w:val="nil"/>
              <w:bottom w:val="nil"/>
              <w:right w:val="nil"/>
            </w:tcBorders>
            <w:shd w:val="clear" w:color="000000" w:fill="FFFFFF"/>
            <w:noWrap/>
            <w:vAlign w:val="center"/>
            <w:hideMark/>
          </w:tcPr>
          <w:p w14:paraId="61AA7F5F" w14:textId="77777777" w:rsidR="006951D1" w:rsidRPr="00897CEF" w:rsidRDefault="006951D1" w:rsidP="006951D1">
            <w:pPr>
              <w:spacing w:before="0" w:after="0" w:line="240" w:lineRule="auto"/>
              <w:jc w:val="center"/>
              <w:rPr>
                <w:rFonts w:ascii="Arial" w:hAnsi="Arial" w:cs="Arial"/>
                <w:b/>
                <w:bCs/>
                <w:sz w:val="16"/>
                <w:szCs w:val="16"/>
              </w:rPr>
            </w:pPr>
            <w:r w:rsidRPr="00897CEF">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64E544E3"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4A90AF73"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2BA7B9B4"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5C8BE995"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7E8CE5FF"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6951D1" w:rsidRPr="006951D1" w14:paraId="27F638AE"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530C59D2" w14:textId="77777777" w:rsidR="006951D1" w:rsidRPr="00897CEF" w:rsidRDefault="006951D1" w:rsidP="006951D1">
            <w:pPr>
              <w:spacing w:before="0" w:after="0" w:line="240" w:lineRule="auto"/>
              <w:rPr>
                <w:rFonts w:ascii="Arial" w:hAnsi="Arial" w:cs="Arial"/>
                <w:sz w:val="16"/>
                <w:szCs w:val="16"/>
              </w:rPr>
            </w:pPr>
            <w:r w:rsidRPr="00897CEF">
              <w:rPr>
                <w:rFonts w:ascii="Arial" w:hAnsi="Arial" w:cs="Arial"/>
                <w:sz w:val="16"/>
                <w:szCs w:val="16"/>
              </w:rPr>
              <w:t>Interest bearing liabilities</w:t>
            </w:r>
          </w:p>
        </w:tc>
        <w:tc>
          <w:tcPr>
            <w:tcW w:w="350" w:type="pct"/>
            <w:tcBorders>
              <w:top w:val="nil"/>
              <w:left w:val="nil"/>
              <w:bottom w:val="nil"/>
              <w:right w:val="nil"/>
            </w:tcBorders>
            <w:shd w:val="clear" w:color="000000" w:fill="FFFFFF"/>
            <w:noWrap/>
            <w:vAlign w:val="center"/>
            <w:hideMark/>
          </w:tcPr>
          <w:p w14:paraId="1BDEAE06" w14:textId="77777777" w:rsidR="006951D1" w:rsidRPr="00897CEF" w:rsidRDefault="006951D1" w:rsidP="006951D1">
            <w:pPr>
              <w:spacing w:before="0" w:after="0" w:line="240" w:lineRule="auto"/>
              <w:jc w:val="center"/>
              <w:rPr>
                <w:rFonts w:ascii="Arial" w:hAnsi="Arial" w:cs="Arial"/>
                <w:b/>
                <w:bCs/>
                <w:sz w:val="16"/>
                <w:szCs w:val="16"/>
              </w:rPr>
            </w:pPr>
            <w:r w:rsidRPr="00897CEF">
              <w:rPr>
                <w:rFonts w:ascii="Arial" w:hAnsi="Arial" w:cs="Arial"/>
                <w:b/>
                <w:bCs/>
                <w:sz w:val="16"/>
                <w:szCs w:val="16"/>
              </w:rPr>
              <w:t> </w:t>
            </w:r>
          </w:p>
        </w:tc>
        <w:tc>
          <w:tcPr>
            <w:tcW w:w="513" w:type="pct"/>
            <w:tcBorders>
              <w:top w:val="nil"/>
              <w:left w:val="nil"/>
              <w:bottom w:val="nil"/>
              <w:right w:val="nil"/>
            </w:tcBorders>
            <w:shd w:val="clear" w:color="000000" w:fill="FFFFFF"/>
            <w:noWrap/>
            <w:vAlign w:val="center"/>
            <w:hideMark/>
          </w:tcPr>
          <w:p w14:paraId="48C6E2C3"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10F630BA"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512" w:type="pct"/>
            <w:tcBorders>
              <w:top w:val="nil"/>
              <w:left w:val="nil"/>
              <w:bottom w:val="nil"/>
              <w:right w:val="nil"/>
            </w:tcBorders>
            <w:shd w:val="clear" w:color="000000" w:fill="FFFFFF"/>
            <w:noWrap/>
            <w:vAlign w:val="center"/>
            <w:hideMark/>
          </w:tcPr>
          <w:p w14:paraId="4FB819E6"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64C66D96"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c>
          <w:tcPr>
            <w:tcW w:w="620" w:type="pct"/>
            <w:tcBorders>
              <w:top w:val="nil"/>
              <w:left w:val="nil"/>
              <w:bottom w:val="nil"/>
              <w:right w:val="nil"/>
            </w:tcBorders>
            <w:shd w:val="clear" w:color="000000" w:fill="FFFFFF"/>
            <w:noWrap/>
            <w:vAlign w:val="center"/>
            <w:hideMark/>
          </w:tcPr>
          <w:p w14:paraId="2B66F5F3" w14:textId="77777777" w:rsidR="006951D1" w:rsidRPr="00897CEF" w:rsidRDefault="006951D1" w:rsidP="006951D1">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 </w:t>
            </w:r>
          </w:p>
        </w:tc>
      </w:tr>
      <w:tr w:rsidR="00F73597" w:rsidRPr="006951D1" w14:paraId="376E89DA"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2BE9370A" w14:textId="77777777" w:rsidR="00F73597" w:rsidRPr="00897CEF" w:rsidRDefault="00F73597" w:rsidP="00F73597">
            <w:pPr>
              <w:spacing w:before="0" w:after="0" w:line="240" w:lineRule="auto"/>
              <w:ind w:firstLineChars="100" w:firstLine="160"/>
              <w:rPr>
                <w:rFonts w:ascii="Arial" w:hAnsi="Arial" w:cs="Arial"/>
                <w:color w:val="000000"/>
                <w:sz w:val="16"/>
                <w:szCs w:val="16"/>
              </w:rPr>
            </w:pPr>
            <w:r w:rsidRPr="00897CEF">
              <w:rPr>
                <w:rFonts w:ascii="Arial" w:hAnsi="Arial" w:cs="Arial"/>
                <w:color w:val="000000"/>
                <w:sz w:val="16"/>
                <w:szCs w:val="16"/>
              </w:rPr>
              <w:t>Deposits held</w:t>
            </w:r>
          </w:p>
        </w:tc>
        <w:tc>
          <w:tcPr>
            <w:tcW w:w="350" w:type="pct"/>
            <w:tcBorders>
              <w:top w:val="nil"/>
              <w:left w:val="nil"/>
              <w:bottom w:val="nil"/>
              <w:right w:val="nil"/>
            </w:tcBorders>
            <w:shd w:val="clear" w:color="000000" w:fill="FFFFFF"/>
            <w:noWrap/>
            <w:vAlign w:val="center"/>
            <w:hideMark/>
          </w:tcPr>
          <w:p w14:paraId="2CF14D94"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403A0387" w14:textId="54DA6BB0"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415</w:t>
            </w:r>
          </w:p>
        </w:tc>
        <w:tc>
          <w:tcPr>
            <w:tcW w:w="513" w:type="pct"/>
            <w:tcBorders>
              <w:top w:val="nil"/>
              <w:left w:val="nil"/>
              <w:bottom w:val="nil"/>
              <w:right w:val="nil"/>
            </w:tcBorders>
            <w:shd w:val="clear" w:color="000000" w:fill="E6F2FF"/>
            <w:noWrap/>
            <w:vAlign w:val="center"/>
            <w:hideMark/>
          </w:tcPr>
          <w:p w14:paraId="0CA626F1" w14:textId="012C52A8"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415</w:t>
            </w:r>
          </w:p>
        </w:tc>
        <w:tc>
          <w:tcPr>
            <w:tcW w:w="512" w:type="pct"/>
            <w:tcBorders>
              <w:top w:val="nil"/>
              <w:left w:val="nil"/>
              <w:bottom w:val="nil"/>
              <w:right w:val="nil"/>
            </w:tcBorders>
            <w:shd w:val="clear" w:color="000000" w:fill="FFFFFF"/>
            <w:noWrap/>
            <w:vAlign w:val="center"/>
            <w:hideMark/>
          </w:tcPr>
          <w:p w14:paraId="5D30974F" w14:textId="6AEEBE16"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415</w:t>
            </w:r>
          </w:p>
        </w:tc>
        <w:tc>
          <w:tcPr>
            <w:tcW w:w="620" w:type="pct"/>
            <w:tcBorders>
              <w:top w:val="nil"/>
              <w:left w:val="nil"/>
              <w:bottom w:val="nil"/>
              <w:right w:val="nil"/>
            </w:tcBorders>
            <w:shd w:val="clear" w:color="000000" w:fill="FFFFFF"/>
            <w:noWrap/>
            <w:vAlign w:val="center"/>
            <w:hideMark/>
          </w:tcPr>
          <w:p w14:paraId="2C298E89" w14:textId="511D16C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415</w:t>
            </w:r>
          </w:p>
        </w:tc>
        <w:tc>
          <w:tcPr>
            <w:tcW w:w="620" w:type="pct"/>
            <w:tcBorders>
              <w:top w:val="nil"/>
              <w:left w:val="nil"/>
              <w:bottom w:val="nil"/>
              <w:right w:val="nil"/>
            </w:tcBorders>
            <w:shd w:val="clear" w:color="000000" w:fill="FFFFFF"/>
            <w:noWrap/>
            <w:vAlign w:val="center"/>
            <w:hideMark/>
          </w:tcPr>
          <w:p w14:paraId="514DF9A2" w14:textId="4835F72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415</w:t>
            </w:r>
          </w:p>
        </w:tc>
      </w:tr>
      <w:tr w:rsidR="00F73597" w:rsidRPr="006951D1" w14:paraId="7AAA26C6"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26AB4D68" w14:textId="77777777" w:rsidR="00F73597" w:rsidRPr="00897CEF" w:rsidRDefault="00F73597" w:rsidP="00F73597">
            <w:pPr>
              <w:spacing w:before="0" w:after="0" w:line="240" w:lineRule="auto"/>
              <w:ind w:firstLineChars="100" w:firstLine="160"/>
              <w:rPr>
                <w:rFonts w:ascii="Arial" w:hAnsi="Arial" w:cs="Arial"/>
                <w:color w:val="000000"/>
                <w:sz w:val="16"/>
                <w:szCs w:val="16"/>
              </w:rPr>
            </w:pPr>
            <w:r w:rsidRPr="00897CEF">
              <w:rPr>
                <w:rFonts w:ascii="Arial" w:hAnsi="Arial" w:cs="Arial"/>
                <w:color w:val="000000"/>
                <w:sz w:val="16"/>
                <w:szCs w:val="16"/>
              </w:rPr>
              <w:t>Government securities</w:t>
            </w:r>
          </w:p>
        </w:tc>
        <w:tc>
          <w:tcPr>
            <w:tcW w:w="350" w:type="pct"/>
            <w:tcBorders>
              <w:top w:val="nil"/>
              <w:left w:val="nil"/>
              <w:bottom w:val="nil"/>
              <w:right w:val="nil"/>
            </w:tcBorders>
            <w:shd w:val="clear" w:color="000000" w:fill="FFFFFF"/>
            <w:noWrap/>
            <w:vAlign w:val="center"/>
            <w:hideMark/>
          </w:tcPr>
          <w:p w14:paraId="14C56720"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411F004" w14:textId="0C9B7945"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847,774</w:t>
            </w:r>
          </w:p>
        </w:tc>
        <w:tc>
          <w:tcPr>
            <w:tcW w:w="513" w:type="pct"/>
            <w:tcBorders>
              <w:top w:val="nil"/>
              <w:left w:val="nil"/>
              <w:bottom w:val="nil"/>
              <w:right w:val="nil"/>
            </w:tcBorders>
            <w:shd w:val="clear" w:color="000000" w:fill="E6F2FF"/>
            <w:noWrap/>
            <w:vAlign w:val="center"/>
            <w:hideMark/>
          </w:tcPr>
          <w:p w14:paraId="6F31CEE6" w14:textId="5326EBE2"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885,886</w:t>
            </w:r>
          </w:p>
        </w:tc>
        <w:tc>
          <w:tcPr>
            <w:tcW w:w="512" w:type="pct"/>
            <w:tcBorders>
              <w:top w:val="nil"/>
              <w:left w:val="nil"/>
              <w:bottom w:val="nil"/>
              <w:right w:val="nil"/>
            </w:tcBorders>
            <w:shd w:val="clear" w:color="000000" w:fill="FFFFFF"/>
            <w:noWrap/>
            <w:vAlign w:val="center"/>
            <w:hideMark/>
          </w:tcPr>
          <w:p w14:paraId="64DB3AB9" w14:textId="45C83D0F"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962,711</w:t>
            </w:r>
          </w:p>
        </w:tc>
        <w:tc>
          <w:tcPr>
            <w:tcW w:w="620" w:type="pct"/>
            <w:tcBorders>
              <w:top w:val="nil"/>
              <w:left w:val="nil"/>
              <w:bottom w:val="nil"/>
              <w:right w:val="nil"/>
            </w:tcBorders>
            <w:shd w:val="clear" w:color="000000" w:fill="FFFFFF"/>
            <w:noWrap/>
            <w:vAlign w:val="center"/>
            <w:hideMark/>
          </w:tcPr>
          <w:p w14:paraId="4968BE12" w14:textId="4D041FA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1,026,120</w:t>
            </w:r>
          </w:p>
        </w:tc>
        <w:tc>
          <w:tcPr>
            <w:tcW w:w="620" w:type="pct"/>
            <w:tcBorders>
              <w:top w:val="nil"/>
              <w:left w:val="nil"/>
              <w:bottom w:val="nil"/>
              <w:right w:val="nil"/>
            </w:tcBorders>
            <w:shd w:val="clear" w:color="000000" w:fill="FFFFFF"/>
            <w:noWrap/>
            <w:vAlign w:val="center"/>
            <w:hideMark/>
          </w:tcPr>
          <w:p w14:paraId="5250A3D6" w14:textId="3C2AD96C"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1,080,171</w:t>
            </w:r>
          </w:p>
        </w:tc>
      </w:tr>
      <w:tr w:rsidR="00F73597" w:rsidRPr="006951D1" w14:paraId="43E74406"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6C9E788E" w14:textId="77777777" w:rsidR="00F73597" w:rsidRPr="00897CEF" w:rsidRDefault="00F73597"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Loans</w:t>
            </w:r>
          </w:p>
        </w:tc>
        <w:tc>
          <w:tcPr>
            <w:tcW w:w="350" w:type="pct"/>
            <w:tcBorders>
              <w:top w:val="nil"/>
              <w:left w:val="nil"/>
              <w:bottom w:val="nil"/>
              <w:right w:val="nil"/>
            </w:tcBorders>
            <w:shd w:val="clear" w:color="000000" w:fill="FFFFFF"/>
            <w:noWrap/>
            <w:vAlign w:val="center"/>
            <w:hideMark/>
          </w:tcPr>
          <w:p w14:paraId="1683DEE4"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16</w:t>
            </w:r>
          </w:p>
        </w:tc>
        <w:tc>
          <w:tcPr>
            <w:tcW w:w="513" w:type="pct"/>
            <w:tcBorders>
              <w:top w:val="nil"/>
              <w:left w:val="nil"/>
              <w:bottom w:val="nil"/>
              <w:right w:val="nil"/>
            </w:tcBorders>
            <w:shd w:val="clear" w:color="000000" w:fill="FFFFFF"/>
            <w:noWrap/>
            <w:vAlign w:val="center"/>
            <w:hideMark/>
          </w:tcPr>
          <w:p w14:paraId="5C0A9BAE" w14:textId="0C71DD91"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31,772</w:t>
            </w:r>
          </w:p>
        </w:tc>
        <w:tc>
          <w:tcPr>
            <w:tcW w:w="513" w:type="pct"/>
            <w:tcBorders>
              <w:top w:val="nil"/>
              <w:left w:val="nil"/>
              <w:bottom w:val="nil"/>
              <w:right w:val="nil"/>
            </w:tcBorders>
            <w:shd w:val="clear" w:color="000000" w:fill="E6F2FF"/>
            <w:noWrap/>
            <w:vAlign w:val="center"/>
            <w:hideMark/>
          </w:tcPr>
          <w:p w14:paraId="1E034DA9" w14:textId="4C9A77C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32,360</w:t>
            </w:r>
          </w:p>
        </w:tc>
        <w:tc>
          <w:tcPr>
            <w:tcW w:w="512" w:type="pct"/>
            <w:tcBorders>
              <w:top w:val="nil"/>
              <w:left w:val="nil"/>
              <w:bottom w:val="nil"/>
              <w:right w:val="nil"/>
            </w:tcBorders>
            <w:shd w:val="clear" w:color="000000" w:fill="FFFFFF"/>
            <w:noWrap/>
            <w:vAlign w:val="center"/>
            <w:hideMark/>
          </w:tcPr>
          <w:p w14:paraId="7FC71200" w14:textId="4808EBD7"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33,379</w:t>
            </w:r>
          </w:p>
        </w:tc>
        <w:tc>
          <w:tcPr>
            <w:tcW w:w="620" w:type="pct"/>
            <w:tcBorders>
              <w:top w:val="nil"/>
              <w:left w:val="nil"/>
              <w:bottom w:val="nil"/>
              <w:right w:val="nil"/>
            </w:tcBorders>
            <w:shd w:val="clear" w:color="000000" w:fill="FFFFFF"/>
            <w:noWrap/>
            <w:vAlign w:val="center"/>
            <w:hideMark/>
          </w:tcPr>
          <w:p w14:paraId="130A8064" w14:textId="26A98DA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33,786</w:t>
            </w:r>
          </w:p>
        </w:tc>
        <w:tc>
          <w:tcPr>
            <w:tcW w:w="620" w:type="pct"/>
            <w:tcBorders>
              <w:top w:val="nil"/>
              <w:left w:val="nil"/>
              <w:bottom w:val="nil"/>
              <w:right w:val="nil"/>
            </w:tcBorders>
            <w:shd w:val="clear" w:color="000000" w:fill="FFFFFF"/>
            <w:noWrap/>
            <w:vAlign w:val="center"/>
            <w:hideMark/>
          </w:tcPr>
          <w:p w14:paraId="14EC2F82" w14:textId="5E8475D6"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33,779</w:t>
            </w:r>
          </w:p>
        </w:tc>
      </w:tr>
      <w:tr w:rsidR="00F73597" w:rsidRPr="006951D1" w14:paraId="58BECA5C" w14:textId="77777777" w:rsidTr="008A66B4">
        <w:trPr>
          <w:trHeight w:hRule="exact" w:val="227"/>
        </w:trPr>
        <w:tc>
          <w:tcPr>
            <w:tcW w:w="1872" w:type="pct"/>
            <w:tcBorders>
              <w:top w:val="nil"/>
              <w:left w:val="nil"/>
              <w:bottom w:val="nil"/>
              <w:right w:val="nil"/>
            </w:tcBorders>
            <w:shd w:val="clear" w:color="000000" w:fill="FFFFFF"/>
            <w:noWrap/>
            <w:vAlign w:val="center"/>
            <w:hideMark/>
          </w:tcPr>
          <w:p w14:paraId="1A29840E" w14:textId="77777777" w:rsidR="00F73597" w:rsidRPr="00897CEF" w:rsidRDefault="00F73597" w:rsidP="008A66B4">
            <w:pPr>
              <w:spacing w:before="0" w:after="0" w:line="240" w:lineRule="auto"/>
              <w:ind w:left="170"/>
              <w:rPr>
                <w:rFonts w:ascii="Arial" w:hAnsi="Arial" w:cs="Arial"/>
                <w:color w:val="000000"/>
                <w:sz w:val="16"/>
                <w:szCs w:val="16"/>
              </w:rPr>
            </w:pPr>
            <w:r w:rsidRPr="00897CEF">
              <w:rPr>
                <w:rFonts w:ascii="Arial" w:hAnsi="Arial" w:cs="Arial"/>
                <w:color w:val="000000"/>
                <w:sz w:val="16"/>
                <w:szCs w:val="16"/>
              </w:rPr>
              <w:t>Lease liabilities</w:t>
            </w:r>
          </w:p>
        </w:tc>
        <w:tc>
          <w:tcPr>
            <w:tcW w:w="350" w:type="pct"/>
            <w:tcBorders>
              <w:top w:val="nil"/>
              <w:left w:val="nil"/>
              <w:bottom w:val="nil"/>
              <w:right w:val="nil"/>
            </w:tcBorders>
            <w:shd w:val="clear" w:color="000000" w:fill="FFFFFF"/>
            <w:noWrap/>
            <w:vAlign w:val="center"/>
            <w:hideMark/>
          </w:tcPr>
          <w:p w14:paraId="45BBD9D0"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529FDA67" w14:textId="747496BB"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19,302</w:t>
            </w:r>
          </w:p>
        </w:tc>
        <w:tc>
          <w:tcPr>
            <w:tcW w:w="513" w:type="pct"/>
            <w:tcBorders>
              <w:top w:val="nil"/>
              <w:left w:val="nil"/>
              <w:bottom w:val="nil"/>
              <w:right w:val="nil"/>
            </w:tcBorders>
            <w:shd w:val="clear" w:color="000000" w:fill="E6F2FF"/>
            <w:noWrap/>
            <w:vAlign w:val="center"/>
            <w:hideMark/>
          </w:tcPr>
          <w:p w14:paraId="598A7317" w14:textId="7D64162E"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18,649</w:t>
            </w:r>
          </w:p>
        </w:tc>
        <w:tc>
          <w:tcPr>
            <w:tcW w:w="512" w:type="pct"/>
            <w:tcBorders>
              <w:top w:val="nil"/>
              <w:left w:val="nil"/>
              <w:bottom w:val="nil"/>
              <w:right w:val="nil"/>
            </w:tcBorders>
            <w:shd w:val="clear" w:color="000000" w:fill="FFFFFF"/>
            <w:noWrap/>
            <w:vAlign w:val="center"/>
            <w:hideMark/>
          </w:tcPr>
          <w:p w14:paraId="2F6E12BF" w14:textId="23CAC2B9"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17,484</w:t>
            </w:r>
          </w:p>
        </w:tc>
        <w:tc>
          <w:tcPr>
            <w:tcW w:w="620" w:type="pct"/>
            <w:tcBorders>
              <w:top w:val="nil"/>
              <w:left w:val="nil"/>
              <w:bottom w:val="nil"/>
              <w:right w:val="nil"/>
            </w:tcBorders>
            <w:shd w:val="clear" w:color="000000" w:fill="FFFFFF"/>
            <w:noWrap/>
            <w:vAlign w:val="center"/>
            <w:hideMark/>
          </w:tcPr>
          <w:p w14:paraId="2CD1F79D" w14:textId="070A828C"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16,508</w:t>
            </w:r>
          </w:p>
        </w:tc>
        <w:tc>
          <w:tcPr>
            <w:tcW w:w="620" w:type="pct"/>
            <w:tcBorders>
              <w:top w:val="nil"/>
              <w:left w:val="nil"/>
              <w:bottom w:val="nil"/>
              <w:right w:val="nil"/>
            </w:tcBorders>
            <w:shd w:val="clear" w:color="000000" w:fill="FFFFFF"/>
            <w:noWrap/>
            <w:vAlign w:val="center"/>
            <w:hideMark/>
          </w:tcPr>
          <w:p w14:paraId="0E150DCB" w14:textId="3ACBFACA" w:rsidR="00F73597" w:rsidRPr="00897CEF" w:rsidRDefault="00F73597" w:rsidP="00F73597">
            <w:pPr>
              <w:spacing w:before="0" w:after="0" w:line="240" w:lineRule="auto"/>
              <w:jc w:val="right"/>
              <w:rPr>
                <w:rFonts w:ascii="Arial" w:hAnsi="Arial" w:cs="Arial"/>
                <w:color w:val="000000"/>
                <w:sz w:val="16"/>
                <w:szCs w:val="16"/>
              </w:rPr>
            </w:pPr>
            <w:r w:rsidRPr="00897CEF">
              <w:rPr>
                <w:rFonts w:ascii="Arial" w:hAnsi="Arial" w:cs="Arial"/>
                <w:color w:val="000000"/>
                <w:sz w:val="16"/>
                <w:szCs w:val="16"/>
              </w:rPr>
              <w:t>16,115</w:t>
            </w:r>
          </w:p>
        </w:tc>
      </w:tr>
      <w:tr w:rsidR="00F73597" w:rsidRPr="006951D1" w14:paraId="3C2FC7AD" w14:textId="77777777" w:rsidTr="008A66B4">
        <w:trPr>
          <w:trHeight w:hRule="exact" w:val="227"/>
        </w:trPr>
        <w:tc>
          <w:tcPr>
            <w:tcW w:w="1872" w:type="pct"/>
            <w:tcBorders>
              <w:top w:val="nil"/>
              <w:left w:val="nil"/>
              <w:bottom w:val="single" w:sz="4" w:space="0" w:color="293F5B"/>
              <w:right w:val="nil"/>
            </w:tcBorders>
            <w:shd w:val="clear" w:color="000000" w:fill="FFFFFF"/>
            <w:noWrap/>
            <w:vAlign w:val="center"/>
            <w:hideMark/>
          </w:tcPr>
          <w:p w14:paraId="2A660C4E" w14:textId="77777777" w:rsidR="00F73597" w:rsidRPr="00897CEF" w:rsidRDefault="00F73597" w:rsidP="00E37969">
            <w:pPr>
              <w:spacing w:before="0" w:after="0" w:line="240" w:lineRule="auto"/>
              <w:rPr>
                <w:rFonts w:ascii="Arial" w:hAnsi="Arial" w:cs="Arial"/>
                <w:i/>
                <w:iCs/>
                <w:sz w:val="16"/>
                <w:szCs w:val="16"/>
              </w:rPr>
            </w:pPr>
            <w:r w:rsidRPr="00897CEF">
              <w:rPr>
                <w:rFonts w:ascii="Arial" w:hAnsi="Arial" w:cs="Arial"/>
                <w:i/>
                <w:iCs/>
                <w:sz w:val="16"/>
                <w:szCs w:val="16"/>
              </w:rPr>
              <w:t>Total interest bearing liabilities</w:t>
            </w:r>
          </w:p>
        </w:tc>
        <w:tc>
          <w:tcPr>
            <w:tcW w:w="350" w:type="pct"/>
            <w:tcBorders>
              <w:top w:val="nil"/>
              <w:left w:val="nil"/>
              <w:bottom w:val="single" w:sz="4" w:space="0" w:color="293F5B"/>
              <w:right w:val="nil"/>
            </w:tcBorders>
            <w:shd w:val="clear" w:color="000000" w:fill="FFFFFF"/>
            <w:noWrap/>
            <w:vAlign w:val="center"/>
            <w:hideMark/>
          </w:tcPr>
          <w:p w14:paraId="27F2E0DB" w14:textId="77777777" w:rsidR="00F73597" w:rsidRPr="00897CEF" w:rsidRDefault="00F73597" w:rsidP="00F73597">
            <w:pPr>
              <w:spacing w:before="0" w:after="0" w:line="240" w:lineRule="auto"/>
              <w:jc w:val="center"/>
              <w:rPr>
                <w:rFonts w:ascii="Arial" w:hAnsi="Arial" w:cs="Arial"/>
                <w:color w:val="000000"/>
                <w:sz w:val="16"/>
                <w:szCs w:val="16"/>
              </w:rPr>
            </w:pPr>
            <w:r w:rsidRPr="00897CEF">
              <w:rPr>
                <w:rFonts w:ascii="Arial" w:hAnsi="Arial" w:cs="Arial"/>
                <w:color w:val="000000"/>
                <w:sz w:val="16"/>
                <w:szCs w:val="16"/>
              </w:rPr>
              <w:t> </w:t>
            </w:r>
          </w:p>
        </w:tc>
        <w:tc>
          <w:tcPr>
            <w:tcW w:w="513" w:type="pct"/>
            <w:tcBorders>
              <w:top w:val="nil"/>
              <w:left w:val="nil"/>
              <w:bottom w:val="single" w:sz="4" w:space="0" w:color="293F5B"/>
              <w:right w:val="nil"/>
            </w:tcBorders>
            <w:shd w:val="clear" w:color="000000" w:fill="FFFFFF"/>
            <w:noWrap/>
            <w:vAlign w:val="center"/>
            <w:hideMark/>
          </w:tcPr>
          <w:p w14:paraId="2BA90734" w14:textId="26F09671"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899,263</w:t>
            </w:r>
          </w:p>
        </w:tc>
        <w:tc>
          <w:tcPr>
            <w:tcW w:w="513" w:type="pct"/>
            <w:tcBorders>
              <w:top w:val="nil"/>
              <w:left w:val="nil"/>
              <w:bottom w:val="single" w:sz="4" w:space="0" w:color="293F5B"/>
              <w:right w:val="nil"/>
            </w:tcBorders>
            <w:shd w:val="clear" w:color="000000" w:fill="E6F2FF"/>
            <w:noWrap/>
            <w:vAlign w:val="center"/>
            <w:hideMark/>
          </w:tcPr>
          <w:p w14:paraId="0E8620F9" w14:textId="7B65D53B"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937,310</w:t>
            </w:r>
          </w:p>
        </w:tc>
        <w:tc>
          <w:tcPr>
            <w:tcW w:w="512" w:type="pct"/>
            <w:tcBorders>
              <w:top w:val="nil"/>
              <w:left w:val="nil"/>
              <w:bottom w:val="single" w:sz="4" w:space="0" w:color="293F5B"/>
              <w:right w:val="nil"/>
            </w:tcBorders>
            <w:shd w:val="clear" w:color="000000" w:fill="FFFFFF"/>
            <w:noWrap/>
            <w:vAlign w:val="center"/>
            <w:hideMark/>
          </w:tcPr>
          <w:p w14:paraId="4AABA415" w14:textId="2BA99D2C"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1,013,988</w:t>
            </w:r>
          </w:p>
        </w:tc>
        <w:tc>
          <w:tcPr>
            <w:tcW w:w="620" w:type="pct"/>
            <w:tcBorders>
              <w:top w:val="nil"/>
              <w:left w:val="nil"/>
              <w:bottom w:val="single" w:sz="4" w:space="0" w:color="293F5B"/>
              <w:right w:val="nil"/>
            </w:tcBorders>
            <w:shd w:val="clear" w:color="000000" w:fill="FFFFFF"/>
            <w:noWrap/>
            <w:vAlign w:val="center"/>
            <w:hideMark/>
          </w:tcPr>
          <w:p w14:paraId="35C2993D" w14:textId="74380EF0"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1,076,829</w:t>
            </w:r>
          </w:p>
        </w:tc>
        <w:tc>
          <w:tcPr>
            <w:tcW w:w="620" w:type="pct"/>
            <w:tcBorders>
              <w:top w:val="nil"/>
              <w:left w:val="nil"/>
              <w:bottom w:val="single" w:sz="4" w:space="0" w:color="293F5B"/>
              <w:right w:val="nil"/>
            </w:tcBorders>
            <w:shd w:val="clear" w:color="000000" w:fill="FFFFFF"/>
            <w:noWrap/>
            <w:vAlign w:val="center"/>
            <w:hideMark/>
          </w:tcPr>
          <w:p w14:paraId="057D8A50" w14:textId="553063C4" w:rsidR="00F73597" w:rsidRPr="00897CEF" w:rsidRDefault="00F73597" w:rsidP="00F73597">
            <w:pPr>
              <w:spacing w:before="0" w:after="0" w:line="240" w:lineRule="auto"/>
              <w:jc w:val="right"/>
              <w:rPr>
                <w:rFonts w:ascii="Arial" w:hAnsi="Arial" w:cs="Arial"/>
                <w:i/>
                <w:iCs/>
                <w:color w:val="000000"/>
                <w:sz w:val="16"/>
                <w:szCs w:val="16"/>
              </w:rPr>
            </w:pPr>
            <w:r w:rsidRPr="00897CEF">
              <w:rPr>
                <w:rFonts w:ascii="Arial" w:hAnsi="Arial" w:cs="Arial"/>
                <w:i/>
                <w:iCs/>
                <w:color w:val="000000"/>
                <w:sz w:val="16"/>
                <w:szCs w:val="16"/>
              </w:rPr>
              <w:t>1,130,480</w:t>
            </w:r>
          </w:p>
        </w:tc>
      </w:tr>
    </w:tbl>
    <w:p w14:paraId="5DE0A8BA" w14:textId="70DDE747" w:rsidR="00D8138E" w:rsidRPr="002D63CE" w:rsidRDefault="00D8138E" w:rsidP="002D63CE">
      <w:r w:rsidRPr="00EA746C">
        <w:br w:type="page"/>
      </w:r>
    </w:p>
    <w:p w14:paraId="25EFF1A4" w14:textId="46D83E61" w:rsidR="00E12C73" w:rsidRPr="00E12C73" w:rsidRDefault="00A96E0D" w:rsidP="00E12C73">
      <w:pPr>
        <w:pStyle w:val="TableHeadingcontinued"/>
      </w:pPr>
      <w:r>
        <w:lastRenderedPageBreak/>
        <w:t>Table </w:t>
      </w:r>
      <w:r w:rsidR="00D8138E" w:rsidRPr="00EA746C">
        <w:t>1</w:t>
      </w:r>
      <w:r w:rsidR="005A3823">
        <w:t>0</w:t>
      </w:r>
      <w:r w:rsidR="00D8138E" w:rsidRPr="00EA746C">
        <w:t>.2: Australian Government general government sector balance sheet (continued)</w:t>
      </w:r>
    </w:p>
    <w:tbl>
      <w:tblPr>
        <w:tblW w:w="5000" w:type="pct"/>
        <w:tblCellMar>
          <w:left w:w="0" w:type="dxa"/>
          <w:right w:w="28" w:type="dxa"/>
        </w:tblCellMar>
        <w:tblLook w:val="04A0" w:firstRow="1" w:lastRow="0" w:firstColumn="1" w:lastColumn="0" w:noHBand="0" w:noVBand="1"/>
      </w:tblPr>
      <w:tblGrid>
        <w:gridCol w:w="2807"/>
        <w:gridCol w:w="526"/>
        <w:gridCol w:w="876"/>
        <w:gridCol w:w="876"/>
        <w:gridCol w:w="876"/>
        <w:gridCol w:w="876"/>
        <w:gridCol w:w="873"/>
      </w:tblGrid>
      <w:tr w:rsidR="00E12C73" w:rsidRPr="00E12C73" w14:paraId="2699A72C" w14:textId="77777777" w:rsidTr="008A66B4">
        <w:trPr>
          <w:trHeight w:hRule="exact" w:val="225"/>
        </w:trPr>
        <w:tc>
          <w:tcPr>
            <w:tcW w:w="1821" w:type="pct"/>
            <w:tcBorders>
              <w:top w:val="single" w:sz="4" w:space="0" w:color="293F5B"/>
              <w:left w:val="nil"/>
              <w:bottom w:val="nil"/>
              <w:right w:val="nil"/>
            </w:tcBorders>
            <w:shd w:val="clear" w:color="000000" w:fill="FFFFFF"/>
            <w:noWrap/>
            <w:vAlign w:val="center"/>
            <w:hideMark/>
          </w:tcPr>
          <w:p w14:paraId="2678DF11" w14:textId="00BE7736" w:rsidR="00E12C73" w:rsidRPr="00E12C73" w:rsidRDefault="00E12C73" w:rsidP="00E12C73">
            <w:pPr>
              <w:spacing w:before="0" w:after="0" w:line="240" w:lineRule="auto"/>
              <w:rPr>
                <w:rFonts w:ascii="Arial" w:hAnsi="Arial" w:cs="Arial"/>
                <w:sz w:val="16"/>
                <w:szCs w:val="16"/>
              </w:rPr>
            </w:pPr>
            <w:r w:rsidRPr="00E12C73">
              <w:rPr>
                <w:rFonts w:ascii="Arial" w:hAnsi="Arial" w:cs="Arial"/>
                <w:sz w:val="16"/>
                <w:szCs w:val="16"/>
              </w:rPr>
              <w:t> </w:t>
            </w:r>
          </w:p>
        </w:tc>
        <w:tc>
          <w:tcPr>
            <w:tcW w:w="341" w:type="pct"/>
            <w:tcBorders>
              <w:top w:val="single" w:sz="4" w:space="0" w:color="293F5B"/>
              <w:left w:val="nil"/>
              <w:bottom w:val="nil"/>
              <w:right w:val="nil"/>
            </w:tcBorders>
            <w:shd w:val="clear" w:color="000000" w:fill="FFFFFF"/>
            <w:noWrap/>
            <w:vAlign w:val="center"/>
            <w:hideMark/>
          </w:tcPr>
          <w:p w14:paraId="06124547" w14:textId="77777777" w:rsidR="00E12C73" w:rsidRPr="00E12C73" w:rsidRDefault="00E12C73" w:rsidP="00E12C73">
            <w:pPr>
              <w:spacing w:before="0" w:after="0" w:line="240" w:lineRule="auto"/>
              <w:jc w:val="center"/>
              <w:rPr>
                <w:rFonts w:ascii="Arial" w:hAnsi="Arial" w:cs="Arial"/>
                <w:sz w:val="16"/>
                <w:szCs w:val="16"/>
              </w:rPr>
            </w:pPr>
            <w:r w:rsidRPr="00E12C73">
              <w:rPr>
                <w:rFonts w:ascii="Arial" w:hAnsi="Arial" w:cs="Arial"/>
                <w:sz w:val="16"/>
                <w:szCs w:val="16"/>
              </w:rPr>
              <w:t> </w:t>
            </w:r>
          </w:p>
        </w:tc>
        <w:tc>
          <w:tcPr>
            <w:tcW w:w="2838" w:type="pct"/>
            <w:gridSpan w:val="5"/>
            <w:tcBorders>
              <w:top w:val="single" w:sz="4" w:space="0" w:color="293F5B"/>
              <w:left w:val="nil"/>
              <w:bottom w:val="single" w:sz="4" w:space="0" w:color="293F5B"/>
              <w:right w:val="nil"/>
            </w:tcBorders>
            <w:shd w:val="clear" w:color="auto" w:fill="auto"/>
            <w:noWrap/>
            <w:vAlign w:val="center"/>
            <w:hideMark/>
          </w:tcPr>
          <w:p w14:paraId="05F86DD1" w14:textId="77777777" w:rsidR="00E12C73" w:rsidRPr="00E12C73" w:rsidRDefault="00E12C73" w:rsidP="00E12C73">
            <w:pPr>
              <w:spacing w:before="0" w:after="0" w:line="240" w:lineRule="auto"/>
              <w:jc w:val="center"/>
              <w:rPr>
                <w:rFonts w:ascii="Arial" w:hAnsi="Arial" w:cs="Arial"/>
                <w:sz w:val="16"/>
                <w:szCs w:val="16"/>
              </w:rPr>
            </w:pPr>
            <w:r w:rsidRPr="00E12C73">
              <w:rPr>
                <w:rFonts w:ascii="Arial" w:hAnsi="Arial" w:cs="Arial"/>
                <w:sz w:val="16"/>
                <w:szCs w:val="16"/>
              </w:rPr>
              <w:t>Estimates</w:t>
            </w:r>
          </w:p>
        </w:tc>
      </w:tr>
      <w:tr w:rsidR="00E12C73" w:rsidRPr="00E12C73" w14:paraId="16F777C5" w14:textId="77777777" w:rsidTr="008A66B4">
        <w:trPr>
          <w:trHeight w:hRule="exact" w:val="225"/>
        </w:trPr>
        <w:tc>
          <w:tcPr>
            <w:tcW w:w="1821" w:type="pct"/>
            <w:tcBorders>
              <w:top w:val="nil"/>
              <w:left w:val="nil"/>
              <w:bottom w:val="nil"/>
              <w:right w:val="nil"/>
            </w:tcBorders>
            <w:shd w:val="clear" w:color="000000" w:fill="FFFFFF"/>
            <w:noWrap/>
            <w:vAlign w:val="center"/>
            <w:hideMark/>
          </w:tcPr>
          <w:p w14:paraId="6FAEF7F5" w14:textId="77777777" w:rsidR="00E12C73" w:rsidRPr="00E12C73" w:rsidRDefault="00E12C73" w:rsidP="00E12C73">
            <w:pPr>
              <w:spacing w:before="0" w:after="0" w:line="240" w:lineRule="auto"/>
              <w:rPr>
                <w:rFonts w:ascii="Arial" w:hAnsi="Arial" w:cs="Arial"/>
                <w:sz w:val="16"/>
                <w:szCs w:val="16"/>
              </w:rPr>
            </w:pPr>
            <w:r w:rsidRPr="00E12C73">
              <w:rPr>
                <w:rFonts w:ascii="Arial" w:hAnsi="Arial" w:cs="Arial"/>
                <w:sz w:val="16"/>
                <w:szCs w:val="16"/>
              </w:rPr>
              <w:t> </w:t>
            </w:r>
          </w:p>
        </w:tc>
        <w:tc>
          <w:tcPr>
            <w:tcW w:w="341" w:type="pct"/>
            <w:tcBorders>
              <w:top w:val="nil"/>
              <w:left w:val="nil"/>
              <w:bottom w:val="nil"/>
              <w:right w:val="nil"/>
            </w:tcBorders>
            <w:shd w:val="clear" w:color="000000" w:fill="FFFFFF"/>
            <w:noWrap/>
            <w:vAlign w:val="center"/>
            <w:hideMark/>
          </w:tcPr>
          <w:p w14:paraId="266B5BF4" w14:textId="77777777" w:rsidR="00E12C73" w:rsidRPr="00E12C73" w:rsidRDefault="00E12C73" w:rsidP="00E12C73">
            <w:pPr>
              <w:spacing w:before="0" w:after="0" w:line="240" w:lineRule="auto"/>
              <w:jc w:val="center"/>
              <w:rPr>
                <w:rFonts w:ascii="Arial" w:hAnsi="Arial" w:cs="Arial"/>
                <w:sz w:val="16"/>
                <w:szCs w:val="16"/>
              </w:rPr>
            </w:pPr>
            <w:r w:rsidRPr="00E12C73">
              <w:rPr>
                <w:rFonts w:ascii="Arial" w:hAnsi="Arial" w:cs="Arial"/>
                <w:sz w:val="16"/>
                <w:szCs w:val="16"/>
              </w:rPr>
              <w:t> </w:t>
            </w:r>
          </w:p>
        </w:tc>
        <w:tc>
          <w:tcPr>
            <w:tcW w:w="568" w:type="pct"/>
            <w:tcBorders>
              <w:top w:val="nil"/>
              <w:left w:val="nil"/>
              <w:bottom w:val="nil"/>
              <w:right w:val="nil"/>
            </w:tcBorders>
            <w:shd w:val="clear" w:color="000000" w:fill="FFFFFF"/>
            <w:noWrap/>
            <w:vAlign w:val="center"/>
            <w:hideMark/>
          </w:tcPr>
          <w:p w14:paraId="7FB3737B" w14:textId="4E6BB334" w:rsidR="00E12C73" w:rsidRPr="00E12C73" w:rsidRDefault="00E12C73" w:rsidP="00E12C73">
            <w:pPr>
              <w:spacing w:before="0" w:after="0" w:line="240" w:lineRule="auto"/>
              <w:jc w:val="right"/>
              <w:rPr>
                <w:rFonts w:ascii="Arial" w:hAnsi="Arial" w:cs="Arial"/>
                <w:sz w:val="16"/>
                <w:szCs w:val="16"/>
              </w:rPr>
            </w:pPr>
            <w:r w:rsidRPr="00E12C73">
              <w:rPr>
                <w:rFonts w:ascii="Arial" w:hAnsi="Arial" w:cs="Arial"/>
                <w:sz w:val="16"/>
                <w:szCs w:val="16"/>
              </w:rPr>
              <w:t>2023</w:t>
            </w:r>
            <w:r w:rsidR="00325E1E">
              <w:rPr>
                <w:rFonts w:ascii="Arial" w:hAnsi="Arial" w:cs="Arial"/>
                <w:sz w:val="16"/>
                <w:szCs w:val="16"/>
              </w:rPr>
              <w:noBreakHyphen/>
            </w:r>
            <w:r w:rsidRPr="00E12C73">
              <w:rPr>
                <w:rFonts w:ascii="Arial" w:hAnsi="Arial" w:cs="Arial"/>
                <w:sz w:val="16"/>
                <w:szCs w:val="16"/>
              </w:rPr>
              <w:t>24</w:t>
            </w:r>
          </w:p>
        </w:tc>
        <w:tc>
          <w:tcPr>
            <w:tcW w:w="568" w:type="pct"/>
            <w:tcBorders>
              <w:top w:val="nil"/>
              <w:left w:val="nil"/>
              <w:bottom w:val="nil"/>
              <w:right w:val="nil"/>
            </w:tcBorders>
            <w:shd w:val="clear" w:color="000000" w:fill="E6F2FF"/>
            <w:noWrap/>
            <w:vAlign w:val="center"/>
            <w:hideMark/>
          </w:tcPr>
          <w:p w14:paraId="22623FB4" w14:textId="283D8E00" w:rsidR="00E12C73" w:rsidRPr="00E12C73" w:rsidRDefault="00E12C73" w:rsidP="00E12C73">
            <w:pPr>
              <w:spacing w:before="0" w:after="0" w:line="240" w:lineRule="auto"/>
              <w:jc w:val="right"/>
              <w:rPr>
                <w:rFonts w:ascii="Arial" w:hAnsi="Arial" w:cs="Arial"/>
                <w:sz w:val="16"/>
                <w:szCs w:val="16"/>
              </w:rPr>
            </w:pPr>
            <w:r w:rsidRPr="00E12C73">
              <w:rPr>
                <w:rFonts w:ascii="Arial" w:hAnsi="Arial" w:cs="Arial"/>
                <w:sz w:val="16"/>
                <w:szCs w:val="16"/>
              </w:rPr>
              <w:t>2024</w:t>
            </w:r>
            <w:r w:rsidR="00325E1E">
              <w:rPr>
                <w:rFonts w:ascii="Arial" w:hAnsi="Arial" w:cs="Arial"/>
                <w:sz w:val="16"/>
                <w:szCs w:val="16"/>
              </w:rPr>
              <w:noBreakHyphen/>
            </w:r>
            <w:r w:rsidRPr="00E12C73">
              <w:rPr>
                <w:rFonts w:ascii="Arial" w:hAnsi="Arial" w:cs="Arial"/>
                <w:sz w:val="16"/>
                <w:szCs w:val="16"/>
              </w:rPr>
              <w:t>25</w:t>
            </w:r>
          </w:p>
        </w:tc>
        <w:tc>
          <w:tcPr>
            <w:tcW w:w="568" w:type="pct"/>
            <w:tcBorders>
              <w:top w:val="nil"/>
              <w:left w:val="nil"/>
              <w:bottom w:val="nil"/>
              <w:right w:val="nil"/>
            </w:tcBorders>
            <w:shd w:val="clear" w:color="000000" w:fill="FFFFFF"/>
            <w:noWrap/>
            <w:vAlign w:val="center"/>
            <w:hideMark/>
          </w:tcPr>
          <w:p w14:paraId="2E32A659" w14:textId="4EF40DEC" w:rsidR="00E12C73" w:rsidRPr="00E12C73" w:rsidRDefault="00E12C73" w:rsidP="00E12C73">
            <w:pPr>
              <w:spacing w:before="0" w:after="0" w:line="240" w:lineRule="auto"/>
              <w:jc w:val="right"/>
              <w:rPr>
                <w:rFonts w:ascii="Arial" w:hAnsi="Arial" w:cs="Arial"/>
                <w:sz w:val="16"/>
                <w:szCs w:val="16"/>
              </w:rPr>
            </w:pPr>
            <w:r w:rsidRPr="00E12C73">
              <w:rPr>
                <w:rFonts w:ascii="Arial" w:hAnsi="Arial" w:cs="Arial"/>
                <w:sz w:val="16"/>
                <w:szCs w:val="16"/>
              </w:rPr>
              <w:t>2025</w:t>
            </w:r>
            <w:r w:rsidR="00325E1E">
              <w:rPr>
                <w:rFonts w:ascii="Arial" w:hAnsi="Arial" w:cs="Arial"/>
                <w:sz w:val="16"/>
                <w:szCs w:val="16"/>
              </w:rPr>
              <w:noBreakHyphen/>
            </w:r>
            <w:r w:rsidRPr="00E12C73">
              <w:rPr>
                <w:rFonts w:ascii="Arial" w:hAnsi="Arial" w:cs="Arial"/>
                <w:sz w:val="16"/>
                <w:szCs w:val="16"/>
              </w:rPr>
              <w:t>26</w:t>
            </w:r>
          </w:p>
        </w:tc>
        <w:tc>
          <w:tcPr>
            <w:tcW w:w="568" w:type="pct"/>
            <w:tcBorders>
              <w:top w:val="nil"/>
              <w:left w:val="nil"/>
              <w:bottom w:val="nil"/>
              <w:right w:val="nil"/>
            </w:tcBorders>
            <w:shd w:val="clear" w:color="000000" w:fill="FFFFFF"/>
            <w:noWrap/>
            <w:vAlign w:val="center"/>
            <w:hideMark/>
          </w:tcPr>
          <w:p w14:paraId="68246285" w14:textId="00EE55C1" w:rsidR="00E12C73" w:rsidRPr="00E12C73" w:rsidRDefault="00E12C73" w:rsidP="00E12C73">
            <w:pPr>
              <w:spacing w:before="0" w:after="0" w:line="240" w:lineRule="auto"/>
              <w:jc w:val="right"/>
              <w:rPr>
                <w:rFonts w:ascii="Arial" w:hAnsi="Arial" w:cs="Arial"/>
                <w:sz w:val="16"/>
                <w:szCs w:val="16"/>
              </w:rPr>
            </w:pPr>
            <w:r w:rsidRPr="00E12C73">
              <w:rPr>
                <w:rFonts w:ascii="Arial" w:hAnsi="Arial" w:cs="Arial"/>
                <w:sz w:val="16"/>
                <w:szCs w:val="16"/>
              </w:rPr>
              <w:t>2026</w:t>
            </w:r>
            <w:r w:rsidR="00325E1E">
              <w:rPr>
                <w:rFonts w:ascii="Arial" w:hAnsi="Arial" w:cs="Arial"/>
                <w:sz w:val="16"/>
                <w:szCs w:val="16"/>
              </w:rPr>
              <w:noBreakHyphen/>
            </w:r>
            <w:r w:rsidRPr="00E12C73">
              <w:rPr>
                <w:rFonts w:ascii="Arial" w:hAnsi="Arial" w:cs="Arial"/>
                <w:sz w:val="16"/>
                <w:szCs w:val="16"/>
              </w:rPr>
              <w:t>27</w:t>
            </w:r>
          </w:p>
        </w:tc>
        <w:tc>
          <w:tcPr>
            <w:tcW w:w="568" w:type="pct"/>
            <w:tcBorders>
              <w:top w:val="nil"/>
              <w:left w:val="nil"/>
              <w:bottom w:val="nil"/>
              <w:right w:val="nil"/>
            </w:tcBorders>
            <w:shd w:val="clear" w:color="000000" w:fill="FFFFFF"/>
            <w:noWrap/>
            <w:vAlign w:val="center"/>
            <w:hideMark/>
          </w:tcPr>
          <w:p w14:paraId="56E47F60" w14:textId="3EF5129A"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2027</w:t>
            </w:r>
            <w:r w:rsidR="00325E1E">
              <w:rPr>
                <w:rFonts w:ascii="Arial" w:hAnsi="Arial" w:cs="Arial"/>
                <w:color w:val="000000"/>
                <w:sz w:val="16"/>
                <w:szCs w:val="16"/>
              </w:rPr>
              <w:noBreakHyphen/>
            </w:r>
            <w:r w:rsidRPr="00E12C73">
              <w:rPr>
                <w:rFonts w:ascii="Arial" w:hAnsi="Arial" w:cs="Arial"/>
                <w:color w:val="000000"/>
                <w:sz w:val="16"/>
                <w:szCs w:val="16"/>
              </w:rPr>
              <w:t>28</w:t>
            </w:r>
          </w:p>
        </w:tc>
      </w:tr>
      <w:tr w:rsidR="00E12C73" w:rsidRPr="00E12C73" w14:paraId="147B839F" w14:textId="77777777" w:rsidTr="008A66B4">
        <w:trPr>
          <w:trHeight w:hRule="exact" w:val="225"/>
        </w:trPr>
        <w:tc>
          <w:tcPr>
            <w:tcW w:w="1821" w:type="pct"/>
            <w:tcBorders>
              <w:top w:val="nil"/>
              <w:left w:val="nil"/>
              <w:bottom w:val="nil"/>
              <w:right w:val="nil"/>
            </w:tcBorders>
            <w:shd w:val="clear" w:color="000000" w:fill="FFFFFF"/>
            <w:noWrap/>
            <w:vAlign w:val="center"/>
            <w:hideMark/>
          </w:tcPr>
          <w:p w14:paraId="2EBA77A4" w14:textId="77777777" w:rsidR="00E12C73" w:rsidRPr="00E12C73" w:rsidRDefault="00E12C73" w:rsidP="00E12C73">
            <w:pPr>
              <w:spacing w:before="0" w:after="0" w:line="240" w:lineRule="auto"/>
              <w:rPr>
                <w:rFonts w:ascii="Arial" w:hAnsi="Arial" w:cs="Arial"/>
                <w:sz w:val="16"/>
                <w:szCs w:val="16"/>
              </w:rPr>
            </w:pPr>
            <w:r w:rsidRPr="00E12C73">
              <w:rPr>
                <w:rFonts w:ascii="Arial" w:hAnsi="Arial" w:cs="Arial"/>
                <w:sz w:val="16"/>
                <w:szCs w:val="16"/>
              </w:rPr>
              <w:t> </w:t>
            </w:r>
          </w:p>
        </w:tc>
        <w:tc>
          <w:tcPr>
            <w:tcW w:w="341" w:type="pct"/>
            <w:tcBorders>
              <w:top w:val="nil"/>
              <w:left w:val="nil"/>
              <w:bottom w:val="nil"/>
              <w:right w:val="nil"/>
            </w:tcBorders>
            <w:shd w:val="clear" w:color="000000" w:fill="FFFFFF"/>
            <w:noWrap/>
            <w:vAlign w:val="center"/>
            <w:hideMark/>
          </w:tcPr>
          <w:p w14:paraId="428C9576"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Note</w:t>
            </w:r>
          </w:p>
        </w:tc>
        <w:tc>
          <w:tcPr>
            <w:tcW w:w="568" w:type="pct"/>
            <w:tcBorders>
              <w:top w:val="nil"/>
              <w:left w:val="nil"/>
              <w:bottom w:val="single" w:sz="4" w:space="0" w:color="293F5B"/>
              <w:right w:val="nil"/>
            </w:tcBorders>
            <w:shd w:val="clear" w:color="000000" w:fill="FFFFFF"/>
            <w:noWrap/>
            <w:vAlign w:val="center"/>
            <w:hideMark/>
          </w:tcPr>
          <w:p w14:paraId="264EA344"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$m</w:t>
            </w:r>
          </w:p>
        </w:tc>
        <w:tc>
          <w:tcPr>
            <w:tcW w:w="568" w:type="pct"/>
            <w:tcBorders>
              <w:top w:val="nil"/>
              <w:left w:val="nil"/>
              <w:bottom w:val="single" w:sz="4" w:space="0" w:color="293F5B"/>
              <w:right w:val="nil"/>
            </w:tcBorders>
            <w:shd w:val="clear" w:color="000000" w:fill="E6F2FF"/>
            <w:noWrap/>
            <w:vAlign w:val="center"/>
            <w:hideMark/>
          </w:tcPr>
          <w:p w14:paraId="31DA218D"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$m</w:t>
            </w:r>
          </w:p>
        </w:tc>
        <w:tc>
          <w:tcPr>
            <w:tcW w:w="568" w:type="pct"/>
            <w:tcBorders>
              <w:top w:val="nil"/>
              <w:left w:val="nil"/>
              <w:bottom w:val="single" w:sz="4" w:space="0" w:color="293F5B"/>
              <w:right w:val="nil"/>
            </w:tcBorders>
            <w:shd w:val="clear" w:color="000000" w:fill="FFFFFF"/>
            <w:noWrap/>
            <w:vAlign w:val="center"/>
            <w:hideMark/>
          </w:tcPr>
          <w:p w14:paraId="1845DA65"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$m</w:t>
            </w:r>
          </w:p>
        </w:tc>
        <w:tc>
          <w:tcPr>
            <w:tcW w:w="568" w:type="pct"/>
            <w:tcBorders>
              <w:top w:val="nil"/>
              <w:left w:val="nil"/>
              <w:bottom w:val="single" w:sz="4" w:space="0" w:color="293F5B"/>
              <w:right w:val="nil"/>
            </w:tcBorders>
            <w:shd w:val="clear" w:color="000000" w:fill="FFFFFF"/>
            <w:noWrap/>
            <w:vAlign w:val="center"/>
            <w:hideMark/>
          </w:tcPr>
          <w:p w14:paraId="4AD802B2"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$m</w:t>
            </w:r>
          </w:p>
        </w:tc>
        <w:tc>
          <w:tcPr>
            <w:tcW w:w="568" w:type="pct"/>
            <w:tcBorders>
              <w:top w:val="nil"/>
              <w:left w:val="nil"/>
              <w:bottom w:val="single" w:sz="4" w:space="0" w:color="293F5B"/>
              <w:right w:val="nil"/>
            </w:tcBorders>
            <w:shd w:val="clear" w:color="000000" w:fill="FFFFFF"/>
            <w:noWrap/>
            <w:vAlign w:val="center"/>
            <w:hideMark/>
          </w:tcPr>
          <w:p w14:paraId="5BEC54BB" w14:textId="77777777" w:rsidR="00E12C73" w:rsidRPr="00E12C73" w:rsidRDefault="00E12C73" w:rsidP="00E12C73">
            <w:pPr>
              <w:spacing w:before="0" w:after="0" w:line="240" w:lineRule="auto"/>
              <w:jc w:val="right"/>
              <w:rPr>
                <w:rFonts w:ascii="Arial" w:hAnsi="Arial" w:cs="Arial"/>
                <w:color w:val="000000"/>
                <w:sz w:val="16"/>
                <w:szCs w:val="16"/>
              </w:rPr>
            </w:pPr>
            <w:r w:rsidRPr="00E12C73">
              <w:rPr>
                <w:rFonts w:ascii="Arial" w:hAnsi="Arial" w:cs="Arial"/>
                <w:color w:val="000000"/>
                <w:sz w:val="16"/>
                <w:szCs w:val="16"/>
              </w:rPr>
              <w:t>$m</w:t>
            </w:r>
          </w:p>
        </w:tc>
      </w:tr>
      <w:tr w:rsidR="00E12C73" w:rsidRPr="00E12C73" w14:paraId="76297DEA"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61751DA3" w14:textId="77777777" w:rsidR="00E12C73" w:rsidRPr="005D1227" w:rsidRDefault="00E12C73" w:rsidP="00E12C73">
            <w:pPr>
              <w:spacing w:before="0" w:after="0" w:line="240" w:lineRule="auto"/>
              <w:rPr>
                <w:rFonts w:ascii="Arial" w:hAnsi="Arial" w:cs="Arial"/>
                <w:sz w:val="16"/>
                <w:szCs w:val="16"/>
              </w:rPr>
            </w:pPr>
            <w:r w:rsidRPr="005D1227">
              <w:rPr>
                <w:rFonts w:ascii="Arial" w:hAnsi="Arial" w:cs="Arial"/>
                <w:sz w:val="16"/>
                <w:szCs w:val="16"/>
              </w:rPr>
              <w:t>Provisions and payables</w:t>
            </w:r>
          </w:p>
        </w:tc>
        <w:tc>
          <w:tcPr>
            <w:tcW w:w="341" w:type="pct"/>
            <w:tcBorders>
              <w:top w:val="nil"/>
              <w:left w:val="nil"/>
              <w:bottom w:val="nil"/>
              <w:right w:val="nil"/>
            </w:tcBorders>
            <w:shd w:val="clear" w:color="000000" w:fill="FFFFFF"/>
            <w:noWrap/>
            <w:vAlign w:val="center"/>
            <w:hideMark/>
          </w:tcPr>
          <w:p w14:paraId="64FEDCDD" w14:textId="77777777" w:rsidR="00E12C73" w:rsidRPr="005D1227" w:rsidRDefault="00E12C73" w:rsidP="00E12C73">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FFFFFF"/>
            <w:noWrap/>
            <w:vAlign w:val="center"/>
            <w:hideMark/>
          </w:tcPr>
          <w:p w14:paraId="206C04A5" w14:textId="77777777" w:rsidR="00E12C73" w:rsidRPr="005D1227" w:rsidRDefault="00E12C73" w:rsidP="00E12C73">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E6F2FF"/>
            <w:noWrap/>
            <w:vAlign w:val="center"/>
            <w:hideMark/>
          </w:tcPr>
          <w:p w14:paraId="6AFAF92B" w14:textId="77777777" w:rsidR="00E12C73" w:rsidRPr="005D1227" w:rsidRDefault="00E12C73" w:rsidP="00E12C73">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FFFFFF"/>
            <w:noWrap/>
            <w:vAlign w:val="center"/>
            <w:hideMark/>
          </w:tcPr>
          <w:p w14:paraId="3935CE8C" w14:textId="77777777" w:rsidR="00E12C73" w:rsidRPr="005D1227" w:rsidRDefault="00E12C73" w:rsidP="00E12C73">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FFFFFF"/>
            <w:noWrap/>
            <w:vAlign w:val="center"/>
            <w:hideMark/>
          </w:tcPr>
          <w:p w14:paraId="6041A84D" w14:textId="77777777" w:rsidR="00E12C73" w:rsidRPr="005D1227" w:rsidRDefault="00E12C73" w:rsidP="00E12C73">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FFFFFF"/>
            <w:noWrap/>
            <w:vAlign w:val="center"/>
            <w:hideMark/>
          </w:tcPr>
          <w:p w14:paraId="51E26AD6" w14:textId="77777777" w:rsidR="00E12C73" w:rsidRPr="005D1227" w:rsidRDefault="00E12C73" w:rsidP="00E12C73">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 </w:t>
            </w:r>
          </w:p>
        </w:tc>
      </w:tr>
      <w:tr w:rsidR="000639CA" w:rsidRPr="00E12C73" w14:paraId="15771710"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30D0629C"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Superannuation liability</w:t>
            </w:r>
          </w:p>
        </w:tc>
        <w:tc>
          <w:tcPr>
            <w:tcW w:w="341" w:type="pct"/>
            <w:tcBorders>
              <w:top w:val="nil"/>
              <w:left w:val="nil"/>
              <w:bottom w:val="nil"/>
              <w:right w:val="nil"/>
            </w:tcBorders>
            <w:shd w:val="clear" w:color="000000" w:fill="FFFFFF"/>
            <w:noWrap/>
            <w:vAlign w:val="center"/>
            <w:hideMark/>
          </w:tcPr>
          <w:p w14:paraId="4563C407"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17</w:t>
            </w:r>
          </w:p>
        </w:tc>
        <w:tc>
          <w:tcPr>
            <w:tcW w:w="568" w:type="pct"/>
            <w:tcBorders>
              <w:top w:val="nil"/>
              <w:left w:val="nil"/>
              <w:bottom w:val="nil"/>
              <w:right w:val="nil"/>
            </w:tcBorders>
            <w:shd w:val="clear" w:color="000000" w:fill="FFFFFF"/>
            <w:noWrap/>
            <w:vAlign w:val="center"/>
            <w:hideMark/>
          </w:tcPr>
          <w:p w14:paraId="1F6413B7" w14:textId="0A66CACF"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294,654</w:t>
            </w:r>
          </w:p>
        </w:tc>
        <w:tc>
          <w:tcPr>
            <w:tcW w:w="568" w:type="pct"/>
            <w:tcBorders>
              <w:top w:val="nil"/>
              <w:left w:val="nil"/>
              <w:bottom w:val="nil"/>
              <w:right w:val="nil"/>
            </w:tcBorders>
            <w:shd w:val="clear" w:color="000000" w:fill="E6F2FF"/>
            <w:noWrap/>
            <w:vAlign w:val="center"/>
            <w:hideMark/>
          </w:tcPr>
          <w:p w14:paraId="5D551EC8" w14:textId="3DB8D34B"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304,384</w:t>
            </w:r>
          </w:p>
        </w:tc>
        <w:tc>
          <w:tcPr>
            <w:tcW w:w="568" w:type="pct"/>
            <w:tcBorders>
              <w:top w:val="nil"/>
              <w:left w:val="nil"/>
              <w:bottom w:val="nil"/>
              <w:right w:val="nil"/>
            </w:tcBorders>
            <w:shd w:val="clear" w:color="000000" w:fill="FFFFFF"/>
            <w:noWrap/>
            <w:vAlign w:val="center"/>
            <w:hideMark/>
          </w:tcPr>
          <w:p w14:paraId="258ACD8D" w14:textId="5B75B6CE"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314,814</w:t>
            </w:r>
          </w:p>
        </w:tc>
        <w:tc>
          <w:tcPr>
            <w:tcW w:w="568" w:type="pct"/>
            <w:tcBorders>
              <w:top w:val="nil"/>
              <w:left w:val="nil"/>
              <w:bottom w:val="nil"/>
              <w:right w:val="nil"/>
            </w:tcBorders>
            <w:shd w:val="clear" w:color="000000" w:fill="FFFFFF"/>
            <w:noWrap/>
            <w:vAlign w:val="center"/>
            <w:hideMark/>
          </w:tcPr>
          <w:p w14:paraId="58FC6D77" w14:textId="778183C2"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323,741</w:t>
            </w:r>
          </w:p>
        </w:tc>
        <w:tc>
          <w:tcPr>
            <w:tcW w:w="568" w:type="pct"/>
            <w:tcBorders>
              <w:top w:val="nil"/>
              <w:left w:val="nil"/>
              <w:bottom w:val="nil"/>
              <w:right w:val="nil"/>
            </w:tcBorders>
            <w:shd w:val="clear" w:color="000000" w:fill="FFFFFF"/>
            <w:noWrap/>
            <w:vAlign w:val="center"/>
            <w:hideMark/>
          </w:tcPr>
          <w:p w14:paraId="670066DD" w14:textId="678809B2"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332,739</w:t>
            </w:r>
          </w:p>
        </w:tc>
      </w:tr>
      <w:tr w:rsidR="000639CA" w:rsidRPr="00E12C73" w14:paraId="5E337CDB"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14BC6E12"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 xml:space="preserve">Other employee liabilities </w:t>
            </w:r>
          </w:p>
        </w:tc>
        <w:tc>
          <w:tcPr>
            <w:tcW w:w="341" w:type="pct"/>
            <w:tcBorders>
              <w:top w:val="nil"/>
              <w:left w:val="nil"/>
              <w:bottom w:val="nil"/>
              <w:right w:val="nil"/>
            </w:tcBorders>
            <w:shd w:val="clear" w:color="000000" w:fill="FFFFFF"/>
            <w:noWrap/>
            <w:vAlign w:val="center"/>
            <w:hideMark/>
          </w:tcPr>
          <w:p w14:paraId="1BD7774B"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17</w:t>
            </w:r>
          </w:p>
        </w:tc>
        <w:tc>
          <w:tcPr>
            <w:tcW w:w="568" w:type="pct"/>
            <w:tcBorders>
              <w:top w:val="nil"/>
              <w:left w:val="nil"/>
              <w:bottom w:val="nil"/>
              <w:right w:val="nil"/>
            </w:tcBorders>
            <w:shd w:val="clear" w:color="000000" w:fill="FFFFFF"/>
            <w:noWrap/>
            <w:vAlign w:val="center"/>
            <w:hideMark/>
          </w:tcPr>
          <w:p w14:paraId="3408280D" w14:textId="4B51864B"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42,228</w:t>
            </w:r>
          </w:p>
        </w:tc>
        <w:tc>
          <w:tcPr>
            <w:tcW w:w="568" w:type="pct"/>
            <w:tcBorders>
              <w:top w:val="nil"/>
              <w:left w:val="nil"/>
              <w:bottom w:val="nil"/>
              <w:right w:val="nil"/>
            </w:tcBorders>
            <w:shd w:val="clear" w:color="000000" w:fill="E6F2FF"/>
            <w:noWrap/>
            <w:vAlign w:val="center"/>
            <w:hideMark/>
          </w:tcPr>
          <w:p w14:paraId="37F55037" w14:textId="55CE3045"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41,848</w:t>
            </w:r>
          </w:p>
        </w:tc>
        <w:tc>
          <w:tcPr>
            <w:tcW w:w="568" w:type="pct"/>
            <w:tcBorders>
              <w:top w:val="nil"/>
              <w:left w:val="nil"/>
              <w:bottom w:val="nil"/>
              <w:right w:val="nil"/>
            </w:tcBorders>
            <w:shd w:val="clear" w:color="000000" w:fill="FFFFFF"/>
            <w:noWrap/>
            <w:vAlign w:val="center"/>
            <w:hideMark/>
          </w:tcPr>
          <w:p w14:paraId="5913317C" w14:textId="5056E4AE"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43,042</w:t>
            </w:r>
          </w:p>
        </w:tc>
        <w:tc>
          <w:tcPr>
            <w:tcW w:w="568" w:type="pct"/>
            <w:tcBorders>
              <w:top w:val="nil"/>
              <w:left w:val="nil"/>
              <w:bottom w:val="nil"/>
              <w:right w:val="nil"/>
            </w:tcBorders>
            <w:shd w:val="clear" w:color="000000" w:fill="FFFFFF"/>
            <w:noWrap/>
            <w:vAlign w:val="center"/>
            <w:hideMark/>
          </w:tcPr>
          <w:p w14:paraId="505E4447" w14:textId="1646FD63"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44,195</w:t>
            </w:r>
          </w:p>
        </w:tc>
        <w:tc>
          <w:tcPr>
            <w:tcW w:w="568" w:type="pct"/>
            <w:tcBorders>
              <w:top w:val="nil"/>
              <w:left w:val="nil"/>
              <w:bottom w:val="nil"/>
              <w:right w:val="nil"/>
            </w:tcBorders>
            <w:shd w:val="clear" w:color="000000" w:fill="FFFFFF"/>
            <w:noWrap/>
            <w:vAlign w:val="center"/>
            <w:hideMark/>
          </w:tcPr>
          <w:p w14:paraId="4B6E36A7" w14:textId="37C2DF24"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44,992</w:t>
            </w:r>
          </w:p>
        </w:tc>
      </w:tr>
      <w:tr w:rsidR="000639CA" w:rsidRPr="00E12C73" w14:paraId="7DA691FB"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7849D5BE"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Suppliers payables</w:t>
            </w:r>
          </w:p>
        </w:tc>
        <w:tc>
          <w:tcPr>
            <w:tcW w:w="341" w:type="pct"/>
            <w:tcBorders>
              <w:top w:val="nil"/>
              <w:left w:val="nil"/>
              <w:bottom w:val="nil"/>
              <w:right w:val="nil"/>
            </w:tcBorders>
            <w:shd w:val="clear" w:color="000000" w:fill="FFFFFF"/>
            <w:noWrap/>
            <w:vAlign w:val="center"/>
            <w:hideMark/>
          </w:tcPr>
          <w:p w14:paraId="4399C15A"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7C9B5FC0" w14:textId="2C6F5424"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13,305</w:t>
            </w:r>
          </w:p>
        </w:tc>
        <w:tc>
          <w:tcPr>
            <w:tcW w:w="568" w:type="pct"/>
            <w:tcBorders>
              <w:top w:val="nil"/>
              <w:left w:val="nil"/>
              <w:bottom w:val="nil"/>
              <w:right w:val="nil"/>
            </w:tcBorders>
            <w:shd w:val="clear" w:color="000000" w:fill="E6F2FF"/>
            <w:noWrap/>
            <w:vAlign w:val="center"/>
            <w:hideMark/>
          </w:tcPr>
          <w:p w14:paraId="6FB54295" w14:textId="64B3F716"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13,582</w:t>
            </w:r>
          </w:p>
        </w:tc>
        <w:tc>
          <w:tcPr>
            <w:tcW w:w="568" w:type="pct"/>
            <w:tcBorders>
              <w:top w:val="nil"/>
              <w:left w:val="nil"/>
              <w:bottom w:val="nil"/>
              <w:right w:val="nil"/>
            </w:tcBorders>
            <w:shd w:val="clear" w:color="000000" w:fill="FFFFFF"/>
            <w:noWrap/>
            <w:vAlign w:val="center"/>
            <w:hideMark/>
          </w:tcPr>
          <w:p w14:paraId="17C83575" w14:textId="10DC12C4"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13,753</w:t>
            </w:r>
          </w:p>
        </w:tc>
        <w:tc>
          <w:tcPr>
            <w:tcW w:w="568" w:type="pct"/>
            <w:tcBorders>
              <w:top w:val="nil"/>
              <w:left w:val="nil"/>
              <w:bottom w:val="nil"/>
              <w:right w:val="nil"/>
            </w:tcBorders>
            <w:shd w:val="clear" w:color="000000" w:fill="FFFFFF"/>
            <w:noWrap/>
            <w:vAlign w:val="center"/>
            <w:hideMark/>
          </w:tcPr>
          <w:p w14:paraId="76B78F8F" w14:textId="5B637A10"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14,042</w:t>
            </w:r>
          </w:p>
        </w:tc>
        <w:tc>
          <w:tcPr>
            <w:tcW w:w="568" w:type="pct"/>
            <w:tcBorders>
              <w:top w:val="nil"/>
              <w:left w:val="nil"/>
              <w:bottom w:val="nil"/>
              <w:right w:val="nil"/>
            </w:tcBorders>
            <w:shd w:val="clear" w:color="000000" w:fill="FFFFFF"/>
            <w:noWrap/>
            <w:vAlign w:val="center"/>
            <w:hideMark/>
          </w:tcPr>
          <w:p w14:paraId="7B0B5AC8" w14:textId="6EBFFC9A"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14,573</w:t>
            </w:r>
          </w:p>
        </w:tc>
      </w:tr>
      <w:tr w:rsidR="000639CA" w:rsidRPr="00E12C73" w14:paraId="149283E4"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7A3B369A"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Personal benefits payables</w:t>
            </w:r>
          </w:p>
        </w:tc>
        <w:tc>
          <w:tcPr>
            <w:tcW w:w="341" w:type="pct"/>
            <w:tcBorders>
              <w:top w:val="nil"/>
              <w:left w:val="nil"/>
              <w:bottom w:val="nil"/>
              <w:right w:val="nil"/>
            </w:tcBorders>
            <w:shd w:val="clear" w:color="000000" w:fill="FFFFFF"/>
            <w:noWrap/>
            <w:vAlign w:val="center"/>
            <w:hideMark/>
          </w:tcPr>
          <w:p w14:paraId="4CAAABDA"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4A8FB86A" w14:textId="030C3BBD"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3,991</w:t>
            </w:r>
          </w:p>
        </w:tc>
        <w:tc>
          <w:tcPr>
            <w:tcW w:w="568" w:type="pct"/>
            <w:tcBorders>
              <w:top w:val="nil"/>
              <w:left w:val="nil"/>
              <w:bottom w:val="nil"/>
              <w:right w:val="nil"/>
            </w:tcBorders>
            <w:shd w:val="clear" w:color="000000" w:fill="E6F2FF"/>
            <w:noWrap/>
            <w:vAlign w:val="center"/>
            <w:hideMark/>
          </w:tcPr>
          <w:p w14:paraId="06A29BC5" w14:textId="7F65C423"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4,096</w:t>
            </w:r>
          </w:p>
        </w:tc>
        <w:tc>
          <w:tcPr>
            <w:tcW w:w="568" w:type="pct"/>
            <w:tcBorders>
              <w:top w:val="nil"/>
              <w:left w:val="nil"/>
              <w:bottom w:val="nil"/>
              <w:right w:val="nil"/>
            </w:tcBorders>
            <w:shd w:val="clear" w:color="000000" w:fill="FFFFFF"/>
            <w:noWrap/>
            <w:vAlign w:val="center"/>
            <w:hideMark/>
          </w:tcPr>
          <w:p w14:paraId="273E7F34" w14:textId="0B908C3F"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4,598</w:t>
            </w:r>
          </w:p>
        </w:tc>
        <w:tc>
          <w:tcPr>
            <w:tcW w:w="568" w:type="pct"/>
            <w:tcBorders>
              <w:top w:val="nil"/>
              <w:left w:val="nil"/>
              <w:bottom w:val="nil"/>
              <w:right w:val="nil"/>
            </w:tcBorders>
            <w:shd w:val="clear" w:color="000000" w:fill="FFFFFF"/>
            <w:noWrap/>
            <w:vAlign w:val="center"/>
            <w:hideMark/>
          </w:tcPr>
          <w:p w14:paraId="23A2AEEE" w14:textId="7BE1BB3F"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4,570</w:t>
            </w:r>
          </w:p>
        </w:tc>
        <w:tc>
          <w:tcPr>
            <w:tcW w:w="568" w:type="pct"/>
            <w:tcBorders>
              <w:top w:val="nil"/>
              <w:left w:val="nil"/>
              <w:bottom w:val="nil"/>
              <w:right w:val="nil"/>
            </w:tcBorders>
            <w:shd w:val="clear" w:color="000000" w:fill="FFFFFF"/>
            <w:noWrap/>
            <w:vAlign w:val="center"/>
            <w:hideMark/>
          </w:tcPr>
          <w:p w14:paraId="331DAD6A" w14:textId="3650EF3A"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4,406</w:t>
            </w:r>
          </w:p>
        </w:tc>
      </w:tr>
      <w:tr w:rsidR="000639CA" w:rsidRPr="00E12C73" w14:paraId="6B941333"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53DA8723"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Subsidies payables</w:t>
            </w:r>
          </w:p>
        </w:tc>
        <w:tc>
          <w:tcPr>
            <w:tcW w:w="341" w:type="pct"/>
            <w:tcBorders>
              <w:top w:val="nil"/>
              <w:left w:val="nil"/>
              <w:bottom w:val="nil"/>
              <w:right w:val="nil"/>
            </w:tcBorders>
            <w:shd w:val="clear" w:color="000000" w:fill="FFFFFF"/>
            <w:noWrap/>
            <w:vAlign w:val="center"/>
            <w:hideMark/>
          </w:tcPr>
          <w:p w14:paraId="017F243B"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059DAF19" w14:textId="58168C80"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550</w:t>
            </w:r>
          </w:p>
        </w:tc>
        <w:tc>
          <w:tcPr>
            <w:tcW w:w="568" w:type="pct"/>
            <w:tcBorders>
              <w:top w:val="nil"/>
              <w:left w:val="nil"/>
              <w:bottom w:val="nil"/>
              <w:right w:val="nil"/>
            </w:tcBorders>
            <w:shd w:val="clear" w:color="000000" w:fill="E6F2FF"/>
            <w:noWrap/>
            <w:vAlign w:val="center"/>
            <w:hideMark/>
          </w:tcPr>
          <w:p w14:paraId="0D530663" w14:textId="7D132BB6"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535</w:t>
            </w:r>
          </w:p>
        </w:tc>
        <w:tc>
          <w:tcPr>
            <w:tcW w:w="568" w:type="pct"/>
            <w:tcBorders>
              <w:top w:val="nil"/>
              <w:left w:val="nil"/>
              <w:bottom w:val="nil"/>
              <w:right w:val="nil"/>
            </w:tcBorders>
            <w:shd w:val="clear" w:color="000000" w:fill="FFFFFF"/>
            <w:noWrap/>
            <w:vAlign w:val="center"/>
            <w:hideMark/>
          </w:tcPr>
          <w:p w14:paraId="4528BAB2" w14:textId="5FBFB101"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528</w:t>
            </w:r>
          </w:p>
        </w:tc>
        <w:tc>
          <w:tcPr>
            <w:tcW w:w="568" w:type="pct"/>
            <w:tcBorders>
              <w:top w:val="nil"/>
              <w:left w:val="nil"/>
              <w:bottom w:val="nil"/>
              <w:right w:val="nil"/>
            </w:tcBorders>
            <w:shd w:val="clear" w:color="000000" w:fill="FFFFFF"/>
            <w:noWrap/>
            <w:vAlign w:val="center"/>
            <w:hideMark/>
          </w:tcPr>
          <w:p w14:paraId="468F181C" w14:textId="21A5D6EA"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519</w:t>
            </w:r>
          </w:p>
        </w:tc>
        <w:tc>
          <w:tcPr>
            <w:tcW w:w="568" w:type="pct"/>
            <w:tcBorders>
              <w:top w:val="nil"/>
              <w:left w:val="nil"/>
              <w:bottom w:val="nil"/>
              <w:right w:val="nil"/>
            </w:tcBorders>
            <w:shd w:val="clear" w:color="000000" w:fill="FFFFFF"/>
            <w:noWrap/>
            <w:vAlign w:val="center"/>
            <w:hideMark/>
          </w:tcPr>
          <w:p w14:paraId="7A9CC73B" w14:textId="19CF9DAD"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519</w:t>
            </w:r>
          </w:p>
        </w:tc>
      </w:tr>
      <w:tr w:rsidR="000639CA" w:rsidRPr="00E12C73" w14:paraId="067F7789"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2AB1739B"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Grants payables</w:t>
            </w:r>
          </w:p>
        </w:tc>
        <w:tc>
          <w:tcPr>
            <w:tcW w:w="341" w:type="pct"/>
            <w:tcBorders>
              <w:top w:val="nil"/>
              <w:left w:val="nil"/>
              <w:bottom w:val="nil"/>
              <w:right w:val="nil"/>
            </w:tcBorders>
            <w:shd w:val="clear" w:color="000000" w:fill="FFFFFF"/>
            <w:noWrap/>
            <w:vAlign w:val="center"/>
            <w:hideMark/>
          </w:tcPr>
          <w:p w14:paraId="74ACC052"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225B00C7" w14:textId="611A6ED7"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3,658</w:t>
            </w:r>
          </w:p>
        </w:tc>
        <w:tc>
          <w:tcPr>
            <w:tcW w:w="568" w:type="pct"/>
            <w:tcBorders>
              <w:top w:val="nil"/>
              <w:left w:val="nil"/>
              <w:bottom w:val="nil"/>
              <w:right w:val="nil"/>
            </w:tcBorders>
            <w:shd w:val="clear" w:color="000000" w:fill="E6F2FF"/>
            <w:noWrap/>
            <w:vAlign w:val="center"/>
            <w:hideMark/>
          </w:tcPr>
          <w:p w14:paraId="183996DB" w14:textId="01C6F5A7"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4,178</w:t>
            </w:r>
          </w:p>
        </w:tc>
        <w:tc>
          <w:tcPr>
            <w:tcW w:w="568" w:type="pct"/>
            <w:tcBorders>
              <w:top w:val="nil"/>
              <w:left w:val="nil"/>
              <w:bottom w:val="nil"/>
              <w:right w:val="nil"/>
            </w:tcBorders>
            <w:shd w:val="clear" w:color="000000" w:fill="FFFFFF"/>
            <w:noWrap/>
            <w:vAlign w:val="center"/>
            <w:hideMark/>
          </w:tcPr>
          <w:p w14:paraId="745D0AC0" w14:textId="265776A6"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3,761</w:t>
            </w:r>
          </w:p>
        </w:tc>
        <w:tc>
          <w:tcPr>
            <w:tcW w:w="568" w:type="pct"/>
            <w:tcBorders>
              <w:top w:val="nil"/>
              <w:left w:val="nil"/>
              <w:bottom w:val="nil"/>
              <w:right w:val="nil"/>
            </w:tcBorders>
            <w:shd w:val="clear" w:color="000000" w:fill="FFFFFF"/>
            <w:noWrap/>
            <w:vAlign w:val="center"/>
            <w:hideMark/>
          </w:tcPr>
          <w:p w14:paraId="3072549F" w14:textId="46C54547"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3,457</w:t>
            </w:r>
          </w:p>
        </w:tc>
        <w:tc>
          <w:tcPr>
            <w:tcW w:w="568" w:type="pct"/>
            <w:tcBorders>
              <w:top w:val="nil"/>
              <w:left w:val="nil"/>
              <w:bottom w:val="nil"/>
              <w:right w:val="nil"/>
            </w:tcBorders>
            <w:shd w:val="clear" w:color="000000" w:fill="FFFFFF"/>
            <w:noWrap/>
            <w:vAlign w:val="center"/>
            <w:hideMark/>
          </w:tcPr>
          <w:p w14:paraId="2D252EC1" w14:textId="2173F2FB"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3,633</w:t>
            </w:r>
          </w:p>
        </w:tc>
      </w:tr>
      <w:tr w:rsidR="000639CA" w:rsidRPr="00E12C73" w14:paraId="1B38A2CF"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631978F1"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Other payables</w:t>
            </w:r>
          </w:p>
        </w:tc>
        <w:tc>
          <w:tcPr>
            <w:tcW w:w="341" w:type="pct"/>
            <w:tcBorders>
              <w:top w:val="nil"/>
              <w:left w:val="nil"/>
              <w:bottom w:val="nil"/>
              <w:right w:val="nil"/>
            </w:tcBorders>
            <w:shd w:val="clear" w:color="000000" w:fill="FFFFFF"/>
            <w:noWrap/>
            <w:vAlign w:val="center"/>
            <w:hideMark/>
          </w:tcPr>
          <w:p w14:paraId="63419BE7"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6706CB67" w14:textId="609E4FF4"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7,115</w:t>
            </w:r>
          </w:p>
        </w:tc>
        <w:tc>
          <w:tcPr>
            <w:tcW w:w="568" w:type="pct"/>
            <w:tcBorders>
              <w:top w:val="nil"/>
              <w:left w:val="nil"/>
              <w:bottom w:val="nil"/>
              <w:right w:val="nil"/>
            </w:tcBorders>
            <w:shd w:val="clear" w:color="000000" w:fill="E6F2FF"/>
            <w:noWrap/>
            <w:vAlign w:val="center"/>
            <w:hideMark/>
          </w:tcPr>
          <w:p w14:paraId="0AB60A22" w14:textId="7FE683EC"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4,797</w:t>
            </w:r>
          </w:p>
        </w:tc>
        <w:tc>
          <w:tcPr>
            <w:tcW w:w="568" w:type="pct"/>
            <w:tcBorders>
              <w:top w:val="nil"/>
              <w:left w:val="nil"/>
              <w:bottom w:val="nil"/>
              <w:right w:val="nil"/>
            </w:tcBorders>
            <w:shd w:val="clear" w:color="000000" w:fill="FFFFFF"/>
            <w:noWrap/>
            <w:vAlign w:val="center"/>
            <w:hideMark/>
          </w:tcPr>
          <w:p w14:paraId="04AF7A6B" w14:textId="7E420F97"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4,886</w:t>
            </w:r>
          </w:p>
        </w:tc>
        <w:tc>
          <w:tcPr>
            <w:tcW w:w="568" w:type="pct"/>
            <w:tcBorders>
              <w:top w:val="nil"/>
              <w:left w:val="nil"/>
              <w:bottom w:val="nil"/>
              <w:right w:val="nil"/>
            </w:tcBorders>
            <w:shd w:val="clear" w:color="000000" w:fill="FFFFFF"/>
            <w:noWrap/>
            <w:vAlign w:val="center"/>
            <w:hideMark/>
          </w:tcPr>
          <w:p w14:paraId="5AF819F6" w14:textId="589AF7FC"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4,912</w:t>
            </w:r>
          </w:p>
        </w:tc>
        <w:tc>
          <w:tcPr>
            <w:tcW w:w="568" w:type="pct"/>
            <w:tcBorders>
              <w:top w:val="nil"/>
              <w:left w:val="nil"/>
              <w:bottom w:val="nil"/>
              <w:right w:val="nil"/>
            </w:tcBorders>
            <w:shd w:val="clear" w:color="000000" w:fill="FFFFFF"/>
            <w:noWrap/>
            <w:vAlign w:val="center"/>
            <w:hideMark/>
          </w:tcPr>
          <w:p w14:paraId="7B08C9F5" w14:textId="4651976B"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4,922</w:t>
            </w:r>
          </w:p>
        </w:tc>
      </w:tr>
      <w:tr w:rsidR="000639CA" w:rsidRPr="00E12C73" w14:paraId="7034F655"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66CA9AC4" w14:textId="77777777" w:rsidR="000639CA" w:rsidRPr="005D1227" w:rsidRDefault="000639CA" w:rsidP="008A66B4">
            <w:pPr>
              <w:spacing w:before="0" w:after="0" w:line="240" w:lineRule="auto"/>
              <w:ind w:left="170"/>
              <w:rPr>
                <w:rFonts w:ascii="Arial" w:hAnsi="Arial" w:cs="Arial"/>
                <w:color w:val="000000"/>
                <w:sz w:val="16"/>
                <w:szCs w:val="16"/>
              </w:rPr>
            </w:pPr>
            <w:r w:rsidRPr="005D1227">
              <w:rPr>
                <w:rFonts w:ascii="Arial" w:hAnsi="Arial" w:cs="Arial"/>
                <w:color w:val="000000"/>
                <w:sz w:val="16"/>
                <w:szCs w:val="16"/>
              </w:rPr>
              <w:t>Provisions</w:t>
            </w:r>
          </w:p>
        </w:tc>
        <w:tc>
          <w:tcPr>
            <w:tcW w:w="341" w:type="pct"/>
            <w:tcBorders>
              <w:top w:val="nil"/>
              <w:left w:val="nil"/>
              <w:bottom w:val="nil"/>
              <w:right w:val="nil"/>
            </w:tcBorders>
            <w:shd w:val="clear" w:color="000000" w:fill="FFFFFF"/>
            <w:noWrap/>
            <w:vAlign w:val="center"/>
            <w:hideMark/>
          </w:tcPr>
          <w:p w14:paraId="05A03A8E"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18</w:t>
            </w:r>
          </w:p>
        </w:tc>
        <w:tc>
          <w:tcPr>
            <w:tcW w:w="568" w:type="pct"/>
            <w:tcBorders>
              <w:top w:val="nil"/>
              <w:left w:val="nil"/>
              <w:bottom w:val="nil"/>
              <w:right w:val="nil"/>
            </w:tcBorders>
            <w:shd w:val="clear" w:color="000000" w:fill="FFFFFF"/>
            <w:noWrap/>
            <w:vAlign w:val="center"/>
            <w:hideMark/>
          </w:tcPr>
          <w:p w14:paraId="6EF31BE5" w14:textId="5752BC98"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69,787</w:t>
            </w:r>
          </w:p>
        </w:tc>
        <w:tc>
          <w:tcPr>
            <w:tcW w:w="568" w:type="pct"/>
            <w:tcBorders>
              <w:top w:val="nil"/>
              <w:left w:val="nil"/>
              <w:bottom w:val="nil"/>
              <w:right w:val="nil"/>
            </w:tcBorders>
            <w:shd w:val="clear" w:color="000000" w:fill="E6F2FF"/>
            <w:noWrap/>
            <w:vAlign w:val="center"/>
            <w:hideMark/>
          </w:tcPr>
          <w:p w14:paraId="7F8216E0" w14:textId="2A23C490"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71,994</w:t>
            </w:r>
          </w:p>
        </w:tc>
        <w:tc>
          <w:tcPr>
            <w:tcW w:w="568" w:type="pct"/>
            <w:tcBorders>
              <w:top w:val="nil"/>
              <w:left w:val="nil"/>
              <w:bottom w:val="nil"/>
              <w:right w:val="nil"/>
            </w:tcBorders>
            <w:shd w:val="clear" w:color="000000" w:fill="FFFFFF"/>
            <w:noWrap/>
            <w:vAlign w:val="center"/>
            <w:hideMark/>
          </w:tcPr>
          <w:p w14:paraId="3CB484CA" w14:textId="49110D9D"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70,804</w:t>
            </w:r>
          </w:p>
        </w:tc>
        <w:tc>
          <w:tcPr>
            <w:tcW w:w="568" w:type="pct"/>
            <w:tcBorders>
              <w:top w:val="nil"/>
              <w:left w:val="nil"/>
              <w:bottom w:val="nil"/>
              <w:right w:val="nil"/>
            </w:tcBorders>
            <w:shd w:val="clear" w:color="000000" w:fill="FFFFFF"/>
            <w:noWrap/>
            <w:vAlign w:val="center"/>
            <w:hideMark/>
          </w:tcPr>
          <w:p w14:paraId="74570522" w14:textId="03D2ACDF"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69,513</w:t>
            </w:r>
          </w:p>
        </w:tc>
        <w:tc>
          <w:tcPr>
            <w:tcW w:w="568" w:type="pct"/>
            <w:tcBorders>
              <w:top w:val="nil"/>
              <w:left w:val="nil"/>
              <w:bottom w:val="nil"/>
              <w:right w:val="nil"/>
            </w:tcBorders>
            <w:shd w:val="clear" w:color="000000" w:fill="FFFFFF"/>
            <w:noWrap/>
            <w:vAlign w:val="center"/>
            <w:hideMark/>
          </w:tcPr>
          <w:p w14:paraId="496CDBB1" w14:textId="325A4C55" w:rsidR="000639CA" w:rsidRPr="005D1227" w:rsidRDefault="000639CA" w:rsidP="000639CA">
            <w:pPr>
              <w:spacing w:before="0" w:after="0" w:line="240" w:lineRule="auto"/>
              <w:jc w:val="right"/>
              <w:rPr>
                <w:rFonts w:ascii="Arial" w:hAnsi="Arial" w:cs="Arial"/>
                <w:color w:val="000000"/>
                <w:sz w:val="16"/>
                <w:szCs w:val="16"/>
              </w:rPr>
            </w:pPr>
            <w:r w:rsidRPr="005D1227">
              <w:rPr>
                <w:rFonts w:ascii="Arial" w:hAnsi="Arial" w:cs="Arial"/>
                <w:color w:val="000000"/>
                <w:sz w:val="16"/>
                <w:szCs w:val="16"/>
              </w:rPr>
              <w:t>69,940</w:t>
            </w:r>
          </w:p>
        </w:tc>
      </w:tr>
      <w:tr w:rsidR="000639CA" w:rsidRPr="00E12C73" w14:paraId="4EE3C593"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3ADAFD56" w14:textId="77777777" w:rsidR="000639CA" w:rsidRPr="005D1227" w:rsidRDefault="000639CA" w:rsidP="000639CA">
            <w:pPr>
              <w:spacing w:before="0" w:after="0" w:line="240" w:lineRule="auto"/>
              <w:rPr>
                <w:rFonts w:ascii="Arial" w:hAnsi="Arial" w:cs="Arial"/>
                <w:i/>
                <w:iCs/>
                <w:color w:val="000000"/>
                <w:sz w:val="16"/>
                <w:szCs w:val="16"/>
              </w:rPr>
            </w:pPr>
            <w:r w:rsidRPr="005D1227">
              <w:rPr>
                <w:rFonts w:ascii="Arial" w:hAnsi="Arial" w:cs="Arial"/>
                <w:i/>
                <w:iCs/>
                <w:color w:val="000000"/>
                <w:sz w:val="16"/>
                <w:szCs w:val="16"/>
              </w:rPr>
              <w:t>Total provisions and payables</w:t>
            </w:r>
          </w:p>
        </w:tc>
        <w:tc>
          <w:tcPr>
            <w:tcW w:w="341" w:type="pct"/>
            <w:tcBorders>
              <w:top w:val="nil"/>
              <w:left w:val="nil"/>
              <w:bottom w:val="nil"/>
              <w:right w:val="nil"/>
            </w:tcBorders>
            <w:shd w:val="clear" w:color="000000" w:fill="FFFFFF"/>
            <w:noWrap/>
            <w:vAlign w:val="center"/>
            <w:hideMark/>
          </w:tcPr>
          <w:p w14:paraId="7E3599CA" w14:textId="77777777" w:rsidR="000639CA" w:rsidRPr="005D1227" w:rsidRDefault="000639CA" w:rsidP="000639CA">
            <w:pPr>
              <w:spacing w:before="0" w:after="0" w:line="240" w:lineRule="auto"/>
              <w:jc w:val="center"/>
              <w:rPr>
                <w:rFonts w:ascii="Arial" w:hAnsi="Arial" w:cs="Arial"/>
                <w:color w:val="000000"/>
                <w:sz w:val="16"/>
                <w:szCs w:val="16"/>
              </w:rPr>
            </w:pPr>
            <w:r w:rsidRPr="005D1227">
              <w:rPr>
                <w:rFonts w:ascii="Arial" w:hAnsi="Arial" w:cs="Arial"/>
                <w:color w:val="000000"/>
                <w:sz w:val="16"/>
                <w:szCs w:val="16"/>
              </w:rPr>
              <w:t> </w:t>
            </w:r>
          </w:p>
        </w:tc>
        <w:tc>
          <w:tcPr>
            <w:tcW w:w="568" w:type="pct"/>
            <w:tcBorders>
              <w:top w:val="nil"/>
              <w:left w:val="nil"/>
              <w:bottom w:val="nil"/>
              <w:right w:val="nil"/>
            </w:tcBorders>
            <w:shd w:val="clear" w:color="000000" w:fill="FFFFFF"/>
            <w:noWrap/>
            <w:vAlign w:val="center"/>
            <w:hideMark/>
          </w:tcPr>
          <w:p w14:paraId="6959DA82" w14:textId="23585572" w:rsidR="000639CA" w:rsidRPr="005D1227" w:rsidRDefault="000639CA" w:rsidP="000639CA">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435,287</w:t>
            </w:r>
          </w:p>
        </w:tc>
        <w:tc>
          <w:tcPr>
            <w:tcW w:w="568" w:type="pct"/>
            <w:tcBorders>
              <w:top w:val="nil"/>
              <w:left w:val="nil"/>
              <w:bottom w:val="nil"/>
              <w:right w:val="nil"/>
            </w:tcBorders>
            <w:shd w:val="clear" w:color="000000" w:fill="E6F2FF"/>
            <w:noWrap/>
            <w:vAlign w:val="center"/>
            <w:hideMark/>
          </w:tcPr>
          <w:p w14:paraId="37209E72" w14:textId="44A6AC29" w:rsidR="000639CA" w:rsidRPr="005D1227" w:rsidRDefault="000639CA" w:rsidP="000639CA">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445,413</w:t>
            </w:r>
          </w:p>
        </w:tc>
        <w:tc>
          <w:tcPr>
            <w:tcW w:w="568" w:type="pct"/>
            <w:tcBorders>
              <w:top w:val="nil"/>
              <w:left w:val="nil"/>
              <w:bottom w:val="nil"/>
              <w:right w:val="nil"/>
            </w:tcBorders>
            <w:shd w:val="clear" w:color="000000" w:fill="FFFFFF"/>
            <w:noWrap/>
            <w:vAlign w:val="center"/>
            <w:hideMark/>
          </w:tcPr>
          <w:p w14:paraId="796B407F" w14:textId="0C205E83" w:rsidR="000639CA" w:rsidRPr="005D1227" w:rsidRDefault="000639CA" w:rsidP="000639CA">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456,185</w:t>
            </w:r>
          </w:p>
        </w:tc>
        <w:tc>
          <w:tcPr>
            <w:tcW w:w="568" w:type="pct"/>
            <w:tcBorders>
              <w:top w:val="nil"/>
              <w:left w:val="nil"/>
              <w:bottom w:val="nil"/>
              <w:right w:val="nil"/>
            </w:tcBorders>
            <w:shd w:val="clear" w:color="000000" w:fill="FFFFFF"/>
            <w:noWrap/>
            <w:vAlign w:val="center"/>
            <w:hideMark/>
          </w:tcPr>
          <w:p w14:paraId="2296341C" w14:textId="5207CCA5" w:rsidR="000639CA" w:rsidRPr="005D1227" w:rsidRDefault="000639CA" w:rsidP="000639CA">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464,950</w:t>
            </w:r>
          </w:p>
        </w:tc>
        <w:tc>
          <w:tcPr>
            <w:tcW w:w="568" w:type="pct"/>
            <w:tcBorders>
              <w:top w:val="nil"/>
              <w:left w:val="nil"/>
              <w:bottom w:val="nil"/>
              <w:right w:val="nil"/>
            </w:tcBorders>
            <w:shd w:val="clear" w:color="000000" w:fill="FFFFFF"/>
            <w:noWrap/>
            <w:vAlign w:val="center"/>
            <w:hideMark/>
          </w:tcPr>
          <w:p w14:paraId="7759E644" w14:textId="6ABFED6B" w:rsidR="000639CA" w:rsidRPr="005D1227" w:rsidRDefault="000639CA" w:rsidP="000639CA">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475,725</w:t>
            </w:r>
          </w:p>
        </w:tc>
      </w:tr>
      <w:tr w:rsidR="000639CA" w:rsidRPr="00E12C73" w14:paraId="23533815"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131F7072" w14:textId="77777777" w:rsidR="000639CA" w:rsidRPr="005D1227" w:rsidRDefault="000639CA" w:rsidP="000639CA">
            <w:pPr>
              <w:spacing w:before="0" w:after="0" w:line="240" w:lineRule="auto"/>
              <w:rPr>
                <w:rFonts w:ascii="Arial" w:hAnsi="Arial" w:cs="Arial"/>
                <w:b/>
                <w:bCs/>
                <w:color w:val="000000"/>
                <w:sz w:val="16"/>
                <w:szCs w:val="16"/>
              </w:rPr>
            </w:pPr>
            <w:r w:rsidRPr="005D1227">
              <w:rPr>
                <w:rFonts w:ascii="Arial" w:hAnsi="Arial" w:cs="Arial"/>
                <w:b/>
                <w:bCs/>
                <w:color w:val="000000"/>
                <w:sz w:val="16"/>
                <w:szCs w:val="16"/>
              </w:rPr>
              <w:t>Total liabilities</w:t>
            </w:r>
          </w:p>
        </w:tc>
        <w:tc>
          <w:tcPr>
            <w:tcW w:w="341" w:type="pct"/>
            <w:tcBorders>
              <w:top w:val="nil"/>
              <w:left w:val="nil"/>
              <w:bottom w:val="nil"/>
              <w:right w:val="nil"/>
            </w:tcBorders>
            <w:shd w:val="clear" w:color="000000" w:fill="FFFFFF"/>
            <w:noWrap/>
            <w:vAlign w:val="center"/>
            <w:hideMark/>
          </w:tcPr>
          <w:p w14:paraId="3829894D" w14:textId="77777777" w:rsidR="000639CA" w:rsidRPr="005D1227" w:rsidRDefault="000639CA" w:rsidP="000639CA">
            <w:pPr>
              <w:spacing w:before="0" w:after="0" w:line="240" w:lineRule="auto"/>
              <w:jc w:val="center"/>
              <w:rPr>
                <w:rFonts w:ascii="Arial" w:hAnsi="Arial" w:cs="Arial"/>
                <w:b/>
                <w:bCs/>
                <w:color w:val="000000"/>
                <w:sz w:val="16"/>
                <w:szCs w:val="16"/>
              </w:rPr>
            </w:pPr>
            <w:r w:rsidRPr="005D1227">
              <w:rPr>
                <w:rFonts w:ascii="Arial" w:hAnsi="Arial" w:cs="Arial"/>
                <w:b/>
                <w:bCs/>
                <w:color w:val="000000"/>
                <w:sz w:val="16"/>
                <w:szCs w:val="16"/>
              </w:rPr>
              <w:t> </w:t>
            </w:r>
          </w:p>
        </w:tc>
        <w:tc>
          <w:tcPr>
            <w:tcW w:w="568" w:type="pct"/>
            <w:tcBorders>
              <w:top w:val="nil"/>
              <w:left w:val="nil"/>
              <w:bottom w:val="nil"/>
              <w:right w:val="nil"/>
            </w:tcBorders>
            <w:shd w:val="clear" w:color="000000" w:fill="FFFFFF"/>
            <w:noWrap/>
            <w:vAlign w:val="center"/>
            <w:hideMark/>
          </w:tcPr>
          <w:p w14:paraId="2C85182E" w14:textId="18517373" w:rsidR="000639CA" w:rsidRPr="005D1227" w:rsidRDefault="000639CA" w:rsidP="000639CA">
            <w:pPr>
              <w:spacing w:before="0" w:after="0" w:line="240" w:lineRule="auto"/>
              <w:jc w:val="right"/>
              <w:rPr>
                <w:rFonts w:ascii="Arial" w:hAnsi="Arial" w:cs="Arial"/>
                <w:b/>
                <w:bCs/>
                <w:color w:val="000000"/>
                <w:sz w:val="16"/>
                <w:szCs w:val="16"/>
              </w:rPr>
            </w:pPr>
            <w:r w:rsidRPr="005D1227">
              <w:rPr>
                <w:rFonts w:ascii="Arial" w:hAnsi="Arial" w:cs="Arial"/>
                <w:b/>
                <w:bCs/>
                <w:color w:val="000000"/>
                <w:sz w:val="16"/>
                <w:szCs w:val="16"/>
              </w:rPr>
              <w:t>1,334,550</w:t>
            </w:r>
          </w:p>
        </w:tc>
        <w:tc>
          <w:tcPr>
            <w:tcW w:w="568" w:type="pct"/>
            <w:tcBorders>
              <w:top w:val="nil"/>
              <w:left w:val="nil"/>
              <w:bottom w:val="nil"/>
              <w:right w:val="nil"/>
            </w:tcBorders>
            <w:shd w:val="clear" w:color="000000" w:fill="E6F2FF"/>
            <w:noWrap/>
            <w:vAlign w:val="center"/>
            <w:hideMark/>
          </w:tcPr>
          <w:p w14:paraId="08FD61F3" w14:textId="6F41B6A7" w:rsidR="000639CA" w:rsidRPr="005D1227" w:rsidRDefault="000639CA" w:rsidP="000639CA">
            <w:pPr>
              <w:spacing w:before="0" w:after="0" w:line="240" w:lineRule="auto"/>
              <w:jc w:val="right"/>
              <w:rPr>
                <w:rFonts w:ascii="Arial" w:hAnsi="Arial" w:cs="Arial"/>
                <w:b/>
                <w:bCs/>
                <w:color w:val="000000"/>
                <w:sz w:val="16"/>
                <w:szCs w:val="16"/>
              </w:rPr>
            </w:pPr>
            <w:r w:rsidRPr="005D1227">
              <w:rPr>
                <w:rFonts w:ascii="Arial" w:hAnsi="Arial" w:cs="Arial"/>
                <w:b/>
                <w:bCs/>
                <w:color w:val="000000"/>
                <w:sz w:val="16"/>
                <w:szCs w:val="16"/>
              </w:rPr>
              <w:t>1,382,723</w:t>
            </w:r>
          </w:p>
        </w:tc>
        <w:tc>
          <w:tcPr>
            <w:tcW w:w="568" w:type="pct"/>
            <w:tcBorders>
              <w:top w:val="nil"/>
              <w:left w:val="nil"/>
              <w:bottom w:val="nil"/>
              <w:right w:val="nil"/>
            </w:tcBorders>
            <w:shd w:val="clear" w:color="000000" w:fill="FFFFFF"/>
            <w:noWrap/>
            <w:vAlign w:val="center"/>
            <w:hideMark/>
          </w:tcPr>
          <w:p w14:paraId="7BA35475" w14:textId="402F665B" w:rsidR="000639CA" w:rsidRPr="005D1227" w:rsidRDefault="000639CA" w:rsidP="000639CA">
            <w:pPr>
              <w:spacing w:before="0" w:after="0" w:line="240" w:lineRule="auto"/>
              <w:jc w:val="right"/>
              <w:rPr>
                <w:rFonts w:ascii="Arial" w:hAnsi="Arial" w:cs="Arial"/>
                <w:b/>
                <w:bCs/>
                <w:color w:val="000000"/>
                <w:sz w:val="16"/>
                <w:szCs w:val="16"/>
              </w:rPr>
            </w:pPr>
            <w:r w:rsidRPr="005D1227">
              <w:rPr>
                <w:rFonts w:ascii="Arial" w:hAnsi="Arial" w:cs="Arial"/>
                <w:b/>
                <w:bCs/>
                <w:color w:val="000000"/>
                <w:sz w:val="16"/>
                <w:szCs w:val="16"/>
              </w:rPr>
              <w:t>1,470,173</w:t>
            </w:r>
          </w:p>
        </w:tc>
        <w:tc>
          <w:tcPr>
            <w:tcW w:w="568" w:type="pct"/>
            <w:tcBorders>
              <w:top w:val="nil"/>
              <w:left w:val="nil"/>
              <w:bottom w:val="nil"/>
              <w:right w:val="nil"/>
            </w:tcBorders>
            <w:shd w:val="clear" w:color="000000" w:fill="FFFFFF"/>
            <w:noWrap/>
            <w:vAlign w:val="center"/>
            <w:hideMark/>
          </w:tcPr>
          <w:p w14:paraId="43EBFAA6" w14:textId="5D4027CE" w:rsidR="000639CA" w:rsidRPr="005D1227" w:rsidRDefault="000639CA" w:rsidP="000639CA">
            <w:pPr>
              <w:spacing w:before="0" w:after="0" w:line="240" w:lineRule="auto"/>
              <w:jc w:val="right"/>
              <w:rPr>
                <w:rFonts w:ascii="Arial" w:hAnsi="Arial" w:cs="Arial"/>
                <w:b/>
                <w:bCs/>
                <w:color w:val="000000"/>
                <w:sz w:val="16"/>
                <w:szCs w:val="16"/>
              </w:rPr>
            </w:pPr>
            <w:r w:rsidRPr="005D1227">
              <w:rPr>
                <w:rFonts w:ascii="Arial" w:hAnsi="Arial" w:cs="Arial"/>
                <w:b/>
                <w:bCs/>
                <w:color w:val="000000"/>
                <w:sz w:val="16"/>
                <w:szCs w:val="16"/>
              </w:rPr>
              <w:t>1,541,779</w:t>
            </w:r>
          </w:p>
        </w:tc>
        <w:tc>
          <w:tcPr>
            <w:tcW w:w="568" w:type="pct"/>
            <w:tcBorders>
              <w:top w:val="nil"/>
              <w:left w:val="nil"/>
              <w:bottom w:val="nil"/>
              <w:right w:val="nil"/>
            </w:tcBorders>
            <w:shd w:val="clear" w:color="000000" w:fill="FFFFFF"/>
            <w:noWrap/>
            <w:vAlign w:val="center"/>
            <w:hideMark/>
          </w:tcPr>
          <w:p w14:paraId="4EFB8CBE" w14:textId="28B54527" w:rsidR="000639CA" w:rsidRPr="005D1227" w:rsidRDefault="000639CA" w:rsidP="000639CA">
            <w:pPr>
              <w:spacing w:before="0" w:after="0" w:line="240" w:lineRule="auto"/>
              <w:jc w:val="right"/>
              <w:rPr>
                <w:rFonts w:ascii="Arial" w:hAnsi="Arial" w:cs="Arial"/>
                <w:b/>
                <w:bCs/>
                <w:color w:val="000000"/>
                <w:sz w:val="16"/>
                <w:szCs w:val="16"/>
              </w:rPr>
            </w:pPr>
            <w:r w:rsidRPr="005D1227">
              <w:rPr>
                <w:rFonts w:ascii="Arial" w:hAnsi="Arial" w:cs="Arial"/>
                <w:b/>
                <w:bCs/>
                <w:color w:val="000000"/>
                <w:sz w:val="16"/>
                <w:szCs w:val="16"/>
              </w:rPr>
              <w:t>1,606,205</w:t>
            </w:r>
          </w:p>
        </w:tc>
      </w:tr>
      <w:tr w:rsidR="000639CA" w:rsidRPr="00E12C73" w14:paraId="3FC2763C" w14:textId="77777777" w:rsidTr="008A66B4">
        <w:trPr>
          <w:trHeight w:hRule="exact" w:val="227"/>
        </w:trPr>
        <w:tc>
          <w:tcPr>
            <w:tcW w:w="1821" w:type="pct"/>
            <w:tcBorders>
              <w:top w:val="nil"/>
              <w:left w:val="nil"/>
              <w:bottom w:val="single" w:sz="4" w:space="0" w:color="293F5B"/>
              <w:right w:val="nil"/>
            </w:tcBorders>
            <w:shd w:val="clear" w:color="000000" w:fill="FFFFFF"/>
            <w:noWrap/>
            <w:vAlign w:val="center"/>
            <w:hideMark/>
          </w:tcPr>
          <w:p w14:paraId="6A69AD0F" w14:textId="77777777" w:rsidR="000639CA" w:rsidRPr="005D1227" w:rsidRDefault="000639CA" w:rsidP="000639CA">
            <w:pPr>
              <w:spacing w:before="0" w:after="0" w:line="240" w:lineRule="auto"/>
              <w:rPr>
                <w:rFonts w:ascii="Arial" w:hAnsi="Arial" w:cs="Arial"/>
                <w:b/>
                <w:bCs/>
                <w:color w:val="000000"/>
                <w:sz w:val="16"/>
                <w:szCs w:val="16"/>
              </w:rPr>
            </w:pPr>
            <w:r w:rsidRPr="005D1227">
              <w:rPr>
                <w:rFonts w:ascii="Arial" w:hAnsi="Arial" w:cs="Arial"/>
                <w:b/>
                <w:bCs/>
                <w:color w:val="000000"/>
                <w:sz w:val="16"/>
                <w:szCs w:val="16"/>
              </w:rPr>
              <w:t>Net worth(a)</w:t>
            </w:r>
          </w:p>
        </w:tc>
        <w:tc>
          <w:tcPr>
            <w:tcW w:w="341" w:type="pct"/>
            <w:tcBorders>
              <w:top w:val="nil"/>
              <w:left w:val="nil"/>
              <w:bottom w:val="single" w:sz="4" w:space="0" w:color="293F5B"/>
              <w:right w:val="nil"/>
            </w:tcBorders>
            <w:shd w:val="clear" w:color="000000" w:fill="FFFFFF"/>
            <w:noWrap/>
            <w:vAlign w:val="center"/>
            <w:hideMark/>
          </w:tcPr>
          <w:p w14:paraId="73210E3C" w14:textId="77777777" w:rsidR="000639CA" w:rsidRPr="005D1227" w:rsidRDefault="000639CA" w:rsidP="000639CA">
            <w:pPr>
              <w:spacing w:before="0" w:after="0" w:line="240" w:lineRule="auto"/>
              <w:jc w:val="center"/>
              <w:rPr>
                <w:rFonts w:ascii="Arial" w:hAnsi="Arial" w:cs="Arial"/>
                <w:b/>
                <w:bCs/>
                <w:color w:val="000000"/>
                <w:sz w:val="16"/>
                <w:szCs w:val="16"/>
              </w:rPr>
            </w:pPr>
            <w:r w:rsidRPr="005D1227">
              <w:rPr>
                <w:rFonts w:ascii="Arial" w:hAnsi="Arial" w:cs="Arial"/>
                <w:b/>
                <w:bCs/>
                <w:color w:val="000000"/>
                <w:sz w:val="16"/>
                <w:szCs w:val="16"/>
              </w:rPr>
              <w:t> </w:t>
            </w:r>
          </w:p>
        </w:tc>
        <w:tc>
          <w:tcPr>
            <w:tcW w:w="568" w:type="pct"/>
            <w:tcBorders>
              <w:top w:val="nil"/>
              <w:left w:val="nil"/>
              <w:bottom w:val="single" w:sz="4" w:space="0" w:color="293F5B"/>
              <w:right w:val="nil"/>
            </w:tcBorders>
            <w:shd w:val="clear" w:color="000000" w:fill="FFFFFF"/>
            <w:noWrap/>
            <w:vAlign w:val="center"/>
            <w:hideMark/>
          </w:tcPr>
          <w:p w14:paraId="562C0251" w14:textId="16B0D07B" w:rsidR="000639CA" w:rsidRPr="005D1227" w:rsidRDefault="00325E1E" w:rsidP="000639C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639CA" w:rsidRPr="005D1227">
              <w:rPr>
                <w:rFonts w:ascii="Arial" w:hAnsi="Arial" w:cs="Arial"/>
                <w:b/>
                <w:bCs/>
                <w:color w:val="000000"/>
                <w:sz w:val="16"/>
                <w:szCs w:val="16"/>
              </w:rPr>
              <w:t>508,621</w:t>
            </w:r>
          </w:p>
        </w:tc>
        <w:tc>
          <w:tcPr>
            <w:tcW w:w="568" w:type="pct"/>
            <w:tcBorders>
              <w:top w:val="nil"/>
              <w:left w:val="nil"/>
              <w:bottom w:val="single" w:sz="4" w:space="0" w:color="293F5B"/>
              <w:right w:val="nil"/>
            </w:tcBorders>
            <w:shd w:val="clear" w:color="000000" w:fill="E6F2FF"/>
            <w:noWrap/>
            <w:vAlign w:val="center"/>
            <w:hideMark/>
          </w:tcPr>
          <w:p w14:paraId="7161B444" w14:textId="1E9B0307" w:rsidR="000639CA" w:rsidRPr="005D1227" w:rsidRDefault="00325E1E" w:rsidP="000639C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639CA" w:rsidRPr="005D1227">
              <w:rPr>
                <w:rFonts w:ascii="Arial" w:hAnsi="Arial" w:cs="Arial"/>
                <w:b/>
                <w:bCs/>
                <w:color w:val="000000"/>
                <w:sz w:val="16"/>
                <w:szCs w:val="16"/>
              </w:rPr>
              <w:t>545,133</w:t>
            </w:r>
          </w:p>
        </w:tc>
        <w:tc>
          <w:tcPr>
            <w:tcW w:w="568" w:type="pct"/>
            <w:tcBorders>
              <w:top w:val="nil"/>
              <w:left w:val="nil"/>
              <w:bottom w:val="single" w:sz="4" w:space="0" w:color="293F5B"/>
              <w:right w:val="nil"/>
            </w:tcBorders>
            <w:shd w:val="clear" w:color="000000" w:fill="FFFFFF"/>
            <w:noWrap/>
            <w:vAlign w:val="center"/>
            <w:hideMark/>
          </w:tcPr>
          <w:p w14:paraId="4C4D828C" w14:textId="2FA3CA8D" w:rsidR="000639CA" w:rsidRPr="005D1227" w:rsidRDefault="00325E1E" w:rsidP="000639C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639CA" w:rsidRPr="005D1227">
              <w:rPr>
                <w:rFonts w:ascii="Arial" w:hAnsi="Arial" w:cs="Arial"/>
                <w:b/>
                <w:bCs/>
                <w:color w:val="000000"/>
                <w:sz w:val="16"/>
                <w:szCs w:val="16"/>
              </w:rPr>
              <w:t>593,107</w:t>
            </w:r>
          </w:p>
        </w:tc>
        <w:tc>
          <w:tcPr>
            <w:tcW w:w="568" w:type="pct"/>
            <w:tcBorders>
              <w:top w:val="nil"/>
              <w:left w:val="nil"/>
              <w:bottom w:val="single" w:sz="4" w:space="0" w:color="293F5B"/>
              <w:right w:val="nil"/>
            </w:tcBorders>
            <w:shd w:val="clear" w:color="000000" w:fill="FFFFFF"/>
            <w:noWrap/>
            <w:vAlign w:val="center"/>
            <w:hideMark/>
          </w:tcPr>
          <w:p w14:paraId="549619C9" w14:textId="07D009BE" w:rsidR="000639CA" w:rsidRPr="005D1227" w:rsidRDefault="00325E1E" w:rsidP="000639C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639CA" w:rsidRPr="005D1227">
              <w:rPr>
                <w:rFonts w:ascii="Arial" w:hAnsi="Arial" w:cs="Arial"/>
                <w:b/>
                <w:bCs/>
                <w:color w:val="000000"/>
                <w:sz w:val="16"/>
                <w:szCs w:val="16"/>
              </w:rPr>
              <w:t>622,142</w:t>
            </w:r>
          </w:p>
        </w:tc>
        <w:tc>
          <w:tcPr>
            <w:tcW w:w="568" w:type="pct"/>
            <w:tcBorders>
              <w:top w:val="nil"/>
              <w:left w:val="nil"/>
              <w:bottom w:val="single" w:sz="4" w:space="0" w:color="293F5B"/>
              <w:right w:val="nil"/>
            </w:tcBorders>
            <w:shd w:val="clear" w:color="000000" w:fill="FFFFFF"/>
            <w:noWrap/>
            <w:vAlign w:val="center"/>
            <w:hideMark/>
          </w:tcPr>
          <w:p w14:paraId="1D682790" w14:textId="07119C3C" w:rsidR="000639CA" w:rsidRPr="005D1227" w:rsidRDefault="00325E1E" w:rsidP="000639C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639CA" w:rsidRPr="005D1227">
              <w:rPr>
                <w:rFonts w:ascii="Arial" w:hAnsi="Arial" w:cs="Arial"/>
                <w:b/>
                <w:bCs/>
                <w:color w:val="000000"/>
                <w:sz w:val="16"/>
                <w:szCs w:val="16"/>
              </w:rPr>
              <w:t>642,958</w:t>
            </w:r>
          </w:p>
        </w:tc>
      </w:tr>
      <w:tr w:rsidR="00C808B7" w:rsidRPr="00E12C73" w14:paraId="1C3BFE0A"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3957877A" w14:textId="77777777" w:rsidR="00C808B7" w:rsidRPr="005D1227" w:rsidRDefault="00C808B7" w:rsidP="00C808B7">
            <w:pPr>
              <w:spacing w:before="0" w:after="0" w:line="240" w:lineRule="auto"/>
              <w:rPr>
                <w:rFonts w:ascii="Arial" w:hAnsi="Arial" w:cs="Arial"/>
                <w:i/>
                <w:iCs/>
                <w:color w:val="000000"/>
                <w:sz w:val="16"/>
                <w:szCs w:val="16"/>
              </w:rPr>
            </w:pPr>
            <w:r w:rsidRPr="005D1227">
              <w:rPr>
                <w:rFonts w:ascii="Arial" w:hAnsi="Arial" w:cs="Arial"/>
                <w:i/>
                <w:iCs/>
                <w:color w:val="000000"/>
                <w:sz w:val="16"/>
                <w:szCs w:val="16"/>
              </w:rPr>
              <w:t>Net financial worth(b)</w:t>
            </w:r>
          </w:p>
        </w:tc>
        <w:tc>
          <w:tcPr>
            <w:tcW w:w="341" w:type="pct"/>
            <w:tcBorders>
              <w:top w:val="nil"/>
              <w:left w:val="nil"/>
              <w:bottom w:val="nil"/>
              <w:right w:val="nil"/>
            </w:tcBorders>
            <w:shd w:val="clear" w:color="000000" w:fill="FFFFFF"/>
            <w:noWrap/>
            <w:vAlign w:val="center"/>
            <w:hideMark/>
          </w:tcPr>
          <w:p w14:paraId="6DF51867" w14:textId="77777777" w:rsidR="00C808B7" w:rsidRPr="005D1227" w:rsidRDefault="00C808B7" w:rsidP="00C808B7">
            <w:pPr>
              <w:spacing w:before="0" w:after="0" w:line="240" w:lineRule="auto"/>
              <w:jc w:val="center"/>
              <w:rPr>
                <w:rFonts w:ascii="Arial" w:hAnsi="Arial" w:cs="Arial"/>
                <w:b/>
                <w:bCs/>
                <w:i/>
                <w:iCs/>
                <w:color w:val="000000"/>
                <w:sz w:val="16"/>
                <w:szCs w:val="16"/>
              </w:rPr>
            </w:pPr>
            <w:r w:rsidRPr="005D1227">
              <w:rPr>
                <w:rFonts w:ascii="Arial" w:hAnsi="Arial" w:cs="Arial"/>
                <w:b/>
                <w:bCs/>
                <w:i/>
                <w:iCs/>
                <w:color w:val="000000"/>
                <w:sz w:val="16"/>
                <w:szCs w:val="16"/>
              </w:rPr>
              <w:t> </w:t>
            </w:r>
          </w:p>
        </w:tc>
        <w:tc>
          <w:tcPr>
            <w:tcW w:w="568" w:type="pct"/>
            <w:tcBorders>
              <w:top w:val="nil"/>
              <w:left w:val="nil"/>
              <w:bottom w:val="nil"/>
              <w:right w:val="nil"/>
            </w:tcBorders>
            <w:shd w:val="clear" w:color="000000" w:fill="FFFFFF"/>
            <w:noWrap/>
            <w:vAlign w:val="center"/>
            <w:hideMark/>
          </w:tcPr>
          <w:p w14:paraId="6EB61363" w14:textId="1AC27DAA" w:rsidR="00C808B7" w:rsidRPr="005D1227" w:rsidRDefault="00325E1E" w:rsidP="00C808B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808B7" w:rsidRPr="005D1227">
              <w:rPr>
                <w:rFonts w:ascii="Arial" w:hAnsi="Arial" w:cs="Arial"/>
                <w:i/>
                <w:iCs/>
                <w:color w:val="000000"/>
                <w:sz w:val="16"/>
                <w:szCs w:val="16"/>
              </w:rPr>
              <w:t>720,309</w:t>
            </w:r>
          </w:p>
        </w:tc>
        <w:tc>
          <w:tcPr>
            <w:tcW w:w="568" w:type="pct"/>
            <w:tcBorders>
              <w:top w:val="nil"/>
              <w:left w:val="nil"/>
              <w:bottom w:val="nil"/>
              <w:right w:val="nil"/>
            </w:tcBorders>
            <w:shd w:val="clear" w:color="000000" w:fill="E6F2FF"/>
            <w:noWrap/>
            <w:vAlign w:val="center"/>
            <w:hideMark/>
          </w:tcPr>
          <w:p w14:paraId="5A12B36D" w14:textId="021D4541" w:rsidR="00C808B7" w:rsidRPr="005D1227" w:rsidRDefault="00325E1E" w:rsidP="00C808B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808B7" w:rsidRPr="005D1227">
              <w:rPr>
                <w:rFonts w:ascii="Arial" w:hAnsi="Arial" w:cs="Arial"/>
                <w:i/>
                <w:iCs/>
                <w:color w:val="000000"/>
                <w:sz w:val="16"/>
                <w:szCs w:val="16"/>
              </w:rPr>
              <w:t>764,495</w:t>
            </w:r>
          </w:p>
        </w:tc>
        <w:tc>
          <w:tcPr>
            <w:tcW w:w="568" w:type="pct"/>
            <w:tcBorders>
              <w:top w:val="nil"/>
              <w:left w:val="nil"/>
              <w:bottom w:val="nil"/>
              <w:right w:val="nil"/>
            </w:tcBorders>
            <w:shd w:val="clear" w:color="000000" w:fill="FFFFFF"/>
            <w:noWrap/>
            <w:vAlign w:val="center"/>
            <w:hideMark/>
          </w:tcPr>
          <w:p w14:paraId="1A7A3D2F" w14:textId="047F79D7" w:rsidR="00C808B7" w:rsidRPr="005D1227" w:rsidRDefault="00325E1E" w:rsidP="00C808B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808B7" w:rsidRPr="005D1227">
              <w:rPr>
                <w:rFonts w:ascii="Arial" w:hAnsi="Arial" w:cs="Arial"/>
                <w:i/>
                <w:iCs/>
                <w:color w:val="000000"/>
                <w:sz w:val="16"/>
                <w:szCs w:val="16"/>
              </w:rPr>
              <w:t>819,613</w:t>
            </w:r>
          </w:p>
        </w:tc>
        <w:tc>
          <w:tcPr>
            <w:tcW w:w="568" w:type="pct"/>
            <w:tcBorders>
              <w:top w:val="nil"/>
              <w:left w:val="nil"/>
              <w:bottom w:val="nil"/>
              <w:right w:val="nil"/>
            </w:tcBorders>
            <w:shd w:val="clear" w:color="000000" w:fill="FFFFFF"/>
            <w:noWrap/>
            <w:vAlign w:val="center"/>
            <w:hideMark/>
          </w:tcPr>
          <w:p w14:paraId="5E89ECB8" w14:textId="0EEFDAC1" w:rsidR="00C808B7" w:rsidRPr="005D1227" w:rsidRDefault="00325E1E" w:rsidP="00C808B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808B7" w:rsidRPr="005D1227">
              <w:rPr>
                <w:rFonts w:ascii="Arial" w:hAnsi="Arial" w:cs="Arial"/>
                <w:i/>
                <w:iCs/>
                <w:color w:val="000000"/>
                <w:sz w:val="16"/>
                <w:szCs w:val="16"/>
              </w:rPr>
              <w:t>856,698</w:t>
            </w:r>
          </w:p>
        </w:tc>
        <w:tc>
          <w:tcPr>
            <w:tcW w:w="568" w:type="pct"/>
            <w:tcBorders>
              <w:top w:val="nil"/>
              <w:left w:val="nil"/>
              <w:bottom w:val="nil"/>
              <w:right w:val="nil"/>
            </w:tcBorders>
            <w:shd w:val="clear" w:color="000000" w:fill="FFFFFF"/>
            <w:noWrap/>
            <w:vAlign w:val="center"/>
            <w:hideMark/>
          </w:tcPr>
          <w:p w14:paraId="6C4B34F8" w14:textId="1D5F45AA" w:rsidR="00C808B7" w:rsidRPr="005D1227" w:rsidRDefault="00325E1E" w:rsidP="00C808B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C808B7" w:rsidRPr="005D1227">
              <w:rPr>
                <w:rFonts w:ascii="Arial" w:hAnsi="Arial" w:cs="Arial"/>
                <w:i/>
                <w:iCs/>
                <w:color w:val="000000"/>
                <w:sz w:val="16"/>
                <w:szCs w:val="16"/>
              </w:rPr>
              <w:t>888,684</w:t>
            </w:r>
          </w:p>
        </w:tc>
      </w:tr>
      <w:tr w:rsidR="00C808B7" w:rsidRPr="00E12C73" w14:paraId="77AC7203" w14:textId="77777777" w:rsidTr="008A66B4">
        <w:trPr>
          <w:trHeight w:hRule="exact" w:val="227"/>
        </w:trPr>
        <w:tc>
          <w:tcPr>
            <w:tcW w:w="1821" w:type="pct"/>
            <w:tcBorders>
              <w:top w:val="nil"/>
              <w:left w:val="nil"/>
              <w:bottom w:val="nil"/>
              <w:right w:val="nil"/>
            </w:tcBorders>
            <w:shd w:val="clear" w:color="000000" w:fill="FFFFFF"/>
            <w:noWrap/>
            <w:vAlign w:val="center"/>
            <w:hideMark/>
          </w:tcPr>
          <w:p w14:paraId="448D877F" w14:textId="77777777" w:rsidR="00C808B7" w:rsidRPr="005D1227" w:rsidRDefault="00C808B7" w:rsidP="00C808B7">
            <w:pPr>
              <w:spacing w:before="0" w:after="0" w:line="240" w:lineRule="auto"/>
              <w:rPr>
                <w:rFonts w:ascii="Arial" w:hAnsi="Arial" w:cs="Arial"/>
                <w:i/>
                <w:iCs/>
                <w:color w:val="000000"/>
                <w:sz w:val="16"/>
                <w:szCs w:val="16"/>
              </w:rPr>
            </w:pPr>
            <w:r w:rsidRPr="005D1227">
              <w:rPr>
                <w:rFonts w:ascii="Arial" w:hAnsi="Arial" w:cs="Arial"/>
                <w:i/>
                <w:iCs/>
                <w:color w:val="000000"/>
                <w:sz w:val="16"/>
                <w:szCs w:val="16"/>
              </w:rPr>
              <w:t xml:space="preserve">Net financial liabilities(c) </w:t>
            </w:r>
          </w:p>
        </w:tc>
        <w:tc>
          <w:tcPr>
            <w:tcW w:w="341" w:type="pct"/>
            <w:tcBorders>
              <w:top w:val="nil"/>
              <w:left w:val="nil"/>
              <w:bottom w:val="nil"/>
              <w:right w:val="nil"/>
            </w:tcBorders>
            <w:shd w:val="clear" w:color="000000" w:fill="FFFFFF"/>
            <w:noWrap/>
            <w:vAlign w:val="center"/>
            <w:hideMark/>
          </w:tcPr>
          <w:p w14:paraId="0493E004" w14:textId="77777777" w:rsidR="00C808B7" w:rsidRPr="005D1227" w:rsidRDefault="00C808B7" w:rsidP="00C808B7">
            <w:pPr>
              <w:spacing w:before="0" w:after="0" w:line="240" w:lineRule="auto"/>
              <w:jc w:val="center"/>
              <w:rPr>
                <w:rFonts w:ascii="Arial" w:hAnsi="Arial" w:cs="Arial"/>
                <w:b/>
                <w:bCs/>
                <w:i/>
                <w:iCs/>
                <w:color w:val="000000"/>
                <w:sz w:val="16"/>
                <w:szCs w:val="16"/>
              </w:rPr>
            </w:pPr>
            <w:r w:rsidRPr="005D1227">
              <w:rPr>
                <w:rFonts w:ascii="Arial" w:hAnsi="Arial" w:cs="Arial"/>
                <w:b/>
                <w:bCs/>
                <w:i/>
                <w:iCs/>
                <w:color w:val="000000"/>
                <w:sz w:val="16"/>
                <w:szCs w:val="16"/>
              </w:rPr>
              <w:t> </w:t>
            </w:r>
          </w:p>
        </w:tc>
        <w:tc>
          <w:tcPr>
            <w:tcW w:w="568" w:type="pct"/>
            <w:tcBorders>
              <w:top w:val="nil"/>
              <w:left w:val="nil"/>
              <w:bottom w:val="nil"/>
              <w:right w:val="nil"/>
            </w:tcBorders>
            <w:shd w:val="clear" w:color="000000" w:fill="FFFFFF"/>
            <w:noWrap/>
            <w:vAlign w:val="center"/>
            <w:hideMark/>
          </w:tcPr>
          <w:p w14:paraId="3805BADE" w14:textId="506D5C24"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765,243</w:t>
            </w:r>
          </w:p>
        </w:tc>
        <w:tc>
          <w:tcPr>
            <w:tcW w:w="568" w:type="pct"/>
            <w:tcBorders>
              <w:top w:val="nil"/>
              <w:left w:val="nil"/>
              <w:bottom w:val="nil"/>
              <w:right w:val="nil"/>
            </w:tcBorders>
            <w:shd w:val="clear" w:color="000000" w:fill="E6F2FF"/>
            <w:noWrap/>
            <w:vAlign w:val="center"/>
            <w:hideMark/>
          </w:tcPr>
          <w:p w14:paraId="4EDEA014" w14:textId="2E6E984B"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815,947</w:t>
            </w:r>
          </w:p>
        </w:tc>
        <w:tc>
          <w:tcPr>
            <w:tcW w:w="568" w:type="pct"/>
            <w:tcBorders>
              <w:top w:val="nil"/>
              <w:left w:val="nil"/>
              <w:bottom w:val="nil"/>
              <w:right w:val="nil"/>
            </w:tcBorders>
            <w:shd w:val="clear" w:color="000000" w:fill="FFFFFF"/>
            <w:noWrap/>
            <w:vAlign w:val="center"/>
            <w:hideMark/>
          </w:tcPr>
          <w:p w14:paraId="4DAFF967" w14:textId="05E69798"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875,420</w:t>
            </w:r>
          </w:p>
        </w:tc>
        <w:tc>
          <w:tcPr>
            <w:tcW w:w="568" w:type="pct"/>
            <w:tcBorders>
              <w:top w:val="nil"/>
              <w:left w:val="nil"/>
              <w:bottom w:val="nil"/>
              <w:right w:val="nil"/>
            </w:tcBorders>
            <w:shd w:val="clear" w:color="000000" w:fill="FFFFFF"/>
            <w:noWrap/>
            <w:vAlign w:val="center"/>
            <w:hideMark/>
          </w:tcPr>
          <w:p w14:paraId="72FFD1F6" w14:textId="4588A9FF"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914,050</w:t>
            </w:r>
          </w:p>
        </w:tc>
        <w:tc>
          <w:tcPr>
            <w:tcW w:w="568" w:type="pct"/>
            <w:tcBorders>
              <w:top w:val="nil"/>
              <w:left w:val="nil"/>
              <w:bottom w:val="nil"/>
              <w:right w:val="nil"/>
            </w:tcBorders>
            <w:shd w:val="clear" w:color="000000" w:fill="FFFFFF"/>
            <w:noWrap/>
            <w:vAlign w:val="center"/>
            <w:hideMark/>
          </w:tcPr>
          <w:p w14:paraId="5B26B9A2" w14:textId="26A48968"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946,526</w:t>
            </w:r>
          </w:p>
        </w:tc>
      </w:tr>
      <w:tr w:rsidR="00C808B7" w:rsidRPr="00E12C73" w14:paraId="4C6E5052" w14:textId="77777777" w:rsidTr="008A66B4">
        <w:trPr>
          <w:trHeight w:hRule="exact" w:val="227"/>
        </w:trPr>
        <w:tc>
          <w:tcPr>
            <w:tcW w:w="1821" w:type="pct"/>
            <w:tcBorders>
              <w:top w:val="nil"/>
              <w:left w:val="nil"/>
              <w:bottom w:val="single" w:sz="4" w:space="0" w:color="293F5B"/>
              <w:right w:val="nil"/>
            </w:tcBorders>
            <w:shd w:val="clear" w:color="000000" w:fill="FFFFFF"/>
            <w:noWrap/>
            <w:vAlign w:val="center"/>
            <w:hideMark/>
          </w:tcPr>
          <w:p w14:paraId="2D9EC817" w14:textId="77777777" w:rsidR="00C808B7" w:rsidRPr="005D1227" w:rsidRDefault="00C808B7" w:rsidP="00C808B7">
            <w:pPr>
              <w:spacing w:before="0" w:after="0" w:line="240" w:lineRule="auto"/>
              <w:rPr>
                <w:rFonts w:ascii="Arial" w:hAnsi="Arial" w:cs="Arial"/>
                <w:i/>
                <w:iCs/>
                <w:color w:val="000000"/>
                <w:sz w:val="16"/>
                <w:szCs w:val="16"/>
              </w:rPr>
            </w:pPr>
            <w:r w:rsidRPr="005D1227">
              <w:rPr>
                <w:rFonts w:ascii="Arial" w:hAnsi="Arial" w:cs="Arial"/>
                <w:i/>
                <w:iCs/>
                <w:color w:val="000000"/>
                <w:sz w:val="16"/>
                <w:szCs w:val="16"/>
              </w:rPr>
              <w:t>Net debt(d)</w:t>
            </w:r>
          </w:p>
        </w:tc>
        <w:tc>
          <w:tcPr>
            <w:tcW w:w="341" w:type="pct"/>
            <w:tcBorders>
              <w:top w:val="nil"/>
              <w:left w:val="nil"/>
              <w:bottom w:val="single" w:sz="4" w:space="0" w:color="293F5B"/>
              <w:right w:val="nil"/>
            </w:tcBorders>
            <w:shd w:val="clear" w:color="000000" w:fill="FFFFFF"/>
            <w:noWrap/>
            <w:vAlign w:val="center"/>
            <w:hideMark/>
          </w:tcPr>
          <w:p w14:paraId="3F6EDC84" w14:textId="77777777" w:rsidR="00C808B7" w:rsidRPr="005D1227" w:rsidRDefault="00C808B7" w:rsidP="00C808B7">
            <w:pPr>
              <w:spacing w:before="0" w:after="0" w:line="240" w:lineRule="auto"/>
              <w:jc w:val="center"/>
              <w:rPr>
                <w:rFonts w:ascii="Arial" w:hAnsi="Arial" w:cs="Arial"/>
                <w:i/>
                <w:iCs/>
                <w:color w:val="000000"/>
                <w:sz w:val="16"/>
                <w:szCs w:val="16"/>
              </w:rPr>
            </w:pPr>
            <w:r w:rsidRPr="005D1227">
              <w:rPr>
                <w:rFonts w:ascii="Arial" w:hAnsi="Arial" w:cs="Arial"/>
                <w:i/>
                <w:iCs/>
                <w:color w:val="000000"/>
                <w:sz w:val="16"/>
                <w:szCs w:val="16"/>
              </w:rPr>
              <w:t> </w:t>
            </w:r>
          </w:p>
        </w:tc>
        <w:tc>
          <w:tcPr>
            <w:tcW w:w="568" w:type="pct"/>
            <w:tcBorders>
              <w:top w:val="nil"/>
              <w:left w:val="nil"/>
              <w:bottom w:val="single" w:sz="4" w:space="0" w:color="293F5B"/>
              <w:right w:val="nil"/>
            </w:tcBorders>
            <w:shd w:val="clear" w:color="000000" w:fill="FFFFFF"/>
            <w:noWrap/>
            <w:vAlign w:val="center"/>
            <w:hideMark/>
          </w:tcPr>
          <w:p w14:paraId="1B0E9CB5" w14:textId="30B5728F"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499,886</w:t>
            </w:r>
          </w:p>
        </w:tc>
        <w:tc>
          <w:tcPr>
            <w:tcW w:w="568" w:type="pct"/>
            <w:tcBorders>
              <w:top w:val="nil"/>
              <w:left w:val="nil"/>
              <w:bottom w:val="single" w:sz="4" w:space="0" w:color="293F5B"/>
              <w:right w:val="nil"/>
            </w:tcBorders>
            <w:shd w:val="clear" w:color="000000" w:fill="E6F2FF"/>
            <w:noWrap/>
            <w:vAlign w:val="center"/>
            <w:hideMark/>
          </w:tcPr>
          <w:p w14:paraId="1A9E7CAF" w14:textId="4FA3DA3A"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552,532</w:t>
            </w:r>
          </w:p>
        </w:tc>
        <w:tc>
          <w:tcPr>
            <w:tcW w:w="568" w:type="pct"/>
            <w:tcBorders>
              <w:top w:val="nil"/>
              <w:left w:val="nil"/>
              <w:bottom w:val="single" w:sz="4" w:space="0" w:color="293F5B"/>
              <w:right w:val="nil"/>
            </w:tcBorders>
            <w:shd w:val="clear" w:color="000000" w:fill="FFFFFF"/>
            <w:noWrap/>
            <w:vAlign w:val="center"/>
            <w:hideMark/>
          </w:tcPr>
          <w:p w14:paraId="4D221081" w14:textId="491453F5"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615,478</w:t>
            </w:r>
          </w:p>
        </w:tc>
        <w:tc>
          <w:tcPr>
            <w:tcW w:w="568" w:type="pct"/>
            <w:tcBorders>
              <w:top w:val="nil"/>
              <w:left w:val="nil"/>
              <w:bottom w:val="single" w:sz="4" w:space="0" w:color="293F5B"/>
              <w:right w:val="nil"/>
            </w:tcBorders>
            <w:shd w:val="clear" w:color="000000" w:fill="FFFFFF"/>
            <w:noWrap/>
            <w:vAlign w:val="center"/>
            <w:hideMark/>
          </w:tcPr>
          <w:p w14:paraId="2EDFF0EB" w14:textId="24D0C1E7"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660,048</w:t>
            </w:r>
          </w:p>
        </w:tc>
        <w:tc>
          <w:tcPr>
            <w:tcW w:w="568" w:type="pct"/>
            <w:tcBorders>
              <w:top w:val="nil"/>
              <w:left w:val="nil"/>
              <w:bottom w:val="single" w:sz="4" w:space="0" w:color="293F5B"/>
              <w:right w:val="nil"/>
            </w:tcBorders>
            <w:shd w:val="clear" w:color="000000" w:fill="FFFFFF"/>
            <w:noWrap/>
            <w:vAlign w:val="center"/>
            <w:hideMark/>
          </w:tcPr>
          <w:p w14:paraId="602A28DB" w14:textId="0BDB6F23" w:rsidR="00C808B7" w:rsidRPr="005D1227" w:rsidRDefault="00C808B7" w:rsidP="00C808B7">
            <w:pPr>
              <w:spacing w:before="0" w:after="0" w:line="240" w:lineRule="auto"/>
              <w:jc w:val="right"/>
              <w:rPr>
                <w:rFonts w:ascii="Arial" w:hAnsi="Arial" w:cs="Arial"/>
                <w:i/>
                <w:iCs/>
                <w:color w:val="000000"/>
                <w:sz w:val="16"/>
                <w:szCs w:val="16"/>
              </w:rPr>
            </w:pPr>
            <w:r w:rsidRPr="005D1227">
              <w:rPr>
                <w:rFonts w:ascii="Arial" w:hAnsi="Arial" w:cs="Arial"/>
                <w:i/>
                <w:iCs/>
                <w:color w:val="000000"/>
                <w:sz w:val="16"/>
                <w:szCs w:val="16"/>
              </w:rPr>
              <w:t>697,505</w:t>
            </w:r>
          </w:p>
        </w:tc>
      </w:tr>
    </w:tbl>
    <w:p w14:paraId="63E6D3DE" w14:textId="47A9596B" w:rsidR="00A071F4" w:rsidRPr="00EA746C" w:rsidRDefault="00A071F4" w:rsidP="00A071F4">
      <w:pPr>
        <w:pStyle w:val="ChartandTableFootnoteAlpha"/>
        <w:numPr>
          <w:ilvl w:val="0"/>
          <w:numId w:val="8"/>
        </w:numPr>
      </w:pPr>
      <w:r w:rsidRPr="00EA746C">
        <w:t>Net worth equals total assets minus total liabilities.</w:t>
      </w:r>
    </w:p>
    <w:p w14:paraId="295AC63D" w14:textId="77777777" w:rsidR="00A071F4" w:rsidRPr="00EA746C" w:rsidRDefault="00A071F4" w:rsidP="00A071F4">
      <w:pPr>
        <w:pStyle w:val="ChartandTableFootnoteAlpha"/>
        <w:numPr>
          <w:ilvl w:val="0"/>
          <w:numId w:val="8"/>
        </w:numPr>
      </w:pPr>
      <w:r w:rsidRPr="00EA746C">
        <w:t>Net financial worth equals total financial assets minus total liabilities.</w:t>
      </w:r>
    </w:p>
    <w:p w14:paraId="1A73DCCB" w14:textId="77777777" w:rsidR="00A071F4" w:rsidRPr="00EA746C" w:rsidRDefault="00A071F4" w:rsidP="00A071F4">
      <w:pPr>
        <w:pStyle w:val="ChartandTableFootnoteAlpha"/>
        <w:numPr>
          <w:ilvl w:val="0"/>
          <w:numId w:val="8"/>
        </w:numPr>
      </w:pPr>
      <w:r w:rsidRPr="00EA746C">
        <w:t>Net financial liabilities equals total liabilities less financial assets other than investments in other public sector entities.</w:t>
      </w:r>
    </w:p>
    <w:p w14:paraId="69EA07EC" w14:textId="77777777" w:rsidR="00A071F4" w:rsidRPr="00EA746C" w:rsidRDefault="00A071F4" w:rsidP="00A071F4">
      <w:pPr>
        <w:pStyle w:val="ChartandTableFootnoteAlpha"/>
        <w:numPr>
          <w:ilvl w:val="0"/>
          <w:numId w:val="8"/>
        </w:numPr>
      </w:pPr>
      <w:r w:rsidRPr="00EA746C">
        <w:t>Net debt is the sum of interest bearing liabilities less the sum of selected financial assets (cash and deposits, advances paid and investments, loans and placements).</w:t>
      </w:r>
    </w:p>
    <w:p w14:paraId="31E3940A" w14:textId="523EE112" w:rsidR="00D8138E" w:rsidRPr="00A071F4" w:rsidRDefault="00D8138E" w:rsidP="00A22DA1">
      <w:pPr>
        <w:pStyle w:val="TableLine"/>
        <w:rPr>
          <w:rFonts w:eastAsiaTheme="minorHAnsi"/>
        </w:rPr>
      </w:pPr>
    </w:p>
    <w:p w14:paraId="02B31981" w14:textId="77777777" w:rsidR="00D8138E" w:rsidRPr="00EA746C" w:rsidRDefault="00D8138E" w:rsidP="00D8138E">
      <w:pPr>
        <w:jc w:val="both"/>
      </w:pPr>
      <w:r w:rsidRPr="00EA746C">
        <w:br w:type="page"/>
      </w:r>
    </w:p>
    <w:p w14:paraId="2BE6237C" w14:textId="52A4A2A8" w:rsidR="00D8138E" w:rsidRDefault="00A96E0D" w:rsidP="002D63CE">
      <w:pPr>
        <w:pStyle w:val="TableHeading"/>
        <w:rPr>
          <w:rFonts w:asciiTheme="minorHAnsi" w:eastAsiaTheme="minorHAnsi" w:hAnsiTheme="minorHAnsi" w:cstheme="minorBidi"/>
          <w:sz w:val="22"/>
          <w:szCs w:val="22"/>
          <w:lang w:eastAsia="en-US"/>
        </w:rPr>
      </w:pPr>
      <w:r>
        <w:lastRenderedPageBreak/>
        <w:t>Table </w:t>
      </w:r>
      <w:r w:rsidR="00D8138E" w:rsidRPr="00EA746C">
        <w:t>1</w:t>
      </w:r>
      <w:r w:rsidR="005A3823">
        <w:t>0</w:t>
      </w:r>
      <w:r w:rsidR="00D8138E" w:rsidRPr="00EA746C">
        <w:t>.3: Australian Government general government sector cash flow statement</w:t>
      </w:r>
      <w:r w:rsidR="00D8138E" w:rsidRPr="00EA746C">
        <w:rPr>
          <w:vertAlign w:val="superscript"/>
        </w:rPr>
        <w:t xml:space="preserve">(a) </w:t>
      </w:r>
    </w:p>
    <w:tbl>
      <w:tblPr>
        <w:tblW w:w="7711" w:type="dxa"/>
        <w:tblCellMar>
          <w:left w:w="0" w:type="dxa"/>
          <w:right w:w="28" w:type="dxa"/>
        </w:tblCellMar>
        <w:tblLook w:val="04A0" w:firstRow="1" w:lastRow="0" w:firstColumn="1" w:lastColumn="0" w:noHBand="0" w:noVBand="1"/>
      </w:tblPr>
      <w:tblGrid>
        <w:gridCol w:w="3552"/>
        <w:gridCol w:w="685"/>
        <w:gridCol w:w="881"/>
        <w:gridCol w:w="880"/>
        <w:gridCol w:w="881"/>
        <w:gridCol w:w="880"/>
      </w:tblGrid>
      <w:tr w:rsidR="002647F6" w:rsidRPr="002647F6" w14:paraId="22692C30" w14:textId="77777777" w:rsidTr="00724953">
        <w:trPr>
          <w:trHeight w:val="225"/>
        </w:trPr>
        <w:tc>
          <w:tcPr>
            <w:tcW w:w="3544" w:type="dxa"/>
            <w:tcBorders>
              <w:top w:val="single" w:sz="4" w:space="0" w:color="293F5B"/>
            </w:tcBorders>
            <w:shd w:val="clear" w:color="000000" w:fill="FFFFFF"/>
            <w:noWrap/>
            <w:vAlign w:val="center"/>
            <w:hideMark/>
          </w:tcPr>
          <w:p w14:paraId="05768872" w14:textId="77777777" w:rsidR="002647F6" w:rsidRPr="002647F6" w:rsidRDefault="002647F6" w:rsidP="00F01FDB">
            <w:pPr>
              <w:pStyle w:val="TableTextLeft"/>
            </w:pPr>
            <w:r w:rsidRPr="002647F6">
              <w:t> </w:t>
            </w:r>
          </w:p>
        </w:tc>
        <w:tc>
          <w:tcPr>
            <w:tcW w:w="4167" w:type="dxa"/>
            <w:gridSpan w:val="5"/>
            <w:tcBorders>
              <w:top w:val="single" w:sz="4" w:space="0" w:color="293F5B"/>
              <w:bottom w:val="single" w:sz="4" w:space="0" w:color="auto"/>
            </w:tcBorders>
            <w:shd w:val="clear" w:color="000000" w:fill="FFFFFF"/>
            <w:noWrap/>
            <w:vAlign w:val="center"/>
            <w:hideMark/>
          </w:tcPr>
          <w:p w14:paraId="2F5D1E89" w14:textId="77777777" w:rsidR="002647F6" w:rsidRPr="002647F6" w:rsidRDefault="002647F6" w:rsidP="003342C1">
            <w:pPr>
              <w:pStyle w:val="TableTextCentred"/>
            </w:pPr>
            <w:r w:rsidRPr="002647F6">
              <w:t>Estimates</w:t>
            </w:r>
          </w:p>
        </w:tc>
      </w:tr>
      <w:tr w:rsidR="002647F6" w:rsidRPr="002647F6" w14:paraId="2342F759" w14:textId="77777777" w:rsidTr="00724953">
        <w:trPr>
          <w:trHeight w:val="225"/>
        </w:trPr>
        <w:tc>
          <w:tcPr>
            <w:tcW w:w="3544" w:type="dxa"/>
            <w:shd w:val="clear" w:color="000000" w:fill="FFFFFF"/>
            <w:noWrap/>
            <w:vAlign w:val="center"/>
            <w:hideMark/>
          </w:tcPr>
          <w:p w14:paraId="37D0ECAE" w14:textId="77777777" w:rsidR="002647F6" w:rsidRPr="002647F6" w:rsidRDefault="002647F6" w:rsidP="00F01FDB">
            <w:pPr>
              <w:pStyle w:val="TableTextLeft"/>
            </w:pPr>
            <w:r w:rsidRPr="002647F6">
              <w:t> </w:t>
            </w:r>
          </w:p>
        </w:tc>
        <w:tc>
          <w:tcPr>
            <w:tcW w:w="677" w:type="dxa"/>
            <w:tcBorders>
              <w:top w:val="single" w:sz="4" w:space="0" w:color="auto"/>
            </w:tcBorders>
            <w:shd w:val="clear" w:color="000000" w:fill="FFFFFF"/>
            <w:noWrap/>
            <w:vAlign w:val="center"/>
            <w:hideMark/>
          </w:tcPr>
          <w:p w14:paraId="65148E60" w14:textId="0645F41B" w:rsidR="002647F6" w:rsidRPr="002647F6" w:rsidRDefault="002647F6" w:rsidP="00DC307C">
            <w:pPr>
              <w:pStyle w:val="TableTextRight"/>
            </w:pPr>
            <w:r w:rsidRPr="002647F6">
              <w:t>2023</w:t>
            </w:r>
            <w:r w:rsidR="00325E1E">
              <w:noBreakHyphen/>
            </w:r>
            <w:r w:rsidRPr="002647F6">
              <w:t>24</w:t>
            </w:r>
          </w:p>
        </w:tc>
        <w:tc>
          <w:tcPr>
            <w:tcW w:w="873" w:type="dxa"/>
            <w:tcBorders>
              <w:top w:val="single" w:sz="4" w:space="0" w:color="auto"/>
            </w:tcBorders>
            <w:shd w:val="clear" w:color="000000" w:fill="E6F2FF"/>
            <w:noWrap/>
            <w:vAlign w:val="center"/>
            <w:hideMark/>
          </w:tcPr>
          <w:p w14:paraId="60A6D76F" w14:textId="0C2A2717" w:rsidR="002647F6" w:rsidRPr="002647F6" w:rsidRDefault="002647F6" w:rsidP="00DC307C">
            <w:pPr>
              <w:pStyle w:val="TableTextRight"/>
            </w:pPr>
            <w:r w:rsidRPr="002647F6">
              <w:t>2024</w:t>
            </w:r>
            <w:r w:rsidR="00325E1E">
              <w:noBreakHyphen/>
            </w:r>
            <w:r w:rsidRPr="002647F6">
              <w:t>25</w:t>
            </w:r>
          </w:p>
        </w:tc>
        <w:tc>
          <w:tcPr>
            <w:tcW w:w="872" w:type="dxa"/>
            <w:tcBorders>
              <w:top w:val="single" w:sz="4" w:space="0" w:color="auto"/>
            </w:tcBorders>
            <w:shd w:val="clear" w:color="000000" w:fill="FFFFFF"/>
            <w:noWrap/>
            <w:vAlign w:val="center"/>
            <w:hideMark/>
          </w:tcPr>
          <w:p w14:paraId="7BA3A000" w14:textId="1A21106A" w:rsidR="002647F6" w:rsidRPr="002647F6" w:rsidRDefault="002647F6" w:rsidP="00DC307C">
            <w:pPr>
              <w:pStyle w:val="TableTextRight"/>
            </w:pPr>
            <w:r w:rsidRPr="002647F6">
              <w:t>2025</w:t>
            </w:r>
            <w:r w:rsidR="00325E1E">
              <w:noBreakHyphen/>
            </w:r>
            <w:r w:rsidRPr="002647F6">
              <w:t>26</w:t>
            </w:r>
          </w:p>
        </w:tc>
        <w:tc>
          <w:tcPr>
            <w:tcW w:w="873" w:type="dxa"/>
            <w:tcBorders>
              <w:top w:val="single" w:sz="4" w:space="0" w:color="auto"/>
            </w:tcBorders>
            <w:shd w:val="clear" w:color="000000" w:fill="FFFFFF"/>
            <w:noWrap/>
            <w:vAlign w:val="center"/>
            <w:hideMark/>
          </w:tcPr>
          <w:p w14:paraId="4F3E28AB" w14:textId="13F6127E" w:rsidR="002647F6" w:rsidRPr="002647F6" w:rsidRDefault="002647F6" w:rsidP="00DC307C">
            <w:pPr>
              <w:pStyle w:val="TableTextRight"/>
            </w:pPr>
            <w:r w:rsidRPr="002647F6">
              <w:t>2026</w:t>
            </w:r>
            <w:r w:rsidR="00325E1E">
              <w:noBreakHyphen/>
            </w:r>
            <w:r w:rsidRPr="002647F6">
              <w:t>27</w:t>
            </w:r>
          </w:p>
        </w:tc>
        <w:tc>
          <w:tcPr>
            <w:tcW w:w="872" w:type="dxa"/>
            <w:tcBorders>
              <w:top w:val="single" w:sz="4" w:space="0" w:color="auto"/>
            </w:tcBorders>
            <w:shd w:val="clear" w:color="000000" w:fill="FFFFFF"/>
            <w:noWrap/>
            <w:vAlign w:val="center"/>
            <w:hideMark/>
          </w:tcPr>
          <w:p w14:paraId="1EAB0DF3" w14:textId="6B487621" w:rsidR="002647F6" w:rsidRPr="002647F6" w:rsidRDefault="002647F6" w:rsidP="00DC307C">
            <w:pPr>
              <w:pStyle w:val="TableTextRight"/>
              <w:rPr>
                <w:color w:val="000000"/>
              </w:rPr>
            </w:pPr>
            <w:r w:rsidRPr="002647F6">
              <w:rPr>
                <w:color w:val="000000"/>
              </w:rPr>
              <w:t>2027</w:t>
            </w:r>
            <w:r w:rsidR="00325E1E">
              <w:rPr>
                <w:color w:val="000000"/>
              </w:rPr>
              <w:noBreakHyphen/>
            </w:r>
            <w:r w:rsidRPr="002647F6">
              <w:rPr>
                <w:color w:val="000000"/>
              </w:rPr>
              <w:t>28</w:t>
            </w:r>
          </w:p>
        </w:tc>
      </w:tr>
      <w:tr w:rsidR="002647F6" w:rsidRPr="002647F6" w14:paraId="33D42FCA" w14:textId="77777777" w:rsidTr="00724953">
        <w:trPr>
          <w:trHeight w:val="225"/>
        </w:trPr>
        <w:tc>
          <w:tcPr>
            <w:tcW w:w="3544" w:type="dxa"/>
            <w:shd w:val="clear" w:color="000000" w:fill="FFFFFF"/>
            <w:noWrap/>
            <w:vAlign w:val="center"/>
            <w:hideMark/>
          </w:tcPr>
          <w:p w14:paraId="5B17E387" w14:textId="77777777" w:rsidR="002647F6" w:rsidRPr="002647F6" w:rsidRDefault="002647F6" w:rsidP="00F01FDB">
            <w:pPr>
              <w:pStyle w:val="TableTextLeft"/>
            </w:pPr>
            <w:r w:rsidRPr="002647F6">
              <w:t> </w:t>
            </w:r>
          </w:p>
        </w:tc>
        <w:tc>
          <w:tcPr>
            <w:tcW w:w="677" w:type="dxa"/>
            <w:tcBorders>
              <w:bottom w:val="single" w:sz="4" w:space="0" w:color="293F5B"/>
            </w:tcBorders>
            <w:shd w:val="clear" w:color="000000" w:fill="FFFFFF"/>
            <w:noWrap/>
            <w:vAlign w:val="center"/>
            <w:hideMark/>
          </w:tcPr>
          <w:p w14:paraId="3E8095D9" w14:textId="77777777" w:rsidR="002647F6" w:rsidRPr="002647F6" w:rsidRDefault="002647F6" w:rsidP="00DC307C">
            <w:pPr>
              <w:pStyle w:val="TableTextRight"/>
              <w:rPr>
                <w:color w:val="000000"/>
              </w:rPr>
            </w:pPr>
            <w:r w:rsidRPr="002647F6">
              <w:rPr>
                <w:color w:val="000000"/>
              </w:rPr>
              <w:t>$m</w:t>
            </w:r>
          </w:p>
        </w:tc>
        <w:tc>
          <w:tcPr>
            <w:tcW w:w="873" w:type="dxa"/>
            <w:tcBorders>
              <w:bottom w:val="single" w:sz="4" w:space="0" w:color="293F5B"/>
            </w:tcBorders>
            <w:shd w:val="clear" w:color="000000" w:fill="E6F2FF"/>
            <w:noWrap/>
            <w:vAlign w:val="center"/>
            <w:hideMark/>
          </w:tcPr>
          <w:p w14:paraId="66017D92" w14:textId="77777777" w:rsidR="002647F6" w:rsidRPr="002647F6" w:rsidRDefault="002647F6" w:rsidP="00DC307C">
            <w:pPr>
              <w:pStyle w:val="TableTextRight"/>
              <w:rPr>
                <w:color w:val="000000"/>
              </w:rPr>
            </w:pPr>
            <w:r w:rsidRPr="002647F6">
              <w:rPr>
                <w:color w:val="000000"/>
              </w:rPr>
              <w:t>$m</w:t>
            </w:r>
          </w:p>
        </w:tc>
        <w:tc>
          <w:tcPr>
            <w:tcW w:w="872" w:type="dxa"/>
            <w:tcBorders>
              <w:bottom w:val="single" w:sz="4" w:space="0" w:color="293F5B"/>
            </w:tcBorders>
            <w:shd w:val="clear" w:color="000000" w:fill="FFFFFF"/>
            <w:noWrap/>
            <w:vAlign w:val="center"/>
            <w:hideMark/>
          </w:tcPr>
          <w:p w14:paraId="623B3EC7" w14:textId="77777777" w:rsidR="002647F6" w:rsidRPr="002647F6" w:rsidRDefault="002647F6" w:rsidP="00DC307C">
            <w:pPr>
              <w:pStyle w:val="TableTextRight"/>
              <w:rPr>
                <w:color w:val="000000"/>
              </w:rPr>
            </w:pPr>
            <w:r w:rsidRPr="002647F6">
              <w:rPr>
                <w:color w:val="000000"/>
              </w:rPr>
              <w:t>$m</w:t>
            </w:r>
          </w:p>
        </w:tc>
        <w:tc>
          <w:tcPr>
            <w:tcW w:w="873" w:type="dxa"/>
            <w:tcBorders>
              <w:bottom w:val="single" w:sz="4" w:space="0" w:color="293F5B"/>
            </w:tcBorders>
            <w:shd w:val="clear" w:color="000000" w:fill="FFFFFF"/>
            <w:noWrap/>
            <w:vAlign w:val="center"/>
            <w:hideMark/>
          </w:tcPr>
          <w:p w14:paraId="15E431FC" w14:textId="77777777" w:rsidR="002647F6" w:rsidRPr="002647F6" w:rsidRDefault="002647F6" w:rsidP="00DC307C">
            <w:pPr>
              <w:pStyle w:val="TableTextRight"/>
              <w:rPr>
                <w:color w:val="000000"/>
              </w:rPr>
            </w:pPr>
            <w:r w:rsidRPr="002647F6">
              <w:rPr>
                <w:color w:val="000000"/>
              </w:rPr>
              <w:t>$m</w:t>
            </w:r>
          </w:p>
        </w:tc>
        <w:tc>
          <w:tcPr>
            <w:tcW w:w="872" w:type="dxa"/>
            <w:tcBorders>
              <w:bottom w:val="single" w:sz="4" w:space="0" w:color="293F5B"/>
            </w:tcBorders>
            <w:shd w:val="clear" w:color="000000" w:fill="FFFFFF"/>
            <w:noWrap/>
            <w:vAlign w:val="center"/>
            <w:hideMark/>
          </w:tcPr>
          <w:p w14:paraId="6E5E5448" w14:textId="77777777" w:rsidR="002647F6" w:rsidRPr="002647F6" w:rsidRDefault="002647F6" w:rsidP="00DC307C">
            <w:pPr>
              <w:pStyle w:val="TableTextRight"/>
              <w:rPr>
                <w:color w:val="000000"/>
              </w:rPr>
            </w:pPr>
            <w:r w:rsidRPr="002647F6">
              <w:rPr>
                <w:color w:val="000000"/>
              </w:rPr>
              <w:t>$m</w:t>
            </w:r>
          </w:p>
        </w:tc>
      </w:tr>
      <w:tr w:rsidR="002647F6" w:rsidRPr="002647F6" w14:paraId="6FE3D537" w14:textId="77777777" w:rsidTr="00724953">
        <w:trPr>
          <w:trHeight w:val="225"/>
        </w:trPr>
        <w:tc>
          <w:tcPr>
            <w:tcW w:w="3544" w:type="dxa"/>
            <w:shd w:val="clear" w:color="000000" w:fill="FFFFFF"/>
            <w:noWrap/>
            <w:vAlign w:val="center"/>
            <w:hideMark/>
          </w:tcPr>
          <w:p w14:paraId="6E3A25EE" w14:textId="77777777" w:rsidR="002647F6" w:rsidRPr="005D1227" w:rsidRDefault="002647F6" w:rsidP="00F01FDB">
            <w:pPr>
              <w:pStyle w:val="TableTextLeft"/>
              <w:rPr>
                <w:rFonts w:cs="Arial"/>
                <w:b/>
                <w:color w:val="000000"/>
                <w:szCs w:val="16"/>
              </w:rPr>
            </w:pPr>
            <w:r w:rsidRPr="005D1227">
              <w:rPr>
                <w:rFonts w:cs="Arial"/>
                <w:b/>
                <w:color w:val="000000"/>
                <w:szCs w:val="16"/>
              </w:rPr>
              <w:t>Cash receipts from operating activities</w:t>
            </w:r>
          </w:p>
        </w:tc>
        <w:tc>
          <w:tcPr>
            <w:tcW w:w="677" w:type="dxa"/>
            <w:tcBorders>
              <w:top w:val="single" w:sz="4" w:space="0" w:color="293F5B"/>
            </w:tcBorders>
            <w:shd w:val="clear" w:color="000000" w:fill="FFFFFF"/>
            <w:noWrap/>
            <w:vAlign w:val="center"/>
            <w:hideMark/>
          </w:tcPr>
          <w:p w14:paraId="47CE1B97"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3" w:type="dxa"/>
            <w:tcBorders>
              <w:top w:val="single" w:sz="4" w:space="0" w:color="293F5B"/>
            </w:tcBorders>
            <w:shd w:val="clear" w:color="000000" w:fill="E6F2FF"/>
            <w:noWrap/>
            <w:vAlign w:val="center"/>
            <w:hideMark/>
          </w:tcPr>
          <w:p w14:paraId="49053AB5"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2" w:type="dxa"/>
            <w:tcBorders>
              <w:top w:val="single" w:sz="4" w:space="0" w:color="293F5B"/>
            </w:tcBorders>
            <w:shd w:val="clear" w:color="000000" w:fill="FFFFFF"/>
            <w:noWrap/>
            <w:vAlign w:val="bottom"/>
            <w:hideMark/>
          </w:tcPr>
          <w:p w14:paraId="68AA1D33" w14:textId="77777777" w:rsidR="002647F6" w:rsidRPr="005D1227" w:rsidRDefault="002647F6" w:rsidP="00DC307C">
            <w:pPr>
              <w:pStyle w:val="TableTextRight"/>
              <w:rPr>
                <w:rFonts w:cs="Arial"/>
                <w:szCs w:val="16"/>
              </w:rPr>
            </w:pPr>
            <w:r w:rsidRPr="005D1227">
              <w:rPr>
                <w:rFonts w:cs="Arial"/>
                <w:szCs w:val="16"/>
              </w:rPr>
              <w:t> </w:t>
            </w:r>
          </w:p>
        </w:tc>
        <w:tc>
          <w:tcPr>
            <w:tcW w:w="873" w:type="dxa"/>
            <w:tcBorders>
              <w:top w:val="single" w:sz="4" w:space="0" w:color="293F5B"/>
            </w:tcBorders>
            <w:shd w:val="clear" w:color="000000" w:fill="FFFFFF"/>
            <w:noWrap/>
            <w:vAlign w:val="bottom"/>
            <w:hideMark/>
          </w:tcPr>
          <w:p w14:paraId="612F197F" w14:textId="77777777" w:rsidR="002647F6" w:rsidRPr="005D1227" w:rsidRDefault="002647F6" w:rsidP="00DC307C">
            <w:pPr>
              <w:pStyle w:val="TableTextRight"/>
              <w:rPr>
                <w:rFonts w:cs="Arial"/>
                <w:szCs w:val="16"/>
              </w:rPr>
            </w:pPr>
            <w:r w:rsidRPr="005D1227">
              <w:rPr>
                <w:rFonts w:cs="Arial"/>
                <w:szCs w:val="16"/>
              </w:rPr>
              <w:t> </w:t>
            </w:r>
          </w:p>
        </w:tc>
        <w:tc>
          <w:tcPr>
            <w:tcW w:w="872" w:type="dxa"/>
            <w:tcBorders>
              <w:top w:val="single" w:sz="4" w:space="0" w:color="293F5B"/>
            </w:tcBorders>
            <w:shd w:val="clear" w:color="000000" w:fill="FFFFFF"/>
            <w:noWrap/>
            <w:vAlign w:val="center"/>
            <w:hideMark/>
          </w:tcPr>
          <w:p w14:paraId="66F21385" w14:textId="77777777" w:rsidR="002647F6" w:rsidRPr="005D1227" w:rsidRDefault="002647F6" w:rsidP="00DC307C">
            <w:pPr>
              <w:pStyle w:val="TableTextRight"/>
              <w:rPr>
                <w:rFonts w:cs="Arial"/>
                <w:color w:val="000000"/>
                <w:szCs w:val="16"/>
              </w:rPr>
            </w:pPr>
            <w:r w:rsidRPr="005D1227">
              <w:rPr>
                <w:rFonts w:cs="Arial"/>
                <w:color w:val="000000"/>
                <w:szCs w:val="16"/>
              </w:rPr>
              <w:t> </w:t>
            </w:r>
          </w:p>
        </w:tc>
      </w:tr>
      <w:tr w:rsidR="00C808B7" w:rsidRPr="002647F6" w14:paraId="4A928E70" w14:textId="77777777" w:rsidTr="00724953">
        <w:trPr>
          <w:trHeight w:val="225"/>
        </w:trPr>
        <w:tc>
          <w:tcPr>
            <w:tcW w:w="3544" w:type="dxa"/>
            <w:shd w:val="clear" w:color="000000" w:fill="FFFFFF"/>
            <w:noWrap/>
            <w:vAlign w:val="center"/>
            <w:hideMark/>
          </w:tcPr>
          <w:p w14:paraId="1277A182" w14:textId="77777777" w:rsidR="00C808B7" w:rsidRPr="005D1227" w:rsidRDefault="00C808B7" w:rsidP="00F01FDB">
            <w:pPr>
              <w:pStyle w:val="TableTextLeft"/>
              <w:rPr>
                <w:rFonts w:cs="Arial"/>
                <w:color w:val="000000"/>
                <w:szCs w:val="16"/>
              </w:rPr>
            </w:pPr>
            <w:r w:rsidRPr="005D1227">
              <w:rPr>
                <w:rFonts w:cs="Arial"/>
                <w:color w:val="000000"/>
                <w:szCs w:val="16"/>
              </w:rPr>
              <w:t>Taxes received</w:t>
            </w:r>
          </w:p>
        </w:tc>
        <w:tc>
          <w:tcPr>
            <w:tcW w:w="677" w:type="dxa"/>
            <w:shd w:val="clear" w:color="000000" w:fill="FFFFFF"/>
            <w:noWrap/>
            <w:vAlign w:val="center"/>
            <w:hideMark/>
          </w:tcPr>
          <w:p w14:paraId="127BBBE4" w14:textId="490B2B6B" w:rsidR="00C808B7" w:rsidRPr="005D1227" w:rsidRDefault="00C808B7" w:rsidP="00DC307C">
            <w:pPr>
              <w:pStyle w:val="TableTextRight"/>
              <w:rPr>
                <w:rFonts w:cs="Arial"/>
                <w:color w:val="000000"/>
                <w:szCs w:val="16"/>
              </w:rPr>
            </w:pPr>
            <w:r w:rsidRPr="005D1227">
              <w:rPr>
                <w:rFonts w:cs="Arial"/>
                <w:color w:val="000000"/>
                <w:szCs w:val="16"/>
              </w:rPr>
              <w:t>638,750</w:t>
            </w:r>
          </w:p>
        </w:tc>
        <w:tc>
          <w:tcPr>
            <w:tcW w:w="873" w:type="dxa"/>
            <w:shd w:val="clear" w:color="000000" w:fill="E6F2FF"/>
            <w:noWrap/>
            <w:vAlign w:val="center"/>
            <w:hideMark/>
          </w:tcPr>
          <w:p w14:paraId="2FE3CE21" w14:textId="69600FB0" w:rsidR="00C808B7" w:rsidRPr="005D1227" w:rsidRDefault="00C808B7" w:rsidP="00DC307C">
            <w:pPr>
              <w:pStyle w:val="TableTextRight"/>
              <w:rPr>
                <w:rFonts w:cs="Arial"/>
                <w:color w:val="000000"/>
                <w:szCs w:val="16"/>
              </w:rPr>
            </w:pPr>
            <w:r w:rsidRPr="005D1227">
              <w:rPr>
                <w:rFonts w:cs="Arial"/>
                <w:color w:val="000000"/>
                <w:szCs w:val="16"/>
              </w:rPr>
              <w:t>642,542</w:t>
            </w:r>
          </w:p>
        </w:tc>
        <w:tc>
          <w:tcPr>
            <w:tcW w:w="872" w:type="dxa"/>
            <w:shd w:val="clear" w:color="000000" w:fill="FFFFFF"/>
            <w:noWrap/>
            <w:vAlign w:val="center"/>
            <w:hideMark/>
          </w:tcPr>
          <w:p w14:paraId="51679996" w14:textId="2547C9FB" w:rsidR="00C808B7" w:rsidRPr="005D1227" w:rsidRDefault="00C808B7" w:rsidP="00DC307C">
            <w:pPr>
              <w:pStyle w:val="TableTextRight"/>
              <w:rPr>
                <w:rFonts w:cs="Arial"/>
                <w:color w:val="000000"/>
                <w:szCs w:val="16"/>
              </w:rPr>
            </w:pPr>
            <w:r w:rsidRPr="005D1227">
              <w:rPr>
                <w:rFonts w:cs="Arial"/>
                <w:color w:val="000000"/>
                <w:szCs w:val="16"/>
              </w:rPr>
              <w:t>661,583</w:t>
            </w:r>
          </w:p>
        </w:tc>
        <w:tc>
          <w:tcPr>
            <w:tcW w:w="873" w:type="dxa"/>
            <w:shd w:val="clear" w:color="000000" w:fill="FFFFFF"/>
            <w:noWrap/>
            <w:vAlign w:val="center"/>
            <w:hideMark/>
          </w:tcPr>
          <w:p w14:paraId="0E7BE1EB" w14:textId="343C55F5" w:rsidR="00C808B7" w:rsidRPr="005D1227" w:rsidRDefault="00C808B7" w:rsidP="00DC307C">
            <w:pPr>
              <w:pStyle w:val="TableTextRight"/>
              <w:rPr>
                <w:rFonts w:cs="Arial"/>
                <w:color w:val="000000"/>
                <w:szCs w:val="16"/>
              </w:rPr>
            </w:pPr>
            <w:r w:rsidRPr="005D1227">
              <w:rPr>
                <w:rFonts w:cs="Arial"/>
                <w:color w:val="000000"/>
                <w:szCs w:val="16"/>
              </w:rPr>
              <w:t>702,278</w:t>
            </w:r>
          </w:p>
        </w:tc>
        <w:tc>
          <w:tcPr>
            <w:tcW w:w="872" w:type="dxa"/>
            <w:shd w:val="clear" w:color="000000" w:fill="FFFFFF"/>
            <w:noWrap/>
            <w:vAlign w:val="center"/>
            <w:hideMark/>
          </w:tcPr>
          <w:p w14:paraId="4196A05B" w14:textId="50D67B54" w:rsidR="00C808B7" w:rsidRPr="005D1227" w:rsidRDefault="00C808B7" w:rsidP="00DC307C">
            <w:pPr>
              <w:pStyle w:val="TableTextRight"/>
              <w:rPr>
                <w:rFonts w:cs="Arial"/>
                <w:color w:val="000000"/>
                <w:szCs w:val="16"/>
              </w:rPr>
            </w:pPr>
            <w:r w:rsidRPr="005D1227">
              <w:rPr>
                <w:rFonts w:cs="Arial"/>
                <w:color w:val="000000"/>
                <w:szCs w:val="16"/>
              </w:rPr>
              <w:t>742,299</w:t>
            </w:r>
          </w:p>
        </w:tc>
      </w:tr>
      <w:tr w:rsidR="00C808B7" w:rsidRPr="002647F6" w14:paraId="451D7BE5" w14:textId="77777777" w:rsidTr="00724953">
        <w:trPr>
          <w:trHeight w:val="225"/>
        </w:trPr>
        <w:tc>
          <w:tcPr>
            <w:tcW w:w="3544" w:type="dxa"/>
            <w:shd w:val="clear" w:color="000000" w:fill="FFFFFF"/>
            <w:noWrap/>
            <w:vAlign w:val="center"/>
            <w:hideMark/>
          </w:tcPr>
          <w:p w14:paraId="736F2E2F" w14:textId="77777777" w:rsidR="00C808B7" w:rsidRPr="005D1227" w:rsidRDefault="00C808B7" w:rsidP="00F01FDB">
            <w:pPr>
              <w:pStyle w:val="TableTextLeft"/>
              <w:rPr>
                <w:rFonts w:cs="Arial"/>
                <w:color w:val="000000"/>
                <w:szCs w:val="16"/>
              </w:rPr>
            </w:pPr>
            <w:r w:rsidRPr="005D1227">
              <w:rPr>
                <w:rFonts w:cs="Arial"/>
                <w:color w:val="000000"/>
                <w:szCs w:val="16"/>
              </w:rPr>
              <w:t>Receipts from sales of goods and services</w:t>
            </w:r>
          </w:p>
        </w:tc>
        <w:tc>
          <w:tcPr>
            <w:tcW w:w="677" w:type="dxa"/>
            <w:shd w:val="clear" w:color="000000" w:fill="FFFFFF"/>
            <w:noWrap/>
            <w:vAlign w:val="center"/>
            <w:hideMark/>
          </w:tcPr>
          <w:p w14:paraId="0B4BB691" w14:textId="52F697A8" w:rsidR="00C808B7" w:rsidRPr="005D1227" w:rsidRDefault="00C808B7" w:rsidP="00DC307C">
            <w:pPr>
              <w:pStyle w:val="TableTextRight"/>
              <w:rPr>
                <w:rFonts w:cs="Arial"/>
                <w:color w:val="000000"/>
                <w:szCs w:val="16"/>
              </w:rPr>
            </w:pPr>
            <w:r w:rsidRPr="005D1227">
              <w:rPr>
                <w:rFonts w:cs="Arial"/>
                <w:color w:val="000000"/>
                <w:szCs w:val="16"/>
              </w:rPr>
              <w:t>19,938</w:t>
            </w:r>
          </w:p>
        </w:tc>
        <w:tc>
          <w:tcPr>
            <w:tcW w:w="873" w:type="dxa"/>
            <w:shd w:val="clear" w:color="000000" w:fill="E6F2FF"/>
            <w:noWrap/>
            <w:vAlign w:val="center"/>
            <w:hideMark/>
          </w:tcPr>
          <w:p w14:paraId="72A784F5" w14:textId="78F9A2A9" w:rsidR="00C808B7" w:rsidRPr="005D1227" w:rsidRDefault="00C808B7" w:rsidP="00DC307C">
            <w:pPr>
              <w:pStyle w:val="TableTextRight"/>
              <w:rPr>
                <w:rFonts w:cs="Arial"/>
                <w:color w:val="000000"/>
                <w:szCs w:val="16"/>
              </w:rPr>
            </w:pPr>
            <w:r w:rsidRPr="005D1227">
              <w:rPr>
                <w:rFonts w:cs="Arial"/>
                <w:color w:val="000000"/>
                <w:szCs w:val="16"/>
              </w:rPr>
              <w:t>21,396</w:t>
            </w:r>
          </w:p>
        </w:tc>
        <w:tc>
          <w:tcPr>
            <w:tcW w:w="872" w:type="dxa"/>
            <w:shd w:val="clear" w:color="000000" w:fill="FFFFFF"/>
            <w:noWrap/>
            <w:vAlign w:val="center"/>
            <w:hideMark/>
          </w:tcPr>
          <w:p w14:paraId="1FA49242" w14:textId="4E38A11F" w:rsidR="00C808B7" w:rsidRPr="005D1227" w:rsidRDefault="00C808B7" w:rsidP="00DC307C">
            <w:pPr>
              <w:pStyle w:val="TableTextRight"/>
              <w:rPr>
                <w:rFonts w:cs="Arial"/>
                <w:color w:val="000000"/>
                <w:szCs w:val="16"/>
              </w:rPr>
            </w:pPr>
            <w:r w:rsidRPr="005D1227">
              <w:rPr>
                <w:rFonts w:cs="Arial"/>
                <w:color w:val="000000"/>
                <w:szCs w:val="16"/>
              </w:rPr>
              <w:t>22,549</w:t>
            </w:r>
          </w:p>
        </w:tc>
        <w:tc>
          <w:tcPr>
            <w:tcW w:w="873" w:type="dxa"/>
            <w:shd w:val="clear" w:color="000000" w:fill="FFFFFF"/>
            <w:noWrap/>
            <w:vAlign w:val="center"/>
            <w:hideMark/>
          </w:tcPr>
          <w:p w14:paraId="078BAD25" w14:textId="6453C3B0" w:rsidR="00C808B7" w:rsidRPr="005D1227" w:rsidRDefault="00C808B7" w:rsidP="00DC307C">
            <w:pPr>
              <w:pStyle w:val="TableTextRight"/>
              <w:rPr>
                <w:rFonts w:cs="Arial"/>
                <w:color w:val="000000"/>
                <w:szCs w:val="16"/>
              </w:rPr>
            </w:pPr>
            <w:r w:rsidRPr="005D1227">
              <w:rPr>
                <w:rFonts w:cs="Arial"/>
                <w:color w:val="000000"/>
                <w:szCs w:val="16"/>
              </w:rPr>
              <w:t>23,506</w:t>
            </w:r>
          </w:p>
        </w:tc>
        <w:tc>
          <w:tcPr>
            <w:tcW w:w="872" w:type="dxa"/>
            <w:shd w:val="clear" w:color="000000" w:fill="FFFFFF"/>
            <w:noWrap/>
            <w:vAlign w:val="center"/>
            <w:hideMark/>
          </w:tcPr>
          <w:p w14:paraId="147E1CA4" w14:textId="69B47940" w:rsidR="00C808B7" w:rsidRPr="005D1227" w:rsidRDefault="00C808B7" w:rsidP="00DC307C">
            <w:pPr>
              <w:pStyle w:val="TableTextRight"/>
              <w:rPr>
                <w:rFonts w:cs="Arial"/>
                <w:color w:val="000000"/>
                <w:szCs w:val="16"/>
              </w:rPr>
            </w:pPr>
            <w:r w:rsidRPr="005D1227">
              <w:rPr>
                <w:rFonts w:cs="Arial"/>
                <w:color w:val="000000"/>
                <w:szCs w:val="16"/>
              </w:rPr>
              <w:t>23,888</w:t>
            </w:r>
          </w:p>
        </w:tc>
      </w:tr>
      <w:tr w:rsidR="00C808B7" w:rsidRPr="002647F6" w14:paraId="7A15A47A" w14:textId="77777777" w:rsidTr="00724953">
        <w:trPr>
          <w:trHeight w:val="225"/>
        </w:trPr>
        <w:tc>
          <w:tcPr>
            <w:tcW w:w="3544" w:type="dxa"/>
            <w:shd w:val="clear" w:color="000000" w:fill="FFFFFF"/>
            <w:noWrap/>
            <w:vAlign w:val="center"/>
            <w:hideMark/>
          </w:tcPr>
          <w:p w14:paraId="1726E280" w14:textId="77777777" w:rsidR="00C808B7" w:rsidRPr="005D1227" w:rsidRDefault="00C808B7" w:rsidP="00F01FDB">
            <w:pPr>
              <w:pStyle w:val="TableTextLeft"/>
              <w:rPr>
                <w:rFonts w:cs="Arial"/>
                <w:color w:val="000000"/>
                <w:szCs w:val="16"/>
              </w:rPr>
            </w:pPr>
            <w:r w:rsidRPr="005D1227">
              <w:rPr>
                <w:rFonts w:cs="Arial"/>
                <w:color w:val="000000"/>
                <w:szCs w:val="16"/>
              </w:rPr>
              <w:t>Interest receipts</w:t>
            </w:r>
          </w:p>
        </w:tc>
        <w:tc>
          <w:tcPr>
            <w:tcW w:w="677" w:type="dxa"/>
            <w:shd w:val="clear" w:color="000000" w:fill="FFFFFF"/>
            <w:noWrap/>
            <w:vAlign w:val="center"/>
            <w:hideMark/>
          </w:tcPr>
          <w:p w14:paraId="49CC07F7" w14:textId="4B47438B" w:rsidR="00C808B7" w:rsidRPr="005D1227" w:rsidRDefault="00C808B7" w:rsidP="00DC307C">
            <w:pPr>
              <w:pStyle w:val="TableTextRight"/>
              <w:rPr>
                <w:rFonts w:cs="Arial"/>
                <w:color w:val="000000"/>
                <w:szCs w:val="16"/>
              </w:rPr>
            </w:pPr>
            <w:r w:rsidRPr="005D1227">
              <w:rPr>
                <w:rFonts w:cs="Arial"/>
                <w:color w:val="000000"/>
                <w:szCs w:val="16"/>
              </w:rPr>
              <w:t>10,404</w:t>
            </w:r>
          </w:p>
        </w:tc>
        <w:tc>
          <w:tcPr>
            <w:tcW w:w="873" w:type="dxa"/>
            <w:shd w:val="clear" w:color="000000" w:fill="E6F2FF"/>
            <w:noWrap/>
            <w:vAlign w:val="center"/>
            <w:hideMark/>
          </w:tcPr>
          <w:p w14:paraId="335A62CD" w14:textId="2A5548C3" w:rsidR="00C808B7" w:rsidRPr="005D1227" w:rsidRDefault="00C808B7" w:rsidP="00DC307C">
            <w:pPr>
              <w:pStyle w:val="TableTextRight"/>
              <w:rPr>
                <w:rFonts w:cs="Arial"/>
                <w:color w:val="000000"/>
                <w:szCs w:val="16"/>
              </w:rPr>
            </w:pPr>
            <w:r w:rsidRPr="005D1227">
              <w:rPr>
                <w:rFonts w:cs="Arial"/>
                <w:color w:val="000000"/>
                <w:szCs w:val="16"/>
              </w:rPr>
              <w:t>9,275</w:t>
            </w:r>
          </w:p>
        </w:tc>
        <w:tc>
          <w:tcPr>
            <w:tcW w:w="872" w:type="dxa"/>
            <w:shd w:val="clear" w:color="000000" w:fill="FFFFFF"/>
            <w:noWrap/>
            <w:vAlign w:val="center"/>
            <w:hideMark/>
          </w:tcPr>
          <w:p w14:paraId="2D8D24AC" w14:textId="1F7EA1D2" w:rsidR="00C808B7" w:rsidRPr="005D1227" w:rsidRDefault="00C808B7" w:rsidP="00DC307C">
            <w:pPr>
              <w:pStyle w:val="TableTextRight"/>
              <w:rPr>
                <w:rFonts w:cs="Arial"/>
                <w:color w:val="000000"/>
                <w:szCs w:val="16"/>
              </w:rPr>
            </w:pPr>
            <w:r w:rsidRPr="005D1227">
              <w:rPr>
                <w:rFonts w:cs="Arial"/>
                <w:color w:val="000000"/>
                <w:szCs w:val="16"/>
              </w:rPr>
              <w:t>8,705</w:t>
            </w:r>
          </w:p>
        </w:tc>
        <w:tc>
          <w:tcPr>
            <w:tcW w:w="873" w:type="dxa"/>
            <w:shd w:val="clear" w:color="000000" w:fill="FFFFFF"/>
            <w:noWrap/>
            <w:vAlign w:val="center"/>
            <w:hideMark/>
          </w:tcPr>
          <w:p w14:paraId="1AC497EE" w14:textId="62A14DAE" w:rsidR="00C808B7" w:rsidRPr="005D1227" w:rsidRDefault="00C808B7" w:rsidP="00DC307C">
            <w:pPr>
              <w:pStyle w:val="TableTextRight"/>
              <w:rPr>
                <w:rFonts w:cs="Arial"/>
                <w:color w:val="000000"/>
                <w:szCs w:val="16"/>
              </w:rPr>
            </w:pPr>
            <w:r w:rsidRPr="005D1227">
              <w:rPr>
                <w:rFonts w:cs="Arial"/>
                <w:color w:val="000000"/>
                <w:szCs w:val="16"/>
              </w:rPr>
              <w:t>9,051</w:t>
            </w:r>
          </w:p>
        </w:tc>
        <w:tc>
          <w:tcPr>
            <w:tcW w:w="872" w:type="dxa"/>
            <w:shd w:val="clear" w:color="000000" w:fill="FFFFFF"/>
            <w:noWrap/>
            <w:vAlign w:val="center"/>
            <w:hideMark/>
          </w:tcPr>
          <w:p w14:paraId="030536D8" w14:textId="39804B27" w:rsidR="00C808B7" w:rsidRPr="005D1227" w:rsidRDefault="00C808B7" w:rsidP="00DC307C">
            <w:pPr>
              <w:pStyle w:val="TableTextRight"/>
              <w:rPr>
                <w:rFonts w:cs="Arial"/>
                <w:color w:val="000000"/>
                <w:szCs w:val="16"/>
              </w:rPr>
            </w:pPr>
            <w:r w:rsidRPr="005D1227">
              <w:rPr>
                <w:rFonts w:cs="Arial"/>
                <w:color w:val="000000"/>
                <w:szCs w:val="16"/>
              </w:rPr>
              <w:t>9,591</w:t>
            </w:r>
          </w:p>
        </w:tc>
      </w:tr>
      <w:tr w:rsidR="002647F6" w:rsidRPr="002647F6" w14:paraId="40472D4D" w14:textId="77777777" w:rsidTr="00724953">
        <w:trPr>
          <w:trHeight w:val="225"/>
        </w:trPr>
        <w:tc>
          <w:tcPr>
            <w:tcW w:w="3544" w:type="dxa"/>
            <w:shd w:val="clear" w:color="000000" w:fill="FFFFFF"/>
            <w:noWrap/>
            <w:vAlign w:val="center"/>
            <w:hideMark/>
          </w:tcPr>
          <w:p w14:paraId="2B53DC60" w14:textId="77777777" w:rsidR="002647F6" w:rsidRPr="005D1227" w:rsidRDefault="002647F6" w:rsidP="00F01FDB">
            <w:pPr>
              <w:pStyle w:val="TableTextLeft"/>
              <w:rPr>
                <w:rFonts w:cs="Arial"/>
                <w:color w:val="000000"/>
                <w:szCs w:val="16"/>
              </w:rPr>
            </w:pPr>
            <w:r w:rsidRPr="005D1227">
              <w:rPr>
                <w:rFonts w:cs="Arial"/>
                <w:color w:val="000000"/>
                <w:szCs w:val="16"/>
              </w:rPr>
              <w:t>Dividends, distributions and</w:t>
            </w:r>
          </w:p>
        </w:tc>
        <w:tc>
          <w:tcPr>
            <w:tcW w:w="677" w:type="dxa"/>
            <w:shd w:val="clear" w:color="000000" w:fill="FFFFFF"/>
            <w:noWrap/>
            <w:vAlign w:val="center"/>
            <w:hideMark/>
          </w:tcPr>
          <w:p w14:paraId="4B3A299D"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3" w:type="dxa"/>
            <w:shd w:val="clear" w:color="000000" w:fill="E6F2FF"/>
            <w:noWrap/>
            <w:vAlign w:val="center"/>
            <w:hideMark/>
          </w:tcPr>
          <w:p w14:paraId="115B449B"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2" w:type="dxa"/>
            <w:shd w:val="clear" w:color="000000" w:fill="FFFFFF"/>
            <w:noWrap/>
            <w:vAlign w:val="center"/>
            <w:hideMark/>
          </w:tcPr>
          <w:p w14:paraId="7563963E"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3" w:type="dxa"/>
            <w:shd w:val="clear" w:color="000000" w:fill="FFFFFF"/>
            <w:noWrap/>
            <w:vAlign w:val="center"/>
            <w:hideMark/>
          </w:tcPr>
          <w:p w14:paraId="0887C19C"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2" w:type="dxa"/>
            <w:shd w:val="clear" w:color="000000" w:fill="FFFFFF"/>
            <w:noWrap/>
            <w:vAlign w:val="center"/>
            <w:hideMark/>
          </w:tcPr>
          <w:p w14:paraId="5B1B4587" w14:textId="77777777" w:rsidR="002647F6" w:rsidRPr="005D1227" w:rsidRDefault="002647F6" w:rsidP="00DC307C">
            <w:pPr>
              <w:pStyle w:val="TableTextRight"/>
              <w:rPr>
                <w:rFonts w:cs="Arial"/>
                <w:color w:val="000000"/>
                <w:szCs w:val="16"/>
              </w:rPr>
            </w:pPr>
            <w:r w:rsidRPr="005D1227">
              <w:rPr>
                <w:rFonts w:cs="Arial"/>
                <w:color w:val="000000"/>
                <w:szCs w:val="16"/>
              </w:rPr>
              <w:t> </w:t>
            </w:r>
          </w:p>
        </w:tc>
      </w:tr>
      <w:tr w:rsidR="00C808B7" w:rsidRPr="002647F6" w14:paraId="3E86E655" w14:textId="77777777" w:rsidTr="00724953">
        <w:trPr>
          <w:trHeight w:val="225"/>
        </w:trPr>
        <w:tc>
          <w:tcPr>
            <w:tcW w:w="3544" w:type="dxa"/>
            <w:shd w:val="clear" w:color="000000" w:fill="FFFFFF"/>
            <w:noWrap/>
            <w:vAlign w:val="center"/>
            <w:hideMark/>
          </w:tcPr>
          <w:p w14:paraId="05A1B3F9" w14:textId="77777777" w:rsidR="00C808B7" w:rsidRPr="005D1227" w:rsidRDefault="00C808B7" w:rsidP="00F01FDB">
            <w:pPr>
              <w:pStyle w:val="TableTextIndented"/>
              <w:rPr>
                <w:rFonts w:cs="Arial"/>
                <w:szCs w:val="16"/>
              </w:rPr>
            </w:pPr>
            <w:r w:rsidRPr="005D1227">
              <w:rPr>
                <w:rFonts w:cs="Arial"/>
                <w:szCs w:val="16"/>
              </w:rPr>
              <w:t>income tax equivalents</w:t>
            </w:r>
          </w:p>
        </w:tc>
        <w:tc>
          <w:tcPr>
            <w:tcW w:w="677" w:type="dxa"/>
            <w:shd w:val="clear" w:color="000000" w:fill="FFFFFF"/>
            <w:noWrap/>
            <w:vAlign w:val="center"/>
            <w:hideMark/>
          </w:tcPr>
          <w:p w14:paraId="2782187F" w14:textId="454E29FA" w:rsidR="00C808B7" w:rsidRPr="005D1227" w:rsidRDefault="00C808B7" w:rsidP="00DC307C">
            <w:pPr>
              <w:pStyle w:val="TableTextRight"/>
              <w:rPr>
                <w:rFonts w:cs="Arial"/>
                <w:color w:val="000000"/>
                <w:szCs w:val="16"/>
              </w:rPr>
            </w:pPr>
            <w:r w:rsidRPr="005D1227">
              <w:rPr>
                <w:rFonts w:cs="Arial"/>
                <w:color w:val="000000"/>
                <w:szCs w:val="16"/>
              </w:rPr>
              <w:t>5,918</w:t>
            </w:r>
          </w:p>
        </w:tc>
        <w:tc>
          <w:tcPr>
            <w:tcW w:w="873" w:type="dxa"/>
            <w:shd w:val="clear" w:color="000000" w:fill="E6F2FF"/>
            <w:noWrap/>
            <w:vAlign w:val="center"/>
            <w:hideMark/>
          </w:tcPr>
          <w:p w14:paraId="44F28D17" w14:textId="27F39CF5" w:rsidR="00C808B7" w:rsidRPr="005D1227" w:rsidRDefault="00C808B7" w:rsidP="00DC307C">
            <w:pPr>
              <w:pStyle w:val="TableTextRight"/>
              <w:rPr>
                <w:rFonts w:cs="Arial"/>
                <w:color w:val="000000"/>
                <w:szCs w:val="16"/>
              </w:rPr>
            </w:pPr>
            <w:r w:rsidRPr="005D1227">
              <w:rPr>
                <w:rFonts w:cs="Arial"/>
                <w:color w:val="000000"/>
                <w:szCs w:val="16"/>
              </w:rPr>
              <w:t>6,789</w:t>
            </w:r>
          </w:p>
        </w:tc>
        <w:tc>
          <w:tcPr>
            <w:tcW w:w="872" w:type="dxa"/>
            <w:shd w:val="clear" w:color="000000" w:fill="FFFFFF"/>
            <w:noWrap/>
            <w:vAlign w:val="center"/>
            <w:hideMark/>
          </w:tcPr>
          <w:p w14:paraId="281B73BD" w14:textId="7402DC02" w:rsidR="00C808B7" w:rsidRPr="005D1227" w:rsidRDefault="00C808B7" w:rsidP="00DC307C">
            <w:pPr>
              <w:pStyle w:val="TableTextRight"/>
              <w:rPr>
                <w:rFonts w:cs="Arial"/>
                <w:color w:val="000000"/>
                <w:szCs w:val="16"/>
              </w:rPr>
            </w:pPr>
            <w:r w:rsidRPr="005D1227">
              <w:rPr>
                <w:rFonts w:cs="Arial"/>
                <w:color w:val="000000"/>
                <w:szCs w:val="16"/>
              </w:rPr>
              <w:t>7,160</w:t>
            </w:r>
          </w:p>
        </w:tc>
        <w:tc>
          <w:tcPr>
            <w:tcW w:w="873" w:type="dxa"/>
            <w:shd w:val="clear" w:color="000000" w:fill="FFFFFF"/>
            <w:noWrap/>
            <w:vAlign w:val="center"/>
            <w:hideMark/>
          </w:tcPr>
          <w:p w14:paraId="4033DEF8" w14:textId="3E487C2C" w:rsidR="00C808B7" w:rsidRPr="005D1227" w:rsidRDefault="00C808B7" w:rsidP="00DC307C">
            <w:pPr>
              <w:pStyle w:val="TableTextRight"/>
              <w:rPr>
                <w:rFonts w:cs="Arial"/>
                <w:color w:val="000000"/>
                <w:szCs w:val="16"/>
              </w:rPr>
            </w:pPr>
            <w:r w:rsidRPr="005D1227">
              <w:rPr>
                <w:rFonts w:cs="Arial"/>
                <w:color w:val="000000"/>
                <w:szCs w:val="16"/>
              </w:rPr>
              <w:t>7,522</w:t>
            </w:r>
          </w:p>
        </w:tc>
        <w:tc>
          <w:tcPr>
            <w:tcW w:w="872" w:type="dxa"/>
            <w:shd w:val="clear" w:color="000000" w:fill="FFFFFF"/>
            <w:noWrap/>
            <w:vAlign w:val="center"/>
            <w:hideMark/>
          </w:tcPr>
          <w:p w14:paraId="20FDAA9C" w14:textId="41EAFFA9" w:rsidR="00C808B7" w:rsidRPr="005D1227" w:rsidRDefault="00C808B7" w:rsidP="00DC307C">
            <w:pPr>
              <w:pStyle w:val="TableTextRight"/>
              <w:rPr>
                <w:rFonts w:cs="Arial"/>
                <w:color w:val="000000"/>
                <w:szCs w:val="16"/>
              </w:rPr>
            </w:pPr>
            <w:r w:rsidRPr="005D1227">
              <w:rPr>
                <w:rFonts w:cs="Arial"/>
                <w:color w:val="000000"/>
                <w:szCs w:val="16"/>
              </w:rPr>
              <w:t>8,001</w:t>
            </w:r>
          </w:p>
        </w:tc>
      </w:tr>
      <w:tr w:rsidR="00C808B7" w:rsidRPr="002647F6" w14:paraId="0398A9AE" w14:textId="77777777" w:rsidTr="00724953">
        <w:trPr>
          <w:trHeight w:val="225"/>
        </w:trPr>
        <w:tc>
          <w:tcPr>
            <w:tcW w:w="3544" w:type="dxa"/>
            <w:shd w:val="clear" w:color="000000" w:fill="FFFFFF"/>
            <w:noWrap/>
            <w:vAlign w:val="center"/>
            <w:hideMark/>
          </w:tcPr>
          <w:p w14:paraId="583F258A" w14:textId="77777777" w:rsidR="00C808B7" w:rsidRPr="005D1227" w:rsidRDefault="00C808B7" w:rsidP="00F01FDB">
            <w:pPr>
              <w:pStyle w:val="TableTextLeft"/>
              <w:rPr>
                <w:rFonts w:cs="Arial"/>
                <w:color w:val="000000"/>
                <w:szCs w:val="16"/>
              </w:rPr>
            </w:pPr>
            <w:r w:rsidRPr="005D1227">
              <w:rPr>
                <w:rFonts w:cs="Arial"/>
                <w:color w:val="000000"/>
                <w:szCs w:val="16"/>
              </w:rPr>
              <w:t>Other receipts</w:t>
            </w:r>
          </w:p>
        </w:tc>
        <w:tc>
          <w:tcPr>
            <w:tcW w:w="677" w:type="dxa"/>
            <w:shd w:val="clear" w:color="000000" w:fill="FFFFFF"/>
            <w:noWrap/>
            <w:vAlign w:val="center"/>
            <w:hideMark/>
          </w:tcPr>
          <w:p w14:paraId="09901719" w14:textId="24DD0EA9" w:rsidR="00C808B7" w:rsidRPr="005D1227" w:rsidRDefault="00C808B7" w:rsidP="00DC307C">
            <w:pPr>
              <w:pStyle w:val="TableTextRight"/>
              <w:rPr>
                <w:rFonts w:cs="Arial"/>
                <w:color w:val="000000"/>
                <w:szCs w:val="16"/>
              </w:rPr>
            </w:pPr>
            <w:r w:rsidRPr="005D1227">
              <w:rPr>
                <w:rFonts w:cs="Arial"/>
                <w:color w:val="000000"/>
                <w:szCs w:val="16"/>
              </w:rPr>
              <w:t>14,298</w:t>
            </w:r>
          </w:p>
        </w:tc>
        <w:tc>
          <w:tcPr>
            <w:tcW w:w="873" w:type="dxa"/>
            <w:shd w:val="clear" w:color="000000" w:fill="E6F2FF"/>
            <w:noWrap/>
            <w:vAlign w:val="center"/>
            <w:hideMark/>
          </w:tcPr>
          <w:p w14:paraId="77D2C623" w14:textId="33EAE722" w:rsidR="00C808B7" w:rsidRPr="005D1227" w:rsidRDefault="00C808B7" w:rsidP="00DC307C">
            <w:pPr>
              <w:pStyle w:val="TableTextRight"/>
              <w:rPr>
                <w:rFonts w:cs="Arial"/>
                <w:color w:val="000000"/>
                <w:szCs w:val="16"/>
              </w:rPr>
            </w:pPr>
            <w:r w:rsidRPr="005D1227">
              <w:rPr>
                <w:rFonts w:cs="Arial"/>
                <w:color w:val="000000"/>
                <w:szCs w:val="16"/>
              </w:rPr>
              <w:t>18,231</w:t>
            </w:r>
          </w:p>
        </w:tc>
        <w:tc>
          <w:tcPr>
            <w:tcW w:w="872" w:type="dxa"/>
            <w:shd w:val="clear" w:color="000000" w:fill="FFFFFF"/>
            <w:noWrap/>
            <w:vAlign w:val="center"/>
            <w:hideMark/>
          </w:tcPr>
          <w:p w14:paraId="6C08256C" w14:textId="21C4C664" w:rsidR="00C808B7" w:rsidRPr="005D1227" w:rsidRDefault="00C808B7" w:rsidP="00DC307C">
            <w:pPr>
              <w:pStyle w:val="TableTextRight"/>
              <w:rPr>
                <w:rFonts w:cs="Arial"/>
                <w:color w:val="000000"/>
                <w:szCs w:val="16"/>
              </w:rPr>
            </w:pPr>
            <w:r w:rsidRPr="005D1227">
              <w:rPr>
                <w:rFonts w:cs="Arial"/>
                <w:color w:val="000000"/>
                <w:szCs w:val="16"/>
              </w:rPr>
              <w:t>19,118</w:t>
            </w:r>
          </w:p>
        </w:tc>
        <w:tc>
          <w:tcPr>
            <w:tcW w:w="873" w:type="dxa"/>
            <w:shd w:val="clear" w:color="000000" w:fill="FFFFFF"/>
            <w:noWrap/>
            <w:vAlign w:val="center"/>
            <w:hideMark/>
          </w:tcPr>
          <w:p w14:paraId="0F90920E" w14:textId="16EF9655" w:rsidR="00C808B7" w:rsidRPr="005D1227" w:rsidRDefault="00C808B7" w:rsidP="00DC307C">
            <w:pPr>
              <w:pStyle w:val="TableTextRight"/>
              <w:rPr>
                <w:rFonts w:cs="Arial"/>
                <w:color w:val="000000"/>
                <w:szCs w:val="16"/>
              </w:rPr>
            </w:pPr>
            <w:r w:rsidRPr="005D1227">
              <w:rPr>
                <w:rFonts w:cs="Arial"/>
                <w:color w:val="000000"/>
                <w:szCs w:val="16"/>
              </w:rPr>
              <w:t>17,611</w:t>
            </w:r>
          </w:p>
        </w:tc>
        <w:tc>
          <w:tcPr>
            <w:tcW w:w="872" w:type="dxa"/>
            <w:shd w:val="clear" w:color="000000" w:fill="FFFFFF"/>
            <w:noWrap/>
            <w:vAlign w:val="center"/>
            <w:hideMark/>
          </w:tcPr>
          <w:p w14:paraId="383FD344" w14:textId="0C3F77C8" w:rsidR="00C808B7" w:rsidRPr="005D1227" w:rsidRDefault="00C808B7" w:rsidP="00DC307C">
            <w:pPr>
              <w:pStyle w:val="TableTextRight"/>
              <w:rPr>
                <w:rFonts w:cs="Arial"/>
                <w:color w:val="000000"/>
                <w:szCs w:val="16"/>
              </w:rPr>
            </w:pPr>
            <w:r w:rsidRPr="005D1227">
              <w:rPr>
                <w:rFonts w:cs="Arial"/>
                <w:color w:val="000000"/>
                <w:szCs w:val="16"/>
              </w:rPr>
              <w:t>17,880</w:t>
            </w:r>
          </w:p>
        </w:tc>
      </w:tr>
      <w:tr w:rsidR="00C808B7" w:rsidRPr="002647F6" w14:paraId="0352B5E3" w14:textId="77777777" w:rsidTr="00724953">
        <w:trPr>
          <w:trHeight w:val="225"/>
        </w:trPr>
        <w:tc>
          <w:tcPr>
            <w:tcW w:w="3544" w:type="dxa"/>
            <w:shd w:val="clear" w:color="000000" w:fill="FFFFFF"/>
            <w:noWrap/>
            <w:vAlign w:val="center"/>
            <w:hideMark/>
          </w:tcPr>
          <w:p w14:paraId="12B220C0" w14:textId="77777777" w:rsidR="00C808B7" w:rsidRPr="005D1227" w:rsidRDefault="00C808B7" w:rsidP="00F01FDB">
            <w:pPr>
              <w:pStyle w:val="TableTextLeft"/>
              <w:rPr>
                <w:rFonts w:cs="Arial"/>
                <w:b/>
                <w:color w:val="000000"/>
                <w:szCs w:val="16"/>
              </w:rPr>
            </w:pPr>
            <w:r w:rsidRPr="005D1227">
              <w:rPr>
                <w:rFonts w:cs="Arial"/>
                <w:b/>
                <w:color w:val="000000"/>
                <w:szCs w:val="16"/>
              </w:rPr>
              <w:t>Total operating receipts</w:t>
            </w:r>
          </w:p>
        </w:tc>
        <w:tc>
          <w:tcPr>
            <w:tcW w:w="677" w:type="dxa"/>
            <w:shd w:val="clear" w:color="000000" w:fill="FFFFFF"/>
            <w:noWrap/>
            <w:vAlign w:val="center"/>
            <w:hideMark/>
          </w:tcPr>
          <w:p w14:paraId="569F237D" w14:textId="0EDB79A6" w:rsidR="00C808B7" w:rsidRPr="005D1227" w:rsidRDefault="00C808B7" w:rsidP="00DC307C">
            <w:pPr>
              <w:pStyle w:val="TableTextRight"/>
              <w:rPr>
                <w:rFonts w:cs="Arial"/>
                <w:b/>
                <w:color w:val="000000"/>
                <w:szCs w:val="16"/>
              </w:rPr>
            </w:pPr>
            <w:r w:rsidRPr="005D1227">
              <w:rPr>
                <w:rFonts w:cs="Arial"/>
                <w:b/>
                <w:color w:val="000000"/>
                <w:szCs w:val="16"/>
              </w:rPr>
              <w:t>689,309</w:t>
            </w:r>
          </w:p>
        </w:tc>
        <w:tc>
          <w:tcPr>
            <w:tcW w:w="873" w:type="dxa"/>
            <w:shd w:val="clear" w:color="000000" w:fill="E6F2FF"/>
            <w:noWrap/>
            <w:vAlign w:val="center"/>
            <w:hideMark/>
          </w:tcPr>
          <w:p w14:paraId="32216607" w14:textId="04F9B5F4" w:rsidR="00C808B7" w:rsidRPr="005D1227" w:rsidRDefault="00C808B7" w:rsidP="00DC307C">
            <w:pPr>
              <w:pStyle w:val="TableTextRight"/>
              <w:rPr>
                <w:rFonts w:cs="Arial"/>
                <w:b/>
                <w:color w:val="000000"/>
                <w:szCs w:val="16"/>
              </w:rPr>
            </w:pPr>
            <w:r w:rsidRPr="005D1227">
              <w:rPr>
                <w:rFonts w:cs="Arial"/>
                <w:b/>
                <w:color w:val="000000"/>
                <w:szCs w:val="16"/>
              </w:rPr>
              <w:t>698,233</w:t>
            </w:r>
          </w:p>
        </w:tc>
        <w:tc>
          <w:tcPr>
            <w:tcW w:w="872" w:type="dxa"/>
            <w:shd w:val="clear" w:color="000000" w:fill="FFFFFF"/>
            <w:noWrap/>
            <w:vAlign w:val="center"/>
            <w:hideMark/>
          </w:tcPr>
          <w:p w14:paraId="4653D86F" w14:textId="19B961D5" w:rsidR="00C808B7" w:rsidRPr="005D1227" w:rsidRDefault="00C808B7" w:rsidP="00DC307C">
            <w:pPr>
              <w:pStyle w:val="TableTextRight"/>
              <w:rPr>
                <w:rFonts w:cs="Arial"/>
                <w:b/>
                <w:color w:val="000000"/>
                <w:szCs w:val="16"/>
              </w:rPr>
            </w:pPr>
            <w:r w:rsidRPr="005D1227">
              <w:rPr>
                <w:rFonts w:cs="Arial"/>
                <w:b/>
                <w:color w:val="000000"/>
                <w:szCs w:val="16"/>
              </w:rPr>
              <w:t>719,114</w:t>
            </w:r>
          </w:p>
        </w:tc>
        <w:tc>
          <w:tcPr>
            <w:tcW w:w="873" w:type="dxa"/>
            <w:shd w:val="clear" w:color="000000" w:fill="FFFFFF"/>
            <w:noWrap/>
            <w:vAlign w:val="center"/>
            <w:hideMark/>
          </w:tcPr>
          <w:p w14:paraId="19A2F584" w14:textId="092C24C9" w:rsidR="00C808B7" w:rsidRPr="005D1227" w:rsidRDefault="00C808B7" w:rsidP="00DC307C">
            <w:pPr>
              <w:pStyle w:val="TableTextRight"/>
              <w:rPr>
                <w:rFonts w:cs="Arial"/>
                <w:b/>
                <w:color w:val="000000"/>
                <w:szCs w:val="16"/>
              </w:rPr>
            </w:pPr>
            <w:r w:rsidRPr="005D1227">
              <w:rPr>
                <w:rFonts w:cs="Arial"/>
                <w:b/>
                <w:color w:val="000000"/>
                <w:szCs w:val="16"/>
              </w:rPr>
              <w:t>759,968</w:t>
            </w:r>
          </w:p>
        </w:tc>
        <w:tc>
          <w:tcPr>
            <w:tcW w:w="872" w:type="dxa"/>
            <w:shd w:val="clear" w:color="000000" w:fill="FFFFFF"/>
            <w:noWrap/>
            <w:vAlign w:val="center"/>
            <w:hideMark/>
          </w:tcPr>
          <w:p w14:paraId="1BB17E9B" w14:textId="7A0DF3B4" w:rsidR="00C808B7" w:rsidRPr="005D1227" w:rsidRDefault="00C808B7" w:rsidP="00DC307C">
            <w:pPr>
              <w:pStyle w:val="TableTextRight"/>
              <w:rPr>
                <w:rFonts w:cs="Arial"/>
                <w:b/>
                <w:color w:val="000000"/>
                <w:szCs w:val="16"/>
              </w:rPr>
            </w:pPr>
            <w:r w:rsidRPr="005D1227">
              <w:rPr>
                <w:rFonts w:cs="Arial"/>
                <w:b/>
                <w:color w:val="000000"/>
                <w:szCs w:val="16"/>
              </w:rPr>
              <w:t>801,658</w:t>
            </w:r>
          </w:p>
        </w:tc>
      </w:tr>
      <w:tr w:rsidR="002647F6" w:rsidRPr="002647F6" w14:paraId="66BF9615" w14:textId="77777777" w:rsidTr="00724953">
        <w:trPr>
          <w:trHeight w:val="225"/>
        </w:trPr>
        <w:tc>
          <w:tcPr>
            <w:tcW w:w="3544" w:type="dxa"/>
            <w:shd w:val="clear" w:color="000000" w:fill="FFFFFF"/>
            <w:noWrap/>
            <w:vAlign w:val="center"/>
            <w:hideMark/>
          </w:tcPr>
          <w:p w14:paraId="28046CDC" w14:textId="77777777" w:rsidR="002647F6" w:rsidRPr="005D1227" w:rsidRDefault="002647F6" w:rsidP="00F01FDB">
            <w:pPr>
              <w:pStyle w:val="TableTextLeft"/>
              <w:rPr>
                <w:rFonts w:cs="Arial"/>
                <w:b/>
                <w:color w:val="000000"/>
                <w:szCs w:val="16"/>
              </w:rPr>
            </w:pPr>
            <w:r w:rsidRPr="005D1227">
              <w:rPr>
                <w:rFonts w:cs="Arial"/>
                <w:b/>
                <w:color w:val="000000"/>
                <w:szCs w:val="16"/>
              </w:rPr>
              <w:t>Cash payments for operating activities</w:t>
            </w:r>
          </w:p>
        </w:tc>
        <w:tc>
          <w:tcPr>
            <w:tcW w:w="677" w:type="dxa"/>
            <w:shd w:val="clear" w:color="000000" w:fill="FFFFFF"/>
            <w:noWrap/>
            <w:vAlign w:val="bottom"/>
            <w:hideMark/>
          </w:tcPr>
          <w:p w14:paraId="4CD0F14A"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bottom"/>
            <w:hideMark/>
          </w:tcPr>
          <w:p w14:paraId="06C574A9"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60192387"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bottom"/>
            <w:hideMark/>
          </w:tcPr>
          <w:p w14:paraId="3F74CB5C"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EAA4FAD" w14:textId="77777777" w:rsidR="002647F6" w:rsidRPr="005D1227" w:rsidRDefault="002647F6" w:rsidP="00DC307C">
            <w:pPr>
              <w:pStyle w:val="TableTextRight"/>
              <w:rPr>
                <w:rFonts w:cs="Arial"/>
                <w:szCs w:val="16"/>
              </w:rPr>
            </w:pPr>
            <w:r w:rsidRPr="005D1227">
              <w:rPr>
                <w:rFonts w:cs="Arial"/>
                <w:szCs w:val="16"/>
              </w:rPr>
              <w:t> </w:t>
            </w:r>
          </w:p>
        </w:tc>
      </w:tr>
      <w:tr w:rsidR="000E104A" w:rsidRPr="002647F6" w14:paraId="7C93DAE0" w14:textId="77777777" w:rsidTr="00724953">
        <w:trPr>
          <w:trHeight w:val="225"/>
        </w:trPr>
        <w:tc>
          <w:tcPr>
            <w:tcW w:w="3544" w:type="dxa"/>
            <w:shd w:val="clear" w:color="000000" w:fill="FFFFFF"/>
            <w:noWrap/>
            <w:vAlign w:val="center"/>
            <w:hideMark/>
          </w:tcPr>
          <w:p w14:paraId="5EED95BE" w14:textId="77777777" w:rsidR="000E104A" w:rsidRPr="005D1227" w:rsidRDefault="000E104A" w:rsidP="00F01FDB">
            <w:pPr>
              <w:pStyle w:val="TableTextLeft"/>
              <w:rPr>
                <w:rFonts w:cs="Arial"/>
                <w:color w:val="000000"/>
                <w:szCs w:val="16"/>
              </w:rPr>
            </w:pPr>
            <w:r w:rsidRPr="005D1227">
              <w:rPr>
                <w:rFonts w:cs="Arial"/>
                <w:color w:val="000000"/>
                <w:szCs w:val="16"/>
              </w:rPr>
              <w:t>Payments to employees(b)</w:t>
            </w:r>
          </w:p>
        </w:tc>
        <w:tc>
          <w:tcPr>
            <w:tcW w:w="677" w:type="dxa"/>
            <w:shd w:val="clear" w:color="000000" w:fill="FFFFFF"/>
            <w:noWrap/>
            <w:vAlign w:val="center"/>
            <w:hideMark/>
          </w:tcPr>
          <w:p w14:paraId="5B968C5D" w14:textId="5B7A084F"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43,641</w:t>
            </w:r>
          </w:p>
        </w:tc>
        <w:tc>
          <w:tcPr>
            <w:tcW w:w="873" w:type="dxa"/>
            <w:shd w:val="clear" w:color="000000" w:fill="E6F2FF"/>
            <w:noWrap/>
            <w:vAlign w:val="center"/>
            <w:hideMark/>
          </w:tcPr>
          <w:p w14:paraId="3993ACAB" w14:textId="00B24F25"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46,840</w:t>
            </w:r>
          </w:p>
        </w:tc>
        <w:tc>
          <w:tcPr>
            <w:tcW w:w="872" w:type="dxa"/>
            <w:shd w:val="clear" w:color="000000" w:fill="FFFFFF"/>
            <w:noWrap/>
            <w:vAlign w:val="center"/>
            <w:hideMark/>
          </w:tcPr>
          <w:p w14:paraId="7153F0A3" w14:textId="4626E3C1"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47,519</w:t>
            </w:r>
          </w:p>
        </w:tc>
        <w:tc>
          <w:tcPr>
            <w:tcW w:w="873" w:type="dxa"/>
            <w:shd w:val="clear" w:color="000000" w:fill="FFFFFF"/>
            <w:noWrap/>
            <w:vAlign w:val="center"/>
            <w:hideMark/>
          </w:tcPr>
          <w:p w14:paraId="3C439939" w14:textId="51DB23E9"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48,535</w:t>
            </w:r>
          </w:p>
        </w:tc>
        <w:tc>
          <w:tcPr>
            <w:tcW w:w="872" w:type="dxa"/>
            <w:shd w:val="clear" w:color="000000" w:fill="FFFFFF"/>
            <w:noWrap/>
            <w:vAlign w:val="center"/>
            <w:hideMark/>
          </w:tcPr>
          <w:p w14:paraId="0859EADD" w14:textId="3D0CBA81"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50,205</w:t>
            </w:r>
          </w:p>
        </w:tc>
      </w:tr>
      <w:tr w:rsidR="000E104A" w:rsidRPr="002647F6" w14:paraId="2E922470" w14:textId="77777777" w:rsidTr="00724953">
        <w:trPr>
          <w:trHeight w:val="225"/>
        </w:trPr>
        <w:tc>
          <w:tcPr>
            <w:tcW w:w="3544" w:type="dxa"/>
            <w:shd w:val="clear" w:color="000000" w:fill="FFFFFF"/>
            <w:noWrap/>
            <w:vAlign w:val="center"/>
            <w:hideMark/>
          </w:tcPr>
          <w:p w14:paraId="4F40C53A" w14:textId="77777777" w:rsidR="000E104A" w:rsidRPr="005D1227" w:rsidRDefault="000E104A" w:rsidP="00F01FDB">
            <w:pPr>
              <w:pStyle w:val="TableTextLeft"/>
              <w:rPr>
                <w:rFonts w:cs="Arial"/>
                <w:color w:val="000000"/>
                <w:szCs w:val="16"/>
              </w:rPr>
            </w:pPr>
            <w:r w:rsidRPr="005D1227">
              <w:rPr>
                <w:rFonts w:cs="Arial"/>
                <w:color w:val="000000"/>
                <w:szCs w:val="16"/>
              </w:rPr>
              <w:t>Payments for goods and services</w:t>
            </w:r>
          </w:p>
        </w:tc>
        <w:tc>
          <w:tcPr>
            <w:tcW w:w="677" w:type="dxa"/>
            <w:shd w:val="clear" w:color="000000" w:fill="FFFFFF"/>
            <w:noWrap/>
            <w:vAlign w:val="center"/>
            <w:hideMark/>
          </w:tcPr>
          <w:p w14:paraId="02DB13AC" w14:textId="56C5ED85"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192,077</w:t>
            </w:r>
          </w:p>
        </w:tc>
        <w:tc>
          <w:tcPr>
            <w:tcW w:w="873" w:type="dxa"/>
            <w:shd w:val="clear" w:color="000000" w:fill="E6F2FF"/>
            <w:noWrap/>
            <w:vAlign w:val="center"/>
            <w:hideMark/>
          </w:tcPr>
          <w:p w14:paraId="298E598B" w14:textId="6836AB43"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210,763</w:t>
            </w:r>
          </w:p>
        </w:tc>
        <w:tc>
          <w:tcPr>
            <w:tcW w:w="872" w:type="dxa"/>
            <w:shd w:val="clear" w:color="000000" w:fill="FFFFFF"/>
            <w:noWrap/>
            <w:vAlign w:val="center"/>
            <w:hideMark/>
          </w:tcPr>
          <w:p w14:paraId="550DFBD8" w14:textId="1E92AB6E"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224,689</w:t>
            </w:r>
          </w:p>
        </w:tc>
        <w:tc>
          <w:tcPr>
            <w:tcW w:w="873" w:type="dxa"/>
            <w:shd w:val="clear" w:color="000000" w:fill="FFFFFF"/>
            <w:noWrap/>
            <w:vAlign w:val="center"/>
            <w:hideMark/>
          </w:tcPr>
          <w:p w14:paraId="14836FDA" w14:textId="2835AF11"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230,996</w:t>
            </w:r>
          </w:p>
        </w:tc>
        <w:tc>
          <w:tcPr>
            <w:tcW w:w="872" w:type="dxa"/>
            <w:shd w:val="clear" w:color="000000" w:fill="FFFFFF"/>
            <w:noWrap/>
            <w:vAlign w:val="center"/>
            <w:hideMark/>
          </w:tcPr>
          <w:p w14:paraId="1166C4A2" w14:textId="7DA465D0"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243,315</w:t>
            </w:r>
          </w:p>
        </w:tc>
      </w:tr>
      <w:tr w:rsidR="000E104A" w:rsidRPr="002647F6" w14:paraId="3224BC73" w14:textId="77777777" w:rsidTr="00724953">
        <w:trPr>
          <w:trHeight w:val="225"/>
        </w:trPr>
        <w:tc>
          <w:tcPr>
            <w:tcW w:w="3544" w:type="dxa"/>
            <w:shd w:val="clear" w:color="000000" w:fill="FFFFFF"/>
            <w:noWrap/>
            <w:vAlign w:val="center"/>
            <w:hideMark/>
          </w:tcPr>
          <w:p w14:paraId="378CAF42" w14:textId="77777777" w:rsidR="000E104A" w:rsidRPr="005D1227" w:rsidRDefault="000E104A" w:rsidP="00F01FDB">
            <w:pPr>
              <w:pStyle w:val="TableTextLeft"/>
              <w:rPr>
                <w:rFonts w:cs="Arial"/>
                <w:color w:val="000000"/>
                <w:szCs w:val="16"/>
              </w:rPr>
            </w:pPr>
            <w:r w:rsidRPr="005D1227">
              <w:rPr>
                <w:rFonts w:cs="Arial"/>
                <w:color w:val="000000"/>
                <w:szCs w:val="16"/>
              </w:rPr>
              <w:t>Grants and subsidies paid</w:t>
            </w:r>
          </w:p>
        </w:tc>
        <w:tc>
          <w:tcPr>
            <w:tcW w:w="677" w:type="dxa"/>
            <w:shd w:val="clear" w:color="000000" w:fill="FFFFFF"/>
            <w:noWrap/>
            <w:vAlign w:val="center"/>
            <w:hideMark/>
          </w:tcPr>
          <w:p w14:paraId="2B2C5743" w14:textId="66986FD4"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239,842</w:t>
            </w:r>
          </w:p>
        </w:tc>
        <w:tc>
          <w:tcPr>
            <w:tcW w:w="873" w:type="dxa"/>
            <w:shd w:val="clear" w:color="000000" w:fill="E6F2FF"/>
            <w:noWrap/>
            <w:vAlign w:val="center"/>
            <w:hideMark/>
          </w:tcPr>
          <w:p w14:paraId="5F1C6879" w14:textId="076157B8"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251,111</w:t>
            </w:r>
          </w:p>
        </w:tc>
        <w:tc>
          <w:tcPr>
            <w:tcW w:w="872" w:type="dxa"/>
            <w:shd w:val="clear" w:color="000000" w:fill="FFFFFF"/>
            <w:noWrap/>
            <w:vAlign w:val="center"/>
            <w:hideMark/>
          </w:tcPr>
          <w:p w14:paraId="5FE0E091" w14:textId="050900FE"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256,411</w:t>
            </w:r>
          </w:p>
        </w:tc>
        <w:tc>
          <w:tcPr>
            <w:tcW w:w="873" w:type="dxa"/>
            <w:shd w:val="clear" w:color="000000" w:fill="FFFFFF"/>
            <w:noWrap/>
            <w:vAlign w:val="center"/>
            <w:hideMark/>
          </w:tcPr>
          <w:p w14:paraId="5114091F" w14:textId="1E0AD505"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263,351</w:t>
            </w:r>
          </w:p>
        </w:tc>
        <w:tc>
          <w:tcPr>
            <w:tcW w:w="872" w:type="dxa"/>
            <w:shd w:val="clear" w:color="000000" w:fill="FFFFFF"/>
            <w:noWrap/>
            <w:vAlign w:val="center"/>
            <w:hideMark/>
          </w:tcPr>
          <w:p w14:paraId="08AEBA10" w14:textId="717E1402"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268,068</w:t>
            </w:r>
          </w:p>
        </w:tc>
      </w:tr>
      <w:tr w:rsidR="000E104A" w:rsidRPr="002647F6" w14:paraId="6BD3BFDD" w14:textId="77777777" w:rsidTr="00724953">
        <w:trPr>
          <w:trHeight w:val="225"/>
        </w:trPr>
        <w:tc>
          <w:tcPr>
            <w:tcW w:w="3544" w:type="dxa"/>
            <w:shd w:val="clear" w:color="000000" w:fill="FFFFFF"/>
            <w:noWrap/>
            <w:vAlign w:val="center"/>
            <w:hideMark/>
          </w:tcPr>
          <w:p w14:paraId="465E49F0" w14:textId="77777777" w:rsidR="000E104A" w:rsidRPr="005D1227" w:rsidRDefault="000E104A" w:rsidP="00F01FDB">
            <w:pPr>
              <w:pStyle w:val="TableTextLeft"/>
              <w:rPr>
                <w:rFonts w:cs="Arial"/>
                <w:color w:val="000000"/>
                <w:szCs w:val="16"/>
              </w:rPr>
            </w:pPr>
            <w:r w:rsidRPr="005D1227">
              <w:rPr>
                <w:rFonts w:cs="Arial"/>
                <w:color w:val="000000"/>
                <w:szCs w:val="16"/>
              </w:rPr>
              <w:t>Interest paid</w:t>
            </w:r>
          </w:p>
        </w:tc>
        <w:tc>
          <w:tcPr>
            <w:tcW w:w="677" w:type="dxa"/>
            <w:shd w:val="clear" w:color="000000" w:fill="FFFFFF"/>
            <w:noWrap/>
            <w:vAlign w:val="center"/>
            <w:hideMark/>
          </w:tcPr>
          <w:p w14:paraId="2A4764F0" w14:textId="011DD988"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22,685</w:t>
            </w:r>
          </w:p>
        </w:tc>
        <w:tc>
          <w:tcPr>
            <w:tcW w:w="873" w:type="dxa"/>
            <w:shd w:val="clear" w:color="000000" w:fill="E6F2FF"/>
            <w:noWrap/>
            <w:vAlign w:val="center"/>
            <w:hideMark/>
          </w:tcPr>
          <w:p w14:paraId="0FF8227B" w14:textId="2E0C0915"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23,824</w:t>
            </w:r>
          </w:p>
        </w:tc>
        <w:tc>
          <w:tcPr>
            <w:tcW w:w="872" w:type="dxa"/>
            <w:shd w:val="clear" w:color="000000" w:fill="FFFFFF"/>
            <w:noWrap/>
            <w:vAlign w:val="center"/>
            <w:hideMark/>
          </w:tcPr>
          <w:p w14:paraId="3D4F939D" w14:textId="0C06B923"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27,502</w:t>
            </w:r>
          </w:p>
        </w:tc>
        <w:tc>
          <w:tcPr>
            <w:tcW w:w="873" w:type="dxa"/>
            <w:shd w:val="clear" w:color="000000" w:fill="FFFFFF"/>
            <w:noWrap/>
            <w:vAlign w:val="center"/>
            <w:hideMark/>
          </w:tcPr>
          <w:p w14:paraId="30DEBA17" w14:textId="0BA5FA5A"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29,833</w:t>
            </w:r>
          </w:p>
        </w:tc>
        <w:tc>
          <w:tcPr>
            <w:tcW w:w="872" w:type="dxa"/>
            <w:shd w:val="clear" w:color="000000" w:fill="FFFFFF"/>
            <w:noWrap/>
            <w:vAlign w:val="center"/>
            <w:hideMark/>
          </w:tcPr>
          <w:p w14:paraId="6B95C5D7" w14:textId="0D439085"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35,585</w:t>
            </w:r>
          </w:p>
        </w:tc>
      </w:tr>
      <w:tr w:rsidR="000E104A" w:rsidRPr="002647F6" w14:paraId="2DB2F8A4" w14:textId="77777777" w:rsidTr="00724953">
        <w:trPr>
          <w:trHeight w:val="225"/>
        </w:trPr>
        <w:tc>
          <w:tcPr>
            <w:tcW w:w="3544" w:type="dxa"/>
            <w:shd w:val="clear" w:color="000000" w:fill="FFFFFF"/>
            <w:noWrap/>
            <w:vAlign w:val="center"/>
            <w:hideMark/>
          </w:tcPr>
          <w:p w14:paraId="35747DBE" w14:textId="77777777" w:rsidR="000E104A" w:rsidRPr="005D1227" w:rsidRDefault="000E104A" w:rsidP="00F01FDB">
            <w:pPr>
              <w:pStyle w:val="TableTextLeft"/>
              <w:rPr>
                <w:rFonts w:cs="Arial"/>
                <w:color w:val="000000"/>
                <w:szCs w:val="16"/>
              </w:rPr>
            </w:pPr>
            <w:r w:rsidRPr="005D1227">
              <w:rPr>
                <w:rFonts w:cs="Arial"/>
                <w:color w:val="000000"/>
                <w:szCs w:val="16"/>
              </w:rPr>
              <w:t>Personal benefit payments</w:t>
            </w:r>
          </w:p>
        </w:tc>
        <w:tc>
          <w:tcPr>
            <w:tcW w:w="677" w:type="dxa"/>
            <w:shd w:val="clear" w:color="000000" w:fill="FFFFFF"/>
            <w:noWrap/>
            <w:vAlign w:val="center"/>
            <w:hideMark/>
          </w:tcPr>
          <w:p w14:paraId="5108B09F" w14:textId="09D1C437"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152,828</w:t>
            </w:r>
          </w:p>
        </w:tc>
        <w:tc>
          <w:tcPr>
            <w:tcW w:w="873" w:type="dxa"/>
            <w:shd w:val="clear" w:color="000000" w:fill="E6F2FF"/>
            <w:noWrap/>
            <w:vAlign w:val="center"/>
            <w:hideMark/>
          </w:tcPr>
          <w:p w14:paraId="556CB25B" w14:textId="5BF5560A"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161,714</w:t>
            </w:r>
          </w:p>
        </w:tc>
        <w:tc>
          <w:tcPr>
            <w:tcW w:w="872" w:type="dxa"/>
            <w:shd w:val="clear" w:color="000000" w:fill="FFFFFF"/>
            <w:noWrap/>
            <w:vAlign w:val="center"/>
            <w:hideMark/>
          </w:tcPr>
          <w:p w14:paraId="46032ACB" w14:textId="0EBB0DDB"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171,442</w:t>
            </w:r>
          </w:p>
        </w:tc>
        <w:tc>
          <w:tcPr>
            <w:tcW w:w="873" w:type="dxa"/>
            <w:shd w:val="clear" w:color="000000" w:fill="FFFFFF"/>
            <w:noWrap/>
            <w:vAlign w:val="center"/>
            <w:hideMark/>
          </w:tcPr>
          <w:p w14:paraId="028D9081" w14:textId="1AC59A2F"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180,398</w:t>
            </w:r>
          </w:p>
        </w:tc>
        <w:tc>
          <w:tcPr>
            <w:tcW w:w="872" w:type="dxa"/>
            <w:shd w:val="clear" w:color="000000" w:fill="FFFFFF"/>
            <w:noWrap/>
            <w:vAlign w:val="center"/>
            <w:hideMark/>
          </w:tcPr>
          <w:p w14:paraId="0BED67C7" w14:textId="2DD29D77"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192,456</w:t>
            </w:r>
          </w:p>
        </w:tc>
      </w:tr>
      <w:tr w:rsidR="000E104A" w:rsidRPr="002647F6" w14:paraId="7B14D991" w14:textId="77777777" w:rsidTr="00724953">
        <w:trPr>
          <w:trHeight w:val="225"/>
        </w:trPr>
        <w:tc>
          <w:tcPr>
            <w:tcW w:w="3544" w:type="dxa"/>
            <w:shd w:val="clear" w:color="000000" w:fill="FFFFFF"/>
            <w:noWrap/>
            <w:vAlign w:val="center"/>
            <w:hideMark/>
          </w:tcPr>
          <w:p w14:paraId="45F970A7" w14:textId="77777777" w:rsidR="000E104A" w:rsidRPr="005D1227" w:rsidRDefault="000E104A" w:rsidP="00F01FDB">
            <w:pPr>
              <w:pStyle w:val="TableTextLeft"/>
              <w:rPr>
                <w:rFonts w:cs="Arial"/>
                <w:color w:val="000000"/>
                <w:szCs w:val="16"/>
              </w:rPr>
            </w:pPr>
            <w:r w:rsidRPr="005D1227">
              <w:rPr>
                <w:rFonts w:cs="Arial"/>
                <w:color w:val="000000"/>
                <w:szCs w:val="16"/>
              </w:rPr>
              <w:t>Other payments(b)</w:t>
            </w:r>
          </w:p>
        </w:tc>
        <w:tc>
          <w:tcPr>
            <w:tcW w:w="677" w:type="dxa"/>
            <w:shd w:val="clear" w:color="000000" w:fill="FFFFFF"/>
            <w:noWrap/>
            <w:vAlign w:val="center"/>
            <w:hideMark/>
          </w:tcPr>
          <w:p w14:paraId="0D639365" w14:textId="1B72FEDF"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9,923</w:t>
            </w:r>
          </w:p>
        </w:tc>
        <w:tc>
          <w:tcPr>
            <w:tcW w:w="873" w:type="dxa"/>
            <w:shd w:val="clear" w:color="000000" w:fill="E6F2FF"/>
            <w:noWrap/>
            <w:vAlign w:val="center"/>
            <w:hideMark/>
          </w:tcPr>
          <w:p w14:paraId="401A47E2" w14:textId="4C9BED9C"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10,389</w:t>
            </w:r>
          </w:p>
        </w:tc>
        <w:tc>
          <w:tcPr>
            <w:tcW w:w="872" w:type="dxa"/>
            <w:shd w:val="clear" w:color="000000" w:fill="FFFFFF"/>
            <w:noWrap/>
            <w:vAlign w:val="center"/>
            <w:hideMark/>
          </w:tcPr>
          <w:p w14:paraId="4B4479CD" w14:textId="70A48ABD"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13,328</w:t>
            </w:r>
          </w:p>
        </w:tc>
        <w:tc>
          <w:tcPr>
            <w:tcW w:w="873" w:type="dxa"/>
            <w:shd w:val="clear" w:color="000000" w:fill="FFFFFF"/>
            <w:noWrap/>
            <w:vAlign w:val="center"/>
            <w:hideMark/>
          </w:tcPr>
          <w:p w14:paraId="1D017901" w14:textId="7CFECD90"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11,062</w:t>
            </w:r>
          </w:p>
        </w:tc>
        <w:tc>
          <w:tcPr>
            <w:tcW w:w="872" w:type="dxa"/>
            <w:shd w:val="clear" w:color="000000" w:fill="FFFFFF"/>
            <w:noWrap/>
            <w:vAlign w:val="center"/>
            <w:hideMark/>
          </w:tcPr>
          <w:p w14:paraId="5C8BD26F" w14:textId="4BEB1FE4"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11,303</w:t>
            </w:r>
          </w:p>
        </w:tc>
      </w:tr>
      <w:tr w:rsidR="000E104A" w:rsidRPr="002647F6" w14:paraId="640D9AD7" w14:textId="77777777" w:rsidTr="00724953">
        <w:trPr>
          <w:trHeight w:val="225"/>
        </w:trPr>
        <w:tc>
          <w:tcPr>
            <w:tcW w:w="3544" w:type="dxa"/>
            <w:shd w:val="clear" w:color="000000" w:fill="FFFFFF"/>
            <w:noWrap/>
            <w:vAlign w:val="center"/>
            <w:hideMark/>
          </w:tcPr>
          <w:p w14:paraId="69EB896F" w14:textId="77777777" w:rsidR="000E104A" w:rsidRPr="005D1227" w:rsidRDefault="000E104A" w:rsidP="00F01FDB">
            <w:pPr>
              <w:pStyle w:val="TableTextLeft"/>
              <w:rPr>
                <w:rFonts w:cs="Arial"/>
                <w:b/>
                <w:color w:val="000000"/>
                <w:szCs w:val="16"/>
              </w:rPr>
            </w:pPr>
            <w:r w:rsidRPr="005D1227">
              <w:rPr>
                <w:rFonts w:cs="Arial"/>
                <w:b/>
                <w:color w:val="000000"/>
                <w:szCs w:val="16"/>
              </w:rPr>
              <w:t>Total operating payments</w:t>
            </w:r>
          </w:p>
        </w:tc>
        <w:tc>
          <w:tcPr>
            <w:tcW w:w="677" w:type="dxa"/>
            <w:shd w:val="clear" w:color="000000" w:fill="FFFFFF"/>
            <w:noWrap/>
            <w:vAlign w:val="center"/>
            <w:hideMark/>
          </w:tcPr>
          <w:p w14:paraId="0C04479C" w14:textId="490C1463"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660,997</w:t>
            </w:r>
          </w:p>
        </w:tc>
        <w:tc>
          <w:tcPr>
            <w:tcW w:w="873" w:type="dxa"/>
            <w:shd w:val="clear" w:color="000000" w:fill="E6F2FF"/>
            <w:noWrap/>
            <w:vAlign w:val="center"/>
            <w:hideMark/>
          </w:tcPr>
          <w:p w14:paraId="1B3BEECF" w14:textId="417C971F"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704,641</w:t>
            </w:r>
          </w:p>
        </w:tc>
        <w:tc>
          <w:tcPr>
            <w:tcW w:w="872" w:type="dxa"/>
            <w:shd w:val="clear" w:color="000000" w:fill="FFFFFF"/>
            <w:noWrap/>
            <w:vAlign w:val="center"/>
            <w:hideMark/>
          </w:tcPr>
          <w:p w14:paraId="65454B72" w14:textId="16AABF1B"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740,890</w:t>
            </w:r>
          </w:p>
        </w:tc>
        <w:tc>
          <w:tcPr>
            <w:tcW w:w="873" w:type="dxa"/>
            <w:shd w:val="clear" w:color="000000" w:fill="FFFFFF"/>
            <w:noWrap/>
            <w:vAlign w:val="center"/>
            <w:hideMark/>
          </w:tcPr>
          <w:p w14:paraId="2E6C42DC" w14:textId="4A0A0BA3"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764,175</w:t>
            </w:r>
          </w:p>
        </w:tc>
        <w:tc>
          <w:tcPr>
            <w:tcW w:w="872" w:type="dxa"/>
            <w:shd w:val="clear" w:color="000000" w:fill="FFFFFF"/>
            <w:noWrap/>
            <w:vAlign w:val="center"/>
            <w:hideMark/>
          </w:tcPr>
          <w:p w14:paraId="0A4DC1B9" w14:textId="428408FB"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800,933</w:t>
            </w:r>
          </w:p>
        </w:tc>
      </w:tr>
      <w:tr w:rsidR="000E104A" w:rsidRPr="002647F6" w14:paraId="329D3AEB" w14:textId="77777777" w:rsidTr="00724953">
        <w:trPr>
          <w:trHeight w:val="225"/>
        </w:trPr>
        <w:tc>
          <w:tcPr>
            <w:tcW w:w="3544" w:type="dxa"/>
            <w:shd w:val="clear" w:color="000000" w:fill="FFFFFF"/>
            <w:noWrap/>
            <w:vAlign w:val="center"/>
            <w:hideMark/>
          </w:tcPr>
          <w:p w14:paraId="50AF9737" w14:textId="77777777" w:rsidR="000E104A" w:rsidRPr="005D1227" w:rsidRDefault="000E104A" w:rsidP="00F01FDB">
            <w:pPr>
              <w:pStyle w:val="TableTextLeft"/>
              <w:rPr>
                <w:rFonts w:cs="Arial"/>
                <w:b/>
                <w:color w:val="000000"/>
                <w:szCs w:val="16"/>
              </w:rPr>
            </w:pPr>
            <w:r w:rsidRPr="005D1227">
              <w:rPr>
                <w:rFonts w:cs="Arial"/>
                <w:b/>
                <w:color w:val="000000"/>
                <w:szCs w:val="16"/>
              </w:rPr>
              <w:t>Net cash flows from operating activities</w:t>
            </w:r>
          </w:p>
        </w:tc>
        <w:tc>
          <w:tcPr>
            <w:tcW w:w="677" w:type="dxa"/>
            <w:shd w:val="clear" w:color="000000" w:fill="FFFFFF"/>
            <w:noWrap/>
            <w:vAlign w:val="center"/>
            <w:hideMark/>
          </w:tcPr>
          <w:p w14:paraId="7B48F763" w14:textId="6002F0D7" w:rsidR="000E104A" w:rsidRPr="005D1227" w:rsidRDefault="000E104A" w:rsidP="00DC307C">
            <w:pPr>
              <w:pStyle w:val="TableTextRight"/>
              <w:rPr>
                <w:rFonts w:cs="Arial"/>
                <w:b/>
                <w:color w:val="000000"/>
                <w:szCs w:val="16"/>
              </w:rPr>
            </w:pPr>
            <w:r w:rsidRPr="005D1227">
              <w:rPr>
                <w:rFonts w:cs="Arial"/>
                <w:b/>
                <w:color w:val="000000"/>
                <w:szCs w:val="16"/>
              </w:rPr>
              <w:t>28,312</w:t>
            </w:r>
          </w:p>
        </w:tc>
        <w:tc>
          <w:tcPr>
            <w:tcW w:w="873" w:type="dxa"/>
            <w:shd w:val="clear" w:color="000000" w:fill="E6F2FF"/>
            <w:noWrap/>
            <w:vAlign w:val="center"/>
            <w:hideMark/>
          </w:tcPr>
          <w:p w14:paraId="39478C13" w14:textId="24F2C29D"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6,408</w:t>
            </w:r>
          </w:p>
        </w:tc>
        <w:tc>
          <w:tcPr>
            <w:tcW w:w="872" w:type="dxa"/>
            <w:shd w:val="clear" w:color="000000" w:fill="FFFFFF"/>
            <w:noWrap/>
            <w:vAlign w:val="center"/>
            <w:hideMark/>
          </w:tcPr>
          <w:p w14:paraId="08D5792A" w14:textId="5437FA8D"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21,777</w:t>
            </w:r>
          </w:p>
        </w:tc>
        <w:tc>
          <w:tcPr>
            <w:tcW w:w="873" w:type="dxa"/>
            <w:shd w:val="clear" w:color="000000" w:fill="FFFFFF"/>
            <w:noWrap/>
            <w:vAlign w:val="center"/>
            <w:hideMark/>
          </w:tcPr>
          <w:p w14:paraId="009605F2" w14:textId="7BFDA72B"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4,207</w:t>
            </w:r>
          </w:p>
        </w:tc>
        <w:tc>
          <w:tcPr>
            <w:tcW w:w="872" w:type="dxa"/>
            <w:shd w:val="clear" w:color="000000" w:fill="FFFFFF"/>
            <w:noWrap/>
            <w:vAlign w:val="center"/>
            <w:hideMark/>
          </w:tcPr>
          <w:p w14:paraId="166EC58C" w14:textId="67715661" w:rsidR="000E104A" w:rsidRPr="005D1227" w:rsidRDefault="000E104A" w:rsidP="00DC307C">
            <w:pPr>
              <w:pStyle w:val="TableTextRight"/>
              <w:rPr>
                <w:rFonts w:cs="Arial"/>
                <w:b/>
                <w:color w:val="000000"/>
                <w:szCs w:val="16"/>
              </w:rPr>
            </w:pPr>
            <w:r w:rsidRPr="005D1227">
              <w:rPr>
                <w:rFonts w:cs="Arial"/>
                <w:b/>
                <w:color w:val="000000"/>
                <w:szCs w:val="16"/>
              </w:rPr>
              <w:t>725</w:t>
            </w:r>
          </w:p>
        </w:tc>
      </w:tr>
      <w:tr w:rsidR="002647F6" w:rsidRPr="002647F6" w14:paraId="7EB636F6" w14:textId="77777777" w:rsidTr="00724953">
        <w:trPr>
          <w:trHeight w:val="225"/>
        </w:trPr>
        <w:tc>
          <w:tcPr>
            <w:tcW w:w="3544" w:type="dxa"/>
            <w:shd w:val="clear" w:color="000000" w:fill="FFFFFF"/>
            <w:noWrap/>
            <w:vAlign w:val="center"/>
            <w:hideMark/>
          </w:tcPr>
          <w:p w14:paraId="5F9041AE" w14:textId="77777777" w:rsidR="002647F6" w:rsidRPr="005D1227" w:rsidRDefault="002647F6" w:rsidP="00F01FDB">
            <w:pPr>
              <w:pStyle w:val="TableTextLeft"/>
              <w:rPr>
                <w:rFonts w:cs="Arial"/>
                <w:b/>
                <w:color w:val="000000"/>
                <w:szCs w:val="16"/>
              </w:rPr>
            </w:pPr>
            <w:r w:rsidRPr="005D1227">
              <w:rPr>
                <w:rFonts w:cs="Arial"/>
                <w:b/>
                <w:color w:val="000000"/>
                <w:szCs w:val="16"/>
              </w:rPr>
              <w:t>Cash flows from investments in</w:t>
            </w:r>
          </w:p>
        </w:tc>
        <w:tc>
          <w:tcPr>
            <w:tcW w:w="677" w:type="dxa"/>
            <w:shd w:val="clear" w:color="000000" w:fill="FFFFFF"/>
            <w:noWrap/>
            <w:vAlign w:val="bottom"/>
            <w:hideMark/>
          </w:tcPr>
          <w:p w14:paraId="3C349B95"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bottom"/>
            <w:hideMark/>
          </w:tcPr>
          <w:p w14:paraId="49418822"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210547E"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bottom"/>
            <w:hideMark/>
          </w:tcPr>
          <w:p w14:paraId="7786654C"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9E91ACE" w14:textId="77777777" w:rsidR="002647F6" w:rsidRPr="005D1227" w:rsidRDefault="002647F6" w:rsidP="00DC307C">
            <w:pPr>
              <w:pStyle w:val="TableTextRight"/>
              <w:rPr>
                <w:rFonts w:cs="Arial"/>
                <w:szCs w:val="16"/>
              </w:rPr>
            </w:pPr>
            <w:r w:rsidRPr="005D1227">
              <w:rPr>
                <w:rFonts w:cs="Arial"/>
                <w:szCs w:val="16"/>
              </w:rPr>
              <w:t> </w:t>
            </w:r>
          </w:p>
        </w:tc>
      </w:tr>
      <w:tr w:rsidR="002647F6" w:rsidRPr="002647F6" w14:paraId="495C24CF" w14:textId="77777777" w:rsidTr="00724953">
        <w:trPr>
          <w:trHeight w:val="225"/>
        </w:trPr>
        <w:tc>
          <w:tcPr>
            <w:tcW w:w="3544" w:type="dxa"/>
            <w:shd w:val="clear" w:color="000000" w:fill="FFFFFF"/>
            <w:vAlign w:val="center"/>
            <w:hideMark/>
          </w:tcPr>
          <w:p w14:paraId="2F676B63" w14:textId="0CEB6285" w:rsidR="002647F6" w:rsidRPr="005D1227" w:rsidRDefault="002647F6" w:rsidP="00CC334D">
            <w:pPr>
              <w:pStyle w:val="TableTextIndented"/>
              <w:rPr>
                <w:rFonts w:cs="Arial"/>
                <w:b/>
                <w:szCs w:val="16"/>
              </w:rPr>
            </w:pPr>
            <w:r w:rsidRPr="005D1227">
              <w:rPr>
                <w:rFonts w:cs="Arial"/>
                <w:b/>
                <w:szCs w:val="16"/>
              </w:rPr>
              <w:t xml:space="preserve"> non</w:t>
            </w:r>
            <w:r w:rsidR="00325E1E">
              <w:rPr>
                <w:rFonts w:cs="Arial"/>
                <w:b/>
                <w:bCs/>
                <w:szCs w:val="16"/>
              </w:rPr>
              <w:noBreakHyphen/>
            </w:r>
            <w:r w:rsidRPr="005D1227">
              <w:rPr>
                <w:rFonts w:cs="Arial"/>
                <w:b/>
                <w:szCs w:val="16"/>
              </w:rPr>
              <w:t>financial assets</w:t>
            </w:r>
          </w:p>
        </w:tc>
        <w:tc>
          <w:tcPr>
            <w:tcW w:w="677" w:type="dxa"/>
            <w:shd w:val="clear" w:color="000000" w:fill="FFFFFF"/>
            <w:noWrap/>
            <w:vAlign w:val="bottom"/>
            <w:hideMark/>
          </w:tcPr>
          <w:p w14:paraId="2D8F7DB9"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bottom"/>
            <w:hideMark/>
          </w:tcPr>
          <w:p w14:paraId="74D6E3FE"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2F5738B"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bottom"/>
            <w:hideMark/>
          </w:tcPr>
          <w:p w14:paraId="4D5E8778"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3E7FD6B1" w14:textId="77777777" w:rsidR="002647F6" w:rsidRPr="005D1227" w:rsidRDefault="002647F6" w:rsidP="00DC307C">
            <w:pPr>
              <w:pStyle w:val="TableTextRight"/>
              <w:rPr>
                <w:rFonts w:cs="Arial"/>
                <w:szCs w:val="16"/>
              </w:rPr>
            </w:pPr>
            <w:r w:rsidRPr="005D1227">
              <w:rPr>
                <w:rFonts w:cs="Arial"/>
                <w:szCs w:val="16"/>
              </w:rPr>
              <w:t> </w:t>
            </w:r>
          </w:p>
        </w:tc>
      </w:tr>
      <w:tr w:rsidR="000E104A" w:rsidRPr="002647F6" w14:paraId="4ACCDF75" w14:textId="77777777" w:rsidTr="00724953">
        <w:trPr>
          <w:trHeight w:val="225"/>
        </w:trPr>
        <w:tc>
          <w:tcPr>
            <w:tcW w:w="3544" w:type="dxa"/>
            <w:shd w:val="clear" w:color="000000" w:fill="FFFFFF"/>
            <w:noWrap/>
            <w:vAlign w:val="center"/>
            <w:hideMark/>
          </w:tcPr>
          <w:p w14:paraId="6EFCF13D" w14:textId="56DC5A83" w:rsidR="000E104A" w:rsidRPr="005D1227" w:rsidRDefault="000E104A" w:rsidP="00F01FDB">
            <w:pPr>
              <w:pStyle w:val="TableTextLeft"/>
              <w:rPr>
                <w:rFonts w:cs="Arial"/>
                <w:color w:val="000000"/>
                <w:szCs w:val="16"/>
              </w:rPr>
            </w:pPr>
            <w:r w:rsidRPr="005D1227">
              <w:rPr>
                <w:rFonts w:cs="Arial"/>
                <w:color w:val="000000"/>
                <w:szCs w:val="16"/>
              </w:rPr>
              <w:t>Sales of non</w:t>
            </w:r>
            <w:r w:rsidR="00325E1E">
              <w:rPr>
                <w:rFonts w:cs="Arial"/>
                <w:color w:val="000000"/>
                <w:szCs w:val="16"/>
              </w:rPr>
              <w:noBreakHyphen/>
            </w:r>
            <w:r w:rsidRPr="005D1227">
              <w:rPr>
                <w:rFonts w:cs="Arial"/>
                <w:color w:val="000000"/>
                <w:szCs w:val="16"/>
              </w:rPr>
              <w:t>financial assets</w:t>
            </w:r>
          </w:p>
        </w:tc>
        <w:tc>
          <w:tcPr>
            <w:tcW w:w="677" w:type="dxa"/>
            <w:shd w:val="clear" w:color="000000" w:fill="FFFFFF"/>
            <w:noWrap/>
            <w:vAlign w:val="center"/>
            <w:hideMark/>
          </w:tcPr>
          <w:p w14:paraId="78BF9B68" w14:textId="39748ED1" w:rsidR="000E104A" w:rsidRPr="005D1227" w:rsidRDefault="000E104A" w:rsidP="00DC307C">
            <w:pPr>
              <w:pStyle w:val="TableTextRight"/>
              <w:rPr>
                <w:rFonts w:cs="Arial"/>
                <w:color w:val="000000"/>
                <w:szCs w:val="16"/>
              </w:rPr>
            </w:pPr>
            <w:r w:rsidRPr="005D1227">
              <w:rPr>
                <w:rFonts w:cs="Arial"/>
                <w:color w:val="000000"/>
                <w:szCs w:val="16"/>
              </w:rPr>
              <w:t>2,999</w:t>
            </w:r>
          </w:p>
        </w:tc>
        <w:tc>
          <w:tcPr>
            <w:tcW w:w="873" w:type="dxa"/>
            <w:shd w:val="clear" w:color="000000" w:fill="E6F2FF"/>
            <w:noWrap/>
            <w:vAlign w:val="center"/>
            <w:hideMark/>
          </w:tcPr>
          <w:p w14:paraId="69B9D47F" w14:textId="2259203E" w:rsidR="000E104A" w:rsidRPr="005D1227" w:rsidRDefault="000E104A" w:rsidP="00DC307C">
            <w:pPr>
              <w:pStyle w:val="TableTextRight"/>
              <w:rPr>
                <w:rFonts w:cs="Arial"/>
                <w:color w:val="000000"/>
                <w:szCs w:val="16"/>
              </w:rPr>
            </w:pPr>
            <w:r w:rsidRPr="005D1227">
              <w:rPr>
                <w:rFonts w:cs="Arial"/>
                <w:color w:val="000000"/>
                <w:szCs w:val="16"/>
              </w:rPr>
              <w:t>213</w:t>
            </w:r>
          </w:p>
        </w:tc>
        <w:tc>
          <w:tcPr>
            <w:tcW w:w="872" w:type="dxa"/>
            <w:shd w:val="clear" w:color="000000" w:fill="FFFFFF"/>
            <w:noWrap/>
            <w:vAlign w:val="center"/>
            <w:hideMark/>
          </w:tcPr>
          <w:p w14:paraId="191A05BF" w14:textId="5BBCA7A2" w:rsidR="000E104A" w:rsidRPr="005D1227" w:rsidRDefault="000E104A" w:rsidP="00DC307C">
            <w:pPr>
              <w:pStyle w:val="TableTextRight"/>
              <w:rPr>
                <w:rFonts w:cs="Arial"/>
                <w:color w:val="000000"/>
                <w:szCs w:val="16"/>
              </w:rPr>
            </w:pPr>
            <w:r w:rsidRPr="005D1227">
              <w:rPr>
                <w:rFonts w:cs="Arial"/>
                <w:color w:val="000000"/>
                <w:szCs w:val="16"/>
              </w:rPr>
              <w:t>240</w:t>
            </w:r>
          </w:p>
        </w:tc>
        <w:tc>
          <w:tcPr>
            <w:tcW w:w="873" w:type="dxa"/>
            <w:shd w:val="clear" w:color="000000" w:fill="FFFFFF"/>
            <w:noWrap/>
            <w:vAlign w:val="center"/>
            <w:hideMark/>
          </w:tcPr>
          <w:p w14:paraId="165B42A9" w14:textId="65A52ABE" w:rsidR="000E104A" w:rsidRPr="005D1227" w:rsidRDefault="000E104A" w:rsidP="00DC307C">
            <w:pPr>
              <w:pStyle w:val="TableTextRight"/>
              <w:rPr>
                <w:rFonts w:cs="Arial"/>
                <w:color w:val="000000"/>
                <w:szCs w:val="16"/>
              </w:rPr>
            </w:pPr>
            <w:r w:rsidRPr="005D1227">
              <w:rPr>
                <w:rFonts w:cs="Arial"/>
                <w:color w:val="000000"/>
                <w:szCs w:val="16"/>
              </w:rPr>
              <w:t>41</w:t>
            </w:r>
          </w:p>
        </w:tc>
        <w:tc>
          <w:tcPr>
            <w:tcW w:w="872" w:type="dxa"/>
            <w:shd w:val="clear" w:color="000000" w:fill="FFFFFF"/>
            <w:noWrap/>
            <w:vAlign w:val="center"/>
            <w:hideMark/>
          </w:tcPr>
          <w:p w14:paraId="461911CE" w14:textId="317CA368" w:rsidR="000E104A" w:rsidRPr="005D1227" w:rsidRDefault="000E104A" w:rsidP="00DC307C">
            <w:pPr>
              <w:pStyle w:val="TableTextRight"/>
              <w:rPr>
                <w:rFonts w:cs="Arial"/>
                <w:color w:val="000000"/>
                <w:szCs w:val="16"/>
              </w:rPr>
            </w:pPr>
            <w:r w:rsidRPr="005D1227">
              <w:rPr>
                <w:rFonts w:cs="Arial"/>
                <w:color w:val="000000"/>
                <w:szCs w:val="16"/>
              </w:rPr>
              <w:t>153</w:t>
            </w:r>
          </w:p>
        </w:tc>
      </w:tr>
      <w:tr w:rsidR="000E104A" w:rsidRPr="002647F6" w14:paraId="6D0A56FA" w14:textId="77777777" w:rsidTr="00724953">
        <w:trPr>
          <w:trHeight w:val="225"/>
        </w:trPr>
        <w:tc>
          <w:tcPr>
            <w:tcW w:w="3544" w:type="dxa"/>
            <w:shd w:val="clear" w:color="000000" w:fill="FFFFFF"/>
            <w:noWrap/>
            <w:vAlign w:val="center"/>
            <w:hideMark/>
          </w:tcPr>
          <w:p w14:paraId="30A55A41" w14:textId="53A2D876" w:rsidR="000E104A" w:rsidRPr="005D1227" w:rsidRDefault="000E104A" w:rsidP="00F01FDB">
            <w:pPr>
              <w:pStyle w:val="TableTextLeft"/>
              <w:rPr>
                <w:rFonts w:cs="Arial"/>
                <w:color w:val="000000"/>
                <w:szCs w:val="16"/>
              </w:rPr>
            </w:pPr>
            <w:r w:rsidRPr="005D1227">
              <w:rPr>
                <w:rFonts w:cs="Arial"/>
                <w:color w:val="000000"/>
                <w:szCs w:val="16"/>
              </w:rPr>
              <w:t>Purchases of non</w:t>
            </w:r>
            <w:r w:rsidR="00325E1E">
              <w:rPr>
                <w:rFonts w:cs="Arial"/>
                <w:color w:val="000000"/>
                <w:szCs w:val="16"/>
              </w:rPr>
              <w:noBreakHyphen/>
            </w:r>
            <w:r w:rsidRPr="005D1227">
              <w:rPr>
                <w:rFonts w:cs="Arial"/>
                <w:color w:val="000000"/>
                <w:szCs w:val="16"/>
              </w:rPr>
              <w:t>financial assets</w:t>
            </w:r>
          </w:p>
        </w:tc>
        <w:tc>
          <w:tcPr>
            <w:tcW w:w="677" w:type="dxa"/>
            <w:shd w:val="clear" w:color="000000" w:fill="FFFFFF"/>
            <w:noWrap/>
            <w:vAlign w:val="center"/>
            <w:hideMark/>
          </w:tcPr>
          <w:p w14:paraId="528445C8" w14:textId="0D6EE724"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19,450</w:t>
            </w:r>
          </w:p>
        </w:tc>
        <w:tc>
          <w:tcPr>
            <w:tcW w:w="873" w:type="dxa"/>
            <w:shd w:val="clear" w:color="000000" w:fill="E6F2FF"/>
            <w:noWrap/>
            <w:vAlign w:val="center"/>
            <w:hideMark/>
          </w:tcPr>
          <w:p w14:paraId="3775DF26" w14:textId="65171970"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19,501</w:t>
            </w:r>
          </w:p>
        </w:tc>
        <w:tc>
          <w:tcPr>
            <w:tcW w:w="872" w:type="dxa"/>
            <w:shd w:val="clear" w:color="000000" w:fill="FFFFFF"/>
            <w:noWrap/>
            <w:vAlign w:val="center"/>
            <w:hideMark/>
          </w:tcPr>
          <w:p w14:paraId="3FFE984F" w14:textId="7214DED8"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18,700</w:t>
            </w:r>
          </w:p>
        </w:tc>
        <w:tc>
          <w:tcPr>
            <w:tcW w:w="873" w:type="dxa"/>
            <w:shd w:val="clear" w:color="000000" w:fill="FFFFFF"/>
            <w:noWrap/>
            <w:vAlign w:val="center"/>
            <w:hideMark/>
          </w:tcPr>
          <w:p w14:paraId="2525F0EF" w14:textId="531D4963"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19,956</w:t>
            </w:r>
          </w:p>
        </w:tc>
        <w:tc>
          <w:tcPr>
            <w:tcW w:w="872" w:type="dxa"/>
            <w:shd w:val="clear" w:color="000000" w:fill="FFFFFF"/>
            <w:noWrap/>
            <w:vAlign w:val="center"/>
            <w:hideMark/>
          </w:tcPr>
          <w:p w14:paraId="3B98B952" w14:textId="66FB014F" w:rsidR="000E104A" w:rsidRPr="005D1227" w:rsidRDefault="00325E1E" w:rsidP="00DC307C">
            <w:pPr>
              <w:pStyle w:val="TableTextRight"/>
              <w:rPr>
                <w:rFonts w:cs="Arial"/>
                <w:color w:val="000000"/>
                <w:szCs w:val="16"/>
              </w:rPr>
            </w:pPr>
            <w:r>
              <w:rPr>
                <w:rFonts w:cs="Arial"/>
                <w:color w:val="000000"/>
                <w:szCs w:val="16"/>
              </w:rPr>
              <w:noBreakHyphen/>
            </w:r>
            <w:r w:rsidR="000E104A" w:rsidRPr="005D1227">
              <w:rPr>
                <w:rFonts w:cs="Arial"/>
                <w:color w:val="000000"/>
                <w:szCs w:val="16"/>
              </w:rPr>
              <w:t>22,670</w:t>
            </w:r>
          </w:p>
        </w:tc>
      </w:tr>
      <w:tr w:rsidR="002647F6" w:rsidRPr="002647F6" w14:paraId="234A454F" w14:textId="77777777" w:rsidTr="00724953">
        <w:trPr>
          <w:trHeight w:val="225"/>
        </w:trPr>
        <w:tc>
          <w:tcPr>
            <w:tcW w:w="3544" w:type="dxa"/>
            <w:shd w:val="clear" w:color="000000" w:fill="FFFFFF"/>
            <w:noWrap/>
            <w:vAlign w:val="center"/>
            <w:hideMark/>
          </w:tcPr>
          <w:p w14:paraId="40B7AD01" w14:textId="77777777" w:rsidR="002647F6" w:rsidRPr="005D1227" w:rsidRDefault="002647F6" w:rsidP="00F01FDB">
            <w:pPr>
              <w:pStyle w:val="TableTextLeft"/>
              <w:rPr>
                <w:rFonts w:cs="Arial"/>
                <w:b/>
                <w:color w:val="000000"/>
                <w:szCs w:val="16"/>
              </w:rPr>
            </w:pPr>
            <w:r w:rsidRPr="005D1227">
              <w:rPr>
                <w:rFonts w:cs="Arial"/>
                <w:b/>
                <w:color w:val="000000"/>
                <w:szCs w:val="16"/>
              </w:rPr>
              <w:t>Net cash flows from investments in</w:t>
            </w:r>
          </w:p>
        </w:tc>
        <w:tc>
          <w:tcPr>
            <w:tcW w:w="677" w:type="dxa"/>
            <w:shd w:val="clear" w:color="000000" w:fill="FFFFFF"/>
            <w:noWrap/>
            <w:vAlign w:val="center"/>
            <w:hideMark/>
          </w:tcPr>
          <w:p w14:paraId="6174E6B0"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3" w:type="dxa"/>
            <w:shd w:val="clear" w:color="000000" w:fill="E6F2FF"/>
            <w:noWrap/>
            <w:vAlign w:val="center"/>
            <w:hideMark/>
          </w:tcPr>
          <w:p w14:paraId="5CC2DA48"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2" w:type="dxa"/>
            <w:shd w:val="clear" w:color="000000" w:fill="FFFFFF"/>
            <w:noWrap/>
            <w:vAlign w:val="center"/>
            <w:hideMark/>
          </w:tcPr>
          <w:p w14:paraId="3A3CEF06"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3" w:type="dxa"/>
            <w:shd w:val="clear" w:color="000000" w:fill="FFFFFF"/>
            <w:noWrap/>
            <w:vAlign w:val="center"/>
            <w:hideMark/>
          </w:tcPr>
          <w:p w14:paraId="4EAA7E1D" w14:textId="77777777" w:rsidR="002647F6" w:rsidRPr="005D1227" w:rsidRDefault="002647F6" w:rsidP="00DC307C">
            <w:pPr>
              <w:pStyle w:val="TableTextRight"/>
              <w:rPr>
                <w:rFonts w:cs="Arial"/>
                <w:color w:val="000000"/>
                <w:szCs w:val="16"/>
              </w:rPr>
            </w:pPr>
            <w:r w:rsidRPr="005D1227">
              <w:rPr>
                <w:rFonts w:cs="Arial"/>
                <w:color w:val="000000"/>
                <w:szCs w:val="16"/>
              </w:rPr>
              <w:t> </w:t>
            </w:r>
          </w:p>
        </w:tc>
        <w:tc>
          <w:tcPr>
            <w:tcW w:w="872" w:type="dxa"/>
            <w:shd w:val="clear" w:color="000000" w:fill="FFFFFF"/>
            <w:noWrap/>
            <w:vAlign w:val="center"/>
            <w:hideMark/>
          </w:tcPr>
          <w:p w14:paraId="7DB4FC91" w14:textId="77777777" w:rsidR="002647F6" w:rsidRPr="005D1227" w:rsidRDefault="002647F6" w:rsidP="00DC307C">
            <w:pPr>
              <w:pStyle w:val="TableTextRight"/>
              <w:rPr>
                <w:rFonts w:cs="Arial"/>
                <w:color w:val="000000"/>
                <w:szCs w:val="16"/>
              </w:rPr>
            </w:pPr>
            <w:r w:rsidRPr="005D1227">
              <w:rPr>
                <w:rFonts w:cs="Arial"/>
                <w:color w:val="000000"/>
                <w:szCs w:val="16"/>
              </w:rPr>
              <w:t> </w:t>
            </w:r>
          </w:p>
        </w:tc>
      </w:tr>
      <w:tr w:rsidR="000E104A" w:rsidRPr="002647F6" w14:paraId="7F896C85" w14:textId="77777777" w:rsidTr="00724953">
        <w:trPr>
          <w:trHeight w:val="225"/>
        </w:trPr>
        <w:tc>
          <w:tcPr>
            <w:tcW w:w="3544" w:type="dxa"/>
            <w:shd w:val="clear" w:color="000000" w:fill="FFFFFF"/>
            <w:noWrap/>
            <w:vAlign w:val="center"/>
            <w:hideMark/>
          </w:tcPr>
          <w:p w14:paraId="73519A46" w14:textId="0A9F2F8E" w:rsidR="000E104A" w:rsidRPr="005D1227" w:rsidRDefault="000E104A" w:rsidP="00CC334D">
            <w:pPr>
              <w:pStyle w:val="TableTextIndented"/>
              <w:rPr>
                <w:rFonts w:cs="Arial"/>
                <w:b/>
                <w:szCs w:val="16"/>
              </w:rPr>
            </w:pPr>
            <w:r w:rsidRPr="005D1227">
              <w:rPr>
                <w:rFonts w:cs="Arial"/>
                <w:b/>
                <w:szCs w:val="16"/>
              </w:rPr>
              <w:t xml:space="preserve"> non</w:t>
            </w:r>
            <w:r w:rsidR="00325E1E">
              <w:rPr>
                <w:rFonts w:cs="Arial"/>
                <w:b/>
                <w:bCs/>
                <w:szCs w:val="16"/>
              </w:rPr>
              <w:noBreakHyphen/>
            </w:r>
            <w:r w:rsidRPr="005D1227">
              <w:rPr>
                <w:rFonts w:cs="Arial"/>
                <w:b/>
                <w:szCs w:val="16"/>
              </w:rPr>
              <w:t>financial assets</w:t>
            </w:r>
          </w:p>
        </w:tc>
        <w:tc>
          <w:tcPr>
            <w:tcW w:w="677" w:type="dxa"/>
            <w:shd w:val="clear" w:color="000000" w:fill="FFFFFF"/>
            <w:noWrap/>
            <w:vAlign w:val="center"/>
            <w:hideMark/>
          </w:tcPr>
          <w:p w14:paraId="1C986093" w14:textId="6DBD3FFA"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16,451</w:t>
            </w:r>
          </w:p>
        </w:tc>
        <w:tc>
          <w:tcPr>
            <w:tcW w:w="873" w:type="dxa"/>
            <w:shd w:val="clear" w:color="000000" w:fill="E6F2FF"/>
            <w:noWrap/>
            <w:vAlign w:val="center"/>
            <w:hideMark/>
          </w:tcPr>
          <w:p w14:paraId="1CBDA5AC" w14:textId="58693511"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19,288</w:t>
            </w:r>
          </w:p>
        </w:tc>
        <w:tc>
          <w:tcPr>
            <w:tcW w:w="872" w:type="dxa"/>
            <w:shd w:val="clear" w:color="000000" w:fill="FFFFFF"/>
            <w:noWrap/>
            <w:vAlign w:val="center"/>
            <w:hideMark/>
          </w:tcPr>
          <w:p w14:paraId="328968CA" w14:textId="5B3A2DFA"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18,460</w:t>
            </w:r>
          </w:p>
        </w:tc>
        <w:tc>
          <w:tcPr>
            <w:tcW w:w="873" w:type="dxa"/>
            <w:shd w:val="clear" w:color="000000" w:fill="FFFFFF"/>
            <w:noWrap/>
            <w:vAlign w:val="center"/>
            <w:hideMark/>
          </w:tcPr>
          <w:p w14:paraId="5C85D4CA" w14:textId="1C785B74"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19,914</w:t>
            </w:r>
          </w:p>
        </w:tc>
        <w:tc>
          <w:tcPr>
            <w:tcW w:w="872" w:type="dxa"/>
            <w:shd w:val="clear" w:color="000000" w:fill="FFFFFF"/>
            <w:noWrap/>
            <w:vAlign w:val="center"/>
            <w:hideMark/>
          </w:tcPr>
          <w:p w14:paraId="15412732" w14:textId="0BC0FAD1"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22,516</w:t>
            </w:r>
          </w:p>
        </w:tc>
      </w:tr>
      <w:tr w:rsidR="002647F6" w:rsidRPr="002647F6" w14:paraId="213ABB32" w14:textId="77777777" w:rsidTr="00724953">
        <w:trPr>
          <w:trHeight w:val="225"/>
        </w:trPr>
        <w:tc>
          <w:tcPr>
            <w:tcW w:w="3544" w:type="dxa"/>
            <w:shd w:val="clear" w:color="000000" w:fill="FFFFFF"/>
            <w:noWrap/>
            <w:vAlign w:val="center"/>
            <w:hideMark/>
          </w:tcPr>
          <w:p w14:paraId="3DB43504" w14:textId="77777777" w:rsidR="002647F6" w:rsidRPr="005D1227" w:rsidRDefault="002647F6" w:rsidP="00F01FDB">
            <w:pPr>
              <w:pStyle w:val="TableTextLeft"/>
              <w:rPr>
                <w:rFonts w:cs="Arial"/>
                <w:b/>
                <w:color w:val="000000"/>
                <w:szCs w:val="16"/>
              </w:rPr>
            </w:pPr>
            <w:r w:rsidRPr="005D1227">
              <w:rPr>
                <w:rFonts w:cs="Arial"/>
                <w:b/>
                <w:color w:val="000000"/>
                <w:szCs w:val="16"/>
              </w:rPr>
              <w:t>Net cash flows from investments in</w:t>
            </w:r>
          </w:p>
        </w:tc>
        <w:tc>
          <w:tcPr>
            <w:tcW w:w="677" w:type="dxa"/>
            <w:shd w:val="clear" w:color="000000" w:fill="FFFFFF"/>
            <w:noWrap/>
            <w:vAlign w:val="bottom"/>
            <w:hideMark/>
          </w:tcPr>
          <w:p w14:paraId="45629F63"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bottom"/>
            <w:hideMark/>
          </w:tcPr>
          <w:p w14:paraId="738976FF"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BA71343"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bottom"/>
            <w:hideMark/>
          </w:tcPr>
          <w:p w14:paraId="539AF0A4"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7A0EB4CB" w14:textId="77777777" w:rsidR="002647F6" w:rsidRPr="005D1227" w:rsidRDefault="002647F6" w:rsidP="00DC307C">
            <w:pPr>
              <w:pStyle w:val="TableTextRight"/>
              <w:rPr>
                <w:rFonts w:cs="Arial"/>
                <w:szCs w:val="16"/>
              </w:rPr>
            </w:pPr>
            <w:r w:rsidRPr="005D1227">
              <w:rPr>
                <w:rFonts w:cs="Arial"/>
                <w:szCs w:val="16"/>
              </w:rPr>
              <w:t> </w:t>
            </w:r>
          </w:p>
        </w:tc>
      </w:tr>
      <w:tr w:rsidR="000E104A" w:rsidRPr="002647F6" w14:paraId="63610A79" w14:textId="77777777" w:rsidTr="00724953">
        <w:trPr>
          <w:trHeight w:val="225"/>
        </w:trPr>
        <w:tc>
          <w:tcPr>
            <w:tcW w:w="3544" w:type="dxa"/>
            <w:shd w:val="clear" w:color="000000" w:fill="FFFFFF"/>
            <w:noWrap/>
            <w:vAlign w:val="center"/>
            <w:hideMark/>
          </w:tcPr>
          <w:p w14:paraId="652C32EC" w14:textId="77777777" w:rsidR="000E104A" w:rsidRPr="005D1227" w:rsidRDefault="000E104A" w:rsidP="005D55FC">
            <w:pPr>
              <w:pStyle w:val="TableTextIndented"/>
              <w:rPr>
                <w:rFonts w:cs="Arial"/>
                <w:b/>
                <w:szCs w:val="16"/>
              </w:rPr>
            </w:pPr>
            <w:r w:rsidRPr="005D1227">
              <w:rPr>
                <w:rFonts w:cs="Arial"/>
                <w:b/>
                <w:szCs w:val="16"/>
              </w:rPr>
              <w:t>financial assets for policy purposes</w:t>
            </w:r>
          </w:p>
        </w:tc>
        <w:tc>
          <w:tcPr>
            <w:tcW w:w="677" w:type="dxa"/>
            <w:shd w:val="clear" w:color="000000" w:fill="FFFFFF"/>
            <w:noWrap/>
            <w:vAlign w:val="center"/>
            <w:hideMark/>
          </w:tcPr>
          <w:p w14:paraId="6BAA65B1" w14:textId="3D6CAAE4"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2,879</w:t>
            </w:r>
          </w:p>
        </w:tc>
        <w:tc>
          <w:tcPr>
            <w:tcW w:w="873" w:type="dxa"/>
            <w:shd w:val="clear" w:color="000000" w:fill="E6F2FF"/>
            <w:noWrap/>
            <w:vAlign w:val="center"/>
            <w:hideMark/>
          </w:tcPr>
          <w:p w14:paraId="030C2EF7" w14:textId="3DEE9395"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18,916</w:t>
            </w:r>
          </w:p>
        </w:tc>
        <w:tc>
          <w:tcPr>
            <w:tcW w:w="872" w:type="dxa"/>
            <w:shd w:val="clear" w:color="000000" w:fill="FFFFFF"/>
            <w:noWrap/>
            <w:vAlign w:val="center"/>
            <w:hideMark/>
          </w:tcPr>
          <w:p w14:paraId="0572705B" w14:textId="1C2FC5EB"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20,932</w:t>
            </w:r>
          </w:p>
        </w:tc>
        <w:tc>
          <w:tcPr>
            <w:tcW w:w="873" w:type="dxa"/>
            <w:shd w:val="clear" w:color="000000" w:fill="FFFFFF"/>
            <w:noWrap/>
            <w:vAlign w:val="center"/>
            <w:hideMark/>
          </w:tcPr>
          <w:p w14:paraId="124D1680" w14:textId="7D2978A0"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20,130</w:t>
            </w:r>
          </w:p>
        </w:tc>
        <w:tc>
          <w:tcPr>
            <w:tcW w:w="872" w:type="dxa"/>
            <w:shd w:val="clear" w:color="000000" w:fill="FFFFFF"/>
            <w:noWrap/>
            <w:vAlign w:val="center"/>
            <w:hideMark/>
          </w:tcPr>
          <w:p w14:paraId="3264E2E4" w14:textId="5E27C524" w:rsidR="000E104A" w:rsidRPr="005D1227" w:rsidRDefault="00325E1E" w:rsidP="00DC307C">
            <w:pPr>
              <w:pStyle w:val="TableTextRight"/>
              <w:rPr>
                <w:rFonts w:cs="Arial"/>
                <w:b/>
                <w:color w:val="000000"/>
                <w:szCs w:val="16"/>
              </w:rPr>
            </w:pPr>
            <w:r>
              <w:rPr>
                <w:rFonts w:cs="Arial"/>
                <w:b/>
                <w:bCs/>
                <w:color w:val="000000"/>
                <w:szCs w:val="16"/>
              </w:rPr>
              <w:noBreakHyphen/>
            </w:r>
            <w:r w:rsidR="000E104A" w:rsidRPr="005D1227">
              <w:rPr>
                <w:rFonts w:cs="Arial"/>
                <w:b/>
                <w:color w:val="000000"/>
                <w:szCs w:val="16"/>
              </w:rPr>
              <w:t>17,676</w:t>
            </w:r>
          </w:p>
        </w:tc>
      </w:tr>
      <w:tr w:rsidR="002647F6" w:rsidRPr="002647F6" w14:paraId="4459C321" w14:textId="77777777" w:rsidTr="00724953">
        <w:trPr>
          <w:trHeight w:val="225"/>
        </w:trPr>
        <w:tc>
          <w:tcPr>
            <w:tcW w:w="3544" w:type="dxa"/>
            <w:shd w:val="clear" w:color="000000" w:fill="FFFFFF"/>
            <w:noWrap/>
            <w:vAlign w:val="center"/>
            <w:hideMark/>
          </w:tcPr>
          <w:p w14:paraId="5630CB9B" w14:textId="77777777" w:rsidR="002647F6" w:rsidRPr="005D1227" w:rsidRDefault="002647F6" w:rsidP="00F01FDB">
            <w:pPr>
              <w:pStyle w:val="TableTextLeft"/>
              <w:rPr>
                <w:rFonts w:cs="Arial"/>
                <w:b/>
                <w:color w:val="000000"/>
                <w:szCs w:val="16"/>
              </w:rPr>
            </w:pPr>
            <w:r w:rsidRPr="005D1227">
              <w:rPr>
                <w:rFonts w:cs="Arial"/>
                <w:b/>
                <w:color w:val="000000"/>
                <w:szCs w:val="16"/>
              </w:rPr>
              <w:t>Net cash flows from investments in</w:t>
            </w:r>
          </w:p>
        </w:tc>
        <w:tc>
          <w:tcPr>
            <w:tcW w:w="677" w:type="dxa"/>
            <w:shd w:val="clear" w:color="000000" w:fill="FFFFFF"/>
            <w:noWrap/>
            <w:vAlign w:val="bottom"/>
            <w:hideMark/>
          </w:tcPr>
          <w:p w14:paraId="28FFCA62"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bottom"/>
            <w:hideMark/>
          </w:tcPr>
          <w:p w14:paraId="7803D99B"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46BFFE81"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bottom"/>
            <w:hideMark/>
          </w:tcPr>
          <w:p w14:paraId="4E93639E"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bottom"/>
            <w:hideMark/>
          </w:tcPr>
          <w:p w14:paraId="07618C8D" w14:textId="77777777" w:rsidR="002647F6" w:rsidRPr="005D1227" w:rsidRDefault="002647F6" w:rsidP="00DC307C">
            <w:pPr>
              <w:pStyle w:val="TableTextRight"/>
              <w:rPr>
                <w:rFonts w:cs="Arial"/>
                <w:szCs w:val="16"/>
              </w:rPr>
            </w:pPr>
            <w:r w:rsidRPr="005D1227">
              <w:rPr>
                <w:rFonts w:cs="Arial"/>
                <w:szCs w:val="16"/>
              </w:rPr>
              <w:t> </w:t>
            </w:r>
          </w:p>
        </w:tc>
      </w:tr>
      <w:tr w:rsidR="00E32720" w:rsidRPr="002647F6" w14:paraId="36A97E10" w14:textId="77777777" w:rsidTr="00724953">
        <w:trPr>
          <w:trHeight w:val="225"/>
        </w:trPr>
        <w:tc>
          <w:tcPr>
            <w:tcW w:w="3544" w:type="dxa"/>
            <w:shd w:val="clear" w:color="000000" w:fill="FFFFFF"/>
            <w:noWrap/>
            <w:vAlign w:val="center"/>
            <w:hideMark/>
          </w:tcPr>
          <w:p w14:paraId="429FB4E3" w14:textId="4C55EC75" w:rsidR="00E32720" w:rsidRPr="005D1227" w:rsidRDefault="00E32720" w:rsidP="005D55FC">
            <w:pPr>
              <w:pStyle w:val="TableTextIndented"/>
              <w:rPr>
                <w:rFonts w:cs="Arial"/>
                <w:b/>
                <w:szCs w:val="16"/>
              </w:rPr>
            </w:pPr>
            <w:r w:rsidRPr="005D1227">
              <w:rPr>
                <w:rFonts w:cs="Arial"/>
                <w:b/>
                <w:szCs w:val="16"/>
              </w:rPr>
              <w:t>financial assets for liquidity</w:t>
            </w:r>
            <w:r w:rsidR="00724953">
              <w:rPr>
                <w:rFonts w:cs="Arial"/>
                <w:b/>
                <w:szCs w:val="16"/>
              </w:rPr>
              <w:t xml:space="preserve"> </w:t>
            </w:r>
            <w:r w:rsidRPr="005D1227">
              <w:rPr>
                <w:rFonts w:cs="Arial"/>
                <w:b/>
                <w:szCs w:val="16"/>
              </w:rPr>
              <w:t>purposes</w:t>
            </w:r>
          </w:p>
        </w:tc>
        <w:tc>
          <w:tcPr>
            <w:tcW w:w="677" w:type="dxa"/>
            <w:shd w:val="clear" w:color="000000" w:fill="FFFFFF"/>
            <w:noWrap/>
            <w:vAlign w:val="center"/>
            <w:hideMark/>
          </w:tcPr>
          <w:p w14:paraId="03EB3186" w14:textId="6F976386" w:rsidR="00E32720" w:rsidRPr="005D1227" w:rsidRDefault="00325E1E" w:rsidP="00DC307C">
            <w:pPr>
              <w:pStyle w:val="TableTextRight"/>
              <w:rPr>
                <w:rFonts w:cs="Arial"/>
                <w:b/>
                <w:color w:val="000000"/>
                <w:szCs w:val="16"/>
              </w:rPr>
            </w:pPr>
            <w:r>
              <w:rPr>
                <w:rFonts w:cs="Arial"/>
                <w:b/>
                <w:bCs/>
                <w:color w:val="000000"/>
                <w:szCs w:val="16"/>
              </w:rPr>
              <w:noBreakHyphen/>
            </w:r>
            <w:r w:rsidR="00E32720" w:rsidRPr="005D1227">
              <w:rPr>
                <w:rFonts w:cs="Arial"/>
                <w:b/>
                <w:color w:val="000000"/>
                <w:szCs w:val="16"/>
              </w:rPr>
              <w:t>16,684</w:t>
            </w:r>
          </w:p>
        </w:tc>
        <w:tc>
          <w:tcPr>
            <w:tcW w:w="873" w:type="dxa"/>
            <w:shd w:val="clear" w:color="000000" w:fill="E6F2FF"/>
            <w:noWrap/>
            <w:vAlign w:val="center"/>
            <w:hideMark/>
          </w:tcPr>
          <w:p w14:paraId="70D798F9" w14:textId="1E60CBF3" w:rsidR="00E32720" w:rsidRPr="005D1227" w:rsidRDefault="00325E1E" w:rsidP="00DC307C">
            <w:pPr>
              <w:pStyle w:val="TableTextRight"/>
              <w:rPr>
                <w:rFonts w:cs="Arial"/>
                <w:b/>
                <w:color w:val="000000"/>
                <w:szCs w:val="16"/>
              </w:rPr>
            </w:pPr>
            <w:r>
              <w:rPr>
                <w:rFonts w:cs="Arial"/>
                <w:b/>
                <w:bCs/>
                <w:color w:val="000000"/>
                <w:szCs w:val="16"/>
              </w:rPr>
              <w:noBreakHyphen/>
            </w:r>
            <w:r w:rsidR="00E32720" w:rsidRPr="005D1227">
              <w:rPr>
                <w:rFonts w:cs="Arial"/>
                <w:b/>
                <w:color w:val="000000"/>
                <w:szCs w:val="16"/>
              </w:rPr>
              <w:t>4,050</w:t>
            </w:r>
          </w:p>
        </w:tc>
        <w:tc>
          <w:tcPr>
            <w:tcW w:w="872" w:type="dxa"/>
            <w:shd w:val="clear" w:color="000000" w:fill="FFFFFF"/>
            <w:noWrap/>
            <w:vAlign w:val="center"/>
            <w:hideMark/>
          </w:tcPr>
          <w:p w14:paraId="1A148A9C" w14:textId="103E0F76" w:rsidR="00E32720" w:rsidRPr="005D1227" w:rsidRDefault="00325E1E" w:rsidP="00DC307C">
            <w:pPr>
              <w:pStyle w:val="TableTextRight"/>
              <w:rPr>
                <w:rFonts w:cs="Arial"/>
                <w:b/>
                <w:color w:val="000000"/>
                <w:szCs w:val="16"/>
              </w:rPr>
            </w:pPr>
            <w:r>
              <w:rPr>
                <w:rFonts w:cs="Arial"/>
                <w:b/>
                <w:bCs/>
                <w:color w:val="000000"/>
                <w:szCs w:val="16"/>
              </w:rPr>
              <w:noBreakHyphen/>
            </w:r>
            <w:r w:rsidR="00E32720" w:rsidRPr="005D1227">
              <w:rPr>
                <w:rFonts w:cs="Arial"/>
                <w:b/>
                <w:color w:val="000000"/>
                <w:szCs w:val="16"/>
              </w:rPr>
              <w:t>4,644</w:t>
            </w:r>
          </w:p>
        </w:tc>
        <w:tc>
          <w:tcPr>
            <w:tcW w:w="873" w:type="dxa"/>
            <w:shd w:val="clear" w:color="000000" w:fill="FFFFFF"/>
            <w:noWrap/>
            <w:vAlign w:val="center"/>
            <w:hideMark/>
          </w:tcPr>
          <w:p w14:paraId="211649C8" w14:textId="3D98B5D2" w:rsidR="00E32720" w:rsidRPr="005D1227" w:rsidRDefault="00325E1E" w:rsidP="00DC307C">
            <w:pPr>
              <w:pStyle w:val="TableTextRight"/>
              <w:rPr>
                <w:rFonts w:cs="Arial"/>
                <w:b/>
                <w:color w:val="000000"/>
                <w:szCs w:val="16"/>
              </w:rPr>
            </w:pPr>
            <w:r>
              <w:rPr>
                <w:rFonts w:cs="Arial"/>
                <w:b/>
                <w:bCs/>
                <w:color w:val="000000"/>
                <w:szCs w:val="16"/>
              </w:rPr>
              <w:noBreakHyphen/>
            </w:r>
            <w:r w:rsidR="00E32720" w:rsidRPr="005D1227">
              <w:rPr>
                <w:rFonts w:cs="Arial"/>
                <w:b/>
                <w:color w:val="000000"/>
                <w:szCs w:val="16"/>
              </w:rPr>
              <w:t>5,676</w:t>
            </w:r>
          </w:p>
        </w:tc>
        <w:tc>
          <w:tcPr>
            <w:tcW w:w="872" w:type="dxa"/>
            <w:shd w:val="clear" w:color="000000" w:fill="FFFFFF"/>
            <w:noWrap/>
            <w:vAlign w:val="center"/>
            <w:hideMark/>
          </w:tcPr>
          <w:p w14:paraId="6F193F97" w14:textId="33D8EAEB" w:rsidR="00E32720" w:rsidRPr="005D1227" w:rsidRDefault="00325E1E" w:rsidP="00DC307C">
            <w:pPr>
              <w:pStyle w:val="TableTextRight"/>
              <w:rPr>
                <w:rFonts w:cs="Arial"/>
                <w:b/>
                <w:color w:val="000000"/>
                <w:szCs w:val="16"/>
              </w:rPr>
            </w:pPr>
            <w:r>
              <w:rPr>
                <w:rFonts w:cs="Arial"/>
                <w:b/>
                <w:bCs/>
                <w:color w:val="000000"/>
                <w:szCs w:val="16"/>
              </w:rPr>
              <w:noBreakHyphen/>
            </w:r>
            <w:r w:rsidR="00E32720" w:rsidRPr="005D1227">
              <w:rPr>
                <w:rFonts w:cs="Arial"/>
                <w:b/>
                <w:color w:val="000000"/>
                <w:szCs w:val="16"/>
              </w:rPr>
              <w:t>5,958</w:t>
            </w:r>
          </w:p>
        </w:tc>
      </w:tr>
      <w:tr w:rsidR="002647F6" w:rsidRPr="002647F6" w14:paraId="606EEDB6" w14:textId="77777777" w:rsidTr="00724953">
        <w:trPr>
          <w:trHeight w:val="225"/>
        </w:trPr>
        <w:tc>
          <w:tcPr>
            <w:tcW w:w="3544" w:type="dxa"/>
            <w:shd w:val="clear" w:color="000000" w:fill="FFFFFF"/>
            <w:noWrap/>
            <w:vAlign w:val="center"/>
            <w:hideMark/>
          </w:tcPr>
          <w:p w14:paraId="3E5816B2" w14:textId="77777777" w:rsidR="002647F6" w:rsidRPr="005D1227" w:rsidRDefault="002647F6" w:rsidP="00F01FDB">
            <w:pPr>
              <w:pStyle w:val="TableTextLeft"/>
              <w:rPr>
                <w:rFonts w:cs="Arial"/>
                <w:b/>
                <w:szCs w:val="16"/>
              </w:rPr>
            </w:pPr>
            <w:r w:rsidRPr="005D1227">
              <w:rPr>
                <w:rFonts w:cs="Arial"/>
                <w:b/>
                <w:szCs w:val="16"/>
              </w:rPr>
              <w:t xml:space="preserve">Cash receipts from financing activities </w:t>
            </w:r>
          </w:p>
        </w:tc>
        <w:tc>
          <w:tcPr>
            <w:tcW w:w="677" w:type="dxa"/>
            <w:shd w:val="clear" w:color="000000" w:fill="FFFFFF"/>
            <w:noWrap/>
            <w:vAlign w:val="center"/>
            <w:hideMark/>
          </w:tcPr>
          <w:p w14:paraId="546B8B8C" w14:textId="77777777" w:rsidR="002647F6" w:rsidRPr="005D1227" w:rsidRDefault="002647F6" w:rsidP="00DC307C">
            <w:pPr>
              <w:pStyle w:val="TableTextRight"/>
              <w:rPr>
                <w:rFonts w:cs="Arial"/>
                <w:b/>
                <w:szCs w:val="16"/>
              </w:rPr>
            </w:pPr>
            <w:r w:rsidRPr="005D1227">
              <w:rPr>
                <w:rFonts w:cs="Arial"/>
                <w:b/>
                <w:szCs w:val="16"/>
              </w:rPr>
              <w:t> </w:t>
            </w:r>
          </w:p>
        </w:tc>
        <w:tc>
          <w:tcPr>
            <w:tcW w:w="873" w:type="dxa"/>
            <w:shd w:val="clear" w:color="000000" w:fill="E6F2FF"/>
            <w:noWrap/>
            <w:vAlign w:val="center"/>
            <w:hideMark/>
          </w:tcPr>
          <w:p w14:paraId="3CD54E61" w14:textId="77777777" w:rsidR="002647F6" w:rsidRPr="005D1227" w:rsidRDefault="002647F6" w:rsidP="00DC307C">
            <w:pPr>
              <w:pStyle w:val="TableTextRight"/>
              <w:rPr>
                <w:rFonts w:cs="Arial"/>
                <w:b/>
                <w:szCs w:val="16"/>
              </w:rPr>
            </w:pPr>
            <w:r w:rsidRPr="005D1227">
              <w:rPr>
                <w:rFonts w:cs="Arial"/>
                <w:b/>
                <w:szCs w:val="16"/>
              </w:rPr>
              <w:t> </w:t>
            </w:r>
          </w:p>
        </w:tc>
        <w:tc>
          <w:tcPr>
            <w:tcW w:w="872" w:type="dxa"/>
            <w:shd w:val="clear" w:color="000000" w:fill="FFFFFF"/>
            <w:noWrap/>
            <w:vAlign w:val="center"/>
            <w:hideMark/>
          </w:tcPr>
          <w:p w14:paraId="5E2CB4E1" w14:textId="77777777" w:rsidR="002647F6" w:rsidRPr="005D1227" w:rsidRDefault="002647F6" w:rsidP="00DC307C">
            <w:pPr>
              <w:pStyle w:val="TableTextRight"/>
              <w:rPr>
                <w:rFonts w:cs="Arial"/>
                <w:b/>
                <w:szCs w:val="16"/>
              </w:rPr>
            </w:pPr>
            <w:r w:rsidRPr="005D1227">
              <w:rPr>
                <w:rFonts w:cs="Arial"/>
                <w:b/>
                <w:szCs w:val="16"/>
              </w:rPr>
              <w:t> </w:t>
            </w:r>
          </w:p>
        </w:tc>
        <w:tc>
          <w:tcPr>
            <w:tcW w:w="873" w:type="dxa"/>
            <w:shd w:val="clear" w:color="000000" w:fill="FFFFFF"/>
            <w:noWrap/>
            <w:vAlign w:val="center"/>
            <w:hideMark/>
          </w:tcPr>
          <w:p w14:paraId="74240D2D" w14:textId="77777777" w:rsidR="002647F6" w:rsidRPr="005D1227" w:rsidRDefault="002647F6" w:rsidP="00DC307C">
            <w:pPr>
              <w:pStyle w:val="TableTextRight"/>
              <w:rPr>
                <w:rFonts w:cs="Arial"/>
                <w:b/>
                <w:szCs w:val="16"/>
              </w:rPr>
            </w:pPr>
            <w:r w:rsidRPr="005D1227">
              <w:rPr>
                <w:rFonts w:cs="Arial"/>
                <w:b/>
                <w:szCs w:val="16"/>
              </w:rPr>
              <w:t> </w:t>
            </w:r>
          </w:p>
        </w:tc>
        <w:tc>
          <w:tcPr>
            <w:tcW w:w="872" w:type="dxa"/>
            <w:shd w:val="clear" w:color="000000" w:fill="FFFFFF"/>
            <w:noWrap/>
            <w:vAlign w:val="center"/>
            <w:hideMark/>
          </w:tcPr>
          <w:p w14:paraId="261A77B4" w14:textId="77777777" w:rsidR="002647F6" w:rsidRPr="005D1227" w:rsidRDefault="002647F6" w:rsidP="00DC307C">
            <w:pPr>
              <w:pStyle w:val="TableTextRight"/>
              <w:rPr>
                <w:rFonts w:cs="Arial"/>
                <w:b/>
                <w:szCs w:val="16"/>
              </w:rPr>
            </w:pPr>
            <w:r w:rsidRPr="005D1227">
              <w:rPr>
                <w:rFonts w:cs="Arial"/>
                <w:b/>
                <w:szCs w:val="16"/>
              </w:rPr>
              <w:t> </w:t>
            </w:r>
          </w:p>
        </w:tc>
      </w:tr>
      <w:tr w:rsidR="00E32720" w:rsidRPr="002647F6" w14:paraId="585D649E" w14:textId="77777777" w:rsidTr="00724953">
        <w:trPr>
          <w:trHeight w:val="225"/>
        </w:trPr>
        <w:tc>
          <w:tcPr>
            <w:tcW w:w="3544" w:type="dxa"/>
            <w:shd w:val="clear" w:color="000000" w:fill="FFFFFF"/>
            <w:noWrap/>
            <w:vAlign w:val="center"/>
            <w:hideMark/>
          </w:tcPr>
          <w:p w14:paraId="1AA2373C" w14:textId="77777777" w:rsidR="00E32720" w:rsidRPr="005D1227" w:rsidRDefault="00E32720" w:rsidP="00F01FDB">
            <w:pPr>
              <w:pStyle w:val="TableTextLeft"/>
              <w:rPr>
                <w:rFonts w:cs="Arial"/>
                <w:szCs w:val="16"/>
              </w:rPr>
            </w:pPr>
            <w:r w:rsidRPr="005D1227">
              <w:rPr>
                <w:rFonts w:cs="Arial"/>
                <w:szCs w:val="16"/>
              </w:rPr>
              <w:t>Borrowing</w:t>
            </w:r>
          </w:p>
        </w:tc>
        <w:tc>
          <w:tcPr>
            <w:tcW w:w="677" w:type="dxa"/>
            <w:shd w:val="clear" w:color="000000" w:fill="FFFFFF"/>
            <w:noWrap/>
            <w:vAlign w:val="center"/>
            <w:hideMark/>
          </w:tcPr>
          <w:p w14:paraId="5C2DC3A6" w14:textId="6076D28E" w:rsidR="00E32720" w:rsidRPr="005D1227" w:rsidRDefault="00E32720" w:rsidP="00DC307C">
            <w:pPr>
              <w:pStyle w:val="TableTextRight"/>
              <w:rPr>
                <w:rFonts w:cs="Arial"/>
                <w:color w:val="000000"/>
                <w:szCs w:val="16"/>
              </w:rPr>
            </w:pPr>
            <w:r w:rsidRPr="005D1227">
              <w:rPr>
                <w:rFonts w:cs="Arial"/>
                <w:color w:val="000000"/>
                <w:szCs w:val="16"/>
              </w:rPr>
              <w:t>168,884</w:t>
            </w:r>
          </w:p>
        </w:tc>
        <w:tc>
          <w:tcPr>
            <w:tcW w:w="873" w:type="dxa"/>
            <w:shd w:val="clear" w:color="000000" w:fill="E6F2FF"/>
            <w:noWrap/>
            <w:vAlign w:val="center"/>
            <w:hideMark/>
          </w:tcPr>
          <w:p w14:paraId="62B7A2C0" w14:textId="3038F2AB" w:rsidR="00E32720" w:rsidRPr="005D1227" w:rsidRDefault="00E32720" w:rsidP="00DC307C">
            <w:pPr>
              <w:pStyle w:val="TableTextRight"/>
              <w:rPr>
                <w:rFonts w:cs="Arial"/>
                <w:color w:val="000000"/>
                <w:szCs w:val="16"/>
              </w:rPr>
            </w:pPr>
            <w:r w:rsidRPr="005D1227">
              <w:rPr>
                <w:rFonts w:cs="Arial"/>
                <w:color w:val="000000"/>
                <w:szCs w:val="16"/>
              </w:rPr>
              <w:t>528,678</w:t>
            </w:r>
          </w:p>
        </w:tc>
        <w:tc>
          <w:tcPr>
            <w:tcW w:w="872" w:type="dxa"/>
            <w:shd w:val="clear" w:color="000000" w:fill="FFFFFF"/>
            <w:noWrap/>
            <w:vAlign w:val="center"/>
            <w:hideMark/>
          </w:tcPr>
          <w:p w14:paraId="39EB8BB9" w14:textId="243C7DA3" w:rsidR="00E32720" w:rsidRPr="005D1227" w:rsidRDefault="00E32720" w:rsidP="00DC307C">
            <w:pPr>
              <w:pStyle w:val="TableTextRight"/>
              <w:rPr>
                <w:rFonts w:cs="Arial"/>
                <w:color w:val="000000"/>
                <w:szCs w:val="16"/>
              </w:rPr>
            </w:pPr>
            <w:r w:rsidRPr="005D1227">
              <w:rPr>
                <w:rFonts w:cs="Arial"/>
                <w:color w:val="000000"/>
                <w:szCs w:val="16"/>
              </w:rPr>
              <w:t>809,085</w:t>
            </w:r>
          </w:p>
        </w:tc>
        <w:tc>
          <w:tcPr>
            <w:tcW w:w="873" w:type="dxa"/>
            <w:shd w:val="clear" w:color="000000" w:fill="FFFFFF"/>
            <w:noWrap/>
            <w:vAlign w:val="center"/>
            <w:hideMark/>
          </w:tcPr>
          <w:p w14:paraId="1C5C083C" w14:textId="5933BC95" w:rsidR="00E32720" w:rsidRPr="005D1227" w:rsidRDefault="00E32720" w:rsidP="00DC307C">
            <w:pPr>
              <w:pStyle w:val="TableTextRight"/>
              <w:rPr>
                <w:rFonts w:cs="Arial"/>
                <w:color w:val="000000"/>
                <w:szCs w:val="16"/>
              </w:rPr>
            </w:pPr>
            <w:r w:rsidRPr="005D1227">
              <w:rPr>
                <w:rFonts w:cs="Arial"/>
                <w:color w:val="000000"/>
                <w:szCs w:val="16"/>
              </w:rPr>
              <w:t>919,481</w:t>
            </w:r>
          </w:p>
        </w:tc>
        <w:tc>
          <w:tcPr>
            <w:tcW w:w="872" w:type="dxa"/>
            <w:shd w:val="clear" w:color="000000" w:fill="FFFFFF"/>
            <w:noWrap/>
            <w:vAlign w:val="center"/>
            <w:hideMark/>
          </w:tcPr>
          <w:p w14:paraId="11B498FA" w14:textId="32E624AB" w:rsidR="00E32720" w:rsidRPr="005D1227" w:rsidRDefault="00E32720" w:rsidP="00DC307C">
            <w:pPr>
              <w:pStyle w:val="TableTextRight"/>
              <w:rPr>
                <w:rFonts w:cs="Arial"/>
                <w:color w:val="000000"/>
                <w:szCs w:val="16"/>
              </w:rPr>
            </w:pPr>
            <w:r w:rsidRPr="005D1227">
              <w:rPr>
                <w:rFonts w:cs="Arial"/>
                <w:color w:val="000000"/>
                <w:szCs w:val="16"/>
              </w:rPr>
              <w:t>806,142</w:t>
            </w:r>
          </w:p>
        </w:tc>
      </w:tr>
      <w:tr w:rsidR="00E32720" w:rsidRPr="002647F6" w14:paraId="3061760A" w14:textId="77777777" w:rsidTr="00724953">
        <w:trPr>
          <w:trHeight w:val="225"/>
        </w:trPr>
        <w:tc>
          <w:tcPr>
            <w:tcW w:w="3544" w:type="dxa"/>
            <w:shd w:val="clear" w:color="000000" w:fill="FFFFFF"/>
            <w:noWrap/>
            <w:vAlign w:val="center"/>
            <w:hideMark/>
          </w:tcPr>
          <w:p w14:paraId="11E9EB46" w14:textId="77777777" w:rsidR="00E32720" w:rsidRPr="005D1227" w:rsidRDefault="00E32720" w:rsidP="00F01FDB">
            <w:pPr>
              <w:pStyle w:val="TableTextLeft"/>
              <w:rPr>
                <w:rFonts w:cs="Arial"/>
                <w:szCs w:val="16"/>
              </w:rPr>
            </w:pPr>
            <w:r w:rsidRPr="005D1227">
              <w:rPr>
                <w:rFonts w:cs="Arial"/>
                <w:szCs w:val="16"/>
              </w:rPr>
              <w:t>Other financing</w:t>
            </w:r>
          </w:p>
        </w:tc>
        <w:tc>
          <w:tcPr>
            <w:tcW w:w="677" w:type="dxa"/>
            <w:shd w:val="clear" w:color="000000" w:fill="FFFFFF"/>
            <w:noWrap/>
            <w:vAlign w:val="center"/>
            <w:hideMark/>
          </w:tcPr>
          <w:p w14:paraId="55F3A928" w14:textId="65B63296" w:rsidR="00E32720" w:rsidRPr="005D1227" w:rsidRDefault="00E32720" w:rsidP="00DC307C">
            <w:pPr>
              <w:pStyle w:val="TableTextRight"/>
              <w:rPr>
                <w:rFonts w:cs="Arial"/>
                <w:szCs w:val="16"/>
              </w:rPr>
            </w:pPr>
            <w:r w:rsidRPr="005D1227">
              <w:rPr>
                <w:rFonts w:cs="Arial"/>
                <w:szCs w:val="16"/>
              </w:rPr>
              <w:t>6,487</w:t>
            </w:r>
          </w:p>
        </w:tc>
        <w:tc>
          <w:tcPr>
            <w:tcW w:w="873" w:type="dxa"/>
            <w:shd w:val="clear" w:color="000000" w:fill="E6F2FF"/>
            <w:noWrap/>
            <w:vAlign w:val="center"/>
            <w:hideMark/>
          </w:tcPr>
          <w:p w14:paraId="7FAD3D5E" w14:textId="64441EB1" w:rsidR="00E32720" w:rsidRPr="005D1227" w:rsidRDefault="00E32720" w:rsidP="00DC307C">
            <w:pPr>
              <w:pStyle w:val="TableTextRight"/>
              <w:rPr>
                <w:rFonts w:cs="Arial"/>
                <w:szCs w:val="16"/>
              </w:rPr>
            </w:pPr>
            <w:r w:rsidRPr="005D1227">
              <w:rPr>
                <w:rFonts w:cs="Arial"/>
                <w:szCs w:val="16"/>
              </w:rPr>
              <w:t>127</w:t>
            </w:r>
          </w:p>
        </w:tc>
        <w:tc>
          <w:tcPr>
            <w:tcW w:w="872" w:type="dxa"/>
            <w:shd w:val="clear" w:color="000000" w:fill="FFFFFF"/>
            <w:noWrap/>
            <w:vAlign w:val="center"/>
            <w:hideMark/>
          </w:tcPr>
          <w:p w14:paraId="3418372F" w14:textId="3B0D0D87" w:rsidR="00E32720" w:rsidRPr="005D1227" w:rsidRDefault="00E32720" w:rsidP="00DC307C">
            <w:pPr>
              <w:pStyle w:val="TableTextRight"/>
              <w:rPr>
                <w:rFonts w:cs="Arial"/>
                <w:szCs w:val="16"/>
              </w:rPr>
            </w:pPr>
            <w:r w:rsidRPr="005D1227">
              <w:rPr>
                <w:rFonts w:cs="Arial"/>
                <w:szCs w:val="16"/>
              </w:rPr>
              <w:t>148</w:t>
            </w:r>
          </w:p>
        </w:tc>
        <w:tc>
          <w:tcPr>
            <w:tcW w:w="873" w:type="dxa"/>
            <w:shd w:val="clear" w:color="000000" w:fill="FFFFFF"/>
            <w:noWrap/>
            <w:vAlign w:val="center"/>
            <w:hideMark/>
          </w:tcPr>
          <w:p w14:paraId="2009DF9E" w14:textId="12B280E3" w:rsidR="00E32720" w:rsidRPr="005D1227" w:rsidRDefault="00E32720" w:rsidP="00DC307C">
            <w:pPr>
              <w:pStyle w:val="TableTextRight"/>
              <w:rPr>
                <w:rFonts w:cs="Arial"/>
                <w:szCs w:val="16"/>
              </w:rPr>
            </w:pPr>
            <w:r w:rsidRPr="005D1227">
              <w:rPr>
                <w:rFonts w:cs="Arial"/>
                <w:szCs w:val="16"/>
              </w:rPr>
              <w:t>165</w:t>
            </w:r>
          </w:p>
        </w:tc>
        <w:tc>
          <w:tcPr>
            <w:tcW w:w="872" w:type="dxa"/>
            <w:shd w:val="clear" w:color="000000" w:fill="FFFFFF"/>
            <w:noWrap/>
            <w:vAlign w:val="center"/>
            <w:hideMark/>
          </w:tcPr>
          <w:p w14:paraId="35D46633" w14:textId="637DCD40" w:rsidR="00E32720" w:rsidRPr="005D1227" w:rsidRDefault="00E32720" w:rsidP="00DC307C">
            <w:pPr>
              <w:pStyle w:val="TableTextRight"/>
              <w:rPr>
                <w:rFonts w:cs="Arial"/>
                <w:szCs w:val="16"/>
              </w:rPr>
            </w:pPr>
            <w:r w:rsidRPr="005D1227">
              <w:rPr>
                <w:rFonts w:cs="Arial"/>
                <w:szCs w:val="16"/>
              </w:rPr>
              <w:t>88</w:t>
            </w:r>
          </w:p>
        </w:tc>
      </w:tr>
      <w:tr w:rsidR="002647F6" w:rsidRPr="002647F6" w14:paraId="49026808" w14:textId="77777777" w:rsidTr="00724953">
        <w:trPr>
          <w:trHeight w:val="225"/>
        </w:trPr>
        <w:tc>
          <w:tcPr>
            <w:tcW w:w="3544" w:type="dxa"/>
            <w:shd w:val="clear" w:color="000000" w:fill="FFFFFF"/>
            <w:noWrap/>
            <w:vAlign w:val="center"/>
            <w:hideMark/>
          </w:tcPr>
          <w:p w14:paraId="25FA2A5C" w14:textId="77777777" w:rsidR="002647F6" w:rsidRPr="005D1227" w:rsidRDefault="002647F6" w:rsidP="00F01FDB">
            <w:pPr>
              <w:pStyle w:val="TableTextLeft"/>
              <w:rPr>
                <w:rFonts w:cs="Arial"/>
                <w:b/>
                <w:szCs w:val="16"/>
              </w:rPr>
            </w:pPr>
            <w:r w:rsidRPr="005D1227">
              <w:rPr>
                <w:rFonts w:cs="Arial"/>
                <w:b/>
                <w:szCs w:val="16"/>
              </w:rPr>
              <w:t>Total cash receipts from financing</w:t>
            </w:r>
          </w:p>
        </w:tc>
        <w:tc>
          <w:tcPr>
            <w:tcW w:w="677" w:type="dxa"/>
            <w:shd w:val="clear" w:color="000000" w:fill="FFFFFF"/>
            <w:noWrap/>
            <w:vAlign w:val="center"/>
            <w:hideMark/>
          </w:tcPr>
          <w:p w14:paraId="0937E544"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center"/>
            <w:hideMark/>
          </w:tcPr>
          <w:p w14:paraId="40630D03"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32F7057B"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center"/>
            <w:hideMark/>
          </w:tcPr>
          <w:p w14:paraId="499A0DE9"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36146F66" w14:textId="77777777" w:rsidR="002647F6" w:rsidRPr="005D1227" w:rsidRDefault="002647F6" w:rsidP="00DC307C">
            <w:pPr>
              <w:pStyle w:val="TableTextRight"/>
              <w:rPr>
                <w:rFonts w:cs="Arial"/>
                <w:szCs w:val="16"/>
              </w:rPr>
            </w:pPr>
            <w:r w:rsidRPr="005D1227">
              <w:rPr>
                <w:rFonts w:cs="Arial"/>
                <w:szCs w:val="16"/>
              </w:rPr>
              <w:t> </w:t>
            </w:r>
          </w:p>
        </w:tc>
      </w:tr>
      <w:tr w:rsidR="00E32720" w:rsidRPr="002647F6" w14:paraId="7AB18D6A" w14:textId="77777777" w:rsidTr="00724953">
        <w:trPr>
          <w:trHeight w:val="225"/>
        </w:trPr>
        <w:tc>
          <w:tcPr>
            <w:tcW w:w="3544" w:type="dxa"/>
            <w:shd w:val="clear" w:color="000000" w:fill="FFFFFF"/>
            <w:noWrap/>
            <w:vAlign w:val="center"/>
            <w:hideMark/>
          </w:tcPr>
          <w:p w14:paraId="7C5DDBC9" w14:textId="77777777" w:rsidR="00E32720" w:rsidRPr="005D1227" w:rsidRDefault="00E32720" w:rsidP="005D55FC">
            <w:pPr>
              <w:pStyle w:val="TableTextIndented"/>
              <w:rPr>
                <w:rFonts w:cs="Arial"/>
                <w:b/>
                <w:szCs w:val="16"/>
              </w:rPr>
            </w:pPr>
            <w:r w:rsidRPr="005D1227">
              <w:rPr>
                <w:rFonts w:cs="Arial"/>
                <w:b/>
                <w:szCs w:val="16"/>
              </w:rPr>
              <w:t>activities</w:t>
            </w:r>
          </w:p>
        </w:tc>
        <w:tc>
          <w:tcPr>
            <w:tcW w:w="677" w:type="dxa"/>
            <w:shd w:val="clear" w:color="000000" w:fill="FFFFFF"/>
            <w:noWrap/>
            <w:vAlign w:val="center"/>
            <w:hideMark/>
          </w:tcPr>
          <w:p w14:paraId="37C5A8E7" w14:textId="7FF0E988" w:rsidR="00E32720" w:rsidRPr="005D1227" w:rsidRDefault="00E32720" w:rsidP="00DC307C">
            <w:pPr>
              <w:pStyle w:val="TableTextRight"/>
              <w:rPr>
                <w:rFonts w:cs="Arial"/>
                <w:b/>
                <w:szCs w:val="16"/>
              </w:rPr>
            </w:pPr>
            <w:r w:rsidRPr="005D1227">
              <w:rPr>
                <w:rFonts w:cs="Arial"/>
                <w:b/>
                <w:szCs w:val="16"/>
              </w:rPr>
              <w:t>175,371</w:t>
            </w:r>
          </w:p>
        </w:tc>
        <w:tc>
          <w:tcPr>
            <w:tcW w:w="873" w:type="dxa"/>
            <w:shd w:val="clear" w:color="000000" w:fill="E6F2FF"/>
            <w:noWrap/>
            <w:vAlign w:val="center"/>
            <w:hideMark/>
          </w:tcPr>
          <w:p w14:paraId="34ED7B90" w14:textId="1060B13C" w:rsidR="00E32720" w:rsidRPr="005D1227" w:rsidRDefault="00E32720" w:rsidP="00DC307C">
            <w:pPr>
              <w:pStyle w:val="TableTextRight"/>
              <w:rPr>
                <w:rFonts w:cs="Arial"/>
                <w:b/>
                <w:szCs w:val="16"/>
              </w:rPr>
            </w:pPr>
            <w:r w:rsidRPr="005D1227">
              <w:rPr>
                <w:rFonts w:cs="Arial"/>
                <w:b/>
                <w:szCs w:val="16"/>
              </w:rPr>
              <w:t>528,805</w:t>
            </w:r>
          </w:p>
        </w:tc>
        <w:tc>
          <w:tcPr>
            <w:tcW w:w="872" w:type="dxa"/>
            <w:shd w:val="clear" w:color="000000" w:fill="FFFFFF"/>
            <w:noWrap/>
            <w:vAlign w:val="center"/>
            <w:hideMark/>
          </w:tcPr>
          <w:p w14:paraId="15AA0E65" w14:textId="789CEC2D" w:rsidR="00E32720" w:rsidRPr="005D1227" w:rsidRDefault="00E32720" w:rsidP="00DC307C">
            <w:pPr>
              <w:pStyle w:val="TableTextRight"/>
              <w:rPr>
                <w:rFonts w:cs="Arial"/>
                <w:b/>
                <w:szCs w:val="16"/>
              </w:rPr>
            </w:pPr>
            <w:r w:rsidRPr="005D1227">
              <w:rPr>
                <w:rFonts w:cs="Arial"/>
                <w:b/>
                <w:szCs w:val="16"/>
              </w:rPr>
              <w:t>809,234</w:t>
            </w:r>
          </w:p>
        </w:tc>
        <w:tc>
          <w:tcPr>
            <w:tcW w:w="873" w:type="dxa"/>
            <w:shd w:val="clear" w:color="000000" w:fill="FFFFFF"/>
            <w:noWrap/>
            <w:vAlign w:val="center"/>
            <w:hideMark/>
          </w:tcPr>
          <w:p w14:paraId="37F6EC51" w14:textId="7E83811B" w:rsidR="00E32720" w:rsidRPr="005D1227" w:rsidRDefault="00E32720" w:rsidP="00DC307C">
            <w:pPr>
              <w:pStyle w:val="TableTextRight"/>
              <w:rPr>
                <w:rFonts w:cs="Arial"/>
                <w:b/>
                <w:szCs w:val="16"/>
              </w:rPr>
            </w:pPr>
            <w:r w:rsidRPr="005D1227">
              <w:rPr>
                <w:rFonts w:cs="Arial"/>
                <w:b/>
                <w:szCs w:val="16"/>
              </w:rPr>
              <w:t>919,646</w:t>
            </w:r>
          </w:p>
        </w:tc>
        <w:tc>
          <w:tcPr>
            <w:tcW w:w="872" w:type="dxa"/>
            <w:shd w:val="clear" w:color="000000" w:fill="FFFFFF"/>
            <w:noWrap/>
            <w:vAlign w:val="center"/>
            <w:hideMark/>
          </w:tcPr>
          <w:p w14:paraId="16D4BF0A" w14:textId="2092A04A" w:rsidR="00E32720" w:rsidRPr="005D1227" w:rsidRDefault="00E32720" w:rsidP="00DC307C">
            <w:pPr>
              <w:pStyle w:val="TableTextRight"/>
              <w:rPr>
                <w:rFonts w:cs="Arial"/>
                <w:b/>
                <w:szCs w:val="16"/>
              </w:rPr>
            </w:pPr>
            <w:r w:rsidRPr="005D1227">
              <w:rPr>
                <w:rFonts w:cs="Arial"/>
                <w:b/>
                <w:szCs w:val="16"/>
              </w:rPr>
              <w:t>806,231</w:t>
            </w:r>
          </w:p>
        </w:tc>
      </w:tr>
      <w:tr w:rsidR="002647F6" w:rsidRPr="002647F6" w14:paraId="2F1D2CD1" w14:textId="77777777" w:rsidTr="00724953">
        <w:trPr>
          <w:trHeight w:val="225"/>
        </w:trPr>
        <w:tc>
          <w:tcPr>
            <w:tcW w:w="3544" w:type="dxa"/>
            <w:shd w:val="clear" w:color="000000" w:fill="FFFFFF"/>
            <w:noWrap/>
            <w:vAlign w:val="center"/>
            <w:hideMark/>
          </w:tcPr>
          <w:p w14:paraId="6E2F2BCB" w14:textId="77777777" w:rsidR="002647F6" w:rsidRPr="005D1227" w:rsidRDefault="002647F6" w:rsidP="00F01FDB">
            <w:pPr>
              <w:pStyle w:val="TableTextLeft"/>
              <w:rPr>
                <w:rFonts w:cs="Arial"/>
                <w:b/>
                <w:szCs w:val="16"/>
              </w:rPr>
            </w:pPr>
            <w:r w:rsidRPr="005D1227">
              <w:rPr>
                <w:rFonts w:cs="Arial"/>
                <w:b/>
                <w:szCs w:val="16"/>
              </w:rPr>
              <w:t>Cash payments for financing activities</w:t>
            </w:r>
          </w:p>
        </w:tc>
        <w:tc>
          <w:tcPr>
            <w:tcW w:w="677" w:type="dxa"/>
            <w:shd w:val="clear" w:color="000000" w:fill="FFFFFF"/>
            <w:noWrap/>
            <w:vAlign w:val="center"/>
            <w:hideMark/>
          </w:tcPr>
          <w:p w14:paraId="22AFF30C"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center"/>
            <w:hideMark/>
          </w:tcPr>
          <w:p w14:paraId="530BE734"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0AB1998D"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center"/>
            <w:hideMark/>
          </w:tcPr>
          <w:p w14:paraId="5A5C59AA"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23E8A561" w14:textId="77777777" w:rsidR="002647F6" w:rsidRPr="005D1227" w:rsidRDefault="002647F6" w:rsidP="00DC307C">
            <w:pPr>
              <w:pStyle w:val="TableTextRight"/>
              <w:rPr>
                <w:rFonts w:cs="Arial"/>
                <w:szCs w:val="16"/>
              </w:rPr>
            </w:pPr>
            <w:r w:rsidRPr="005D1227">
              <w:rPr>
                <w:rFonts w:cs="Arial"/>
                <w:szCs w:val="16"/>
              </w:rPr>
              <w:t> </w:t>
            </w:r>
          </w:p>
        </w:tc>
      </w:tr>
      <w:tr w:rsidR="00582533" w:rsidRPr="002647F6" w14:paraId="5E344B57" w14:textId="77777777" w:rsidTr="00724953">
        <w:trPr>
          <w:trHeight w:val="225"/>
        </w:trPr>
        <w:tc>
          <w:tcPr>
            <w:tcW w:w="3544" w:type="dxa"/>
            <w:shd w:val="clear" w:color="000000" w:fill="FFFFFF"/>
            <w:noWrap/>
            <w:vAlign w:val="center"/>
            <w:hideMark/>
          </w:tcPr>
          <w:p w14:paraId="0D4D18B5" w14:textId="77777777" w:rsidR="00582533" w:rsidRPr="005D1227" w:rsidRDefault="00582533" w:rsidP="00F01FDB">
            <w:pPr>
              <w:pStyle w:val="TableTextLeft"/>
              <w:rPr>
                <w:rFonts w:cs="Arial"/>
                <w:szCs w:val="16"/>
              </w:rPr>
            </w:pPr>
            <w:r w:rsidRPr="005D1227">
              <w:rPr>
                <w:rFonts w:cs="Arial"/>
                <w:szCs w:val="16"/>
              </w:rPr>
              <w:t>Borrowing</w:t>
            </w:r>
          </w:p>
        </w:tc>
        <w:tc>
          <w:tcPr>
            <w:tcW w:w="677" w:type="dxa"/>
            <w:shd w:val="clear" w:color="000000" w:fill="FFFFFF"/>
            <w:noWrap/>
            <w:vAlign w:val="center"/>
            <w:hideMark/>
          </w:tcPr>
          <w:p w14:paraId="61B995DE" w14:textId="0F4DC2D8" w:rsidR="00582533" w:rsidRPr="005D1227" w:rsidRDefault="00325E1E" w:rsidP="00DC307C">
            <w:pPr>
              <w:pStyle w:val="TableTextRight"/>
              <w:rPr>
                <w:rFonts w:cs="Arial"/>
                <w:color w:val="000000"/>
                <w:szCs w:val="16"/>
              </w:rPr>
            </w:pPr>
            <w:r>
              <w:rPr>
                <w:rFonts w:cs="Arial"/>
                <w:color w:val="000000"/>
                <w:szCs w:val="16"/>
              </w:rPr>
              <w:noBreakHyphen/>
            </w:r>
            <w:r w:rsidR="00582533" w:rsidRPr="005D1227">
              <w:rPr>
                <w:rFonts w:cs="Arial"/>
                <w:color w:val="000000"/>
                <w:szCs w:val="16"/>
              </w:rPr>
              <w:t>156,674</w:t>
            </w:r>
          </w:p>
        </w:tc>
        <w:tc>
          <w:tcPr>
            <w:tcW w:w="873" w:type="dxa"/>
            <w:shd w:val="clear" w:color="000000" w:fill="E6F2FF"/>
            <w:noWrap/>
            <w:vAlign w:val="center"/>
            <w:hideMark/>
          </w:tcPr>
          <w:p w14:paraId="27B755BE" w14:textId="544F60BE" w:rsidR="00582533" w:rsidRPr="005D1227" w:rsidRDefault="00325E1E" w:rsidP="00DC307C">
            <w:pPr>
              <w:pStyle w:val="TableTextRight"/>
              <w:rPr>
                <w:rFonts w:cs="Arial"/>
                <w:color w:val="000000"/>
                <w:szCs w:val="16"/>
              </w:rPr>
            </w:pPr>
            <w:r>
              <w:rPr>
                <w:rFonts w:cs="Arial"/>
                <w:color w:val="000000"/>
                <w:szCs w:val="16"/>
              </w:rPr>
              <w:noBreakHyphen/>
            </w:r>
            <w:r w:rsidR="00582533" w:rsidRPr="005D1227">
              <w:rPr>
                <w:rFonts w:cs="Arial"/>
                <w:color w:val="000000"/>
                <w:szCs w:val="16"/>
              </w:rPr>
              <w:t>502,500</w:t>
            </w:r>
          </w:p>
        </w:tc>
        <w:tc>
          <w:tcPr>
            <w:tcW w:w="872" w:type="dxa"/>
            <w:shd w:val="clear" w:color="000000" w:fill="FFFFFF"/>
            <w:noWrap/>
            <w:vAlign w:val="center"/>
            <w:hideMark/>
          </w:tcPr>
          <w:p w14:paraId="3F6129AC" w14:textId="080D9445" w:rsidR="00582533" w:rsidRPr="005D1227" w:rsidRDefault="00325E1E" w:rsidP="00DC307C">
            <w:pPr>
              <w:pStyle w:val="TableTextRight"/>
              <w:rPr>
                <w:rFonts w:cs="Arial"/>
                <w:color w:val="000000"/>
                <w:szCs w:val="16"/>
              </w:rPr>
            </w:pPr>
            <w:r>
              <w:rPr>
                <w:rFonts w:cs="Arial"/>
                <w:color w:val="000000"/>
                <w:szCs w:val="16"/>
              </w:rPr>
              <w:noBreakHyphen/>
            </w:r>
            <w:r w:rsidR="00582533" w:rsidRPr="005D1227">
              <w:rPr>
                <w:rFonts w:cs="Arial"/>
                <w:color w:val="000000"/>
                <w:szCs w:val="16"/>
              </w:rPr>
              <w:t>743,001</w:t>
            </w:r>
          </w:p>
        </w:tc>
        <w:tc>
          <w:tcPr>
            <w:tcW w:w="873" w:type="dxa"/>
            <w:shd w:val="clear" w:color="000000" w:fill="FFFFFF"/>
            <w:noWrap/>
            <w:vAlign w:val="center"/>
            <w:hideMark/>
          </w:tcPr>
          <w:p w14:paraId="0D88888C" w14:textId="246AAAD7" w:rsidR="00582533" w:rsidRPr="005D1227" w:rsidRDefault="00325E1E" w:rsidP="00DC307C">
            <w:pPr>
              <w:pStyle w:val="TableTextRight"/>
              <w:rPr>
                <w:rFonts w:cs="Arial"/>
                <w:color w:val="000000"/>
                <w:szCs w:val="16"/>
              </w:rPr>
            </w:pPr>
            <w:r>
              <w:rPr>
                <w:rFonts w:cs="Arial"/>
                <w:color w:val="000000"/>
                <w:szCs w:val="16"/>
              </w:rPr>
              <w:noBreakHyphen/>
            </w:r>
            <w:r w:rsidR="00582533" w:rsidRPr="005D1227">
              <w:rPr>
                <w:rFonts w:cs="Arial"/>
                <w:color w:val="000000"/>
                <w:szCs w:val="16"/>
              </w:rPr>
              <w:t>868,160</w:t>
            </w:r>
          </w:p>
        </w:tc>
        <w:tc>
          <w:tcPr>
            <w:tcW w:w="872" w:type="dxa"/>
            <w:shd w:val="clear" w:color="000000" w:fill="FFFFFF"/>
            <w:noWrap/>
            <w:vAlign w:val="center"/>
            <w:hideMark/>
          </w:tcPr>
          <w:p w14:paraId="49EB2D43" w14:textId="5601D77C" w:rsidR="00582533" w:rsidRPr="005D1227" w:rsidRDefault="00325E1E" w:rsidP="00DC307C">
            <w:pPr>
              <w:pStyle w:val="TableTextRight"/>
              <w:rPr>
                <w:rFonts w:cs="Arial"/>
                <w:color w:val="000000"/>
                <w:szCs w:val="16"/>
              </w:rPr>
            </w:pPr>
            <w:r>
              <w:rPr>
                <w:rFonts w:cs="Arial"/>
                <w:color w:val="000000"/>
                <w:szCs w:val="16"/>
              </w:rPr>
              <w:noBreakHyphen/>
            </w:r>
            <w:r w:rsidR="00582533" w:rsidRPr="005D1227">
              <w:rPr>
                <w:rFonts w:cs="Arial"/>
                <w:color w:val="000000"/>
                <w:szCs w:val="16"/>
              </w:rPr>
              <w:t>762,796</w:t>
            </w:r>
          </w:p>
        </w:tc>
      </w:tr>
      <w:tr w:rsidR="00582533" w:rsidRPr="002647F6" w14:paraId="146A9A9A" w14:textId="77777777" w:rsidTr="00724953">
        <w:trPr>
          <w:trHeight w:val="225"/>
        </w:trPr>
        <w:tc>
          <w:tcPr>
            <w:tcW w:w="3544" w:type="dxa"/>
            <w:shd w:val="clear" w:color="000000" w:fill="FFFFFF"/>
            <w:noWrap/>
            <w:vAlign w:val="center"/>
            <w:hideMark/>
          </w:tcPr>
          <w:p w14:paraId="173B26F1" w14:textId="77777777" w:rsidR="00582533" w:rsidRPr="005D1227" w:rsidRDefault="00582533" w:rsidP="00F01FDB">
            <w:pPr>
              <w:pStyle w:val="TableTextLeft"/>
              <w:rPr>
                <w:rFonts w:cs="Arial"/>
                <w:szCs w:val="16"/>
              </w:rPr>
            </w:pPr>
            <w:r w:rsidRPr="005D1227">
              <w:rPr>
                <w:rFonts w:cs="Arial"/>
                <w:szCs w:val="16"/>
              </w:rPr>
              <w:t>Other financing</w:t>
            </w:r>
          </w:p>
        </w:tc>
        <w:tc>
          <w:tcPr>
            <w:tcW w:w="677" w:type="dxa"/>
            <w:shd w:val="clear" w:color="000000" w:fill="FFFFFF"/>
            <w:noWrap/>
            <w:vAlign w:val="center"/>
            <w:hideMark/>
          </w:tcPr>
          <w:p w14:paraId="5351B953" w14:textId="6E034526" w:rsidR="00582533" w:rsidRPr="005D1227" w:rsidRDefault="00325E1E" w:rsidP="00DC307C">
            <w:pPr>
              <w:pStyle w:val="TableTextRight"/>
              <w:rPr>
                <w:rFonts w:cs="Arial"/>
                <w:szCs w:val="16"/>
              </w:rPr>
            </w:pPr>
            <w:r>
              <w:rPr>
                <w:rFonts w:cs="Arial"/>
                <w:szCs w:val="16"/>
              </w:rPr>
              <w:noBreakHyphen/>
            </w:r>
            <w:r w:rsidR="00582533" w:rsidRPr="005D1227">
              <w:rPr>
                <w:rFonts w:cs="Arial"/>
                <w:szCs w:val="16"/>
              </w:rPr>
              <w:t>11,397</w:t>
            </w:r>
          </w:p>
        </w:tc>
        <w:tc>
          <w:tcPr>
            <w:tcW w:w="873" w:type="dxa"/>
            <w:shd w:val="clear" w:color="000000" w:fill="E6F2FF"/>
            <w:noWrap/>
            <w:vAlign w:val="center"/>
            <w:hideMark/>
          </w:tcPr>
          <w:p w14:paraId="013F93D3" w14:textId="7B338793" w:rsidR="00582533" w:rsidRPr="005D1227" w:rsidRDefault="00325E1E" w:rsidP="00DC307C">
            <w:pPr>
              <w:pStyle w:val="TableTextRight"/>
              <w:rPr>
                <w:rFonts w:cs="Arial"/>
                <w:szCs w:val="16"/>
              </w:rPr>
            </w:pPr>
            <w:r>
              <w:rPr>
                <w:rFonts w:cs="Arial"/>
                <w:szCs w:val="16"/>
              </w:rPr>
              <w:noBreakHyphen/>
            </w:r>
            <w:r w:rsidR="00582533" w:rsidRPr="005D1227">
              <w:rPr>
                <w:rFonts w:cs="Arial"/>
                <w:szCs w:val="16"/>
              </w:rPr>
              <w:t>4,957</w:t>
            </w:r>
          </w:p>
        </w:tc>
        <w:tc>
          <w:tcPr>
            <w:tcW w:w="872" w:type="dxa"/>
            <w:shd w:val="clear" w:color="000000" w:fill="FFFFFF"/>
            <w:noWrap/>
            <w:vAlign w:val="center"/>
            <w:hideMark/>
          </w:tcPr>
          <w:p w14:paraId="7F16C3FD" w14:textId="2A3B284B" w:rsidR="00582533" w:rsidRPr="005D1227" w:rsidRDefault="00325E1E" w:rsidP="00DC307C">
            <w:pPr>
              <w:pStyle w:val="TableTextRight"/>
              <w:rPr>
                <w:rFonts w:cs="Arial"/>
                <w:szCs w:val="16"/>
              </w:rPr>
            </w:pPr>
            <w:r>
              <w:rPr>
                <w:rFonts w:cs="Arial"/>
                <w:szCs w:val="16"/>
              </w:rPr>
              <w:noBreakHyphen/>
            </w:r>
            <w:r w:rsidR="00582533" w:rsidRPr="005D1227">
              <w:rPr>
                <w:rFonts w:cs="Arial"/>
                <w:szCs w:val="16"/>
              </w:rPr>
              <w:t>4,885</w:t>
            </w:r>
          </w:p>
        </w:tc>
        <w:tc>
          <w:tcPr>
            <w:tcW w:w="873" w:type="dxa"/>
            <w:shd w:val="clear" w:color="000000" w:fill="FFFFFF"/>
            <w:noWrap/>
            <w:vAlign w:val="center"/>
            <w:hideMark/>
          </w:tcPr>
          <w:p w14:paraId="2769C5E9" w14:textId="3263211C" w:rsidR="00582533" w:rsidRPr="005D1227" w:rsidRDefault="00325E1E" w:rsidP="00DC307C">
            <w:pPr>
              <w:pStyle w:val="TableTextRight"/>
              <w:rPr>
                <w:rFonts w:cs="Arial"/>
                <w:szCs w:val="16"/>
              </w:rPr>
            </w:pPr>
            <w:r>
              <w:rPr>
                <w:rFonts w:cs="Arial"/>
                <w:szCs w:val="16"/>
              </w:rPr>
              <w:noBreakHyphen/>
            </w:r>
            <w:r w:rsidR="00582533" w:rsidRPr="005D1227">
              <w:rPr>
                <w:rFonts w:cs="Arial"/>
                <w:szCs w:val="16"/>
              </w:rPr>
              <w:t>4,457</w:t>
            </w:r>
          </w:p>
        </w:tc>
        <w:tc>
          <w:tcPr>
            <w:tcW w:w="872" w:type="dxa"/>
            <w:shd w:val="clear" w:color="000000" w:fill="FFFFFF"/>
            <w:noWrap/>
            <w:vAlign w:val="center"/>
            <w:hideMark/>
          </w:tcPr>
          <w:p w14:paraId="1FDA4A8C" w14:textId="53E2A4A9" w:rsidR="00582533" w:rsidRPr="005D1227" w:rsidRDefault="00325E1E" w:rsidP="00DC307C">
            <w:pPr>
              <w:pStyle w:val="TableTextRight"/>
              <w:rPr>
                <w:rFonts w:cs="Arial"/>
                <w:szCs w:val="16"/>
              </w:rPr>
            </w:pPr>
            <w:r>
              <w:rPr>
                <w:rFonts w:cs="Arial"/>
                <w:szCs w:val="16"/>
              </w:rPr>
              <w:noBreakHyphen/>
            </w:r>
            <w:r w:rsidR="00582533" w:rsidRPr="005D1227">
              <w:rPr>
                <w:rFonts w:cs="Arial"/>
                <w:szCs w:val="16"/>
              </w:rPr>
              <w:t>2,911</w:t>
            </w:r>
          </w:p>
        </w:tc>
      </w:tr>
      <w:tr w:rsidR="002647F6" w:rsidRPr="002647F6" w14:paraId="08E86922" w14:textId="77777777" w:rsidTr="00724953">
        <w:trPr>
          <w:trHeight w:val="225"/>
        </w:trPr>
        <w:tc>
          <w:tcPr>
            <w:tcW w:w="3544" w:type="dxa"/>
            <w:shd w:val="clear" w:color="000000" w:fill="FFFFFF"/>
            <w:noWrap/>
            <w:vAlign w:val="center"/>
            <w:hideMark/>
          </w:tcPr>
          <w:p w14:paraId="58B9D332" w14:textId="77777777" w:rsidR="002647F6" w:rsidRPr="005D1227" w:rsidRDefault="002647F6" w:rsidP="00F01FDB">
            <w:pPr>
              <w:pStyle w:val="TableTextLeft"/>
              <w:rPr>
                <w:rFonts w:cs="Arial"/>
                <w:b/>
                <w:szCs w:val="16"/>
              </w:rPr>
            </w:pPr>
            <w:r w:rsidRPr="005D1227">
              <w:rPr>
                <w:rFonts w:cs="Arial"/>
                <w:b/>
                <w:szCs w:val="16"/>
              </w:rPr>
              <w:t xml:space="preserve">Total cash payments for financing </w:t>
            </w:r>
          </w:p>
        </w:tc>
        <w:tc>
          <w:tcPr>
            <w:tcW w:w="677" w:type="dxa"/>
            <w:shd w:val="clear" w:color="000000" w:fill="FFFFFF"/>
            <w:noWrap/>
            <w:vAlign w:val="center"/>
            <w:hideMark/>
          </w:tcPr>
          <w:p w14:paraId="6BE8096A"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E6F2FF"/>
            <w:noWrap/>
            <w:vAlign w:val="center"/>
            <w:hideMark/>
          </w:tcPr>
          <w:p w14:paraId="3FBE290F"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7D3A0088" w14:textId="77777777" w:rsidR="002647F6" w:rsidRPr="005D1227" w:rsidRDefault="002647F6" w:rsidP="00DC307C">
            <w:pPr>
              <w:pStyle w:val="TableTextRight"/>
              <w:rPr>
                <w:rFonts w:cs="Arial"/>
                <w:szCs w:val="16"/>
              </w:rPr>
            </w:pPr>
            <w:r w:rsidRPr="005D1227">
              <w:rPr>
                <w:rFonts w:cs="Arial"/>
                <w:szCs w:val="16"/>
              </w:rPr>
              <w:t> </w:t>
            </w:r>
          </w:p>
        </w:tc>
        <w:tc>
          <w:tcPr>
            <w:tcW w:w="873" w:type="dxa"/>
            <w:shd w:val="clear" w:color="000000" w:fill="FFFFFF"/>
            <w:noWrap/>
            <w:vAlign w:val="center"/>
            <w:hideMark/>
          </w:tcPr>
          <w:p w14:paraId="35336AAD" w14:textId="77777777" w:rsidR="002647F6" w:rsidRPr="005D1227" w:rsidRDefault="002647F6" w:rsidP="00DC307C">
            <w:pPr>
              <w:pStyle w:val="TableTextRight"/>
              <w:rPr>
                <w:rFonts w:cs="Arial"/>
                <w:szCs w:val="16"/>
              </w:rPr>
            </w:pPr>
            <w:r w:rsidRPr="005D1227">
              <w:rPr>
                <w:rFonts w:cs="Arial"/>
                <w:szCs w:val="16"/>
              </w:rPr>
              <w:t> </w:t>
            </w:r>
          </w:p>
        </w:tc>
        <w:tc>
          <w:tcPr>
            <w:tcW w:w="872" w:type="dxa"/>
            <w:shd w:val="clear" w:color="000000" w:fill="FFFFFF"/>
            <w:noWrap/>
            <w:vAlign w:val="center"/>
            <w:hideMark/>
          </w:tcPr>
          <w:p w14:paraId="10903FB3" w14:textId="77777777" w:rsidR="002647F6" w:rsidRPr="005D1227" w:rsidRDefault="002647F6" w:rsidP="00DC307C">
            <w:pPr>
              <w:pStyle w:val="TableTextRight"/>
              <w:rPr>
                <w:rFonts w:cs="Arial"/>
                <w:szCs w:val="16"/>
              </w:rPr>
            </w:pPr>
            <w:r w:rsidRPr="005D1227">
              <w:rPr>
                <w:rFonts w:cs="Arial"/>
                <w:szCs w:val="16"/>
              </w:rPr>
              <w:t> </w:t>
            </w:r>
          </w:p>
        </w:tc>
      </w:tr>
      <w:tr w:rsidR="00EC11AD" w:rsidRPr="002647F6" w14:paraId="430D9393" w14:textId="77777777" w:rsidTr="00724953">
        <w:trPr>
          <w:trHeight w:val="225"/>
        </w:trPr>
        <w:tc>
          <w:tcPr>
            <w:tcW w:w="3544" w:type="dxa"/>
            <w:shd w:val="clear" w:color="000000" w:fill="FFFFFF"/>
            <w:noWrap/>
            <w:vAlign w:val="center"/>
            <w:hideMark/>
          </w:tcPr>
          <w:p w14:paraId="5715EC2E" w14:textId="77777777" w:rsidR="00EC11AD" w:rsidRPr="005D1227" w:rsidRDefault="00EC11AD" w:rsidP="005D55FC">
            <w:pPr>
              <w:pStyle w:val="TableTextIndented"/>
              <w:rPr>
                <w:rFonts w:cs="Arial"/>
                <w:b/>
                <w:szCs w:val="16"/>
              </w:rPr>
            </w:pPr>
            <w:r w:rsidRPr="005D1227">
              <w:rPr>
                <w:rFonts w:cs="Arial"/>
                <w:b/>
                <w:szCs w:val="16"/>
              </w:rPr>
              <w:t>activities</w:t>
            </w:r>
          </w:p>
        </w:tc>
        <w:tc>
          <w:tcPr>
            <w:tcW w:w="677" w:type="dxa"/>
            <w:shd w:val="clear" w:color="000000" w:fill="FFFFFF"/>
            <w:noWrap/>
            <w:vAlign w:val="center"/>
            <w:hideMark/>
          </w:tcPr>
          <w:p w14:paraId="7F128EB4" w14:textId="3091967C" w:rsidR="00EC11AD" w:rsidRPr="005D1227" w:rsidRDefault="00325E1E" w:rsidP="00DC307C">
            <w:pPr>
              <w:pStyle w:val="TableTextRight"/>
              <w:rPr>
                <w:rFonts w:cs="Arial"/>
                <w:b/>
                <w:color w:val="000000"/>
                <w:szCs w:val="16"/>
              </w:rPr>
            </w:pPr>
            <w:r>
              <w:rPr>
                <w:rFonts w:cs="Arial"/>
                <w:b/>
                <w:bCs/>
                <w:color w:val="000000"/>
                <w:szCs w:val="16"/>
              </w:rPr>
              <w:noBreakHyphen/>
            </w:r>
            <w:r w:rsidR="00EC11AD" w:rsidRPr="005D1227">
              <w:rPr>
                <w:rFonts w:cs="Arial"/>
                <w:b/>
                <w:color w:val="000000"/>
                <w:szCs w:val="16"/>
              </w:rPr>
              <w:t>168,072</w:t>
            </w:r>
          </w:p>
        </w:tc>
        <w:tc>
          <w:tcPr>
            <w:tcW w:w="873" w:type="dxa"/>
            <w:shd w:val="clear" w:color="000000" w:fill="E6F2FF"/>
            <w:noWrap/>
            <w:vAlign w:val="center"/>
            <w:hideMark/>
          </w:tcPr>
          <w:p w14:paraId="05F9821C" w14:textId="2668243F" w:rsidR="00EC11AD" w:rsidRPr="005D1227" w:rsidRDefault="00325E1E" w:rsidP="00DC307C">
            <w:pPr>
              <w:pStyle w:val="TableTextRight"/>
              <w:rPr>
                <w:rFonts w:cs="Arial"/>
                <w:b/>
                <w:color w:val="000000"/>
                <w:szCs w:val="16"/>
              </w:rPr>
            </w:pPr>
            <w:r>
              <w:rPr>
                <w:rFonts w:cs="Arial"/>
                <w:b/>
                <w:bCs/>
                <w:color w:val="000000"/>
                <w:szCs w:val="16"/>
              </w:rPr>
              <w:noBreakHyphen/>
            </w:r>
            <w:r w:rsidR="00EC11AD" w:rsidRPr="005D1227">
              <w:rPr>
                <w:rFonts w:cs="Arial"/>
                <w:b/>
                <w:color w:val="000000"/>
                <w:szCs w:val="16"/>
              </w:rPr>
              <w:t>507,456</w:t>
            </w:r>
          </w:p>
        </w:tc>
        <w:tc>
          <w:tcPr>
            <w:tcW w:w="872" w:type="dxa"/>
            <w:shd w:val="clear" w:color="000000" w:fill="FFFFFF"/>
            <w:noWrap/>
            <w:vAlign w:val="center"/>
            <w:hideMark/>
          </w:tcPr>
          <w:p w14:paraId="5001233E" w14:textId="21FE57A6" w:rsidR="00EC11AD" w:rsidRPr="005D1227" w:rsidRDefault="00325E1E" w:rsidP="00DC307C">
            <w:pPr>
              <w:pStyle w:val="TableTextRight"/>
              <w:rPr>
                <w:rFonts w:cs="Arial"/>
                <w:b/>
                <w:color w:val="000000"/>
                <w:szCs w:val="16"/>
              </w:rPr>
            </w:pPr>
            <w:r>
              <w:rPr>
                <w:rFonts w:cs="Arial"/>
                <w:b/>
                <w:bCs/>
                <w:color w:val="000000"/>
                <w:szCs w:val="16"/>
              </w:rPr>
              <w:noBreakHyphen/>
            </w:r>
            <w:r w:rsidR="00EC11AD" w:rsidRPr="005D1227">
              <w:rPr>
                <w:rFonts w:cs="Arial"/>
                <w:b/>
                <w:color w:val="000000"/>
                <w:szCs w:val="16"/>
              </w:rPr>
              <w:t>747,886</w:t>
            </w:r>
          </w:p>
        </w:tc>
        <w:tc>
          <w:tcPr>
            <w:tcW w:w="873" w:type="dxa"/>
            <w:shd w:val="clear" w:color="000000" w:fill="FFFFFF"/>
            <w:noWrap/>
            <w:vAlign w:val="center"/>
            <w:hideMark/>
          </w:tcPr>
          <w:p w14:paraId="56B1EEC5" w14:textId="6E596041" w:rsidR="00EC11AD" w:rsidRPr="005D1227" w:rsidRDefault="00325E1E" w:rsidP="00DC307C">
            <w:pPr>
              <w:pStyle w:val="TableTextRight"/>
              <w:rPr>
                <w:rFonts w:cs="Arial"/>
                <w:b/>
                <w:color w:val="000000"/>
                <w:szCs w:val="16"/>
              </w:rPr>
            </w:pPr>
            <w:r>
              <w:rPr>
                <w:rFonts w:cs="Arial"/>
                <w:b/>
                <w:bCs/>
                <w:color w:val="000000"/>
                <w:szCs w:val="16"/>
              </w:rPr>
              <w:noBreakHyphen/>
            </w:r>
            <w:r w:rsidR="00EC11AD" w:rsidRPr="005D1227">
              <w:rPr>
                <w:rFonts w:cs="Arial"/>
                <w:b/>
                <w:color w:val="000000"/>
                <w:szCs w:val="16"/>
              </w:rPr>
              <w:t>872,617</w:t>
            </w:r>
          </w:p>
        </w:tc>
        <w:tc>
          <w:tcPr>
            <w:tcW w:w="872" w:type="dxa"/>
            <w:shd w:val="clear" w:color="000000" w:fill="FFFFFF"/>
            <w:noWrap/>
            <w:vAlign w:val="center"/>
            <w:hideMark/>
          </w:tcPr>
          <w:p w14:paraId="0321CEF7" w14:textId="0EC917DF" w:rsidR="00EC11AD" w:rsidRPr="005D1227" w:rsidRDefault="00325E1E" w:rsidP="00DC307C">
            <w:pPr>
              <w:pStyle w:val="TableTextRight"/>
              <w:rPr>
                <w:rFonts w:cs="Arial"/>
                <w:b/>
                <w:color w:val="000000"/>
                <w:szCs w:val="16"/>
              </w:rPr>
            </w:pPr>
            <w:r>
              <w:rPr>
                <w:rFonts w:cs="Arial"/>
                <w:b/>
                <w:bCs/>
                <w:color w:val="000000"/>
                <w:szCs w:val="16"/>
              </w:rPr>
              <w:noBreakHyphen/>
            </w:r>
            <w:r w:rsidR="00EC11AD" w:rsidRPr="005D1227">
              <w:rPr>
                <w:rFonts w:cs="Arial"/>
                <w:b/>
                <w:color w:val="000000"/>
                <w:szCs w:val="16"/>
              </w:rPr>
              <w:t>765,707</w:t>
            </w:r>
          </w:p>
        </w:tc>
      </w:tr>
      <w:tr w:rsidR="00EC11AD" w:rsidRPr="002647F6" w14:paraId="1694D330" w14:textId="77777777" w:rsidTr="00724953">
        <w:trPr>
          <w:trHeight w:val="225"/>
        </w:trPr>
        <w:tc>
          <w:tcPr>
            <w:tcW w:w="3544" w:type="dxa"/>
            <w:shd w:val="clear" w:color="000000" w:fill="FFFFFF"/>
            <w:noWrap/>
            <w:vAlign w:val="center"/>
            <w:hideMark/>
          </w:tcPr>
          <w:p w14:paraId="0AE42145" w14:textId="77777777" w:rsidR="00EC11AD" w:rsidRPr="005D1227" w:rsidRDefault="00EC11AD" w:rsidP="00F01FDB">
            <w:pPr>
              <w:pStyle w:val="TableTextLeft"/>
              <w:rPr>
                <w:rFonts w:cs="Arial"/>
                <w:b/>
                <w:color w:val="000000"/>
                <w:szCs w:val="16"/>
              </w:rPr>
            </w:pPr>
            <w:r w:rsidRPr="005D1227">
              <w:rPr>
                <w:rFonts w:cs="Arial"/>
                <w:b/>
                <w:color w:val="000000"/>
                <w:szCs w:val="16"/>
              </w:rPr>
              <w:t>Net cash flows from financing activities</w:t>
            </w:r>
          </w:p>
        </w:tc>
        <w:tc>
          <w:tcPr>
            <w:tcW w:w="677" w:type="dxa"/>
            <w:shd w:val="clear" w:color="000000" w:fill="FFFFFF"/>
            <w:noWrap/>
            <w:vAlign w:val="center"/>
            <w:hideMark/>
          </w:tcPr>
          <w:p w14:paraId="6CDD066A" w14:textId="0C5F6A30" w:rsidR="00EC11AD" w:rsidRPr="005D1227" w:rsidRDefault="00EC11AD" w:rsidP="00DC307C">
            <w:pPr>
              <w:pStyle w:val="TableTextRight"/>
              <w:rPr>
                <w:rFonts w:cs="Arial"/>
                <w:b/>
                <w:color w:val="000000"/>
                <w:szCs w:val="16"/>
              </w:rPr>
            </w:pPr>
            <w:r w:rsidRPr="005D1227">
              <w:rPr>
                <w:rFonts w:cs="Arial"/>
                <w:b/>
                <w:color w:val="000000"/>
                <w:szCs w:val="16"/>
              </w:rPr>
              <w:t>7,300</w:t>
            </w:r>
          </w:p>
        </w:tc>
        <w:tc>
          <w:tcPr>
            <w:tcW w:w="873" w:type="dxa"/>
            <w:shd w:val="clear" w:color="000000" w:fill="E6F2FF"/>
            <w:noWrap/>
            <w:vAlign w:val="center"/>
            <w:hideMark/>
          </w:tcPr>
          <w:p w14:paraId="764C131B" w14:textId="2539DBFD" w:rsidR="00EC11AD" w:rsidRPr="005D1227" w:rsidRDefault="00EC11AD" w:rsidP="00DC307C">
            <w:pPr>
              <w:pStyle w:val="TableTextRight"/>
              <w:rPr>
                <w:rFonts w:cs="Arial"/>
                <w:b/>
                <w:color w:val="000000"/>
                <w:szCs w:val="16"/>
              </w:rPr>
            </w:pPr>
            <w:r w:rsidRPr="005D1227">
              <w:rPr>
                <w:rFonts w:cs="Arial"/>
                <w:b/>
                <w:color w:val="000000"/>
                <w:szCs w:val="16"/>
              </w:rPr>
              <w:t>21,348</w:t>
            </w:r>
          </w:p>
        </w:tc>
        <w:tc>
          <w:tcPr>
            <w:tcW w:w="872" w:type="dxa"/>
            <w:shd w:val="clear" w:color="000000" w:fill="FFFFFF"/>
            <w:noWrap/>
            <w:vAlign w:val="center"/>
            <w:hideMark/>
          </w:tcPr>
          <w:p w14:paraId="5F85E3B9" w14:textId="5A832E9D" w:rsidR="00EC11AD" w:rsidRPr="005D1227" w:rsidRDefault="00EC11AD" w:rsidP="00DC307C">
            <w:pPr>
              <w:pStyle w:val="TableTextRight"/>
              <w:rPr>
                <w:rFonts w:cs="Arial"/>
                <w:b/>
                <w:color w:val="000000"/>
                <w:szCs w:val="16"/>
              </w:rPr>
            </w:pPr>
            <w:r w:rsidRPr="005D1227">
              <w:rPr>
                <w:rFonts w:cs="Arial"/>
                <w:b/>
                <w:color w:val="000000"/>
                <w:szCs w:val="16"/>
              </w:rPr>
              <w:t>61,348</w:t>
            </w:r>
          </w:p>
        </w:tc>
        <w:tc>
          <w:tcPr>
            <w:tcW w:w="873" w:type="dxa"/>
            <w:shd w:val="clear" w:color="000000" w:fill="FFFFFF"/>
            <w:noWrap/>
            <w:vAlign w:val="center"/>
            <w:hideMark/>
          </w:tcPr>
          <w:p w14:paraId="2E7E2638" w14:textId="1949E4AC" w:rsidR="00EC11AD" w:rsidRPr="005D1227" w:rsidRDefault="00EC11AD" w:rsidP="00DC307C">
            <w:pPr>
              <w:pStyle w:val="TableTextRight"/>
              <w:rPr>
                <w:rFonts w:cs="Arial"/>
                <w:b/>
                <w:color w:val="000000"/>
                <w:szCs w:val="16"/>
              </w:rPr>
            </w:pPr>
            <w:r w:rsidRPr="005D1227">
              <w:rPr>
                <w:rFonts w:cs="Arial"/>
                <w:b/>
                <w:color w:val="000000"/>
                <w:szCs w:val="16"/>
              </w:rPr>
              <w:t>47,029</w:t>
            </w:r>
          </w:p>
        </w:tc>
        <w:tc>
          <w:tcPr>
            <w:tcW w:w="872" w:type="dxa"/>
            <w:shd w:val="clear" w:color="000000" w:fill="FFFFFF"/>
            <w:noWrap/>
            <w:vAlign w:val="center"/>
            <w:hideMark/>
          </w:tcPr>
          <w:p w14:paraId="388D0F68" w14:textId="3279A80A" w:rsidR="00EC11AD" w:rsidRPr="005D1227" w:rsidRDefault="00EC11AD" w:rsidP="00DC307C">
            <w:pPr>
              <w:pStyle w:val="TableTextRight"/>
              <w:rPr>
                <w:rFonts w:cs="Arial"/>
                <w:b/>
                <w:color w:val="000000"/>
                <w:szCs w:val="16"/>
              </w:rPr>
            </w:pPr>
            <w:r w:rsidRPr="005D1227">
              <w:rPr>
                <w:rFonts w:cs="Arial"/>
                <w:b/>
                <w:color w:val="000000"/>
                <w:szCs w:val="16"/>
              </w:rPr>
              <w:t>40,524</w:t>
            </w:r>
          </w:p>
        </w:tc>
      </w:tr>
      <w:tr w:rsidR="00602409" w:rsidRPr="002647F6" w14:paraId="30AAC090" w14:textId="77777777" w:rsidTr="00724953">
        <w:trPr>
          <w:trHeight w:val="225"/>
        </w:trPr>
        <w:tc>
          <w:tcPr>
            <w:tcW w:w="3544" w:type="dxa"/>
            <w:tcBorders>
              <w:bottom w:val="single" w:sz="4" w:space="0" w:color="293F5B"/>
            </w:tcBorders>
            <w:shd w:val="clear" w:color="000000" w:fill="FFFFFF"/>
            <w:noWrap/>
            <w:vAlign w:val="center"/>
            <w:hideMark/>
          </w:tcPr>
          <w:p w14:paraId="3DAB36CE" w14:textId="77777777" w:rsidR="00602409" w:rsidRPr="005D1227" w:rsidRDefault="00602409" w:rsidP="00F01FDB">
            <w:pPr>
              <w:pStyle w:val="TableTextLeft"/>
              <w:rPr>
                <w:rFonts w:cs="Arial"/>
                <w:b/>
                <w:color w:val="000000"/>
                <w:szCs w:val="16"/>
              </w:rPr>
            </w:pPr>
            <w:r w:rsidRPr="005D1227">
              <w:rPr>
                <w:rFonts w:cs="Arial"/>
                <w:b/>
                <w:color w:val="000000"/>
                <w:szCs w:val="16"/>
              </w:rPr>
              <w:t>Net increase/(decrease) in cash held</w:t>
            </w:r>
          </w:p>
        </w:tc>
        <w:tc>
          <w:tcPr>
            <w:tcW w:w="677" w:type="dxa"/>
            <w:tcBorders>
              <w:bottom w:val="single" w:sz="4" w:space="0" w:color="293F5B"/>
            </w:tcBorders>
            <w:shd w:val="clear" w:color="000000" w:fill="FFFFFF"/>
            <w:noWrap/>
            <w:vAlign w:val="bottom"/>
            <w:hideMark/>
          </w:tcPr>
          <w:p w14:paraId="6C626030" w14:textId="0E7D3EB9" w:rsidR="00602409" w:rsidRPr="005D1227" w:rsidRDefault="00325E1E" w:rsidP="00DC307C">
            <w:pPr>
              <w:pStyle w:val="TableTextRight"/>
              <w:rPr>
                <w:rFonts w:cs="Arial"/>
                <w:b/>
                <w:color w:val="000000"/>
                <w:szCs w:val="16"/>
              </w:rPr>
            </w:pPr>
            <w:r>
              <w:rPr>
                <w:rFonts w:cs="Arial"/>
                <w:b/>
                <w:bCs/>
                <w:color w:val="000000"/>
                <w:szCs w:val="16"/>
              </w:rPr>
              <w:noBreakHyphen/>
            </w:r>
            <w:r w:rsidR="00602409" w:rsidRPr="005D1227">
              <w:rPr>
                <w:rFonts w:cs="Arial"/>
                <w:b/>
                <w:color w:val="000000"/>
                <w:szCs w:val="16"/>
              </w:rPr>
              <w:t>402</w:t>
            </w:r>
          </w:p>
        </w:tc>
        <w:tc>
          <w:tcPr>
            <w:tcW w:w="873" w:type="dxa"/>
            <w:tcBorders>
              <w:bottom w:val="single" w:sz="4" w:space="0" w:color="293F5B"/>
            </w:tcBorders>
            <w:shd w:val="clear" w:color="000000" w:fill="E6F2FF"/>
            <w:noWrap/>
            <w:vAlign w:val="bottom"/>
            <w:hideMark/>
          </w:tcPr>
          <w:p w14:paraId="15110C19" w14:textId="13196851" w:rsidR="00602409" w:rsidRPr="005D1227" w:rsidRDefault="00325E1E" w:rsidP="00DC307C">
            <w:pPr>
              <w:pStyle w:val="TableTextRight"/>
              <w:rPr>
                <w:rFonts w:cs="Arial"/>
                <w:b/>
                <w:color w:val="000000"/>
                <w:szCs w:val="16"/>
              </w:rPr>
            </w:pPr>
            <w:r>
              <w:rPr>
                <w:rFonts w:cs="Arial"/>
                <w:b/>
                <w:bCs/>
                <w:color w:val="000000"/>
                <w:szCs w:val="16"/>
              </w:rPr>
              <w:noBreakHyphen/>
            </w:r>
            <w:r w:rsidR="00602409" w:rsidRPr="005D1227">
              <w:rPr>
                <w:rFonts w:cs="Arial"/>
                <w:b/>
                <w:color w:val="000000"/>
                <w:szCs w:val="16"/>
              </w:rPr>
              <w:t>27,314</w:t>
            </w:r>
          </w:p>
        </w:tc>
        <w:tc>
          <w:tcPr>
            <w:tcW w:w="872" w:type="dxa"/>
            <w:tcBorders>
              <w:bottom w:val="single" w:sz="4" w:space="0" w:color="293F5B"/>
            </w:tcBorders>
            <w:shd w:val="clear" w:color="000000" w:fill="FFFFFF"/>
            <w:noWrap/>
            <w:vAlign w:val="bottom"/>
            <w:hideMark/>
          </w:tcPr>
          <w:p w14:paraId="4A09DBE5" w14:textId="7D23C508" w:rsidR="00602409" w:rsidRPr="005D1227" w:rsidRDefault="00325E1E" w:rsidP="00DC307C">
            <w:pPr>
              <w:pStyle w:val="TableTextRight"/>
              <w:rPr>
                <w:rFonts w:cs="Arial"/>
                <w:b/>
                <w:color w:val="000000"/>
                <w:szCs w:val="16"/>
              </w:rPr>
            </w:pPr>
            <w:r>
              <w:rPr>
                <w:rFonts w:cs="Arial"/>
                <w:b/>
                <w:bCs/>
                <w:color w:val="000000"/>
                <w:szCs w:val="16"/>
              </w:rPr>
              <w:noBreakHyphen/>
            </w:r>
            <w:r w:rsidR="00602409" w:rsidRPr="005D1227">
              <w:rPr>
                <w:rFonts w:cs="Arial"/>
                <w:b/>
                <w:color w:val="000000"/>
                <w:szCs w:val="16"/>
              </w:rPr>
              <w:t>4,465</w:t>
            </w:r>
          </w:p>
        </w:tc>
        <w:tc>
          <w:tcPr>
            <w:tcW w:w="873" w:type="dxa"/>
            <w:tcBorders>
              <w:bottom w:val="single" w:sz="4" w:space="0" w:color="293F5B"/>
            </w:tcBorders>
            <w:shd w:val="clear" w:color="000000" w:fill="FFFFFF"/>
            <w:noWrap/>
            <w:vAlign w:val="bottom"/>
            <w:hideMark/>
          </w:tcPr>
          <w:p w14:paraId="7745BE99" w14:textId="30B0E824" w:rsidR="00602409" w:rsidRPr="005D1227" w:rsidRDefault="00325E1E" w:rsidP="00DC307C">
            <w:pPr>
              <w:pStyle w:val="TableTextRight"/>
              <w:rPr>
                <w:rFonts w:cs="Arial"/>
                <w:b/>
                <w:color w:val="000000"/>
                <w:szCs w:val="16"/>
              </w:rPr>
            </w:pPr>
            <w:r>
              <w:rPr>
                <w:rFonts w:cs="Arial"/>
                <w:b/>
                <w:bCs/>
                <w:color w:val="000000"/>
                <w:szCs w:val="16"/>
              </w:rPr>
              <w:noBreakHyphen/>
            </w:r>
            <w:r w:rsidR="00602409" w:rsidRPr="005D1227">
              <w:rPr>
                <w:rFonts w:cs="Arial"/>
                <w:b/>
                <w:color w:val="000000"/>
                <w:szCs w:val="16"/>
              </w:rPr>
              <w:t>2,899</w:t>
            </w:r>
          </w:p>
        </w:tc>
        <w:tc>
          <w:tcPr>
            <w:tcW w:w="872" w:type="dxa"/>
            <w:tcBorders>
              <w:bottom w:val="single" w:sz="4" w:space="0" w:color="293F5B"/>
            </w:tcBorders>
            <w:shd w:val="clear" w:color="000000" w:fill="FFFFFF"/>
            <w:noWrap/>
            <w:vAlign w:val="bottom"/>
            <w:hideMark/>
          </w:tcPr>
          <w:p w14:paraId="49ADEEB0" w14:textId="149192C7" w:rsidR="00602409" w:rsidRPr="005D1227" w:rsidRDefault="00325E1E" w:rsidP="00DC307C">
            <w:pPr>
              <w:pStyle w:val="TableTextRight"/>
              <w:rPr>
                <w:rFonts w:cs="Arial"/>
                <w:b/>
                <w:color w:val="000000"/>
                <w:szCs w:val="16"/>
              </w:rPr>
            </w:pPr>
            <w:r>
              <w:rPr>
                <w:rFonts w:cs="Arial"/>
                <w:b/>
                <w:bCs/>
                <w:color w:val="000000"/>
                <w:szCs w:val="16"/>
              </w:rPr>
              <w:noBreakHyphen/>
            </w:r>
            <w:r w:rsidR="00602409" w:rsidRPr="005D1227">
              <w:rPr>
                <w:rFonts w:cs="Arial"/>
                <w:b/>
                <w:color w:val="000000"/>
                <w:szCs w:val="16"/>
              </w:rPr>
              <w:t>4,902</w:t>
            </w:r>
          </w:p>
        </w:tc>
      </w:tr>
    </w:tbl>
    <w:p w14:paraId="126E494A" w14:textId="5EFEE3C0" w:rsidR="00D8138E" w:rsidRPr="002D63CE" w:rsidRDefault="00D8138E" w:rsidP="002D63CE">
      <w:r>
        <w:br w:type="page"/>
      </w:r>
    </w:p>
    <w:p w14:paraId="6EF3EE89" w14:textId="1B6D357A" w:rsidR="006A5BA8" w:rsidRPr="006A5BA8" w:rsidRDefault="00A96E0D" w:rsidP="00340DCF">
      <w:pPr>
        <w:pStyle w:val="TableHeadingcontinued"/>
        <w:rPr>
          <w:vertAlign w:val="superscript"/>
        </w:rPr>
      </w:pPr>
      <w:r>
        <w:lastRenderedPageBreak/>
        <w:t>Table </w:t>
      </w:r>
      <w:r w:rsidR="00D8138E" w:rsidRPr="00EA746C">
        <w:t>1</w:t>
      </w:r>
      <w:r w:rsidR="005A3823">
        <w:t>0</w:t>
      </w:r>
      <w:r w:rsidR="00D8138E" w:rsidRPr="00EA746C">
        <w:t>.3: Australian Government general government sector cash flow statement (continued)</w:t>
      </w:r>
      <w:r w:rsidR="00D8138E" w:rsidRPr="00EA746C">
        <w:rPr>
          <w:vertAlign w:val="superscript"/>
        </w:rPr>
        <w:t xml:space="preserve">(a) </w:t>
      </w:r>
    </w:p>
    <w:tbl>
      <w:tblPr>
        <w:tblW w:w="5000" w:type="pct"/>
        <w:tblCellMar>
          <w:left w:w="0" w:type="dxa"/>
          <w:right w:w="28" w:type="dxa"/>
        </w:tblCellMar>
        <w:tblLook w:val="04A0" w:firstRow="1" w:lastRow="0" w:firstColumn="1" w:lastColumn="0" w:noHBand="0" w:noVBand="1"/>
      </w:tblPr>
      <w:tblGrid>
        <w:gridCol w:w="3697"/>
        <w:gridCol w:w="802"/>
        <w:gridCol w:w="803"/>
        <w:gridCol w:w="803"/>
        <w:gridCol w:w="803"/>
        <w:gridCol w:w="802"/>
      </w:tblGrid>
      <w:tr w:rsidR="006A5BA8" w:rsidRPr="006A5BA8" w14:paraId="14B21340" w14:textId="77777777" w:rsidTr="00EE0511">
        <w:trPr>
          <w:trHeight w:hRule="exact" w:val="225"/>
        </w:trPr>
        <w:tc>
          <w:tcPr>
            <w:tcW w:w="2397" w:type="pct"/>
            <w:tcBorders>
              <w:top w:val="single" w:sz="4" w:space="0" w:color="auto"/>
              <w:left w:val="nil"/>
              <w:bottom w:val="nil"/>
              <w:right w:val="nil"/>
            </w:tcBorders>
            <w:shd w:val="clear" w:color="000000" w:fill="FFFFFF"/>
            <w:noWrap/>
            <w:vAlign w:val="center"/>
            <w:hideMark/>
          </w:tcPr>
          <w:p w14:paraId="268E7F01" w14:textId="75844910" w:rsidR="006A5BA8" w:rsidRPr="006A5BA8" w:rsidRDefault="006A5BA8" w:rsidP="006A5BA8">
            <w:pPr>
              <w:spacing w:before="0" w:after="0" w:line="240" w:lineRule="auto"/>
              <w:rPr>
                <w:rFonts w:ascii="Arial" w:hAnsi="Arial" w:cs="Arial"/>
                <w:b/>
                <w:bCs/>
                <w:color w:val="000000"/>
                <w:sz w:val="16"/>
                <w:szCs w:val="16"/>
              </w:rPr>
            </w:pPr>
            <w:r w:rsidRPr="006A5BA8">
              <w:rPr>
                <w:rFonts w:ascii="Arial" w:hAnsi="Arial" w:cs="Arial"/>
                <w:b/>
                <w:bCs/>
                <w:color w:val="000000"/>
                <w:sz w:val="16"/>
                <w:szCs w:val="16"/>
              </w:rPr>
              <w:t> </w:t>
            </w:r>
          </w:p>
        </w:tc>
        <w:tc>
          <w:tcPr>
            <w:tcW w:w="2603" w:type="pct"/>
            <w:gridSpan w:val="5"/>
            <w:tcBorders>
              <w:top w:val="single" w:sz="4" w:space="0" w:color="auto"/>
              <w:left w:val="nil"/>
              <w:bottom w:val="single" w:sz="4" w:space="0" w:color="293F5B"/>
              <w:right w:val="nil"/>
            </w:tcBorders>
            <w:shd w:val="clear" w:color="000000" w:fill="FFFFFF"/>
            <w:noWrap/>
            <w:vAlign w:val="center"/>
            <w:hideMark/>
          </w:tcPr>
          <w:p w14:paraId="43AB10D8" w14:textId="77777777" w:rsidR="006A5BA8" w:rsidRPr="006A5BA8" w:rsidRDefault="006A5BA8" w:rsidP="006A5BA8">
            <w:pPr>
              <w:spacing w:before="0" w:after="0" w:line="240" w:lineRule="auto"/>
              <w:jc w:val="center"/>
              <w:rPr>
                <w:rFonts w:ascii="Arial" w:hAnsi="Arial" w:cs="Arial"/>
                <w:sz w:val="16"/>
                <w:szCs w:val="16"/>
              </w:rPr>
            </w:pPr>
            <w:r w:rsidRPr="006A5BA8">
              <w:rPr>
                <w:rFonts w:ascii="Arial" w:hAnsi="Arial" w:cs="Arial"/>
                <w:sz w:val="16"/>
                <w:szCs w:val="16"/>
              </w:rPr>
              <w:t>Estimates</w:t>
            </w:r>
          </w:p>
        </w:tc>
      </w:tr>
      <w:tr w:rsidR="006A5BA8" w:rsidRPr="006A5BA8" w14:paraId="1A8BDBA9" w14:textId="77777777" w:rsidTr="00EE0511">
        <w:trPr>
          <w:trHeight w:hRule="exact" w:val="225"/>
        </w:trPr>
        <w:tc>
          <w:tcPr>
            <w:tcW w:w="2397" w:type="pct"/>
            <w:tcBorders>
              <w:top w:val="nil"/>
              <w:left w:val="nil"/>
              <w:bottom w:val="nil"/>
              <w:right w:val="nil"/>
            </w:tcBorders>
            <w:shd w:val="clear" w:color="000000" w:fill="FFFFFF"/>
            <w:noWrap/>
            <w:vAlign w:val="center"/>
            <w:hideMark/>
          </w:tcPr>
          <w:p w14:paraId="0E993D7E" w14:textId="77777777" w:rsidR="006A5BA8" w:rsidRPr="006A5BA8" w:rsidRDefault="006A5BA8" w:rsidP="006A5BA8">
            <w:pPr>
              <w:spacing w:before="0" w:after="0" w:line="240" w:lineRule="auto"/>
              <w:rPr>
                <w:rFonts w:ascii="Arial" w:hAnsi="Arial" w:cs="Arial"/>
                <w:sz w:val="16"/>
                <w:szCs w:val="16"/>
              </w:rPr>
            </w:pPr>
            <w:r w:rsidRPr="006A5BA8">
              <w:rPr>
                <w:rFonts w:ascii="Arial" w:hAnsi="Arial" w:cs="Arial"/>
                <w:sz w:val="16"/>
                <w:szCs w:val="16"/>
              </w:rPr>
              <w:t> </w:t>
            </w:r>
          </w:p>
        </w:tc>
        <w:tc>
          <w:tcPr>
            <w:tcW w:w="520" w:type="pct"/>
            <w:tcBorders>
              <w:top w:val="single" w:sz="4" w:space="0" w:color="293F5B"/>
              <w:left w:val="nil"/>
              <w:bottom w:val="nil"/>
              <w:right w:val="nil"/>
            </w:tcBorders>
            <w:shd w:val="clear" w:color="000000" w:fill="FFFFFF"/>
            <w:noWrap/>
            <w:vAlign w:val="center"/>
            <w:hideMark/>
          </w:tcPr>
          <w:p w14:paraId="27D8C9F1" w14:textId="58FCCCE1"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2023</w:t>
            </w:r>
            <w:r w:rsidR="00325E1E">
              <w:rPr>
                <w:rFonts w:ascii="Arial" w:hAnsi="Arial" w:cs="Arial"/>
                <w:color w:val="000000"/>
                <w:sz w:val="16"/>
                <w:szCs w:val="16"/>
              </w:rPr>
              <w:noBreakHyphen/>
            </w:r>
            <w:r w:rsidRPr="006A5BA8">
              <w:rPr>
                <w:rFonts w:ascii="Arial" w:hAnsi="Arial" w:cs="Arial"/>
                <w:color w:val="000000"/>
                <w:sz w:val="16"/>
                <w:szCs w:val="16"/>
              </w:rPr>
              <w:t>24</w:t>
            </w:r>
          </w:p>
        </w:tc>
        <w:tc>
          <w:tcPr>
            <w:tcW w:w="521" w:type="pct"/>
            <w:tcBorders>
              <w:top w:val="single" w:sz="4" w:space="0" w:color="293F5B"/>
              <w:left w:val="nil"/>
              <w:bottom w:val="nil"/>
              <w:right w:val="nil"/>
            </w:tcBorders>
            <w:shd w:val="clear" w:color="000000" w:fill="E6F2FF"/>
            <w:noWrap/>
            <w:vAlign w:val="center"/>
            <w:hideMark/>
          </w:tcPr>
          <w:p w14:paraId="42C7DABF" w14:textId="1D24107A"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2024</w:t>
            </w:r>
            <w:r w:rsidR="00325E1E">
              <w:rPr>
                <w:rFonts w:ascii="Arial" w:hAnsi="Arial" w:cs="Arial"/>
                <w:color w:val="000000"/>
                <w:sz w:val="16"/>
                <w:szCs w:val="16"/>
              </w:rPr>
              <w:noBreakHyphen/>
            </w:r>
            <w:r w:rsidRPr="006A5BA8">
              <w:rPr>
                <w:rFonts w:ascii="Arial" w:hAnsi="Arial" w:cs="Arial"/>
                <w:color w:val="000000"/>
                <w:sz w:val="16"/>
                <w:szCs w:val="16"/>
              </w:rPr>
              <w:t>25</w:t>
            </w:r>
          </w:p>
        </w:tc>
        <w:tc>
          <w:tcPr>
            <w:tcW w:w="521" w:type="pct"/>
            <w:tcBorders>
              <w:top w:val="single" w:sz="4" w:space="0" w:color="293F5B"/>
              <w:left w:val="nil"/>
              <w:bottom w:val="nil"/>
              <w:right w:val="nil"/>
            </w:tcBorders>
            <w:shd w:val="clear" w:color="000000" w:fill="FFFFFF"/>
            <w:noWrap/>
            <w:vAlign w:val="center"/>
            <w:hideMark/>
          </w:tcPr>
          <w:p w14:paraId="081FB412" w14:textId="0463EE05"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2025</w:t>
            </w:r>
            <w:r w:rsidR="00325E1E">
              <w:rPr>
                <w:rFonts w:ascii="Arial" w:hAnsi="Arial" w:cs="Arial"/>
                <w:color w:val="000000"/>
                <w:sz w:val="16"/>
                <w:szCs w:val="16"/>
              </w:rPr>
              <w:noBreakHyphen/>
            </w:r>
            <w:r w:rsidRPr="006A5BA8">
              <w:rPr>
                <w:rFonts w:ascii="Arial" w:hAnsi="Arial" w:cs="Arial"/>
                <w:color w:val="000000"/>
                <w:sz w:val="16"/>
                <w:szCs w:val="16"/>
              </w:rPr>
              <w:t>26</w:t>
            </w:r>
          </w:p>
        </w:tc>
        <w:tc>
          <w:tcPr>
            <w:tcW w:w="521" w:type="pct"/>
            <w:tcBorders>
              <w:top w:val="single" w:sz="4" w:space="0" w:color="293F5B"/>
              <w:left w:val="nil"/>
              <w:bottom w:val="nil"/>
              <w:right w:val="nil"/>
            </w:tcBorders>
            <w:shd w:val="clear" w:color="000000" w:fill="FFFFFF"/>
            <w:noWrap/>
            <w:vAlign w:val="center"/>
            <w:hideMark/>
          </w:tcPr>
          <w:p w14:paraId="434BD27B" w14:textId="3A246950"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2026</w:t>
            </w:r>
            <w:r w:rsidR="00325E1E">
              <w:rPr>
                <w:rFonts w:ascii="Arial" w:hAnsi="Arial" w:cs="Arial"/>
                <w:color w:val="000000"/>
                <w:sz w:val="16"/>
                <w:szCs w:val="16"/>
              </w:rPr>
              <w:noBreakHyphen/>
            </w:r>
            <w:r w:rsidRPr="006A5BA8">
              <w:rPr>
                <w:rFonts w:ascii="Arial" w:hAnsi="Arial" w:cs="Arial"/>
                <w:color w:val="000000"/>
                <w:sz w:val="16"/>
                <w:szCs w:val="16"/>
              </w:rPr>
              <w:t>27</w:t>
            </w:r>
          </w:p>
        </w:tc>
        <w:tc>
          <w:tcPr>
            <w:tcW w:w="521" w:type="pct"/>
            <w:tcBorders>
              <w:top w:val="single" w:sz="4" w:space="0" w:color="293F5B"/>
              <w:left w:val="nil"/>
              <w:bottom w:val="nil"/>
              <w:right w:val="nil"/>
            </w:tcBorders>
            <w:shd w:val="clear" w:color="000000" w:fill="FFFFFF"/>
            <w:noWrap/>
            <w:vAlign w:val="center"/>
            <w:hideMark/>
          </w:tcPr>
          <w:p w14:paraId="4ED69E83" w14:textId="031D12B2"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2027</w:t>
            </w:r>
            <w:r w:rsidR="00325E1E">
              <w:rPr>
                <w:rFonts w:ascii="Arial" w:hAnsi="Arial" w:cs="Arial"/>
                <w:color w:val="000000"/>
                <w:sz w:val="16"/>
                <w:szCs w:val="16"/>
              </w:rPr>
              <w:noBreakHyphen/>
            </w:r>
            <w:r w:rsidRPr="006A5BA8">
              <w:rPr>
                <w:rFonts w:ascii="Arial" w:hAnsi="Arial" w:cs="Arial"/>
                <w:color w:val="000000"/>
                <w:sz w:val="16"/>
                <w:szCs w:val="16"/>
              </w:rPr>
              <w:t>28</w:t>
            </w:r>
          </w:p>
        </w:tc>
      </w:tr>
      <w:tr w:rsidR="006A5BA8" w:rsidRPr="006A5BA8" w14:paraId="67C7C899" w14:textId="77777777" w:rsidTr="00681870">
        <w:trPr>
          <w:trHeight w:hRule="exact" w:val="225"/>
        </w:trPr>
        <w:tc>
          <w:tcPr>
            <w:tcW w:w="2397" w:type="pct"/>
            <w:tcBorders>
              <w:top w:val="nil"/>
              <w:left w:val="nil"/>
              <w:bottom w:val="nil"/>
              <w:right w:val="nil"/>
            </w:tcBorders>
            <w:shd w:val="clear" w:color="000000" w:fill="FFFFFF"/>
            <w:noWrap/>
            <w:vAlign w:val="center"/>
            <w:hideMark/>
          </w:tcPr>
          <w:p w14:paraId="0276B498" w14:textId="77777777" w:rsidR="006A5BA8" w:rsidRPr="006A5BA8" w:rsidRDefault="006A5BA8" w:rsidP="006A5BA8">
            <w:pPr>
              <w:spacing w:before="0" w:after="0" w:line="240" w:lineRule="auto"/>
              <w:rPr>
                <w:rFonts w:ascii="Arial" w:hAnsi="Arial" w:cs="Arial"/>
                <w:sz w:val="16"/>
                <w:szCs w:val="16"/>
              </w:rPr>
            </w:pPr>
            <w:r w:rsidRPr="006A5BA8">
              <w:rPr>
                <w:rFonts w:ascii="Arial" w:hAnsi="Arial" w:cs="Arial"/>
                <w:sz w:val="16"/>
                <w:szCs w:val="16"/>
              </w:rPr>
              <w:t> </w:t>
            </w:r>
          </w:p>
        </w:tc>
        <w:tc>
          <w:tcPr>
            <w:tcW w:w="520" w:type="pct"/>
            <w:tcBorders>
              <w:top w:val="nil"/>
              <w:left w:val="nil"/>
              <w:bottom w:val="single" w:sz="4" w:space="0" w:color="293F5B"/>
              <w:right w:val="nil"/>
            </w:tcBorders>
            <w:shd w:val="clear" w:color="000000" w:fill="FFFFFF"/>
            <w:noWrap/>
            <w:vAlign w:val="center"/>
            <w:hideMark/>
          </w:tcPr>
          <w:p w14:paraId="1EFAE8AA"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E6F2FF"/>
            <w:noWrap/>
            <w:vAlign w:val="center"/>
            <w:hideMark/>
          </w:tcPr>
          <w:p w14:paraId="1ABC7324"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4A99EB18"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0DDCC858"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69FE9C87"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$m</w:t>
            </w:r>
          </w:p>
        </w:tc>
      </w:tr>
      <w:tr w:rsidR="006A5BA8" w:rsidRPr="006A5BA8" w14:paraId="734C00A4" w14:textId="77777777" w:rsidTr="00681870">
        <w:trPr>
          <w:trHeight w:hRule="exact" w:val="225"/>
        </w:trPr>
        <w:tc>
          <w:tcPr>
            <w:tcW w:w="2397" w:type="pct"/>
            <w:tcBorders>
              <w:top w:val="nil"/>
              <w:left w:val="nil"/>
              <w:bottom w:val="nil"/>
              <w:right w:val="nil"/>
            </w:tcBorders>
            <w:shd w:val="clear" w:color="000000" w:fill="FFFFFF"/>
            <w:noWrap/>
            <w:vAlign w:val="center"/>
            <w:hideMark/>
          </w:tcPr>
          <w:p w14:paraId="47F3D044" w14:textId="275871C5" w:rsidR="006A5BA8" w:rsidRPr="006A5BA8" w:rsidRDefault="006A5BA8" w:rsidP="006A5BA8">
            <w:pPr>
              <w:spacing w:before="0" w:after="0" w:line="240" w:lineRule="auto"/>
              <w:rPr>
                <w:rFonts w:ascii="Arial" w:hAnsi="Arial" w:cs="Arial"/>
                <w:b/>
                <w:bCs/>
                <w:color w:val="000000"/>
                <w:sz w:val="16"/>
                <w:szCs w:val="16"/>
              </w:rPr>
            </w:pPr>
            <w:r w:rsidRPr="006A5BA8">
              <w:rPr>
                <w:rFonts w:ascii="Arial" w:hAnsi="Arial" w:cs="Arial"/>
                <w:b/>
                <w:bCs/>
                <w:color w:val="000000"/>
                <w:sz w:val="16"/>
                <w:szCs w:val="16"/>
              </w:rPr>
              <w:t>GFS cash surplus(+)/deficit(</w:t>
            </w:r>
            <w:r w:rsidR="00325E1E">
              <w:rPr>
                <w:rFonts w:ascii="Arial" w:hAnsi="Arial" w:cs="Arial"/>
                <w:b/>
                <w:bCs/>
                <w:color w:val="000000"/>
                <w:sz w:val="16"/>
                <w:szCs w:val="16"/>
              </w:rPr>
              <w:noBreakHyphen/>
            </w:r>
            <w:r w:rsidRPr="006A5BA8">
              <w:rPr>
                <w:rFonts w:ascii="Arial" w:hAnsi="Arial" w:cs="Arial"/>
                <w:b/>
                <w:bCs/>
                <w:color w:val="000000"/>
                <w:sz w:val="16"/>
                <w:szCs w:val="16"/>
              </w:rPr>
              <w:t>)(c)</w:t>
            </w:r>
          </w:p>
        </w:tc>
        <w:tc>
          <w:tcPr>
            <w:tcW w:w="520" w:type="pct"/>
            <w:tcBorders>
              <w:top w:val="nil"/>
              <w:left w:val="nil"/>
              <w:bottom w:val="nil"/>
              <w:right w:val="nil"/>
            </w:tcBorders>
            <w:shd w:val="clear" w:color="000000" w:fill="FFFFFF"/>
            <w:noWrap/>
            <w:vAlign w:val="center"/>
            <w:hideMark/>
          </w:tcPr>
          <w:p w14:paraId="6F898F86" w14:textId="77777777" w:rsidR="006A5BA8" w:rsidRPr="006A5BA8" w:rsidRDefault="006A5BA8" w:rsidP="006A5BA8">
            <w:pPr>
              <w:spacing w:before="0" w:after="0" w:line="240" w:lineRule="auto"/>
              <w:jc w:val="right"/>
              <w:rPr>
                <w:rFonts w:ascii="Arial" w:hAnsi="Arial" w:cs="Arial"/>
                <w:b/>
                <w:bCs/>
                <w:color w:val="000000"/>
                <w:sz w:val="16"/>
                <w:szCs w:val="16"/>
              </w:rPr>
            </w:pPr>
            <w:r w:rsidRPr="006A5BA8">
              <w:rPr>
                <w:rFonts w:ascii="Arial" w:hAnsi="Arial" w:cs="Arial"/>
                <w:b/>
                <w:bCs/>
                <w:color w:val="000000"/>
                <w:sz w:val="16"/>
                <w:szCs w:val="16"/>
              </w:rPr>
              <w:t>11,861</w:t>
            </w:r>
          </w:p>
        </w:tc>
        <w:tc>
          <w:tcPr>
            <w:tcW w:w="521" w:type="pct"/>
            <w:tcBorders>
              <w:top w:val="nil"/>
              <w:left w:val="nil"/>
              <w:bottom w:val="nil"/>
              <w:right w:val="nil"/>
            </w:tcBorders>
            <w:shd w:val="clear" w:color="000000" w:fill="E6F2FF"/>
            <w:noWrap/>
            <w:vAlign w:val="center"/>
            <w:hideMark/>
          </w:tcPr>
          <w:p w14:paraId="0B540B2F" w14:textId="413F518D"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25,696</w:t>
            </w:r>
          </w:p>
        </w:tc>
        <w:tc>
          <w:tcPr>
            <w:tcW w:w="521" w:type="pct"/>
            <w:tcBorders>
              <w:top w:val="nil"/>
              <w:left w:val="nil"/>
              <w:bottom w:val="nil"/>
              <w:right w:val="nil"/>
            </w:tcBorders>
            <w:shd w:val="clear" w:color="000000" w:fill="FFFFFF"/>
            <w:noWrap/>
            <w:vAlign w:val="center"/>
            <w:hideMark/>
          </w:tcPr>
          <w:p w14:paraId="323DB529" w14:textId="686F7387"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40,237</w:t>
            </w:r>
          </w:p>
        </w:tc>
        <w:tc>
          <w:tcPr>
            <w:tcW w:w="521" w:type="pct"/>
            <w:tcBorders>
              <w:top w:val="nil"/>
              <w:left w:val="nil"/>
              <w:bottom w:val="nil"/>
              <w:right w:val="nil"/>
            </w:tcBorders>
            <w:shd w:val="clear" w:color="000000" w:fill="FFFFFF"/>
            <w:noWrap/>
            <w:vAlign w:val="center"/>
            <w:hideMark/>
          </w:tcPr>
          <w:p w14:paraId="045BAA62" w14:textId="773F347B"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24,121</w:t>
            </w:r>
          </w:p>
        </w:tc>
        <w:tc>
          <w:tcPr>
            <w:tcW w:w="521" w:type="pct"/>
            <w:tcBorders>
              <w:top w:val="nil"/>
              <w:left w:val="nil"/>
              <w:bottom w:val="nil"/>
              <w:right w:val="nil"/>
            </w:tcBorders>
            <w:shd w:val="clear" w:color="000000" w:fill="FFFFFF"/>
            <w:noWrap/>
            <w:vAlign w:val="center"/>
            <w:hideMark/>
          </w:tcPr>
          <w:p w14:paraId="4BA425D4" w14:textId="35258952"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21,791</w:t>
            </w:r>
          </w:p>
        </w:tc>
      </w:tr>
      <w:tr w:rsidR="006A5BA8" w:rsidRPr="006A5BA8" w14:paraId="0B8A32F7" w14:textId="77777777" w:rsidTr="00681870">
        <w:trPr>
          <w:trHeight w:hRule="exact" w:val="225"/>
        </w:trPr>
        <w:tc>
          <w:tcPr>
            <w:tcW w:w="2397" w:type="pct"/>
            <w:tcBorders>
              <w:top w:val="nil"/>
              <w:left w:val="nil"/>
              <w:bottom w:val="nil"/>
              <w:right w:val="nil"/>
            </w:tcBorders>
            <w:shd w:val="clear" w:color="000000" w:fill="FFFFFF"/>
            <w:noWrap/>
            <w:vAlign w:val="center"/>
            <w:hideMark/>
          </w:tcPr>
          <w:p w14:paraId="45C1907C" w14:textId="77777777" w:rsidR="006A5BA8" w:rsidRPr="006A5BA8" w:rsidRDefault="006A5BA8" w:rsidP="003027E7">
            <w:pPr>
              <w:spacing w:before="0" w:after="0" w:line="240" w:lineRule="auto"/>
              <w:rPr>
                <w:rFonts w:ascii="Arial" w:hAnsi="Arial" w:cs="Arial"/>
                <w:color w:val="000000"/>
                <w:sz w:val="16"/>
                <w:szCs w:val="16"/>
              </w:rPr>
            </w:pPr>
            <w:r w:rsidRPr="006A5BA8">
              <w:rPr>
                <w:rFonts w:ascii="Arial" w:hAnsi="Arial" w:cs="Arial"/>
                <w:i/>
                <w:iCs/>
                <w:color w:val="000000"/>
                <w:sz w:val="16"/>
                <w:szCs w:val="16"/>
              </w:rPr>
              <w:t xml:space="preserve">plus </w:t>
            </w:r>
            <w:r w:rsidRPr="006A5BA8">
              <w:rPr>
                <w:rFonts w:ascii="Arial" w:hAnsi="Arial" w:cs="Arial"/>
                <w:color w:val="000000"/>
                <w:sz w:val="16"/>
                <w:szCs w:val="16"/>
              </w:rPr>
              <w:t>Principal payments of</w:t>
            </w:r>
          </w:p>
        </w:tc>
        <w:tc>
          <w:tcPr>
            <w:tcW w:w="520" w:type="pct"/>
            <w:tcBorders>
              <w:top w:val="nil"/>
              <w:left w:val="nil"/>
              <w:bottom w:val="nil"/>
              <w:right w:val="nil"/>
            </w:tcBorders>
            <w:shd w:val="clear" w:color="000000" w:fill="FFFFFF"/>
            <w:noWrap/>
            <w:vAlign w:val="center"/>
            <w:hideMark/>
          </w:tcPr>
          <w:p w14:paraId="2DD0B718"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E6F2FF"/>
            <w:noWrap/>
            <w:vAlign w:val="center"/>
            <w:hideMark/>
          </w:tcPr>
          <w:p w14:paraId="3B0CE996"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7969FF79"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727AB8F1"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6915FCA5"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r>
      <w:tr w:rsidR="006A5BA8" w:rsidRPr="006A5BA8" w14:paraId="67C06D20" w14:textId="77777777" w:rsidTr="00EE0511">
        <w:trPr>
          <w:trHeight w:hRule="exact" w:val="225"/>
        </w:trPr>
        <w:tc>
          <w:tcPr>
            <w:tcW w:w="2397" w:type="pct"/>
            <w:tcBorders>
              <w:top w:val="nil"/>
              <w:left w:val="nil"/>
              <w:bottom w:val="nil"/>
              <w:right w:val="nil"/>
            </w:tcBorders>
            <w:shd w:val="clear" w:color="000000" w:fill="FFFFFF"/>
            <w:noWrap/>
            <w:vAlign w:val="center"/>
            <w:hideMark/>
          </w:tcPr>
          <w:p w14:paraId="4FD1EC38" w14:textId="77777777" w:rsidR="006A5BA8" w:rsidRPr="006A5BA8" w:rsidRDefault="006A5BA8" w:rsidP="006A5BA8">
            <w:pPr>
              <w:spacing w:before="0" w:after="0" w:line="240" w:lineRule="auto"/>
              <w:ind w:firstLineChars="200" w:firstLine="320"/>
              <w:rPr>
                <w:rFonts w:ascii="Arial" w:hAnsi="Arial" w:cs="Arial"/>
                <w:color w:val="000000"/>
                <w:sz w:val="16"/>
                <w:szCs w:val="16"/>
              </w:rPr>
            </w:pPr>
            <w:r w:rsidRPr="006A5BA8">
              <w:rPr>
                <w:rFonts w:ascii="Arial" w:hAnsi="Arial" w:cs="Arial"/>
                <w:color w:val="000000"/>
                <w:sz w:val="16"/>
                <w:szCs w:val="16"/>
              </w:rPr>
              <w:t>lease liabilities(d)</w:t>
            </w:r>
          </w:p>
        </w:tc>
        <w:tc>
          <w:tcPr>
            <w:tcW w:w="520" w:type="pct"/>
            <w:tcBorders>
              <w:top w:val="nil"/>
              <w:left w:val="nil"/>
              <w:right w:val="nil"/>
            </w:tcBorders>
            <w:shd w:val="clear" w:color="000000" w:fill="FFFFFF"/>
            <w:noWrap/>
            <w:vAlign w:val="center"/>
            <w:hideMark/>
          </w:tcPr>
          <w:p w14:paraId="43600CEA" w14:textId="53DFF3A3"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2,515</w:t>
            </w:r>
          </w:p>
        </w:tc>
        <w:tc>
          <w:tcPr>
            <w:tcW w:w="521" w:type="pct"/>
            <w:tcBorders>
              <w:top w:val="nil"/>
              <w:left w:val="nil"/>
              <w:right w:val="nil"/>
            </w:tcBorders>
            <w:shd w:val="clear" w:color="000000" w:fill="E6F2FF"/>
            <w:noWrap/>
            <w:vAlign w:val="center"/>
            <w:hideMark/>
          </w:tcPr>
          <w:p w14:paraId="56DC4E6A" w14:textId="7F40B6AB"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2,590</w:t>
            </w:r>
          </w:p>
        </w:tc>
        <w:tc>
          <w:tcPr>
            <w:tcW w:w="521" w:type="pct"/>
            <w:tcBorders>
              <w:top w:val="nil"/>
              <w:left w:val="nil"/>
              <w:right w:val="nil"/>
            </w:tcBorders>
            <w:shd w:val="clear" w:color="000000" w:fill="FFFFFF"/>
            <w:noWrap/>
            <w:vAlign w:val="center"/>
            <w:hideMark/>
          </w:tcPr>
          <w:p w14:paraId="5CB91771" w14:textId="2BCF61C4"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2,601</w:t>
            </w:r>
          </w:p>
        </w:tc>
        <w:tc>
          <w:tcPr>
            <w:tcW w:w="521" w:type="pct"/>
            <w:tcBorders>
              <w:top w:val="nil"/>
              <w:left w:val="nil"/>
              <w:right w:val="nil"/>
            </w:tcBorders>
            <w:shd w:val="clear" w:color="000000" w:fill="FFFFFF"/>
            <w:noWrap/>
            <w:vAlign w:val="center"/>
            <w:hideMark/>
          </w:tcPr>
          <w:p w14:paraId="43C52936" w14:textId="1B516C6F"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2,591</w:t>
            </w:r>
          </w:p>
        </w:tc>
        <w:tc>
          <w:tcPr>
            <w:tcW w:w="521" w:type="pct"/>
            <w:tcBorders>
              <w:top w:val="nil"/>
              <w:left w:val="nil"/>
              <w:right w:val="nil"/>
            </w:tcBorders>
            <w:shd w:val="clear" w:color="000000" w:fill="FFFFFF"/>
            <w:noWrap/>
            <w:vAlign w:val="center"/>
            <w:hideMark/>
          </w:tcPr>
          <w:p w14:paraId="7DCACA50" w14:textId="727FFE20"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2,554</w:t>
            </w:r>
          </w:p>
        </w:tc>
      </w:tr>
      <w:tr w:rsidR="006A5BA8" w:rsidRPr="006A5BA8" w14:paraId="01BE40F7" w14:textId="77777777" w:rsidTr="00681870">
        <w:trPr>
          <w:trHeight w:hRule="exact" w:val="225"/>
        </w:trPr>
        <w:tc>
          <w:tcPr>
            <w:tcW w:w="2397" w:type="pct"/>
            <w:tcBorders>
              <w:top w:val="nil"/>
              <w:left w:val="nil"/>
              <w:bottom w:val="nil"/>
              <w:right w:val="nil"/>
            </w:tcBorders>
            <w:shd w:val="clear" w:color="000000" w:fill="FFFFFF"/>
            <w:noWrap/>
            <w:vAlign w:val="center"/>
            <w:hideMark/>
          </w:tcPr>
          <w:p w14:paraId="5C274D73" w14:textId="77777777" w:rsidR="006A5BA8" w:rsidRPr="006A5BA8" w:rsidRDefault="006A5BA8" w:rsidP="006A5BA8">
            <w:pPr>
              <w:spacing w:before="0" w:after="0" w:line="240" w:lineRule="auto"/>
              <w:rPr>
                <w:rFonts w:ascii="Arial" w:hAnsi="Arial" w:cs="Arial"/>
                <w:b/>
                <w:bCs/>
                <w:color w:val="000000"/>
                <w:sz w:val="16"/>
                <w:szCs w:val="16"/>
              </w:rPr>
            </w:pPr>
            <w:r w:rsidRPr="006A5BA8">
              <w:rPr>
                <w:rFonts w:ascii="Arial" w:hAnsi="Arial" w:cs="Arial"/>
                <w:b/>
                <w:bCs/>
                <w:color w:val="000000"/>
                <w:sz w:val="16"/>
                <w:szCs w:val="16"/>
              </w:rPr>
              <w:t>Equals underlying cash balance(e)</w:t>
            </w:r>
          </w:p>
        </w:tc>
        <w:tc>
          <w:tcPr>
            <w:tcW w:w="520" w:type="pct"/>
            <w:tcBorders>
              <w:top w:val="nil"/>
              <w:left w:val="nil"/>
              <w:bottom w:val="single" w:sz="4" w:space="0" w:color="293F5B"/>
              <w:right w:val="nil"/>
            </w:tcBorders>
            <w:shd w:val="clear" w:color="000000" w:fill="FFFFFF"/>
            <w:noWrap/>
            <w:vAlign w:val="bottom"/>
            <w:hideMark/>
          </w:tcPr>
          <w:p w14:paraId="6AD31309" w14:textId="77777777" w:rsidR="006A5BA8" w:rsidRPr="006A5BA8" w:rsidRDefault="006A5BA8" w:rsidP="006A5BA8">
            <w:pPr>
              <w:spacing w:before="0" w:after="0" w:line="240" w:lineRule="auto"/>
              <w:jc w:val="right"/>
              <w:rPr>
                <w:rFonts w:ascii="Arial" w:hAnsi="Arial" w:cs="Arial"/>
                <w:b/>
                <w:bCs/>
                <w:color w:val="000000"/>
                <w:sz w:val="16"/>
                <w:szCs w:val="16"/>
              </w:rPr>
            </w:pPr>
            <w:r w:rsidRPr="006A5BA8">
              <w:rPr>
                <w:rFonts w:ascii="Arial" w:hAnsi="Arial" w:cs="Arial"/>
                <w:b/>
                <w:bCs/>
                <w:color w:val="000000"/>
                <w:sz w:val="16"/>
                <w:szCs w:val="16"/>
              </w:rPr>
              <w:t>9,346</w:t>
            </w:r>
          </w:p>
        </w:tc>
        <w:tc>
          <w:tcPr>
            <w:tcW w:w="521" w:type="pct"/>
            <w:tcBorders>
              <w:top w:val="nil"/>
              <w:left w:val="nil"/>
              <w:bottom w:val="single" w:sz="4" w:space="0" w:color="293F5B"/>
              <w:right w:val="nil"/>
            </w:tcBorders>
            <w:shd w:val="clear" w:color="000000" w:fill="E6F2FF"/>
            <w:noWrap/>
            <w:vAlign w:val="bottom"/>
            <w:hideMark/>
          </w:tcPr>
          <w:p w14:paraId="3E8E2D71" w14:textId="7A9351BA"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28,286</w:t>
            </w:r>
          </w:p>
        </w:tc>
        <w:tc>
          <w:tcPr>
            <w:tcW w:w="521" w:type="pct"/>
            <w:tcBorders>
              <w:top w:val="nil"/>
              <w:left w:val="nil"/>
              <w:bottom w:val="single" w:sz="4" w:space="0" w:color="293F5B"/>
              <w:right w:val="nil"/>
            </w:tcBorders>
            <w:shd w:val="clear" w:color="000000" w:fill="FFFFFF"/>
            <w:noWrap/>
            <w:vAlign w:val="bottom"/>
            <w:hideMark/>
          </w:tcPr>
          <w:p w14:paraId="6F72148D" w14:textId="7844C8E1"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42,838</w:t>
            </w:r>
          </w:p>
        </w:tc>
        <w:tc>
          <w:tcPr>
            <w:tcW w:w="521" w:type="pct"/>
            <w:tcBorders>
              <w:top w:val="nil"/>
              <w:left w:val="nil"/>
              <w:bottom w:val="single" w:sz="4" w:space="0" w:color="293F5B"/>
              <w:right w:val="nil"/>
            </w:tcBorders>
            <w:shd w:val="clear" w:color="000000" w:fill="FFFFFF"/>
            <w:noWrap/>
            <w:vAlign w:val="bottom"/>
            <w:hideMark/>
          </w:tcPr>
          <w:p w14:paraId="068B5086" w14:textId="5786A310"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26,713</w:t>
            </w:r>
          </w:p>
        </w:tc>
        <w:tc>
          <w:tcPr>
            <w:tcW w:w="521" w:type="pct"/>
            <w:tcBorders>
              <w:top w:val="nil"/>
              <w:left w:val="nil"/>
              <w:bottom w:val="single" w:sz="4" w:space="0" w:color="293F5B"/>
              <w:right w:val="nil"/>
            </w:tcBorders>
            <w:shd w:val="clear" w:color="000000" w:fill="FFFFFF"/>
            <w:noWrap/>
            <w:vAlign w:val="bottom"/>
            <w:hideMark/>
          </w:tcPr>
          <w:p w14:paraId="299CDC5A" w14:textId="71305528"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24,345</w:t>
            </w:r>
          </w:p>
        </w:tc>
      </w:tr>
      <w:tr w:rsidR="006A5BA8" w:rsidRPr="006A5BA8" w14:paraId="40D4D445" w14:textId="77777777" w:rsidTr="00681870">
        <w:trPr>
          <w:trHeight w:hRule="exact" w:val="225"/>
        </w:trPr>
        <w:tc>
          <w:tcPr>
            <w:tcW w:w="2397" w:type="pct"/>
            <w:tcBorders>
              <w:top w:val="nil"/>
              <w:left w:val="nil"/>
              <w:bottom w:val="nil"/>
              <w:right w:val="nil"/>
            </w:tcBorders>
            <w:shd w:val="clear" w:color="000000" w:fill="FFFFFF"/>
            <w:noWrap/>
            <w:vAlign w:val="center"/>
            <w:hideMark/>
          </w:tcPr>
          <w:p w14:paraId="7ACEF627" w14:textId="77777777" w:rsidR="006A5BA8" w:rsidRPr="006A5BA8" w:rsidRDefault="006A5BA8" w:rsidP="003027E7">
            <w:pPr>
              <w:spacing w:before="0" w:after="0" w:line="240" w:lineRule="auto"/>
              <w:rPr>
                <w:rFonts w:ascii="Arial" w:hAnsi="Arial" w:cs="Arial"/>
                <w:i/>
                <w:iCs/>
                <w:color w:val="000000"/>
                <w:sz w:val="16"/>
                <w:szCs w:val="16"/>
              </w:rPr>
            </w:pPr>
            <w:r w:rsidRPr="006A5BA8">
              <w:rPr>
                <w:rFonts w:ascii="Arial" w:hAnsi="Arial" w:cs="Arial"/>
                <w:i/>
                <w:iCs/>
                <w:color w:val="000000"/>
                <w:sz w:val="16"/>
                <w:szCs w:val="16"/>
              </w:rPr>
              <w:t>plus</w:t>
            </w:r>
            <w:r w:rsidRPr="006A5BA8">
              <w:rPr>
                <w:rFonts w:ascii="Arial" w:hAnsi="Arial" w:cs="Arial"/>
                <w:color w:val="000000"/>
                <w:sz w:val="16"/>
                <w:szCs w:val="16"/>
              </w:rPr>
              <w:t xml:space="preserve"> Net cash flows from investments in</w:t>
            </w:r>
          </w:p>
        </w:tc>
        <w:tc>
          <w:tcPr>
            <w:tcW w:w="520" w:type="pct"/>
            <w:tcBorders>
              <w:top w:val="nil"/>
              <w:left w:val="nil"/>
              <w:bottom w:val="nil"/>
              <w:right w:val="nil"/>
            </w:tcBorders>
            <w:shd w:val="clear" w:color="000000" w:fill="FFFFFF"/>
            <w:noWrap/>
            <w:vAlign w:val="bottom"/>
            <w:hideMark/>
          </w:tcPr>
          <w:p w14:paraId="70C63FBC"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E6F2FF"/>
            <w:noWrap/>
            <w:vAlign w:val="bottom"/>
            <w:hideMark/>
          </w:tcPr>
          <w:p w14:paraId="0088131A"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7F516D09"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71D0F2FF"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78070842" w14:textId="77777777" w:rsidR="006A5BA8" w:rsidRPr="006A5BA8" w:rsidRDefault="006A5BA8" w:rsidP="006A5BA8">
            <w:pPr>
              <w:spacing w:before="0" w:after="0" w:line="240" w:lineRule="auto"/>
              <w:jc w:val="right"/>
              <w:rPr>
                <w:rFonts w:ascii="Arial" w:hAnsi="Arial" w:cs="Arial"/>
                <w:color w:val="000000"/>
                <w:sz w:val="16"/>
                <w:szCs w:val="16"/>
              </w:rPr>
            </w:pPr>
            <w:r w:rsidRPr="006A5BA8">
              <w:rPr>
                <w:rFonts w:ascii="Arial" w:hAnsi="Arial" w:cs="Arial"/>
                <w:color w:val="000000"/>
                <w:sz w:val="16"/>
                <w:szCs w:val="16"/>
              </w:rPr>
              <w:t> </w:t>
            </w:r>
          </w:p>
        </w:tc>
      </w:tr>
      <w:tr w:rsidR="006A5BA8" w:rsidRPr="006A5BA8" w14:paraId="7118D307" w14:textId="77777777" w:rsidTr="00EE0511">
        <w:trPr>
          <w:trHeight w:hRule="exact" w:val="225"/>
        </w:trPr>
        <w:tc>
          <w:tcPr>
            <w:tcW w:w="2397" w:type="pct"/>
            <w:tcBorders>
              <w:top w:val="nil"/>
              <w:left w:val="nil"/>
              <w:right w:val="nil"/>
            </w:tcBorders>
            <w:shd w:val="clear" w:color="000000" w:fill="FFFFFF"/>
            <w:noWrap/>
            <w:vAlign w:val="center"/>
            <w:hideMark/>
          </w:tcPr>
          <w:p w14:paraId="3FE0447E" w14:textId="77777777" w:rsidR="006A5BA8" w:rsidRPr="006A5BA8" w:rsidRDefault="006A5BA8" w:rsidP="006A5BA8">
            <w:pPr>
              <w:spacing w:before="0" w:after="0" w:line="240" w:lineRule="auto"/>
              <w:ind w:firstLineChars="200" w:firstLine="320"/>
              <w:rPr>
                <w:rFonts w:ascii="Arial" w:hAnsi="Arial" w:cs="Arial"/>
                <w:color w:val="000000"/>
                <w:sz w:val="16"/>
                <w:szCs w:val="16"/>
              </w:rPr>
            </w:pPr>
            <w:r w:rsidRPr="006A5BA8">
              <w:rPr>
                <w:rFonts w:ascii="Arial" w:hAnsi="Arial" w:cs="Arial"/>
                <w:color w:val="000000"/>
                <w:sz w:val="16"/>
                <w:szCs w:val="16"/>
              </w:rPr>
              <w:t>financial assets for policy purposes</w:t>
            </w:r>
          </w:p>
        </w:tc>
        <w:tc>
          <w:tcPr>
            <w:tcW w:w="520" w:type="pct"/>
            <w:tcBorders>
              <w:top w:val="nil"/>
              <w:left w:val="nil"/>
              <w:right w:val="nil"/>
            </w:tcBorders>
            <w:shd w:val="clear" w:color="000000" w:fill="FFFFFF"/>
            <w:noWrap/>
            <w:vAlign w:val="center"/>
            <w:hideMark/>
          </w:tcPr>
          <w:p w14:paraId="19B05F0E" w14:textId="3988974A"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2,879</w:t>
            </w:r>
          </w:p>
        </w:tc>
        <w:tc>
          <w:tcPr>
            <w:tcW w:w="521" w:type="pct"/>
            <w:tcBorders>
              <w:top w:val="nil"/>
              <w:left w:val="nil"/>
              <w:right w:val="nil"/>
            </w:tcBorders>
            <w:shd w:val="clear" w:color="000000" w:fill="E6F2FF"/>
            <w:noWrap/>
            <w:vAlign w:val="center"/>
            <w:hideMark/>
          </w:tcPr>
          <w:p w14:paraId="1E3B684A" w14:textId="2B2C014A"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18,916</w:t>
            </w:r>
          </w:p>
        </w:tc>
        <w:tc>
          <w:tcPr>
            <w:tcW w:w="521" w:type="pct"/>
            <w:tcBorders>
              <w:top w:val="nil"/>
              <w:left w:val="nil"/>
              <w:right w:val="nil"/>
            </w:tcBorders>
            <w:shd w:val="clear" w:color="000000" w:fill="FFFFFF"/>
            <w:noWrap/>
            <w:vAlign w:val="center"/>
            <w:hideMark/>
          </w:tcPr>
          <w:p w14:paraId="681CAE4E" w14:textId="1E800984"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20,932</w:t>
            </w:r>
          </w:p>
        </w:tc>
        <w:tc>
          <w:tcPr>
            <w:tcW w:w="521" w:type="pct"/>
            <w:tcBorders>
              <w:top w:val="nil"/>
              <w:left w:val="nil"/>
              <w:right w:val="nil"/>
            </w:tcBorders>
            <w:shd w:val="clear" w:color="000000" w:fill="FFFFFF"/>
            <w:noWrap/>
            <w:vAlign w:val="center"/>
            <w:hideMark/>
          </w:tcPr>
          <w:p w14:paraId="2F57D4DB" w14:textId="79C51D35"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20,130</w:t>
            </w:r>
          </w:p>
        </w:tc>
        <w:tc>
          <w:tcPr>
            <w:tcW w:w="521" w:type="pct"/>
            <w:tcBorders>
              <w:top w:val="nil"/>
              <w:left w:val="nil"/>
              <w:right w:val="nil"/>
            </w:tcBorders>
            <w:shd w:val="clear" w:color="000000" w:fill="FFFFFF"/>
            <w:noWrap/>
            <w:vAlign w:val="center"/>
            <w:hideMark/>
          </w:tcPr>
          <w:p w14:paraId="578DAC53" w14:textId="4EE9B780" w:rsidR="006A5BA8" w:rsidRPr="006A5BA8" w:rsidRDefault="00325E1E" w:rsidP="006A5BA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6A5BA8" w:rsidRPr="006A5BA8">
              <w:rPr>
                <w:rFonts w:ascii="Arial" w:hAnsi="Arial" w:cs="Arial"/>
                <w:color w:val="000000"/>
                <w:sz w:val="16"/>
                <w:szCs w:val="16"/>
              </w:rPr>
              <w:t>17,676</w:t>
            </w:r>
          </w:p>
        </w:tc>
      </w:tr>
      <w:tr w:rsidR="006A5BA8" w:rsidRPr="006A5BA8" w14:paraId="77B955DC" w14:textId="77777777" w:rsidTr="00681870">
        <w:trPr>
          <w:trHeight w:hRule="exact" w:val="225"/>
        </w:trPr>
        <w:tc>
          <w:tcPr>
            <w:tcW w:w="2397" w:type="pct"/>
            <w:tcBorders>
              <w:top w:val="nil"/>
              <w:left w:val="nil"/>
              <w:bottom w:val="single" w:sz="4" w:space="0" w:color="293F5B"/>
              <w:right w:val="nil"/>
            </w:tcBorders>
            <w:shd w:val="clear" w:color="000000" w:fill="FFFFFF"/>
            <w:noWrap/>
            <w:vAlign w:val="center"/>
            <w:hideMark/>
          </w:tcPr>
          <w:p w14:paraId="60649C71" w14:textId="77777777" w:rsidR="006A5BA8" w:rsidRPr="006A5BA8" w:rsidRDefault="006A5BA8" w:rsidP="006A5BA8">
            <w:pPr>
              <w:spacing w:before="0" w:after="0" w:line="240" w:lineRule="auto"/>
              <w:rPr>
                <w:rFonts w:ascii="Arial" w:hAnsi="Arial" w:cs="Arial"/>
                <w:b/>
                <w:bCs/>
                <w:color w:val="000000"/>
                <w:sz w:val="16"/>
                <w:szCs w:val="16"/>
              </w:rPr>
            </w:pPr>
            <w:r w:rsidRPr="006A5BA8">
              <w:rPr>
                <w:rFonts w:ascii="Arial" w:hAnsi="Arial" w:cs="Arial"/>
                <w:b/>
                <w:bCs/>
                <w:color w:val="000000"/>
                <w:sz w:val="16"/>
                <w:szCs w:val="16"/>
              </w:rPr>
              <w:t>Equals headline cash balance</w:t>
            </w:r>
          </w:p>
        </w:tc>
        <w:tc>
          <w:tcPr>
            <w:tcW w:w="520" w:type="pct"/>
            <w:tcBorders>
              <w:top w:val="nil"/>
              <w:left w:val="nil"/>
              <w:bottom w:val="single" w:sz="4" w:space="0" w:color="293F5B"/>
              <w:right w:val="nil"/>
            </w:tcBorders>
            <w:shd w:val="clear" w:color="000000" w:fill="FFFFFF"/>
            <w:noWrap/>
            <w:vAlign w:val="bottom"/>
            <w:hideMark/>
          </w:tcPr>
          <w:p w14:paraId="0ED28048" w14:textId="77777777" w:rsidR="006A5BA8" w:rsidRPr="006A5BA8" w:rsidRDefault="006A5BA8" w:rsidP="006A5BA8">
            <w:pPr>
              <w:spacing w:before="0" w:after="0" w:line="240" w:lineRule="auto"/>
              <w:jc w:val="right"/>
              <w:rPr>
                <w:rFonts w:ascii="Arial" w:hAnsi="Arial" w:cs="Arial"/>
                <w:b/>
                <w:bCs/>
                <w:color w:val="000000"/>
                <w:sz w:val="16"/>
                <w:szCs w:val="16"/>
              </w:rPr>
            </w:pPr>
            <w:r w:rsidRPr="006A5BA8">
              <w:rPr>
                <w:rFonts w:ascii="Arial" w:hAnsi="Arial" w:cs="Arial"/>
                <w:b/>
                <w:bCs/>
                <w:color w:val="000000"/>
                <w:sz w:val="16"/>
                <w:szCs w:val="16"/>
              </w:rPr>
              <w:t>6,467</w:t>
            </w:r>
          </w:p>
        </w:tc>
        <w:tc>
          <w:tcPr>
            <w:tcW w:w="521" w:type="pct"/>
            <w:tcBorders>
              <w:top w:val="nil"/>
              <w:left w:val="nil"/>
              <w:bottom w:val="single" w:sz="4" w:space="0" w:color="293F5B"/>
              <w:right w:val="nil"/>
            </w:tcBorders>
            <w:shd w:val="clear" w:color="000000" w:fill="E6F2FF"/>
            <w:noWrap/>
            <w:vAlign w:val="bottom"/>
            <w:hideMark/>
          </w:tcPr>
          <w:p w14:paraId="3C900CD8" w14:textId="416313F5"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47,202</w:t>
            </w:r>
          </w:p>
        </w:tc>
        <w:tc>
          <w:tcPr>
            <w:tcW w:w="521" w:type="pct"/>
            <w:tcBorders>
              <w:top w:val="nil"/>
              <w:left w:val="nil"/>
              <w:bottom w:val="single" w:sz="4" w:space="0" w:color="293F5B"/>
              <w:right w:val="nil"/>
            </w:tcBorders>
            <w:shd w:val="clear" w:color="000000" w:fill="FFFFFF"/>
            <w:noWrap/>
            <w:vAlign w:val="bottom"/>
            <w:hideMark/>
          </w:tcPr>
          <w:p w14:paraId="7D498744" w14:textId="0298918A"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63,770</w:t>
            </w:r>
          </w:p>
        </w:tc>
        <w:tc>
          <w:tcPr>
            <w:tcW w:w="521" w:type="pct"/>
            <w:tcBorders>
              <w:top w:val="nil"/>
              <w:left w:val="nil"/>
              <w:bottom w:val="single" w:sz="4" w:space="0" w:color="293F5B"/>
              <w:right w:val="nil"/>
            </w:tcBorders>
            <w:shd w:val="clear" w:color="000000" w:fill="FFFFFF"/>
            <w:noWrap/>
            <w:vAlign w:val="bottom"/>
            <w:hideMark/>
          </w:tcPr>
          <w:p w14:paraId="08D742E1" w14:textId="44E35AF8"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46,843</w:t>
            </w:r>
          </w:p>
        </w:tc>
        <w:tc>
          <w:tcPr>
            <w:tcW w:w="521" w:type="pct"/>
            <w:tcBorders>
              <w:top w:val="nil"/>
              <w:left w:val="nil"/>
              <w:bottom w:val="single" w:sz="4" w:space="0" w:color="293F5B"/>
              <w:right w:val="nil"/>
            </w:tcBorders>
            <w:shd w:val="clear" w:color="000000" w:fill="FFFFFF"/>
            <w:noWrap/>
            <w:vAlign w:val="bottom"/>
            <w:hideMark/>
          </w:tcPr>
          <w:p w14:paraId="452D58ED" w14:textId="7F14BFBE" w:rsidR="006A5BA8" w:rsidRPr="006A5BA8" w:rsidRDefault="00325E1E" w:rsidP="006A5BA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6A5BA8" w:rsidRPr="006A5BA8">
              <w:rPr>
                <w:rFonts w:ascii="Arial" w:hAnsi="Arial" w:cs="Arial"/>
                <w:b/>
                <w:bCs/>
                <w:color w:val="000000"/>
                <w:sz w:val="16"/>
                <w:szCs w:val="16"/>
              </w:rPr>
              <w:t>42,022</w:t>
            </w:r>
          </w:p>
        </w:tc>
      </w:tr>
    </w:tbl>
    <w:p w14:paraId="5ADCC15F" w14:textId="0C25A665" w:rsidR="00D8138E" w:rsidRDefault="00D8138E" w:rsidP="00A749C5">
      <w:pPr>
        <w:pStyle w:val="ChartandTableFootnoteAlpha"/>
        <w:numPr>
          <w:ilvl w:val="0"/>
          <w:numId w:val="9"/>
        </w:numPr>
      </w:pPr>
      <w:r w:rsidRPr="00D6778E">
        <w:t>A positive number denotes a cash inflow; a negative number denotes a cash outflow.</w:t>
      </w:r>
    </w:p>
    <w:p w14:paraId="61F33E70" w14:textId="77777777" w:rsidR="00D8138E" w:rsidRDefault="00D8138E" w:rsidP="00D8138E">
      <w:pPr>
        <w:pStyle w:val="ChartandTableFootnoteAlpha"/>
        <w:numPr>
          <w:ilvl w:val="0"/>
          <w:numId w:val="9"/>
        </w:numPr>
      </w:pPr>
      <w:r w:rsidRPr="005766B2">
        <w:t>Consistent with the ABS GFS classification, other employee related payments are classified separately from wages and salaries under other payments.</w:t>
      </w:r>
    </w:p>
    <w:p w14:paraId="4BAF423A" w14:textId="39AE974D" w:rsidR="00D8138E" w:rsidRDefault="00D8138E" w:rsidP="00D8138E">
      <w:pPr>
        <w:pStyle w:val="ChartandTableFootnoteAlpha"/>
        <w:numPr>
          <w:ilvl w:val="0"/>
          <w:numId w:val="9"/>
        </w:numPr>
      </w:pPr>
      <w:r w:rsidRPr="005766B2">
        <w:t>GFS cash surplus/deficit equals net cash flows from operating activities and investments in non</w:t>
      </w:r>
      <w:r w:rsidR="00325E1E">
        <w:noBreakHyphen/>
      </w:r>
      <w:r w:rsidRPr="005766B2">
        <w:t>financial assets.</w:t>
      </w:r>
    </w:p>
    <w:p w14:paraId="1D8C885C" w14:textId="02A76DA4" w:rsidR="00D8138E" w:rsidRDefault="00D8138E" w:rsidP="00D8138E">
      <w:pPr>
        <w:pStyle w:val="ChartandTableFootnoteAlpha"/>
        <w:numPr>
          <w:ilvl w:val="0"/>
          <w:numId w:val="9"/>
        </w:numPr>
      </w:pPr>
      <w:r w:rsidRPr="005766B2">
        <w:t xml:space="preserve">Principal payments of lease liabilities, which are financing cash payments, are deducted in the calculation of the underlying cash balance to maintain consistency of measure following the implementation of </w:t>
      </w:r>
      <w:r w:rsidR="00A96E0D">
        <w:t>AASB </w:t>
      </w:r>
      <w:r w:rsidRPr="005766B2">
        <w:t>16.</w:t>
      </w:r>
    </w:p>
    <w:p w14:paraId="3357EA5E" w14:textId="77777777" w:rsidR="00D8138E" w:rsidRPr="005766B2" w:rsidRDefault="00D8138E" w:rsidP="00D8138E">
      <w:pPr>
        <w:pStyle w:val="ChartandTableFootnoteAlpha"/>
        <w:numPr>
          <w:ilvl w:val="0"/>
          <w:numId w:val="9"/>
        </w:numPr>
      </w:pPr>
      <w:r w:rsidRPr="005766B2">
        <w:t>The term underlying cash balance is not used by the ABS.</w:t>
      </w:r>
    </w:p>
    <w:p w14:paraId="4EC6F3C9" w14:textId="77777777" w:rsidR="00D8138E" w:rsidRPr="00EA746C" w:rsidRDefault="00D8138E" w:rsidP="00A22DA1">
      <w:pPr>
        <w:pStyle w:val="TableLine"/>
      </w:pPr>
    </w:p>
    <w:p w14:paraId="4183457A" w14:textId="77777777" w:rsidR="00D8138E" w:rsidRPr="00EA746C" w:rsidRDefault="00D8138E" w:rsidP="00D8138E">
      <w:pPr>
        <w:rPr>
          <w:rFonts w:eastAsiaTheme="minorHAnsi"/>
        </w:rPr>
      </w:pPr>
      <w:r w:rsidRPr="00EA746C">
        <w:br w:type="page"/>
      </w:r>
    </w:p>
    <w:p w14:paraId="24943D4B" w14:textId="66754F55" w:rsidR="00E64B7D" w:rsidRDefault="00A96E0D" w:rsidP="00E64B7D">
      <w:pPr>
        <w:pStyle w:val="TableHeading"/>
      </w:pPr>
      <w:r>
        <w:lastRenderedPageBreak/>
        <w:t>Table </w:t>
      </w:r>
      <w:r w:rsidR="00D8138E" w:rsidRPr="00EA746C">
        <w:t>1</w:t>
      </w:r>
      <w:r w:rsidR="005A3823">
        <w:t>0</w:t>
      </w:r>
      <w:r w:rsidR="00D8138E" w:rsidRPr="00EA746C">
        <w:t>.4: Australian Government public non</w:t>
      </w:r>
      <w:r w:rsidR="00325E1E">
        <w:noBreakHyphen/>
      </w:r>
      <w:r w:rsidR="00D8138E" w:rsidRPr="00EA746C">
        <w:t>financial corporations sector operating statement</w:t>
      </w:r>
    </w:p>
    <w:tbl>
      <w:tblPr>
        <w:tblW w:w="5000" w:type="pct"/>
        <w:tblBorders>
          <w:top w:val="single" w:sz="4" w:space="0" w:color="293F5B"/>
          <w:bottom w:val="single" w:sz="4" w:space="0" w:color="293F5B"/>
        </w:tblBorders>
        <w:tblCellMar>
          <w:left w:w="0" w:type="dxa"/>
          <w:right w:w="28" w:type="dxa"/>
        </w:tblCellMar>
        <w:tblLook w:val="04A0" w:firstRow="1" w:lastRow="0" w:firstColumn="1" w:lastColumn="0" w:noHBand="0" w:noVBand="1"/>
      </w:tblPr>
      <w:tblGrid>
        <w:gridCol w:w="4737"/>
        <w:gridCol w:w="1206"/>
        <w:gridCol w:w="948"/>
        <w:gridCol w:w="819"/>
      </w:tblGrid>
      <w:tr w:rsidR="00E64B7D" w:rsidRPr="00E64B7D" w14:paraId="5DC0302C" w14:textId="77777777" w:rsidTr="00117663">
        <w:trPr>
          <w:trHeight w:val="227"/>
        </w:trPr>
        <w:tc>
          <w:tcPr>
            <w:tcW w:w="5954" w:type="dxa"/>
            <w:gridSpan w:val="2"/>
            <w:shd w:val="clear" w:color="000000" w:fill="FFFFFF"/>
            <w:noWrap/>
            <w:vAlign w:val="center"/>
            <w:hideMark/>
          </w:tcPr>
          <w:p w14:paraId="148A5018" w14:textId="77777777" w:rsidR="00E64B7D" w:rsidRPr="00E64B7D" w:rsidRDefault="00E64B7D" w:rsidP="0050354A">
            <w:pPr>
              <w:pStyle w:val="TableTextLeft"/>
            </w:pPr>
            <w:r w:rsidRPr="00E64B7D">
              <w:t> </w:t>
            </w:r>
          </w:p>
        </w:tc>
        <w:tc>
          <w:tcPr>
            <w:tcW w:w="1756" w:type="dxa"/>
            <w:gridSpan w:val="2"/>
            <w:tcBorders>
              <w:top w:val="single" w:sz="4" w:space="0" w:color="auto"/>
              <w:bottom w:val="single" w:sz="4" w:space="0" w:color="293F5B"/>
            </w:tcBorders>
            <w:shd w:val="clear" w:color="000000" w:fill="FFFFFF"/>
            <w:noWrap/>
            <w:vAlign w:val="center"/>
            <w:hideMark/>
          </w:tcPr>
          <w:p w14:paraId="4C045866" w14:textId="681E85F3" w:rsidR="00E64B7D" w:rsidRPr="00E64B7D" w:rsidRDefault="00CE77E3" w:rsidP="0096428F">
            <w:pPr>
              <w:pStyle w:val="TableTextCentred"/>
            </w:pPr>
            <w:r w:rsidRPr="00E64B7D">
              <w:t>Estimates</w:t>
            </w:r>
          </w:p>
        </w:tc>
      </w:tr>
      <w:tr w:rsidR="00E64B7D" w:rsidRPr="00E64B7D" w14:paraId="168B5374" w14:textId="77777777" w:rsidTr="00117663">
        <w:trPr>
          <w:trHeight w:val="225"/>
        </w:trPr>
        <w:tc>
          <w:tcPr>
            <w:tcW w:w="5954" w:type="dxa"/>
            <w:gridSpan w:val="2"/>
            <w:shd w:val="clear" w:color="000000" w:fill="FFFFFF"/>
            <w:noWrap/>
            <w:vAlign w:val="center"/>
            <w:hideMark/>
          </w:tcPr>
          <w:p w14:paraId="3104F023" w14:textId="77777777" w:rsidR="00E64B7D" w:rsidRPr="00E64B7D" w:rsidRDefault="00E64B7D" w:rsidP="0050354A">
            <w:pPr>
              <w:pStyle w:val="TableTextLeft"/>
            </w:pPr>
            <w:r w:rsidRPr="00E64B7D">
              <w:t> </w:t>
            </w:r>
          </w:p>
        </w:tc>
        <w:tc>
          <w:tcPr>
            <w:tcW w:w="943" w:type="dxa"/>
            <w:tcBorders>
              <w:top w:val="single" w:sz="4" w:space="0" w:color="293F5B"/>
              <w:bottom w:val="nil"/>
            </w:tcBorders>
            <w:shd w:val="clear" w:color="000000" w:fill="FFFFFF"/>
            <w:noWrap/>
            <w:vAlign w:val="center"/>
            <w:hideMark/>
          </w:tcPr>
          <w:p w14:paraId="257D34A0" w14:textId="41B80064" w:rsidR="00E64B7D" w:rsidRPr="00E64B7D" w:rsidRDefault="00E64B7D" w:rsidP="00E34776">
            <w:pPr>
              <w:pStyle w:val="TableTextRight"/>
            </w:pPr>
            <w:r w:rsidRPr="00E64B7D">
              <w:t>2023</w:t>
            </w:r>
            <w:r w:rsidR="00325E1E">
              <w:noBreakHyphen/>
            </w:r>
            <w:r w:rsidRPr="00E64B7D">
              <w:t>24</w:t>
            </w:r>
          </w:p>
        </w:tc>
        <w:tc>
          <w:tcPr>
            <w:tcW w:w="813" w:type="dxa"/>
            <w:tcBorders>
              <w:top w:val="single" w:sz="4" w:space="0" w:color="293F5B"/>
              <w:bottom w:val="nil"/>
            </w:tcBorders>
            <w:shd w:val="clear" w:color="auto" w:fill="E6F2FF"/>
            <w:noWrap/>
            <w:vAlign w:val="center"/>
            <w:hideMark/>
          </w:tcPr>
          <w:p w14:paraId="4F58A3A8" w14:textId="066F0CAD" w:rsidR="00E64B7D" w:rsidRPr="00E64B7D" w:rsidRDefault="00E64B7D" w:rsidP="00E34776">
            <w:pPr>
              <w:pStyle w:val="TableTextRight"/>
            </w:pPr>
            <w:r w:rsidRPr="00E64B7D">
              <w:t>2024</w:t>
            </w:r>
            <w:r w:rsidR="00325E1E">
              <w:noBreakHyphen/>
            </w:r>
            <w:r w:rsidRPr="00E64B7D">
              <w:t>25</w:t>
            </w:r>
          </w:p>
        </w:tc>
      </w:tr>
      <w:tr w:rsidR="00E64B7D" w:rsidRPr="00E64B7D" w14:paraId="163BB4E7" w14:textId="77777777" w:rsidTr="00117663">
        <w:trPr>
          <w:trHeight w:val="225"/>
        </w:trPr>
        <w:tc>
          <w:tcPr>
            <w:tcW w:w="5954" w:type="dxa"/>
            <w:gridSpan w:val="2"/>
            <w:shd w:val="clear" w:color="000000" w:fill="FFFFFF"/>
            <w:noWrap/>
            <w:vAlign w:val="center"/>
            <w:hideMark/>
          </w:tcPr>
          <w:p w14:paraId="7A0D406F" w14:textId="77777777" w:rsidR="00E64B7D" w:rsidRPr="00E64B7D" w:rsidRDefault="00E64B7D" w:rsidP="0050354A">
            <w:pPr>
              <w:pStyle w:val="TableTextLeft"/>
              <w:rPr>
                <w:b/>
              </w:rPr>
            </w:pPr>
            <w:r w:rsidRPr="00E64B7D">
              <w:rPr>
                <w:b/>
              </w:rPr>
              <w:t> </w:t>
            </w:r>
          </w:p>
        </w:tc>
        <w:tc>
          <w:tcPr>
            <w:tcW w:w="943" w:type="dxa"/>
            <w:tcBorders>
              <w:top w:val="nil"/>
              <w:bottom w:val="single" w:sz="4" w:space="0" w:color="293F5B"/>
            </w:tcBorders>
            <w:shd w:val="clear" w:color="000000" w:fill="FFFFFF"/>
            <w:noWrap/>
            <w:vAlign w:val="center"/>
            <w:hideMark/>
          </w:tcPr>
          <w:p w14:paraId="696DE479" w14:textId="77777777" w:rsidR="00E64B7D" w:rsidRPr="00E64B7D" w:rsidRDefault="00E64B7D" w:rsidP="00E34776">
            <w:pPr>
              <w:pStyle w:val="TableTextRight"/>
            </w:pPr>
            <w:r w:rsidRPr="00E64B7D">
              <w:t>$m</w:t>
            </w:r>
          </w:p>
        </w:tc>
        <w:tc>
          <w:tcPr>
            <w:tcW w:w="813" w:type="dxa"/>
            <w:tcBorders>
              <w:top w:val="nil"/>
              <w:bottom w:val="single" w:sz="4" w:space="0" w:color="293F5B"/>
            </w:tcBorders>
            <w:shd w:val="clear" w:color="auto" w:fill="E6F2FF"/>
            <w:noWrap/>
            <w:vAlign w:val="center"/>
            <w:hideMark/>
          </w:tcPr>
          <w:p w14:paraId="37E2E36E" w14:textId="77777777" w:rsidR="00E64B7D" w:rsidRPr="00E64B7D" w:rsidRDefault="00E64B7D" w:rsidP="00E34776">
            <w:pPr>
              <w:pStyle w:val="TableTextRight"/>
            </w:pPr>
            <w:r w:rsidRPr="00E64B7D">
              <w:t>$m</w:t>
            </w:r>
          </w:p>
        </w:tc>
      </w:tr>
      <w:tr w:rsidR="00E64B7D" w:rsidRPr="00E64B7D" w14:paraId="4C409E5A" w14:textId="77777777" w:rsidTr="00117663">
        <w:trPr>
          <w:trHeight w:val="225"/>
        </w:trPr>
        <w:tc>
          <w:tcPr>
            <w:tcW w:w="5954" w:type="dxa"/>
            <w:gridSpan w:val="2"/>
            <w:shd w:val="clear" w:color="000000" w:fill="FFFFFF"/>
            <w:noWrap/>
            <w:vAlign w:val="center"/>
            <w:hideMark/>
          </w:tcPr>
          <w:p w14:paraId="0B97AF67" w14:textId="77777777" w:rsidR="00E64B7D" w:rsidRPr="00597C93" w:rsidRDefault="00E64B7D" w:rsidP="0050354A">
            <w:pPr>
              <w:pStyle w:val="TableTextLeft"/>
              <w:rPr>
                <w:rFonts w:cs="Arial"/>
                <w:b/>
                <w:szCs w:val="16"/>
              </w:rPr>
            </w:pPr>
            <w:r w:rsidRPr="00597C93">
              <w:rPr>
                <w:rFonts w:cs="Arial"/>
                <w:b/>
                <w:szCs w:val="16"/>
              </w:rPr>
              <w:t>Revenue</w:t>
            </w:r>
          </w:p>
        </w:tc>
        <w:tc>
          <w:tcPr>
            <w:tcW w:w="943" w:type="dxa"/>
            <w:tcBorders>
              <w:top w:val="single" w:sz="4" w:space="0" w:color="293F5B"/>
            </w:tcBorders>
            <w:shd w:val="clear" w:color="000000" w:fill="FFFFFF"/>
            <w:noWrap/>
            <w:vAlign w:val="center"/>
            <w:hideMark/>
          </w:tcPr>
          <w:p w14:paraId="5530BFB5" w14:textId="302A76DB" w:rsidR="00E64B7D" w:rsidRPr="00597C93" w:rsidRDefault="00E64B7D" w:rsidP="00327594">
            <w:pPr>
              <w:pStyle w:val="TableTextRight"/>
              <w:jc w:val="center"/>
              <w:rPr>
                <w:rFonts w:cs="Arial"/>
                <w:szCs w:val="16"/>
              </w:rPr>
            </w:pPr>
          </w:p>
        </w:tc>
        <w:tc>
          <w:tcPr>
            <w:tcW w:w="813" w:type="dxa"/>
            <w:tcBorders>
              <w:top w:val="single" w:sz="4" w:space="0" w:color="293F5B"/>
            </w:tcBorders>
            <w:shd w:val="clear" w:color="auto" w:fill="E6F2FF"/>
            <w:noWrap/>
            <w:vAlign w:val="center"/>
            <w:hideMark/>
          </w:tcPr>
          <w:p w14:paraId="4A3772EC" w14:textId="77777777" w:rsidR="00E64B7D" w:rsidRPr="00597C93" w:rsidRDefault="00E64B7D" w:rsidP="00E34776">
            <w:pPr>
              <w:pStyle w:val="TableTextRight"/>
              <w:rPr>
                <w:rFonts w:cs="Arial"/>
                <w:szCs w:val="16"/>
              </w:rPr>
            </w:pPr>
            <w:r w:rsidRPr="00597C93">
              <w:rPr>
                <w:rFonts w:cs="Arial"/>
                <w:szCs w:val="16"/>
              </w:rPr>
              <w:t> </w:t>
            </w:r>
          </w:p>
        </w:tc>
      </w:tr>
      <w:tr w:rsidR="003236A0" w:rsidRPr="00E64B7D" w14:paraId="08F62FD9" w14:textId="77777777" w:rsidTr="00117663">
        <w:trPr>
          <w:trHeight w:val="225"/>
        </w:trPr>
        <w:tc>
          <w:tcPr>
            <w:tcW w:w="4744" w:type="dxa"/>
            <w:shd w:val="clear" w:color="000000" w:fill="FFFFFF"/>
            <w:noWrap/>
            <w:vAlign w:val="center"/>
            <w:hideMark/>
          </w:tcPr>
          <w:p w14:paraId="6607BBA2" w14:textId="77777777" w:rsidR="003236A0" w:rsidRPr="00597C93" w:rsidRDefault="003236A0" w:rsidP="0050354A">
            <w:pPr>
              <w:pStyle w:val="TableTextLeft"/>
              <w:rPr>
                <w:rFonts w:cs="Arial"/>
                <w:szCs w:val="16"/>
              </w:rPr>
            </w:pPr>
            <w:r w:rsidRPr="00597C93">
              <w:rPr>
                <w:rFonts w:cs="Arial"/>
                <w:szCs w:val="16"/>
              </w:rPr>
              <w:t>Grants and subsidies</w:t>
            </w:r>
          </w:p>
        </w:tc>
        <w:tc>
          <w:tcPr>
            <w:tcW w:w="2153" w:type="dxa"/>
            <w:gridSpan w:val="2"/>
            <w:shd w:val="clear" w:color="000000" w:fill="FFFFFF"/>
            <w:noWrap/>
            <w:vAlign w:val="center"/>
            <w:hideMark/>
          </w:tcPr>
          <w:p w14:paraId="51B626FE" w14:textId="413C6C40" w:rsidR="003236A0" w:rsidRPr="00597C93" w:rsidRDefault="003236A0" w:rsidP="00E34776">
            <w:pPr>
              <w:pStyle w:val="TableTextRight"/>
              <w:rPr>
                <w:rFonts w:cs="Arial"/>
                <w:szCs w:val="16"/>
              </w:rPr>
            </w:pPr>
            <w:r w:rsidRPr="00597C93">
              <w:rPr>
                <w:rFonts w:cs="Arial"/>
                <w:szCs w:val="16"/>
              </w:rPr>
              <w:t>183</w:t>
            </w:r>
          </w:p>
        </w:tc>
        <w:tc>
          <w:tcPr>
            <w:tcW w:w="813" w:type="dxa"/>
            <w:shd w:val="clear" w:color="auto" w:fill="E6F2FF"/>
            <w:noWrap/>
            <w:vAlign w:val="center"/>
            <w:hideMark/>
          </w:tcPr>
          <w:p w14:paraId="5402C2C0" w14:textId="2C69DCB7" w:rsidR="003236A0" w:rsidRPr="00597C93" w:rsidRDefault="003236A0" w:rsidP="00E34776">
            <w:pPr>
              <w:pStyle w:val="TableTextRight"/>
              <w:rPr>
                <w:rFonts w:cs="Arial"/>
                <w:szCs w:val="16"/>
              </w:rPr>
            </w:pPr>
            <w:r w:rsidRPr="00597C93">
              <w:rPr>
                <w:rFonts w:cs="Arial"/>
                <w:szCs w:val="16"/>
              </w:rPr>
              <w:t>156</w:t>
            </w:r>
          </w:p>
        </w:tc>
      </w:tr>
      <w:tr w:rsidR="003236A0" w:rsidRPr="00E64B7D" w14:paraId="4C84D091" w14:textId="77777777" w:rsidTr="00117663">
        <w:trPr>
          <w:trHeight w:val="225"/>
        </w:trPr>
        <w:tc>
          <w:tcPr>
            <w:tcW w:w="4744" w:type="dxa"/>
            <w:shd w:val="clear" w:color="000000" w:fill="FFFFFF"/>
            <w:noWrap/>
            <w:vAlign w:val="center"/>
            <w:hideMark/>
          </w:tcPr>
          <w:p w14:paraId="6796411E" w14:textId="77777777" w:rsidR="003236A0" w:rsidRPr="00597C93" w:rsidRDefault="003236A0" w:rsidP="0050354A">
            <w:pPr>
              <w:pStyle w:val="TableTextLeft"/>
              <w:rPr>
                <w:rFonts w:cs="Arial"/>
                <w:szCs w:val="16"/>
              </w:rPr>
            </w:pPr>
            <w:r w:rsidRPr="00597C93">
              <w:rPr>
                <w:rFonts w:cs="Arial"/>
                <w:szCs w:val="16"/>
              </w:rPr>
              <w:t>Sales of goods and services</w:t>
            </w:r>
          </w:p>
        </w:tc>
        <w:tc>
          <w:tcPr>
            <w:tcW w:w="2153" w:type="dxa"/>
            <w:gridSpan w:val="2"/>
            <w:shd w:val="clear" w:color="000000" w:fill="FFFFFF"/>
            <w:noWrap/>
            <w:vAlign w:val="center"/>
            <w:hideMark/>
          </w:tcPr>
          <w:p w14:paraId="0A4CF8F7" w14:textId="19ABD360" w:rsidR="003236A0" w:rsidRPr="00597C93" w:rsidRDefault="003236A0" w:rsidP="00E34776">
            <w:pPr>
              <w:pStyle w:val="TableTextRight"/>
              <w:rPr>
                <w:rFonts w:cs="Arial"/>
                <w:szCs w:val="16"/>
              </w:rPr>
            </w:pPr>
            <w:r w:rsidRPr="00597C93">
              <w:rPr>
                <w:rFonts w:cs="Arial"/>
                <w:szCs w:val="16"/>
              </w:rPr>
              <w:t>21,221</w:t>
            </w:r>
          </w:p>
        </w:tc>
        <w:tc>
          <w:tcPr>
            <w:tcW w:w="813" w:type="dxa"/>
            <w:shd w:val="clear" w:color="auto" w:fill="E6F2FF"/>
            <w:noWrap/>
            <w:vAlign w:val="center"/>
            <w:hideMark/>
          </w:tcPr>
          <w:p w14:paraId="45F7BFC5" w14:textId="699CEF17" w:rsidR="003236A0" w:rsidRPr="00597C93" w:rsidRDefault="003236A0" w:rsidP="00E34776">
            <w:pPr>
              <w:pStyle w:val="TableTextRight"/>
              <w:rPr>
                <w:rFonts w:cs="Arial"/>
                <w:szCs w:val="16"/>
              </w:rPr>
            </w:pPr>
            <w:r w:rsidRPr="00597C93">
              <w:rPr>
                <w:rFonts w:cs="Arial"/>
                <w:szCs w:val="16"/>
              </w:rPr>
              <w:t>22,566</w:t>
            </w:r>
          </w:p>
        </w:tc>
      </w:tr>
      <w:tr w:rsidR="003236A0" w:rsidRPr="00E64B7D" w14:paraId="28ADDE6C" w14:textId="77777777" w:rsidTr="00117663">
        <w:trPr>
          <w:trHeight w:val="225"/>
        </w:trPr>
        <w:tc>
          <w:tcPr>
            <w:tcW w:w="4744" w:type="dxa"/>
            <w:shd w:val="clear" w:color="000000" w:fill="FFFFFF"/>
            <w:noWrap/>
            <w:vAlign w:val="center"/>
            <w:hideMark/>
          </w:tcPr>
          <w:p w14:paraId="1E422903" w14:textId="77777777" w:rsidR="003236A0" w:rsidRPr="00597C93" w:rsidRDefault="003236A0" w:rsidP="0050354A">
            <w:pPr>
              <w:pStyle w:val="TableTextLeft"/>
              <w:rPr>
                <w:rFonts w:cs="Arial"/>
                <w:szCs w:val="16"/>
              </w:rPr>
            </w:pPr>
            <w:r w:rsidRPr="00597C93">
              <w:rPr>
                <w:rFonts w:cs="Arial"/>
                <w:szCs w:val="16"/>
              </w:rPr>
              <w:t>Interest income</w:t>
            </w:r>
          </w:p>
        </w:tc>
        <w:tc>
          <w:tcPr>
            <w:tcW w:w="2153" w:type="dxa"/>
            <w:gridSpan w:val="2"/>
            <w:shd w:val="clear" w:color="000000" w:fill="FFFFFF"/>
            <w:noWrap/>
            <w:vAlign w:val="center"/>
            <w:hideMark/>
          </w:tcPr>
          <w:p w14:paraId="6B2C25DD" w14:textId="759F0B13" w:rsidR="003236A0" w:rsidRPr="00597C93" w:rsidRDefault="003236A0" w:rsidP="00E34776">
            <w:pPr>
              <w:pStyle w:val="TableTextRight"/>
              <w:rPr>
                <w:rFonts w:cs="Arial"/>
                <w:szCs w:val="16"/>
              </w:rPr>
            </w:pPr>
            <w:r w:rsidRPr="00597C93">
              <w:rPr>
                <w:rFonts w:cs="Arial"/>
                <w:szCs w:val="16"/>
              </w:rPr>
              <w:t>50</w:t>
            </w:r>
          </w:p>
        </w:tc>
        <w:tc>
          <w:tcPr>
            <w:tcW w:w="813" w:type="dxa"/>
            <w:shd w:val="clear" w:color="auto" w:fill="E6F2FF"/>
            <w:noWrap/>
            <w:vAlign w:val="center"/>
            <w:hideMark/>
          </w:tcPr>
          <w:p w14:paraId="17B57DF5" w14:textId="4166B3D1" w:rsidR="003236A0" w:rsidRPr="00597C93" w:rsidRDefault="003236A0" w:rsidP="00E34776">
            <w:pPr>
              <w:pStyle w:val="TableTextRight"/>
              <w:rPr>
                <w:rFonts w:cs="Arial"/>
                <w:szCs w:val="16"/>
              </w:rPr>
            </w:pPr>
            <w:r w:rsidRPr="00597C93">
              <w:rPr>
                <w:rFonts w:cs="Arial"/>
                <w:szCs w:val="16"/>
              </w:rPr>
              <w:t>28</w:t>
            </w:r>
          </w:p>
        </w:tc>
      </w:tr>
      <w:tr w:rsidR="003236A0" w:rsidRPr="00E64B7D" w14:paraId="42EF46FD" w14:textId="77777777" w:rsidTr="00117663">
        <w:trPr>
          <w:trHeight w:val="225"/>
        </w:trPr>
        <w:tc>
          <w:tcPr>
            <w:tcW w:w="4744" w:type="dxa"/>
            <w:shd w:val="clear" w:color="000000" w:fill="FFFFFF"/>
            <w:noWrap/>
            <w:vAlign w:val="center"/>
            <w:hideMark/>
          </w:tcPr>
          <w:p w14:paraId="313A947A" w14:textId="77777777" w:rsidR="003236A0" w:rsidRPr="00597C93" w:rsidRDefault="003236A0" w:rsidP="0050354A">
            <w:pPr>
              <w:pStyle w:val="TableTextLeft"/>
              <w:rPr>
                <w:rFonts w:cs="Arial"/>
                <w:szCs w:val="16"/>
              </w:rPr>
            </w:pPr>
            <w:r w:rsidRPr="00597C93">
              <w:rPr>
                <w:rFonts w:cs="Arial"/>
                <w:szCs w:val="16"/>
              </w:rPr>
              <w:t>Other</w:t>
            </w:r>
          </w:p>
        </w:tc>
        <w:tc>
          <w:tcPr>
            <w:tcW w:w="2153" w:type="dxa"/>
            <w:gridSpan w:val="2"/>
            <w:shd w:val="clear" w:color="000000" w:fill="FFFFFF"/>
            <w:noWrap/>
            <w:vAlign w:val="center"/>
            <w:hideMark/>
          </w:tcPr>
          <w:p w14:paraId="2F5ECB7C" w14:textId="43278671" w:rsidR="003236A0" w:rsidRPr="00597C93" w:rsidRDefault="003236A0" w:rsidP="00E34776">
            <w:pPr>
              <w:pStyle w:val="TableTextRight"/>
              <w:rPr>
                <w:rFonts w:cs="Arial"/>
                <w:szCs w:val="16"/>
              </w:rPr>
            </w:pPr>
            <w:r w:rsidRPr="00597C93">
              <w:rPr>
                <w:rFonts w:cs="Arial"/>
                <w:szCs w:val="16"/>
              </w:rPr>
              <w:t>96</w:t>
            </w:r>
          </w:p>
        </w:tc>
        <w:tc>
          <w:tcPr>
            <w:tcW w:w="813" w:type="dxa"/>
            <w:shd w:val="clear" w:color="auto" w:fill="E6F2FF"/>
            <w:noWrap/>
            <w:vAlign w:val="center"/>
            <w:hideMark/>
          </w:tcPr>
          <w:p w14:paraId="62B1329B" w14:textId="42BDD977" w:rsidR="003236A0" w:rsidRPr="00597C93" w:rsidRDefault="003236A0" w:rsidP="00E34776">
            <w:pPr>
              <w:pStyle w:val="TableTextRight"/>
              <w:rPr>
                <w:rFonts w:cs="Arial"/>
                <w:szCs w:val="16"/>
              </w:rPr>
            </w:pPr>
            <w:r w:rsidRPr="00597C93">
              <w:rPr>
                <w:rFonts w:cs="Arial"/>
                <w:szCs w:val="16"/>
              </w:rPr>
              <w:t>81</w:t>
            </w:r>
          </w:p>
        </w:tc>
      </w:tr>
      <w:tr w:rsidR="003236A0" w:rsidRPr="00E64B7D" w14:paraId="7D8D7B34" w14:textId="77777777" w:rsidTr="00117663">
        <w:trPr>
          <w:trHeight w:val="225"/>
        </w:trPr>
        <w:tc>
          <w:tcPr>
            <w:tcW w:w="4744" w:type="dxa"/>
            <w:shd w:val="clear" w:color="000000" w:fill="FFFFFF"/>
            <w:noWrap/>
            <w:vAlign w:val="center"/>
            <w:hideMark/>
          </w:tcPr>
          <w:p w14:paraId="70833A37" w14:textId="77777777" w:rsidR="003236A0" w:rsidRPr="00597C93" w:rsidRDefault="003236A0" w:rsidP="0050354A">
            <w:pPr>
              <w:pStyle w:val="TableTextLeft"/>
              <w:rPr>
                <w:rFonts w:cs="Arial"/>
                <w:b/>
                <w:szCs w:val="16"/>
              </w:rPr>
            </w:pPr>
            <w:r w:rsidRPr="00597C93">
              <w:rPr>
                <w:rFonts w:cs="Arial"/>
                <w:b/>
                <w:szCs w:val="16"/>
              </w:rPr>
              <w:t>Total revenue</w:t>
            </w:r>
          </w:p>
        </w:tc>
        <w:tc>
          <w:tcPr>
            <w:tcW w:w="2153" w:type="dxa"/>
            <w:gridSpan w:val="2"/>
            <w:shd w:val="clear" w:color="000000" w:fill="FFFFFF"/>
            <w:noWrap/>
            <w:vAlign w:val="center"/>
            <w:hideMark/>
          </w:tcPr>
          <w:p w14:paraId="755D35CE" w14:textId="7B312FAC" w:rsidR="003236A0" w:rsidRPr="00597C93" w:rsidRDefault="003236A0" w:rsidP="00E34776">
            <w:pPr>
              <w:pStyle w:val="TableTextRight"/>
              <w:rPr>
                <w:rFonts w:cs="Arial"/>
                <w:b/>
                <w:szCs w:val="16"/>
              </w:rPr>
            </w:pPr>
            <w:r w:rsidRPr="00597C93">
              <w:rPr>
                <w:rFonts w:cs="Arial"/>
                <w:b/>
                <w:szCs w:val="16"/>
              </w:rPr>
              <w:t>21,551</w:t>
            </w:r>
          </w:p>
        </w:tc>
        <w:tc>
          <w:tcPr>
            <w:tcW w:w="813" w:type="dxa"/>
            <w:shd w:val="clear" w:color="auto" w:fill="E6F2FF"/>
            <w:noWrap/>
            <w:vAlign w:val="center"/>
            <w:hideMark/>
          </w:tcPr>
          <w:p w14:paraId="13E61A59" w14:textId="535C8D69" w:rsidR="003236A0" w:rsidRPr="00597C93" w:rsidRDefault="003236A0" w:rsidP="00E34776">
            <w:pPr>
              <w:pStyle w:val="TableTextRight"/>
              <w:rPr>
                <w:rFonts w:cs="Arial"/>
                <w:b/>
                <w:szCs w:val="16"/>
              </w:rPr>
            </w:pPr>
            <w:r w:rsidRPr="00597C93">
              <w:rPr>
                <w:rFonts w:cs="Arial"/>
                <w:b/>
                <w:szCs w:val="16"/>
              </w:rPr>
              <w:t>22,831</w:t>
            </w:r>
          </w:p>
        </w:tc>
      </w:tr>
      <w:tr w:rsidR="003236A0" w:rsidRPr="00E64B7D" w14:paraId="054B3581" w14:textId="77777777" w:rsidTr="00117663">
        <w:trPr>
          <w:trHeight w:val="225"/>
        </w:trPr>
        <w:tc>
          <w:tcPr>
            <w:tcW w:w="4744" w:type="dxa"/>
            <w:shd w:val="clear" w:color="000000" w:fill="FFFFFF"/>
            <w:noWrap/>
            <w:vAlign w:val="center"/>
            <w:hideMark/>
          </w:tcPr>
          <w:p w14:paraId="795C20DE" w14:textId="77777777" w:rsidR="003236A0" w:rsidRPr="00597C93" w:rsidRDefault="003236A0" w:rsidP="0050354A">
            <w:pPr>
              <w:pStyle w:val="TableTextLeft"/>
              <w:rPr>
                <w:rFonts w:cs="Arial"/>
                <w:b/>
                <w:szCs w:val="16"/>
              </w:rPr>
            </w:pPr>
            <w:r w:rsidRPr="00597C93">
              <w:rPr>
                <w:rFonts w:cs="Arial"/>
                <w:b/>
                <w:szCs w:val="16"/>
              </w:rPr>
              <w:t>Expenses</w:t>
            </w:r>
          </w:p>
        </w:tc>
        <w:tc>
          <w:tcPr>
            <w:tcW w:w="2153" w:type="dxa"/>
            <w:gridSpan w:val="2"/>
            <w:shd w:val="clear" w:color="000000" w:fill="FFFFFF"/>
            <w:noWrap/>
            <w:vAlign w:val="center"/>
            <w:hideMark/>
          </w:tcPr>
          <w:p w14:paraId="5E65DCE8" w14:textId="0194661B" w:rsidR="003236A0" w:rsidRPr="00597C93" w:rsidRDefault="003236A0" w:rsidP="00E34776">
            <w:pPr>
              <w:pStyle w:val="TableTextRight"/>
              <w:rPr>
                <w:rFonts w:cs="Arial"/>
                <w:szCs w:val="16"/>
              </w:rPr>
            </w:pPr>
            <w:r w:rsidRPr="00597C93">
              <w:rPr>
                <w:rFonts w:cs="Arial"/>
                <w:szCs w:val="16"/>
              </w:rPr>
              <w:t> </w:t>
            </w:r>
          </w:p>
        </w:tc>
        <w:tc>
          <w:tcPr>
            <w:tcW w:w="813" w:type="dxa"/>
            <w:shd w:val="clear" w:color="auto" w:fill="E6F2FF"/>
            <w:noWrap/>
            <w:vAlign w:val="center"/>
            <w:hideMark/>
          </w:tcPr>
          <w:p w14:paraId="04D89EA8" w14:textId="51035617" w:rsidR="003236A0" w:rsidRPr="00597C93" w:rsidRDefault="003236A0" w:rsidP="00E34776">
            <w:pPr>
              <w:pStyle w:val="TableTextRight"/>
              <w:rPr>
                <w:rFonts w:cs="Arial"/>
                <w:szCs w:val="16"/>
              </w:rPr>
            </w:pPr>
            <w:r w:rsidRPr="00597C93">
              <w:rPr>
                <w:rFonts w:cs="Arial"/>
                <w:szCs w:val="16"/>
              </w:rPr>
              <w:t> </w:t>
            </w:r>
          </w:p>
        </w:tc>
      </w:tr>
      <w:tr w:rsidR="003236A0" w:rsidRPr="00E64B7D" w14:paraId="1CC83425" w14:textId="77777777" w:rsidTr="00117663">
        <w:trPr>
          <w:trHeight w:val="225"/>
        </w:trPr>
        <w:tc>
          <w:tcPr>
            <w:tcW w:w="4744" w:type="dxa"/>
            <w:shd w:val="clear" w:color="000000" w:fill="FFFFFF"/>
            <w:noWrap/>
            <w:vAlign w:val="center"/>
            <w:hideMark/>
          </w:tcPr>
          <w:p w14:paraId="31503842" w14:textId="77777777" w:rsidR="003236A0" w:rsidRPr="00597C93" w:rsidRDefault="003236A0" w:rsidP="0050354A">
            <w:pPr>
              <w:pStyle w:val="TableTextLeft"/>
              <w:rPr>
                <w:rFonts w:cs="Arial"/>
                <w:szCs w:val="16"/>
              </w:rPr>
            </w:pPr>
            <w:r w:rsidRPr="00597C93">
              <w:rPr>
                <w:rFonts w:cs="Arial"/>
                <w:szCs w:val="16"/>
              </w:rPr>
              <w:t>Gross operating expenses</w:t>
            </w:r>
          </w:p>
        </w:tc>
        <w:tc>
          <w:tcPr>
            <w:tcW w:w="2153" w:type="dxa"/>
            <w:gridSpan w:val="2"/>
            <w:shd w:val="clear" w:color="000000" w:fill="FFFFFF"/>
            <w:noWrap/>
            <w:vAlign w:val="center"/>
            <w:hideMark/>
          </w:tcPr>
          <w:p w14:paraId="6D8AFDC3" w14:textId="1B06580A" w:rsidR="003236A0" w:rsidRPr="00597C93" w:rsidRDefault="003236A0" w:rsidP="00E34776">
            <w:pPr>
              <w:pStyle w:val="TableTextRight"/>
              <w:rPr>
                <w:rFonts w:cs="Arial"/>
                <w:szCs w:val="16"/>
              </w:rPr>
            </w:pPr>
            <w:r w:rsidRPr="00597C93">
              <w:rPr>
                <w:rFonts w:cs="Arial"/>
                <w:szCs w:val="16"/>
              </w:rPr>
              <w:t> </w:t>
            </w:r>
          </w:p>
        </w:tc>
        <w:tc>
          <w:tcPr>
            <w:tcW w:w="813" w:type="dxa"/>
            <w:shd w:val="clear" w:color="auto" w:fill="E6F2FF"/>
            <w:noWrap/>
            <w:vAlign w:val="center"/>
            <w:hideMark/>
          </w:tcPr>
          <w:p w14:paraId="08360E1D" w14:textId="1BA18D1F" w:rsidR="003236A0" w:rsidRPr="00597C93" w:rsidRDefault="003236A0" w:rsidP="00E34776">
            <w:pPr>
              <w:pStyle w:val="TableTextRight"/>
              <w:rPr>
                <w:rFonts w:cs="Arial"/>
                <w:szCs w:val="16"/>
              </w:rPr>
            </w:pPr>
            <w:r w:rsidRPr="00597C93">
              <w:rPr>
                <w:rFonts w:cs="Arial"/>
                <w:szCs w:val="16"/>
              </w:rPr>
              <w:t> </w:t>
            </w:r>
          </w:p>
        </w:tc>
      </w:tr>
      <w:tr w:rsidR="00670AFB" w:rsidRPr="00E64B7D" w14:paraId="7352DF71" w14:textId="77777777" w:rsidTr="00117663">
        <w:trPr>
          <w:trHeight w:val="225"/>
        </w:trPr>
        <w:tc>
          <w:tcPr>
            <w:tcW w:w="4744" w:type="dxa"/>
            <w:shd w:val="clear" w:color="000000" w:fill="FFFFFF"/>
            <w:noWrap/>
            <w:vAlign w:val="center"/>
            <w:hideMark/>
          </w:tcPr>
          <w:p w14:paraId="47853F77" w14:textId="77777777" w:rsidR="00670AFB" w:rsidRPr="00597C93" w:rsidRDefault="00670AFB" w:rsidP="00ED2312">
            <w:pPr>
              <w:pStyle w:val="TableTextIndented"/>
              <w:rPr>
                <w:rFonts w:cs="Arial"/>
                <w:szCs w:val="16"/>
              </w:rPr>
            </w:pPr>
            <w:r w:rsidRPr="00597C93">
              <w:rPr>
                <w:rFonts w:cs="Arial"/>
                <w:szCs w:val="16"/>
              </w:rPr>
              <w:t>Wages and salaries(a)</w:t>
            </w:r>
          </w:p>
        </w:tc>
        <w:tc>
          <w:tcPr>
            <w:tcW w:w="2153" w:type="dxa"/>
            <w:gridSpan w:val="2"/>
            <w:shd w:val="clear" w:color="000000" w:fill="FFFFFF"/>
            <w:noWrap/>
            <w:vAlign w:val="center"/>
            <w:hideMark/>
          </w:tcPr>
          <w:p w14:paraId="5DE091C5" w14:textId="0A70FE01" w:rsidR="00670AFB" w:rsidRPr="00597C93" w:rsidRDefault="00670AFB" w:rsidP="00E34776">
            <w:pPr>
              <w:pStyle w:val="TableTextRight"/>
              <w:rPr>
                <w:rFonts w:cs="Arial"/>
                <w:szCs w:val="16"/>
              </w:rPr>
            </w:pPr>
            <w:r w:rsidRPr="00597C93">
              <w:rPr>
                <w:rFonts w:cs="Arial"/>
                <w:szCs w:val="16"/>
              </w:rPr>
              <w:t>4,898</w:t>
            </w:r>
          </w:p>
        </w:tc>
        <w:tc>
          <w:tcPr>
            <w:tcW w:w="813" w:type="dxa"/>
            <w:shd w:val="clear" w:color="auto" w:fill="E6F2FF"/>
            <w:noWrap/>
            <w:vAlign w:val="center"/>
            <w:hideMark/>
          </w:tcPr>
          <w:p w14:paraId="0B450EBB" w14:textId="77652B9C" w:rsidR="00670AFB" w:rsidRPr="00597C93" w:rsidRDefault="00670AFB" w:rsidP="00E34776">
            <w:pPr>
              <w:pStyle w:val="TableTextRight"/>
              <w:rPr>
                <w:rFonts w:cs="Arial"/>
                <w:szCs w:val="16"/>
              </w:rPr>
            </w:pPr>
            <w:r w:rsidRPr="00597C93">
              <w:rPr>
                <w:rFonts w:cs="Arial"/>
                <w:szCs w:val="16"/>
              </w:rPr>
              <w:t>5,005</w:t>
            </w:r>
          </w:p>
        </w:tc>
      </w:tr>
      <w:tr w:rsidR="00670AFB" w:rsidRPr="00E64B7D" w14:paraId="1C76EB64" w14:textId="77777777" w:rsidTr="00117663">
        <w:trPr>
          <w:trHeight w:val="225"/>
        </w:trPr>
        <w:tc>
          <w:tcPr>
            <w:tcW w:w="4744" w:type="dxa"/>
            <w:shd w:val="clear" w:color="000000" w:fill="FFFFFF"/>
            <w:noWrap/>
            <w:vAlign w:val="center"/>
            <w:hideMark/>
          </w:tcPr>
          <w:p w14:paraId="4D52E524" w14:textId="77777777" w:rsidR="00670AFB" w:rsidRPr="00597C93" w:rsidRDefault="00670AFB" w:rsidP="00ED2312">
            <w:pPr>
              <w:pStyle w:val="TableTextIndented"/>
              <w:rPr>
                <w:rFonts w:cs="Arial"/>
                <w:szCs w:val="16"/>
              </w:rPr>
            </w:pPr>
            <w:r w:rsidRPr="00597C93">
              <w:rPr>
                <w:rFonts w:cs="Arial"/>
                <w:szCs w:val="16"/>
              </w:rPr>
              <w:t>Superannuation</w:t>
            </w:r>
          </w:p>
        </w:tc>
        <w:tc>
          <w:tcPr>
            <w:tcW w:w="2153" w:type="dxa"/>
            <w:gridSpan w:val="2"/>
            <w:shd w:val="clear" w:color="000000" w:fill="FFFFFF"/>
            <w:noWrap/>
            <w:vAlign w:val="center"/>
          </w:tcPr>
          <w:p w14:paraId="002D6FEC" w14:textId="7F4700B2" w:rsidR="00670AFB" w:rsidRPr="00597C93" w:rsidRDefault="00670AFB" w:rsidP="00E34776">
            <w:pPr>
              <w:pStyle w:val="TableTextRight"/>
              <w:rPr>
                <w:rFonts w:cs="Arial"/>
                <w:szCs w:val="16"/>
              </w:rPr>
            </w:pPr>
            <w:r w:rsidRPr="00597C93">
              <w:rPr>
                <w:rFonts w:cs="Arial"/>
                <w:szCs w:val="16"/>
              </w:rPr>
              <w:t>526</w:t>
            </w:r>
          </w:p>
        </w:tc>
        <w:tc>
          <w:tcPr>
            <w:tcW w:w="813" w:type="dxa"/>
            <w:shd w:val="clear" w:color="auto" w:fill="E6F2FF"/>
            <w:noWrap/>
            <w:vAlign w:val="center"/>
          </w:tcPr>
          <w:p w14:paraId="6A2B5C0A" w14:textId="61F2A4C6" w:rsidR="00670AFB" w:rsidRPr="00597C93" w:rsidRDefault="00670AFB" w:rsidP="00E34776">
            <w:pPr>
              <w:pStyle w:val="TableTextRight"/>
              <w:rPr>
                <w:rFonts w:cs="Arial"/>
                <w:szCs w:val="16"/>
              </w:rPr>
            </w:pPr>
            <w:r w:rsidRPr="00597C93">
              <w:rPr>
                <w:rFonts w:cs="Arial"/>
                <w:szCs w:val="16"/>
              </w:rPr>
              <w:t>544</w:t>
            </w:r>
          </w:p>
        </w:tc>
      </w:tr>
      <w:tr w:rsidR="00670AFB" w:rsidRPr="00E64B7D" w14:paraId="7D850D1F" w14:textId="77777777" w:rsidTr="00117663">
        <w:trPr>
          <w:trHeight w:val="225"/>
        </w:trPr>
        <w:tc>
          <w:tcPr>
            <w:tcW w:w="4744" w:type="dxa"/>
            <w:shd w:val="clear" w:color="000000" w:fill="FFFFFF"/>
            <w:noWrap/>
            <w:vAlign w:val="center"/>
            <w:hideMark/>
          </w:tcPr>
          <w:p w14:paraId="19311194" w14:textId="77777777" w:rsidR="00670AFB" w:rsidRPr="00597C93" w:rsidRDefault="00670AFB" w:rsidP="00ED2312">
            <w:pPr>
              <w:pStyle w:val="TableTextIndented"/>
              <w:rPr>
                <w:rFonts w:cs="Arial"/>
                <w:szCs w:val="16"/>
              </w:rPr>
            </w:pPr>
            <w:r w:rsidRPr="00597C93">
              <w:rPr>
                <w:rFonts w:cs="Arial"/>
                <w:szCs w:val="16"/>
              </w:rPr>
              <w:t>Depreciation and amortisation</w:t>
            </w:r>
          </w:p>
        </w:tc>
        <w:tc>
          <w:tcPr>
            <w:tcW w:w="2153" w:type="dxa"/>
            <w:gridSpan w:val="2"/>
            <w:shd w:val="clear" w:color="000000" w:fill="FFFFFF"/>
            <w:noWrap/>
            <w:vAlign w:val="center"/>
          </w:tcPr>
          <w:p w14:paraId="0A7C21BA" w14:textId="34A8205D" w:rsidR="00670AFB" w:rsidRPr="00597C93" w:rsidRDefault="00670AFB" w:rsidP="00E34776">
            <w:pPr>
              <w:pStyle w:val="TableTextRight"/>
              <w:rPr>
                <w:rFonts w:cs="Arial"/>
                <w:szCs w:val="16"/>
              </w:rPr>
            </w:pPr>
            <w:r w:rsidRPr="00597C93">
              <w:rPr>
                <w:rFonts w:cs="Arial"/>
                <w:szCs w:val="16"/>
              </w:rPr>
              <w:t>4,532</w:t>
            </w:r>
          </w:p>
        </w:tc>
        <w:tc>
          <w:tcPr>
            <w:tcW w:w="813" w:type="dxa"/>
            <w:shd w:val="clear" w:color="auto" w:fill="E6F2FF"/>
            <w:noWrap/>
            <w:vAlign w:val="center"/>
          </w:tcPr>
          <w:p w14:paraId="57269092" w14:textId="30EE60DC" w:rsidR="00670AFB" w:rsidRPr="00597C93" w:rsidRDefault="00670AFB" w:rsidP="00E34776">
            <w:pPr>
              <w:pStyle w:val="TableTextRight"/>
              <w:rPr>
                <w:rFonts w:cs="Arial"/>
                <w:szCs w:val="16"/>
              </w:rPr>
            </w:pPr>
            <w:r w:rsidRPr="00597C93">
              <w:rPr>
                <w:rFonts w:cs="Arial"/>
                <w:szCs w:val="16"/>
              </w:rPr>
              <w:t>4,425</w:t>
            </w:r>
          </w:p>
        </w:tc>
      </w:tr>
      <w:tr w:rsidR="00670AFB" w:rsidRPr="00E64B7D" w14:paraId="4CCED454" w14:textId="77777777" w:rsidTr="00117663">
        <w:trPr>
          <w:trHeight w:val="225"/>
        </w:trPr>
        <w:tc>
          <w:tcPr>
            <w:tcW w:w="4744" w:type="dxa"/>
            <w:shd w:val="clear" w:color="000000" w:fill="FFFFFF"/>
            <w:noWrap/>
            <w:vAlign w:val="center"/>
            <w:hideMark/>
          </w:tcPr>
          <w:p w14:paraId="74556787" w14:textId="77777777" w:rsidR="00670AFB" w:rsidRPr="00597C93" w:rsidRDefault="00670AFB" w:rsidP="00ED2312">
            <w:pPr>
              <w:pStyle w:val="TableTextIndented"/>
              <w:rPr>
                <w:rFonts w:cs="Arial"/>
                <w:szCs w:val="16"/>
              </w:rPr>
            </w:pPr>
            <w:r w:rsidRPr="00597C93">
              <w:rPr>
                <w:rFonts w:cs="Arial"/>
                <w:szCs w:val="16"/>
              </w:rPr>
              <w:t>Supply of goods and services</w:t>
            </w:r>
          </w:p>
        </w:tc>
        <w:tc>
          <w:tcPr>
            <w:tcW w:w="2153" w:type="dxa"/>
            <w:gridSpan w:val="2"/>
            <w:shd w:val="clear" w:color="000000" w:fill="FFFFFF"/>
            <w:noWrap/>
            <w:vAlign w:val="center"/>
          </w:tcPr>
          <w:p w14:paraId="0B719D42" w14:textId="44069FEE" w:rsidR="00670AFB" w:rsidRPr="00597C93" w:rsidRDefault="00670AFB" w:rsidP="00E34776">
            <w:pPr>
              <w:pStyle w:val="TableTextRight"/>
              <w:rPr>
                <w:rFonts w:cs="Arial"/>
                <w:szCs w:val="16"/>
              </w:rPr>
            </w:pPr>
            <w:r w:rsidRPr="00597C93">
              <w:rPr>
                <w:rFonts w:cs="Arial"/>
                <w:szCs w:val="16"/>
              </w:rPr>
              <w:t>10,233</w:t>
            </w:r>
          </w:p>
        </w:tc>
        <w:tc>
          <w:tcPr>
            <w:tcW w:w="813" w:type="dxa"/>
            <w:shd w:val="clear" w:color="auto" w:fill="E6F2FF"/>
            <w:noWrap/>
            <w:vAlign w:val="center"/>
          </w:tcPr>
          <w:p w14:paraId="20AAA028" w14:textId="4D32364A" w:rsidR="00670AFB" w:rsidRPr="00597C93" w:rsidRDefault="00670AFB" w:rsidP="00E34776">
            <w:pPr>
              <w:pStyle w:val="TableTextRight"/>
              <w:rPr>
                <w:rFonts w:cs="Arial"/>
                <w:szCs w:val="16"/>
              </w:rPr>
            </w:pPr>
            <w:r w:rsidRPr="00597C93">
              <w:rPr>
                <w:rFonts w:cs="Arial"/>
                <w:szCs w:val="16"/>
              </w:rPr>
              <w:t>10,710</w:t>
            </w:r>
          </w:p>
        </w:tc>
      </w:tr>
      <w:tr w:rsidR="00670AFB" w:rsidRPr="00E64B7D" w14:paraId="4A66A4C5" w14:textId="77777777" w:rsidTr="00117663">
        <w:trPr>
          <w:trHeight w:val="225"/>
        </w:trPr>
        <w:tc>
          <w:tcPr>
            <w:tcW w:w="4744" w:type="dxa"/>
            <w:shd w:val="clear" w:color="000000" w:fill="FFFFFF"/>
            <w:noWrap/>
            <w:vAlign w:val="center"/>
            <w:hideMark/>
          </w:tcPr>
          <w:p w14:paraId="35B48464" w14:textId="77777777" w:rsidR="00670AFB" w:rsidRPr="00597C93" w:rsidRDefault="00670AFB" w:rsidP="00ED2312">
            <w:pPr>
              <w:pStyle w:val="TableTextIndented"/>
              <w:rPr>
                <w:rFonts w:cs="Arial"/>
                <w:szCs w:val="16"/>
              </w:rPr>
            </w:pPr>
            <w:r w:rsidRPr="00597C93">
              <w:rPr>
                <w:rFonts w:cs="Arial"/>
                <w:szCs w:val="16"/>
              </w:rPr>
              <w:t>Other operating expenses(a)</w:t>
            </w:r>
          </w:p>
        </w:tc>
        <w:tc>
          <w:tcPr>
            <w:tcW w:w="2153" w:type="dxa"/>
            <w:gridSpan w:val="2"/>
            <w:shd w:val="clear" w:color="000000" w:fill="FFFFFF"/>
            <w:noWrap/>
            <w:vAlign w:val="center"/>
          </w:tcPr>
          <w:p w14:paraId="6947BD0D" w14:textId="1A59A401" w:rsidR="00670AFB" w:rsidRPr="00597C93" w:rsidRDefault="00670AFB" w:rsidP="00E34776">
            <w:pPr>
              <w:pStyle w:val="TableTextRight"/>
              <w:rPr>
                <w:rFonts w:cs="Arial"/>
                <w:szCs w:val="16"/>
              </w:rPr>
            </w:pPr>
            <w:r w:rsidRPr="00597C93">
              <w:rPr>
                <w:rFonts w:cs="Arial"/>
                <w:szCs w:val="16"/>
              </w:rPr>
              <w:t>773</w:t>
            </w:r>
          </w:p>
        </w:tc>
        <w:tc>
          <w:tcPr>
            <w:tcW w:w="813" w:type="dxa"/>
            <w:shd w:val="clear" w:color="auto" w:fill="E6F2FF"/>
            <w:noWrap/>
            <w:vAlign w:val="center"/>
          </w:tcPr>
          <w:p w14:paraId="002C9BEE" w14:textId="7BF57C26" w:rsidR="00670AFB" w:rsidRPr="00597C93" w:rsidRDefault="00670AFB" w:rsidP="00E34776">
            <w:pPr>
              <w:pStyle w:val="TableTextRight"/>
              <w:rPr>
                <w:rFonts w:cs="Arial"/>
                <w:szCs w:val="16"/>
              </w:rPr>
            </w:pPr>
            <w:r w:rsidRPr="00597C93">
              <w:rPr>
                <w:rFonts w:cs="Arial"/>
                <w:szCs w:val="16"/>
              </w:rPr>
              <w:t>705</w:t>
            </w:r>
          </w:p>
        </w:tc>
      </w:tr>
      <w:tr w:rsidR="00670AFB" w:rsidRPr="00E64B7D" w14:paraId="260FC66D" w14:textId="77777777" w:rsidTr="00117663">
        <w:trPr>
          <w:trHeight w:val="225"/>
        </w:trPr>
        <w:tc>
          <w:tcPr>
            <w:tcW w:w="4744" w:type="dxa"/>
            <w:shd w:val="clear" w:color="000000" w:fill="FFFFFF"/>
            <w:noWrap/>
            <w:vAlign w:val="center"/>
            <w:hideMark/>
          </w:tcPr>
          <w:p w14:paraId="5ECBF2F5" w14:textId="77777777" w:rsidR="00670AFB" w:rsidRPr="00597C93" w:rsidRDefault="00670AFB" w:rsidP="0050354A">
            <w:pPr>
              <w:pStyle w:val="TableTextLeft"/>
              <w:rPr>
                <w:rFonts w:cs="Arial"/>
                <w:i/>
                <w:szCs w:val="16"/>
              </w:rPr>
            </w:pPr>
            <w:r w:rsidRPr="00597C93">
              <w:rPr>
                <w:rFonts w:cs="Arial"/>
                <w:i/>
                <w:szCs w:val="16"/>
              </w:rPr>
              <w:t>Total gross operating expenses</w:t>
            </w:r>
          </w:p>
        </w:tc>
        <w:tc>
          <w:tcPr>
            <w:tcW w:w="2153" w:type="dxa"/>
            <w:gridSpan w:val="2"/>
            <w:shd w:val="clear" w:color="000000" w:fill="FFFFFF"/>
            <w:noWrap/>
            <w:vAlign w:val="center"/>
          </w:tcPr>
          <w:p w14:paraId="51347D9D" w14:textId="13A8AA14" w:rsidR="00670AFB" w:rsidRPr="00597C93" w:rsidRDefault="00670AFB" w:rsidP="00E34776">
            <w:pPr>
              <w:pStyle w:val="TableTextRight"/>
              <w:rPr>
                <w:rFonts w:cs="Arial"/>
                <w:i/>
                <w:szCs w:val="16"/>
              </w:rPr>
            </w:pPr>
            <w:r w:rsidRPr="00597C93">
              <w:rPr>
                <w:rFonts w:cs="Arial"/>
                <w:i/>
                <w:szCs w:val="16"/>
              </w:rPr>
              <w:t>20,963</w:t>
            </w:r>
          </w:p>
        </w:tc>
        <w:tc>
          <w:tcPr>
            <w:tcW w:w="813" w:type="dxa"/>
            <w:shd w:val="clear" w:color="auto" w:fill="E6F2FF"/>
            <w:noWrap/>
            <w:vAlign w:val="center"/>
          </w:tcPr>
          <w:p w14:paraId="65C3DD5B" w14:textId="489186E0" w:rsidR="00670AFB" w:rsidRPr="00597C93" w:rsidRDefault="00670AFB" w:rsidP="00E34776">
            <w:pPr>
              <w:pStyle w:val="TableTextRight"/>
              <w:rPr>
                <w:rFonts w:cs="Arial"/>
                <w:i/>
                <w:szCs w:val="16"/>
              </w:rPr>
            </w:pPr>
            <w:r w:rsidRPr="00597C93">
              <w:rPr>
                <w:rFonts w:cs="Arial"/>
                <w:i/>
                <w:szCs w:val="16"/>
              </w:rPr>
              <w:t>21,390</w:t>
            </w:r>
          </w:p>
        </w:tc>
      </w:tr>
      <w:tr w:rsidR="00670AFB" w:rsidRPr="00E64B7D" w14:paraId="79FA4D0D" w14:textId="77777777" w:rsidTr="00117663">
        <w:trPr>
          <w:trHeight w:val="225"/>
        </w:trPr>
        <w:tc>
          <w:tcPr>
            <w:tcW w:w="4744" w:type="dxa"/>
            <w:shd w:val="clear" w:color="000000" w:fill="FFFFFF"/>
            <w:noWrap/>
            <w:vAlign w:val="center"/>
            <w:hideMark/>
          </w:tcPr>
          <w:p w14:paraId="463BF952" w14:textId="77777777" w:rsidR="00670AFB" w:rsidRPr="00597C93" w:rsidRDefault="00670AFB" w:rsidP="0050354A">
            <w:pPr>
              <w:pStyle w:val="TableTextLeft"/>
              <w:rPr>
                <w:rFonts w:cs="Arial"/>
                <w:szCs w:val="16"/>
              </w:rPr>
            </w:pPr>
            <w:r w:rsidRPr="00597C93">
              <w:rPr>
                <w:rFonts w:cs="Arial"/>
                <w:szCs w:val="16"/>
              </w:rPr>
              <w:t>Interest expenses</w:t>
            </w:r>
          </w:p>
        </w:tc>
        <w:tc>
          <w:tcPr>
            <w:tcW w:w="2153" w:type="dxa"/>
            <w:gridSpan w:val="2"/>
            <w:shd w:val="clear" w:color="000000" w:fill="FFFFFF"/>
            <w:noWrap/>
            <w:vAlign w:val="center"/>
          </w:tcPr>
          <w:p w14:paraId="05D8A1B3" w14:textId="11F00F67" w:rsidR="00670AFB" w:rsidRPr="00597C93" w:rsidRDefault="00670AFB" w:rsidP="00E34776">
            <w:pPr>
              <w:pStyle w:val="TableTextRight"/>
              <w:rPr>
                <w:rFonts w:cs="Arial"/>
                <w:szCs w:val="16"/>
              </w:rPr>
            </w:pPr>
            <w:r w:rsidRPr="00597C93">
              <w:rPr>
                <w:rFonts w:cs="Arial"/>
                <w:szCs w:val="16"/>
              </w:rPr>
              <w:t>2,037</w:t>
            </w:r>
          </w:p>
        </w:tc>
        <w:tc>
          <w:tcPr>
            <w:tcW w:w="813" w:type="dxa"/>
            <w:shd w:val="clear" w:color="auto" w:fill="E6F2FF"/>
            <w:noWrap/>
            <w:vAlign w:val="center"/>
          </w:tcPr>
          <w:p w14:paraId="62BFFA83" w14:textId="418B9598" w:rsidR="00670AFB" w:rsidRPr="00597C93" w:rsidRDefault="00670AFB" w:rsidP="00E34776">
            <w:pPr>
              <w:pStyle w:val="TableTextRight"/>
              <w:rPr>
                <w:rFonts w:cs="Arial"/>
                <w:szCs w:val="16"/>
              </w:rPr>
            </w:pPr>
            <w:r w:rsidRPr="00597C93">
              <w:rPr>
                <w:rFonts w:cs="Arial"/>
                <w:szCs w:val="16"/>
              </w:rPr>
              <w:t>2,173</w:t>
            </w:r>
          </w:p>
        </w:tc>
      </w:tr>
      <w:tr w:rsidR="00670AFB" w:rsidRPr="00E64B7D" w14:paraId="6CB6FC8C" w14:textId="77777777" w:rsidTr="00117663">
        <w:trPr>
          <w:trHeight w:val="225"/>
        </w:trPr>
        <w:tc>
          <w:tcPr>
            <w:tcW w:w="4744" w:type="dxa"/>
            <w:shd w:val="clear" w:color="000000" w:fill="FFFFFF"/>
            <w:noWrap/>
            <w:vAlign w:val="center"/>
            <w:hideMark/>
          </w:tcPr>
          <w:p w14:paraId="126AE748" w14:textId="77777777" w:rsidR="00670AFB" w:rsidRPr="00597C93" w:rsidRDefault="00670AFB" w:rsidP="0050354A">
            <w:pPr>
              <w:pStyle w:val="TableTextLeft"/>
              <w:rPr>
                <w:rFonts w:cs="Arial"/>
                <w:szCs w:val="16"/>
              </w:rPr>
            </w:pPr>
            <w:r w:rsidRPr="00597C93">
              <w:rPr>
                <w:rFonts w:cs="Arial"/>
                <w:szCs w:val="16"/>
              </w:rPr>
              <w:t>Other property expenses</w:t>
            </w:r>
          </w:p>
        </w:tc>
        <w:tc>
          <w:tcPr>
            <w:tcW w:w="2153" w:type="dxa"/>
            <w:gridSpan w:val="2"/>
            <w:shd w:val="clear" w:color="000000" w:fill="FFFFFF"/>
            <w:noWrap/>
            <w:vAlign w:val="center"/>
          </w:tcPr>
          <w:p w14:paraId="2A377CDD" w14:textId="22F6C462" w:rsidR="00670AFB" w:rsidRPr="00597C93" w:rsidRDefault="00670AFB" w:rsidP="00E34776">
            <w:pPr>
              <w:pStyle w:val="TableTextRight"/>
              <w:rPr>
                <w:rFonts w:cs="Arial"/>
                <w:szCs w:val="16"/>
              </w:rPr>
            </w:pPr>
            <w:r w:rsidRPr="00597C93">
              <w:rPr>
                <w:rFonts w:cs="Arial"/>
                <w:szCs w:val="16"/>
              </w:rPr>
              <w:t>249</w:t>
            </w:r>
          </w:p>
        </w:tc>
        <w:tc>
          <w:tcPr>
            <w:tcW w:w="813" w:type="dxa"/>
            <w:shd w:val="clear" w:color="auto" w:fill="E6F2FF"/>
            <w:noWrap/>
            <w:vAlign w:val="center"/>
          </w:tcPr>
          <w:p w14:paraId="2DBDFD9B" w14:textId="6FD8A71C" w:rsidR="00670AFB" w:rsidRPr="00597C93" w:rsidRDefault="00670AFB" w:rsidP="00E34776">
            <w:pPr>
              <w:pStyle w:val="TableTextRight"/>
              <w:rPr>
                <w:rFonts w:cs="Arial"/>
                <w:szCs w:val="16"/>
              </w:rPr>
            </w:pPr>
            <w:r w:rsidRPr="00597C93">
              <w:rPr>
                <w:rFonts w:cs="Arial"/>
                <w:szCs w:val="16"/>
              </w:rPr>
              <w:t>250</w:t>
            </w:r>
          </w:p>
        </w:tc>
      </w:tr>
      <w:tr w:rsidR="00670AFB" w:rsidRPr="00E64B7D" w14:paraId="70D95DB3" w14:textId="77777777" w:rsidTr="00117663">
        <w:trPr>
          <w:trHeight w:val="225"/>
        </w:trPr>
        <w:tc>
          <w:tcPr>
            <w:tcW w:w="4744" w:type="dxa"/>
            <w:shd w:val="clear" w:color="000000" w:fill="FFFFFF"/>
            <w:noWrap/>
            <w:vAlign w:val="center"/>
            <w:hideMark/>
          </w:tcPr>
          <w:p w14:paraId="43036D83" w14:textId="77777777" w:rsidR="00670AFB" w:rsidRPr="00597C93" w:rsidRDefault="00670AFB" w:rsidP="0050354A">
            <w:pPr>
              <w:pStyle w:val="TableTextLeft"/>
              <w:rPr>
                <w:rFonts w:cs="Arial"/>
                <w:szCs w:val="16"/>
              </w:rPr>
            </w:pPr>
            <w:r w:rsidRPr="00597C93">
              <w:rPr>
                <w:rFonts w:cs="Arial"/>
                <w:szCs w:val="16"/>
              </w:rPr>
              <w:t>Current transfers</w:t>
            </w:r>
          </w:p>
        </w:tc>
        <w:tc>
          <w:tcPr>
            <w:tcW w:w="2153" w:type="dxa"/>
            <w:gridSpan w:val="2"/>
            <w:shd w:val="clear" w:color="000000" w:fill="FFFFFF"/>
            <w:noWrap/>
            <w:vAlign w:val="center"/>
          </w:tcPr>
          <w:p w14:paraId="758D0EBB" w14:textId="42FD9DCF" w:rsidR="00670AFB" w:rsidRPr="00597C93" w:rsidRDefault="00670AFB" w:rsidP="00E34776">
            <w:pPr>
              <w:pStyle w:val="TableTextRight"/>
              <w:rPr>
                <w:rFonts w:cs="Arial"/>
                <w:szCs w:val="16"/>
              </w:rPr>
            </w:pPr>
          </w:p>
        </w:tc>
        <w:tc>
          <w:tcPr>
            <w:tcW w:w="813" w:type="dxa"/>
            <w:shd w:val="clear" w:color="auto" w:fill="E6F2FF"/>
            <w:noWrap/>
            <w:vAlign w:val="center"/>
          </w:tcPr>
          <w:p w14:paraId="3F7B1B76" w14:textId="49A46683" w:rsidR="00670AFB" w:rsidRPr="00597C93" w:rsidRDefault="00670AFB" w:rsidP="00E34776">
            <w:pPr>
              <w:pStyle w:val="TableTextRight"/>
              <w:rPr>
                <w:rFonts w:cs="Arial"/>
                <w:szCs w:val="16"/>
              </w:rPr>
            </w:pPr>
          </w:p>
        </w:tc>
      </w:tr>
      <w:tr w:rsidR="0027752E" w:rsidRPr="00E64B7D" w14:paraId="6BFEDDC4" w14:textId="77777777" w:rsidTr="00117663">
        <w:trPr>
          <w:trHeight w:val="225"/>
        </w:trPr>
        <w:tc>
          <w:tcPr>
            <w:tcW w:w="4744" w:type="dxa"/>
            <w:shd w:val="clear" w:color="000000" w:fill="FFFFFF"/>
            <w:noWrap/>
            <w:vAlign w:val="center"/>
            <w:hideMark/>
          </w:tcPr>
          <w:p w14:paraId="5DEC8214" w14:textId="77777777" w:rsidR="0027752E" w:rsidRPr="00597C93" w:rsidRDefault="0027752E" w:rsidP="00ED2312">
            <w:pPr>
              <w:pStyle w:val="TableTextIndented"/>
              <w:rPr>
                <w:rFonts w:cs="Arial"/>
                <w:szCs w:val="16"/>
              </w:rPr>
            </w:pPr>
            <w:r w:rsidRPr="00597C93">
              <w:rPr>
                <w:rFonts w:cs="Arial"/>
                <w:szCs w:val="16"/>
              </w:rPr>
              <w:t>Tax expenses</w:t>
            </w:r>
          </w:p>
        </w:tc>
        <w:tc>
          <w:tcPr>
            <w:tcW w:w="2153" w:type="dxa"/>
            <w:gridSpan w:val="2"/>
            <w:shd w:val="clear" w:color="000000" w:fill="FFFFFF"/>
            <w:noWrap/>
            <w:vAlign w:val="center"/>
            <w:hideMark/>
          </w:tcPr>
          <w:p w14:paraId="55472264" w14:textId="0C91D191" w:rsidR="0027752E" w:rsidRPr="00597C93" w:rsidRDefault="0027752E" w:rsidP="00E34776">
            <w:pPr>
              <w:pStyle w:val="TableTextRight"/>
              <w:rPr>
                <w:rFonts w:cs="Arial"/>
                <w:szCs w:val="16"/>
              </w:rPr>
            </w:pPr>
            <w:r w:rsidRPr="00597C93">
              <w:rPr>
                <w:rFonts w:cs="Arial"/>
                <w:szCs w:val="16"/>
              </w:rPr>
              <w:t>213</w:t>
            </w:r>
          </w:p>
        </w:tc>
        <w:tc>
          <w:tcPr>
            <w:tcW w:w="813" w:type="dxa"/>
            <w:shd w:val="clear" w:color="auto" w:fill="E6F2FF"/>
            <w:noWrap/>
            <w:vAlign w:val="center"/>
            <w:hideMark/>
          </w:tcPr>
          <w:p w14:paraId="24FF2A1A" w14:textId="062EAA4D" w:rsidR="0027752E" w:rsidRPr="00597C93" w:rsidRDefault="0027752E" w:rsidP="00E34776">
            <w:pPr>
              <w:pStyle w:val="TableTextRight"/>
              <w:rPr>
                <w:rFonts w:cs="Arial"/>
                <w:szCs w:val="16"/>
              </w:rPr>
            </w:pPr>
            <w:r w:rsidRPr="00597C93">
              <w:rPr>
                <w:rFonts w:cs="Arial"/>
                <w:szCs w:val="16"/>
              </w:rPr>
              <w:t>199</w:t>
            </w:r>
          </w:p>
        </w:tc>
      </w:tr>
      <w:tr w:rsidR="0027752E" w:rsidRPr="00E64B7D" w14:paraId="44D9F564" w14:textId="77777777" w:rsidTr="00117663">
        <w:trPr>
          <w:trHeight w:val="225"/>
        </w:trPr>
        <w:tc>
          <w:tcPr>
            <w:tcW w:w="4744" w:type="dxa"/>
            <w:shd w:val="clear" w:color="000000" w:fill="FFFFFF"/>
            <w:noWrap/>
            <w:vAlign w:val="center"/>
            <w:hideMark/>
          </w:tcPr>
          <w:p w14:paraId="2B8E9C7E" w14:textId="77777777" w:rsidR="0027752E" w:rsidRPr="00597C93" w:rsidRDefault="0027752E" w:rsidP="0050354A">
            <w:pPr>
              <w:pStyle w:val="TableTextLeft"/>
              <w:rPr>
                <w:rFonts w:cs="Arial"/>
                <w:i/>
                <w:szCs w:val="16"/>
              </w:rPr>
            </w:pPr>
            <w:r w:rsidRPr="00597C93">
              <w:rPr>
                <w:rFonts w:cs="Arial"/>
                <w:i/>
                <w:szCs w:val="16"/>
              </w:rPr>
              <w:t>Total current transfers</w:t>
            </w:r>
          </w:p>
        </w:tc>
        <w:tc>
          <w:tcPr>
            <w:tcW w:w="2153" w:type="dxa"/>
            <w:gridSpan w:val="2"/>
            <w:shd w:val="clear" w:color="000000" w:fill="FFFFFF"/>
            <w:noWrap/>
            <w:vAlign w:val="center"/>
            <w:hideMark/>
          </w:tcPr>
          <w:p w14:paraId="19166405" w14:textId="32F12FFD" w:rsidR="0027752E" w:rsidRPr="00597C93" w:rsidRDefault="0027752E" w:rsidP="00E34776">
            <w:pPr>
              <w:pStyle w:val="TableTextRight"/>
              <w:rPr>
                <w:rFonts w:cs="Arial"/>
                <w:i/>
                <w:szCs w:val="16"/>
              </w:rPr>
            </w:pPr>
            <w:r w:rsidRPr="00597C93">
              <w:rPr>
                <w:rFonts w:cs="Arial"/>
                <w:i/>
                <w:szCs w:val="16"/>
              </w:rPr>
              <w:t>213</w:t>
            </w:r>
          </w:p>
        </w:tc>
        <w:tc>
          <w:tcPr>
            <w:tcW w:w="813" w:type="dxa"/>
            <w:shd w:val="clear" w:color="auto" w:fill="E6F2FF"/>
            <w:noWrap/>
            <w:vAlign w:val="center"/>
            <w:hideMark/>
          </w:tcPr>
          <w:p w14:paraId="0B07C9EB" w14:textId="25C2B3BE" w:rsidR="0027752E" w:rsidRPr="00597C93" w:rsidRDefault="0027752E" w:rsidP="00E34776">
            <w:pPr>
              <w:pStyle w:val="TableTextRight"/>
              <w:rPr>
                <w:rFonts w:cs="Arial"/>
                <w:i/>
                <w:szCs w:val="16"/>
              </w:rPr>
            </w:pPr>
            <w:r w:rsidRPr="00597C93">
              <w:rPr>
                <w:rFonts w:cs="Arial"/>
                <w:i/>
                <w:szCs w:val="16"/>
              </w:rPr>
              <w:t>199</w:t>
            </w:r>
          </w:p>
        </w:tc>
      </w:tr>
      <w:tr w:rsidR="0027752E" w:rsidRPr="00E64B7D" w14:paraId="2FE28F09" w14:textId="77777777" w:rsidTr="00117663">
        <w:trPr>
          <w:trHeight w:val="349"/>
        </w:trPr>
        <w:tc>
          <w:tcPr>
            <w:tcW w:w="4744" w:type="dxa"/>
            <w:shd w:val="clear" w:color="000000" w:fill="FFFFFF"/>
            <w:noWrap/>
            <w:vAlign w:val="center"/>
            <w:hideMark/>
          </w:tcPr>
          <w:p w14:paraId="78A7DFEE" w14:textId="77777777" w:rsidR="0027752E" w:rsidRPr="00597C93" w:rsidRDefault="0027752E" w:rsidP="0050354A">
            <w:pPr>
              <w:pStyle w:val="TableTextLeft"/>
              <w:rPr>
                <w:rFonts w:cs="Arial"/>
                <w:b/>
                <w:szCs w:val="16"/>
              </w:rPr>
            </w:pPr>
            <w:r w:rsidRPr="00597C93">
              <w:rPr>
                <w:rFonts w:cs="Arial"/>
                <w:b/>
                <w:szCs w:val="16"/>
              </w:rPr>
              <w:t>Total expenses</w:t>
            </w:r>
          </w:p>
        </w:tc>
        <w:tc>
          <w:tcPr>
            <w:tcW w:w="2153" w:type="dxa"/>
            <w:gridSpan w:val="2"/>
            <w:shd w:val="clear" w:color="000000" w:fill="FFFFFF"/>
            <w:noWrap/>
            <w:vAlign w:val="center"/>
            <w:hideMark/>
          </w:tcPr>
          <w:p w14:paraId="5B46AF29" w14:textId="0A097FFD" w:rsidR="0027752E" w:rsidRPr="00597C93" w:rsidRDefault="0027752E" w:rsidP="00E34776">
            <w:pPr>
              <w:pStyle w:val="TableTextRight"/>
              <w:rPr>
                <w:rFonts w:cs="Arial"/>
                <w:b/>
                <w:szCs w:val="16"/>
              </w:rPr>
            </w:pPr>
            <w:r w:rsidRPr="00597C93">
              <w:rPr>
                <w:rFonts w:cs="Arial"/>
                <w:b/>
                <w:szCs w:val="16"/>
              </w:rPr>
              <w:t>23,461</w:t>
            </w:r>
          </w:p>
        </w:tc>
        <w:tc>
          <w:tcPr>
            <w:tcW w:w="813" w:type="dxa"/>
            <w:shd w:val="clear" w:color="auto" w:fill="E6F2FF"/>
            <w:noWrap/>
            <w:vAlign w:val="center"/>
            <w:hideMark/>
          </w:tcPr>
          <w:p w14:paraId="41BAA1EB" w14:textId="278B2A8A" w:rsidR="0027752E" w:rsidRPr="00597C93" w:rsidRDefault="0027752E" w:rsidP="00E34776">
            <w:pPr>
              <w:pStyle w:val="TableTextRight"/>
              <w:rPr>
                <w:rFonts w:cs="Arial"/>
                <w:b/>
                <w:szCs w:val="16"/>
              </w:rPr>
            </w:pPr>
            <w:r w:rsidRPr="00597C93">
              <w:rPr>
                <w:rFonts w:cs="Arial"/>
                <w:b/>
                <w:szCs w:val="16"/>
              </w:rPr>
              <w:t>24,011</w:t>
            </w:r>
          </w:p>
        </w:tc>
      </w:tr>
      <w:tr w:rsidR="0036630F" w:rsidRPr="00E64B7D" w14:paraId="3A47A429" w14:textId="77777777" w:rsidTr="00117663">
        <w:trPr>
          <w:trHeight w:val="225"/>
        </w:trPr>
        <w:tc>
          <w:tcPr>
            <w:tcW w:w="4744" w:type="dxa"/>
            <w:shd w:val="clear" w:color="000000" w:fill="FFFFFF"/>
            <w:noWrap/>
            <w:vAlign w:val="center"/>
            <w:hideMark/>
          </w:tcPr>
          <w:p w14:paraId="0DA224F9" w14:textId="77777777" w:rsidR="0036630F" w:rsidRPr="00597C93" w:rsidRDefault="0036630F" w:rsidP="0050354A">
            <w:pPr>
              <w:pStyle w:val="TableTextLeft"/>
              <w:rPr>
                <w:rFonts w:cs="Arial"/>
                <w:b/>
                <w:szCs w:val="16"/>
              </w:rPr>
            </w:pPr>
            <w:r w:rsidRPr="00597C93">
              <w:rPr>
                <w:rFonts w:cs="Arial"/>
                <w:b/>
                <w:szCs w:val="16"/>
              </w:rPr>
              <w:t>Net operating balance</w:t>
            </w:r>
          </w:p>
        </w:tc>
        <w:tc>
          <w:tcPr>
            <w:tcW w:w="2153" w:type="dxa"/>
            <w:gridSpan w:val="2"/>
            <w:shd w:val="clear" w:color="000000" w:fill="FFFFFF"/>
            <w:noWrap/>
            <w:vAlign w:val="center"/>
            <w:hideMark/>
          </w:tcPr>
          <w:p w14:paraId="20710D38" w14:textId="33777099" w:rsidR="0036630F" w:rsidRPr="00597C93" w:rsidRDefault="00325E1E" w:rsidP="00E34776">
            <w:pPr>
              <w:pStyle w:val="TableTextRight"/>
              <w:rPr>
                <w:rFonts w:cs="Arial"/>
                <w:b/>
                <w:szCs w:val="16"/>
              </w:rPr>
            </w:pPr>
            <w:r>
              <w:rPr>
                <w:rFonts w:cs="Arial"/>
                <w:b/>
                <w:bCs/>
                <w:szCs w:val="16"/>
              </w:rPr>
              <w:noBreakHyphen/>
            </w:r>
            <w:r w:rsidR="0036630F" w:rsidRPr="00597C93">
              <w:rPr>
                <w:rFonts w:cs="Arial"/>
                <w:b/>
                <w:szCs w:val="16"/>
              </w:rPr>
              <w:t>1,910</w:t>
            </w:r>
          </w:p>
        </w:tc>
        <w:tc>
          <w:tcPr>
            <w:tcW w:w="813" w:type="dxa"/>
            <w:shd w:val="clear" w:color="auto" w:fill="E6F2FF"/>
            <w:noWrap/>
            <w:vAlign w:val="center"/>
            <w:hideMark/>
          </w:tcPr>
          <w:p w14:paraId="2C14EFFE" w14:textId="6B73CF0B" w:rsidR="0036630F" w:rsidRPr="00597C93" w:rsidRDefault="00325E1E" w:rsidP="00E34776">
            <w:pPr>
              <w:pStyle w:val="TableTextRight"/>
              <w:rPr>
                <w:rFonts w:cs="Arial"/>
                <w:b/>
                <w:szCs w:val="16"/>
              </w:rPr>
            </w:pPr>
            <w:r>
              <w:rPr>
                <w:rFonts w:cs="Arial"/>
                <w:b/>
                <w:bCs/>
                <w:szCs w:val="16"/>
              </w:rPr>
              <w:noBreakHyphen/>
            </w:r>
            <w:r w:rsidR="0036630F" w:rsidRPr="00597C93">
              <w:rPr>
                <w:rFonts w:cs="Arial"/>
                <w:b/>
                <w:szCs w:val="16"/>
              </w:rPr>
              <w:t>1,180</w:t>
            </w:r>
          </w:p>
        </w:tc>
      </w:tr>
      <w:tr w:rsidR="0036630F" w:rsidRPr="00E64B7D" w14:paraId="348FE164" w14:textId="77777777" w:rsidTr="00117663">
        <w:trPr>
          <w:trHeight w:val="328"/>
        </w:trPr>
        <w:tc>
          <w:tcPr>
            <w:tcW w:w="4744" w:type="dxa"/>
            <w:shd w:val="clear" w:color="000000" w:fill="FFFFFF"/>
            <w:noWrap/>
            <w:vAlign w:val="center"/>
            <w:hideMark/>
          </w:tcPr>
          <w:p w14:paraId="3A584D28" w14:textId="77777777" w:rsidR="0036630F" w:rsidRPr="00597C93" w:rsidRDefault="0036630F" w:rsidP="0050354A">
            <w:pPr>
              <w:pStyle w:val="TableTextLeft"/>
              <w:rPr>
                <w:rFonts w:cs="Arial"/>
                <w:b/>
                <w:szCs w:val="16"/>
              </w:rPr>
            </w:pPr>
            <w:r w:rsidRPr="00597C93">
              <w:rPr>
                <w:rFonts w:cs="Arial"/>
                <w:b/>
                <w:szCs w:val="16"/>
              </w:rPr>
              <w:t>Other economic flows</w:t>
            </w:r>
          </w:p>
        </w:tc>
        <w:tc>
          <w:tcPr>
            <w:tcW w:w="2153" w:type="dxa"/>
            <w:gridSpan w:val="2"/>
            <w:shd w:val="clear" w:color="000000" w:fill="FFFFFF"/>
            <w:noWrap/>
            <w:vAlign w:val="center"/>
            <w:hideMark/>
          </w:tcPr>
          <w:p w14:paraId="6894DC62" w14:textId="6A2492C6" w:rsidR="0036630F" w:rsidRPr="00597C93" w:rsidRDefault="00325E1E" w:rsidP="00E34776">
            <w:pPr>
              <w:pStyle w:val="TableTextRight"/>
              <w:rPr>
                <w:rFonts w:cs="Arial"/>
                <w:b/>
                <w:szCs w:val="16"/>
              </w:rPr>
            </w:pPr>
            <w:r>
              <w:rPr>
                <w:rFonts w:cs="Arial"/>
                <w:b/>
                <w:bCs/>
                <w:szCs w:val="16"/>
              </w:rPr>
              <w:noBreakHyphen/>
            </w:r>
            <w:r w:rsidR="0036630F" w:rsidRPr="00597C93">
              <w:rPr>
                <w:rFonts w:cs="Arial"/>
                <w:b/>
                <w:szCs w:val="16"/>
              </w:rPr>
              <w:t>1,250</w:t>
            </w:r>
          </w:p>
        </w:tc>
        <w:tc>
          <w:tcPr>
            <w:tcW w:w="813" w:type="dxa"/>
            <w:shd w:val="clear" w:color="auto" w:fill="E6F2FF"/>
            <w:noWrap/>
            <w:vAlign w:val="center"/>
            <w:hideMark/>
          </w:tcPr>
          <w:p w14:paraId="31D7882D" w14:textId="10288FBB" w:rsidR="0036630F" w:rsidRPr="00597C93" w:rsidRDefault="00325E1E" w:rsidP="00E34776">
            <w:pPr>
              <w:pStyle w:val="TableTextRight"/>
              <w:rPr>
                <w:rFonts w:cs="Arial"/>
                <w:b/>
                <w:szCs w:val="16"/>
              </w:rPr>
            </w:pPr>
            <w:r>
              <w:rPr>
                <w:rFonts w:cs="Arial"/>
                <w:b/>
                <w:bCs/>
                <w:szCs w:val="16"/>
              </w:rPr>
              <w:noBreakHyphen/>
            </w:r>
            <w:r w:rsidR="0036630F" w:rsidRPr="00597C93">
              <w:rPr>
                <w:rFonts w:cs="Arial"/>
                <w:b/>
                <w:szCs w:val="16"/>
              </w:rPr>
              <w:t>584</w:t>
            </w:r>
          </w:p>
        </w:tc>
      </w:tr>
      <w:tr w:rsidR="0036630F" w:rsidRPr="00E64B7D" w14:paraId="3882052B" w14:textId="77777777" w:rsidTr="00117663">
        <w:trPr>
          <w:trHeight w:val="225"/>
        </w:trPr>
        <w:tc>
          <w:tcPr>
            <w:tcW w:w="4744" w:type="dxa"/>
            <w:shd w:val="clear" w:color="000000" w:fill="FFFFFF"/>
            <w:noWrap/>
            <w:vAlign w:val="center"/>
            <w:hideMark/>
          </w:tcPr>
          <w:p w14:paraId="5B44D6D7" w14:textId="2BD65DC1" w:rsidR="0036630F" w:rsidRPr="00597C93" w:rsidRDefault="0036630F" w:rsidP="0050354A">
            <w:pPr>
              <w:pStyle w:val="TableTextLeft"/>
              <w:rPr>
                <w:rFonts w:cs="Arial"/>
                <w:b/>
                <w:szCs w:val="16"/>
              </w:rPr>
            </w:pPr>
            <w:r w:rsidRPr="00597C93">
              <w:rPr>
                <w:rFonts w:cs="Arial"/>
                <w:b/>
                <w:szCs w:val="16"/>
              </w:rPr>
              <w:t xml:space="preserve">Comprehensive result </w:t>
            </w:r>
            <w:r w:rsidR="00480091" w:rsidRPr="00597C93">
              <w:rPr>
                <w:rFonts w:cs="Arial"/>
                <w:b/>
                <w:bCs/>
                <w:szCs w:val="16"/>
              </w:rPr>
              <w:t>–</w:t>
            </w:r>
            <w:r w:rsidRPr="00597C93">
              <w:rPr>
                <w:rFonts w:cs="Arial"/>
                <w:b/>
                <w:szCs w:val="16"/>
              </w:rPr>
              <w:t xml:space="preserve"> Total change in net worth</w:t>
            </w:r>
          </w:p>
        </w:tc>
        <w:tc>
          <w:tcPr>
            <w:tcW w:w="2153" w:type="dxa"/>
            <w:gridSpan w:val="2"/>
            <w:shd w:val="clear" w:color="000000" w:fill="FFFFFF"/>
            <w:noWrap/>
            <w:vAlign w:val="center"/>
          </w:tcPr>
          <w:p w14:paraId="7AF2D749" w14:textId="6D39A736" w:rsidR="0036630F" w:rsidRPr="00597C93" w:rsidRDefault="0036630F" w:rsidP="00E34776">
            <w:pPr>
              <w:pStyle w:val="TableTextRight"/>
              <w:rPr>
                <w:rFonts w:cs="Arial"/>
                <w:b/>
                <w:szCs w:val="16"/>
              </w:rPr>
            </w:pPr>
          </w:p>
        </w:tc>
        <w:tc>
          <w:tcPr>
            <w:tcW w:w="813" w:type="dxa"/>
            <w:shd w:val="clear" w:color="auto" w:fill="E6F2FF"/>
            <w:noWrap/>
            <w:vAlign w:val="center"/>
          </w:tcPr>
          <w:p w14:paraId="5139FBE9" w14:textId="375905A0" w:rsidR="0036630F" w:rsidRPr="00597C93" w:rsidRDefault="0036630F" w:rsidP="00E34776">
            <w:pPr>
              <w:pStyle w:val="TableTextRight"/>
              <w:rPr>
                <w:rFonts w:cs="Arial"/>
                <w:b/>
                <w:szCs w:val="16"/>
              </w:rPr>
            </w:pPr>
          </w:p>
        </w:tc>
      </w:tr>
      <w:tr w:rsidR="008C10C5" w:rsidRPr="00E64B7D" w14:paraId="752C65E2" w14:textId="77777777" w:rsidTr="00117663">
        <w:trPr>
          <w:trHeight w:val="225"/>
        </w:trPr>
        <w:tc>
          <w:tcPr>
            <w:tcW w:w="4744" w:type="dxa"/>
            <w:shd w:val="clear" w:color="000000" w:fill="FFFFFF"/>
            <w:noWrap/>
            <w:vAlign w:val="center"/>
            <w:hideMark/>
          </w:tcPr>
          <w:p w14:paraId="6F0D0F32" w14:textId="77777777" w:rsidR="008C10C5" w:rsidRPr="00597C93" w:rsidRDefault="008C10C5" w:rsidP="0022358A">
            <w:pPr>
              <w:pStyle w:val="TableTextIndented"/>
              <w:rPr>
                <w:rFonts w:cs="Arial"/>
                <w:b/>
                <w:szCs w:val="16"/>
              </w:rPr>
            </w:pPr>
            <w:r w:rsidRPr="00597C93">
              <w:rPr>
                <w:rFonts w:cs="Arial"/>
                <w:b/>
                <w:szCs w:val="16"/>
              </w:rPr>
              <w:t>excluding contribution from owners</w:t>
            </w:r>
          </w:p>
        </w:tc>
        <w:tc>
          <w:tcPr>
            <w:tcW w:w="2153" w:type="dxa"/>
            <w:gridSpan w:val="2"/>
            <w:shd w:val="clear" w:color="auto" w:fill="auto"/>
            <w:noWrap/>
            <w:vAlign w:val="center"/>
            <w:hideMark/>
          </w:tcPr>
          <w:p w14:paraId="630CE36E" w14:textId="56982C04" w:rsidR="008C10C5" w:rsidRPr="00597C93" w:rsidRDefault="00325E1E" w:rsidP="00E34776">
            <w:pPr>
              <w:pStyle w:val="TableTextRight"/>
              <w:rPr>
                <w:rFonts w:cs="Arial"/>
                <w:b/>
                <w:szCs w:val="16"/>
              </w:rPr>
            </w:pPr>
            <w:r>
              <w:rPr>
                <w:rFonts w:cs="Arial"/>
                <w:b/>
                <w:bCs/>
                <w:szCs w:val="16"/>
              </w:rPr>
              <w:noBreakHyphen/>
            </w:r>
            <w:r w:rsidR="008C10C5" w:rsidRPr="00597C93">
              <w:rPr>
                <w:rFonts w:cs="Arial"/>
                <w:b/>
                <w:szCs w:val="16"/>
              </w:rPr>
              <w:t>3,161</w:t>
            </w:r>
          </w:p>
        </w:tc>
        <w:tc>
          <w:tcPr>
            <w:tcW w:w="813" w:type="dxa"/>
            <w:shd w:val="clear" w:color="auto" w:fill="E6F2FF"/>
            <w:noWrap/>
            <w:vAlign w:val="center"/>
            <w:hideMark/>
          </w:tcPr>
          <w:p w14:paraId="007DCCF4" w14:textId="16F52E14" w:rsidR="008C10C5" w:rsidRPr="00597C93" w:rsidRDefault="00325E1E" w:rsidP="00E34776">
            <w:pPr>
              <w:pStyle w:val="TableTextRight"/>
              <w:rPr>
                <w:rFonts w:cs="Arial"/>
                <w:b/>
                <w:szCs w:val="16"/>
              </w:rPr>
            </w:pPr>
            <w:r>
              <w:rPr>
                <w:rFonts w:cs="Arial"/>
                <w:b/>
                <w:bCs/>
                <w:szCs w:val="16"/>
              </w:rPr>
              <w:noBreakHyphen/>
            </w:r>
            <w:r w:rsidR="008C10C5" w:rsidRPr="00597C93">
              <w:rPr>
                <w:rFonts w:cs="Arial"/>
                <w:b/>
                <w:szCs w:val="16"/>
              </w:rPr>
              <w:t>1,764</w:t>
            </w:r>
          </w:p>
        </w:tc>
      </w:tr>
      <w:tr w:rsidR="00670AFB" w:rsidRPr="00E64B7D" w14:paraId="79484DDD" w14:textId="77777777" w:rsidTr="00117663">
        <w:trPr>
          <w:trHeight w:val="225"/>
        </w:trPr>
        <w:tc>
          <w:tcPr>
            <w:tcW w:w="4744" w:type="dxa"/>
            <w:shd w:val="clear" w:color="000000" w:fill="FFFFFF"/>
            <w:noWrap/>
            <w:vAlign w:val="center"/>
            <w:hideMark/>
          </w:tcPr>
          <w:p w14:paraId="2661A814" w14:textId="203E8D02" w:rsidR="00670AFB" w:rsidRPr="00597C93" w:rsidRDefault="00670AFB" w:rsidP="0050354A">
            <w:pPr>
              <w:pStyle w:val="TableTextLeft"/>
              <w:rPr>
                <w:rFonts w:cs="Arial"/>
                <w:b/>
                <w:szCs w:val="16"/>
              </w:rPr>
            </w:pPr>
            <w:r w:rsidRPr="00597C93">
              <w:rPr>
                <w:rFonts w:cs="Arial"/>
                <w:b/>
                <w:szCs w:val="16"/>
              </w:rPr>
              <w:t>Net acquisition of non</w:t>
            </w:r>
            <w:r w:rsidR="00325E1E">
              <w:rPr>
                <w:rFonts w:cs="Arial"/>
                <w:b/>
                <w:bCs/>
                <w:szCs w:val="16"/>
              </w:rPr>
              <w:noBreakHyphen/>
            </w:r>
            <w:r w:rsidRPr="00597C93">
              <w:rPr>
                <w:rFonts w:cs="Arial"/>
                <w:b/>
                <w:szCs w:val="16"/>
              </w:rPr>
              <w:t>financial assets</w:t>
            </w:r>
          </w:p>
        </w:tc>
        <w:tc>
          <w:tcPr>
            <w:tcW w:w="2153" w:type="dxa"/>
            <w:gridSpan w:val="2"/>
            <w:shd w:val="clear" w:color="000000" w:fill="FFFFFF"/>
            <w:noWrap/>
            <w:vAlign w:val="center"/>
          </w:tcPr>
          <w:p w14:paraId="0B79DD23" w14:textId="7F7880B8" w:rsidR="00670AFB" w:rsidRPr="00597C93" w:rsidRDefault="00670AFB" w:rsidP="00E34776">
            <w:pPr>
              <w:pStyle w:val="TableTextRight"/>
              <w:rPr>
                <w:rFonts w:cs="Arial"/>
                <w:szCs w:val="16"/>
              </w:rPr>
            </w:pPr>
          </w:p>
        </w:tc>
        <w:tc>
          <w:tcPr>
            <w:tcW w:w="813" w:type="dxa"/>
            <w:shd w:val="clear" w:color="auto" w:fill="E6F2FF"/>
            <w:noWrap/>
            <w:vAlign w:val="center"/>
          </w:tcPr>
          <w:p w14:paraId="5D254155" w14:textId="5B023A04" w:rsidR="00670AFB" w:rsidRPr="00597C93" w:rsidRDefault="00670AFB" w:rsidP="00E34776">
            <w:pPr>
              <w:pStyle w:val="TableTextRight"/>
              <w:rPr>
                <w:rFonts w:cs="Arial"/>
                <w:szCs w:val="16"/>
              </w:rPr>
            </w:pPr>
          </w:p>
        </w:tc>
      </w:tr>
      <w:tr w:rsidR="00A565CE" w:rsidRPr="00E64B7D" w14:paraId="3BA19596" w14:textId="77777777" w:rsidTr="00117663">
        <w:trPr>
          <w:trHeight w:val="225"/>
        </w:trPr>
        <w:tc>
          <w:tcPr>
            <w:tcW w:w="4744" w:type="dxa"/>
            <w:shd w:val="clear" w:color="000000" w:fill="FFFFFF"/>
            <w:noWrap/>
            <w:vAlign w:val="center"/>
            <w:hideMark/>
          </w:tcPr>
          <w:p w14:paraId="65E01E61" w14:textId="1084803C" w:rsidR="00A565CE" w:rsidRPr="00597C93" w:rsidRDefault="00A565CE" w:rsidP="0050354A">
            <w:pPr>
              <w:pStyle w:val="TableTextLeft"/>
              <w:rPr>
                <w:rFonts w:cs="Arial"/>
                <w:szCs w:val="16"/>
              </w:rPr>
            </w:pPr>
            <w:r w:rsidRPr="00597C93">
              <w:rPr>
                <w:rFonts w:cs="Arial"/>
                <w:szCs w:val="16"/>
              </w:rPr>
              <w:t>Purchases of non</w:t>
            </w:r>
            <w:r w:rsidR="00325E1E">
              <w:rPr>
                <w:rFonts w:cs="Arial"/>
                <w:szCs w:val="16"/>
              </w:rPr>
              <w:noBreakHyphen/>
            </w:r>
            <w:r w:rsidRPr="00597C93">
              <w:rPr>
                <w:rFonts w:cs="Arial"/>
                <w:szCs w:val="16"/>
              </w:rPr>
              <w:t>financial assets</w:t>
            </w:r>
          </w:p>
        </w:tc>
        <w:tc>
          <w:tcPr>
            <w:tcW w:w="2153" w:type="dxa"/>
            <w:gridSpan w:val="2"/>
            <w:shd w:val="clear" w:color="000000" w:fill="FFFFFF"/>
            <w:noWrap/>
            <w:vAlign w:val="center"/>
            <w:hideMark/>
          </w:tcPr>
          <w:p w14:paraId="61FA5C42" w14:textId="3F66CF60" w:rsidR="00A565CE" w:rsidRPr="00597C93" w:rsidRDefault="00A565CE" w:rsidP="00E34776">
            <w:pPr>
              <w:pStyle w:val="TableTextRight"/>
              <w:rPr>
                <w:rFonts w:cs="Arial"/>
                <w:szCs w:val="16"/>
              </w:rPr>
            </w:pPr>
            <w:r w:rsidRPr="00597C93">
              <w:rPr>
                <w:rFonts w:cs="Arial"/>
                <w:szCs w:val="16"/>
              </w:rPr>
              <w:t>11,308</w:t>
            </w:r>
          </w:p>
        </w:tc>
        <w:tc>
          <w:tcPr>
            <w:tcW w:w="813" w:type="dxa"/>
            <w:shd w:val="clear" w:color="auto" w:fill="E6F2FF"/>
            <w:noWrap/>
            <w:vAlign w:val="center"/>
            <w:hideMark/>
          </w:tcPr>
          <w:p w14:paraId="5CB234D4" w14:textId="1F35A902" w:rsidR="00A565CE" w:rsidRPr="00597C93" w:rsidRDefault="00A565CE" w:rsidP="00E34776">
            <w:pPr>
              <w:pStyle w:val="TableTextRight"/>
              <w:rPr>
                <w:rFonts w:cs="Arial"/>
                <w:szCs w:val="16"/>
              </w:rPr>
            </w:pPr>
            <w:r w:rsidRPr="00597C93">
              <w:rPr>
                <w:rFonts w:cs="Arial"/>
                <w:szCs w:val="16"/>
              </w:rPr>
              <w:t>12,375</w:t>
            </w:r>
          </w:p>
        </w:tc>
      </w:tr>
      <w:tr w:rsidR="00A565CE" w:rsidRPr="00E64B7D" w14:paraId="14C892E4" w14:textId="77777777" w:rsidTr="00117663">
        <w:trPr>
          <w:trHeight w:val="225"/>
        </w:trPr>
        <w:tc>
          <w:tcPr>
            <w:tcW w:w="4744" w:type="dxa"/>
            <w:shd w:val="clear" w:color="000000" w:fill="FFFFFF"/>
            <w:noWrap/>
            <w:vAlign w:val="center"/>
            <w:hideMark/>
          </w:tcPr>
          <w:p w14:paraId="40F47CE6" w14:textId="7830F4C9" w:rsidR="00A565CE" w:rsidRPr="00597C93" w:rsidRDefault="00A565CE" w:rsidP="0050354A">
            <w:pPr>
              <w:pStyle w:val="TableTextLeft"/>
              <w:rPr>
                <w:rFonts w:cs="Arial"/>
                <w:i/>
                <w:szCs w:val="16"/>
              </w:rPr>
            </w:pPr>
            <w:r w:rsidRPr="00597C93">
              <w:rPr>
                <w:rFonts w:cs="Arial"/>
                <w:i/>
                <w:szCs w:val="16"/>
              </w:rPr>
              <w:t>less</w:t>
            </w:r>
            <w:r w:rsidRPr="00597C93">
              <w:rPr>
                <w:rFonts w:cs="Arial"/>
                <w:szCs w:val="16"/>
              </w:rPr>
              <w:t xml:space="preserve"> Sales of non</w:t>
            </w:r>
            <w:r w:rsidR="00325E1E">
              <w:rPr>
                <w:rFonts w:cs="Arial"/>
                <w:szCs w:val="16"/>
              </w:rPr>
              <w:noBreakHyphen/>
            </w:r>
            <w:r w:rsidRPr="00597C93">
              <w:rPr>
                <w:rFonts w:cs="Arial"/>
                <w:szCs w:val="16"/>
              </w:rPr>
              <w:t>financial assets</w:t>
            </w:r>
          </w:p>
        </w:tc>
        <w:tc>
          <w:tcPr>
            <w:tcW w:w="2153" w:type="dxa"/>
            <w:gridSpan w:val="2"/>
            <w:shd w:val="clear" w:color="000000" w:fill="FFFFFF"/>
            <w:noWrap/>
            <w:vAlign w:val="center"/>
            <w:hideMark/>
          </w:tcPr>
          <w:p w14:paraId="7E68627C" w14:textId="13F91EF4" w:rsidR="00A565CE" w:rsidRPr="00597C93" w:rsidRDefault="00A565CE" w:rsidP="00E34776">
            <w:pPr>
              <w:pStyle w:val="TableTextRight"/>
              <w:rPr>
                <w:rFonts w:cs="Arial"/>
                <w:szCs w:val="16"/>
              </w:rPr>
            </w:pPr>
            <w:r w:rsidRPr="00597C93">
              <w:rPr>
                <w:rFonts w:cs="Arial"/>
                <w:szCs w:val="16"/>
              </w:rPr>
              <w:t>82</w:t>
            </w:r>
          </w:p>
        </w:tc>
        <w:tc>
          <w:tcPr>
            <w:tcW w:w="813" w:type="dxa"/>
            <w:shd w:val="clear" w:color="auto" w:fill="E6F2FF"/>
            <w:noWrap/>
            <w:vAlign w:val="center"/>
            <w:hideMark/>
          </w:tcPr>
          <w:p w14:paraId="05973493" w14:textId="46F03C87" w:rsidR="00A565CE" w:rsidRPr="00597C93" w:rsidRDefault="00A565CE" w:rsidP="00E34776">
            <w:pPr>
              <w:pStyle w:val="TableTextRight"/>
              <w:rPr>
                <w:rFonts w:cs="Arial"/>
                <w:szCs w:val="16"/>
              </w:rPr>
            </w:pPr>
            <w:r w:rsidRPr="00597C93">
              <w:rPr>
                <w:rFonts w:cs="Arial"/>
                <w:szCs w:val="16"/>
              </w:rPr>
              <w:t>62</w:t>
            </w:r>
          </w:p>
        </w:tc>
      </w:tr>
      <w:tr w:rsidR="00A565CE" w:rsidRPr="00E64B7D" w14:paraId="1026D039" w14:textId="77777777" w:rsidTr="00117663">
        <w:trPr>
          <w:trHeight w:val="225"/>
        </w:trPr>
        <w:tc>
          <w:tcPr>
            <w:tcW w:w="4744" w:type="dxa"/>
            <w:shd w:val="clear" w:color="000000" w:fill="FFFFFF"/>
            <w:noWrap/>
            <w:vAlign w:val="center"/>
            <w:hideMark/>
          </w:tcPr>
          <w:p w14:paraId="6DB8041A" w14:textId="77777777" w:rsidR="00A565CE" w:rsidRPr="00597C93" w:rsidRDefault="00A565CE" w:rsidP="0050354A">
            <w:pPr>
              <w:pStyle w:val="TableTextLeft"/>
              <w:rPr>
                <w:rFonts w:cs="Arial"/>
                <w:i/>
                <w:szCs w:val="16"/>
              </w:rPr>
            </w:pPr>
            <w:r w:rsidRPr="00597C93">
              <w:rPr>
                <w:rFonts w:cs="Arial"/>
                <w:i/>
                <w:szCs w:val="16"/>
              </w:rPr>
              <w:t>less</w:t>
            </w:r>
            <w:r w:rsidRPr="00597C93">
              <w:rPr>
                <w:rFonts w:cs="Arial"/>
                <w:szCs w:val="16"/>
              </w:rPr>
              <w:t xml:space="preserve"> Depreciation</w:t>
            </w:r>
          </w:p>
        </w:tc>
        <w:tc>
          <w:tcPr>
            <w:tcW w:w="2153" w:type="dxa"/>
            <w:gridSpan w:val="2"/>
            <w:shd w:val="clear" w:color="000000" w:fill="FFFFFF"/>
            <w:noWrap/>
            <w:vAlign w:val="center"/>
            <w:hideMark/>
          </w:tcPr>
          <w:p w14:paraId="47823A07" w14:textId="33945E93" w:rsidR="00A565CE" w:rsidRPr="00597C93" w:rsidRDefault="00A565CE" w:rsidP="00E34776">
            <w:pPr>
              <w:pStyle w:val="TableTextRight"/>
              <w:rPr>
                <w:rFonts w:cs="Arial"/>
                <w:szCs w:val="16"/>
              </w:rPr>
            </w:pPr>
            <w:r w:rsidRPr="00597C93">
              <w:rPr>
                <w:rFonts w:cs="Arial"/>
                <w:szCs w:val="16"/>
              </w:rPr>
              <w:t>4,532</w:t>
            </w:r>
          </w:p>
        </w:tc>
        <w:tc>
          <w:tcPr>
            <w:tcW w:w="813" w:type="dxa"/>
            <w:shd w:val="clear" w:color="auto" w:fill="E6F2FF"/>
            <w:noWrap/>
            <w:vAlign w:val="center"/>
            <w:hideMark/>
          </w:tcPr>
          <w:p w14:paraId="69F8FDA0" w14:textId="4D53DAFB" w:rsidR="00A565CE" w:rsidRPr="00597C93" w:rsidRDefault="00A565CE" w:rsidP="00E34776">
            <w:pPr>
              <w:pStyle w:val="TableTextRight"/>
              <w:rPr>
                <w:rFonts w:cs="Arial"/>
                <w:szCs w:val="16"/>
              </w:rPr>
            </w:pPr>
            <w:r w:rsidRPr="00597C93">
              <w:rPr>
                <w:rFonts w:cs="Arial"/>
                <w:szCs w:val="16"/>
              </w:rPr>
              <w:t>4,425</w:t>
            </w:r>
          </w:p>
        </w:tc>
      </w:tr>
      <w:tr w:rsidR="00A565CE" w:rsidRPr="00E64B7D" w14:paraId="4FD42B2E" w14:textId="77777777" w:rsidTr="00117663">
        <w:trPr>
          <w:trHeight w:val="225"/>
        </w:trPr>
        <w:tc>
          <w:tcPr>
            <w:tcW w:w="4744" w:type="dxa"/>
            <w:shd w:val="clear" w:color="000000" w:fill="FFFFFF"/>
            <w:noWrap/>
            <w:vAlign w:val="center"/>
            <w:hideMark/>
          </w:tcPr>
          <w:p w14:paraId="3C0EE02B" w14:textId="77777777" w:rsidR="00A565CE" w:rsidRPr="00597C93" w:rsidRDefault="00A565CE" w:rsidP="0050354A">
            <w:pPr>
              <w:pStyle w:val="TableTextLeft"/>
              <w:rPr>
                <w:rFonts w:cs="Arial"/>
                <w:i/>
                <w:szCs w:val="16"/>
              </w:rPr>
            </w:pPr>
            <w:r w:rsidRPr="00597C93">
              <w:rPr>
                <w:rFonts w:cs="Arial"/>
                <w:i/>
                <w:szCs w:val="16"/>
              </w:rPr>
              <w:t>plus</w:t>
            </w:r>
            <w:r w:rsidRPr="00597C93">
              <w:rPr>
                <w:rFonts w:cs="Arial"/>
                <w:szCs w:val="16"/>
              </w:rPr>
              <w:t xml:space="preserve"> Change in inventories</w:t>
            </w:r>
          </w:p>
        </w:tc>
        <w:tc>
          <w:tcPr>
            <w:tcW w:w="2153" w:type="dxa"/>
            <w:gridSpan w:val="2"/>
            <w:shd w:val="clear" w:color="000000" w:fill="FFFFFF"/>
            <w:noWrap/>
            <w:vAlign w:val="center"/>
            <w:hideMark/>
          </w:tcPr>
          <w:p w14:paraId="21BA93B6" w14:textId="6B161FAE" w:rsidR="00A565CE" w:rsidRPr="00597C93" w:rsidRDefault="00325E1E" w:rsidP="00E34776">
            <w:pPr>
              <w:pStyle w:val="TableTextRight"/>
              <w:rPr>
                <w:rFonts w:cs="Arial"/>
                <w:szCs w:val="16"/>
              </w:rPr>
            </w:pPr>
            <w:r>
              <w:rPr>
                <w:rFonts w:cs="Arial"/>
                <w:szCs w:val="16"/>
              </w:rPr>
              <w:noBreakHyphen/>
            </w:r>
            <w:r w:rsidR="00A565CE" w:rsidRPr="00597C93">
              <w:rPr>
                <w:rFonts w:cs="Arial"/>
                <w:szCs w:val="16"/>
              </w:rPr>
              <w:t>24</w:t>
            </w:r>
          </w:p>
        </w:tc>
        <w:tc>
          <w:tcPr>
            <w:tcW w:w="813" w:type="dxa"/>
            <w:shd w:val="clear" w:color="auto" w:fill="E6F2FF"/>
            <w:noWrap/>
            <w:vAlign w:val="center"/>
            <w:hideMark/>
          </w:tcPr>
          <w:p w14:paraId="0DC1688A" w14:textId="16F334B8" w:rsidR="00A565CE" w:rsidRPr="00597C93" w:rsidRDefault="00A565CE" w:rsidP="00E34776">
            <w:pPr>
              <w:pStyle w:val="TableTextRight"/>
              <w:rPr>
                <w:rFonts w:cs="Arial"/>
                <w:szCs w:val="16"/>
              </w:rPr>
            </w:pPr>
            <w:r w:rsidRPr="00597C93">
              <w:rPr>
                <w:rFonts w:cs="Arial"/>
                <w:szCs w:val="16"/>
              </w:rPr>
              <w:t>2</w:t>
            </w:r>
          </w:p>
        </w:tc>
      </w:tr>
      <w:tr w:rsidR="00A565CE" w:rsidRPr="00E64B7D" w14:paraId="55F9B5CE" w14:textId="77777777" w:rsidTr="00117663">
        <w:trPr>
          <w:trHeight w:val="225"/>
        </w:trPr>
        <w:tc>
          <w:tcPr>
            <w:tcW w:w="4744" w:type="dxa"/>
            <w:shd w:val="clear" w:color="000000" w:fill="FFFFFF"/>
            <w:noWrap/>
            <w:vAlign w:val="center"/>
            <w:hideMark/>
          </w:tcPr>
          <w:p w14:paraId="198974A1" w14:textId="4EDAD842" w:rsidR="00A565CE" w:rsidRPr="00597C93" w:rsidRDefault="00A565CE" w:rsidP="0050354A">
            <w:pPr>
              <w:pStyle w:val="TableTextLeft"/>
              <w:rPr>
                <w:rFonts w:cs="Arial"/>
                <w:i/>
                <w:szCs w:val="16"/>
              </w:rPr>
            </w:pPr>
            <w:r w:rsidRPr="00597C93">
              <w:rPr>
                <w:rFonts w:cs="Arial"/>
                <w:i/>
                <w:szCs w:val="16"/>
              </w:rPr>
              <w:t>plus</w:t>
            </w:r>
            <w:r w:rsidRPr="00597C93">
              <w:rPr>
                <w:rFonts w:cs="Arial"/>
                <w:szCs w:val="16"/>
              </w:rPr>
              <w:t xml:space="preserve"> Other movements in non</w:t>
            </w:r>
            <w:r w:rsidR="00325E1E">
              <w:rPr>
                <w:rFonts w:cs="Arial"/>
                <w:szCs w:val="16"/>
              </w:rPr>
              <w:noBreakHyphen/>
            </w:r>
            <w:r w:rsidRPr="00597C93">
              <w:rPr>
                <w:rFonts w:cs="Arial"/>
                <w:szCs w:val="16"/>
              </w:rPr>
              <w:t>financial assets</w:t>
            </w:r>
          </w:p>
        </w:tc>
        <w:tc>
          <w:tcPr>
            <w:tcW w:w="2153" w:type="dxa"/>
            <w:gridSpan w:val="2"/>
            <w:shd w:val="clear" w:color="000000" w:fill="FFFFFF"/>
            <w:noWrap/>
            <w:vAlign w:val="center"/>
            <w:hideMark/>
          </w:tcPr>
          <w:p w14:paraId="494C1410" w14:textId="558F8E42" w:rsidR="00A565CE" w:rsidRPr="00597C93" w:rsidRDefault="00A565CE" w:rsidP="00E34776">
            <w:pPr>
              <w:pStyle w:val="TableTextRight"/>
              <w:rPr>
                <w:rFonts w:cs="Arial"/>
                <w:szCs w:val="16"/>
              </w:rPr>
            </w:pPr>
            <w:r w:rsidRPr="00597C93">
              <w:rPr>
                <w:rFonts w:cs="Arial"/>
                <w:szCs w:val="16"/>
              </w:rPr>
              <w:t>0</w:t>
            </w:r>
          </w:p>
        </w:tc>
        <w:tc>
          <w:tcPr>
            <w:tcW w:w="813" w:type="dxa"/>
            <w:shd w:val="clear" w:color="auto" w:fill="E6F2FF"/>
            <w:noWrap/>
            <w:vAlign w:val="center"/>
            <w:hideMark/>
          </w:tcPr>
          <w:p w14:paraId="06AA7FE9" w14:textId="6CC47936" w:rsidR="00A565CE" w:rsidRPr="00597C93" w:rsidRDefault="00A565CE" w:rsidP="00E34776">
            <w:pPr>
              <w:pStyle w:val="TableTextRight"/>
              <w:rPr>
                <w:rFonts w:cs="Arial"/>
                <w:szCs w:val="16"/>
              </w:rPr>
            </w:pPr>
            <w:r w:rsidRPr="00597C93">
              <w:rPr>
                <w:rFonts w:cs="Arial"/>
                <w:szCs w:val="16"/>
              </w:rPr>
              <w:t>1</w:t>
            </w:r>
          </w:p>
        </w:tc>
      </w:tr>
      <w:tr w:rsidR="00A565CE" w:rsidRPr="00E64B7D" w14:paraId="006F694B" w14:textId="77777777" w:rsidTr="00117663">
        <w:trPr>
          <w:trHeight w:val="225"/>
        </w:trPr>
        <w:tc>
          <w:tcPr>
            <w:tcW w:w="4744" w:type="dxa"/>
            <w:shd w:val="clear" w:color="000000" w:fill="FFFFFF"/>
            <w:noWrap/>
            <w:vAlign w:val="center"/>
            <w:hideMark/>
          </w:tcPr>
          <w:p w14:paraId="67C08776" w14:textId="75FF0223" w:rsidR="00A565CE" w:rsidRPr="00597C93" w:rsidRDefault="00A565CE" w:rsidP="0050354A">
            <w:pPr>
              <w:pStyle w:val="TableTextLeft"/>
              <w:rPr>
                <w:rFonts w:cs="Arial"/>
                <w:b/>
                <w:szCs w:val="16"/>
              </w:rPr>
            </w:pPr>
            <w:r w:rsidRPr="00597C93">
              <w:rPr>
                <w:rFonts w:cs="Arial"/>
                <w:b/>
                <w:szCs w:val="16"/>
              </w:rPr>
              <w:t>Total net acquisition of non</w:t>
            </w:r>
            <w:r w:rsidR="00325E1E">
              <w:rPr>
                <w:rFonts w:cs="Arial"/>
                <w:b/>
                <w:bCs/>
                <w:szCs w:val="16"/>
              </w:rPr>
              <w:noBreakHyphen/>
            </w:r>
            <w:r w:rsidRPr="00597C93">
              <w:rPr>
                <w:rFonts w:cs="Arial"/>
                <w:b/>
                <w:szCs w:val="16"/>
              </w:rPr>
              <w:t>financial assets</w:t>
            </w:r>
          </w:p>
        </w:tc>
        <w:tc>
          <w:tcPr>
            <w:tcW w:w="2153" w:type="dxa"/>
            <w:gridSpan w:val="2"/>
            <w:shd w:val="clear" w:color="000000" w:fill="FFFFFF"/>
            <w:noWrap/>
            <w:vAlign w:val="center"/>
            <w:hideMark/>
          </w:tcPr>
          <w:p w14:paraId="60199BB9" w14:textId="48D59FB7" w:rsidR="00A565CE" w:rsidRPr="00597C93" w:rsidRDefault="00A565CE" w:rsidP="00E34776">
            <w:pPr>
              <w:pStyle w:val="TableTextRight"/>
              <w:rPr>
                <w:rFonts w:cs="Arial"/>
                <w:b/>
                <w:szCs w:val="16"/>
              </w:rPr>
            </w:pPr>
            <w:r w:rsidRPr="00597C93">
              <w:rPr>
                <w:rFonts w:cs="Arial"/>
                <w:b/>
                <w:szCs w:val="16"/>
              </w:rPr>
              <w:t>6,670</w:t>
            </w:r>
          </w:p>
        </w:tc>
        <w:tc>
          <w:tcPr>
            <w:tcW w:w="813" w:type="dxa"/>
            <w:shd w:val="clear" w:color="auto" w:fill="E6F2FF"/>
            <w:noWrap/>
            <w:vAlign w:val="center"/>
            <w:hideMark/>
          </w:tcPr>
          <w:p w14:paraId="5177EA96" w14:textId="7AB13B28" w:rsidR="00A565CE" w:rsidRPr="00597C93" w:rsidRDefault="00A565CE" w:rsidP="00E34776">
            <w:pPr>
              <w:pStyle w:val="TableTextRight"/>
              <w:rPr>
                <w:rFonts w:cs="Arial"/>
                <w:b/>
                <w:szCs w:val="16"/>
              </w:rPr>
            </w:pPr>
            <w:r w:rsidRPr="00597C93">
              <w:rPr>
                <w:rFonts w:cs="Arial"/>
                <w:b/>
                <w:szCs w:val="16"/>
              </w:rPr>
              <w:t>7,892</w:t>
            </w:r>
          </w:p>
        </w:tc>
      </w:tr>
      <w:tr w:rsidR="00315504" w:rsidRPr="00E64B7D" w14:paraId="59A38E27" w14:textId="77777777" w:rsidTr="00117663">
        <w:trPr>
          <w:trHeight w:val="225"/>
        </w:trPr>
        <w:tc>
          <w:tcPr>
            <w:tcW w:w="4744" w:type="dxa"/>
            <w:shd w:val="clear" w:color="000000" w:fill="FFFFFF"/>
            <w:noWrap/>
            <w:vAlign w:val="center"/>
            <w:hideMark/>
          </w:tcPr>
          <w:p w14:paraId="3FC6760A" w14:textId="77777777" w:rsidR="00315504" w:rsidRPr="00597C93" w:rsidRDefault="00315504" w:rsidP="0050354A">
            <w:pPr>
              <w:pStyle w:val="TableTextLeft"/>
              <w:rPr>
                <w:rFonts w:cs="Arial"/>
                <w:b/>
                <w:szCs w:val="16"/>
              </w:rPr>
            </w:pPr>
            <w:r w:rsidRPr="00597C93">
              <w:rPr>
                <w:rFonts w:cs="Arial"/>
                <w:b/>
                <w:szCs w:val="16"/>
              </w:rPr>
              <w:t>Fiscal balance (Net lending/borrowing)(b)</w:t>
            </w:r>
          </w:p>
        </w:tc>
        <w:tc>
          <w:tcPr>
            <w:tcW w:w="2153" w:type="dxa"/>
            <w:gridSpan w:val="2"/>
            <w:shd w:val="clear" w:color="000000" w:fill="FFFFFF"/>
            <w:noWrap/>
            <w:vAlign w:val="center"/>
            <w:hideMark/>
          </w:tcPr>
          <w:p w14:paraId="3BAB306E" w14:textId="0D69848A" w:rsidR="00315504" w:rsidRPr="00597C93" w:rsidRDefault="00325E1E" w:rsidP="00E34776">
            <w:pPr>
              <w:pStyle w:val="TableTextRight"/>
              <w:rPr>
                <w:rFonts w:cs="Arial"/>
                <w:b/>
                <w:szCs w:val="16"/>
              </w:rPr>
            </w:pPr>
            <w:r>
              <w:rPr>
                <w:rFonts w:cs="Arial"/>
                <w:b/>
                <w:bCs/>
                <w:szCs w:val="16"/>
              </w:rPr>
              <w:noBreakHyphen/>
            </w:r>
            <w:r w:rsidR="00315504" w:rsidRPr="00597C93">
              <w:rPr>
                <w:rFonts w:cs="Arial"/>
                <w:b/>
                <w:szCs w:val="16"/>
              </w:rPr>
              <w:t>8,580</w:t>
            </w:r>
          </w:p>
        </w:tc>
        <w:tc>
          <w:tcPr>
            <w:tcW w:w="813" w:type="dxa"/>
            <w:shd w:val="clear" w:color="auto" w:fill="E6F2FF"/>
            <w:noWrap/>
            <w:vAlign w:val="center"/>
            <w:hideMark/>
          </w:tcPr>
          <w:p w14:paraId="316DBAC9" w14:textId="54533AB7" w:rsidR="00315504" w:rsidRPr="00597C93" w:rsidRDefault="00325E1E" w:rsidP="00E34776">
            <w:pPr>
              <w:pStyle w:val="TableTextRight"/>
              <w:rPr>
                <w:rFonts w:cs="Arial"/>
                <w:b/>
                <w:szCs w:val="16"/>
              </w:rPr>
            </w:pPr>
            <w:r>
              <w:rPr>
                <w:rFonts w:cs="Arial"/>
                <w:b/>
                <w:bCs/>
                <w:szCs w:val="16"/>
              </w:rPr>
              <w:noBreakHyphen/>
            </w:r>
            <w:r w:rsidR="00315504" w:rsidRPr="00597C93">
              <w:rPr>
                <w:rFonts w:cs="Arial"/>
                <w:b/>
                <w:szCs w:val="16"/>
              </w:rPr>
              <w:t>9,072</w:t>
            </w:r>
          </w:p>
        </w:tc>
      </w:tr>
    </w:tbl>
    <w:p w14:paraId="198CF104" w14:textId="77777777" w:rsidR="00D8138E" w:rsidRPr="00EA746C" w:rsidRDefault="00D8138E" w:rsidP="00D8138E">
      <w:pPr>
        <w:pStyle w:val="ChartandTableFootnoteAlpha"/>
        <w:numPr>
          <w:ilvl w:val="0"/>
          <w:numId w:val="10"/>
        </w:numPr>
      </w:pPr>
      <w:r w:rsidRPr="00EA746C">
        <w:t>Consistent with the ABS GFS classification, other employee related expenses are classified separately from wages and salaries under other operating expenses. Total employee expenses equal wages and salaries plus other operating expenses.</w:t>
      </w:r>
    </w:p>
    <w:p w14:paraId="4F06E0D2" w14:textId="77777777" w:rsidR="00D8138E" w:rsidRPr="00EA746C" w:rsidRDefault="00D8138E" w:rsidP="00D8138E">
      <w:pPr>
        <w:pStyle w:val="ChartandTableFootnoteAlpha"/>
        <w:numPr>
          <w:ilvl w:val="0"/>
          <w:numId w:val="10"/>
        </w:numPr>
      </w:pPr>
      <w:r w:rsidRPr="00EA746C">
        <w:t>The term fiscal balance is not used by the ABS.</w:t>
      </w:r>
    </w:p>
    <w:p w14:paraId="55EBC53C" w14:textId="77777777" w:rsidR="00D8138E" w:rsidRPr="00EA746C" w:rsidRDefault="00D8138E" w:rsidP="003C62EE">
      <w:pPr>
        <w:pStyle w:val="TableLine"/>
      </w:pPr>
    </w:p>
    <w:p w14:paraId="50FA6CAE" w14:textId="77777777" w:rsidR="00D8138E" w:rsidRPr="00EA746C" w:rsidRDefault="00D8138E" w:rsidP="00D8138E">
      <w:r w:rsidRPr="00EA746C">
        <w:br w:type="page"/>
      </w:r>
    </w:p>
    <w:p w14:paraId="32283FE7" w14:textId="60ECEC16"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9A548A">
        <w:t>10.</w:t>
      </w:r>
      <w:r w:rsidR="00B01184">
        <w:t>5</w:t>
      </w:r>
      <w:r w:rsidR="00D8138E" w:rsidRPr="00EA746C">
        <w:t>: Australian Government public non</w:t>
      </w:r>
      <w:r w:rsidR="00325E1E">
        <w:noBreakHyphen/>
      </w:r>
      <w:r w:rsidR="00D8138E" w:rsidRPr="00EA746C">
        <w:t>financial corporations sector balance sheet</w:t>
      </w:r>
    </w:p>
    <w:tbl>
      <w:tblPr>
        <w:tblW w:w="7711" w:type="dxa"/>
        <w:tblLayout w:type="fixed"/>
        <w:tblLook w:val="04A0" w:firstRow="1" w:lastRow="0" w:firstColumn="1" w:lastColumn="0" w:noHBand="0" w:noVBand="1"/>
      </w:tblPr>
      <w:tblGrid>
        <w:gridCol w:w="5501"/>
        <w:gridCol w:w="1105"/>
        <w:gridCol w:w="1105"/>
      </w:tblGrid>
      <w:tr w:rsidR="00A3596A" w:rsidRPr="00A3596A" w14:paraId="1D878664" w14:textId="77777777" w:rsidTr="0099234B">
        <w:trPr>
          <w:trHeight w:val="225"/>
        </w:trPr>
        <w:tc>
          <w:tcPr>
            <w:tcW w:w="5501" w:type="dxa"/>
            <w:tcBorders>
              <w:top w:val="single" w:sz="4" w:space="0" w:color="293F5B"/>
              <w:left w:val="nil"/>
              <w:bottom w:val="nil"/>
              <w:right w:val="nil"/>
            </w:tcBorders>
            <w:shd w:val="clear" w:color="000000" w:fill="FFFFFF"/>
            <w:noWrap/>
            <w:vAlign w:val="center"/>
            <w:hideMark/>
          </w:tcPr>
          <w:p w14:paraId="32194B4A" w14:textId="77777777" w:rsidR="00A3596A" w:rsidRPr="00A3596A" w:rsidRDefault="00A3596A" w:rsidP="004E0400">
            <w:pPr>
              <w:pStyle w:val="TableTextLeft"/>
            </w:pPr>
            <w:r w:rsidRPr="00A3596A">
              <w:t> </w:t>
            </w:r>
          </w:p>
        </w:tc>
        <w:tc>
          <w:tcPr>
            <w:tcW w:w="2210" w:type="dxa"/>
            <w:gridSpan w:val="2"/>
            <w:tcBorders>
              <w:top w:val="single" w:sz="4" w:space="0" w:color="293F5B"/>
              <w:left w:val="nil"/>
              <w:bottom w:val="single" w:sz="4" w:space="0" w:color="293F5B"/>
              <w:right w:val="nil"/>
            </w:tcBorders>
            <w:shd w:val="clear" w:color="000000" w:fill="FFFFFF"/>
            <w:noWrap/>
            <w:vAlign w:val="center"/>
            <w:hideMark/>
          </w:tcPr>
          <w:p w14:paraId="75D59379" w14:textId="06F7A882" w:rsidR="00A3596A" w:rsidRPr="00A3596A" w:rsidRDefault="00CD1CC7" w:rsidP="00CD1CC7">
            <w:pPr>
              <w:pStyle w:val="TableTextCentred"/>
            </w:pPr>
            <w:r w:rsidRPr="00A3596A">
              <w:t>Estimates</w:t>
            </w:r>
          </w:p>
        </w:tc>
      </w:tr>
      <w:tr w:rsidR="00A3596A" w:rsidRPr="00A3596A" w14:paraId="672A07AA" w14:textId="77777777" w:rsidTr="0099234B">
        <w:trPr>
          <w:trHeight w:val="225"/>
        </w:trPr>
        <w:tc>
          <w:tcPr>
            <w:tcW w:w="5501" w:type="dxa"/>
            <w:tcBorders>
              <w:top w:val="nil"/>
              <w:left w:val="nil"/>
              <w:bottom w:val="nil"/>
              <w:right w:val="nil"/>
            </w:tcBorders>
            <w:shd w:val="clear" w:color="000000" w:fill="FFFFFF"/>
            <w:noWrap/>
            <w:vAlign w:val="center"/>
            <w:hideMark/>
          </w:tcPr>
          <w:p w14:paraId="733B6080" w14:textId="77777777" w:rsidR="00A3596A" w:rsidRPr="00A3596A" w:rsidRDefault="00A3596A" w:rsidP="004E0400">
            <w:pPr>
              <w:pStyle w:val="TableTextLeft"/>
            </w:pPr>
            <w:r w:rsidRPr="00A3596A">
              <w:t> </w:t>
            </w:r>
          </w:p>
        </w:tc>
        <w:tc>
          <w:tcPr>
            <w:tcW w:w="1105" w:type="dxa"/>
            <w:tcBorders>
              <w:top w:val="nil"/>
              <w:left w:val="nil"/>
              <w:bottom w:val="nil"/>
              <w:right w:val="nil"/>
            </w:tcBorders>
            <w:shd w:val="clear" w:color="000000" w:fill="FFFFFF"/>
            <w:noWrap/>
            <w:vAlign w:val="center"/>
            <w:hideMark/>
          </w:tcPr>
          <w:p w14:paraId="47F1F4DA" w14:textId="72C2E0C2" w:rsidR="00A3596A" w:rsidRPr="00A3596A" w:rsidRDefault="00A3596A" w:rsidP="00CD1CC7">
            <w:pPr>
              <w:pStyle w:val="TableTextRight"/>
            </w:pPr>
            <w:r w:rsidRPr="00A3596A">
              <w:t>2023</w:t>
            </w:r>
            <w:r w:rsidR="00325E1E">
              <w:noBreakHyphen/>
            </w:r>
            <w:r w:rsidRPr="00A3596A">
              <w:t>24</w:t>
            </w:r>
          </w:p>
        </w:tc>
        <w:tc>
          <w:tcPr>
            <w:tcW w:w="1105" w:type="dxa"/>
            <w:tcBorders>
              <w:top w:val="nil"/>
              <w:left w:val="nil"/>
              <w:bottom w:val="nil"/>
              <w:right w:val="nil"/>
            </w:tcBorders>
            <w:shd w:val="clear" w:color="000000" w:fill="E6F2FF"/>
            <w:noWrap/>
            <w:vAlign w:val="center"/>
            <w:hideMark/>
          </w:tcPr>
          <w:p w14:paraId="284B2DD5" w14:textId="4F0DB688" w:rsidR="00A3596A" w:rsidRPr="00A3596A" w:rsidRDefault="00A3596A" w:rsidP="00CD1CC7">
            <w:pPr>
              <w:pStyle w:val="TableTextRight"/>
            </w:pPr>
            <w:r w:rsidRPr="00A3596A">
              <w:t>2024</w:t>
            </w:r>
            <w:r w:rsidR="00325E1E">
              <w:noBreakHyphen/>
            </w:r>
            <w:r w:rsidRPr="00A3596A">
              <w:t>25</w:t>
            </w:r>
          </w:p>
        </w:tc>
      </w:tr>
      <w:tr w:rsidR="00A3596A" w:rsidRPr="00A3596A" w14:paraId="23C2485A" w14:textId="77777777" w:rsidTr="0099234B">
        <w:trPr>
          <w:trHeight w:val="225"/>
        </w:trPr>
        <w:tc>
          <w:tcPr>
            <w:tcW w:w="5501" w:type="dxa"/>
            <w:tcBorders>
              <w:top w:val="nil"/>
              <w:left w:val="nil"/>
              <w:bottom w:val="nil"/>
              <w:right w:val="nil"/>
            </w:tcBorders>
            <w:shd w:val="clear" w:color="000000" w:fill="FFFFFF"/>
            <w:noWrap/>
            <w:vAlign w:val="center"/>
            <w:hideMark/>
          </w:tcPr>
          <w:p w14:paraId="5274E2F1" w14:textId="77777777" w:rsidR="00A3596A" w:rsidRPr="00A3596A" w:rsidRDefault="00A3596A" w:rsidP="004E0400">
            <w:pPr>
              <w:pStyle w:val="TableTextLeft"/>
            </w:pPr>
            <w:r w:rsidRPr="00A3596A">
              <w:t> </w:t>
            </w:r>
          </w:p>
        </w:tc>
        <w:tc>
          <w:tcPr>
            <w:tcW w:w="1105" w:type="dxa"/>
            <w:tcBorders>
              <w:top w:val="nil"/>
              <w:left w:val="nil"/>
              <w:bottom w:val="single" w:sz="4" w:space="0" w:color="293F5B"/>
              <w:right w:val="nil"/>
            </w:tcBorders>
            <w:shd w:val="clear" w:color="000000" w:fill="FFFFFF"/>
            <w:noWrap/>
            <w:vAlign w:val="center"/>
            <w:hideMark/>
          </w:tcPr>
          <w:p w14:paraId="69331DC0" w14:textId="77777777" w:rsidR="00A3596A" w:rsidRPr="00A3596A" w:rsidRDefault="00A3596A" w:rsidP="00CD1CC7">
            <w:pPr>
              <w:pStyle w:val="TableTextRight"/>
            </w:pPr>
            <w:r w:rsidRPr="00A3596A">
              <w:t>$m</w:t>
            </w:r>
          </w:p>
        </w:tc>
        <w:tc>
          <w:tcPr>
            <w:tcW w:w="1105" w:type="dxa"/>
            <w:tcBorders>
              <w:top w:val="nil"/>
              <w:left w:val="nil"/>
              <w:bottom w:val="single" w:sz="4" w:space="0" w:color="293F5B"/>
              <w:right w:val="nil"/>
            </w:tcBorders>
            <w:shd w:val="clear" w:color="000000" w:fill="E6F2FF"/>
            <w:noWrap/>
            <w:vAlign w:val="center"/>
            <w:hideMark/>
          </w:tcPr>
          <w:p w14:paraId="690945A9" w14:textId="77777777" w:rsidR="00A3596A" w:rsidRPr="00A3596A" w:rsidRDefault="00A3596A" w:rsidP="00CD1CC7">
            <w:pPr>
              <w:pStyle w:val="TableTextRight"/>
            </w:pPr>
            <w:r w:rsidRPr="00A3596A">
              <w:t>$m</w:t>
            </w:r>
          </w:p>
        </w:tc>
      </w:tr>
      <w:tr w:rsidR="00A3596A" w:rsidRPr="00A3596A" w14:paraId="7D44D47E" w14:textId="77777777" w:rsidTr="0099234B">
        <w:trPr>
          <w:trHeight w:val="225"/>
        </w:trPr>
        <w:tc>
          <w:tcPr>
            <w:tcW w:w="5501" w:type="dxa"/>
            <w:tcBorders>
              <w:top w:val="nil"/>
              <w:left w:val="nil"/>
              <w:bottom w:val="nil"/>
              <w:right w:val="nil"/>
            </w:tcBorders>
            <w:shd w:val="clear" w:color="000000" w:fill="FFFFFF"/>
            <w:noWrap/>
            <w:vAlign w:val="center"/>
            <w:hideMark/>
          </w:tcPr>
          <w:p w14:paraId="6F5E6402" w14:textId="77777777" w:rsidR="00A3596A" w:rsidRPr="00CD1932" w:rsidRDefault="00A3596A" w:rsidP="004E0400">
            <w:pPr>
              <w:pStyle w:val="TableTextLeft"/>
              <w:rPr>
                <w:rFonts w:cs="Arial"/>
                <w:b/>
                <w:szCs w:val="16"/>
              </w:rPr>
            </w:pPr>
            <w:r w:rsidRPr="00CD1932">
              <w:rPr>
                <w:rFonts w:cs="Arial"/>
                <w:b/>
                <w:szCs w:val="16"/>
              </w:rPr>
              <w:t>Assets</w:t>
            </w:r>
          </w:p>
        </w:tc>
        <w:tc>
          <w:tcPr>
            <w:tcW w:w="1105" w:type="dxa"/>
            <w:tcBorders>
              <w:top w:val="nil"/>
              <w:left w:val="nil"/>
              <w:bottom w:val="nil"/>
              <w:right w:val="nil"/>
            </w:tcBorders>
            <w:shd w:val="clear" w:color="000000" w:fill="FFFFFF"/>
            <w:noWrap/>
            <w:vAlign w:val="center"/>
            <w:hideMark/>
          </w:tcPr>
          <w:p w14:paraId="132F8D3A"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22499E26" w14:textId="77777777" w:rsidR="00A3596A" w:rsidRPr="00CD1932" w:rsidRDefault="00A3596A" w:rsidP="00CD1CC7">
            <w:pPr>
              <w:pStyle w:val="TableTextRight"/>
              <w:rPr>
                <w:rFonts w:cs="Arial"/>
                <w:szCs w:val="16"/>
              </w:rPr>
            </w:pPr>
            <w:r w:rsidRPr="00CD1932">
              <w:rPr>
                <w:rFonts w:cs="Arial"/>
                <w:szCs w:val="16"/>
              </w:rPr>
              <w:t> </w:t>
            </w:r>
          </w:p>
        </w:tc>
      </w:tr>
      <w:tr w:rsidR="00A3596A" w:rsidRPr="00A3596A" w14:paraId="7DD620C1" w14:textId="77777777" w:rsidTr="0099234B">
        <w:trPr>
          <w:trHeight w:val="225"/>
        </w:trPr>
        <w:tc>
          <w:tcPr>
            <w:tcW w:w="5501" w:type="dxa"/>
            <w:tcBorders>
              <w:top w:val="nil"/>
              <w:left w:val="nil"/>
              <w:bottom w:val="nil"/>
              <w:right w:val="nil"/>
            </w:tcBorders>
            <w:shd w:val="clear" w:color="000000" w:fill="FFFFFF"/>
            <w:noWrap/>
            <w:vAlign w:val="center"/>
            <w:hideMark/>
          </w:tcPr>
          <w:p w14:paraId="5498EAEC" w14:textId="77777777" w:rsidR="00A3596A" w:rsidRPr="00CD1932" w:rsidRDefault="00A3596A" w:rsidP="004E0400">
            <w:pPr>
              <w:pStyle w:val="TableTextLeft"/>
              <w:rPr>
                <w:rFonts w:cs="Arial"/>
                <w:szCs w:val="16"/>
              </w:rPr>
            </w:pPr>
            <w:r w:rsidRPr="00CD1932">
              <w:rPr>
                <w:rFonts w:cs="Arial"/>
                <w:szCs w:val="16"/>
              </w:rPr>
              <w:t>Financial assets</w:t>
            </w:r>
          </w:p>
        </w:tc>
        <w:tc>
          <w:tcPr>
            <w:tcW w:w="1105" w:type="dxa"/>
            <w:tcBorders>
              <w:top w:val="nil"/>
              <w:left w:val="nil"/>
              <w:bottom w:val="nil"/>
              <w:right w:val="nil"/>
            </w:tcBorders>
            <w:shd w:val="clear" w:color="000000" w:fill="FFFFFF"/>
            <w:noWrap/>
            <w:vAlign w:val="center"/>
            <w:hideMark/>
          </w:tcPr>
          <w:p w14:paraId="09793109"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095ADCD2" w14:textId="77777777" w:rsidR="00A3596A" w:rsidRPr="00CD1932" w:rsidRDefault="00A3596A" w:rsidP="00CD1CC7">
            <w:pPr>
              <w:pStyle w:val="TableTextRight"/>
              <w:rPr>
                <w:rFonts w:cs="Arial"/>
                <w:szCs w:val="16"/>
              </w:rPr>
            </w:pPr>
            <w:r w:rsidRPr="00CD1932">
              <w:rPr>
                <w:rFonts w:cs="Arial"/>
                <w:szCs w:val="16"/>
              </w:rPr>
              <w:t> </w:t>
            </w:r>
          </w:p>
        </w:tc>
      </w:tr>
      <w:tr w:rsidR="00850CBC" w:rsidRPr="00A3596A" w14:paraId="321F59ED" w14:textId="77777777" w:rsidTr="0099234B">
        <w:trPr>
          <w:trHeight w:val="225"/>
        </w:trPr>
        <w:tc>
          <w:tcPr>
            <w:tcW w:w="5501" w:type="dxa"/>
            <w:tcBorders>
              <w:top w:val="nil"/>
              <w:left w:val="nil"/>
              <w:bottom w:val="nil"/>
              <w:right w:val="nil"/>
            </w:tcBorders>
            <w:shd w:val="clear" w:color="000000" w:fill="FFFFFF"/>
            <w:noWrap/>
            <w:vAlign w:val="center"/>
            <w:hideMark/>
          </w:tcPr>
          <w:p w14:paraId="1AB37C5C" w14:textId="77777777" w:rsidR="00850CBC" w:rsidRPr="00CD1932" w:rsidRDefault="00850CBC" w:rsidP="007656D8">
            <w:pPr>
              <w:pStyle w:val="TableTextIndented"/>
              <w:rPr>
                <w:rFonts w:cs="Arial"/>
                <w:szCs w:val="16"/>
              </w:rPr>
            </w:pPr>
            <w:r w:rsidRPr="00CD1932">
              <w:rPr>
                <w:rFonts w:cs="Arial"/>
                <w:szCs w:val="16"/>
              </w:rPr>
              <w:t>Cash and deposits</w:t>
            </w:r>
          </w:p>
        </w:tc>
        <w:tc>
          <w:tcPr>
            <w:tcW w:w="1105" w:type="dxa"/>
            <w:tcBorders>
              <w:top w:val="nil"/>
              <w:left w:val="nil"/>
              <w:bottom w:val="nil"/>
              <w:right w:val="nil"/>
            </w:tcBorders>
            <w:shd w:val="clear" w:color="000000" w:fill="FFFFFF"/>
            <w:noWrap/>
            <w:vAlign w:val="center"/>
            <w:hideMark/>
          </w:tcPr>
          <w:p w14:paraId="72B68CCB" w14:textId="2B1897F6" w:rsidR="00850CBC" w:rsidRPr="00CD1932" w:rsidRDefault="00850CBC" w:rsidP="00CD1CC7">
            <w:pPr>
              <w:pStyle w:val="TableTextRight"/>
              <w:rPr>
                <w:rFonts w:cs="Arial"/>
                <w:szCs w:val="16"/>
              </w:rPr>
            </w:pPr>
            <w:r w:rsidRPr="00CD1932">
              <w:rPr>
                <w:rFonts w:cs="Arial"/>
                <w:szCs w:val="16"/>
              </w:rPr>
              <w:t>1,335</w:t>
            </w:r>
          </w:p>
        </w:tc>
        <w:tc>
          <w:tcPr>
            <w:tcW w:w="1105" w:type="dxa"/>
            <w:tcBorders>
              <w:top w:val="nil"/>
              <w:left w:val="nil"/>
              <w:bottom w:val="nil"/>
              <w:right w:val="nil"/>
            </w:tcBorders>
            <w:shd w:val="clear" w:color="000000" w:fill="E6F2FF"/>
            <w:noWrap/>
            <w:vAlign w:val="center"/>
            <w:hideMark/>
          </w:tcPr>
          <w:p w14:paraId="60442A80" w14:textId="01F8855F" w:rsidR="00850CBC" w:rsidRPr="00CD1932" w:rsidRDefault="00850CBC" w:rsidP="00CD1CC7">
            <w:pPr>
              <w:pStyle w:val="TableTextRight"/>
              <w:rPr>
                <w:rFonts w:cs="Arial"/>
                <w:szCs w:val="16"/>
              </w:rPr>
            </w:pPr>
            <w:r w:rsidRPr="00CD1932">
              <w:rPr>
                <w:rFonts w:cs="Arial"/>
                <w:szCs w:val="16"/>
              </w:rPr>
              <w:t>1,533</w:t>
            </w:r>
          </w:p>
        </w:tc>
      </w:tr>
      <w:tr w:rsidR="00850CBC" w:rsidRPr="00A3596A" w14:paraId="23DADD59" w14:textId="77777777" w:rsidTr="0099234B">
        <w:trPr>
          <w:trHeight w:val="225"/>
        </w:trPr>
        <w:tc>
          <w:tcPr>
            <w:tcW w:w="5501" w:type="dxa"/>
            <w:tcBorders>
              <w:top w:val="nil"/>
              <w:left w:val="nil"/>
              <w:bottom w:val="nil"/>
              <w:right w:val="nil"/>
            </w:tcBorders>
            <w:shd w:val="clear" w:color="000000" w:fill="FFFFFF"/>
            <w:noWrap/>
            <w:vAlign w:val="center"/>
            <w:hideMark/>
          </w:tcPr>
          <w:p w14:paraId="77C9A260" w14:textId="77777777" w:rsidR="00850CBC" w:rsidRPr="00CD1932" w:rsidRDefault="00850CBC" w:rsidP="007656D8">
            <w:pPr>
              <w:pStyle w:val="TableTextIndented"/>
              <w:rPr>
                <w:rFonts w:cs="Arial"/>
                <w:szCs w:val="16"/>
              </w:rPr>
            </w:pPr>
            <w:r w:rsidRPr="00CD1932">
              <w:rPr>
                <w:rFonts w:cs="Arial"/>
                <w:szCs w:val="16"/>
              </w:rPr>
              <w:t>Investments, loans and placements</w:t>
            </w:r>
          </w:p>
        </w:tc>
        <w:tc>
          <w:tcPr>
            <w:tcW w:w="1105" w:type="dxa"/>
            <w:tcBorders>
              <w:top w:val="nil"/>
              <w:left w:val="nil"/>
              <w:bottom w:val="nil"/>
              <w:right w:val="nil"/>
            </w:tcBorders>
            <w:shd w:val="clear" w:color="000000" w:fill="FFFFFF"/>
            <w:noWrap/>
            <w:vAlign w:val="center"/>
            <w:hideMark/>
          </w:tcPr>
          <w:p w14:paraId="0D672F72" w14:textId="36734851" w:rsidR="00850CBC" w:rsidRPr="00CD1932" w:rsidRDefault="00850CBC" w:rsidP="00CD1CC7">
            <w:pPr>
              <w:pStyle w:val="TableTextRight"/>
              <w:rPr>
                <w:rFonts w:cs="Arial"/>
                <w:szCs w:val="16"/>
              </w:rPr>
            </w:pPr>
            <w:r w:rsidRPr="00CD1932">
              <w:rPr>
                <w:rFonts w:cs="Arial"/>
                <w:szCs w:val="16"/>
              </w:rPr>
              <w:t>743</w:t>
            </w:r>
          </w:p>
        </w:tc>
        <w:tc>
          <w:tcPr>
            <w:tcW w:w="1105" w:type="dxa"/>
            <w:tcBorders>
              <w:top w:val="nil"/>
              <w:left w:val="nil"/>
              <w:bottom w:val="nil"/>
              <w:right w:val="nil"/>
            </w:tcBorders>
            <w:shd w:val="clear" w:color="000000" w:fill="E6F2FF"/>
            <w:noWrap/>
            <w:vAlign w:val="center"/>
            <w:hideMark/>
          </w:tcPr>
          <w:p w14:paraId="4A93D18D" w14:textId="3AFD4F0D" w:rsidR="00850CBC" w:rsidRPr="00CD1932" w:rsidRDefault="00850CBC" w:rsidP="00CD1CC7">
            <w:pPr>
              <w:pStyle w:val="TableTextRight"/>
              <w:rPr>
                <w:rFonts w:cs="Arial"/>
                <w:szCs w:val="16"/>
              </w:rPr>
            </w:pPr>
            <w:r w:rsidRPr="00CD1932">
              <w:rPr>
                <w:rFonts w:cs="Arial"/>
                <w:szCs w:val="16"/>
              </w:rPr>
              <w:t>1,169</w:t>
            </w:r>
          </w:p>
        </w:tc>
      </w:tr>
      <w:tr w:rsidR="00850CBC" w:rsidRPr="00A3596A" w14:paraId="4F91E611" w14:textId="77777777" w:rsidTr="0099234B">
        <w:trPr>
          <w:trHeight w:val="225"/>
        </w:trPr>
        <w:tc>
          <w:tcPr>
            <w:tcW w:w="5501" w:type="dxa"/>
            <w:tcBorders>
              <w:top w:val="nil"/>
              <w:left w:val="nil"/>
              <w:bottom w:val="nil"/>
              <w:right w:val="nil"/>
            </w:tcBorders>
            <w:shd w:val="clear" w:color="000000" w:fill="FFFFFF"/>
            <w:noWrap/>
            <w:vAlign w:val="center"/>
            <w:hideMark/>
          </w:tcPr>
          <w:p w14:paraId="1E6A71FB" w14:textId="77777777" w:rsidR="00850CBC" w:rsidRPr="00CD1932" w:rsidRDefault="00850CBC" w:rsidP="007656D8">
            <w:pPr>
              <w:pStyle w:val="TableTextIndented"/>
              <w:rPr>
                <w:rFonts w:cs="Arial"/>
                <w:szCs w:val="16"/>
              </w:rPr>
            </w:pPr>
            <w:r w:rsidRPr="00CD1932">
              <w:rPr>
                <w:rFonts w:cs="Arial"/>
                <w:szCs w:val="16"/>
              </w:rPr>
              <w:t>Other receivables</w:t>
            </w:r>
          </w:p>
        </w:tc>
        <w:tc>
          <w:tcPr>
            <w:tcW w:w="1105" w:type="dxa"/>
            <w:tcBorders>
              <w:top w:val="nil"/>
              <w:left w:val="nil"/>
              <w:bottom w:val="nil"/>
              <w:right w:val="nil"/>
            </w:tcBorders>
            <w:shd w:val="clear" w:color="000000" w:fill="FFFFFF"/>
            <w:noWrap/>
            <w:vAlign w:val="center"/>
            <w:hideMark/>
          </w:tcPr>
          <w:p w14:paraId="74A36B12" w14:textId="66DE0A89" w:rsidR="00850CBC" w:rsidRPr="00CD1932" w:rsidRDefault="00850CBC" w:rsidP="00CD1CC7">
            <w:pPr>
              <w:pStyle w:val="TableTextRight"/>
              <w:rPr>
                <w:rFonts w:cs="Arial"/>
                <w:szCs w:val="16"/>
              </w:rPr>
            </w:pPr>
            <w:r w:rsidRPr="00CD1932">
              <w:rPr>
                <w:rFonts w:cs="Arial"/>
                <w:szCs w:val="16"/>
              </w:rPr>
              <w:t>6,163</w:t>
            </w:r>
          </w:p>
        </w:tc>
        <w:tc>
          <w:tcPr>
            <w:tcW w:w="1105" w:type="dxa"/>
            <w:tcBorders>
              <w:top w:val="nil"/>
              <w:left w:val="nil"/>
              <w:bottom w:val="nil"/>
              <w:right w:val="nil"/>
            </w:tcBorders>
            <w:shd w:val="clear" w:color="000000" w:fill="E6F2FF"/>
            <w:noWrap/>
            <w:vAlign w:val="center"/>
            <w:hideMark/>
          </w:tcPr>
          <w:p w14:paraId="3C4F76EB" w14:textId="13FA76FC" w:rsidR="00850CBC" w:rsidRPr="00CD1932" w:rsidRDefault="00850CBC" w:rsidP="00CD1CC7">
            <w:pPr>
              <w:pStyle w:val="TableTextRight"/>
              <w:rPr>
                <w:rFonts w:cs="Arial"/>
                <w:szCs w:val="16"/>
              </w:rPr>
            </w:pPr>
            <w:r w:rsidRPr="00CD1932">
              <w:rPr>
                <w:rFonts w:cs="Arial"/>
                <w:szCs w:val="16"/>
              </w:rPr>
              <w:t>6,216</w:t>
            </w:r>
          </w:p>
        </w:tc>
      </w:tr>
      <w:tr w:rsidR="00850CBC" w:rsidRPr="00A3596A" w14:paraId="36D0B0C4" w14:textId="77777777" w:rsidTr="0099234B">
        <w:trPr>
          <w:trHeight w:val="225"/>
        </w:trPr>
        <w:tc>
          <w:tcPr>
            <w:tcW w:w="5501" w:type="dxa"/>
            <w:tcBorders>
              <w:top w:val="nil"/>
              <w:left w:val="nil"/>
              <w:bottom w:val="nil"/>
              <w:right w:val="nil"/>
            </w:tcBorders>
            <w:shd w:val="clear" w:color="000000" w:fill="FFFFFF"/>
            <w:noWrap/>
            <w:vAlign w:val="center"/>
            <w:hideMark/>
          </w:tcPr>
          <w:p w14:paraId="2B340C12" w14:textId="77777777" w:rsidR="00850CBC" w:rsidRPr="00CD1932" w:rsidRDefault="00850CBC" w:rsidP="007656D8">
            <w:pPr>
              <w:pStyle w:val="TableTextIndented"/>
              <w:rPr>
                <w:rFonts w:cs="Arial"/>
                <w:szCs w:val="16"/>
              </w:rPr>
            </w:pPr>
            <w:r w:rsidRPr="00CD1932">
              <w:rPr>
                <w:rFonts w:cs="Arial"/>
                <w:szCs w:val="16"/>
              </w:rPr>
              <w:t>Equity investments</w:t>
            </w:r>
          </w:p>
        </w:tc>
        <w:tc>
          <w:tcPr>
            <w:tcW w:w="1105" w:type="dxa"/>
            <w:tcBorders>
              <w:top w:val="nil"/>
              <w:left w:val="nil"/>
              <w:bottom w:val="nil"/>
              <w:right w:val="nil"/>
            </w:tcBorders>
            <w:shd w:val="clear" w:color="000000" w:fill="FFFFFF"/>
            <w:noWrap/>
            <w:vAlign w:val="center"/>
            <w:hideMark/>
          </w:tcPr>
          <w:p w14:paraId="06BFC59D" w14:textId="1B4AAA71" w:rsidR="00850CBC" w:rsidRPr="00CD1932" w:rsidRDefault="00850CBC" w:rsidP="00CD1CC7">
            <w:pPr>
              <w:pStyle w:val="TableTextRight"/>
              <w:rPr>
                <w:rFonts w:cs="Arial"/>
                <w:szCs w:val="16"/>
              </w:rPr>
            </w:pPr>
            <w:r w:rsidRPr="00CD1932">
              <w:rPr>
                <w:rFonts w:cs="Arial"/>
                <w:szCs w:val="16"/>
              </w:rPr>
              <w:t>324</w:t>
            </w:r>
          </w:p>
        </w:tc>
        <w:tc>
          <w:tcPr>
            <w:tcW w:w="1105" w:type="dxa"/>
            <w:tcBorders>
              <w:top w:val="nil"/>
              <w:left w:val="nil"/>
              <w:bottom w:val="nil"/>
              <w:right w:val="nil"/>
            </w:tcBorders>
            <w:shd w:val="clear" w:color="000000" w:fill="E6F2FF"/>
            <w:noWrap/>
            <w:vAlign w:val="center"/>
            <w:hideMark/>
          </w:tcPr>
          <w:p w14:paraId="060CDEEC" w14:textId="4181F924" w:rsidR="00850CBC" w:rsidRPr="00CD1932" w:rsidRDefault="00850CBC" w:rsidP="00CD1CC7">
            <w:pPr>
              <w:pStyle w:val="TableTextRight"/>
              <w:rPr>
                <w:rFonts w:cs="Arial"/>
                <w:szCs w:val="16"/>
              </w:rPr>
            </w:pPr>
            <w:r w:rsidRPr="00CD1932">
              <w:rPr>
                <w:rFonts w:cs="Arial"/>
                <w:szCs w:val="16"/>
              </w:rPr>
              <w:t>340</w:t>
            </w:r>
          </w:p>
        </w:tc>
      </w:tr>
      <w:tr w:rsidR="00850CBC" w:rsidRPr="00A3596A" w14:paraId="322B21EC" w14:textId="77777777" w:rsidTr="0099234B">
        <w:trPr>
          <w:trHeight w:val="225"/>
        </w:trPr>
        <w:tc>
          <w:tcPr>
            <w:tcW w:w="5501" w:type="dxa"/>
            <w:tcBorders>
              <w:top w:val="nil"/>
              <w:left w:val="nil"/>
              <w:bottom w:val="nil"/>
              <w:right w:val="nil"/>
            </w:tcBorders>
            <w:shd w:val="clear" w:color="000000" w:fill="FFFFFF"/>
            <w:noWrap/>
            <w:vAlign w:val="center"/>
            <w:hideMark/>
          </w:tcPr>
          <w:p w14:paraId="7F1A2F68" w14:textId="77777777" w:rsidR="00850CBC" w:rsidRPr="00CD1932" w:rsidRDefault="00850CBC" w:rsidP="004E0400">
            <w:pPr>
              <w:pStyle w:val="TableTextLeft"/>
              <w:rPr>
                <w:rFonts w:cs="Arial"/>
                <w:i/>
                <w:szCs w:val="16"/>
              </w:rPr>
            </w:pPr>
            <w:r w:rsidRPr="00CD1932">
              <w:rPr>
                <w:rFonts w:cs="Arial"/>
                <w:i/>
                <w:szCs w:val="16"/>
              </w:rPr>
              <w:t>Total financial assets</w:t>
            </w:r>
          </w:p>
        </w:tc>
        <w:tc>
          <w:tcPr>
            <w:tcW w:w="1105" w:type="dxa"/>
            <w:tcBorders>
              <w:top w:val="nil"/>
              <w:left w:val="nil"/>
              <w:bottom w:val="nil"/>
              <w:right w:val="nil"/>
            </w:tcBorders>
            <w:shd w:val="clear" w:color="000000" w:fill="FFFFFF"/>
            <w:noWrap/>
            <w:vAlign w:val="center"/>
            <w:hideMark/>
          </w:tcPr>
          <w:p w14:paraId="2A99B1AD" w14:textId="51928848" w:rsidR="00850CBC" w:rsidRPr="00CD1932" w:rsidRDefault="00850CBC" w:rsidP="00CD1CC7">
            <w:pPr>
              <w:pStyle w:val="TableTextRight"/>
              <w:rPr>
                <w:rFonts w:cs="Arial"/>
                <w:i/>
                <w:szCs w:val="16"/>
              </w:rPr>
            </w:pPr>
            <w:r w:rsidRPr="00CD1932">
              <w:rPr>
                <w:rFonts w:cs="Arial"/>
                <w:i/>
                <w:szCs w:val="16"/>
              </w:rPr>
              <w:t>8,566</w:t>
            </w:r>
          </w:p>
        </w:tc>
        <w:tc>
          <w:tcPr>
            <w:tcW w:w="1105" w:type="dxa"/>
            <w:tcBorders>
              <w:top w:val="nil"/>
              <w:left w:val="nil"/>
              <w:bottom w:val="nil"/>
              <w:right w:val="nil"/>
            </w:tcBorders>
            <w:shd w:val="clear" w:color="000000" w:fill="E6F2FF"/>
            <w:noWrap/>
            <w:vAlign w:val="center"/>
            <w:hideMark/>
          </w:tcPr>
          <w:p w14:paraId="65420E4A" w14:textId="2A8F235C" w:rsidR="00850CBC" w:rsidRPr="00CD1932" w:rsidRDefault="00850CBC" w:rsidP="00CD1CC7">
            <w:pPr>
              <w:pStyle w:val="TableTextRight"/>
              <w:rPr>
                <w:rFonts w:cs="Arial"/>
                <w:i/>
                <w:szCs w:val="16"/>
              </w:rPr>
            </w:pPr>
            <w:r w:rsidRPr="00CD1932">
              <w:rPr>
                <w:rFonts w:cs="Arial"/>
                <w:i/>
                <w:szCs w:val="16"/>
              </w:rPr>
              <w:t>9,258</w:t>
            </w:r>
          </w:p>
        </w:tc>
      </w:tr>
      <w:tr w:rsidR="00A3596A" w:rsidRPr="00A3596A" w14:paraId="56DA9DC1" w14:textId="77777777" w:rsidTr="0099234B">
        <w:trPr>
          <w:trHeight w:val="225"/>
        </w:trPr>
        <w:tc>
          <w:tcPr>
            <w:tcW w:w="5501" w:type="dxa"/>
            <w:tcBorders>
              <w:top w:val="nil"/>
              <w:left w:val="nil"/>
              <w:bottom w:val="nil"/>
              <w:right w:val="nil"/>
            </w:tcBorders>
            <w:shd w:val="clear" w:color="000000" w:fill="FFFFFF"/>
            <w:noWrap/>
            <w:vAlign w:val="center"/>
            <w:hideMark/>
          </w:tcPr>
          <w:p w14:paraId="3BC129EF" w14:textId="6048F4D7" w:rsidR="00A3596A" w:rsidRPr="00CD1932" w:rsidRDefault="00A3596A" w:rsidP="004E0400">
            <w:pPr>
              <w:pStyle w:val="TableTextLeft"/>
              <w:rPr>
                <w:rFonts w:cs="Arial"/>
                <w:szCs w:val="16"/>
              </w:rPr>
            </w:pPr>
            <w:r w:rsidRPr="00CD1932">
              <w:rPr>
                <w:rFonts w:cs="Arial"/>
                <w:szCs w:val="16"/>
              </w:rPr>
              <w:t>Non</w:t>
            </w:r>
            <w:r w:rsidR="00325E1E">
              <w:rPr>
                <w:rFonts w:cs="Arial"/>
                <w:szCs w:val="16"/>
              </w:rPr>
              <w:noBreakHyphen/>
            </w:r>
            <w:r w:rsidRPr="00CD1932">
              <w:rPr>
                <w:rFonts w:cs="Arial"/>
                <w:szCs w:val="16"/>
              </w:rPr>
              <w:t>financial assets</w:t>
            </w:r>
          </w:p>
        </w:tc>
        <w:tc>
          <w:tcPr>
            <w:tcW w:w="1105" w:type="dxa"/>
            <w:tcBorders>
              <w:top w:val="nil"/>
              <w:left w:val="nil"/>
              <w:bottom w:val="nil"/>
              <w:right w:val="nil"/>
            </w:tcBorders>
            <w:shd w:val="clear" w:color="000000" w:fill="FFFFFF"/>
            <w:noWrap/>
            <w:vAlign w:val="center"/>
            <w:hideMark/>
          </w:tcPr>
          <w:p w14:paraId="7C728F6F"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51F59ED1" w14:textId="77777777" w:rsidR="00A3596A" w:rsidRPr="00CD1932" w:rsidRDefault="00A3596A" w:rsidP="00CD1CC7">
            <w:pPr>
              <w:pStyle w:val="TableTextRight"/>
              <w:rPr>
                <w:rFonts w:cs="Arial"/>
                <w:szCs w:val="16"/>
              </w:rPr>
            </w:pPr>
            <w:r w:rsidRPr="00CD1932">
              <w:rPr>
                <w:rFonts w:cs="Arial"/>
                <w:szCs w:val="16"/>
              </w:rPr>
              <w:t> </w:t>
            </w:r>
          </w:p>
        </w:tc>
      </w:tr>
      <w:tr w:rsidR="00850CBC" w:rsidRPr="00A3596A" w14:paraId="1871C6C1" w14:textId="77777777" w:rsidTr="0099234B">
        <w:trPr>
          <w:trHeight w:val="225"/>
        </w:trPr>
        <w:tc>
          <w:tcPr>
            <w:tcW w:w="5501" w:type="dxa"/>
            <w:tcBorders>
              <w:top w:val="nil"/>
              <w:left w:val="nil"/>
              <w:bottom w:val="nil"/>
              <w:right w:val="nil"/>
            </w:tcBorders>
            <w:shd w:val="clear" w:color="000000" w:fill="FFFFFF"/>
            <w:noWrap/>
            <w:vAlign w:val="center"/>
            <w:hideMark/>
          </w:tcPr>
          <w:p w14:paraId="1BE2C92F" w14:textId="77777777" w:rsidR="00850CBC" w:rsidRPr="00CD1932" w:rsidRDefault="00850CBC" w:rsidP="007656D8">
            <w:pPr>
              <w:pStyle w:val="TableTextIndented"/>
              <w:rPr>
                <w:rFonts w:cs="Arial"/>
                <w:szCs w:val="16"/>
              </w:rPr>
            </w:pPr>
            <w:r w:rsidRPr="00CD1932">
              <w:rPr>
                <w:rFonts w:cs="Arial"/>
                <w:szCs w:val="16"/>
              </w:rPr>
              <w:t>Land and other fixed assets</w:t>
            </w:r>
          </w:p>
        </w:tc>
        <w:tc>
          <w:tcPr>
            <w:tcW w:w="1105" w:type="dxa"/>
            <w:tcBorders>
              <w:top w:val="nil"/>
              <w:left w:val="nil"/>
              <w:bottom w:val="nil"/>
              <w:right w:val="nil"/>
            </w:tcBorders>
            <w:shd w:val="clear" w:color="000000" w:fill="FFFFFF"/>
            <w:noWrap/>
            <w:vAlign w:val="center"/>
            <w:hideMark/>
          </w:tcPr>
          <w:p w14:paraId="664CE245" w14:textId="33A9CA9D" w:rsidR="00850CBC" w:rsidRPr="00CD1932" w:rsidRDefault="00850CBC" w:rsidP="00CD1CC7">
            <w:pPr>
              <w:pStyle w:val="TableTextRight"/>
              <w:rPr>
                <w:rFonts w:cs="Arial"/>
                <w:szCs w:val="16"/>
              </w:rPr>
            </w:pPr>
            <w:r w:rsidRPr="00CD1932">
              <w:rPr>
                <w:rFonts w:cs="Arial"/>
                <w:szCs w:val="16"/>
              </w:rPr>
              <w:t>72,134</w:t>
            </w:r>
          </w:p>
        </w:tc>
        <w:tc>
          <w:tcPr>
            <w:tcW w:w="1105" w:type="dxa"/>
            <w:tcBorders>
              <w:top w:val="nil"/>
              <w:left w:val="nil"/>
              <w:bottom w:val="nil"/>
              <w:right w:val="nil"/>
            </w:tcBorders>
            <w:shd w:val="clear" w:color="000000" w:fill="E6F2FF"/>
            <w:noWrap/>
            <w:vAlign w:val="center"/>
            <w:hideMark/>
          </w:tcPr>
          <w:p w14:paraId="2E9154DF" w14:textId="79FACC60" w:rsidR="00850CBC" w:rsidRPr="00CD1932" w:rsidRDefault="00850CBC" w:rsidP="00CD1CC7">
            <w:pPr>
              <w:pStyle w:val="TableTextRight"/>
              <w:rPr>
                <w:rFonts w:cs="Arial"/>
                <w:szCs w:val="16"/>
              </w:rPr>
            </w:pPr>
            <w:r w:rsidRPr="00CD1932">
              <w:rPr>
                <w:rFonts w:cs="Arial"/>
                <w:szCs w:val="16"/>
              </w:rPr>
              <w:t>79,382</w:t>
            </w:r>
          </w:p>
        </w:tc>
      </w:tr>
      <w:tr w:rsidR="00850CBC" w:rsidRPr="00A3596A" w14:paraId="1BB17058" w14:textId="77777777" w:rsidTr="0099234B">
        <w:trPr>
          <w:trHeight w:val="225"/>
        </w:trPr>
        <w:tc>
          <w:tcPr>
            <w:tcW w:w="5501" w:type="dxa"/>
            <w:tcBorders>
              <w:top w:val="nil"/>
              <w:left w:val="nil"/>
              <w:bottom w:val="nil"/>
              <w:right w:val="nil"/>
            </w:tcBorders>
            <w:shd w:val="clear" w:color="000000" w:fill="FFFFFF"/>
            <w:noWrap/>
            <w:vAlign w:val="center"/>
            <w:hideMark/>
          </w:tcPr>
          <w:p w14:paraId="5FE2A87D" w14:textId="30B7C617" w:rsidR="00850CBC" w:rsidRPr="00CD1932" w:rsidRDefault="00850CBC" w:rsidP="007656D8">
            <w:pPr>
              <w:pStyle w:val="TableTextIndented"/>
              <w:rPr>
                <w:rFonts w:cs="Arial"/>
                <w:szCs w:val="16"/>
              </w:rPr>
            </w:pPr>
            <w:r w:rsidRPr="00CD1932">
              <w:rPr>
                <w:rFonts w:cs="Arial"/>
                <w:szCs w:val="16"/>
              </w:rPr>
              <w:t>Other non</w:t>
            </w:r>
            <w:r w:rsidR="00325E1E">
              <w:rPr>
                <w:rFonts w:cs="Arial"/>
                <w:szCs w:val="16"/>
              </w:rPr>
              <w:noBreakHyphen/>
            </w:r>
            <w:r w:rsidRPr="00CD1932">
              <w:rPr>
                <w:rFonts w:cs="Arial"/>
                <w:szCs w:val="16"/>
              </w:rPr>
              <w:t>financial assets(a)</w:t>
            </w:r>
          </w:p>
        </w:tc>
        <w:tc>
          <w:tcPr>
            <w:tcW w:w="1105" w:type="dxa"/>
            <w:tcBorders>
              <w:top w:val="nil"/>
              <w:left w:val="nil"/>
              <w:bottom w:val="nil"/>
              <w:right w:val="nil"/>
            </w:tcBorders>
            <w:shd w:val="clear" w:color="000000" w:fill="FFFFFF"/>
            <w:noWrap/>
            <w:vAlign w:val="center"/>
            <w:hideMark/>
          </w:tcPr>
          <w:p w14:paraId="15669D1A" w14:textId="28FB5FD7" w:rsidR="00850CBC" w:rsidRPr="00CD1932" w:rsidRDefault="00850CBC" w:rsidP="00CD1CC7">
            <w:pPr>
              <w:pStyle w:val="TableTextRight"/>
              <w:rPr>
                <w:rFonts w:cs="Arial"/>
                <w:szCs w:val="16"/>
              </w:rPr>
            </w:pPr>
            <w:r w:rsidRPr="00CD1932">
              <w:rPr>
                <w:rFonts w:cs="Arial"/>
                <w:szCs w:val="16"/>
              </w:rPr>
              <w:t>3,940</w:t>
            </w:r>
          </w:p>
        </w:tc>
        <w:tc>
          <w:tcPr>
            <w:tcW w:w="1105" w:type="dxa"/>
            <w:tcBorders>
              <w:top w:val="nil"/>
              <w:left w:val="nil"/>
              <w:bottom w:val="nil"/>
              <w:right w:val="nil"/>
            </w:tcBorders>
            <w:shd w:val="clear" w:color="000000" w:fill="E6F2FF"/>
            <w:noWrap/>
            <w:vAlign w:val="center"/>
            <w:hideMark/>
          </w:tcPr>
          <w:p w14:paraId="1CA5B22F" w14:textId="4B35A083" w:rsidR="00850CBC" w:rsidRPr="00CD1932" w:rsidRDefault="00850CBC" w:rsidP="00CD1CC7">
            <w:pPr>
              <w:pStyle w:val="TableTextRight"/>
              <w:rPr>
                <w:rFonts w:cs="Arial"/>
                <w:szCs w:val="16"/>
              </w:rPr>
            </w:pPr>
            <w:r w:rsidRPr="00CD1932">
              <w:rPr>
                <w:rFonts w:cs="Arial"/>
                <w:szCs w:val="16"/>
              </w:rPr>
              <w:t>4,103</w:t>
            </w:r>
          </w:p>
        </w:tc>
      </w:tr>
      <w:tr w:rsidR="00850CBC" w:rsidRPr="00A3596A" w14:paraId="5EB2EEB0" w14:textId="77777777" w:rsidTr="0099234B">
        <w:trPr>
          <w:trHeight w:val="225"/>
        </w:trPr>
        <w:tc>
          <w:tcPr>
            <w:tcW w:w="5501" w:type="dxa"/>
            <w:tcBorders>
              <w:top w:val="nil"/>
              <w:left w:val="nil"/>
              <w:bottom w:val="nil"/>
              <w:right w:val="nil"/>
            </w:tcBorders>
            <w:shd w:val="clear" w:color="000000" w:fill="FFFFFF"/>
            <w:noWrap/>
            <w:vAlign w:val="center"/>
            <w:hideMark/>
          </w:tcPr>
          <w:p w14:paraId="012FAD73" w14:textId="010E555E" w:rsidR="00850CBC" w:rsidRPr="00CD1932" w:rsidRDefault="00850CBC" w:rsidP="004E0400">
            <w:pPr>
              <w:pStyle w:val="TableTextLeft"/>
              <w:rPr>
                <w:rFonts w:cs="Arial"/>
                <w:i/>
                <w:szCs w:val="16"/>
              </w:rPr>
            </w:pPr>
            <w:r w:rsidRPr="00CD1932">
              <w:rPr>
                <w:rFonts w:cs="Arial"/>
                <w:i/>
                <w:szCs w:val="16"/>
              </w:rPr>
              <w:t>Total non</w:t>
            </w:r>
            <w:r w:rsidR="00325E1E">
              <w:rPr>
                <w:rFonts w:cs="Arial"/>
                <w:i/>
                <w:iCs/>
                <w:szCs w:val="16"/>
              </w:rPr>
              <w:noBreakHyphen/>
            </w:r>
            <w:r w:rsidRPr="00CD1932">
              <w:rPr>
                <w:rFonts w:cs="Arial"/>
                <w:i/>
                <w:szCs w:val="16"/>
              </w:rPr>
              <w:t>financial assets</w:t>
            </w:r>
          </w:p>
        </w:tc>
        <w:tc>
          <w:tcPr>
            <w:tcW w:w="1105" w:type="dxa"/>
            <w:tcBorders>
              <w:top w:val="nil"/>
              <w:left w:val="nil"/>
              <w:bottom w:val="nil"/>
              <w:right w:val="nil"/>
            </w:tcBorders>
            <w:shd w:val="clear" w:color="000000" w:fill="FFFFFF"/>
            <w:noWrap/>
            <w:vAlign w:val="center"/>
            <w:hideMark/>
          </w:tcPr>
          <w:p w14:paraId="1D1DC136" w14:textId="4E40E74B" w:rsidR="00850CBC" w:rsidRPr="00CD1932" w:rsidRDefault="00850CBC" w:rsidP="00CD1CC7">
            <w:pPr>
              <w:pStyle w:val="TableTextRight"/>
              <w:rPr>
                <w:rFonts w:cs="Arial"/>
                <w:i/>
                <w:szCs w:val="16"/>
              </w:rPr>
            </w:pPr>
            <w:r w:rsidRPr="00CD1932">
              <w:rPr>
                <w:rFonts w:cs="Arial"/>
                <w:i/>
                <w:szCs w:val="16"/>
              </w:rPr>
              <w:t>76,074</w:t>
            </w:r>
          </w:p>
        </w:tc>
        <w:tc>
          <w:tcPr>
            <w:tcW w:w="1105" w:type="dxa"/>
            <w:tcBorders>
              <w:top w:val="nil"/>
              <w:left w:val="nil"/>
              <w:bottom w:val="nil"/>
              <w:right w:val="nil"/>
            </w:tcBorders>
            <w:shd w:val="clear" w:color="000000" w:fill="E6F2FF"/>
            <w:noWrap/>
            <w:vAlign w:val="center"/>
            <w:hideMark/>
          </w:tcPr>
          <w:p w14:paraId="198A0372" w14:textId="3C3EE635" w:rsidR="00850CBC" w:rsidRPr="00CD1932" w:rsidRDefault="00850CBC" w:rsidP="00CD1CC7">
            <w:pPr>
              <w:pStyle w:val="TableTextRight"/>
              <w:rPr>
                <w:rFonts w:cs="Arial"/>
                <w:i/>
                <w:szCs w:val="16"/>
              </w:rPr>
            </w:pPr>
            <w:r w:rsidRPr="00CD1932">
              <w:rPr>
                <w:rFonts w:cs="Arial"/>
                <w:i/>
                <w:szCs w:val="16"/>
              </w:rPr>
              <w:t>83,485</w:t>
            </w:r>
          </w:p>
        </w:tc>
      </w:tr>
      <w:tr w:rsidR="00850CBC" w:rsidRPr="00A3596A" w14:paraId="1CE4C646" w14:textId="77777777" w:rsidTr="0099234B">
        <w:trPr>
          <w:trHeight w:val="225"/>
        </w:trPr>
        <w:tc>
          <w:tcPr>
            <w:tcW w:w="5501" w:type="dxa"/>
            <w:tcBorders>
              <w:top w:val="nil"/>
              <w:left w:val="nil"/>
              <w:bottom w:val="nil"/>
              <w:right w:val="nil"/>
            </w:tcBorders>
            <w:shd w:val="clear" w:color="000000" w:fill="FFFFFF"/>
            <w:noWrap/>
            <w:vAlign w:val="center"/>
            <w:hideMark/>
          </w:tcPr>
          <w:p w14:paraId="117BB5F6" w14:textId="77777777" w:rsidR="00850CBC" w:rsidRPr="00CD1932" w:rsidRDefault="00850CBC" w:rsidP="004E0400">
            <w:pPr>
              <w:pStyle w:val="TableTextLeft"/>
              <w:rPr>
                <w:rFonts w:cs="Arial"/>
                <w:b/>
                <w:szCs w:val="16"/>
              </w:rPr>
            </w:pPr>
            <w:r w:rsidRPr="00CD1932">
              <w:rPr>
                <w:rFonts w:cs="Arial"/>
                <w:b/>
                <w:szCs w:val="16"/>
              </w:rPr>
              <w:t>Total assets</w:t>
            </w:r>
          </w:p>
        </w:tc>
        <w:tc>
          <w:tcPr>
            <w:tcW w:w="1105" w:type="dxa"/>
            <w:tcBorders>
              <w:top w:val="nil"/>
              <w:left w:val="nil"/>
              <w:bottom w:val="nil"/>
              <w:right w:val="nil"/>
            </w:tcBorders>
            <w:shd w:val="clear" w:color="000000" w:fill="FFFFFF"/>
            <w:noWrap/>
            <w:vAlign w:val="center"/>
            <w:hideMark/>
          </w:tcPr>
          <w:p w14:paraId="52005C42" w14:textId="5BFCC167" w:rsidR="00850CBC" w:rsidRPr="00CD1932" w:rsidRDefault="00850CBC" w:rsidP="00CD1CC7">
            <w:pPr>
              <w:pStyle w:val="TableTextRight"/>
              <w:rPr>
                <w:rFonts w:cs="Arial"/>
                <w:b/>
                <w:szCs w:val="16"/>
              </w:rPr>
            </w:pPr>
            <w:r w:rsidRPr="00CD1932">
              <w:rPr>
                <w:rFonts w:cs="Arial"/>
                <w:b/>
                <w:szCs w:val="16"/>
              </w:rPr>
              <w:t>84,640</w:t>
            </w:r>
          </w:p>
        </w:tc>
        <w:tc>
          <w:tcPr>
            <w:tcW w:w="1105" w:type="dxa"/>
            <w:tcBorders>
              <w:top w:val="nil"/>
              <w:left w:val="nil"/>
              <w:bottom w:val="nil"/>
              <w:right w:val="nil"/>
            </w:tcBorders>
            <w:shd w:val="clear" w:color="000000" w:fill="E6F2FF"/>
            <w:noWrap/>
            <w:vAlign w:val="center"/>
            <w:hideMark/>
          </w:tcPr>
          <w:p w14:paraId="72E02B29" w14:textId="7B8553BD" w:rsidR="00850CBC" w:rsidRPr="00CD1932" w:rsidRDefault="00850CBC" w:rsidP="00CD1CC7">
            <w:pPr>
              <w:pStyle w:val="TableTextRight"/>
              <w:rPr>
                <w:rFonts w:cs="Arial"/>
                <w:b/>
                <w:szCs w:val="16"/>
              </w:rPr>
            </w:pPr>
            <w:r w:rsidRPr="00CD1932">
              <w:rPr>
                <w:rFonts w:cs="Arial"/>
                <w:b/>
                <w:szCs w:val="16"/>
              </w:rPr>
              <w:t>92,743</w:t>
            </w:r>
          </w:p>
        </w:tc>
      </w:tr>
      <w:tr w:rsidR="00A3596A" w:rsidRPr="00A3596A" w14:paraId="159BF807" w14:textId="77777777" w:rsidTr="0099234B">
        <w:trPr>
          <w:trHeight w:val="225"/>
        </w:trPr>
        <w:tc>
          <w:tcPr>
            <w:tcW w:w="5501" w:type="dxa"/>
            <w:tcBorders>
              <w:top w:val="nil"/>
              <w:left w:val="nil"/>
              <w:bottom w:val="nil"/>
              <w:right w:val="nil"/>
            </w:tcBorders>
            <w:shd w:val="clear" w:color="000000" w:fill="FFFFFF"/>
            <w:noWrap/>
            <w:vAlign w:val="center"/>
            <w:hideMark/>
          </w:tcPr>
          <w:p w14:paraId="72BB706F" w14:textId="77777777" w:rsidR="00A3596A" w:rsidRPr="00CD1932" w:rsidRDefault="00A3596A" w:rsidP="004E0400">
            <w:pPr>
              <w:pStyle w:val="TableTextLeft"/>
              <w:rPr>
                <w:rFonts w:cs="Arial"/>
                <w:b/>
                <w:szCs w:val="16"/>
              </w:rPr>
            </w:pPr>
            <w:r w:rsidRPr="00CD1932">
              <w:rPr>
                <w:rFonts w:cs="Arial"/>
                <w:b/>
                <w:szCs w:val="16"/>
              </w:rPr>
              <w:t>Liabilities</w:t>
            </w:r>
          </w:p>
        </w:tc>
        <w:tc>
          <w:tcPr>
            <w:tcW w:w="1105" w:type="dxa"/>
            <w:tcBorders>
              <w:top w:val="nil"/>
              <w:left w:val="nil"/>
              <w:bottom w:val="nil"/>
              <w:right w:val="nil"/>
            </w:tcBorders>
            <w:shd w:val="clear" w:color="000000" w:fill="FFFFFF"/>
            <w:noWrap/>
            <w:vAlign w:val="center"/>
            <w:hideMark/>
          </w:tcPr>
          <w:p w14:paraId="1BD5432B"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5F7E9160" w14:textId="77777777" w:rsidR="00A3596A" w:rsidRPr="00CD1932" w:rsidRDefault="00A3596A" w:rsidP="00CD1CC7">
            <w:pPr>
              <w:pStyle w:val="TableTextRight"/>
              <w:rPr>
                <w:rFonts w:cs="Arial"/>
                <w:szCs w:val="16"/>
              </w:rPr>
            </w:pPr>
            <w:r w:rsidRPr="00CD1932">
              <w:rPr>
                <w:rFonts w:cs="Arial"/>
                <w:szCs w:val="16"/>
              </w:rPr>
              <w:t> </w:t>
            </w:r>
          </w:p>
        </w:tc>
      </w:tr>
      <w:tr w:rsidR="00A3596A" w:rsidRPr="00A3596A" w14:paraId="2C076D94" w14:textId="77777777" w:rsidTr="0099234B">
        <w:trPr>
          <w:trHeight w:val="225"/>
        </w:trPr>
        <w:tc>
          <w:tcPr>
            <w:tcW w:w="5501" w:type="dxa"/>
            <w:tcBorders>
              <w:top w:val="nil"/>
              <w:left w:val="nil"/>
              <w:bottom w:val="nil"/>
              <w:right w:val="nil"/>
            </w:tcBorders>
            <w:shd w:val="clear" w:color="000000" w:fill="FFFFFF"/>
            <w:noWrap/>
            <w:vAlign w:val="center"/>
            <w:hideMark/>
          </w:tcPr>
          <w:p w14:paraId="1B86EA74" w14:textId="77777777" w:rsidR="00A3596A" w:rsidRPr="00CD1932" w:rsidRDefault="00A3596A" w:rsidP="004E0400">
            <w:pPr>
              <w:pStyle w:val="TableTextLeft"/>
              <w:rPr>
                <w:rFonts w:cs="Arial"/>
                <w:szCs w:val="16"/>
              </w:rPr>
            </w:pPr>
            <w:r w:rsidRPr="00CD1932">
              <w:rPr>
                <w:rFonts w:cs="Arial"/>
                <w:szCs w:val="16"/>
              </w:rPr>
              <w:t>Interest bearing liabilities</w:t>
            </w:r>
          </w:p>
        </w:tc>
        <w:tc>
          <w:tcPr>
            <w:tcW w:w="1105" w:type="dxa"/>
            <w:tcBorders>
              <w:top w:val="nil"/>
              <w:left w:val="nil"/>
              <w:bottom w:val="nil"/>
              <w:right w:val="nil"/>
            </w:tcBorders>
            <w:shd w:val="clear" w:color="000000" w:fill="FFFFFF"/>
            <w:noWrap/>
            <w:vAlign w:val="center"/>
            <w:hideMark/>
          </w:tcPr>
          <w:p w14:paraId="21DD29AD"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3C949AE7" w14:textId="77777777" w:rsidR="00A3596A" w:rsidRPr="00CD1932" w:rsidRDefault="00A3596A" w:rsidP="00CD1CC7">
            <w:pPr>
              <w:pStyle w:val="TableTextRight"/>
              <w:rPr>
                <w:rFonts w:cs="Arial"/>
                <w:szCs w:val="16"/>
              </w:rPr>
            </w:pPr>
            <w:r w:rsidRPr="00CD1932">
              <w:rPr>
                <w:rFonts w:cs="Arial"/>
                <w:szCs w:val="16"/>
              </w:rPr>
              <w:t> </w:t>
            </w:r>
          </w:p>
        </w:tc>
      </w:tr>
      <w:tr w:rsidR="00850CBC" w:rsidRPr="00A3596A" w14:paraId="29399BE7" w14:textId="77777777" w:rsidTr="0099234B">
        <w:trPr>
          <w:trHeight w:val="225"/>
        </w:trPr>
        <w:tc>
          <w:tcPr>
            <w:tcW w:w="5501" w:type="dxa"/>
            <w:tcBorders>
              <w:top w:val="nil"/>
              <w:left w:val="nil"/>
              <w:bottom w:val="nil"/>
              <w:right w:val="nil"/>
            </w:tcBorders>
            <w:shd w:val="clear" w:color="000000" w:fill="FFFFFF"/>
            <w:noWrap/>
            <w:vAlign w:val="center"/>
            <w:hideMark/>
          </w:tcPr>
          <w:p w14:paraId="3403A28E" w14:textId="77777777" w:rsidR="00850CBC" w:rsidRPr="00CD1932" w:rsidRDefault="00850CBC" w:rsidP="004B274E">
            <w:pPr>
              <w:pStyle w:val="TableTextIndented"/>
              <w:rPr>
                <w:rFonts w:cs="Arial"/>
                <w:szCs w:val="16"/>
              </w:rPr>
            </w:pPr>
            <w:r w:rsidRPr="00CD1932">
              <w:rPr>
                <w:rFonts w:cs="Arial"/>
                <w:szCs w:val="16"/>
              </w:rPr>
              <w:t>Deposits held</w:t>
            </w:r>
          </w:p>
        </w:tc>
        <w:tc>
          <w:tcPr>
            <w:tcW w:w="1105" w:type="dxa"/>
            <w:tcBorders>
              <w:top w:val="nil"/>
              <w:left w:val="nil"/>
              <w:bottom w:val="nil"/>
              <w:right w:val="nil"/>
            </w:tcBorders>
            <w:shd w:val="clear" w:color="000000" w:fill="FFFFFF"/>
            <w:noWrap/>
            <w:vAlign w:val="center"/>
            <w:hideMark/>
          </w:tcPr>
          <w:p w14:paraId="0A7FE89F" w14:textId="239B69A6" w:rsidR="00850CBC" w:rsidRPr="00CD1932" w:rsidRDefault="00850CBC" w:rsidP="00CD1CC7">
            <w:pPr>
              <w:pStyle w:val="TableTextRight"/>
              <w:rPr>
                <w:rFonts w:cs="Arial"/>
                <w:szCs w:val="16"/>
              </w:rPr>
            </w:pPr>
            <w:r w:rsidRPr="00CD1932">
              <w:rPr>
                <w:rFonts w:cs="Arial"/>
                <w:szCs w:val="16"/>
              </w:rPr>
              <w:t>7</w:t>
            </w:r>
          </w:p>
        </w:tc>
        <w:tc>
          <w:tcPr>
            <w:tcW w:w="1105" w:type="dxa"/>
            <w:tcBorders>
              <w:top w:val="nil"/>
              <w:left w:val="nil"/>
              <w:bottom w:val="nil"/>
              <w:right w:val="nil"/>
            </w:tcBorders>
            <w:shd w:val="clear" w:color="000000" w:fill="E6F2FF"/>
            <w:noWrap/>
            <w:vAlign w:val="center"/>
            <w:hideMark/>
          </w:tcPr>
          <w:p w14:paraId="680BD6BA" w14:textId="150538A2" w:rsidR="00850CBC" w:rsidRPr="00CD1932" w:rsidRDefault="00850CBC" w:rsidP="00CD1CC7">
            <w:pPr>
              <w:pStyle w:val="TableTextRight"/>
              <w:rPr>
                <w:rFonts w:cs="Arial"/>
                <w:szCs w:val="16"/>
              </w:rPr>
            </w:pPr>
            <w:r w:rsidRPr="00CD1932">
              <w:rPr>
                <w:rFonts w:cs="Arial"/>
                <w:szCs w:val="16"/>
              </w:rPr>
              <w:t>14</w:t>
            </w:r>
          </w:p>
        </w:tc>
      </w:tr>
      <w:tr w:rsidR="00850CBC" w:rsidRPr="00A3596A" w14:paraId="7CE3BF1E" w14:textId="77777777" w:rsidTr="0099234B">
        <w:trPr>
          <w:trHeight w:val="225"/>
        </w:trPr>
        <w:tc>
          <w:tcPr>
            <w:tcW w:w="5501" w:type="dxa"/>
            <w:tcBorders>
              <w:top w:val="nil"/>
              <w:left w:val="nil"/>
              <w:bottom w:val="nil"/>
              <w:right w:val="nil"/>
            </w:tcBorders>
            <w:shd w:val="clear" w:color="000000" w:fill="FFFFFF"/>
            <w:noWrap/>
            <w:vAlign w:val="center"/>
            <w:hideMark/>
          </w:tcPr>
          <w:p w14:paraId="221EA9D6" w14:textId="77777777" w:rsidR="00850CBC" w:rsidRPr="00CD1932" w:rsidRDefault="00850CBC" w:rsidP="004B274E">
            <w:pPr>
              <w:pStyle w:val="TableTextIndented"/>
              <w:rPr>
                <w:rFonts w:cs="Arial"/>
                <w:szCs w:val="16"/>
              </w:rPr>
            </w:pPr>
            <w:r w:rsidRPr="00CD1932">
              <w:rPr>
                <w:rFonts w:cs="Arial"/>
                <w:szCs w:val="16"/>
              </w:rPr>
              <w:t>Advances received and loans</w:t>
            </w:r>
          </w:p>
        </w:tc>
        <w:tc>
          <w:tcPr>
            <w:tcW w:w="1105" w:type="dxa"/>
            <w:tcBorders>
              <w:top w:val="nil"/>
              <w:left w:val="nil"/>
              <w:bottom w:val="nil"/>
              <w:right w:val="nil"/>
            </w:tcBorders>
            <w:shd w:val="clear" w:color="000000" w:fill="FFFFFF"/>
            <w:noWrap/>
            <w:vAlign w:val="center"/>
            <w:hideMark/>
          </w:tcPr>
          <w:p w14:paraId="0D664412" w14:textId="17B096B7" w:rsidR="00850CBC" w:rsidRPr="00CD1932" w:rsidRDefault="00850CBC" w:rsidP="00CD1CC7">
            <w:pPr>
              <w:pStyle w:val="TableTextRight"/>
              <w:rPr>
                <w:rFonts w:cs="Arial"/>
                <w:szCs w:val="16"/>
              </w:rPr>
            </w:pPr>
            <w:r w:rsidRPr="00CD1932">
              <w:rPr>
                <w:rFonts w:cs="Arial"/>
                <w:szCs w:val="16"/>
              </w:rPr>
              <w:t>34,563</w:t>
            </w:r>
          </w:p>
        </w:tc>
        <w:tc>
          <w:tcPr>
            <w:tcW w:w="1105" w:type="dxa"/>
            <w:tcBorders>
              <w:top w:val="nil"/>
              <w:left w:val="nil"/>
              <w:bottom w:val="nil"/>
              <w:right w:val="nil"/>
            </w:tcBorders>
            <w:shd w:val="clear" w:color="000000" w:fill="E6F2FF"/>
            <w:noWrap/>
            <w:vAlign w:val="center"/>
            <w:hideMark/>
          </w:tcPr>
          <w:p w14:paraId="274E2B66" w14:textId="540F8025" w:rsidR="00850CBC" w:rsidRPr="00CD1932" w:rsidRDefault="00850CBC" w:rsidP="00CD1CC7">
            <w:pPr>
              <w:pStyle w:val="TableTextRight"/>
              <w:rPr>
                <w:rFonts w:cs="Arial"/>
                <w:szCs w:val="16"/>
              </w:rPr>
            </w:pPr>
            <w:r w:rsidRPr="00CD1932">
              <w:rPr>
                <w:rFonts w:cs="Arial"/>
                <w:szCs w:val="16"/>
              </w:rPr>
              <w:t>37,463</w:t>
            </w:r>
          </w:p>
        </w:tc>
      </w:tr>
      <w:tr w:rsidR="00850CBC" w:rsidRPr="00A3596A" w14:paraId="597006E4" w14:textId="77777777" w:rsidTr="0099234B">
        <w:trPr>
          <w:trHeight w:val="225"/>
        </w:trPr>
        <w:tc>
          <w:tcPr>
            <w:tcW w:w="5501" w:type="dxa"/>
            <w:tcBorders>
              <w:top w:val="nil"/>
              <w:left w:val="nil"/>
              <w:bottom w:val="nil"/>
              <w:right w:val="nil"/>
            </w:tcBorders>
            <w:shd w:val="clear" w:color="000000" w:fill="FFFFFF"/>
            <w:noWrap/>
            <w:vAlign w:val="center"/>
            <w:hideMark/>
          </w:tcPr>
          <w:p w14:paraId="4827E4A6" w14:textId="77777777" w:rsidR="00850CBC" w:rsidRPr="00CD1932" w:rsidRDefault="00850CBC" w:rsidP="004B274E">
            <w:pPr>
              <w:pStyle w:val="TableTextIndented"/>
              <w:rPr>
                <w:rFonts w:cs="Arial"/>
                <w:szCs w:val="16"/>
              </w:rPr>
            </w:pPr>
            <w:r w:rsidRPr="00CD1932">
              <w:rPr>
                <w:rFonts w:cs="Arial"/>
                <w:szCs w:val="16"/>
              </w:rPr>
              <w:t>Lease liabilities</w:t>
            </w:r>
          </w:p>
        </w:tc>
        <w:tc>
          <w:tcPr>
            <w:tcW w:w="1105" w:type="dxa"/>
            <w:tcBorders>
              <w:top w:val="nil"/>
              <w:left w:val="nil"/>
              <w:bottom w:val="nil"/>
              <w:right w:val="nil"/>
            </w:tcBorders>
            <w:shd w:val="clear" w:color="000000" w:fill="FFFFFF"/>
            <w:noWrap/>
            <w:vAlign w:val="center"/>
            <w:hideMark/>
          </w:tcPr>
          <w:p w14:paraId="3D7B8CCC" w14:textId="1C8F96EB" w:rsidR="00850CBC" w:rsidRPr="00CD1932" w:rsidRDefault="00850CBC" w:rsidP="00CD1CC7">
            <w:pPr>
              <w:pStyle w:val="TableTextRight"/>
              <w:rPr>
                <w:rFonts w:cs="Arial"/>
                <w:szCs w:val="16"/>
              </w:rPr>
            </w:pPr>
            <w:r w:rsidRPr="00CD1932">
              <w:rPr>
                <w:rFonts w:cs="Arial"/>
                <w:szCs w:val="16"/>
              </w:rPr>
              <w:t>13,547</w:t>
            </w:r>
          </w:p>
        </w:tc>
        <w:tc>
          <w:tcPr>
            <w:tcW w:w="1105" w:type="dxa"/>
            <w:tcBorders>
              <w:top w:val="nil"/>
              <w:left w:val="nil"/>
              <w:bottom w:val="nil"/>
              <w:right w:val="nil"/>
            </w:tcBorders>
            <w:shd w:val="clear" w:color="000000" w:fill="E6F2FF"/>
            <w:noWrap/>
            <w:vAlign w:val="center"/>
            <w:hideMark/>
          </w:tcPr>
          <w:p w14:paraId="47D53571" w14:textId="72E88630" w:rsidR="00850CBC" w:rsidRPr="00CD1932" w:rsidRDefault="00850CBC" w:rsidP="00CD1CC7">
            <w:pPr>
              <w:pStyle w:val="TableTextRight"/>
              <w:rPr>
                <w:rFonts w:cs="Arial"/>
                <w:szCs w:val="16"/>
              </w:rPr>
            </w:pPr>
            <w:r w:rsidRPr="00CD1932">
              <w:rPr>
                <w:rFonts w:cs="Arial"/>
                <w:szCs w:val="16"/>
              </w:rPr>
              <w:t>13,877</w:t>
            </w:r>
          </w:p>
        </w:tc>
      </w:tr>
      <w:tr w:rsidR="00850CBC" w:rsidRPr="00A3596A" w14:paraId="3E257714" w14:textId="77777777" w:rsidTr="0099234B">
        <w:trPr>
          <w:trHeight w:val="225"/>
        </w:trPr>
        <w:tc>
          <w:tcPr>
            <w:tcW w:w="5501" w:type="dxa"/>
            <w:tcBorders>
              <w:top w:val="nil"/>
              <w:left w:val="nil"/>
              <w:bottom w:val="nil"/>
              <w:right w:val="nil"/>
            </w:tcBorders>
            <w:shd w:val="clear" w:color="000000" w:fill="FFFFFF"/>
            <w:noWrap/>
            <w:vAlign w:val="center"/>
            <w:hideMark/>
          </w:tcPr>
          <w:p w14:paraId="39C546AC" w14:textId="77777777" w:rsidR="00850CBC" w:rsidRPr="00CD1932" w:rsidRDefault="00850CBC" w:rsidP="004E0400">
            <w:pPr>
              <w:pStyle w:val="TableTextLeft"/>
              <w:rPr>
                <w:rFonts w:cs="Arial"/>
                <w:i/>
                <w:szCs w:val="16"/>
              </w:rPr>
            </w:pPr>
            <w:r w:rsidRPr="00CD1932">
              <w:rPr>
                <w:rFonts w:cs="Arial"/>
                <w:i/>
                <w:szCs w:val="16"/>
              </w:rPr>
              <w:t>Total interest bearing liabilities</w:t>
            </w:r>
          </w:p>
        </w:tc>
        <w:tc>
          <w:tcPr>
            <w:tcW w:w="1105" w:type="dxa"/>
            <w:tcBorders>
              <w:top w:val="nil"/>
              <w:left w:val="nil"/>
              <w:bottom w:val="nil"/>
              <w:right w:val="nil"/>
            </w:tcBorders>
            <w:shd w:val="clear" w:color="000000" w:fill="FFFFFF"/>
            <w:noWrap/>
            <w:vAlign w:val="center"/>
            <w:hideMark/>
          </w:tcPr>
          <w:p w14:paraId="60351943" w14:textId="4D0FB608" w:rsidR="00850CBC" w:rsidRPr="00CD1932" w:rsidRDefault="00850CBC" w:rsidP="00CD1CC7">
            <w:pPr>
              <w:pStyle w:val="TableTextRight"/>
              <w:rPr>
                <w:rFonts w:cs="Arial"/>
                <w:i/>
                <w:szCs w:val="16"/>
              </w:rPr>
            </w:pPr>
            <w:r w:rsidRPr="00CD1932">
              <w:rPr>
                <w:rFonts w:cs="Arial"/>
                <w:i/>
                <w:szCs w:val="16"/>
              </w:rPr>
              <w:t>48,117</w:t>
            </w:r>
          </w:p>
        </w:tc>
        <w:tc>
          <w:tcPr>
            <w:tcW w:w="1105" w:type="dxa"/>
            <w:tcBorders>
              <w:top w:val="nil"/>
              <w:left w:val="nil"/>
              <w:bottom w:val="nil"/>
              <w:right w:val="nil"/>
            </w:tcBorders>
            <w:shd w:val="clear" w:color="000000" w:fill="E6F2FF"/>
            <w:noWrap/>
            <w:vAlign w:val="center"/>
            <w:hideMark/>
          </w:tcPr>
          <w:p w14:paraId="701704F1" w14:textId="6CF2EE33" w:rsidR="00850CBC" w:rsidRPr="00CD1932" w:rsidRDefault="00850CBC" w:rsidP="00CD1CC7">
            <w:pPr>
              <w:pStyle w:val="TableTextRight"/>
              <w:rPr>
                <w:rFonts w:cs="Arial"/>
                <w:i/>
                <w:szCs w:val="16"/>
              </w:rPr>
            </w:pPr>
            <w:r w:rsidRPr="00CD1932">
              <w:rPr>
                <w:rFonts w:cs="Arial"/>
                <w:i/>
                <w:szCs w:val="16"/>
              </w:rPr>
              <w:t>51,353</w:t>
            </w:r>
          </w:p>
        </w:tc>
      </w:tr>
      <w:tr w:rsidR="00A3596A" w:rsidRPr="00A3596A" w14:paraId="76E5C51A" w14:textId="77777777" w:rsidTr="0099234B">
        <w:trPr>
          <w:trHeight w:val="225"/>
        </w:trPr>
        <w:tc>
          <w:tcPr>
            <w:tcW w:w="5501" w:type="dxa"/>
            <w:tcBorders>
              <w:top w:val="nil"/>
              <w:left w:val="nil"/>
              <w:bottom w:val="nil"/>
              <w:right w:val="nil"/>
            </w:tcBorders>
            <w:shd w:val="clear" w:color="000000" w:fill="FFFFFF"/>
            <w:noWrap/>
            <w:vAlign w:val="center"/>
            <w:hideMark/>
          </w:tcPr>
          <w:p w14:paraId="3E5618E7" w14:textId="77777777" w:rsidR="00A3596A" w:rsidRPr="00CD1932" w:rsidRDefault="00A3596A" w:rsidP="004E0400">
            <w:pPr>
              <w:pStyle w:val="TableTextLeft"/>
              <w:rPr>
                <w:rFonts w:cs="Arial"/>
                <w:szCs w:val="16"/>
              </w:rPr>
            </w:pPr>
            <w:r w:rsidRPr="00CD1932">
              <w:rPr>
                <w:rFonts w:cs="Arial"/>
                <w:szCs w:val="16"/>
              </w:rPr>
              <w:t>Provisions and payables</w:t>
            </w:r>
          </w:p>
        </w:tc>
        <w:tc>
          <w:tcPr>
            <w:tcW w:w="1105" w:type="dxa"/>
            <w:tcBorders>
              <w:top w:val="nil"/>
              <w:left w:val="nil"/>
              <w:bottom w:val="nil"/>
              <w:right w:val="nil"/>
            </w:tcBorders>
            <w:shd w:val="clear" w:color="000000" w:fill="FFFFFF"/>
            <w:noWrap/>
            <w:vAlign w:val="center"/>
            <w:hideMark/>
          </w:tcPr>
          <w:p w14:paraId="08061935" w14:textId="77777777" w:rsidR="00A3596A" w:rsidRPr="00CD1932" w:rsidRDefault="00A3596A" w:rsidP="00CD1CC7">
            <w:pPr>
              <w:pStyle w:val="TableTextRight"/>
              <w:rPr>
                <w:rFonts w:cs="Arial"/>
                <w:szCs w:val="16"/>
              </w:rPr>
            </w:pPr>
            <w:r w:rsidRPr="00CD1932">
              <w:rPr>
                <w:rFonts w:cs="Arial"/>
                <w:szCs w:val="16"/>
              </w:rPr>
              <w:t> </w:t>
            </w:r>
          </w:p>
        </w:tc>
        <w:tc>
          <w:tcPr>
            <w:tcW w:w="1105" w:type="dxa"/>
            <w:tcBorders>
              <w:top w:val="nil"/>
              <w:left w:val="nil"/>
              <w:bottom w:val="nil"/>
              <w:right w:val="nil"/>
            </w:tcBorders>
            <w:shd w:val="clear" w:color="000000" w:fill="E6F2FF"/>
            <w:noWrap/>
            <w:vAlign w:val="center"/>
            <w:hideMark/>
          </w:tcPr>
          <w:p w14:paraId="6D01BE13" w14:textId="77777777" w:rsidR="00A3596A" w:rsidRPr="00CD1932" w:rsidRDefault="00A3596A" w:rsidP="00CD1CC7">
            <w:pPr>
              <w:pStyle w:val="TableTextRight"/>
              <w:rPr>
                <w:rFonts w:cs="Arial"/>
                <w:szCs w:val="16"/>
              </w:rPr>
            </w:pPr>
            <w:r w:rsidRPr="00CD1932">
              <w:rPr>
                <w:rFonts w:cs="Arial"/>
                <w:szCs w:val="16"/>
              </w:rPr>
              <w:t> </w:t>
            </w:r>
          </w:p>
        </w:tc>
      </w:tr>
      <w:tr w:rsidR="00670E5F" w:rsidRPr="00A3596A" w14:paraId="19E5CD98" w14:textId="77777777" w:rsidTr="0099234B">
        <w:trPr>
          <w:trHeight w:val="225"/>
        </w:trPr>
        <w:tc>
          <w:tcPr>
            <w:tcW w:w="5501" w:type="dxa"/>
            <w:tcBorders>
              <w:top w:val="nil"/>
              <w:left w:val="nil"/>
              <w:bottom w:val="nil"/>
              <w:right w:val="nil"/>
            </w:tcBorders>
            <w:shd w:val="clear" w:color="000000" w:fill="FFFFFF"/>
            <w:noWrap/>
            <w:vAlign w:val="center"/>
            <w:hideMark/>
          </w:tcPr>
          <w:p w14:paraId="67C76D5B" w14:textId="77777777" w:rsidR="00670E5F" w:rsidRPr="00CD1932" w:rsidRDefault="00670E5F" w:rsidP="004B274E">
            <w:pPr>
              <w:pStyle w:val="TableTextIndented"/>
              <w:rPr>
                <w:rFonts w:cs="Arial"/>
                <w:szCs w:val="16"/>
              </w:rPr>
            </w:pPr>
            <w:r w:rsidRPr="00CD1932">
              <w:rPr>
                <w:rFonts w:cs="Arial"/>
                <w:szCs w:val="16"/>
              </w:rPr>
              <w:t>Superannuation liability</w:t>
            </w:r>
          </w:p>
        </w:tc>
        <w:tc>
          <w:tcPr>
            <w:tcW w:w="1105" w:type="dxa"/>
            <w:tcBorders>
              <w:top w:val="nil"/>
              <w:left w:val="nil"/>
              <w:bottom w:val="nil"/>
              <w:right w:val="nil"/>
            </w:tcBorders>
            <w:shd w:val="clear" w:color="000000" w:fill="FFFFFF"/>
            <w:noWrap/>
            <w:vAlign w:val="center"/>
            <w:hideMark/>
          </w:tcPr>
          <w:p w14:paraId="68BB2016" w14:textId="02FF79F0" w:rsidR="00670E5F" w:rsidRPr="00CD1932" w:rsidRDefault="00670E5F" w:rsidP="00CD1CC7">
            <w:pPr>
              <w:pStyle w:val="TableTextRight"/>
              <w:rPr>
                <w:rFonts w:cs="Arial"/>
                <w:szCs w:val="16"/>
              </w:rPr>
            </w:pPr>
            <w:r w:rsidRPr="00CD1932">
              <w:rPr>
                <w:rFonts w:cs="Arial"/>
                <w:szCs w:val="16"/>
              </w:rPr>
              <w:t>10</w:t>
            </w:r>
          </w:p>
        </w:tc>
        <w:tc>
          <w:tcPr>
            <w:tcW w:w="1105" w:type="dxa"/>
            <w:tcBorders>
              <w:top w:val="nil"/>
              <w:left w:val="nil"/>
              <w:bottom w:val="nil"/>
              <w:right w:val="nil"/>
            </w:tcBorders>
            <w:shd w:val="clear" w:color="000000" w:fill="E6F2FF"/>
            <w:noWrap/>
            <w:vAlign w:val="center"/>
            <w:hideMark/>
          </w:tcPr>
          <w:p w14:paraId="6DCAD8A3" w14:textId="72D5B01C" w:rsidR="00670E5F" w:rsidRPr="00CD1932" w:rsidRDefault="00670E5F" w:rsidP="00CD1CC7">
            <w:pPr>
              <w:pStyle w:val="TableTextRight"/>
              <w:rPr>
                <w:rFonts w:cs="Arial"/>
                <w:szCs w:val="16"/>
              </w:rPr>
            </w:pPr>
            <w:r w:rsidRPr="00CD1932">
              <w:rPr>
                <w:rFonts w:cs="Arial"/>
                <w:szCs w:val="16"/>
              </w:rPr>
              <w:t>10</w:t>
            </w:r>
          </w:p>
        </w:tc>
      </w:tr>
      <w:tr w:rsidR="00670E5F" w:rsidRPr="00A3596A" w14:paraId="76B370EA" w14:textId="77777777" w:rsidTr="0099234B">
        <w:trPr>
          <w:trHeight w:val="225"/>
        </w:trPr>
        <w:tc>
          <w:tcPr>
            <w:tcW w:w="5501" w:type="dxa"/>
            <w:tcBorders>
              <w:top w:val="nil"/>
              <w:left w:val="nil"/>
              <w:bottom w:val="nil"/>
              <w:right w:val="nil"/>
            </w:tcBorders>
            <w:shd w:val="clear" w:color="000000" w:fill="FFFFFF"/>
            <w:noWrap/>
            <w:vAlign w:val="center"/>
            <w:hideMark/>
          </w:tcPr>
          <w:p w14:paraId="200CF4BF" w14:textId="77777777" w:rsidR="00670E5F" w:rsidRPr="00CD1932" w:rsidRDefault="00670E5F" w:rsidP="004B274E">
            <w:pPr>
              <w:pStyle w:val="TableTextIndented"/>
              <w:rPr>
                <w:rFonts w:cs="Arial"/>
                <w:szCs w:val="16"/>
              </w:rPr>
            </w:pPr>
            <w:r w:rsidRPr="00CD1932">
              <w:rPr>
                <w:rFonts w:cs="Arial"/>
                <w:szCs w:val="16"/>
              </w:rPr>
              <w:t>Other employee liabilities</w:t>
            </w:r>
          </w:p>
        </w:tc>
        <w:tc>
          <w:tcPr>
            <w:tcW w:w="1105" w:type="dxa"/>
            <w:tcBorders>
              <w:top w:val="nil"/>
              <w:left w:val="nil"/>
              <w:bottom w:val="nil"/>
              <w:right w:val="nil"/>
            </w:tcBorders>
            <w:shd w:val="clear" w:color="000000" w:fill="FFFFFF"/>
            <w:noWrap/>
            <w:vAlign w:val="center"/>
            <w:hideMark/>
          </w:tcPr>
          <w:p w14:paraId="2C160387" w14:textId="3A668FA8" w:rsidR="00670E5F" w:rsidRPr="00CD1932" w:rsidRDefault="00670E5F" w:rsidP="00CD1CC7">
            <w:pPr>
              <w:pStyle w:val="TableTextRight"/>
              <w:rPr>
                <w:rFonts w:cs="Arial"/>
                <w:szCs w:val="16"/>
              </w:rPr>
            </w:pPr>
            <w:r w:rsidRPr="00CD1932">
              <w:rPr>
                <w:rFonts w:cs="Arial"/>
                <w:szCs w:val="16"/>
              </w:rPr>
              <w:t>1,919</w:t>
            </w:r>
          </w:p>
        </w:tc>
        <w:tc>
          <w:tcPr>
            <w:tcW w:w="1105" w:type="dxa"/>
            <w:tcBorders>
              <w:top w:val="nil"/>
              <w:left w:val="nil"/>
              <w:bottom w:val="nil"/>
              <w:right w:val="nil"/>
            </w:tcBorders>
            <w:shd w:val="clear" w:color="000000" w:fill="E6F2FF"/>
            <w:noWrap/>
            <w:vAlign w:val="center"/>
            <w:hideMark/>
          </w:tcPr>
          <w:p w14:paraId="63921819" w14:textId="6026CFBE" w:rsidR="00670E5F" w:rsidRPr="00CD1932" w:rsidRDefault="00670E5F" w:rsidP="00CD1CC7">
            <w:pPr>
              <w:pStyle w:val="TableTextRight"/>
              <w:rPr>
                <w:rFonts w:cs="Arial"/>
                <w:szCs w:val="16"/>
              </w:rPr>
            </w:pPr>
            <w:r w:rsidRPr="00CD1932">
              <w:rPr>
                <w:rFonts w:cs="Arial"/>
                <w:szCs w:val="16"/>
              </w:rPr>
              <w:t>1,953</w:t>
            </w:r>
          </w:p>
        </w:tc>
      </w:tr>
      <w:tr w:rsidR="00670E5F" w:rsidRPr="00A3596A" w14:paraId="5E55F7D2" w14:textId="77777777" w:rsidTr="0099234B">
        <w:trPr>
          <w:trHeight w:val="225"/>
        </w:trPr>
        <w:tc>
          <w:tcPr>
            <w:tcW w:w="5501" w:type="dxa"/>
            <w:tcBorders>
              <w:top w:val="nil"/>
              <w:left w:val="nil"/>
              <w:bottom w:val="nil"/>
              <w:right w:val="nil"/>
            </w:tcBorders>
            <w:shd w:val="clear" w:color="000000" w:fill="FFFFFF"/>
            <w:noWrap/>
            <w:vAlign w:val="center"/>
            <w:hideMark/>
          </w:tcPr>
          <w:p w14:paraId="5CFFA82F" w14:textId="77777777" w:rsidR="00670E5F" w:rsidRPr="00CD1932" w:rsidRDefault="00670E5F" w:rsidP="004B274E">
            <w:pPr>
              <w:pStyle w:val="TableTextIndented"/>
              <w:rPr>
                <w:rFonts w:cs="Arial"/>
                <w:szCs w:val="16"/>
              </w:rPr>
            </w:pPr>
            <w:r w:rsidRPr="00CD1932">
              <w:rPr>
                <w:rFonts w:cs="Arial"/>
                <w:szCs w:val="16"/>
              </w:rPr>
              <w:t>Other payables</w:t>
            </w:r>
          </w:p>
        </w:tc>
        <w:tc>
          <w:tcPr>
            <w:tcW w:w="1105" w:type="dxa"/>
            <w:tcBorders>
              <w:top w:val="nil"/>
              <w:left w:val="nil"/>
              <w:bottom w:val="nil"/>
              <w:right w:val="nil"/>
            </w:tcBorders>
            <w:shd w:val="clear" w:color="000000" w:fill="FFFFFF"/>
            <w:noWrap/>
            <w:vAlign w:val="center"/>
            <w:hideMark/>
          </w:tcPr>
          <w:p w14:paraId="56E3F18F" w14:textId="33D30800" w:rsidR="00670E5F" w:rsidRPr="00CD1932" w:rsidRDefault="00670E5F" w:rsidP="00CD1CC7">
            <w:pPr>
              <w:pStyle w:val="TableTextRight"/>
              <w:rPr>
                <w:rFonts w:cs="Arial"/>
                <w:szCs w:val="16"/>
              </w:rPr>
            </w:pPr>
            <w:r w:rsidRPr="00CD1932">
              <w:rPr>
                <w:rFonts w:cs="Arial"/>
                <w:szCs w:val="16"/>
              </w:rPr>
              <w:t>6,450</w:t>
            </w:r>
          </w:p>
        </w:tc>
        <w:tc>
          <w:tcPr>
            <w:tcW w:w="1105" w:type="dxa"/>
            <w:tcBorders>
              <w:top w:val="nil"/>
              <w:left w:val="nil"/>
              <w:bottom w:val="nil"/>
              <w:right w:val="nil"/>
            </w:tcBorders>
            <w:shd w:val="clear" w:color="000000" w:fill="E6F2FF"/>
            <w:noWrap/>
            <w:vAlign w:val="center"/>
            <w:hideMark/>
          </w:tcPr>
          <w:p w14:paraId="01B6D6AA" w14:textId="485FF80D" w:rsidR="00670E5F" w:rsidRPr="00CD1932" w:rsidRDefault="00670E5F" w:rsidP="00CD1CC7">
            <w:pPr>
              <w:pStyle w:val="TableTextRight"/>
              <w:rPr>
                <w:rFonts w:cs="Arial"/>
                <w:szCs w:val="16"/>
              </w:rPr>
            </w:pPr>
            <w:r w:rsidRPr="00CD1932">
              <w:rPr>
                <w:rFonts w:cs="Arial"/>
                <w:szCs w:val="16"/>
              </w:rPr>
              <w:t>6,602</w:t>
            </w:r>
          </w:p>
        </w:tc>
      </w:tr>
      <w:tr w:rsidR="00670E5F" w:rsidRPr="00A3596A" w14:paraId="739CD11B" w14:textId="77777777" w:rsidTr="0099234B">
        <w:trPr>
          <w:trHeight w:val="225"/>
        </w:trPr>
        <w:tc>
          <w:tcPr>
            <w:tcW w:w="5501" w:type="dxa"/>
            <w:tcBorders>
              <w:top w:val="nil"/>
              <w:left w:val="nil"/>
              <w:bottom w:val="nil"/>
              <w:right w:val="nil"/>
            </w:tcBorders>
            <w:shd w:val="clear" w:color="000000" w:fill="FFFFFF"/>
            <w:noWrap/>
            <w:vAlign w:val="center"/>
            <w:hideMark/>
          </w:tcPr>
          <w:p w14:paraId="231118BF" w14:textId="77777777" w:rsidR="00670E5F" w:rsidRPr="00CD1932" w:rsidRDefault="00670E5F" w:rsidP="004B274E">
            <w:pPr>
              <w:pStyle w:val="TableTextIndented"/>
              <w:rPr>
                <w:rFonts w:cs="Arial"/>
                <w:szCs w:val="16"/>
              </w:rPr>
            </w:pPr>
            <w:r w:rsidRPr="00CD1932">
              <w:rPr>
                <w:rFonts w:cs="Arial"/>
                <w:szCs w:val="16"/>
              </w:rPr>
              <w:t>Other provisions(a)</w:t>
            </w:r>
          </w:p>
        </w:tc>
        <w:tc>
          <w:tcPr>
            <w:tcW w:w="1105" w:type="dxa"/>
            <w:tcBorders>
              <w:top w:val="nil"/>
              <w:left w:val="nil"/>
              <w:bottom w:val="nil"/>
              <w:right w:val="nil"/>
            </w:tcBorders>
            <w:shd w:val="clear" w:color="000000" w:fill="FFFFFF"/>
            <w:noWrap/>
            <w:vAlign w:val="center"/>
            <w:hideMark/>
          </w:tcPr>
          <w:p w14:paraId="61EF1F9E" w14:textId="56C09F8B" w:rsidR="00670E5F" w:rsidRPr="00CD1932" w:rsidRDefault="00670E5F" w:rsidP="00CD1CC7">
            <w:pPr>
              <w:pStyle w:val="TableTextRight"/>
              <w:rPr>
                <w:rFonts w:cs="Arial"/>
                <w:szCs w:val="16"/>
              </w:rPr>
            </w:pPr>
            <w:r w:rsidRPr="00CD1932">
              <w:rPr>
                <w:rFonts w:cs="Arial"/>
                <w:szCs w:val="16"/>
              </w:rPr>
              <w:t>1,223</w:t>
            </w:r>
          </w:p>
        </w:tc>
        <w:tc>
          <w:tcPr>
            <w:tcW w:w="1105" w:type="dxa"/>
            <w:tcBorders>
              <w:top w:val="nil"/>
              <w:left w:val="nil"/>
              <w:bottom w:val="nil"/>
              <w:right w:val="nil"/>
            </w:tcBorders>
            <w:shd w:val="clear" w:color="000000" w:fill="E6F2FF"/>
            <w:noWrap/>
            <w:vAlign w:val="center"/>
            <w:hideMark/>
          </w:tcPr>
          <w:p w14:paraId="2D9CCE23" w14:textId="6D47B9B1" w:rsidR="00670E5F" w:rsidRPr="00CD1932" w:rsidRDefault="00670E5F" w:rsidP="00CD1CC7">
            <w:pPr>
              <w:pStyle w:val="TableTextRight"/>
              <w:rPr>
                <w:rFonts w:cs="Arial"/>
                <w:szCs w:val="16"/>
              </w:rPr>
            </w:pPr>
            <w:r w:rsidRPr="00CD1932">
              <w:rPr>
                <w:rFonts w:cs="Arial"/>
                <w:szCs w:val="16"/>
              </w:rPr>
              <w:t>1,156</w:t>
            </w:r>
          </w:p>
        </w:tc>
      </w:tr>
      <w:tr w:rsidR="00670E5F" w:rsidRPr="00A3596A" w14:paraId="5189FC81" w14:textId="77777777" w:rsidTr="0099234B">
        <w:trPr>
          <w:trHeight w:val="225"/>
        </w:trPr>
        <w:tc>
          <w:tcPr>
            <w:tcW w:w="5501" w:type="dxa"/>
            <w:tcBorders>
              <w:top w:val="nil"/>
              <w:left w:val="nil"/>
              <w:bottom w:val="nil"/>
              <w:right w:val="nil"/>
            </w:tcBorders>
            <w:shd w:val="clear" w:color="000000" w:fill="FFFFFF"/>
            <w:noWrap/>
            <w:vAlign w:val="center"/>
            <w:hideMark/>
          </w:tcPr>
          <w:p w14:paraId="620EE215" w14:textId="77777777" w:rsidR="00670E5F" w:rsidRPr="00CD1932" w:rsidRDefault="00670E5F" w:rsidP="004E0400">
            <w:pPr>
              <w:pStyle w:val="TableTextLeft"/>
              <w:rPr>
                <w:rFonts w:cs="Arial"/>
                <w:i/>
                <w:szCs w:val="16"/>
              </w:rPr>
            </w:pPr>
            <w:r w:rsidRPr="00CD1932">
              <w:rPr>
                <w:rFonts w:cs="Arial"/>
                <w:i/>
                <w:szCs w:val="16"/>
              </w:rPr>
              <w:t>Total provisions and payables</w:t>
            </w:r>
          </w:p>
        </w:tc>
        <w:tc>
          <w:tcPr>
            <w:tcW w:w="1105" w:type="dxa"/>
            <w:tcBorders>
              <w:top w:val="nil"/>
              <w:left w:val="nil"/>
              <w:bottom w:val="nil"/>
              <w:right w:val="nil"/>
            </w:tcBorders>
            <w:shd w:val="clear" w:color="000000" w:fill="FFFFFF"/>
            <w:noWrap/>
            <w:vAlign w:val="center"/>
            <w:hideMark/>
          </w:tcPr>
          <w:p w14:paraId="70042168" w14:textId="1BDB1158" w:rsidR="00670E5F" w:rsidRPr="00CD1932" w:rsidRDefault="00670E5F" w:rsidP="00CD1CC7">
            <w:pPr>
              <w:pStyle w:val="TableTextRight"/>
              <w:rPr>
                <w:rFonts w:cs="Arial"/>
                <w:i/>
                <w:szCs w:val="16"/>
              </w:rPr>
            </w:pPr>
            <w:r w:rsidRPr="00CD1932">
              <w:rPr>
                <w:rFonts w:cs="Arial"/>
                <w:i/>
                <w:szCs w:val="16"/>
              </w:rPr>
              <w:t>9,601</w:t>
            </w:r>
          </w:p>
        </w:tc>
        <w:tc>
          <w:tcPr>
            <w:tcW w:w="1105" w:type="dxa"/>
            <w:tcBorders>
              <w:top w:val="nil"/>
              <w:left w:val="nil"/>
              <w:bottom w:val="nil"/>
              <w:right w:val="nil"/>
            </w:tcBorders>
            <w:shd w:val="clear" w:color="000000" w:fill="E6F2FF"/>
            <w:noWrap/>
            <w:vAlign w:val="center"/>
            <w:hideMark/>
          </w:tcPr>
          <w:p w14:paraId="6982948E" w14:textId="15433166" w:rsidR="00670E5F" w:rsidRPr="00CD1932" w:rsidRDefault="00670E5F" w:rsidP="00CD1CC7">
            <w:pPr>
              <w:pStyle w:val="TableTextRight"/>
              <w:rPr>
                <w:rFonts w:cs="Arial"/>
                <w:i/>
                <w:szCs w:val="16"/>
              </w:rPr>
            </w:pPr>
            <w:r w:rsidRPr="00CD1932">
              <w:rPr>
                <w:rFonts w:cs="Arial"/>
                <w:i/>
                <w:szCs w:val="16"/>
              </w:rPr>
              <w:t>9,721</w:t>
            </w:r>
          </w:p>
        </w:tc>
      </w:tr>
      <w:tr w:rsidR="00670E5F" w:rsidRPr="00A3596A" w14:paraId="42DA9556" w14:textId="77777777" w:rsidTr="0099234B">
        <w:trPr>
          <w:trHeight w:val="225"/>
        </w:trPr>
        <w:tc>
          <w:tcPr>
            <w:tcW w:w="5501" w:type="dxa"/>
            <w:tcBorders>
              <w:top w:val="nil"/>
              <w:left w:val="nil"/>
              <w:bottom w:val="nil"/>
              <w:right w:val="nil"/>
            </w:tcBorders>
            <w:shd w:val="clear" w:color="000000" w:fill="FFFFFF"/>
            <w:noWrap/>
            <w:vAlign w:val="center"/>
            <w:hideMark/>
          </w:tcPr>
          <w:p w14:paraId="35A8B070" w14:textId="77777777" w:rsidR="00670E5F" w:rsidRPr="00CD1932" w:rsidRDefault="00670E5F" w:rsidP="004E0400">
            <w:pPr>
              <w:pStyle w:val="TableTextLeft"/>
              <w:rPr>
                <w:rFonts w:cs="Arial"/>
                <w:b/>
                <w:szCs w:val="16"/>
              </w:rPr>
            </w:pPr>
            <w:r w:rsidRPr="00CD1932">
              <w:rPr>
                <w:rFonts w:cs="Arial"/>
                <w:b/>
                <w:szCs w:val="16"/>
              </w:rPr>
              <w:t>Total liabilities</w:t>
            </w:r>
          </w:p>
        </w:tc>
        <w:tc>
          <w:tcPr>
            <w:tcW w:w="1105" w:type="dxa"/>
            <w:tcBorders>
              <w:top w:val="nil"/>
              <w:left w:val="nil"/>
              <w:bottom w:val="nil"/>
              <w:right w:val="nil"/>
            </w:tcBorders>
            <w:shd w:val="clear" w:color="000000" w:fill="FFFFFF"/>
            <w:noWrap/>
            <w:vAlign w:val="center"/>
            <w:hideMark/>
          </w:tcPr>
          <w:p w14:paraId="23858EC8" w14:textId="792366BF" w:rsidR="00670E5F" w:rsidRPr="00CD1932" w:rsidRDefault="00670E5F" w:rsidP="00CD1CC7">
            <w:pPr>
              <w:pStyle w:val="TableTextRight"/>
              <w:rPr>
                <w:rFonts w:cs="Arial"/>
                <w:b/>
                <w:szCs w:val="16"/>
              </w:rPr>
            </w:pPr>
            <w:r w:rsidRPr="00CD1932">
              <w:rPr>
                <w:rFonts w:cs="Arial"/>
                <w:b/>
                <w:szCs w:val="16"/>
              </w:rPr>
              <w:t>57,718</w:t>
            </w:r>
          </w:p>
        </w:tc>
        <w:tc>
          <w:tcPr>
            <w:tcW w:w="1105" w:type="dxa"/>
            <w:tcBorders>
              <w:top w:val="nil"/>
              <w:left w:val="nil"/>
              <w:bottom w:val="nil"/>
              <w:right w:val="nil"/>
            </w:tcBorders>
            <w:shd w:val="clear" w:color="000000" w:fill="E6F2FF"/>
            <w:noWrap/>
            <w:vAlign w:val="center"/>
            <w:hideMark/>
          </w:tcPr>
          <w:p w14:paraId="55C35D2E" w14:textId="7D9F6680" w:rsidR="00670E5F" w:rsidRPr="00CD1932" w:rsidRDefault="00670E5F" w:rsidP="00CD1CC7">
            <w:pPr>
              <w:pStyle w:val="TableTextRight"/>
              <w:rPr>
                <w:rFonts w:cs="Arial"/>
                <w:b/>
                <w:szCs w:val="16"/>
              </w:rPr>
            </w:pPr>
            <w:r w:rsidRPr="00CD1932">
              <w:rPr>
                <w:rFonts w:cs="Arial"/>
                <w:b/>
                <w:szCs w:val="16"/>
              </w:rPr>
              <w:t>61,074</w:t>
            </w:r>
          </w:p>
        </w:tc>
      </w:tr>
      <w:tr w:rsidR="00670E5F" w:rsidRPr="00A3596A" w14:paraId="11A326E8" w14:textId="77777777" w:rsidTr="0099234B">
        <w:trPr>
          <w:trHeight w:val="225"/>
        </w:trPr>
        <w:tc>
          <w:tcPr>
            <w:tcW w:w="5501" w:type="dxa"/>
            <w:tcBorders>
              <w:top w:val="nil"/>
              <w:left w:val="nil"/>
              <w:bottom w:val="nil"/>
              <w:right w:val="nil"/>
            </w:tcBorders>
            <w:shd w:val="clear" w:color="000000" w:fill="FFFFFF"/>
            <w:noWrap/>
            <w:vAlign w:val="center"/>
            <w:hideMark/>
          </w:tcPr>
          <w:p w14:paraId="358D1553" w14:textId="77777777" w:rsidR="00670E5F" w:rsidRPr="00CD1932" w:rsidRDefault="00670E5F" w:rsidP="004E0400">
            <w:pPr>
              <w:pStyle w:val="TableTextLeft"/>
              <w:rPr>
                <w:rFonts w:cs="Arial"/>
                <w:b/>
                <w:szCs w:val="16"/>
              </w:rPr>
            </w:pPr>
            <w:r w:rsidRPr="00CD1932">
              <w:rPr>
                <w:rFonts w:cs="Arial"/>
                <w:b/>
                <w:szCs w:val="16"/>
              </w:rPr>
              <w:t>Shares and other contributed capital</w:t>
            </w:r>
          </w:p>
        </w:tc>
        <w:tc>
          <w:tcPr>
            <w:tcW w:w="1105" w:type="dxa"/>
            <w:tcBorders>
              <w:top w:val="nil"/>
              <w:left w:val="nil"/>
              <w:bottom w:val="nil"/>
              <w:right w:val="nil"/>
            </w:tcBorders>
            <w:shd w:val="clear" w:color="000000" w:fill="FFFFFF"/>
            <w:noWrap/>
            <w:vAlign w:val="center"/>
            <w:hideMark/>
          </w:tcPr>
          <w:p w14:paraId="0077F170" w14:textId="30C7319D" w:rsidR="00670E5F" w:rsidRPr="00CD1932" w:rsidRDefault="00670E5F" w:rsidP="00CD1CC7">
            <w:pPr>
              <w:pStyle w:val="TableTextRight"/>
              <w:rPr>
                <w:rFonts w:cs="Arial"/>
                <w:b/>
                <w:szCs w:val="16"/>
              </w:rPr>
            </w:pPr>
            <w:r w:rsidRPr="00CD1932">
              <w:rPr>
                <w:rFonts w:cs="Arial"/>
                <w:b/>
                <w:szCs w:val="16"/>
              </w:rPr>
              <w:t>26,921</w:t>
            </w:r>
          </w:p>
        </w:tc>
        <w:tc>
          <w:tcPr>
            <w:tcW w:w="1105" w:type="dxa"/>
            <w:tcBorders>
              <w:top w:val="nil"/>
              <w:left w:val="nil"/>
              <w:bottom w:val="nil"/>
              <w:right w:val="nil"/>
            </w:tcBorders>
            <w:shd w:val="clear" w:color="000000" w:fill="E6F2FF"/>
            <w:noWrap/>
            <w:vAlign w:val="center"/>
            <w:hideMark/>
          </w:tcPr>
          <w:p w14:paraId="147618D4" w14:textId="4900F2FE" w:rsidR="00670E5F" w:rsidRPr="00CD1932" w:rsidRDefault="00670E5F" w:rsidP="00CD1CC7">
            <w:pPr>
              <w:pStyle w:val="TableTextRight"/>
              <w:rPr>
                <w:rFonts w:cs="Arial"/>
                <w:b/>
                <w:szCs w:val="16"/>
              </w:rPr>
            </w:pPr>
            <w:r w:rsidRPr="00CD1932">
              <w:rPr>
                <w:rFonts w:cs="Arial"/>
                <w:b/>
                <w:szCs w:val="16"/>
              </w:rPr>
              <w:t>31,669</w:t>
            </w:r>
          </w:p>
        </w:tc>
      </w:tr>
      <w:tr w:rsidR="00670E5F" w:rsidRPr="00A3596A" w14:paraId="0C0DDE91" w14:textId="77777777" w:rsidTr="0099234B">
        <w:trPr>
          <w:trHeight w:val="225"/>
        </w:trPr>
        <w:tc>
          <w:tcPr>
            <w:tcW w:w="5501" w:type="dxa"/>
            <w:tcBorders>
              <w:top w:val="nil"/>
              <w:left w:val="nil"/>
              <w:bottom w:val="single" w:sz="4" w:space="0" w:color="293F5B"/>
              <w:right w:val="nil"/>
            </w:tcBorders>
            <w:shd w:val="clear" w:color="000000" w:fill="FFFFFF"/>
            <w:noWrap/>
            <w:vAlign w:val="center"/>
            <w:hideMark/>
          </w:tcPr>
          <w:p w14:paraId="7A2345B6" w14:textId="77777777" w:rsidR="00670E5F" w:rsidRPr="00CD1932" w:rsidRDefault="00670E5F" w:rsidP="004E0400">
            <w:pPr>
              <w:pStyle w:val="TableTextLeft"/>
              <w:rPr>
                <w:rFonts w:cs="Arial"/>
                <w:b/>
                <w:szCs w:val="16"/>
              </w:rPr>
            </w:pPr>
            <w:r w:rsidRPr="00CD1932">
              <w:rPr>
                <w:rFonts w:cs="Arial"/>
                <w:b/>
                <w:szCs w:val="16"/>
              </w:rPr>
              <w:t>Net worth(b)</w:t>
            </w:r>
          </w:p>
        </w:tc>
        <w:tc>
          <w:tcPr>
            <w:tcW w:w="1105" w:type="dxa"/>
            <w:tcBorders>
              <w:top w:val="nil"/>
              <w:left w:val="nil"/>
              <w:bottom w:val="single" w:sz="4" w:space="0" w:color="293F5B"/>
              <w:right w:val="nil"/>
            </w:tcBorders>
            <w:shd w:val="clear" w:color="000000" w:fill="FFFFFF"/>
            <w:noWrap/>
            <w:vAlign w:val="center"/>
            <w:hideMark/>
          </w:tcPr>
          <w:p w14:paraId="36365705" w14:textId="28AD5EA1" w:rsidR="00670E5F" w:rsidRPr="00CD1932" w:rsidRDefault="00670E5F" w:rsidP="00CD1CC7">
            <w:pPr>
              <w:pStyle w:val="TableTextRight"/>
              <w:rPr>
                <w:rFonts w:cs="Arial"/>
                <w:b/>
                <w:szCs w:val="16"/>
              </w:rPr>
            </w:pPr>
            <w:r w:rsidRPr="00CD1932">
              <w:rPr>
                <w:rFonts w:cs="Arial"/>
                <w:b/>
                <w:szCs w:val="16"/>
              </w:rPr>
              <w:t>26,921</w:t>
            </w:r>
          </w:p>
        </w:tc>
        <w:tc>
          <w:tcPr>
            <w:tcW w:w="1105" w:type="dxa"/>
            <w:tcBorders>
              <w:top w:val="nil"/>
              <w:left w:val="nil"/>
              <w:bottom w:val="single" w:sz="4" w:space="0" w:color="293F5B"/>
              <w:right w:val="nil"/>
            </w:tcBorders>
            <w:shd w:val="clear" w:color="000000" w:fill="E6F2FF"/>
            <w:noWrap/>
            <w:vAlign w:val="center"/>
            <w:hideMark/>
          </w:tcPr>
          <w:p w14:paraId="5DB5370D" w14:textId="0018A285" w:rsidR="00670E5F" w:rsidRPr="00CD1932" w:rsidRDefault="00670E5F" w:rsidP="00CD1CC7">
            <w:pPr>
              <w:pStyle w:val="TableTextRight"/>
              <w:rPr>
                <w:rFonts w:cs="Arial"/>
                <w:b/>
                <w:szCs w:val="16"/>
              </w:rPr>
            </w:pPr>
            <w:r w:rsidRPr="00CD1932">
              <w:rPr>
                <w:rFonts w:cs="Arial"/>
                <w:b/>
                <w:szCs w:val="16"/>
              </w:rPr>
              <w:t>31,669</w:t>
            </w:r>
          </w:p>
        </w:tc>
      </w:tr>
      <w:tr w:rsidR="00670E5F" w:rsidRPr="00A3596A" w14:paraId="2FC1719E" w14:textId="77777777" w:rsidTr="0099234B">
        <w:trPr>
          <w:trHeight w:val="225"/>
        </w:trPr>
        <w:tc>
          <w:tcPr>
            <w:tcW w:w="5501" w:type="dxa"/>
            <w:tcBorders>
              <w:top w:val="nil"/>
              <w:left w:val="nil"/>
              <w:bottom w:val="nil"/>
              <w:right w:val="nil"/>
            </w:tcBorders>
            <w:shd w:val="clear" w:color="000000" w:fill="FFFFFF"/>
            <w:noWrap/>
            <w:vAlign w:val="center"/>
            <w:hideMark/>
          </w:tcPr>
          <w:p w14:paraId="0B202949" w14:textId="77777777" w:rsidR="00670E5F" w:rsidRPr="00CD1932" w:rsidRDefault="00670E5F" w:rsidP="004E0400">
            <w:pPr>
              <w:pStyle w:val="TableTextLeft"/>
              <w:rPr>
                <w:rFonts w:cs="Arial"/>
                <w:i/>
                <w:szCs w:val="16"/>
              </w:rPr>
            </w:pPr>
            <w:r w:rsidRPr="00CD1932">
              <w:rPr>
                <w:rFonts w:cs="Arial"/>
                <w:i/>
                <w:szCs w:val="16"/>
              </w:rPr>
              <w:t xml:space="preserve">Net financial worth(c) </w:t>
            </w:r>
          </w:p>
        </w:tc>
        <w:tc>
          <w:tcPr>
            <w:tcW w:w="1105" w:type="dxa"/>
            <w:tcBorders>
              <w:top w:val="nil"/>
              <w:left w:val="nil"/>
              <w:bottom w:val="nil"/>
              <w:right w:val="nil"/>
            </w:tcBorders>
            <w:shd w:val="clear" w:color="000000" w:fill="FFFFFF"/>
            <w:noWrap/>
            <w:vAlign w:val="center"/>
            <w:hideMark/>
          </w:tcPr>
          <w:p w14:paraId="6BDC895E" w14:textId="42EB1FF6" w:rsidR="00670E5F" w:rsidRPr="00CD1932" w:rsidRDefault="00325E1E" w:rsidP="00CD1CC7">
            <w:pPr>
              <w:pStyle w:val="TableTextRight"/>
              <w:rPr>
                <w:rFonts w:cs="Arial"/>
                <w:i/>
                <w:szCs w:val="16"/>
              </w:rPr>
            </w:pPr>
            <w:r>
              <w:rPr>
                <w:rFonts w:cs="Arial"/>
                <w:i/>
                <w:iCs/>
                <w:szCs w:val="16"/>
              </w:rPr>
              <w:noBreakHyphen/>
            </w:r>
            <w:r w:rsidR="00670E5F" w:rsidRPr="00CD1932">
              <w:rPr>
                <w:rFonts w:cs="Arial"/>
                <w:i/>
                <w:szCs w:val="16"/>
              </w:rPr>
              <w:t>49,152</w:t>
            </w:r>
          </w:p>
        </w:tc>
        <w:tc>
          <w:tcPr>
            <w:tcW w:w="1105" w:type="dxa"/>
            <w:tcBorders>
              <w:top w:val="nil"/>
              <w:left w:val="nil"/>
              <w:bottom w:val="nil"/>
              <w:right w:val="nil"/>
            </w:tcBorders>
            <w:shd w:val="clear" w:color="000000" w:fill="E6F2FF"/>
            <w:noWrap/>
            <w:vAlign w:val="center"/>
            <w:hideMark/>
          </w:tcPr>
          <w:p w14:paraId="068ECFAA" w14:textId="1D9D5289" w:rsidR="00670E5F" w:rsidRPr="00CD1932" w:rsidRDefault="00325E1E" w:rsidP="00CD1CC7">
            <w:pPr>
              <w:pStyle w:val="TableTextRight"/>
              <w:rPr>
                <w:rFonts w:cs="Arial"/>
                <w:i/>
                <w:szCs w:val="16"/>
              </w:rPr>
            </w:pPr>
            <w:r>
              <w:rPr>
                <w:rFonts w:cs="Arial"/>
                <w:i/>
                <w:iCs/>
                <w:szCs w:val="16"/>
              </w:rPr>
              <w:noBreakHyphen/>
            </w:r>
            <w:r w:rsidR="00670E5F" w:rsidRPr="00CD1932">
              <w:rPr>
                <w:rFonts w:cs="Arial"/>
                <w:i/>
                <w:szCs w:val="16"/>
              </w:rPr>
              <w:t>51,817</w:t>
            </w:r>
          </w:p>
        </w:tc>
      </w:tr>
      <w:tr w:rsidR="00670E5F" w:rsidRPr="00A3596A" w14:paraId="322F314B" w14:textId="77777777" w:rsidTr="0099234B">
        <w:trPr>
          <w:trHeight w:val="225"/>
        </w:trPr>
        <w:tc>
          <w:tcPr>
            <w:tcW w:w="5501" w:type="dxa"/>
            <w:tcBorders>
              <w:top w:val="nil"/>
              <w:left w:val="nil"/>
              <w:bottom w:val="single" w:sz="4" w:space="0" w:color="293F5B"/>
              <w:right w:val="nil"/>
            </w:tcBorders>
            <w:shd w:val="clear" w:color="000000" w:fill="FFFFFF"/>
            <w:noWrap/>
            <w:vAlign w:val="center"/>
            <w:hideMark/>
          </w:tcPr>
          <w:p w14:paraId="2B309177" w14:textId="77777777" w:rsidR="00670E5F" w:rsidRPr="00CD1932" w:rsidRDefault="00670E5F" w:rsidP="004E0400">
            <w:pPr>
              <w:pStyle w:val="TableTextLeft"/>
              <w:rPr>
                <w:rFonts w:cs="Arial"/>
                <w:i/>
                <w:szCs w:val="16"/>
              </w:rPr>
            </w:pPr>
            <w:r w:rsidRPr="00CD1932">
              <w:rPr>
                <w:rFonts w:cs="Arial"/>
                <w:i/>
                <w:szCs w:val="16"/>
              </w:rPr>
              <w:t>Net debt(d)</w:t>
            </w:r>
          </w:p>
        </w:tc>
        <w:tc>
          <w:tcPr>
            <w:tcW w:w="1105" w:type="dxa"/>
            <w:tcBorders>
              <w:top w:val="nil"/>
              <w:left w:val="nil"/>
              <w:bottom w:val="single" w:sz="4" w:space="0" w:color="293F5B"/>
              <w:right w:val="nil"/>
            </w:tcBorders>
            <w:shd w:val="clear" w:color="000000" w:fill="FFFFFF"/>
            <w:noWrap/>
            <w:vAlign w:val="center"/>
            <w:hideMark/>
          </w:tcPr>
          <w:p w14:paraId="01495E9F" w14:textId="4DB9FD90" w:rsidR="00670E5F" w:rsidRPr="00CD1932" w:rsidRDefault="00670E5F" w:rsidP="00CD1CC7">
            <w:pPr>
              <w:pStyle w:val="TableTextRight"/>
              <w:rPr>
                <w:rFonts w:cs="Arial"/>
                <w:i/>
                <w:szCs w:val="16"/>
              </w:rPr>
            </w:pPr>
            <w:r w:rsidRPr="00CD1932">
              <w:rPr>
                <w:rFonts w:cs="Arial"/>
                <w:i/>
                <w:szCs w:val="16"/>
              </w:rPr>
              <w:t>46,038</w:t>
            </w:r>
          </w:p>
        </w:tc>
        <w:tc>
          <w:tcPr>
            <w:tcW w:w="1105" w:type="dxa"/>
            <w:tcBorders>
              <w:top w:val="nil"/>
              <w:left w:val="nil"/>
              <w:bottom w:val="single" w:sz="4" w:space="0" w:color="293F5B"/>
              <w:right w:val="nil"/>
            </w:tcBorders>
            <w:shd w:val="clear" w:color="000000" w:fill="E6F2FF"/>
            <w:noWrap/>
            <w:vAlign w:val="center"/>
            <w:hideMark/>
          </w:tcPr>
          <w:p w14:paraId="76BFABD0" w14:textId="3042BC1A" w:rsidR="00670E5F" w:rsidRPr="00CD1932" w:rsidRDefault="00670E5F" w:rsidP="00CD1CC7">
            <w:pPr>
              <w:pStyle w:val="TableTextRight"/>
              <w:rPr>
                <w:rFonts w:cs="Arial"/>
                <w:i/>
                <w:szCs w:val="16"/>
              </w:rPr>
            </w:pPr>
            <w:r w:rsidRPr="00CD1932">
              <w:rPr>
                <w:rFonts w:cs="Arial"/>
                <w:i/>
                <w:szCs w:val="16"/>
              </w:rPr>
              <w:t>48,651</w:t>
            </w:r>
          </w:p>
        </w:tc>
      </w:tr>
    </w:tbl>
    <w:p w14:paraId="66903486" w14:textId="33A3826A" w:rsidR="00D8138E" w:rsidRPr="00966965" w:rsidRDefault="00D8138E" w:rsidP="00D8138E">
      <w:pPr>
        <w:pStyle w:val="ChartandTableFootnoteAlpha"/>
        <w:numPr>
          <w:ilvl w:val="0"/>
          <w:numId w:val="11"/>
        </w:numPr>
      </w:pPr>
      <w:r w:rsidRPr="00966965">
        <w:t>Excludes the impact of commercial taxation adjustments.</w:t>
      </w:r>
    </w:p>
    <w:p w14:paraId="453BDF08" w14:textId="41DBC629" w:rsidR="00D8138E" w:rsidRPr="00966965" w:rsidRDefault="00D8138E" w:rsidP="00D8138E">
      <w:pPr>
        <w:pStyle w:val="ChartandTableFootnoteAlpha"/>
        <w:numPr>
          <w:ilvl w:val="0"/>
          <w:numId w:val="11"/>
        </w:numPr>
      </w:pPr>
      <w:r w:rsidRPr="00966965">
        <w:t xml:space="preserve">Under </w:t>
      </w:r>
      <w:r w:rsidR="00A96E0D">
        <w:t>AASB </w:t>
      </w:r>
      <w:r w:rsidRPr="00966965">
        <w:t xml:space="preserve">1049, net worth equals total assets minus total liabilities. Under the ABS GFS, net worth equals total assets minus total liabilities minus shares and other contributed capital. The </w:t>
      </w:r>
      <w:r w:rsidR="00A96E0D">
        <w:t>AASB </w:t>
      </w:r>
      <w:r w:rsidRPr="00966965">
        <w:t>1049 method is used in this table.</w:t>
      </w:r>
    </w:p>
    <w:p w14:paraId="24E81465" w14:textId="0444E437" w:rsidR="00D8138E" w:rsidRPr="00966965" w:rsidRDefault="00D8138E" w:rsidP="00D8138E">
      <w:pPr>
        <w:pStyle w:val="ChartandTableFootnoteAlpha"/>
        <w:numPr>
          <w:ilvl w:val="0"/>
          <w:numId w:val="11"/>
        </w:numPr>
      </w:pPr>
      <w:r w:rsidRPr="00966965">
        <w:t xml:space="preserve">Under </w:t>
      </w:r>
      <w:r w:rsidR="00A96E0D">
        <w:t>AASB </w:t>
      </w:r>
      <w:r w:rsidRPr="00966965">
        <w:t xml:space="preserve">1049, net financial worth equals total financial assets minus total liabilities. Under the ABS GFS, net financial worth equals total financial assets minus total liabilities minus shares and other contributed capital. The </w:t>
      </w:r>
      <w:r w:rsidR="00A96E0D">
        <w:t>AASB </w:t>
      </w:r>
      <w:r w:rsidRPr="00966965">
        <w:t>1049 method is used in this table.</w:t>
      </w:r>
    </w:p>
    <w:p w14:paraId="76631C0A" w14:textId="77777777" w:rsidR="00D8138E" w:rsidRPr="00EA746C" w:rsidRDefault="00D8138E" w:rsidP="00D8138E">
      <w:pPr>
        <w:pStyle w:val="ChartandTableFootnoteAlpha"/>
        <w:numPr>
          <w:ilvl w:val="0"/>
          <w:numId w:val="11"/>
        </w:numPr>
      </w:pPr>
      <w:r w:rsidRPr="00966965">
        <w:t>Net debt</w:t>
      </w:r>
      <w:r w:rsidRPr="00EA746C">
        <w:t xml:space="preserve"> is the sum of interest bearing liabilities less the sum of selected financial assets (cash and deposits and investments, loans and placements).</w:t>
      </w:r>
    </w:p>
    <w:p w14:paraId="5337920F" w14:textId="77777777" w:rsidR="00D8138E" w:rsidRPr="00EA746C" w:rsidRDefault="00D8138E" w:rsidP="00427ADC">
      <w:pPr>
        <w:pStyle w:val="TableLine"/>
      </w:pPr>
    </w:p>
    <w:p w14:paraId="15EB2EFB" w14:textId="77777777" w:rsidR="00D8138E" w:rsidRPr="00EA746C" w:rsidRDefault="00D8138E" w:rsidP="00D8138E">
      <w:r w:rsidRPr="00EA746C">
        <w:br w:type="page"/>
      </w:r>
    </w:p>
    <w:p w14:paraId="7A760B60" w14:textId="7A4D444B"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C47C3A">
        <w:t>1</w:t>
      </w:r>
      <w:r w:rsidR="005A3823">
        <w:t>0</w:t>
      </w:r>
      <w:r w:rsidR="00D8138E" w:rsidRPr="00C47C3A">
        <w:t>.6: Australian Government public non</w:t>
      </w:r>
      <w:r w:rsidR="00325E1E">
        <w:noBreakHyphen/>
      </w:r>
      <w:r w:rsidR="00D8138E" w:rsidRPr="00C47C3A">
        <w:t>financial corporations sector cash flow statement</w:t>
      </w:r>
      <w:r w:rsidR="00D8138E" w:rsidRPr="00AC538C">
        <w:rPr>
          <w:vertAlign w:val="superscript"/>
        </w:rPr>
        <w:t>(a)</w:t>
      </w:r>
      <w:r w:rsidR="00D8138E">
        <w:rPr>
          <w:rFonts w:eastAsiaTheme="minorHAnsi"/>
        </w:rPr>
        <w:t xml:space="preserve"> </w:t>
      </w:r>
    </w:p>
    <w:tbl>
      <w:tblPr>
        <w:tblW w:w="7711" w:type="dxa"/>
        <w:tblBorders>
          <w:top w:val="single" w:sz="4" w:space="0" w:color="293F5B"/>
          <w:bottom w:val="single" w:sz="4" w:space="0" w:color="293F5B"/>
        </w:tblBorders>
        <w:tblLook w:val="04A0" w:firstRow="1" w:lastRow="0" w:firstColumn="1" w:lastColumn="0" w:noHBand="0" w:noVBand="1"/>
      </w:tblPr>
      <w:tblGrid>
        <w:gridCol w:w="5501"/>
        <w:gridCol w:w="1105"/>
        <w:gridCol w:w="1105"/>
      </w:tblGrid>
      <w:tr w:rsidR="000B6D6A" w:rsidRPr="000B6D6A" w14:paraId="2CE1CE42" w14:textId="77777777" w:rsidTr="00572B8D">
        <w:trPr>
          <w:trHeight w:val="225"/>
        </w:trPr>
        <w:tc>
          <w:tcPr>
            <w:tcW w:w="5501" w:type="dxa"/>
            <w:shd w:val="clear" w:color="000000" w:fill="FFFFFF"/>
            <w:noWrap/>
            <w:vAlign w:val="center"/>
            <w:hideMark/>
          </w:tcPr>
          <w:p w14:paraId="6FBBDD08" w14:textId="77777777" w:rsidR="000B6D6A" w:rsidRPr="000B6D6A" w:rsidRDefault="000B6D6A" w:rsidP="00894D4A">
            <w:pPr>
              <w:pStyle w:val="TableTextLeft"/>
            </w:pPr>
            <w:r w:rsidRPr="000B6D6A">
              <w:t> </w:t>
            </w:r>
          </w:p>
        </w:tc>
        <w:tc>
          <w:tcPr>
            <w:tcW w:w="2210" w:type="dxa"/>
            <w:gridSpan w:val="2"/>
            <w:tcBorders>
              <w:bottom w:val="single" w:sz="4" w:space="0" w:color="293F5B"/>
            </w:tcBorders>
            <w:shd w:val="clear" w:color="000000" w:fill="FFFFFF"/>
            <w:noWrap/>
            <w:vAlign w:val="center"/>
            <w:hideMark/>
          </w:tcPr>
          <w:p w14:paraId="58DCE248" w14:textId="6E822BBE" w:rsidR="000B6D6A" w:rsidRPr="000B6D6A" w:rsidRDefault="00394C8E" w:rsidP="00394C8E">
            <w:pPr>
              <w:pStyle w:val="TableTextCentred"/>
            </w:pPr>
            <w:r w:rsidRPr="000B6D6A">
              <w:t>Estimates </w:t>
            </w:r>
          </w:p>
        </w:tc>
      </w:tr>
      <w:tr w:rsidR="000B6D6A" w:rsidRPr="000B6D6A" w14:paraId="5DCE53C5" w14:textId="77777777" w:rsidTr="00572B8D">
        <w:trPr>
          <w:trHeight w:val="225"/>
        </w:trPr>
        <w:tc>
          <w:tcPr>
            <w:tcW w:w="5501" w:type="dxa"/>
            <w:shd w:val="clear" w:color="000000" w:fill="FFFFFF"/>
            <w:noWrap/>
            <w:vAlign w:val="center"/>
            <w:hideMark/>
          </w:tcPr>
          <w:p w14:paraId="6DB2753E" w14:textId="77777777" w:rsidR="000B6D6A" w:rsidRPr="000B6D6A" w:rsidRDefault="000B6D6A" w:rsidP="00894D4A">
            <w:pPr>
              <w:pStyle w:val="TableTextLeft"/>
            </w:pPr>
            <w:r w:rsidRPr="000B6D6A">
              <w:t> </w:t>
            </w:r>
          </w:p>
        </w:tc>
        <w:tc>
          <w:tcPr>
            <w:tcW w:w="1105" w:type="dxa"/>
            <w:tcBorders>
              <w:top w:val="single" w:sz="4" w:space="0" w:color="293F5B"/>
              <w:bottom w:val="nil"/>
            </w:tcBorders>
            <w:shd w:val="clear" w:color="000000" w:fill="FFFFFF"/>
            <w:noWrap/>
            <w:vAlign w:val="center"/>
            <w:hideMark/>
          </w:tcPr>
          <w:p w14:paraId="7248BF5C" w14:textId="5BA485D5" w:rsidR="000B6D6A" w:rsidRPr="000B6D6A" w:rsidRDefault="000B6D6A" w:rsidP="00394C8E">
            <w:pPr>
              <w:pStyle w:val="TableTextRight"/>
            </w:pPr>
            <w:r w:rsidRPr="000B6D6A">
              <w:t>2023</w:t>
            </w:r>
            <w:r w:rsidR="00325E1E">
              <w:noBreakHyphen/>
            </w:r>
            <w:r w:rsidRPr="000B6D6A">
              <w:t>24</w:t>
            </w:r>
          </w:p>
        </w:tc>
        <w:tc>
          <w:tcPr>
            <w:tcW w:w="1105" w:type="dxa"/>
            <w:tcBorders>
              <w:top w:val="single" w:sz="4" w:space="0" w:color="293F5B"/>
              <w:bottom w:val="nil"/>
            </w:tcBorders>
            <w:shd w:val="clear" w:color="000000" w:fill="E6F2FF"/>
            <w:noWrap/>
            <w:vAlign w:val="center"/>
            <w:hideMark/>
          </w:tcPr>
          <w:p w14:paraId="6BE225BA" w14:textId="44DA60A5" w:rsidR="000B6D6A" w:rsidRPr="000B6D6A" w:rsidRDefault="000B6D6A" w:rsidP="00394C8E">
            <w:pPr>
              <w:pStyle w:val="TableTextRight"/>
            </w:pPr>
            <w:r w:rsidRPr="000B6D6A">
              <w:t>2024</w:t>
            </w:r>
            <w:r w:rsidR="00325E1E">
              <w:noBreakHyphen/>
            </w:r>
            <w:r w:rsidRPr="000B6D6A">
              <w:t>25</w:t>
            </w:r>
          </w:p>
        </w:tc>
      </w:tr>
      <w:tr w:rsidR="000B6D6A" w:rsidRPr="000B6D6A" w14:paraId="5071E14F" w14:textId="77777777" w:rsidTr="00572B8D">
        <w:trPr>
          <w:trHeight w:val="225"/>
        </w:trPr>
        <w:tc>
          <w:tcPr>
            <w:tcW w:w="5501" w:type="dxa"/>
            <w:shd w:val="clear" w:color="000000" w:fill="FFFFFF"/>
            <w:noWrap/>
            <w:vAlign w:val="center"/>
            <w:hideMark/>
          </w:tcPr>
          <w:p w14:paraId="4F708881" w14:textId="77777777" w:rsidR="000B6D6A" w:rsidRPr="000B6D6A" w:rsidRDefault="000B6D6A" w:rsidP="00894D4A">
            <w:pPr>
              <w:pStyle w:val="TableTextLeft"/>
            </w:pPr>
            <w:r w:rsidRPr="000B6D6A">
              <w:t> </w:t>
            </w:r>
          </w:p>
        </w:tc>
        <w:tc>
          <w:tcPr>
            <w:tcW w:w="1105" w:type="dxa"/>
            <w:tcBorders>
              <w:top w:val="nil"/>
              <w:bottom w:val="single" w:sz="4" w:space="0" w:color="293F5B"/>
            </w:tcBorders>
            <w:shd w:val="clear" w:color="000000" w:fill="FFFFFF"/>
            <w:noWrap/>
            <w:vAlign w:val="center"/>
            <w:hideMark/>
          </w:tcPr>
          <w:p w14:paraId="2B3191D5" w14:textId="77777777" w:rsidR="000B6D6A" w:rsidRPr="000B6D6A" w:rsidRDefault="000B6D6A" w:rsidP="00394C8E">
            <w:pPr>
              <w:pStyle w:val="TableTextRight"/>
            </w:pPr>
            <w:r w:rsidRPr="000B6D6A">
              <w:t>$m</w:t>
            </w:r>
          </w:p>
        </w:tc>
        <w:tc>
          <w:tcPr>
            <w:tcW w:w="1105" w:type="dxa"/>
            <w:tcBorders>
              <w:top w:val="nil"/>
              <w:bottom w:val="single" w:sz="4" w:space="0" w:color="293F5B"/>
            </w:tcBorders>
            <w:shd w:val="clear" w:color="000000" w:fill="E6F2FF"/>
            <w:noWrap/>
            <w:vAlign w:val="center"/>
            <w:hideMark/>
          </w:tcPr>
          <w:p w14:paraId="27B47178" w14:textId="77777777" w:rsidR="000B6D6A" w:rsidRPr="000B6D6A" w:rsidRDefault="000B6D6A" w:rsidP="00394C8E">
            <w:pPr>
              <w:pStyle w:val="TableTextRight"/>
            </w:pPr>
            <w:r w:rsidRPr="000B6D6A">
              <w:t>$m</w:t>
            </w:r>
          </w:p>
        </w:tc>
      </w:tr>
      <w:tr w:rsidR="000B6D6A" w:rsidRPr="000B6D6A" w14:paraId="295C35C9" w14:textId="77777777" w:rsidTr="00572B8D">
        <w:trPr>
          <w:trHeight w:val="225"/>
        </w:trPr>
        <w:tc>
          <w:tcPr>
            <w:tcW w:w="5501" w:type="dxa"/>
            <w:shd w:val="clear" w:color="000000" w:fill="FFFFFF"/>
            <w:noWrap/>
            <w:vAlign w:val="center"/>
            <w:hideMark/>
          </w:tcPr>
          <w:p w14:paraId="3BDD6FF0" w14:textId="77777777" w:rsidR="000B6D6A" w:rsidRPr="00CD1932" w:rsidRDefault="000B6D6A" w:rsidP="00894D4A">
            <w:pPr>
              <w:pStyle w:val="TableTextLeft"/>
              <w:rPr>
                <w:rFonts w:cs="Arial"/>
                <w:b/>
                <w:szCs w:val="16"/>
              </w:rPr>
            </w:pPr>
            <w:r w:rsidRPr="00CD1932">
              <w:rPr>
                <w:rFonts w:cs="Arial"/>
                <w:b/>
                <w:szCs w:val="16"/>
              </w:rPr>
              <w:t>Cash receipts from operating activities</w:t>
            </w:r>
          </w:p>
        </w:tc>
        <w:tc>
          <w:tcPr>
            <w:tcW w:w="1105" w:type="dxa"/>
            <w:tcBorders>
              <w:top w:val="single" w:sz="4" w:space="0" w:color="293F5B"/>
            </w:tcBorders>
            <w:shd w:val="clear" w:color="000000" w:fill="FFFFFF"/>
            <w:noWrap/>
            <w:vAlign w:val="center"/>
            <w:hideMark/>
          </w:tcPr>
          <w:p w14:paraId="391C14AB" w14:textId="77777777" w:rsidR="000B6D6A" w:rsidRPr="00CD1932" w:rsidRDefault="000B6D6A" w:rsidP="00394C8E">
            <w:pPr>
              <w:pStyle w:val="TableTextRight"/>
              <w:rPr>
                <w:rFonts w:cs="Arial"/>
                <w:szCs w:val="16"/>
              </w:rPr>
            </w:pPr>
            <w:r w:rsidRPr="00CD1932">
              <w:rPr>
                <w:rFonts w:cs="Arial"/>
                <w:szCs w:val="16"/>
              </w:rPr>
              <w:t> </w:t>
            </w:r>
          </w:p>
        </w:tc>
        <w:tc>
          <w:tcPr>
            <w:tcW w:w="1105" w:type="dxa"/>
            <w:tcBorders>
              <w:top w:val="single" w:sz="4" w:space="0" w:color="293F5B"/>
            </w:tcBorders>
            <w:shd w:val="clear" w:color="000000" w:fill="E6F2FF"/>
            <w:noWrap/>
            <w:vAlign w:val="center"/>
            <w:hideMark/>
          </w:tcPr>
          <w:p w14:paraId="0551ACBB" w14:textId="77777777" w:rsidR="000B6D6A" w:rsidRPr="00CD1932" w:rsidRDefault="000B6D6A" w:rsidP="00394C8E">
            <w:pPr>
              <w:pStyle w:val="TableTextRight"/>
              <w:rPr>
                <w:rFonts w:cs="Arial"/>
                <w:szCs w:val="16"/>
              </w:rPr>
            </w:pPr>
            <w:r w:rsidRPr="00CD1932">
              <w:rPr>
                <w:rFonts w:cs="Arial"/>
                <w:szCs w:val="16"/>
              </w:rPr>
              <w:t> </w:t>
            </w:r>
          </w:p>
        </w:tc>
      </w:tr>
      <w:tr w:rsidR="001C2F7D" w:rsidRPr="000B6D6A" w14:paraId="58DD5D57" w14:textId="77777777" w:rsidTr="00572B8D">
        <w:trPr>
          <w:trHeight w:val="225"/>
        </w:trPr>
        <w:tc>
          <w:tcPr>
            <w:tcW w:w="5501" w:type="dxa"/>
            <w:shd w:val="clear" w:color="000000" w:fill="FFFFFF"/>
            <w:noWrap/>
            <w:vAlign w:val="center"/>
            <w:hideMark/>
          </w:tcPr>
          <w:p w14:paraId="51882E2B" w14:textId="77777777" w:rsidR="001C2F7D" w:rsidRPr="00CD1932" w:rsidRDefault="001C2F7D" w:rsidP="00894D4A">
            <w:pPr>
              <w:pStyle w:val="TableTextLeft"/>
              <w:rPr>
                <w:rFonts w:cs="Arial"/>
                <w:szCs w:val="16"/>
              </w:rPr>
            </w:pPr>
            <w:r w:rsidRPr="00CD1932">
              <w:rPr>
                <w:rFonts w:cs="Arial"/>
                <w:szCs w:val="16"/>
              </w:rPr>
              <w:t>Receipts from sales of goods and services</w:t>
            </w:r>
          </w:p>
        </w:tc>
        <w:tc>
          <w:tcPr>
            <w:tcW w:w="1105" w:type="dxa"/>
            <w:shd w:val="clear" w:color="000000" w:fill="FFFFFF"/>
            <w:noWrap/>
            <w:vAlign w:val="center"/>
            <w:hideMark/>
          </w:tcPr>
          <w:p w14:paraId="706012C4" w14:textId="6453CF5F" w:rsidR="001C2F7D" w:rsidRPr="00CD1932" w:rsidRDefault="001C2F7D" w:rsidP="00394C8E">
            <w:pPr>
              <w:pStyle w:val="TableTextRight"/>
              <w:rPr>
                <w:rFonts w:cs="Arial"/>
                <w:szCs w:val="16"/>
              </w:rPr>
            </w:pPr>
            <w:r w:rsidRPr="00CD1932">
              <w:rPr>
                <w:rFonts w:cs="Arial"/>
                <w:szCs w:val="16"/>
              </w:rPr>
              <w:t>22,509</w:t>
            </w:r>
          </w:p>
        </w:tc>
        <w:tc>
          <w:tcPr>
            <w:tcW w:w="1105" w:type="dxa"/>
            <w:shd w:val="clear" w:color="000000" w:fill="E6F2FF"/>
            <w:noWrap/>
            <w:vAlign w:val="center"/>
            <w:hideMark/>
          </w:tcPr>
          <w:p w14:paraId="30BCDFAB" w14:textId="13E0A4D0" w:rsidR="001C2F7D" w:rsidRPr="00CD1932" w:rsidRDefault="001C2F7D" w:rsidP="00394C8E">
            <w:pPr>
              <w:pStyle w:val="TableTextRight"/>
              <w:rPr>
                <w:rFonts w:cs="Arial"/>
                <w:szCs w:val="16"/>
              </w:rPr>
            </w:pPr>
            <w:r w:rsidRPr="00CD1932">
              <w:rPr>
                <w:rFonts w:cs="Arial"/>
                <w:szCs w:val="16"/>
              </w:rPr>
              <w:t>24,350</w:t>
            </w:r>
          </w:p>
        </w:tc>
      </w:tr>
      <w:tr w:rsidR="001C2F7D" w:rsidRPr="000B6D6A" w14:paraId="070B47D2" w14:textId="77777777" w:rsidTr="00572B8D">
        <w:trPr>
          <w:trHeight w:val="225"/>
        </w:trPr>
        <w:tc>
          <w:tcPr>
            <w:tcW w:w="5501" w:type="dxa"/>
            <w:shd w:val="clear" w:color="000000" w:fill="FFFFFF"/>
            <w:noWrap/>
            <w:vAlign w:val="center"/>
            <w:hideMark/>
          </w:tcPr>
          <w:p w14:paraId="3F52B19D" w14:textId="77777777" w:rsidR="001C2F7D" w:rsidRPr="00CD1932" w:rsidRDefault="001C2F7D" w:rsidP="00894D4A">
            <w:pPr>
              <w:pStyle w:val="TableTextLeft"/>
              <w:rPr>
                <w:rFonts w:cs="Arial"/>
                <w:szCs w:val="16"/>
              </w:rPr>
            </w:pPr>
            <w:r w:rsidRPr="00CD1932">
              <w:rPr>
                <w:rFonts w:cs="Arial"/>
                <w:szCs w:val="16"/>
              </w:rPr>
              <w:t>Grants and subsidies received</w:t>
            </w:r>
          </w:p>
        </w:tc>
        <w:tc>
          <w:tcPr>
            <w:tcW w:w="1105" w:type="dxa"/>
            <w:shd w:val="clear" w:color="000000" w:fill="FFFFFF"/>
            <w:noWrap/>
            <w:vAlign w:val="center"/>
            <w:hideMark/>
          </w:tcPr>
          <w:p w14:paraId="6274BA29" w14:textId="4F648318" w:rsidR="001C2F7D" w:rsidRPr="00CD1932" w:rsidRDefault="001C2F7D" w:rsidP="00394C8E">
            <w:pPr>
              <w:pStyle w:val="TableTextRight"/>
              <w:rPr>
                <w:rFonts w:cs="Arial"/>
                <w:szCs w:val="16"/>
              </w:rPr>
            </w:pPr>
            <w:r w:rsidRPr="00CD1932">
              <w:rPr>
                <w:rFonts w:cs="Arial"/>
                <w:szCs w:val="16"/>
              </w:rPr>
              <w:t>76</w:t>
            </w:r>
          </w:p>
        </w:tc>
        <w:tc>
          <w:tcPr>
            <w:tcW w:w="1105" w:type="dxa"/>
            <w:shd w:val="clear" w:color="000000" w:fill="E6F2FF"/>
            <w:noWrap/>
            <w:vAlign w:val="center"/>
            <w:hideMark/>
          </w:tcPr>
          <w:p w14:paraId="3316A6D7" w14:textId="2ACBAC0D" w:rsidR="001C2F7D" w:rsidRPr="00CD1932" w:rsidRDefault="001C2F7D" w:rsidP="00394C8E">
            <w:pPr>
              <w:pStyle w:val="TableTextRight"/>
              <w:rPr>
                <w:rFonts w:cs="Arial"/>
                <w:szCs w:val="16"/>
              </w:rPr>
            </w:pPr>
            <w:r w:rsidRPr="00CD1932">
              <w:rPr>
                <w:rFonts w:cs="Arial"/>
                <w:szCs w:val="16"/>
              </w:rPr>
              <w:t>82</w:t>
            </w:r>
          </w:p>
        </w:tc>
      </w:tr>
      <w:tr w:rsidR="001C2F7D" w:rsidRPr="000B6D6A" w14:paraId="45291C74" w14:textId="77777777" w:rsidTr="00572B8D">
        <w:trPr>
          <w:trHeight w:val="225"/>
        </w:trPr>
        <w:tc>
          <w:tcPr>
            <w:tcW w:w="5501" w:type="dxa"/>
            <w:shd w:val="clear" w:color="000000" w:fill="FFFFFF"/>
            <w:noWrap/>
            <w:vAlign w:val="center"/>
            <w:hideMark/>
          </w:tcPr>
          <w:p w14:paraId="56CF023A" w14:textId="77777777" w:rsidR="001C2F7D" w:rsidRPr="00CD1932" w:rsidRDefault="001C2F7D" w:rsidP="00894D4A">
            <w:pPr>
              <w:pStyle w:val="TableTextLeft"/>
              <w:rPr>
                <w:rFonts w:cs="Arial"/>
                <w:szCs w:val="16"/>
              </w:rPr>
            </w:pPr>
            <w:r w:rsidRPr="00CD1932">
              <w:rPr>
                <w:rFonts w:cs="Arial"/>
                <w:szCs w:val="16"/>
              </w:rPr>
              <w:t>GST input credit receipts</w:t>
            </w:r>
          </w:p>
        </w:tc>
        <w:tc>
          <w:tcPr>
            <w:tcW w:w="1105" w:type="dxa"/>
            <w:shd w:val="clear" w:color="000000" w:fill="FFFFFF"/>
            <w:noWrap/>
            <w:vAlign w:val="center"/>
            <w:hideMark/>
          </w:tcPr>
          <w:p w14:paraId="5E955B16" w14:textId="6B43A9EB" w:rsidR="001C2F7D" w:rsidRPr="00CD1932" w:rsidRDefault="001C2F7D" w:rsidP="00394C8E">
            <w:pPr>
              <w:pStyle w:val="TableTextRight"/>
              <w:rPr>
                <w:rFonts w:cs="Arial"/>
                <w:szCs w:val="16"/>
              </w:rPr>
            </w:pPr>
            <w:r w:rsidRPr="00CD1932">
              <w:rPr>
                <w:rFonts w:cs="Arial"/>
                <w:szCs w:val="16"/>
              </w:rPr>
              <w:t>1,180</w:t>
            </w:r>
          </w:p>
        </w:tc>
        <w:tc>
          <w:tcPr>
            <w:tcW w:w="1105" w:type="dxa"/>
            <w:shd w:val="clear" w:color="000000" w:fill="E6F2FF"/>
            <w:noWrap/>
            <w:vAlign w:val="center"/>
            <w:hideMark/>
          </w:tcPr>
          <w:p w14:paraId="22D44A0A" w14:textId="620F7AB0" w:rsidR="001C2F7D" w:rsidRPr="00CD1932" w:rsidRDefault="001C2F7D" w:rsidP="00394C8E">
            <w:pPr>
              <w:pStyle w:val="TableTextRight"/>
              <w:rPr>
                <w:rFonts w:cs="Arial"/>
                <w:szCs w:val="16"/>
              </w:rPr>
            </w:pPr>
            <w:r w:rsidRPr="00CD1932">
              <w:rPr>
                <w:rFonts w:cs="Arial"/>
                <w:szCs w:val="16"/>
              </w:rPr>
              <w:t>1,149</w:t>
            </w:r>
          </w:p>
        </w:tc>
      </w:tr>
      <w:tr w:rsidR="001C2F7D" w:rsidRPr="000B6D6A" w14:paraId="796F40DE" w14:textId="77777777" w:rsidTr="00572B8D">
        <w:trPr>
          <w:trHeight w:val="225"/>
        </w:trPr>
        <w:tc>
          <w:tcPr>
            <w:tcW w:w="5501" w:type="dxa"/>
            <w:shd w:val="clear" w:color="000000" w:fill="FFFFFF"/>
            <w:noWrap/>
            <w:vAlign w:val="center"/>
            <w:hideMark/>
          </w:tcPr>
          <w:p w14:paraId="5535582B" w14:textId="77777777" w:rsidR="001C2F7D" w:rsidRPr="00CD1932" w:rsidRDefault="001C2F7D" w:rsidP="00894D4A">
            <w:pPr>
              <w:pStyle w:val="TableTextLeft"/>
              <w:rPr>
                <w:rFonts w:cs="Arial"/>
                <w:szCs w:val="16"/>
              </w:rPr>
            </w:pPr>
            <w:r w:rsidRPr="00CD1932">
              <w:rPr>
                <w:rFonts w:cs="Arial"/>
                <w:szCs w:val="16"/>
              </w:rPr>
              <w:t>Other receipts</w:t>
            </w:r>
          </w:p>
        </w:tc>
        <w:tc>
          <w:tcPr>
            <w:tcW w:w="1105" w:type="dxa"/>
            <w:shd w:val="clear" w:color="000000" w:fill="FFFFFF"/>
            <w:noWrap/>
            <w:vAlign w:val="center"/>
            <w:hideMark/>
          </w:tcPr>
          <w:p w14:paraId="7A845524" w14:textId="3FCAD86B" w:rsidR="001C2F7D" w:rsidRPr="00CD1932" w:rsidRDefault="001C2F7D" w:rsidP="00394C8E">
            <w:pPr>
              <w:pStyle w:val="TableTextRight"/>
              <w:rPr>
                <w:rFonts w:cs="Arial"/>
                <w:szCs w:val="16"/>
              </w:rPr>
            </w:pPr>
            <w:r w:rsidRPr="00CD1932">
              <w:rPr>
                <w:rFonts w:cs="Arial"/>
                <w:szCs w:val="16"/>
              </w:rPr>
              <w:t>127</w:t>
            </w:r>
          </w:p>
        </w:tc>
        <w:tc>
          <w:tcPr>
            <w:tcW w:w="1105" w:type="dxa"/>
            <w:shd w:val="clear" w:color="000000" w:fill="E6F2FF"/>
            <w:noWrap/>
            <w:vAlign w:val="center"/>
            <w:hideMark/>
          </w:tcPr>
          <w:p w14:paraId="41C33905" w14:textId="3BE58133" w:rsidR="001C2F7D" w:rsidRPr="00CD1932" w:rsidRDefault="001C2F7D" w:rsidP="00394C8E">
            <w:pPr>
              <w:pStyle w:val="TableTextRight"/>
              <w:rPr>
                <w:rFonts w:cs="Arial"/>
                <w:szCs w:val="16"/>
              </w:rPr>
            </w:pPr>
            <w:r w:rsidRPr="00CD1932">
              <w:rPr>
                <w:rFonts w:cs="Arial"/>
                <w:szCs w:val="16"/>
              </w:rPr>
              <w:t>71</w:t>
            </w:r>
          </w:p>
        </w:tc>
      </w:tr>
      <w:tr w:rsidR="001C2F7D" w:rsidRPr="000B6D6A" w14:paraId="0ECB25BE" w14:textId="77777777" w:rsidTr="00F7421B">
        <w:trPr>
          <w:trHeight w:val="235"/>
        </w:trPr>
        <w:tc>
          <w:tcPr>
            <w:tcW w:w="5501" w:type="dxa"/>
            <w:shd w:val="clear" w:color="000000" w:fill="FFFFFF"/>
            <w:noWrap/>
            <w:vAlign w:val="center"/>
            <w:hideMark/>
          </w:tcPr>
          <w:p w14:paraId="3C186C80" w14:textId="77777777" w:rsidR="001C2F7D" w:rsidRPr="00CD1932" w:rsidRDefault="001C2F7D" w:rsidP="00894D4A">
            <w:pPr>
              <w:pStyle w:val="TableTextLeft"/>
              <w:rPr>
                <w:rFonts w:cs="Arial"/>
                <w:b/>
                <w:szCs w:val="16"/>
              </w:rPr>
            </w:pPr>
            <w:r w:rsidRPr="00CD1932">
              <w:rPr>
                <w:rFonts w:cs="Arial"/>
                <w:b/>
                <w:szCs w:val="16"/>
              </w:rPr>
              <w:t>Total operating receipts</w:t>
            </w:r>
          </w:p>
        </w:tc>
        <w:tc>
          <w:tcPr>
            <w:tcW w:w="1105" w:type="dxa"/>
            <w:shd w:val="clear" w:color="000000" w:fill="FFFFFF"/>
            <w:noWrap/>
            <w:vAlign w:val="center"/>
            <w:hideMark/>
          </w:tcPr>
          <w:p w14:paraId="10073B0D" w14:textId="2F6B7C75" w:rsidR="001C2F7D" w:rsidRPr="00CD1932" w:rsidRDefault="001C2F7D" w:rsidP="00394C8E">
            <w:pPr>
              <w:pStyle w:val="TableTextRight"/>
              <w:rPr>
                <w:rFonts w:cs="Arial"/>
                <w:b/>
                <w:szCs w:val="16"/>
              </w:rPr>
            </w:pPr>
            <w:r w:rsidRPr="00CD1932">
              <w:rPr>
                <w:rFonts w:cs="Arial"/>
                <w:b/>
                <w:szCs w:val="16"/>
              </w:rPr>
              <w:t>23,892</w:t>
            </w:r>
          </w:p>
        </w:tc>
        <w:tc>
          <w:tcPr>
            <w:tcW w:w="1105" w:type="dxa"/>
            <w:shd w:val="clear" w:color="000000" w:fill="E6F2FF"/>
            <w:noWrap/>
            <w:vAlign w:val="center"/>
            <w:hideMark/>
          </w:tcPr>
          <w:p w14:paraId="00711F51" w14:textId="0D50294E" w:rsidR="001C2F7D" w:rsidRPr="00CD1932" w:rsidRDefault="001C2F7D" w:rsidP="00394C8E">
            <w:pPr>
              <w:pStyle w:val="TableTextRight"/>
              <w:rPr>
                <w:rFonts w:cs="Arial"/>
                <w:b/>
                <w:szCs w:val="16"/>
              </w:rPr>
            </w:pPr>
            <w:r w:rsidRPr="00CD1932">
              <w:rPr>
                <w:rFonts w:cs="Arial"/>
                <w:b/>
                <w:szCs w:val="16"/>
              </w:rPr>
              <w:t>25,652</w:t>
            </w:r>
          </w:p>
        </w:tc>
      </w:tr>
      <w:tr w:rsidR="000B6D6A" w:rsidRPr="000B6D6A" w14:paraId="552D00AC" w14:textId="77777777" w:rsidTr="00572B8D">
        <w:trPr>
          <w:trHeight w:val="225"/>
        </w:trPr>
        <w:tc>
          <w:tcPr>
            <w:tcW w:w="5501" w:type="dxa"/>
            <w:shd w:val="clear" w:color="000000" w:fill="FFFFFF"/>
            <w:noWrap/>
            <w:vAlign w:val="center"/>
            <w:hideMark/>
          </w:tcPr>
          <w:p w14:paraId="61C88644" w14:textId="77777777" w:rsidR="000B6D6A" w:rsidRPr="00CD1932" w:rsidRDefault="000B6D6A" w:rsidP="00894D4A">
            <w:pPr>
              <w:pStyle w:val="TableTextLeft"/>
              <w:rPr>
                <w:rFonts w:cs="Arial"/>
                <w:b/>
                <w:szCs w:val="16"/>
              </w:rPr>
            </w:pPr>
            <w:r w:rsidRPr="00CD1932">
              <w:rPr>
                <w:rFonts w:cs="Arial"/>
                <w:b/>
                <w:szCs w:val="16"/>
              </w:rPr>
              <w:t>Cash payments for operating activities</w:t>
            </w:r>
          </w:p>
        </w:tc>
        <w:tc>
          <w:tcPr>
            <w:tcW w:w="1105" w:type="dxa"/>
            <w:shd w:val="clear" w:color="000000" w:fill="FFFFFF"/>
            <w:noWrap/>
            <w:vAlign w:val="center"/>
            <w:hideMark/>
          </w:tcPr>
          <w:p w14:paraId="64D3C67A" w14:textId="77777777" w:rsidR="000B6D6A" w:rsidRPr="00CD1932" w:rsidRDefault="000B6D6A" w:rsidP="00394C8E">
            <w:pPr>
              <w:pStyle w:val="TableTextRight"/>
              <w:rPr>
                <w:rFonts w:cs="Arial"/>
                <w:szCs w:val="16"/>
              </w:rPr>
            </w:pPr>
            <w:r w:rsidRPr="00CD1932">
              <w:rPr>
                <w:rFonts w:cs="Arial"/>
                <w:szCs w:val="16"/>
              </w:rPr>
              <w:t> </w:t>
            </w:r>
          </w:p>
        </w:tc>
        <w:tc>
          <w:tcPr>
            <w:tcW w:w="1105" w:type="dxa"/>
            <w:shd w:val="clear" w:color="000000" w:fill="E6F2FF"/>
            <w:noWrap/>
            <w:vAlign w:val="center"/>
            <w:hideMark/>
          </w:tcPr>
          <w:p w14:paraId="2B72261D" w14:textId="77777777" w:rsidR="000B6D6A" w:rsidRPr="00CD1932" w:rsidRDefault="000B6D6A" w:rsidP="00394C8E">
            <w:pPr>
              <w:pStyle w:val="TableTextRight"/>
              <w:rPr>
                <w:rFonts w:cs="Arial"/>
                <w:szCs w:val="16"/>
              </w:rPr>
            </w:pPr>
            <w:r w:rsidRPr="00CD1932">
              <w:rPr>
                <w:rFonts w:cs="Arial"/>
                <w:szCs w:val="16"/>
              </w:rPr>
              <w:t> </w:t>
            </w:r>
          </w:p>
        </w:tc>
      </w:tr>
      <w:tr w:rsidR="00F13EE4" w:rsidRPr="000B6D6A" w14:paraId="1BBB9A8D" w14:textId="77777777" w:rsidTr="00572B8D">
        <w:trPr>
          <w:trHeight w:val="225"/>
        </w:trPr>
        <w:tc>
          <w:tcPr>
            <w:tcW w:w="5501" w:type="dxa"/>
            <w:shd w:val="clear" w:color="000000" w:fill="FFFFFF"/>
            <w:noWrap/>
            <w:vAlign w:val="center"/>
            <w:hideMark/>
          </w:tcPr>
          <w:p w14:paraId="3A7FB408" w14:textId="77777777" w:rsidR="00F13EE4" w:rsidRPr="00CD1932" w:rsidRDefault="00F13EE4" w:rsidP="00894D4A">
            <w:pPr>
              <w:pStyle w:val="TableTextLeft"/>
              <w:rPr>
                <w:rFonts w:cs="Arial"/>
                <w:szCs w:val="16"/>
              </w:rPr>
            </w:pPr>
            <w:r w:rsidRPr="00CD1932">
              <w:rPr>
                <w:rFonts w:cs="Arial"/>
                <w:szCs w:val="16"/>
              </w:rPr>
              <w:t>Payments to employees(b)</w:t>
            </w:r>
          </w:p>
        </w:tc>
        <w:tc>
          <w:tcPr>
            <w:tcW w:w="1105" w:type="dxa"/>
            <w:shd w:val="clear" w:color="000000" w:fill="FFFFFF"/>
            <w:noWrap/>
            <w:vAlign w:val="center"/>
            <w:hideMark/>
          </w:tcPr>
          <w:p w14:paraId="502A5FD0" w14:textId="7282E223"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5,431</w:t>
            </w:r>
          </w:p>
        </w:tc>
        <w:tc>
          <w:tcPr>
            <w:tcW w:w="1105" w:type="dxa"/>
            <w:shd w:val="clear" w:color="000000" w:fill="E6F2FF"/>
            <w:noWrap/>
            <w:vAlign w:val="center"/>
            <w:hideMark/>
          </w:tcPr>
          <w:p w14:paraId="04AA7E4A" w14:textId="4D5D0439"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5,570</w:t>
            </w:r>
          </w:p>
        </w:tc>
      </w:tr>
      <w:tr w:rsidR="00F13EE4" w:rsidRPr="000B6D6A" w14:paraId="1A7C97FE" w14:textId="77777777" w:rsidTr="00572B8D">
        <w:trPr>
          <w:trHeight w:val="225"/>
        </w:trPr>
        <w:tc>
          <w:tcPr>
            <w:tcW w:w="5501" w:type="dxa"/>
            <w:shd w:val="clear" w:color="000000" w:fill="FFFFFF"/>
            <w:noWrap/>
            <w:vAlign w:val="center"/>
            <w:hideMark/>
          </w:tcPr>
          <w:p w14:paraId="0724D982" w14:textId="77777777" w:rsidR="00F13EE4" w:rsidRPr="00CD1932" w:rsidRDefault="00F13EE4" w:rsidP="00894D4A">
            <w:pPr>
              <w:pStyle w:val="TableTextLeft"/>
              <w:rPr>
                <w:rFonts w:cs="Arial"/>
                <w:szCs w:val="16"/>
              </w:rPr>
            </w:pPr>
            <w:r w:rsidRPr="00CD1932">
              <w:rPr>
                <w:rFonts w:cs="Arial"/>
                <w:szCs w:val="16"/>
              </w:rPr>
              <w:t>Payment for goods and services</w:t>
            </w:r>
          </w:p>
        </w:tc>
        <w:tc>
          <w:tcPr>
            <w:tcW w:w="1105" w:type="dxa"/>
            <w:shd w:val="clear" w:color="000000" w:fill="FFFFFF"/>
            <w:noWrap/>
            <w:vAlign w:val="center"/>
            <w:hideMark/>
          </w:tcPr>
          <w:p w14:paraId="2BB9123D" w14:textId="03487538"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11,786</w:t>
            </w:r>
          </w:p>
        </w:tc>
        <w:tc>
          <w:tcPr>
            <w:tcW w:w="1105" w:type="dxa"/>
            <w:shd w:val="clear" w:color="000000" w:fill="E6F2FF"/>
            <w:noWrap/>
            <w:vAlign w:val="center"/>
            <w:hideMark/>
          </w:tcPr>
          <w:p w14:paraId="75FD88F8" w14:textId="6FA16C2D"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12,325</w:t>
            </w:r>
          </w:p>
        </w:tc>
      </w:tr>
      <w:tr w:rsidR="00F13EE4" w:rsidRPr="000B6D6A" w14:paraId="69709310" w14:textId="77777777" w:rsidTr="00572B8D">
        <w:trPr>
          <w:trHeight w:val="225"/>
        </w:trPr>
        <w:tc>
          <w:tcPr>
            <w:tcW w:w="5501" w:type="dxa"/>
            <w:shd w:val="clear" w:color="000000" w:fill="FFFFFF"/>
            <w:noWrap/>
            <w:vAlign w:val="center"/>
            <w:hideMark/>
          </w:tcPr>
          <w:p w14:paraId="38DFB587" w14:textId="77777777" w:rsidR="00F13EE4" w:rsidRPr="00CD1932" w:rsidRDefault="00F13EE4" w:rsidP="00894D4A">
            <w:pPr>
              <w:pStyle w:val="TableTextLeft"/>
              <w:rPr>
                <w:rFonts w:cs="Arial"/>
                <w:szCs w:val="16"/>
              </w:rPr>
            </w:pPr>
            <w:r w:rsidRPr="00CD1932">
              <w:rPr>
                <w:rFonts w:cs="Arial"/>
                <w:szCs w:val="16"/>
              </w:rPr>
              <w:t>Interest paid</w:t>
            </w:r>
          </w:p>
        </w:tc>
        <w:tc>
          <w:tcPr>
            <w:tcW w:w="1105" w:type="dxa"/>
            <w:shd w:val="clear" w:color="000000" w:fill="FFFFFF"/>
            <w:noWrap/>
            <w:vAlign w:val="center"/>
            <w:hideMark/>
          </w:tcPr>
          <w:p w14:paraId="7943D61B" w14:textId="4669000E"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2,311</w:t>
            </w:r>
          </w:p>
        </w:tc>
        <w:tc>
          <w:tcPr>
            <w:tcW w:w="1105" w:type="dxa"/>
            <w:shd w:val="clear" w:color="000000" w:fill="E6F2FF"/>
            <w:noWrap/>
            <w:vAlign w:val="center"/>
            <w:hideMark/>
          </w:tcPr>
          <w:p w14:paraId="3A79B063" w14:textId="757C99F2"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2,457</w:t>
            </w:r>
          </w:p>
        </w:tc>
      </w:tr>
      <w:tr w:rsidR="00F13EE4" w:rsidRPr="000B6D6A" w14:paraId="4F83A326" w14:textId="77777777" w:rsidTr="00572B8D">
        <w:trPr>
          <w:trHeight w:val="225"/>
        </w:trPr>
        <w:tc>
          <w:tcPr>
            <w:tcW w:w="5501" w:type="dxa"/>
            <w:shd w:val="clear" w:color="000000" w:fill="FFFFFF"/>
            <w:noWrap/>
            <w:vAlign w:val="center"/>
            <w:hideMark/>
          </w:tcPr>
          <w:p w14:paraId="1EC6C97F" w14:textId="77777777" w:rsidR="00F13EE4" w:rsidRPr="00CD1932" w:rsidRDefault="00F13EE4" w:rsidP="00894D4A">
            <w:pPr>
              <w:pStyle w:val="TableTextLeft"/>
              <w:rPr>
                <w:rFonts w:cs="Arial"/>
                <w:szCs w:val="16"/>
              </w:rPr>
            </w:pPr>
            <w:r w:rsidRPr="00CD1932">
              <w:rPr>
                <w:rFonts w:cs="Arial"/>
                <w:szCs w:val="16"/>
              </w:rPr>
              <w:t>GST payments to taxation authority</w:t>
            </w:r>
          </w:p>
        </w:tc>
        <w:tc>
          <w:tcPr>
            <w:tcW w:w="1105" w:type="dxa"/>
            <w:shd w:val="clear" w:color="000000" w:fill="FFFFFF"/>
            <w:noWrap/>
            <w:vAlign w:val="center"/>
            <w:hideMark/>
          </w:tcPr>
          <w:p w14:paraId="4B2CCA34" w14:textId="2FBB3B81"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981</w:t>
            </w:r>
          </w:p>
        </w:tc>
        <w:tc>
          <w:tcPr>
            <w:tcW w:w="1105" w:type="dxa"/>
            <w:shd w:val="clear" w:color="000000" w:fill="E6F2FF"/>
            <w:noWrap/>
            <w:vAlign w:val="center"/>
            <w:hideMark/>
          </w:tcPr>
          <w:p w14:paraId="10560828" w14:textId="75767CFC"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1,044</w:t>
            </w:r>
          </w:p>
        </w:tc>
      </w:tr>
      <w:tr w:rsidR="00F13EE4" w:rsidRPr="000B6D6A" w14:paraId="17A27B80" w14:textId="77777777" w:rsidTr="00572B8D">
        <w:trPr>
          <w:trHeight w:val="225"/>
        </w:trPr>
        <w:tc>
          <w:tcPr>
            <w:tcW w:w="5501" w:type="dxa"/>
            <w:shd w:val="clear" w:color="000000" w:fill="FFFFFF"/>
            <w:noWrap/>
            <w:vAlign w:val="center"/>
            <w:hideMark/>
          </w:tcPr>
          <w:p w14:paraId="0816C0A0" w14:textId="77777777" w:rsidR="00F13EE4" w:rsidRPr="00CD1932" w:rsidRDefault="00F13EE4" w:rsidP="00894D4A">
            <w:pPr>
              <w:pStyle w:val="TableTextLeft"/>
              <w:rPr>
                <w:rFonts w:cs="Arial"/>
                <w:szCs w:val="16"/>
              </w:rPr>
            </w:pPr>
            <w:r w:rsidRPr="00CD1932">
              <w:rPr>
                <w:rFonts w:cs="Arial"/>
                <w:szCs w:val="16"/>
              </w:rPr>
              <w:t>Distributions paid</w:t>
            </w:r>
          </w:p>
        </w:tc>
        <w:tc>
          <w:tcPr>
            <w:tcW w:w="1105" w:type="dxa"/>
            <w:shd w:val="clear" w:color="000000" w:fill="FFFFFF"/>
            <w:noWrap/>
            <w:vAlign w:val="center"/>
            <w:hideMark/>
          </w:tcPr>
          <w:p w14:paraId="6BE8691A" w14:textId="39AD5220"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249</w:t>
            </w:r>
          </w:p>
        </w:tc>
        <w:tc>
          <w:tcPr>
            <w:tcW w:w="1105" w:type="dxa"/>
            <w:shd w:val="clear" w:color="000000" w:fill="E6F2FF"/>
            <w:noWrap/>
            <w:vAlign w:val="center"/>
            <w:hideMark/>
          </w:tcPr>
          <w:p w14:paraId="4E150660" w14:textId="7B741C19"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248</w:t>
            </w:r>
          </w:p>
        </w:tc>
      </w:tr>
      <w:tr w:rsidR="00F13EE4" w:rsidRPr="000B6D6A" w14:paraId="6BF981C1" w14:textId="77777777" w:rsidTr="00572B8D">
        <w:trPr>
          <w:trHeight w:val="225"/>
        </w:trPr>
        <w:tc>
          <w:tcPr>
            <w:tcW w:w="5501" w:type="dxa"/>
            <w:shd w:val="clear" w:color="000000" w:fill="FFFFFF"/>
            <w:noWrap/>
            <w:vAlign w:val="center"/>
            <w:hideMark/>
          </w:tcPr>
          <w:p w14:paraId="4F68A32F" w14:textId="77777777" w:rsidR="00F13EE4" w:rsidRPr="00CD1932" w:rsidRDefault="00F13EE4" w:rsidP="00894D4A">
            <w:pPr>
              <w:pStyle w:val="TableTextLeft"/>
              <w:rPr>
                <w:rFonts w:cs="Arial"/>
                <w:szCs w:val="16"/>
              </w:rPr>
            </w:pPr>
            <w:r w:rsidRPr="00CD1932">
              <w:rPr>
                <w:rFonts w:cs="Arial"/>
                <w:szCs w:val="16"/>
              </w:rPr>
              <w:t>Other payments(b)</w:t>
            </w:r>
          </w:p>
        </w:tc>
        <w:tc>
          <w:tcPr>
            <w:tcW w:w="1105" w:type="dxa"/>
            <w:shd w:val="clear" w:color="000000" w:fill="FFFFFF"/>
            <w:noWrap/>
            <w:vAlign w:val="center"/>
            <w:hideMark/>
          </w:tcPr>
          <w:p w14:paraId="7C491910" w14:textId="764C0D79"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880</w:t>
            </w:r>
          </w:p>
        </w:tc>
        <w:tc>
          <w:tcPr>
            <w:tcW w:w="1105" w:type="dxa"/>
            <w:shd w:val="clear" w:color="000000" w:fill="E6F2FF"/>
            <w:noWrap/>
            <w:vAlign w:val="center"/>
            <w:hideMark/>
          </w:tcPr>
          <w:p w14:paraId="1B537699" w14:textId="4FDA18EA"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876</w:t>
            </w:r>
          </w:p>
        </w:tc>
      </w:tr>
      <w:tr w:rsidR="00F13EE4" w:rsidRPr="000B6D6A" w14:paraId="45AF3002" w14:textId="77777777" w:rsidTr="00F7421B">
        <w:trPr>
          <w:trHeight w:val="274"/>
        </w:trPr>
        <w:tc>
          <w:tcPr>
            <w:tcW w:w="5501" w:type="dxa"/>
            <w:shd w:val="clear" w:color="000000" w:fill="FFFFFF"/>
            <w:noWrap/>
            <w:vAlign w:val="center"/>
            <w:hideMark/>
          </w:tcPr>
          <w:p w14:paraId="5DF3AF77" w14:textId="77777777" w:rsidR="00F13EE4" w:rsidRPr="00CD1932" w:rsidRDefault="00F13EE4" w:rsidP="00894D4A">
            <w:pPr>
              <w:pStyle w:val="TableTextLeft"/>
              <w:rPr>
                <w:rFonts w:cs="Arial"/>
                <w:b/>
                <w:szCs w:val="16"/>
              </w:rPr>
            </w:pPr>
            <w:r w:rsidRPr="00CD1932">
              <w:rPr>
                <w:rFonts w:cs="Arial"/>
                <w:b/>
                <w:szCs w:val="16"/>
              </w:rPr>
              <w:t>Total operating payments</w:t>
            </w:r>
          </w:p>
        </w:tc>
        <w:tc>
          <w:tcPr>
            <w:tcW w:w="1105" w:type="dxa"/>
            <w:shd w:val="clear" w:color="000000" w:fill="FFFFFF"/>
            <w:noWrap/>
            <w:vAlign w:val="center"/>
            <w:hideMark/>
          </w:tcPr>
          <w:p w14:paraId="689F46DD" w14:textId="34A56342" w:rsidR="00F13EE4" w:rsidRPr="00CD1932" w:rsidRDefault="00325E1E" w:rsidP="00394C8E">
            <w:pPr>
              <w:pStyle w:val="TableTextRight"/>
              <w:rPr>
                <w:rFonts w:cs="Arial"/>
                <w:b/>
                <w:szCs w:val="16"/>
              </w:rPr>
            </w:pPr>
            <w:r>
              <w:rPr>
                <w:rFonts w:cs="Arial"/>
                <w:b/>
                <w:bCs/>
                <w:szCs w:val="16"/>
              </w:rPr>
              <w:noBreakHyphen/>
            </w:r>
            <w:r w:rsidR="00F13EE4" w:rsidRPr="00CD1932">
              <w:rPr>
                <w:rFonts w:cs="Arial"/>
                <w:b/>
                <w:szCs w:val="16"/>
              </w:rPr>
              <w:t>21,637</w:t>
            </w:r>
          </w:p>
        </w:tc>
        <w:tc>
          <w:tcPr>
            <w:tcW w:w="1105" w:type="dxa"/>
            <w:shd w:val="clear" w:color="000000" w:fill="E6F2FF"/>
            <w:noWrap/>
            <w:vAlign w:val="center"/>
            <w:hideMark/>
          </w:tcPr>
          <w:p w14:paraId="416E75EF" w14:textId="1CF0644F" w:rsidR="00F13EE4" w:rsidRPr="00CD1932" w:rsidRDefault="00325E1E" w:rsidP="00394C8E">
            <w:pPr>
              <w:pStyle w:val="TableTextRight"/>
              <w:rPr>
                <w:rFonts w:cs="Arial"/>
                <w:b/>
                <w:szCs w:val="16"/>
              </w:rPr>
            </w:pPr>
            <w:r>
              <w:rPr>
                <w:rFonts w:cs="Arial"/>
                <w:b/>
                <w:bCs/>
                <w:szCs w:val="16"/>
              </w:rPr>
              <w:noBreakHyphen/>
            </w:r>
            <w:r w:rsidR="00F13EE4" w:rsidRPr="00CD1932">
              <w:rPr>
                <w:rFonts w:cs="Arial"/>
                <w:b/>
                <w:szCs w:val="16"/>
              </w:rPr>
              <w:t>22,521</w:t>
            </w:r>
          </w:p>
        </w:tc>
      </w:tr>
      <w:tr w:rsidR="00F13EE4" w:rsidRPr="000B6D6A" w14:paraId="1F98FD85" w14:textId="77777777" w:rsidTr="00672F85">
        <w:trPr>
          <w:trHeight w:val="277"/>
        </w:trPr>
        <w:tc>
          <w:tcPr>
            <w:tcW w:w="5501" w:type="dxa"/>
            <w:shd w:val="clear" w:color="000000" w:fill="FFFFFF"/>
            <w:noWrap/>
            <w:vAlign w:val="center"/>
            <w:hideMark/>
          </w:tcPr>
          <w:p w14:paraId="3195CBDA" w14:textId="77777777" w:rsidR="00F13EE4" w:rsidRPr="00CD1932" w:rsidRDefault="00F13EE4" w:rsidP="00894D4A">
            <w:pPr>
              <w:pStyle w:val="TableTextLeft"/>
              <w:rPr>
                <w:rFonts w:cs="Arial"/>
                <w:b/>
                <w:szCs w:val="16"/>
              </w:rPr>
            </w:pPr>
            <w:r w:rsidRPr="00CD1932">
              <w:rPr>
                <w:rFonts w:cs="Arial"/>
                <w:b/>
                <w:szCs w:val="16"/>
              </w:rPr>
              <w:t>Net cash flows from operating activities</w:t>
            </w:r>
          </w:p>
        </w:tc>
        <w:tc>
          <w:tcPr>
            <w:tcW w:w="1105" w:type="dxa"/>
            <w:shd w:val="clear" w:color="000000" w:fill="FFFFFF"/>
            <w:noWrap/>
            <w:vAlign w:val="center"/>
            <w:hideMark/>
          </w:tcPr>
          <w:p w14:paraId="5ABA4502" w14:textId="23E59874" w:rsidR="00F13EE4" w:rsidRPr="00CD1932" w:rsidRDefault="00F13EE4" w:rsidP="00394C8E">
            <w:pPr>
              <w:pStyle w:val="TableTextRight"/>
              <w:rPr>
                <w:rFonts w:cs="Arial"/>
                <w:b/>
                <w:szCs w:val="16"/>
              </w:rPr>
            </w:pPr>
            <w:r w:rsidRPr="00CD1932">
              <w:rPr>
                <w:rFonts w:cs="Arial"/>
                <w:b/>
                <w:szCs w:val="16"/>
              </w:rPr>
              <w:t>2,255</w:t>
            </w:r>
          </w:p>
        </w:tc>
        <w:tc>
          <w:tcPr>
            <w:tcW w:w="1105" w:type="dxa"/>
            <w:shd w:val="clear" w:color="000000" w:fill="E6F2FF"/>
            <w:noWrap/>
            <w:vAlign w:val="center"/>
            <w:hideMark/>
          </w:tcPr>
          <w:p w14:paraId="36F63D43" w14:textId="04C3770A" w:rsidR="00F13EE4" w:rsidRPr="00CD1932" w:rsidRDefault="00F13EE4" w:rsidP="00394C8E">
            <w:pPr>
              <w:pStyle w:val="TableTextRight"/>
              <w:rPr>
                <w:rFonts w:cs="Arial"/>
                <w:b/>
                <w:szCs w:val="16"/>
              </w:rPr>
            </w:pPr>
            <w:r w:rsidRPr="00CD1932">
              <w:rPr>
                <w:rFonts w:cs="Arial"/>
                <w:b/>
                <w:szCs w:val="16"/>
              </w:rPr>
              <w:t>3,131</w:t>
            </w:r>
          </w:p>
        </w:tc>
      </w:tr>
      <w:tr w:rsidR="000B6D6A" w:rsidRPr="000B6D6A" w14:paraId="3391429C" w14:textId="77777777" w:rsidTr="00572B8D">
        <w:trPr>
          <w:trHeight w:val="225"/>
        </w:trPr>
        <w:tc>
          <w:tcPr>
            <w:tcW w:w="5501" w:type="dxa"/>
            <w:shd w:val="clear" w:color="000000" w:fill="FFFFFF"/>
            <w:noWrap/>
            <w:vAlign w:val="center"/>
            <w:hideMark/>
          </w:tcPr>
          <w:p w14:paraId="0B825126" w14:textId="6ADA7EAA" w:rsidR="000B6D6A" w:rsidRPr="00CD1932" w:rsidRDefault="000B6D6A" w:rsidP="00894D4A">
            <w:pPr>
              <w:pStyle w:val="TableTextLeft"/>
              <w:rPr>
                <w:rFonts w:cs="Arial"/>
                <w:b/>
                <w:szCs w:val="16"/>
              </w:rPr>
            </w:pPr>
            <w:r w:rsidRPr="00CD1932">
              <w:rPr>
                <w:rFonts w:cs="Arial"/>
                <w:b/>
                <w:szCs w:val="16"/>
              </w:rPr>
              <w:t>Cash flows from investments in non</w:t>
            </w:r>
            <w:r w:rsidR="00325E1E">
              <w:rPr>
                <w:rFonts w:cs="Arial"/>
                <w:b/>
                <w:bCs/>
                <w:szCs w:val="16"/>
              </w:rPr>
              <w:noBreakHyphen/>
            </w:r>
            <w:r w:rsidRPr="00CD1932">
              <w:rPr>
                <w:rFonts w:cs="Arial"/>
                <w:b/>
                <w:szCs w:val="16"/>
              </w:rPr>
              <w:t>financial assets</w:t>
            </w:r>
          </w:p>
        </w:tc>
        <w:tc>
          <w:tcPr>
            <w:tcW w:w="1105" w:type="dxa"/>
            <w:shd w:val="clear" w:color="000000" w:fill="FFFFFF"/>
            <w:noWrap/>
            <w:vAlign w:val="center"/>
            <w:hideMark/>
          </w:tcPr>
          <w:p w14:paraId="216FD175" w14:textId="77777777" w:rsidR="000B6D6A" w:rsidRPr="00CD1932" w:rsidRDefault="000B6D6A" w:rsidP="00394C8E">
            <w:pPr>
              <w:pStyle w:val="TableTextRight"/>
              <w:rPr>
                <w:rFonts w:cs="Arial"/>
                <w:szCs w:val="16"/>
              </w:rPr>
            </w:pPr>
            <w:r w:rsidRPr="00CD1932">
              <w:rPr>
                <w:rFonts w:cs="Arial"/>
                <w:szCs w:val="16"/>
              </w:rPr>
              <w:t> </w:t>
            </w:r>
          </w:p>
        </w:tc>
        <w:tc>
          <w:tcPr>
            <w:tcW w:w="1105" w:type="dxa"/>
            <w:shd w:val="clear" w:color="000000" w:fill="E6F2FF"/>
            <w:noWrap/>
            <w:vAlign w:val="center"/>
            <w:hideMark/>
          </w:tcPr>
          <w:p w14:paraId="59C34740" w14:textId="77777777" w:rsidR="000B6D6A" w:rsidRPr="00CD1932" w:rsidRDefault="000B6D6A" w:rsidP="00394C8E">
            <w:pPr>
              <w:pStyle w:val="TableTextRight"/>
              <w:rPr>
                <w:rFonts w:cs="Arial"/>
                <w:szCs w:val="16"/>
              </w:rPr>
            </w:pPr>
            <w:r w:rsidRPr="00CD1932">
              <w:rPr>
                <w:rFonts w:cs="Arial"/>
                <w:szCs w:val="16"/>
              </w:rPr>
              <w:t> </w:t>
            </w:r>
          </w:p>
        </w:tc>
      </w:tr>
      <w:tr w:rsidR="00F13EE4" w:rsidRPr="000B6D6A" w14:paraId="201CCF94" w14:textId="77777777" w:rsidTr="00572B8D">
        <w:trPr>
          <w:trHeight w:val="225"/>
        </w:trPr>
        <w:tc>
          <w:tcPr>
            <w:tcW w:w="5501" w:type="dxa"/>
            <w:shd w:val="clear" w:color="000000" w:fill="FFFFFF"/>
            <w:noWrap/>
            <w:vAlign w:val="center"/>
            <w:hideMark/>
          </w:tcPr>
          <w:p w14:paraId="66B524C6" w14:textId="64C5D156" w:rsidR="00F13EE4" w:rsidRPr="00CD1932" w:rsidRDefault="00F13EE4" w:rsidP="00894D4A">
            <w:pPr>
              <w:pStyle w:val="TableTextLeft"/>
              <w:rPr>
                <w:rFonts w:cs="Arial"/>
                <w:szCs w:val="16"/>
              </w:rPr>
            </w:pPr>
            <w:r w:rsidRPr="00CD1932">
              <w:rPr>
                <w:rFonts w:cs="Arial"/>
                <w:szCs w:val="16"/>
              </w:rPr>
              <w:t>Sales of non</w:t>
            </w:r>
            <w:r w:rsidR="00325E1E">
              <w:rPr>
                <w:rFonts w:cs="Arial"/>
                <w:szCs w:val="16"/>
              </w:rPr>
              <w:noBreakHyphen/>
            </w:r>
            <w:r w:rsidRPr="00CD1932">
              <w:rPr>
                <w:rFonts w:cs="Arial"/>
                <w:szCs w:val="16"/>
              </w:rPr>
              <w:t>financial assets</w:t>
            </w:r>
          </w:p>
        </w:tc>
        <w:tc>
          <w:tcPr>
            <w:tcW w:w="1105" w:type="dxa"/>
            <w:shd w:val="clear" w:color="000000" w:fill="FFFFFF"/>
            <w:noWrap/>
            <w:vAlign w:val="center"/>
            <w:hideMark/>
          </w:tcPr>
          <w:p w14:paraId="4E50B26B" w14:textId="6E9DDDD3" w:rsidR="00F13EE4" w:rsidRPr="00CD1932" w:rsidRDefault="00F13EE4" w:rsidP="00394C8E">
            <w:pPr>
              <w:pStyle w:val="TableTextRight"/>
              <w:rPr>
                <w:rFonts w:cs="Arial"/>
                <w:szCs w:val="16"/>
              </w:rPr>
            </w:pPr>
            <w:r w:rsidRPr="00CD1932">
              <w:rPr>
                <w:rFonts w:cs="Arial"/>
                <w:szCs w:val="16"/>
              </w:rPr>
              <w:t>64</w:t>
            </w:r>
          </w:p>
        </w:tc>
        <w:tc>
          <w:tcPr>
            <w:tcW w:w="1105" w:type="dxa"/>
            <w:shd w:val="clear" w:color="000000" w:fill="E6F2FF"/>
            <w:noWrap/>
            <w:vAlign w:val="center"/>
            <w:hideMark/>
          </w:tcPr>
          <w:p w14:paraId="08D9A1B2" w14:textId="628B12F6" w:rsidR="00F13EE4" w:rsidRPr="00CD1932" w:rsidRDefault="00F13EE4" w:rsidP="00394C8E">
            <w:pPr>
              <w:pStyle w:val="TableTextRight"/>
              <w:rPr>
                <w:rFonts w:cs="Arial"/>
                <w:szCs w:val="16"/>
              </w:rPr>
            </w:pPr>
            <w:r w:rsidRPr="00CD1932">
              <w:rPr>
                <w:rFonts w:cs="Arial"/>
                <w:szCs w:val="16"/>
              </w:rPr>
              <w:t>60</w:t>
            </w:r>
          </w:p>
        </w:tc>
      </w:tr>
      <w:tr w:rsidR="00F13EE4" w:rsidRPr="000B6D6A" w14:paraId="5BA60F4D" w14:textId="77777777" w:rsidTr="00572B8D">
        <w:trPr>
          <w:trHeight w:val="225"/>
        </w:trPr>
        <w:tc>
          <w:tcPr>
            <w:tcW w:w="5501" w:type="dxa"/>
            <w:shd w:val="clear" w:color="000000" w:fill="FFFFFF"/>
            <w:noWrap/>
            <w:vAlign w:val="center"/>
            <w:hideMark/>
          </w:tcPr>
          <w:p w14:paraId="0C543729" w14:textId="621AF683" w:rsidR="00F13EE4" w:rsidRPr="00CD1932" w:rsidRDefault="00F13EE4" w:rsidP="00894D4A">
            <w:pPr>
              <w:pStyle w:val="TableTextLeft"/>
              <w:rPr>
                <w:rFonts w:cs="Arial"/>
                <w:szCs w:val="16"/>
              </w:rPr>
            </w:pPr>
            <w:r w:rsidRPr="00CD1932">
              <w:rPr>
                <w:rFonts w:cs="Arial"/>
                <w:szCs w:val="16"/>
              </w:rPr>
              <w:t>Purchases of non</w:t>
            </w:r>
            <w:r w:rsidR="00325E1E">
              <w:rPr>
                <w:rFonts w:cs="Arial"/>
                <w:szCs w:val="16"/>
              </w:rPr>
              <w:noBreakHyphen/>
            </w:r>
            <w:r w:rsidRPr="00CD1932">
              <w:rPr>
                <w:rFonts w:cs="Arial"/>
                <w:szCs w:val="16"/>
              </w:rPr>
              <w:t>financial assets</w:t>
            </w:r>
          </w:p>
        </w:tc>
        <w:tc>
          <w:tcPr>
            <w:tcW w:w="1105" w:type="dxa"/>
            <w:shd w:val="clear" w:color="000000" w:fill="FFFFFF"/>
            <w:noWrap/>
            <w:vAlign w:val="center"/>
            <w:hideMark/>
          </w:tcPr>
          <w:p w14:paraId="15D4E3EF" w14:textId="417C3C8E"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9,469</w:t>
            </w:r>
          </w:p>
        </w:tc>
        <w:tc>
          <w:tcPr>
            <w:tcW w:w="1105" w:type="dxa"/>
            <w:shd w:val="clear" w:color="000000" w:fill="E6F2FF"/>
            <w:noWrap/>
            <w:vAlign w:val="center"/>
            <w:hideMark/>
          </w:tcPr>
          <w:p w14:paraId="2338F89B" w14:textId="6DE72447" w:rsidR="00F13EE4" w:rsidRPr="00CD1932" w:rsidRDefault="00325E1E" w:rsidP="00394C8E">
            <w:pPr>
              <w:pStyle w:val="TableTextRight"/>
              <w:rPr>
                <w:rFonts w:cs="Arial"/>
                <w:szCs w:val="16"/>
              </w:rPr>
            </w:pPr>
            <w:r>
              <w:rPr>
                <w:rFonts w:cs="Arial"/>
                <w:szCs w:val="16"/>
              </w:rPr>
              <w:noBreakHyphen/>
            </w:r>
            <w:r w:rsidR="00F13EE4" w:rsidRPr="00CD1932">
              <w:rPr>
                <w:rFonts w:cs="Arial"/>
                <w:szCs w:val="16"/>
              </w:rPr>
              <w:t>11,849</w:t>
            </w:r>
          </w:p>
        </w:tc>
      </w:tr>
      <w:tr w:rsidR="00F13EE4" w:rsidRPr="000B6D6A" w14:paraId="7E9DBEA8" w14:textId="77777777" w:rsidTr="00672F85">
        <w:trPr>
          <w:trHeight w:val="320"/>
        </w:trPr>
        <w:tc>
          <w:tcPr>
            <w:tcW w:w="5501" w:type="dxa"/>
            <w:shd w:val="clear" w:color="000000" w:fill="FFFFFF"/>
            <w:noWrap/>
            <w:vAlign w:val="center"/>
            <w:hideMark/>
          </w:tcPr>
          <w:p w14:paraId="0CA5D145" w14:textId="3D1F5098" w:rsidR="00F13EE4" w:rsidRPr="00CD1932" w:rsidRDefault="00F13EE4" w:rsidP="00894D4A">
            <w:pPr>
              <w:pStyle w:val="TableTextLeft"/>
              <w:rPr>
                <w:rFonts w:cs="Arial"/>
                <w:b/>
                <w:szCs w:val="16"/>
              </w:rPr>
            </w:pPr>
            <w:r w:rsidRPr="00CD1932">
              <w:rPr>
                <w:rFonts w:cs="Arial"/>
                <w:b/>
                <w:szCs w:val="16"/>
              </w:rPr>
              <w:t>Net cash flows from investments in non</w:t>
            </w:r>
            <w:r w:rsidR="00325E1E">
              <w:rPr>
                <w:rFonts w:cs="Arial"/>
                <w:b/>
                <w:bCs/>
                <w:szCs w:val="16"/>
              </w:rPr>
              <w:noBreakHyphen/>
            </w:r>
            <w:r w:rsidRPr="00CD1932">
              <w:rPr>
                <w:rFonts w:cs="Arial"/>
                <w:b/>
                <w:szCs w:val="16"/>
              </w:rPr>
              <w:t xml:space="preserve">financial assets </w:t>
            </w:r>
          </w:p>
        </w:tc>
        <w:tc>
          <w:tcPr>
            <w:tcW w:w="1105" w:type="dxa"/>
            <w:shd w:val="clear" w:color="000000" w:fill="FFFFFF"/>
            <w:noWrap/>
            <w:vAlign w:val="center"/>
            <w:hideMark/>
          </w:tcPr>
          <w:p w14:paraId="505A04CE" w14:textId="0BA3889A" w:rsidR="00F13EE4" w:rsidRPr="00CD1932" w:rsidRDefault="00325E1E" w:rsidP="00394C8E">
            <w:pPr>
              <w:pStyle w:val="TableTextRight"/>
              <w:rPr>
                <w:rFonts w:cs="Arial"/>
                <w:b/>
                <w:szCs w:val="16"/>
              </w:rPr>
            </w:pPr>
            <w:r>
              <w:rPr>
                <w:rFonts w:cs="Arial"/>
                <w:b/>
                <w:bCs/>
                <w:szCs w:val="16"/>
              </w:rPr>
              <w:noBreakHyphen/>
            </w:r>
            <w:r w:rsidR="00F13EE4" w:rsidRPr="00CD1932">
              <w:rPr>
                <w:rFonts w:cs="Arial"/>
                <w:b/>
                <w:szCs w:val="16"/>
              </w:rPr>
              <w:t>9,405</w:t>
            </w:r>
          </w:p>
        </w:tc>
        <w:tc>
          <w:tcPr>
            <w:tcW w:w="1105" w:type="dxa"/>
            <w:shd w:val="clear" w:color="000000" w:fill="E6F2FF"/>
            <w:noWrap/>
            <w:vAlign w:val="center"/>
            <w:hideMark/>
          </w:tcPr>
          <w:p w14:paraId="28772A47" w14:textId="1BADE858" w:rsidR="00F13EE4" w:rsidRPr="00CD1932" w:rsidRDefault="00325E1E" w:rsidP="00394C8E">
            <w:pPr>
              <w:pStyle w:val="TableTextRight"/>
              <w:rPr>
                <w:rFonts w:cs="Arial"/>
                <w:b/>
                <w:szCs w:val="16"/>
              </w:rPr>
            </w:pPr>
            <w:r>
              <w:rPr>
                <w:rFonts w:cs="Arial"/>
                <w:b/>
                <w:bCs/>
                <w:szCs w:val="16"/>
              </w:rPr>
              <w:noBreakHyphen/>
            </w:r>
            <w:r w:rsidR="00F13EE4" w:rsidRPr="00CD1932">
              <w:rPr>
                <w:rFonts w:cs="Arial"/>
                <w:b/>
                <w:szCs w:val="16"/>
              </w:rPr>
              <w:t>11,789</w:t>
            </w:r>
          </w:p>
        </w:tc>
      </w:tr>
      <w:tr w:rsidR="000B6D6A" w:rsidRPr="000B6D6A" w14:paraId="27EC5E4B" w14:textId="77777777" w:rsidTr="00572B8D">
        <w:trPr>
          <w:trHeight w:val="225"/>
        </w:trPr>
        <w:tc>
          <w:tcPr>
            <w:tcW w:w="5501" w:type="dxa"/>
            <w:shd w:val="clear" w:color="000000" w:fill="FFFFFF"/>
            <w:vAlign w:val="center"/>
            <w:hideMark/>
          </w:tcPr>
          <w:p w14:paraId="2658407A" w14:textId="77777777" w:rsidR="000B6D6A" w:rsidRPr="00CD1932" w:rsidRDefault="000B6D6A" w:rsidP="00894D4A">
            <w:pPr>
              <w:pStyle w:val="TableTextLeft"/>
              <w:rPr>
                <w:rFonts w:cs="Arial"/>
                <w:b/>
                <w:szCs w:val="16"/>
              </w:rPr>
            </w:pPr>
            <w:r w:rsidRPr="00CD1932">
              <w:rPr>
                <w:rFonts w:cs="Arial"/>
                <w:b/>
                <w:szCs w:val="16"/>
              </w:rPr>
              <w:t xml:space="preserve">Net cash flows from investments in financial assets </w:t>
            </w:r>
          </w:p>
        </w:tc>
        <w:tc>
          <w:tcPr>
            <w:tcW w:w="1105" w:type="dxa"/>
            <w:shd w:val="clear" w:color="000000" w:fill="FFFFFF"/>
            <w:noWrap/>
            <w:vAlign w:val="center"/>
            <w:hideMark/>
          </w:tcPr>
          <w:p w14:paraId="22AE544D" w14:textId="77777777" w:rsidR="000B6D6A" w:rsidRPr="00CD1932" w:rsidRDefault="000B6D6A" w:rsidP="00394C8E">
            <w:pPr>
              <w:pStyle w:val="TableTextRight"/>
              <w:rPr>
                <w:rFonts w:cs="Arial"/>
                <w:szCs w:val="16"/>
              </w:rPr>
            </w:pPr>
            <w:r w:rsidRPr="00CD1932">
              <w:rPr>
                <w:rFonts w:cs="Arial"/>
                <w:szCs w:val="16"/>
              </w:rPr>
              <w:t> </w:t>
            </w:r>
          </w:p>
        </w:tc>
        <w:tc>
          <w:tcPr>
            <w:tcW w:w="1105" w:type="dxa"/>
            <w:shd w:val="clear" w:color="000000" w:fill="E6F2FF"/>
            <w:noWrap/>
            <w:vAlign w:val="center"/>
            <w:hideMark/>
          </w:tcPr>
          <w:p w14:paraId="14E4C87F" w14:textId="77777777" w:rsidR="000B6D6A" w:rsidRPr="00CD1932" w:rsidRDefault="000B6D6A" w:rsidP="00394C8E">
            <w:pPr>
              <w:pStyle w:val="TableTextRight"/>
              <w:rPr>
                <w:rFonts w:cs="Arial"/>
                <w:szCs w:val="16"/>
              </w:rPr>
            </w:pPr>
            <w:r w:rsidRPr="00CD1932">
              <w:rPr>
                <w:rFonts w:cs="Arial"/>
                <w:szCs w:val="16"/>
              </w:rPr>
              <w:t> </w:t>
            </w:r>
          </w:p>
        </w:tc>
      </w:tr>
      <w:tr w:rsidR="000B6D6A" w:rsidRPr="000B6D6A" w14:paraId="77EA11AC" w14:textId="77777777" w:rsidTr="00572B8D">
        <w:trPr>
          <w:trHeight w:val="225"/>
        </w:trPr>
        <w:tc>
          <w:tcPr>
            <w:tcW w:w="5501" w:type="dxa"/>
            <w:shd w:val="clear" w:color="000000" w:fill="FFFFFF"/>
            <w:vAlign w:val="center"/>
            <w:hideMark/>
          </w:tcPr>
          <w:p w14:paraId="31EA38E4" w14:textId="77777777" w:rsidR="000B6D6A" w:rsidRPr="00CD1932" w:rsidRDefault="000B6D6A" w:rsidP="00991F5C">
            <w:pPr>
              <w:pStyle w:val="TableTextIndented"/>
              <w:rPr>
                <w:rFonts w:cs="Arial"/>
                <w:b/>
                <w:szCs w:val="16"/>
              </w:rPr>
            </w:pPr>
            <w:r w:rsidRPr="00CD1932">
              <w:rPr>
                <w:rFonts w:cs="Arial"/>
                <w:b/>
                <w:szCs w:val="16"/>
              </w:rPr>
              <w:t>for policy purposes</w:t>
            </w:r>
          </w:p>
        </w:tc>
        <w:tc>
          <w:tcPr>
            <w:tcW w:w="1105" w:type="dxa"/>
            <w:shd w:val="clear" w:color="000000" w:fill="FFFFFF"/>
            <w:noWrap/>
            <w:vAlign w:val="center"/>
            <w:hideMark/>
          </w:tcPr>
          <w:p w14:paraId="01954DE9" w14:textId="02D108AD" w:rsidR="000B6D6A" w:rsidRPr="00CD1932" w:rsidRDefault="00325E1E" w:rsidP="00394C8E">
            <w:pPr>
              <w:pStyle w:val="TableTextRight"/>
              <w:rPr>
                <w:rFonts w:cs="Arial"/>
                <w:b/>
                <w:szCs w:val="16"/>
              </w:rPr>
            </w:pPr>
            <w:r>
              <w:rPr>
                <w:rFonts w:cs="Arial"/>
                <w:b/>
                <w:bCs/>
                <w:szCs w:val="16"/>
              </w:rPr>
              <w:noBreakHyphen/>
            </w:r>
            <w:r w:rsidR="000B6D6A" w:rsidRPr="00CD1932">
              <w:rPr>
                <w:rFonts w:cs="Arial"/>
                <w:b/>
                <w:szCs w:val="16"/>
              </w:rPr>
              <w:t>8</w:t>
            </w:r>
          </w:p>
        </w:tc>
        <w:tc>
          <w:tcPr>
            <w:tcW w:w="1105" w:type="dxa"/>
            <w:shd w:val="clear" w:color="000000" w:fill="E6F2FF"/>
            <w:noWrap/>
            <w:vAlign w:val="center"/>
            <w:hideMark/>
          </w:tcPr>
          <w:p w14:paraId="57DA9745" w14:textId="35B7A084" w:rsidR="000B6D6A" w:rsidRPr="00CD1932" w:rsidRDefault="00325E1E" w:rsidP="00394C8E">
            <w:pPr>
              <w:pStyle w:val="TableTextRight"/>
              <w:rPr>
                <w:rFonts w:cs="Arial"/>
                <w:b/>
                <w:szCs w:val="16"/>
              </w:rPr>
            </w:pPr>
            <w:r>
              <w:rPr>
                <w:rFonts w:cs="Arial"/>
                <w:b/>
                <w:bCs/>
                <w:szCs w:val="16"/>
              </w:rPr>
              <w:noBreakHyphen/>
            </w:r>
            <w:r w:rsidR="000B6D6A" w:rsidRPr="00CD1932">
              <w:rPr>
                <w:rFonts w:cs="Arial"/>
                <w:b/>
                <w:szCs w:val="16"/>
              </w:rPr>
              <w:t>3</w:t>
            </w:r>
          </w:p>
        </w:tc>
      </w:tr>
      <w:tr w:rsidR="000B6D6A" w:rsidRPr="000B6D6A" w14:paraId="3E4258DF" w14:textId="77777777" w:rsidTr="00572B8D">
        <w:trPr>
          <w:trHeight w:val="225"/>
        </w:trPr>
        <w:tc>
          <w:tcPr>
            <w:tcW w:w="5501" w:type="dxa"/>
            <w:shd w:val="clear" w:color="000000" w:fill="FFFFFF"/>
            <w:noWrap/>
            <w:vAlign w:val="center"/>
            <w:hideMark/>
          </w:tcPr>
          <w:p w14:paraId="7E5A3209" w14:textId="77777777" w:rsidR="000B6D6A" w:rsidRPr="00CD1932" w:rsidRDefault="000B6D6A" w:rsidP="00894D4A">
            <w:pPr>
              <w:pStyle w:val="TableTextLeft"/>
              <w:rPr>
                <w:rFonts w:cs="Arial"/>
                <w:b/>
                <w:szCs w:val="16"/>
              </w:rPr>
            </w:pPr>
            <w:r w:rsidRPr="00CD1932">
              <w:rPr>
                <w:rFonts w:cs="Arial"/>
                <w:b/>
                <w:szCs w:val="16"/>
              </w:rPr>
              <w:t xml:space="preserve">Net cash flows from investments in financial assets </w:t>
            </w:r>
          </w:p>
        </w:tc>
        <w:tc>
          <w:tcPr>
            <w:tcW w:w="1105" w:type="dxa"/>
            <w:shd w:val="clear" w:color="000000" w:fill="FFFFFF"/>
            <w:noWrap/>
            <w:vAlign w:val="center"/>
            <w:hideMark/>
          </w:tcPr>
          <w:p w14:paraId="653E7A7A" w14:textId="77777777" w:rsidR="000B6D6A" w:rsidRPr="00CD1932" w:rsidRDefault="000B6D6A" w:rsidP="00394C8E">
            <w:pPr>
              <w:pStyle w:val="TableTextRight"/>
              <w:rPr>
                <w:rFonts w:cs="Arial"/>
                <w:szCs w:val="16"/>
              </w:rPr>
            </w:pPr>
            <w:r w:rsidRPr="00CD1932">
              <w:rPr>
                <w:rFonts w:cs="Arial"/>
                <w:szCs w:val="16"/>
              </w:rPr>
              <w:t> </w:t>
            </w:r>
          </w:p>
        </w:tc>
        <w:tc>
          <w:tcPr>
            <w:tcW w:w="1105" w:type="dxa"/>
            <w:shd w:val="clear" w:color="000000" w:fill="E6F2FF"/>
            <w:noWrap/>
            <w:vAlign w:val="center"/>
            <w:hideMark/>
          </w:tcPr>
          <w:p w14:paraId="28ED9A3A" w14:textId="77777777" w:rsidR="000B6D6A" w:rsidRPr="00CD1932" w:rsidRDefault="000B6D6A" w:rsidP="00394C8E">
            <w:pPr>
              <w:pStyle w:val="TableTextRight"/>
              <w:rPr>
                <w:rFonts w:cs="Arial"/>
                <w:szCs w:val="16"/>
              </w:rPr>
            </w:pPr>
            <w:r w:rsidRPr="00CD1932">
              <w:rPr>
                <w:rFonts w:cs="Arial"/>
                <w:szCs w:val="16"/>
              </w:rPr>
              <w:t> </w:t>
            </w:r>
          </w:p>
        </w:tc>
      </w:tr>
      <w:tr w:rsidR="000B6D6A" w:rsidRPr="000B6D6A" w14:paraId="2A495F6F" w14:textId="77777777" w:rsidTr="00A62E7E">
        <w:trPr>
          <w:trHeight w:val="178"/>
        </w:trPr>
        <w:tc>
          <w:tcPr>
            <w:tcW w:w="5501" w:type="dxa"/>
            <w:shd w:val="clear" w:color="000000" w:fill="FFFFFF"/>
            <w:noWrap/>
            <w:vAlign w:val="center"/>
            <w:hideMark/>
          </w:tcPr>
          <w:p w14:paraId="12582686" w14:textId="77777777" w:rsidR="000B6D6A" w:rsidRPr="00CD1932" w:rsidRDefault="000B6D6A" w:rsidP="00991F5C">
            <w:pPr>
              <w:pStyle w:val="TableTextIndented"/>
              <w:rPr>
                <w:rFonts w:cs="Arial"/>
                <w:b/>
                <w:szCs w:val="16"/>
              </w:rPr>
            </w:pPr>
            <w:r w:rsidRPr="00CD1932">
              <w:rPr>
                <w:rFonts w:cs="Arial"/>
                <w:b/>
                <w:szCs w:val="16"/>
              </w:rPr>
              <w:t xml:space="preserve">for liquidity purposes </w:t>
            </w:r>
          </w:p>
        </w:tc>
        <w:tc>
          <w:tcPr>
            <w:tcW w:w="1105" w:type="dxa"/>
            <w:shd w:val="clear" w:color="000000" w:fill="FFFFFF"/>
            <w:noWrap/>
            <w:vAlign w:val="center"/>
            <w:hideMark/>
          </w:tcPr>
          <w:p w14:paraId="5ACAAF68" w14:textId="77777777" w:rsidR="000B6D6A" w:rsidRPr="00CD1932" w:rsidRDefault="000B6D6A" w:rsidP="00394C8E">
            <w:pPr>
              <w:pStyle w:val="TableTextRight"/>
              <w:rPr>
                <w:rFonts w:cs="Arial"/>
                <w:b/>
                <w:szCs w:val="16"/>
              </w:rPr>
            </w:pPr>
            <w:r w:rsidRPr="00CD1932">
              <w:rPr>
                <w:rFonts w:cs="Arial"/>
                <w:b/>
                <w:szCs w:val="16"/>
              </w:rPr>
              <w:t>71</w:t>
            </w:r>
          </w:p>
        </w:tc>
        <w:tc>
          <w:tcPr>
            <w:tcW w:w="1105" w:type="dxa"/>
            <w:shd w:val="clear" w:color="000000" w:fill="E6F2FF"/>
            <w:noWrap/>
            <w:vAlign w:val="center"/>
            <w:hideMark/>
          </w:tcPr>
          <w:p w14:paraId="2CB8029F" w14:textId="6B60C41D" w:rsidR="000B6D6A" w:rsidRPr="00CD1932" w:rsidRDefault="00325E1E" w:rsidP="00394C8E">
            <w:pPr>
              <w:pStyle w:val="TableTextRight"/>
              <w:rPr>
                <w:rFonts w:cs="Arial"/>
                <w:b/>
                <w:szCs w:val="16"/>
              </w:rPr>
            </w:pPr>
            <w:r>
              <w:rPr>
                <w:rFonts w:cs="Arial"/>
                <w:b/>
                <w:bCs/>
                <w:szCs w:val="16"/>
              </w:rPr>
              <w:noBreakHyphen/>
            </w:r>
            <w:r w:rsidR="000B6D6A" w:rsidRPr="00CD1932">
              <w:rPr>
                <w:rFonts w:cs="Arial"/>
                <w:b/>
                <w:szCs w:val="16"/>
              </w:rPr>
              <w:t>194</w:t>
            </w:r>
          </w:p>
        </w:tc>
      </w:tr>
      <w:tr w:rsidR="000B6D6A" w:rsidRPr="000B6D6A" w14:paraId="409B0450" w14:textId="77777777" w:rsidTr="00572B8D">
        <w:trPr>
          <w:trHeight w:val="225"/>
        </w:trPr>
        <w:tc>
          <w:tcPr>
            <w:tcW w:w="5501" w:type="dxa"/>
            <w:shd w:val="clear" w:color="000000" w:fill="FFFFFF"/>
            <w:noWrap/>
            <w:vAlign w:val="center"/>
            <w:hideMark/>
          </w:tcPr>
          <w:p w14:paraId="1C8779C7" w14:textId="77777777" w:rsidR="000B6D6A" w:rsidRPr="00CD1932" w:rsidRDefault="000B6D6A" w:rsidP="00894D4A">
            <w:pPr>
              <w:pStyle w:val="TableTextLeft"/>
              <w:rPr>
                <w:rFonts w:cs="Arial"/>
                <w:b/>
                <w:szCs w:val="16"/>
              </w:rPr>
            </w:pPr>
            <w:r w:rsidRPr="00CD1932">
              <w:rPr>
                <w:rFonts w:cs="Arial"/>
                <w:b/>
                <w:szCs w:val="16"/>
              </w:rPr>
              <w:t>Net cash flows from financing activities</w:t>
            </w:r>
          </w:p>
        </w:tc>
        <w:tc>
          <w:tcPr>
            <w:tcW w:w="1105" w:type="dxa"/>
            <w:shd w:val="clear" w:color="000000" w:fill="FFFFFF"/>
            <w:noWrap/>
            <w:vAlign w:val="center"/>
            <w:hideMark/>
          </w:tcPr>
          <w:p w14:paraId="14577574" w14:textId="77777777" w:rsidR="000B6D6A" w:rsidRPr="00CD1932" w:rsidRDefault="000B6D6A" w:rsidP="00394C8E">
            <w:pPr>
              <w:pStyle w:val="TableTextRight"/>
              <w:rPr>
                <w:rFonts w:cs="Arial"/>
                <w:b/>
                <w:szCs w:val="16"/>
              </w:rPr>
            </w:pPr>
            <w:r w:rsidRPr="00CD1932">
              <w:rPr>
                <w:rFonts w:cs="Arial"/>
                <w:b/>
                <w:szCs w:val="16"/>
              </w:rPr>
              <w:t> </w:t>
            </w:r>
          </w:p>
        </w:tc>
        <w:tc>
          <w:tcPr>
            <w:tcW w:w="1105" w:type="dxa"/>
            <w:shd w:val="clear" w:color="000000" w:fill="E6F2FF"/>
            <w:noWrap/>
            <w:vAlign w:val="center"/>
            <w:hideMark/>
          </w:tcPr>
          <w:p w14:paraId="7A41926B" w14:textId="77777777" w:rsidR="000B6D6A" w:rsidRPr="00CD1932" w:rsidRDefault="000B6D6A" w:rsidP="00394C8E">
            <w:pPr>
              <w:pStyle w:val="TableTextRight"/>
              <w:rPr>
                <w:rFonts w:cs="Arial"/>
                <w:b/>
                <w:szCs w:val="16"/>
              </w:rPr>
            </w:pPr>
            <w:r w:rsidRPr="00CD1932">
              <w:rPr>
                <w:rFonts w:cs="Arial"/>
                <w:b/>
                <w:szCs w:val="16"/>
              </w:rPr>
              <w:t> </w:t>
            </w:r>
          </w:p>
        </w:tc>
      </w:tr>
      <w:tr w:rsidR="00AE0E58" w:rsidRPr="000B6D6A" w14:paraId="644E6AEC" w14:textId="77777777" w:rsidTr="00572B8D">
        <w:trPr>
          <w:trHeight w:val="225"/>
        </w:trPr>
        <w:tc>
          <w:tcPr>
            <w:tcW w:w="5501" w:type="dxa"/>
            <w:shd w:val="clear" w:color="000000" w:fill="FFFFFF"/>
            <w:noWrap/>
            <w:vAlign w:val="center"/>
            <w:hideMark/>
          </w:tcPr>
          <w:p w14:paraId="16014B34" w14:textId="77777777" w:rsidR="00AE0E58" w:rsidRPr="00CD1932" w:rsidRDefault="00AE0E58" w:rsidP="00894D4A">
            <w:pPr>
              <w:pStyle w:val="TableTextLeft"/>
              <w:rPr>
                <w:rFonts w:cs="Arial"/>
                <w:szCs w:val="16"/>
              </w:rPr>
            </w:pPr>
            <w:r w:rsidRPr="00CD1932">
              <w:rPr>
                <w:rFonts w:cs="Arial"/>
                <w:szCs w:val="16"/>
              </w:rPr>
              <w:t>Borrowing (net)</w:t>
            </w:r>
          </w:p>
        </w:tc>
        <w:tc>
          <w:tcPr>
            <w:tcW w:w="1105" w:type="dxa"/>
            <w:shd w:val="clear" w:color="000000" w:fill="FFFFFF"/>
            <w:noWrap/>
            <w:vAlign w:val="center"/>
            <w:hideMark/>
          </w:tcPr>
          <w:p w14:paraId="4AAED112" w14:textId="0787CD9B" w:rsidR="00AE0E58" w:rsidRPr="00CD1932" w:rsidRDefault="00AE0E58" w:rsidP="00394C8E">
            <w:pPr>
              <w:pStyle w:val="TableTextRight"/>
              <w:rPr>
                <w:rFonts w:cs="Arial"/>
                <w:szCs w:val="16"/>
              </w:rPr>
            </w:pPr>
            <w:r w:rsidRPr="00CD1932">
              <w:rPr>
                <w:rFonts w:cs="Arial"/>
                <w:szCs w:val="16"/>
              </w:rPr>
              <w:t>3,308</w:t>
            </w:r>
          </w:p>
        </w:tc>
        <w:tc>
          <w:tcPr>
            <w:tcW w:w="1105" w:type="dxa"/>
            <w:shd w:val="clear" w:color="000000" w:fill="E6F2FF"/>
            <w:noWrap/>
            <w:vAlign w:val="center"/>
            <w:hideMark/>
          </w:tcPr>
          <w:p w14:paraId="2F978ECF" w14:textId="6B11622E" w:rsidR="00AE0E58" w:rsidRPr="00CD1932" w:rsidRDefault="00AE0E58" w:rsidP="00394C8E">
            <w:pPr>
              <w:pStyle w:val="TableTextRight"/>
              <w:rPr>
                <w:rFonts w:cs="Arial"/>
                <w:szCs w:val="16"/>
              </w:rPr>
            </w:pPr>
            <w:r w:rsidRPr="00CD1932">
              <w:rPr>
                <w:rFonts w:cs="Arial"/>
                <w:szCs w:val="16"/>
              </w:rPr>
              <w:t>2,997</w:t>
            </w:r>
          </w:p>
        </w:tc>
      </w:tr>
      <w:tr w:rsidR="00AE0E58" w:rsidRPr="000B6D6A" w14:paraId="2CE74F0D" w14:textId="77777777" w:rsidTr="00572B8D">
        <w:trPr>
          <w:trHeight w:val="225"/>
        </w:trPr>
        <w:tc>
          <w:tcPr>
            <w:tcW w:w="5501" w:type="dxa"/>
            <w:shd w:val="clear" w:color="000000" w:fill="FFFFFF"/>
            <w:noWrap/>
            <w:vAlign w:val="center"/>
            <w:hideMark/>
          </w:tcPr>
          <w:p w14:paraId="2F68C3C4" w14:textId="77777777" w:rsidR="00AE0E58" w:rsidRPr="00CD1932" w:rsidRDefault="00AE0E58" w:rsidP="00894D4A">
            <w:pPr>
              <w:pStyle w:val="TableTextLeft"/>
              <w:rPr>
                <w:rFonts w:cs="Arial"/>
                <w:szCs w:val="16"/>
              </w:rPr>
            </w:pPr>
            <w:r w:rsidRPr="00CD1932">
              <w:rPr>
                <w:rFonts w:cs="Arial"/>
                <w:szCs w:val="16"/>
              </w:rPr>
              <w:t>Other financing (net)</w:t>
            </w:r>
          </w:p>
        </w:tc>
        <w:tc>
          <w:tcPr>
            <w:tcW w:w="1105" w:type="dxa"/>
            <w:shd w:val="clear" w:color="000000" w:fill="FFFFFF"/>
            <w:noWrap/>
            <w:vAlign w:val="center"/>
            <w:hideMark/>
          </w:tcPr>
          <w:p w14:paraId="612AFC7C" w14:textId="68A0AFFF" w:rsidR="00AE0E58" w:rsidRPr="00CD1932" w:rsidRDefault="00AE0E58" w:rsidP="00394C8E">
            <w:pPr>
              <w:pStyle w:val="TableTextRight"/>
              <w:rPr>
                <w:rFonts w:cs="Arial"/>
                <w:szCs w:val="16"/>
              </w:rPr>
            </w:pPr>
            <w:r w:rsidRPr="00CD1932">
              <w:rPr>
                <w:rFonts w:cs="Arial"/>
                <w:szCs w:val="16"/>
              </w:rPr>
              <w:t>3,011</w:t>
            </w:r>
          </w:p>
        </w:tc>
        <w:tc>
          <w:tcPr>
            <w:tcW w:w="1105" w:type="dxa"/>
            <w:shd w:val="clear" w:color="000000" w:fill="E6F2FF"/>
            <w:noWrap/>
            <w:vAlign w:val="center"/>
            <w:hideMark/>
          </w:tcPr>
          <w:p w14:paraId="4925096C" w14:textId="6A7964B4" w:rsidR="00AE0E58" w:rsidRPr="00CD1932" w:rsidRDefault="00AE0E58" w:rsidP="00394C8E">
            <w:pPr>
              <w:pStyle w:val="TableTextRight"/>
              <w:rPr>
                <w:rFonts w:cs="Arial"/>
                <w:szCs w:val="16"/>
              </w:rPr>
            </w:pPr>
            <w:r w:rsidRPr="00CD1932">
              <w:rPr>
                <w:rFonts w:cs="Arial"/>
                <w:szCs w:val="16"/>
              </w:rPr>
              <w:t>6,057</w:t>
            </w:r>
          </w:p>
        </w:tc>
      </w:tr>
      <w:tr w:rsidR="00AE0E58" w:rsidRPr="000B6D6A" w14:paraId="439FA102" w14:textId="77777777" w:rsidTr="00672F85">
        <w:trPr>
          <w:trHeight w:val="261"/>
        </w:trPr>
        <w:tc>
          <w:tcPr>
            <w:tcW w:w="5501" w:type="dxa"/>
            <w:shd w:val="clear" w:color="000000" w:fill="FFFFFF"/>
            <w:noWrap/>
            <w:vAlign w:val="center"/>
            <w:hideMark/>
          </w:tcPr>
          <w:p w14:paraId="40D05EE5" w14:textId="77777777" w:rsidR="00AE0E58" w:rsidRPr="00CD1932" w:rsidRDefault="00AE0E58" w:rsidP="00894D4A">
            <w:pPr>
              <w:pStyle w:val="TableTextLeft"/>
              <w:rPr>
                <w:rFonts w:cs="Arial"/>
                <w:b/>
                <w:szCs w:val="16"/>
              </w:rPr>
            </w:pPr>
            <w:r w:rsidRPr="00CD1932">
              <w:rPr>
                <w:rFonts w:cs="Arial"/>
                <w:b/>
                <w:szCs w:val="16"/>
              </w:rPr>
              <w:t>Net cash flows from financing activities</w:t>
            </w:r>
          </w:p>
        </w:tc>
        <w:tc>
          <w:tcPr>
            <w:tcW w:w="1105" w:type="dxa"/>
            <w:shd w:val="clear" w:color="000000" w:fill="FFFFFF"/>
            <w:noWrap/>
            <w:vAlign w:val="center"/>
            <w:hideMark/>
          </w:tcPr>
          <w:p w14:paraId="14D54160" w14:textId="3A86601E" w:rsidR="00AE0E58" w:rsidRPr="00CD1932" w:rsidRDefault="00AE0E58" w:rsidP="00394C8E">
            <w:pPr>
              <w:pStyle w:val="TableTextRight"/>
              <w:rPr>
                <w:rFonts w:cs="Arial"/>
                <w:b/>
                <w:szCs w:val="16"/>
              </w:rPr>
            </w:pPr>
            <w:r w:rsidRPr="00CD1932">
              <w:rPr>
                <w:rFonts w:cs="Arial"/>
                <w:b/>
                <w:szCs w:val="16"/>
              </w:rPr>
              <w:t>6,319</w:t>
            </w:r>
          </w:p>
        </w:tc>
        <w:tc>
          <w:tcPr>
            <w:tcW w:w="1105" w:type="dxa"/>
            <w:shd w:val="clear" w:color="000000" w:fill="E6F2FF"/>
            <w:noWrap/>
            <w:vAlign w:val="center"/>
            <w:hideMark/>
          </w:tcPr>
          <w:p w14:paraId="5439AC9B" w14:textId="4AC80944" w:rsidR="00AE0E58" w:rsidRPr="00CD1932" w:rsidRDefault="00AE0E58" w:rsidP="00394C8E">
            <w:pPr>
              <w:pStyle w:val="TableTextRight"/>
              <w:rPr>
                <w:rFonts w:cs="Arial"/>
                <w:b/>
                <w:szCs w:val="16"/>
              </w:rPr>
            </w:pPr>
            <w:r w:rsidRPr="00CD1932">
              <w:rPr>
                <w:rFonts w:cs="Arial"/>
                <w:b/>
                <w:szCs w:val="16"/>
              </w:rPr>
              <w:t>9,054</w:t>
            </w:r>
          </w:p>
        </w:tc>
      </w:tr>
      <w:tr w:rsidR="00AE0E58" w:rsidRPr="000B6D6A" w14:paraId="3E814C34" w14:textId="77777777" w:rsidTr="00672F85">
        <w:trPr>
          <w:trHeight w:val="294"/>
        </w:trPr>
        <w:tc>
          <w:tcPr>
            <w:tcW w:w="5501" w:type="dxa"/>
            <w:shd w:val="clear" w:color="000000" w:fill="FFFFFF"/>
            <w:noWrap/>
            <w:vAlign w:val="center"/>
            <w:hideMark/>
          </w:tcPr>
          <w:p w14:paraId="67A7FE01" w14:textId="77777777" w:rsidR="00AE0E58" w:rsidRPr="00CD1932" w:rsidRDefault="00AE0E58" w:rsidP="00894D4A">
            <w:pPr>
              <w:pStyle w:val="TableTextLeft"/>
              <w:rPr>
                <w:rFonts w:cs="Arial"/>
                <w:b/>
                <w:szCs w:val="16"/>
              </w:rPr>
            </w:pPr>
            <w:r w:rsidRPr="00CD1932">
              <w:rPr>
                <w:rFonts w:cs="Arial"/>
                <w:b/>
                <w:szCs w:val="16"/>
              </w:rPr>
              <w:t>Net increase/(decrease) in cash held</w:t>
            </w:r>
          </w:p>
        </w:tc>
        <w:tc>
          <w:tcPr>
            <w:tcW w:w="1105" w:type="dxa"/>
            <w:shd w:val="clear" w:color="000000" w:fill="FFFFFF"/>
            <w:noWrap/>
            <w:vAlign w:val="center"/>
            <w:hideMark/>
          </w:tcPr>
          <w:p w14:paraId="32C8489A" w14:textId="7F761D81" w:rsidR="00AE0E58" w:rsidRPr="00CD1932" w:rsidRDefault="00325E1E" w:rsidP="00394C8E">
            <w:pPr>
              <w:pStyle w:val="TableTextRight"/>
              <w:rPr>
                <w:rFonts w:cs="Arial"/>
                <w:b/>
                <w:szCs w:val="16"/>
              </w:rPr>
            </w:pPr>
            <w:r>
              <w:rPr>
                <w:rFonts w:cs="Arial"/>
                <w:b/>
                <w:bCs/>
                <w:szCs w:val="16"/>
              </w:rPr>
              <w:noBreakHyphen/>
            </w:r>
            <w:r w:rsidR="00AE0E58" w:rsidRPr="00CD1932">
              <w:rPr>
                <w:rFonts w:cs="Arial"/>
                <w:b/>
                <w:szCs w:val="16"/>
              </w:rPr>
              <w:t>767</w:t>
            </w:r>
          </w:p>
        </w:tc>
        <w:tc>
          <w:tcPr>
            <w:tcW w:w="1105" w:type="dxa"/>
            <w:shd w:val="clear" w:color="000000" w:fill="E6F2FF"/>
            <w:noWrap/>
            <w:vAlign w:val="center"/>
            <w:hideMark/>
          </w:tcPr>
          <w:p w14:paraId="4896066D" w14:textId="7C7EE3A1" w:rsidR="00AE0E58" w:rsidRPr="00CD1932" w:rsidRDefault="00AE0E58" w:rsidP="00394C8E">
            <w:pPr>
              <w:pStyle w:val="TableTextRight"/>
              <w:rPr>
                <w:rFonts w:cs="Arial"/>
                <w:b/>
                <w:szCs w:val="16"/>
              </w:rPr>
            </w:pPr>
            <w:r w:rsidRPr="00CD1932">
              <w:rPr>
                <w:rFonts w:cs="Arial"/>
                <w:b/>
                <w:szCs w:val="16"/>
              </w:rPr>
              <w:t>198</w:t>
            </w:r>
          </w:p>
        </w:tc>
      </w:tr>
      <w:tr w:rsidR="00AE0E58" w:rsidRPr="000B6D6A" w14:paraId="096FEA3A" w14:textId="77777777" w:rsidTr="001E00CA">
        <w:trPr>
          <w:trHeight w:val="225"/>
        </w:trPr>
        <w:tc>
          <w:tcPr>
            <w:tcW w:w="5501" w:type="dxa"/>
            <w:tcBorders>
              <w:bottom w:val="nil"/>
            </w:tcBorders>
            <w:shd w:val="clear" w:color="000000" w:fill="FFFFFF"/>
            <w:noWrap/>
            <w:vAlign w:val="center"/>
            <w:hideMark/>
          </w:tcPr>
          <w:p w14:paraId="23B56593" w14:textId="77777777" w:rsidR="00AE0E58" w:rsidRPr="00CD1932" w:rsidRDefault="00AE0E58" w:rsidP="00894D4A">
            <w:pPr>
              <w:pStyle w:val="TableTextLeft"/>
              <w:rPr>
                <w:rFonts w:cs="Arial"/>
                <w:b/>
                <w:szCs w:val="16"/>
              </w:rPr>
            </w:pPr>
            <w:r w:rsidRPr="00CD1932">
              <w:rPr>
                <w:rFonts w:cs="Arial"/>
                <w:b/>
                <w:szCs w:val="16"/>
              </w:rPr>
              <w:t>Cash at the beginning of the year</w:t>
            </w:r>
          </w:p>
        </w:tc>
        <w:tc>
          <w:tcPr>
            <w:tcW w:w="1105" w:type="dxa"/>
            <w:tcBorders>
              <w:bottom w:val="nil"/>
            </w:tcBorders>
            <w:shd w:val="clear" w:color="000000" w:fill="FFFFFF"/>
            <w:noWrap/>
            <w:vAlign w:val="center"/>
            <w:hideMark/>
          </w:tcPr>
          <w:p w14:paraId="01068DAD" w14:textId="63292E1E" w:rsidR="00AE0E58" w:rsidRPr="00CD1932" w:rsidRDefault="00AE0E58" w:rsidP="00394C8E">
            <w:pPr>
              <w:pStyle w:val="TableTextRight"/>
              <w:rPr>
                <w:rFonts w:cs="Arial"/>
                <w:b/>
                <w:szCs w:val="16"/>
              </w:rPr>
            </w:pPr>
            <w:r w:rsidRPr="00CD1932">
              <w:rPr>
                <w:rFonts w:cs="Arial"/>
                <w:b/>
                <w:szCs w:val="16"/>
              </w:rPr>
              <w:t>2,103</w:t>
            </w:r>
          </w:p>
        </w:tc>
        <w:tc>
          <w:tcPr>
            <w:tcW w:w="1105" w:type="dxa"/>
            <w:tcBorders>
              <w:bottom w:val="nil"/>
            </w:tcBorders>
            <w:shd w:val="clear" w:color="000000" w:fill="E6F2FF"/>
            <w:noWrap/>
            <w:vAlign w:val="center"/>
            <w:hideMark/>
          </w:tcPr>
          <w:p w14:paraId="7375CE15" w14:textId="1CF89EF9" w:rsidR="00AE0E58" w:rsidRPr="00CD1932" w:rsidRDefault="00AE0E58" w:rsidP="00394C8E">
            <w:pPr>
              <w:pStyle w:val="TableTextRight"/>
              <w:rPr>
                <w:rFonts w:cs="Arial"/>
                <w:b/>
                <w:szCs w:val="16"/>
              </w:rPr>
            </w:pPr>
            <w:r w:rsidRPr="00CD1932">
              <w:rPr>
                <w:rFonts w:cs="Arial"/>
                <w:b/>
                <w:szCs w:val="16"/>
              </w:rPr>
              <w:t>1,335</w:t>
            </w:r>
          </w:p>
        </w:tc>
      </w:tr>
      <w:tr w:rsidR="00AE0E58" w:rsidRPr="000B6D6A" w14:paraId="2676261B" w14:textId="77777777" w:rsidTr="001E00CA">
        <w:trPr>
          <w:trHeight w:val="225"/>
        </w:trPr>
        <w:tc>
          <w:tcPr>
            <w:tcW w:w="5501" w:type="dxa"/>
            <w:tcBorders>
              <w:top w:val="nil"/>
              <w:bottom w:val="single" w:sz="4" w:space="0" w:color="auto"/>
            </w:tcBorders>
            <w:shd w:val="clear" w:color="000000" w:fill="FFFFFF"/>
            <w:noWrap/>
            <w:vAlign w:val="center"/>
            <w:hideMark/>
          </w:tcPr>
          <w:p w14:paraId="257975FC" w14:textId="77777777" w:rsidR="00AE0E58" w:rsidRPr="00CD1932" w:rsidRDefault="00AE0E58" w:rsidP="00894D4A">
            <w:pPr>
              <w:pStyle w:val="TableTextLeft"/>
              <w:rPr>
                <w:rFonts w:cs="Arial"/>
                <w:b/>
                <w:szCs w:val="16"/>
              </w:rPr>
            </w:pPr>
            <w:r w:rsidRPr="00CD1932">
              <w:rPr>
                <w:rFonts w:cs="Arial"/>
                <w:b/>
                <w:szCs w:val="16"/>
              </w:rPr>
              <w:t>Cash at the end of the year</w:t>
            </w:r>
          </w:p>
        </w:tc>
        <w:tc>
          <w:tcPr>
            <w:tcW w:w="1105" w:type="dxa"/>
            <w:tcBorders>
              <w:top w:val="nil"/>
              <w:bottom w:val="single" w:sz="4" w:space="0" w:color="auto"/>
            </w:tcBorders>
            <w:shd w:val="clear" w:color="auto" w:fill="auto"/>
            <w:noWrap/>
            <w:vAlign w:val="center"/>
            <w:hideMark/>
          </w:tcPr>
          <w:p w14:paraId="3FAFFFE4" w14:textId="1A92FA5D" w:rsidR="00AE0E58" w:rsidRPr="00CD1932" w:rsidRDefault="00AE0E58" w:rsidP="00394C8E">
            <w:pPr>
              <w:pStyle w:val="TableTextRight"/>
              <w:rPr>
                <w:rFonts w:cs="Arial"/>
                <w:b/>
                <w:szCs w:val="16"/>
              </w:rPr>
            </w:pPr>
            <w:r w:rsidRPr="00CD1932">
              <w:rPr>
                <w:rFonts w:cs="Arial"/>
                <w:b/>
                <w:szCs w:val="16"/>
              </w:rPr>
              <w:t>1,335</w:t>
            </w:r>
          </w:p>
        </w:tc>
        <w:tc>
          <w:tcPr>
            <w:tcW w:w="1105" w:type="dxa"/>
            <w:tcBorders>
              <w:top w:val="nil"/>
              <w:bottom w:val="single" w:sz="4" w:space="0" w:color="auto"/>
            </w:tcBorders>
            <w:shd w:val="clear" w:color="000000" w:fill="E6F2FF"/>
            <w:noWrap/>
            <w:vAlign w:val="center"/>
            <w:hideMark/>
          </w:tcPr>
          <w:p w14:paraId="5DF8A245" w14:textId="50CB5C08" w:rsidR="00AE0E58" w:rsidRPr="00CD1932" w:rsidRDefault="00AE0E58" w:rsidP="00394C8E">
            <w:pPr>
              <w:pStyle w:val="TableTextRight"/>
              <w:rPr>
                <w:rFonts w:cs="Arial"/>
                <w:b/>
                <w:szCs w:val="16"/>
              </w:rPr>
            </w:pPr>
            <w:r w:rsidRPr="00CD1932">
              <w:rPr>
                <w:rFonts w:cs="Arial"/>
                <w:b/>
                <w:szCs w:val="16"/>
              </w:rPr>
              <w:t>1,533</w:t>
            </w:r>
          </w:p>
        </w:tc>
      </w:tr>
      <w:tr w:rsidR="009A27FB" w:rsidRPr="000B6D6A" w14:paraId="1423A2D6" w14:textId="77777777" w:rsidTr="001E00CA">
        <w:trPr>
          <w:trHeight w:val="225"/>
        </w:trPr>
        <w:tc>
          <w:tcPr>
            <w:tcW w:w="5501" w:type="dxa"/>
            <w:tcBorders>
              <w:top w:val="single" w:sz="4" w:space="0" w:color="auto"/>
            </w:tcBorders>
            <w:shd w:val="clear" w:color="000000" w:fill="FFFFFF"/>
            <w:noWrap/>
            <w:vAlign w:val="center"/>
            <w:hideMark/>
          </w:tcPr>
          <w:p w14:paraId="23574CD3" w14:textId="2BE58BAF" w:rsidR="009A27FB" w:rsidRPr="00CD1932" w:rsidRDefault="009A27FB" w:rsidP="00894D4A">
            <w:pPr>
              <w:pStyle w:val="TableTextLeft"/>
              <w:rPr>
                <w:rFonts w:cs="Arial"/>
                <w:b/>
                <w:szCs w:val="16"/>
              </w:rPr>
            </w:pPr>
            <w:r w:rsidRPr="00CD1932">
              <w:rPr>
                <w:rFonts w:cs="Arial"/>
                <w:b/>
                <w:szCs w:val="16"/>
              </w:rPr>
              <w:t>GFS cash surplus(+)/deficit</w:t>
            </w:r>
            <w:r w:rsidRPr="00CD1932">
              <w:rPr>
                <w:rFonts w:cs="Arial"/>
                <w:b/>
                <w:bCs/>
                <w:szCs w:val="16"/>
              </w:rPr>
              <w:t>(</w:t>
            </w:r>
            <w:r w:rsidR="00325E1E">
              <w:rPr>
                <w:rFonts w:cs="Arial"/>
                <w:b/>
                <w:bCs/>
                <w:szCs w:val="16"/>
              </w:rPr>
              <w:noBreakHyphen/>
            </w:r>
            <w:r w:rsidRPr="00CD1932">
              <w:rPr>
                <w:rFonts w:cs="Arial"/>
                <w:b/>
                <w:bCs/>
                <w:szCs w:val="16"/>
              </w:rPr>
              <w:t>)(</w:t>
            </w:r>
            <w:r w:rsidRPr="00CD1932">
              <w:rPr>
                <w:rFonts w:cs="Arial"/>
                <w:b/>
                <w:szCs w:val="16"/>
              </w:rPr>
              <w:t>c)</w:t>
            </w:r>
          </w:p>
        </w:tc>
        <w:tc>
          <w:tcPr>
            <w:tcW w:w="1105" w:type="dxa"/>
            <w:tcBorders>
              <w:top w:val="single" w:sz="4" w:space="0" w:color="auto"/>
            </w:tcBorders>
            <w:shd w:val="clear" w:color="000000" w:fill="FFFFFF"/>
            <w:noWrap/>
            <w:vAlign w:val="center"/>
            <w:hideMark/>
          </w:tcPr>
          <w:p w14:paraId="672B110B" w14:textId="66C65787" w:rsidR="009A27FB" w:rsidRPr="00CD1932" w:rsidRDefault="00325E1E" w:rsidP="00394C8E">
            <w:pPr>
              <w:pStyle w:val="TableTextRight"/>
              <w:rPr>
                <w:rFonts w:cs="Arial"/>
                <w:b/>
                <w:szCs w:val="16"/>
              </w:rPr>
            </w:pPr>
            <w:r>
              <w:rPr>
                <w:rFonts w:cs="Arial"/>
                <w:b/>
                <w:bCs/>
                <w:szCs w:val="16"/>
              </w:rPr>
              <w:noBreakHyphen/>
            </w:r>
            <w:r w:rsidR="009A27FB" w:rsidRPr="00CD1932">
              <w:rPr>
                <w:rFonts w:cs="Arial"/>
                <w:b/>
                <w:szCs w:val="16"/>
              </w:rPr>
              <w:t>7,150</w:t>
            </w:r>
          </w:p>
        </w:tc>
        <w:tc>
          <w:tcPr>
            <w:tcW w:w="1105" w:type="dxa"/>
            <w:tcBorders>
              <w:top w:val="single" w:sz="4" w:space="0" w:color="auto"/>
            </w:tcBorders>
            <w:shd w:val="clear" w:color="000000" w:fill="E6F2FF"/>
            <w:noWrap/>
            <w:vAlign w:val="center"/>
            <w:hideMark/>
          </w:tcPr>
          <w:p w14:paraId="7A39BD64" w14:textId="685F7FED" w:rsidR="009A27FB" w:rsidRPr="00CD1932" w:rsidRDefault="00325E1E" w:rsidP="00394C8E">
            <w:pPr>
              <w:pStyle w:val="TableTextRight"/>
              <w:rPr>
                <w:rFonts w:cs="Arial"/>
                <w:b/>
                <w:szCs w:val="16"/>
              </w:rPr>
            </w:pPr>
            <w:r>
              <w:rPr>
                <w:rFonts w:cs="Arial"/>
                <w:b/>
                <w:bCs/>
                <w:szCs w:val="16"/>
              </w:rPr>
              <w:noBreakHyphen/>
            </w:r>
            <w:r w:rsidR="009A27FB" w:rsidRPr="00CD1932">
              <w:rPr>
                <w:rFonts w:cs="Arial"/>
                <w:b/>
                <w:szCs w:val="16"/>
              </w:rPr>
              <w:t>8,658</w:t>
            </w:r>
          </w:p>
        </w:tc>
      </w:tr>
      <w:tr w:rsidR="009A27FB" w:rsidRPr="000B6D6A" w14:paraId="32B631A6" w14:textId="77777777" w:rsidTr="00572B8D">
        <w:trPr>
          <w:trHeight w:val="225"/>
        </w:trPr>
        <w:tc>
          <w:tcPr>
            <w:tcW w:w="5501" w:type="dxa"/>
            <w:shd w:val="clear" w:color="000000" w:fill="FFFFFF"/>
            <w:noWrap/>
            <w:vAlign w:val="center"/>
            <w:hideMark/>
          </w:tcPr>
          <w:p w14:paraId="362AA8CF" w14:textId="77777777" w:rsidR="009A27FB" w:rsidRPr="00CD1932" w:rsidRDefault="009A27FB" w:rsidP="00894D4A">
            <w:pPr>
              <w:pStyle w:val="TableTextLeft"/>
              <w:rPr>
                <w:rFonts w:cs="Arial"/>
                <w:szCs w:val="16"/>
              </w:rPr>
            </w:pPr>
            <w:r w:rsidRPr="00CD1932">
              <w:rPr>
                <w:rFonts w:cs="Arial"/>
                <w:i/>
                <w:szCs w:val="16"/>
              </w:rPr>
              <w:t xml:space="preserve">plus </w:t>
            </w:r>
            <w:r w:rsidRPr="00CD1932">
              <w:rPr>
                <w:rFonts w:cs="Arial"/>
                <w:szCs w:val="16"/>
              </w:rPr>
              <w:t>Principal payments of lease liabilities(d)</w:t>
            </w:r>
          </w:p>
        </w:tc>
        <w:tc>
          <w:tcPr>
            <w:tcW w:w="1105" w:type="dxa"/>
            <w:shd w:val="clear" w:color="000000" w:fill="FFFFFF"/>
            <w:noWrap/>
            <w:vAlign w:val="center"/>
            <w:hideMark/>
          </w:tcPr>
          <w:p w14:paraId="1D9AE877" w14:textId="61E61F79" w:rsidR="009A27FB" w:rsidRPr="00CD1932" w:rsidRDefault="00325E1E" w:rsidP="00394C8E">
            <w:pPr>
              <w:pStyle w:val="TableTextRight"/>
              <w:rPr>
                <w:rFonts w:cs="Arial"/>
                <w:szCs w:val="16"/>
              </w:rPr>
            </w:pPr>
            <w:r>
              <w:rPr>
                <w:rFonts w:cs="Arial"/>
                <w:szCs w:val="16"/>
              </w:rPr>
              <w:noBreakHyphen/>
            </w:r>
            <w:r w:rsidR="009A27FB" w:rsidRPr="00CD1932">
              <w:rPr>
                <w:rFonts w:cs="Arial"/>
                <w:szCs w:val="16"/>
              </w:rPr>
              <w:t>555</w:t>
            </w:r>
          </w:p>
        </w:tc>
        <w:tc>
          <w:tcPr>
            <w:tcW w:w="1105" w:type="dxa"/>
            <w:shd w:val="clear" w:color="000000" w:fill="E6F2FF"/>
            <w:noWrap/>
            <w:vAlign w:val="center"/>
            <w:hideMark/>
          </w:tcPr>
          <w:p w14:paraId="5AD4D9D9" w14:textId="75C6812C" w:rsidR="009A27FB" w:rsidRPr="00CD1932" w:rsidRDefault="00325E1E" w:rsidP="00394C8E">
            <w:pPr>
              <w:pStyle w:val="TableTextRight"/>
              <w:rPr>
                <w:rFonts w:cs="Arial"/>
                <w:szCs w:val="16"/>
              </w:rPr>
            </w:pPr>
            <w:r>
              <w:rPr>
                <w:rFonts w:cs="Arial"/>
                <w:szCs w:val="16"/>
              </w:rPr>
              <w:noBreakHyphen/>
            </w:r>
            <w:r w:rsidR="009A27FB" w:rsidRPr="00CD1932">
              <w:rPr>
                <w:rFonts w:cs="Arial"/>
                <w:szCs w:val="16"/>
              </w:rPr>
              <w:t>378</w:t>
            </w:r>
          </w:p>
        </w:tc>
      </w:tr>
      <w:tr w:rsidR="009A27FB" w:rsidRPr="000B6D6A" w14:paraId="0E67FB3C" w14:textId="77777777" w:rsidTr="00572B8D">
        <w:trPr>
          <w:trHeight w:val="225"/>
        </w:trPr>
        <w:tc>
          <w:tcPr>
            <w:tcW w:w="5501" w:type="dxa"/>
            <w:shd w:val="clear" w:color="000000" w:fill="FFFFFF"/>
            <w:noWrap/>
            <w:vAlign w:val="center"/>
            <w:hideMark/>
          </w:tcPr>
          <w:p w14:paraId="129B82A7" w14:textId="1A963555" w:rsidR="009A27FB" w:rsidRPr="00CD1932" w:rsidRDefault="009A27FB" w:rsidP="00894D4A">
            <w:pPr>
              <w:pStyle w:val="TableTextLeft"/>
              <w:rPr>
                <w:rFonts w:cs="Arial"/>
                <w:b/>
                <w:szCs w:val="16"/>
              </w:rPr>
            </w:pPr>
            <w:r w:rsidRPr="00CD1932">
              <w:rPr>
                <w:rFonts w:cs="Arial"/>
                <w:b/>
                <w:szCs w:val="16"/>
              </w:rPr>
              <w:t>Adjusted GFS cash surplus(+)/deficit</w:t>
            </w:r>
            <w:r w:rsidRPr="00CD1932">
              <w:rPr>
                <w:rFonts w:cs="Arial"/>
                <w:b/>
                <w:bCs/>
                <w:szCs w:val="16"/>
              </w:rPr>
              <w:t>(</w:t>
            </w:r>
            <w:r w:rsidR="00325E1E">
              <w:rPr>
                <w:rFonts w:cs="Arial"/>
                <w:b/>
                <w:bCs/>
                <w:szCs w:val="16"/>
              </w:rPr>
              <w:noBreakHyphen/>
            </w:r>
            <w:r w:rsidRPr="00CD1932">
              <w:rPr>
                <w:rFonts w:cs="Arial"/>
                <w:b/>
                <w:bCs/>
                <w:szCs w:val="16"/>
              </w:rPr>
              <w:t>)(</w:t>
            </w:r>
            <w:r w:rsidRPr="00CD1932">
              <w:rPr>
                <w:rFonts w:cs="Arial"/>
                <w:b/>
                <w:szCs w:val="16"/>
              </w:rPr>
              <w:t>d)</w:t>
            </w:r>
          </w:p>
        </w:tc>
        <w:tc>
          <w:tcPr>
            <w:tcW w:w="1105" w:type="dxa"/>
            <w:shd w:val="clear" w:color="000000" w:fill="FFFFFF"/>
            <w:noWrap/>
            <w:vAlign w:val="center"/>
            <w:hideMark/>
          </w:tcPr>
          <w:p w14:paraId="72EFEFDF" w14:textId="09FA6261" w:rsidR="009A27FB" w:rsidRPr="00CD1932" w:rsidRDefault="00325E1E" w:rsidP="00394C8E">
            <w:pPr>
              <w:pStyle w:val="TableTextRight"/>
              <w:rPr>
                <w:rFonts w:cs="Arial"/>
                <w:b/>
                <w:szCs w:val="16"/>
              </w:rPr>
            </w:pPr>
            <w:r>
              <w:rPr>
                <w:rFonts w:cs="Arial"/>
                <w:b/>
                <w:bCs/>
                <w:szCs w:val="16"/>
              </w:rPr>
              <w:noBreakHyphen/>
            </w:r>
            <w:r w:rsidR="009A27FB" w:rsidRPr="00CD1932">
              <w:rPr>
                <w:rFonts w:cs="Arial"/>
                <w:b/>
                <w:szCs w:val="16"/>
              </w:rPr>
              <w:t>7,706</w:t>
            </w:r>
          </w:p>
        </w:tc>
        <w:tc>
          <w:tcPr>
            <w:tcW w:w="1105" w:type="dxa"/>
            <w:shd w:val="clear" w:color="000000" w:fill="E6F2FF"/>
            <w:noWrap/>
            <w:vAlign w:val="center"/>
            <w:hideMark/>
          </w:tcPr>
          <w:p w14:paraId="79D2287B" w14:textId="4FEB395D" w:rsidR="009A27FB" w:rsidRPr="00CD1932" w:rsidRDefault="00325E1E" w:rsidP="00394C8E">
            <w:pPr>
              <w:pStyle w:val="TableTextRight"/>
              <w:rPr>
                <w:rFonts w:cs="Arial"/>
                <w:b/>
                <w:szCs w:val="16"/>
              </w:rPr>
            </w:pPr>
            <w:r>
              <w:rPr>
                <w:rFonts w:cs="Arial"/>
                <w:b/>
                <w:bCs/>
                <w:szCs w:val="16"/>
              </w:rPr>
              <w:noBreakHyphen/>
            </w:r>
            <w:r w:rsidR="009A27FB" w:rsidRPr="00CD1932">
              <w:rPr>
                <w:rFonts w:cs="Arial"/>
                <w:b/>
                <w:szCs w:val="16"/>
              </w:rPr>
              <w:t>9,036</w:t>
            </w:r>
          </w:p>
        </w:tc>
      </w:tr>
    </w:tbl>
    <w:p w14:paraId="79B79ED0" w14:textId="664C01F2" w:rsidR="00D8138E" w:rsidRPr="00EA746C" w:rsidRDefault="00D8138E" w:rsidP="00D8138E">
      <w:pPr>
        <w:pStyle w:val="ChartandTableFootnoteAlpha"/>
        <w:numPr>
          <w:ilvl w:val="0"/>
          <w:numId w:val="12"/>
        </w:numPr>
      </w:pPr>
      <w:r w:rsidRPr="00EA746C">
        <w:t>A positive number denotes a cash inflow; a negative number denotes a cash outflow.</w:t>
      </w:r>
    </w:p>
    <w:p w14:paraId="14548FE5" w14:textId="77777777" w:rsidR="00D8138E" w:rsidRPr="00EA746C" w:rsidRDefault="00D8138E" w:rsidP="00D8138E">
      <w:pPr>
        <w:pStyle w:val="ChartandTableFootnoteAlpha"/>
        <w:numPr>
          <w:ilvl w:val="0"/>
          <w:numId w:val="12"/>
        </w:numPr>
      </w:pPr>
      <w:r w:rsidRPr="00EA746C">
        <w:t>Consistent with the ABS GFS classification, other employee related payments are classified separately from wages and salaries under other payments.</w:t>
      </w:r>
    </w:p>
    <w:p w14:paraId="0B210143" w14:textId="5E01ABB8" w:rsidR="00D8138E" w:rsidRPr="00EA746C" w:rsidRDefault="00D8138E" w:rsidP="00D8138E">
      <w:pPr>
        <w:pStyle w:val="ChartandTableFootnoteAlpha"/>
        <w:numPr>
          <w:ilvl w:val="0"/>
          <w:numId w:val="12"/>
        </w:numPr>
      </w:pPr>
      <w:r w:rsidRPr="00EA746C">
        <w:t>GFS cash surplus/deficit equals net cash flows from operating activities and investments in non</w:t>
      </w:r>
      <w:r w:rsidR="00325E1E">
        <w:noBreakHyphen/>
      </w:r>
      <w:r w:rsidRPr="00EA746C">
        <w:t>financial assets.</w:t>
      </w:r>
    </w:p>
    <w:p w14:paraId="0C3A1C3E" w14:textId="4811EE92" w:rsidR="00D8138E" w:rsidRPr="00EA746C" w:rsidRDefault="00D8138E" w:rsidP="00D8138E">
      <w:pPr>
        <w:pStyle w:val="ChartandTableFootnoteAlpha"/>
        <w:numPr>
          <w:ilvl w:val="0"/>
          <w:numId w:val="12"/>
        </w:numPr>
      </w:pPr>
      <w:r w:rsidRPr="00305468">
        <w:t>Principal payments of lease liabilities, which are financing cash payments, are deducted in the calculation of the GFS cash surplus/deficit to maintain consistency of measure following the implementation</w:t>
      </w:r>
      <w:r w:rsidRPr="00EA746C">
        <w:t xml:space="preserve"> of </w:t>
      </w:r>
      <w:r w:rsidR="00A96E0D">
        <w:t>AASB </w:t>
      </w:r>
      <w:r w:rsidRPr="00EA746C">
        <w:t>16.</w:t>
      </w:r>
    </w:p>
    <w:p w14:paraId="2C5A3324" w14:textId="77777777" w:rsidR="00D8138E" w:rsidRPr="00EA746C" w:rsidRDefault="00D8138E" w:rsidP="00427ADC">
      <w:pPr>
        <w:pStyle w:val="TableLine"/>
      </w:pPr>
    </w:p>
    <w:p w14:paraId="27189582" w14:textId="77777777" w:rsidR="00AB5682" w:rsidRDefault="00AB5682">
      <w:pPr>
        <w:spacing w:before="0" w:after="160" w:line="259" w:lineRule="auto"/>
        <w:rPr>
          <w:rFonts w:ascii="Arial" w:hAnsi="Arial"/>
          <w:b/>
          <w:sz w:val="20"/>
        </w:rPr>
      </w:pPr>
      <w:bookmarkStart w:id="4" w:name="_Hlk130214397"/>
      <w:r>
        <w:br w:type="page"/>
      </w:r>
    </w:p>
    <w:p w14:paraId="1D2FFD8A" w14:textId="18136E42"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EA746C">
        <w:t>1</w:t>
      </w:r>
      <w:r w:rsidR="005A3823">
        <w:t>0</w:t>
      </w:r>
      <w:r w:rsidR="00D8138E" w:rsidRPr="00EA746C">
        <w:t>.7: Australian Government total non</w:t>
      </w:r>
      <w:r w:rsidR="00325E1E">
        <w:noBreakHyphen/>
      </w:r>
      <w:r w:rsidR="00D8138E" w:rsidRPr="00EA746C">
        <w:t>financial public sector operating statemen</w:t>
      </w:r>
      <w:r w:rsidR="00D8138E">
        <w:t>t</w:t>
      </w:r>
      <w:bookmarkEnd w:id="4"/>
    </w:p>
    <w:tbl>
      <w:tblPr>
        <w:tblW w:w="5067" w:type="pct"/>
        <w:tblCellMar>
          <w:left w:w="0" w:type="dxa"/>
          <w:right w:w="28" w:type="dxa"/>
        </w:tblCellMar>
        <w:tblLook w:val="04A0" w:firstRow="1" w:lastRow="0" w:firstColumn="1" w:lastColumn="0" w:noHBand="0" w:noVBand="1"/>
      </w:tblPr>
      <w:tblGrid>
        <w:gridCol w:w="4801"/>
        <w:gridCol w:w="1019"/>
        <w:gridCol w:w="937"/>
        <w:gridCol w:w="1001"/>
        <w:gridCol w:w="71"/>
      </w:tblGrid>
      <w:tr w:rsidR="0081569B" w:rsidRPr="0081569B" w14:paraId="6537F841" w14:textId="77777777" w:rsidTr="003C7BDE">
        <w:trPr>
          <w:trHeight w:val="225"/>
        </w:trPr>
        <w:tc>
          <w:tcPr>
            <w:tcW w:w="5812" w:type="dxa"/>
            <w:gridSpan w:val="2"/>
            <w:tcBorders>
              <w:top w:val="single" w:sz="4" w:space="0" w:color="293F5B"/>
              <w:left w:val="nil"/>
              <w:bottom w:val="nil"/>
              <w:right w:val="nil"/>
            </w:tcBorders>
            <w:shd w:val="clear" w:color="000000" w:fill="FFFFFF"/>
            <w:noWrap/>
            <w:vAlign w:val="center"/>
            <w:hideMark/>
          </w:tcPr>
          <w:p w14:paraId="3628FFF6" w14:textId="77777777" w:rsidR="0081569B" w:rsidRPr="0081569B" w:rsidRDefault="0081569B" w:rsidP="009D7098">
            <w:pPr>
              <w:pStyle w:val="TableTextLeft"/>
            </w:pPr>
            <w:r w:rsidRPr="0081569B">
              <w:t> </w:t>
            </w:r>
          </w:p>
        </w:tc>
        <w:tc>
          <w:tcPr>
            <w:tcW w:w="2001" w:type="dxa"/>
            <w:gridSpan w:val="3"/>
            <w:tcBorders>
              <w:top w:val="single" w:sz="4" w:space="0" w:color="293F5B"/>
              <w:left w:val="nil"/>
              <w:bottom w:val="single" w:sz="4" w:space="0" w:color="293F5B"/>
              <w:right w:val="nil"/>
            </w:tcBorders>
            <w:shd w:val="clear" w:color="000000" w:fill="FFFFFF"/>
            <w:noWrap/>
            <w:vAlign w:val="center"/>
            <w:hideMark/>
          </w:tcPr>
          <w:p w14:paraId="652F5E0D" w14:textId="2A9CAE53" w:rsidR="0081569B" w:rsidRPr="0081569B" w:rsidRDefault="006F0C9E" w:rsidP="003C7BDE">
            <w:pPr>
              <w:pStyle w:val="TableTextCentred"/>
            </w:pPr>
            <w:r w:rsidRPr="0081569B">
              <w:t>Estimates </w:t>
            </w:r>
          </w:p>
        </w:tc>
      </w:tr>
      <w:tr w:rsidR="0081569B" w:rsidRPr="0081569B" w14:paraId="5759364E" w14:textId="77777777" w:rsidTr="003C7BDE">
        <w:trPr>
          <w:gridAfter w:val="1"/>
          <w:wAfter w:w="79" w:type="dxa"/>
          <w:trHeight w:val="225"/>
        </w:trPr>
        <w:tc>
          <w:tcPr>
            <w:tcW w:w="5812" w:type="dxa"/>
            <w:gridSpan w:val="2"/>
            <w:tcBorders>
              <w:top w:val="nil"/>
              <w:left w:val="nil"/>
              <w:bottom w:val="nil"/>
              <w:right w:val="nil"/>
            </w:tcBorders>
            <w:shd w:val="clear" w:color="000000" w:fill="FFFFFF"/>
            <w:noWrap/>
            <w:vAlign w:val="center"/>
            <w:hideMark/>
          </w:tcPr>
          <w:p w14:paraId="2F3BC628" w14:textId="77777777" w:rsidR="0081569B" w:rsidRPr="0081569B" w:rsidRDefault="0081569B" w:rsidP="009D7098">
            <w:pPr>
              <w:pStyle w:val="TableTextLeft"/>
            </w:pPr>
            <w:r w:rsidRPr="0081569B">
              <w:t> </w:t>
            </w:r>
          </w:p>
        </w:tc>
        <w:tc>
          <w:tcPr>
            <w:tcW w:w="929" w:type="dxa"/>
            <w:tcBorders>
              <w:top w:val="nil"/>
              <w:left w:val="nil"/>
              <w:bottom w:val="nil"/>
              <w:right w:val="nil"/>
            </w:tcBorders>
            <w:shd w:val="clear" w:color="000000" w:fill="FFFFFF"/>
            <w:noWrap/>
            <w:vAlign w:val="center"/>
            <w:hideMark/>
          </w:tcPr>
          <w:p w14:paraId="232DBFA1" w14:textId="0AD0FE64" w:rsidR="0081569B" w:rsidRPr="0081569B" w:rsidRDefault="0081569B" w:rsidP="00A85B4A">
            <w:pPr>
              <w:pStyle w:val="TableTextRight"/>
            </w:pPr>
            <w:r w:rsidRPr="0081569B">
              <w:t>2023</w:t>
            </w:r>
            <w:r w:rsidR="00325E1E">
              <w:noBreakHyphen/>
            </w:r>
            <w:r w:rsidRPr="0081569B">
              <w:t>24</w:t>
            </w:r>
          </w:p>
        </w:tc>
        <w:tc>
          <w:tcPr>
            <w:tcW w:w="993" w:type="dxa"/>
            <w:tcBorders>
              <w:top w:val="nil"/>
              <w:left w:val="nil"/>
              <w:bottom w:val="nil"/>
              <w:right w:val="nil"/>
            </w:tcBorders>
            <w:shd w:val="clear" w:color="000000" w:fill="E6F2FF"/>
            <w:noWrap/>
            <w:vAlign w:val="center"/>
            <w:hideMark/>
          </w:tcPr>
          <w:p w14:paraId="2D1D47D3" w14:textId="5CAF078C" w:rsidR="0081569B" w:rsidRPr="0081569B" w:rsidRDefault="0081569B" w:rsidP="00A85B4A">
            <w:pPr>
              <w:pStyle w:val="TableTextRight"/>
            </w:pPr>
            <w:r w:rsidRPr="0081569B">
              <w:t>2024</w:t>
            </w:r>
            <w:r w:rsidR="00325E1E">
              <w:noBreakHyphen/>
            </w:r>
            <w:r w:rsidRPr="0081569B">
              <w:t>25</w:t>
            </w:r>
          </w:p>
        </w:tc>
      </w:tr>
      <w:tr w:rsidR="0081569B" w:rsidRPr="0081569B" w14:paraId="4A88099F" w14:textId="77777777" w:rsidTr="003C7BDE">
        <w:trPr>
          <w:gridAfter w:val="1"/>
          <w:wAfter w:w="79" w:type="dxa"/>
          <w:trHeight w:val="225"/>
        </w:trPr>
        <w:tc>
          <w:tcPr>
            <w:tcW w:w="5812" w:type="dxa"/>
            <w:gridSpan w:val="2"/>
            <w:tcBorders>
              <w:top w:val="nil"/>
              <w:left w:val="nil"/>
              <w:bottom w:val="nil"/>
              <w:right w:val="nil"/>
            </w:tcBorders>
            <w:shd w:val="clear" w:color="000000" w:fill="FFFFFF"/>
            <w:noWrap/>
            <w:vAlign w:val="center"/>
            <w:hideMark/>
          </w:tcPr>
          <w:p w14:paraId="14852136" w14:textId="77777777" w:rsidR="0081569B" w:rsidRPr="0081569B" w:rsidRDefault="0081569B" w:rsidP="009D7098">
            <w:pPr>
              <w:pStyle w:val="TableTextLeft"/>
            </w:pPr>
            <w:r w:rsidRPr="0081569B">
              <w:t> </w:t>
            </w:r>
          </w:p>
        </w:tc>
        <w:tc>
          <w:tcPr>
            <w:tcW w:w="929" w:type="dxa"/>
            <w:tcBorders>
              <w:top w:val="nil"/>
              <w:left w:val="nil"/>
              <w:bottom w:val="single" w:sz="4" w:space="0" w:color="293F5B"/>
              <w:right w:val="nil"/>
            </w:tcBorders>
            <w:shd w:val="clear" w:color="000000" w:fill="FFFFFF"/>
            <w:noWrap/>
            <w:vAlign w:val="center"/>
            <w:hideMark/>
          </w:tcPr>
          <w:p w14:paraId="5257C40C" w14:textId="77777777" w:rsidR="0081569B" w:rsidRPr="0081569B" w:rsidRDefault="0081569B" w:rsidP="00A85B4A">
            <w:pPr>
              <w:pStyle w:val="TableTextRight"/>
            </w:pPr>
            <w:r w:rsidRPr="0081569B">
              <w:t>$m</w:t>
            </w:r>
          </w:p>
        </w:tc>
        <w:tc>
          <w:tcPr>
            <w:tcW w:w="993" w:type="dxa"/>
            <w:tcBorders>
              <w:top w:val="nil"/>
              <w:left w:val="nil"/>
              <w:bottom w:val="single" w:sz="4" w:space="0" w:color="293F5B"/>
              <w:right w:val="nil"/>
            </w:tcBorders>
            <w:shd w:val="clear" w:color="000000" w:fill="E6F2FF"/>
            <w:noWrap/>
            <w:vAlign w:val="center"/>
            <w:hideMark/>
          </w:tcPr>
          <w:p w14:paraId="0C08D961" w14:textId="77777777" w:rsidR="0081569B" w:rsidRPr="0081569B" w:rsidRDefault="0081569B" w:rsidP="00A85B4A">
            <w:pPr>
              <w:pStyle w:val="TableTextRight"/>
            </w:pPr>
            <w:r w:rsidRPr="0081569B">
              <w:t>$m</w:t>
            </w:r>
          </w:p>
        </w:tc>
      </w:tr>
      <w:tr w:rsidR="0081569B" w:rsidRPr="0081569B" w14:paraId="27108A4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5FE5F91E" w14:textId="77777777" w:rsidR="0081569B" w:rsidRPr="0081569B" w:rsidRDefault="0081569B" w:rsidP="009D7098">
            <w:pPr>
              <w:pStyle w:val="TableTextLeft"/>
              <w:rPr>
                <w:b/>
              </w:rPr>
            </w:pPr>
            <w:r w:rsidRPr="0081569B">
              <w:rPr>
                <w:b/>
              </w:rPr>
              <w:t>Revenue</w:t>
            </w:r>
          </w:p>
        </w:tc>
        <w:tc>
          <w:tcPr>
            <w:tcW w:w="1948" w:type="dxa"/>
            <w:gridSpan w:val="2"/>
            <w:tcBorders>
              <w:top w:val="nil"/>
              <w:left w:val="nil"/>
              <w:bottom w:val="nil"/>
              <w:right w:val="nil"/>
            </w:tcBorders>
            <w:shd w:val="clear" w:color="000000" w:fill="FFFFFF"/>
            <w:noWrap/>
            <w:vAlign w:val="center"/>
            <w:hideMark/>
          </w:tcPr>
          <w:p w14:paraId="1492E45E" w14:textId="77777777" w:rsidR="0081569B" w:rsidRPr="0081569B" w:rsidRDefault="0081569B" w:rsidP="00A85B4A">
            <w:pPr>
              <w:pStyle w:val="TableTextRight"/>
            </w:pPr>
            <w:r w:rsidRPr="0081569B">
              <w:t> </w:t>
            </w:r>
          </w:p>
        </w:tc>
        <w:tc>
          <w:tcPr>
            <w:tcW w:w="993" w:type="dxa"/>
            <w:tcBorders>
              <w:top w:val="nil"/>
              <w:left w:val="nil"/>
              <w:bottom w:val="nil"/>
              <w:right w:val="nil"/>
            </w:tcBorders>
            <w:shd w:val="clear" w:color="000000" w:fill="E6F2FF"/>
            <w:noWrap/>
            <w:vAlign w:val="center"/>
            <w:hideMark/>
          </w:tcPr>
          <w:p w14:paraId="624FB646" w14:textId="77777777" w:rsidR="0081569B" w:rsidRPr="0081569B" w:rsidRDefault="0081569B" w:rsidP="00A85B4A">
            <w:pPr>
              <w:pStyle w:val="TableTextRight"/>
            </w:pPr>
            <w:r w:rsidRPr="0081569B">
              <w:t> </w:t>
            </w:r>
          </w:p>
        </w:tc>
      </w:tr>
      <w:tr w:rsidR="009A27FB" w:rsidRPr="0081569B" w14:paraId="26FE5E5A"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0948587" w14:textId="77777777" w:rsidR="009A27FB" w:rsidRPr="0081569B" w:rsidRDefault="009A27FB" w:rsidP="009D7098">
            <w:pPr>
              <w:pStyle w:val="TableTextLeft"/>
            </w:pPr>
            <w:r w:rsidRPr="0081569B">
              <w:t>Taxation revenue</w:t>
            </w:r>
          </w:p>
        </w:tc>
        <w:tc>
          <w:tcPr>
            <w:tcW w:w="1948" w:type="dxa"/>
            <w:gridSpan w:val="2"/>
            <w:tcBorders>
              <w:top w:val="nil"/>
              <w:left w:val="nil"/>
              <w:bottom w:val="nil"/>
              <w:right w:val="nil"/>
            </w:tcBorders>
            <w:shd w:val="clear" w:color="000000" w:fill="FFFFFF"/>
            <w:noWrap/>
            <w:vAlign w:val="center"/>
            <w:hideMark/>
          </w:tcPr>
          <w:p w14:paraId="1CD36270" w14:textId="4AD9975D" w:rsidR="009A27FB" w:rsidRPr="0081569B" w:rsidRDefault="009A27FB" w:rsidP="00A85B4A">
            <w:pPr>
              <w:pStyle w:val="TableTextRight"/>
            </w:pPr>
            <w:r>
              <w:t>655,293</w:t>
            </w:r>
          </w:p>
        </w:tc>
        <w:tc>
          <w:tcPr>
            <w:tcW w:w="993" w:type="dxa"/>
            <w:tcBorders>
              <w:top w:val="nil"/>
              <w:left w:val="nil"/>
              <w:bottom w:val="nil"/>
              <w:right w:val="nil"/>
            </w:tcBorders>
            <w:shd w:val="clear" w:color="000000" w:fill="E6F2FF"/>
            <w:noWrap/>
            <w:vAlign w:val="center"/>
            <w:hideMark/>
          </w:tcPr>
          <w:p w14:paraId="747426B8" w14:textId="7DD7D903" w:rsidR="009A27FB" w:rsidRPr="0081569B" w:rsidRDefault="009A27FB" w:rsidP="00A85B4A">
            <w:pPr>
              <w:pStyle w:val="TableTextRight"/>
            </w:pPr>
            <w:r>
              <w:t>657,982</w:t>
            </w:r>
          </w:p>
        </w:tc>
      </w:tr>
      <w:tr w:rsidR="009A27FB" w:rsidRPr="0081569B" w14:paraId="2B3B646A"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07765FC4" w14:textId="77777777" w:rsidR="009A27FB" w:rsidRPr="0081569B" w:rsidRDefault="009A27FB" w:rsidP="009D7098">
            <w:pPr>
              <w:pStyle w:val="TableTextLeft"/>
            </w:pPr>
            <w:r w:rsidRPr="0081569B">
              <w:t>Sales of goods and services</w:t>
            </w:r>
          </w:p>
        </w:tc>
        <w:tc>
          <w:tcPr>
            <w:tcW w:w="1948" w:type="dxa"/>
            <w:gridSpan w:val="2"/>
            <w:tcBorders>
              <w:top w:val="nil"/>
              <w:left w:val="nil"/>
              <w:bottom w:val="nil"/>
              <w:right w:val="nil"/>
            </w:tcBorders>
            <w:shd w:val="clear" w:color="000000" w:fill="FFFFFF"/>
            <w:noWrap/>
            <w:vAlign w:val="center"/>
            <w:hideMark/>
          </w:tcPr>
          <w:p w14:paraId="6344971A" w14:textId="7E5C5B55" w:rsidR="009A27FB" w:rsidRPr="0081569B" w:rsidRDefault="009A27FB" w:rsidP="00A85B4A">
            <w:pPr>
              <w:pStyle w:val="TableTextRight"/>
            </w:pPr>
            <w:r>
              <w:t>40,429</w:t>
            </w:r>
          </w:p>
        </w:tc>
        <w:tc>
          <w:tcPr>
            <w:tcW w:w="993" w:type="dxa"/>
            <w:tcBorders>
              <w:top w:val="nil"/>
              <w:left w:val="nil"/>
              <w:bottom w:val="nil"/>
              <w:right w:val="nil"/>
            </w:tcBorders>
            <w:shd w:val="clear" w:color="000000" w:fill="E6F2FF"/>
            <w:noWrap/>
            <w:vAlign w:val="center"/>
            <w:hideMark/>
          </w:tcPr>
          <w:p w14:paraId="5965A36D" w14:textId="0F91BA4F" w:rsidR="009A27FB" w:rsidRPr="0081569B" w:rsidRDefault="009A27FB" w:rsidP="00A85B4A">
            <w:pPr>
              <w:pStyle w:val="TableTextRight"/>
            </w:pPr>
            <w:r>
              <w:t>42,895</w:t>
            </w:r>
          </w:p>
        </w:tc>
      </w:tr>
      <w:tr w:rsidR="009A27FB" w:rsidRPr="0081569B" w14:paraId="2513492D"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20880BDA" w14:textId="77777777" w:rsidR="009A27FB" w:rsidRPr="0081569B" w:rsidRDefault="009A27FB" w:rsidP="009D7098">
            <w:pPr>
              <w:pStyle w:val="TableTextLeft"/>
            </w:pPr>
            <w:r w:rsidRPr="0081569B">
              <w:t>Interest income</w:t>
            </w:r>
          </w:p>
        </w:tc>
        <w:tc>
          <w:tcPr>
            <w:tcW w:w="1948" w:type="dxa"/>
            <w:gridSpan w:val="2"/>
            <w:tcBorders>
              <w:top w:val="nil"/>
              <w:left w:val="nil"/>
              <w:bottom w:val="nil"/>
              <w:right w:val="nil"/>
            </w:tcBorders>
            <w:shd w:val="clear" w:color="000000" w:fill="FFFFFF"/>
            <w:noWrap/>
            <w:vAlign w:val="center"/>
            <w:hideMark/>
          </w:tcPr>
          <w:p w14:paraId="1E3B7FC4" w14:textId="2D78D90C" w:rsidR="009A27FB" w:rsidRPr="0081569B" w:rsidRDefault="009A27FB" w:rsidP="00A85B4A">
            <w:pPr>
              <w:pStyle w:val="TableTextRight"/>
            </w:pPr>
            <w:r>
              <w:t>10,947</w:t>
            </w:r>
          </w:p>
        </w:tc>
        <w:tc>
          <w:tcPr>
            <w:tcW w:w="993" w:type="dxa"/>
            <w:tcBorders>
              <w:top w:val="nil"/>
              <w:left w:val="nil"/>
              <w:bottom w:val="nil"/>
              <w:right w:val="nil"/>
            </w:tcBorders>
            <w:shd w:val="clear" w:color="000000" w:fill="E6F2FF"/>
            <w:noWrap/>
            <w:vAlign w:val="center"/>
            <w:hideMark/>
          </w:tcPr>
          <w:p w14:paraId="6BA14650" w14:textId="6C5C2524" w:rsidR="009A27FB" w:rsidRPr="0081569B" w:rsidRDefault="009A27FB" w:rsidP="00A85B4A">
            <w:pPr>
              <w:pStyle w:val="TableTextRight"/>
            </w:pPr>
            <w:r>
              <w:t>10,287</w:t>
            </w:r>
          </w:p>
        </w:tc>
      </w:tr>
      <w:tr w:rsidR="009A27FB" w:rsidRPr="0081569B" w14:paraId="57FE341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FEAFC37" w14:textId="77777777" w:rsidR="009A27FB" w:rsidRPr="0081569B" w:rsidRDefault="009A27FB" w:rsidP="009D7098">
            <w:pPr>
              <w:pStyle w:val="TableTextLeft"/>
            </w:pPr>
            <w:r w:rsidRPr="0081569B">
              <w:t>Dividend and distribution income</w:t>
            </w:r>
          </w:p>
        </w:tc>
        <w:tc>
          <w:tcPr>
            <w:tcW w:w="1948" w:type="dxa"/>
            <w:gridSpan w:val="2"/>
            <w:tcBorders>
              <w:top w:val="nil"/>
              <w:left w:val="nil"/>
              <w:bottom w:val="nil"/>
              <w:right w:val="nil"/>
            </w:tcBorders>
            <w:shd w:val="clear" w:color="000000" w:fill="FFFFFF"/>
            <w:noWrap/>
            <w:vAlign w:val="center"/>
            <w:hideMark/>
          </w:tcPr>
          <w:p w14:paraId="24DAC504" w14:textId="5FAE19A9" w:rsidR="009A27FB" w:rsidRPr="0081569B" w:rsidRDefault="009A27FB" w:rsidP="00A85B4A">
            <w:pPr>
              <w:pStyle w:val="TableTextRight"/>
            </w:pPr>
            <w:r>
              <w:t>5,549</w:t>
            </w:r>
          </w:p>
        </w:tc>
        <w:tc>
          <w:tcPr>
            <w:tcW w:w="993" w:type="dxa"/>
            <w:tcBorders>
              <w:top w:val="nil"/>
              <w:left w:val="nil"/>
              <w:bottom w:val="nil"/>
              <w:right w:val="nil"/>
            </w:tcBorders>
            <w:shd w:val="clear" w:color="000000" w:fill="E6F2FF"/>
            <w:noWrap/>
            <w:vAlign w:val="center"/>
            <w:hideMark/>
          </w:tcPr>
          <w:p w14:paraId="77C4E7D1" w14:textId="75A2BD1B" w:rsidR="009A27FB" w:rsidRPr="0081569B" w:rsidRDefault="009A27FB" w:rsidP="00A85B4A">
            <w:pPr>
              <w:pStyle w:val="TableTextRight"/>
            </w:pPr>
            <w:r>
              <w:t>6,572</w:t>
            </w:r>
          </w:p>
        </w:tc>
      </w:tr>
      <w:tr w:rsidR="009A27FB" w:rsidRPr="0081569B" w14:paraId="72AF5265"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E201C75" w14:textId="77777777" w:rsidR="009A27FB" w:rsidRPr="0081569B" w:rsidRDefault="009A27FB" w:rsidP="009D7098">
            <w:pPr>
              <w:pStyle w:val="TableTextLeft"/>
            </w:pPr>
            <w:r w:rsidRPr="0081569B">
              <w:t>Other</w:t>
            </w:r>
          </w:p>
        </w:tc>
        <w:tc>
          <w:tcPr>
            <w:tcW w:w="1948" w:type="dxa"/>
            <w:gridSpan w:val="2"/>
            <w:tcBorders>
              <w:top w:val="nil"/>
              <w:left w:val="nil"/>
              <w:bottom w:val="nil"/>
              <w:right w:val="nil"/>
            </w:tcBorders>
            <w:shd w:val="clear" w:color="000000" w:fill="FFFFFF"/>
            <w:noWrap/>
            <w:vAlign w:val="center"/>
            <w:hideMark/>
          </w:tcPr>
          <w:p w14:paraId="40F09BC1" w14:textId="7E27DC51" w:rsidR="009A27FB" w:rsidRPr="0081569B" w:rsidRDefault="009A27FB" w:rsidP="00A85B4A">
            <w:pPr>
              <w:pStyle w:val="TableTextRight"/>
            </w:pPr>
            <w:r>
              <w:t>13,734</w:t>
            </w:r>
          </w:p>
        </w:tc>
        <w:tc>
          <w:tcPr>
            <w:tcW w:w="993" w:type="dxa"/>
            <w:tcBorders>
              <w:top w:val="nil"/>
              <w:left w:val="nil"/>
              <w:bottom w:val="nil"/>
              <w:right w:val="nil"/>
            </w:tcBorders>
            <w:shd w:val="clear" w:color="000000" w:fill="E6F2FF"/>
            <w:noWrap/>
            <w:vAlign w:val="center"/>
            <w:hideMark/>
          </w:tcPr>
          <w:p w14:paraId="6994207D" w14:textId="4E0ADB68" w:rsidR="009A27FB" w:rsidRPr="0081569B" w:rsidRDefault="009A27FB" w:rsidP="00A85B4A">
            <w:pPr>
              <w:pStyle w:val="TableTextRight"/>
            </w:pPr>
            <w:r>
              <w:t>13,896</w:t>
            </w:r>
          </w:p>
        </w:tc>
      </w:tr>
      <w:tr w:rsidR="009A27FB" w:rsidRPr="0081569B" w14:paraId="08793462"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AF8D79D" w14:textId="77777777" w:rsidR="009A27FB" w:rsidRPr="0081569B" w:rsidRDefault="009A27FB" w:rsidP="009D7098">
            <w:pPr>
              <w:pStyle w:val="TableTextLeft"/>
              <w:rPr>
                <w:b/>
              </w:rPr>
            </w:pPr>
            <w:r w:rsidRPr="0081569B">
              <w:rPr>
                <w:b/>
              </w:rPr>
              <w:t>Total revenue</w:t>
            </w:r>
          </w:p>
        </w:tc>
        <w:tc>
          <w:tcPr>
            <w:tcW w:w="1948" w:type="dxa"/>
            <w:gridSpan w:val="2"/>
            <w:tcBorders>
              <w:top w:val="nil"/>
              <w:left w:val="nil"/>
              <w:bottom w:val="nil"/>
              <w:right w:val="nil"/>
            </w:tcBorders>
            <w:shd w:val="clear" w:color="000000" w:fill="FFFFFF"/>
            <w:noWrap/>
            <w:vAlign w:val="center"/>
            <w:hideMark/>
          </w:tcPr>
          <w:p w14:paraId="477483AB" w14:textId="5C308B0B" w:rsidR="009A27FB" w:rsidRPr="0081569B" w:rsidRDefault="009A27FB" w:rsidP="00A85B4A">
            <w:pPr>
              <w:pStyle w:val="TableTextRight"/>
              <w:rPr>
                <w:b/>
              </w:rPr>
            </w:pPr>
            <w:r>
              <w:rPr>
                <w:b/>
              </w:rPr>
              <w:t>725,953</w:t>
            </w:r>
          </w:p>
        </w:tc>
        <w:tc>
          <w:tcPr>
            <w:tcW w:w="993" w:type="dxa"/>
            <w:tcBorders>
              <w:top w:val="nil"/>
              <w:left w:val="nil"/>
              <w:bottom w:val="nil"/>
              <w:right w:val="nil"/>
            </w:tcBorders>
            <w:shd w:val="clear" w:color="000000" w:fill="E6F2FF"/>
            <w:noWrap/>
            <w:vAlign w:val="center"/>
            <w:hideMark/>
          </w:tcPr>
          <w:p w14:paraId="5BEC0498" w14:textId="07DB5D51" w:rsidR="009A27FB" w:rsidRPr="0081569B" w:rsidRDefault="009A27FB" w:rsidP="00A85B4A">
            <w:pPr>
              <w:pStyle w:val="TableTextRight"/>
              <w:rPr>
                <w:b/>
              </w:rPr>
            </w:pPr>
            <w:r>
              <w:rPr>
                <w:b/>
              </w:rPr>
              <w:t>731,630</w:t>
            </w:r>
          </w:p>
        </w:tc>
      </w:tr>
      <w:tr w:rsidR="0081569B" w:rsidRPr="0081569B" w14:paraId="642070F5"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771C7686" w14:textId="77777777" w:rsidR="0081569B" w:rsidRPr="0081569B" w:rsidRDefault="0081569B" w:rsidP="009D7098">
            <w:pPr>
              <w:pStyle w:val="TableTextLeft"/>
              <w:rPr>
                <w:b/>
              </w:rPr>
            </w:pPr>
            <w:r w:rsidRPr="0081569B">
              <w:rPr>
                <w:b/>
              </w:rPr>
              <w:t>Expenses</w:t>
            </w:r>
          </w:p>
        </w:tc>
        <w:tc>
          <w:tcPr>
            <w:tcW w:w="1948" w:type="dxa"/>
            <w:gridSpan w:val="2"/>
            <w:tcBorders>
              <w:top w:val="nil"/>
              <w:left w:val="nil"/>
              <w:bottom w:val="nil"/>
              <w:right w:val="nil"/>
            </w:tcBorders>
            <w:shd w:val="clear" w:color="000000" w:fill="FFFFFF"/>
            <w:noWrap/>
            <w:vAlign w:val="center"/>
            <w:hideMark/>
          </w:tcPr>
          <w:p w14:paraId="19FBDB0F" w14:textId="77777777" w:rsidR="0081569B" w:rsidRPr="0081569B" w:rsidRDefault="0081569B" w:rsidP="00A85B4A">
            <w:pPr>
              <w:pStyle w:val="TableTextRight"/>
            </w:pPr>
            <w:r w:rsidRPr="0081569B">
              <w:t> </w:t>
            </w:r>
          </w:p>
        </w:tc>
        <w:tc>
          <w:tcPr>
            <w:tcW w:w="993" w:type="dxa"/>
            <w:tcBorders>
              <w:top w:val="nil"/>
              <w:left w:val="nil"/>
              <w:bottom w:val="nil"/>
              <w:right w:val="nil"/>
            </w:tcBorders>
            <w:shd w:val="clear" w:color="000000" w:fill="E6F2FF"/>
            <w:noWrap/>
            <w:vAlign w:val="center"/>
            <w:hideMark/>
          </w:tcPr>
          <w:p w14:paraId="6E0F82F9" w14:textId="77777777" w:rsidR="0081569B" w:rsidRPr="0081569B" w:rsidRDefault="0081569B" w:rsidP="00A85B4A">
            <w:pPr>
              <w:pStyle w:val="TableTextRight"/>
            </w:pPr>
            <w:r w:rsidRPr="0081569B">
              <w:t> </w:t>
            </w:r>
          </w:p>
        </w:tc>
      </w:tr>
      <w:tr w:rsidR="0081569B" w:rsidRPr="0081569B" w14:paraId="16CEF22F"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B9A536D" w14:textId="77777777" w:rsidR="0081569B" w:rsidRPr="0081569B" w:rsidRDefault="0081569B" w:rsidP="009D7098">
            <w:pPr>
              <w:pStyle w:val="TableTextLeft"/>
            </w:pPr>
            <w:r w:rsidRPr="0081569B">
              <w:t>Gross operating expenses</w:t>
            </w:r>
          </w:p>
        </w:tc>
        <w:tc>
          <w:tcPr>
            <w:tcW w:w="1948" w:type="dxa"/>
            <w:gridSpan w:val="2"/>
            <w:tcBorders>
              <w:top w:val="nil"/>
              <w:left w:val="nil"/>
              <w:bottom w:val="nil"/>
              <w:right w:val="nil"/>
            </w:tcBorders>
            <w:shd w:val="clear" w:color="000000" w:fill="FFFFFF"/>
            <w:noWrap/>
            <w:vAlign w:val="center"/>
            <w:hideMark/>
          </w:tcPr>
          <w:p w14:paraId="7A7F5011" w14:textId="77777777" w:rsidR="0081569B" w:rsidRPr="0081569B" w:rsidRDefault="0081569B" w:rsidP="00A85B4A">
            <w:pPr>
              <w:pStyle w:val="TableTextRight"/>
            </w:pPr>
            <w:r w:rsidRPr="0081569B">
              <w:t> </w:t>
            </w:r>
          </w:p>
        </w:tc>
        <w:tc>
          <w:tcPr>
            <w:tcW w:w="993" w:type="dxa"/>
            <w:tcBorders>
              <w:top w:val="nil"/>
              <w:left w:val="nil"/>
              <w:bottom w:val="nil"/>
              <w:right w:val="nil"/>
            </w:tcBorders>
            <w:shd w:val="clear" w:color="000000" w:fill="E6F2FF"/>
            <w:noWrap/>
            <w:vAlign w:val="center"/>
            <w:hideMark/>
          </w:tcPr>
          <w:p w14:paraId="012F835B" w14:textId="77777777" w:rsidR="0081569B" w:rsidRPr="0081569B" w:rsidRDefault="0081569B" w:rsidP="00A85B4A">
            <w:pPr>
              <w:pStyle w:val="TableTextRight"/>
            </w:pPr>
            <w:r w:rsidRPr="0081569B">
              <w:t> </w:t>
            </w:r>
          </w:p>
        </w:tc>
      </w:tr>
      <w:tr w:rsidR="009A27FB" w:rsidRPr="0081569B" w14:paraId="08A301A5"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1C2DAA6D" w14:textId="77777777" w:rsidR="009A27FB" w:rsidRPr="005814CF" w:rsidRDefault="009A27FB" w:rsidP="009A27FB">
            <w:pPr>
              <w:spacing w:before="0" w:after="0" w:line="240" w:lineRule="auto"/>
              <w:ind w:firstLineChars="100" w:firstLine="160"/>
              <w:rPr>
                <w:rFonts w:ascii="Arial" w:hAnsi="Arial" w:cs="Arial"/>
                <w:sz w:val="16"/>
                <w:szCs w:val="16"/>
              </w:rPr>
            </w:pPr>
            <w:r w:rsidRPr="005814CF">
              <w:rPr>
                <w:rFonts w:ascii="Arial" w:hAnsi="Arial" w:cs="Arial"/>
                <w:sz w:val="16"/>
                <w:szCs w:val="16"/>
              </w:rPr>
              <w:t>Wages and salaries(a)</w:t>
            </w:r>
          </w:p>
        </w:tc>
        <w:tc>
          <w:tcPr>
            <w:tcW w:w="1948" w:type="dxa"/>
            <w:gridSpan w:val="2"/>
            <w:tcBorders>
              <w:top w:val="nil"/>
              <w:left w:val="nil"/>
              <w:bottom w:val="nil"/>
              <w:right w:val="nil"/>
            </w:tcBorders>
            <w:shd w:val="clear" w:color="000000" w:fill="FFFFFF"/>
            <w:noWrap/>
            <w:vAlign w:val="center"/>
            <w:hideMark/>
          </w:tcPr>
          <w:p w14:paraId="1EEFE32A" w14:textId="77C5CC6F" w:rsidR="009A27FB" w:rsidRPr="0081569B" w:rsidRDefault="009A27FB" w:rsidP="00A85B4A">
            <w:pPr>
              <w:pStyle w:val="TableTextRight"/>
            </w:pPr>
            <w:r>
              <w:t>32,224</w:t>
            </w:r>
          </w:p>
        </w:tc>
        <w:tc>
          <w:tcPr>
            <w:tcW w:w="993" w:type="dxa"/>
            <w:tcBorders>
              <w:top w:val="nil"/>
              <w:left w:val="nil"/>
              <w:bottom w:val="nil"/>
              <w:right w:val="nil"/>
            </w:tcBorders>
            <w:shd w:val="clear" w:color="000000" w:fill="E6F2FF"/>
            <w:noWrap/>
            <w:vAlign w:val="center"/>
            <w:hideMark/>
          </w:tcPr>
          <w:p w14:paraId="73EA8FFE" w14:textId="1E2831D5" w:rsidR="009A27FB" w:rsidRPr="0081569B" w:rsidRDefault="009A27FB" w:rsidP="00A85B4A">
            <w:pPr>
              <w:pStyle w:val="TableTextRight"/>
            </w:pPr>
            <w:r>
              <w:t>34,445</w:t>
            </w:r>
          </w:p>
        </w:tc>
      </w:tr>
      <w:tr w:rsidR="009A27FB" w:rsidRPr="0081569B" w14:paraId="029E1711"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7082C445" w14:textId="77777777" w:rsidR="009A27FB" w:rsidRPr="005814CF" w:rsidRDefault="009A27FB" w:rsidP="009A27FB">
            <w:pPr>
              <w:spacing w:before="0" w:after="0" w:line="240" w:lineRule="auto"/>
              <w:ind w:firstLineChars="100" w:firstLine="160"/>
              <w:rPr>
                <w:rFonts w:ascii="Arial" w:hAnsi="Arial" w:cs="Arial"/>
                <w:sz w:val="16"/>
                <w:szCs w:val="16"/>
              </w:rPr>
            </w:pPr>
            <w:r w:rsidRPr="005814CF">
              <w:rPr>
                <w:rFonts w:ascii="Arial" w:hAnsi="Arial" w:cs="Arial"/>
                <w:sz w:val="16"/>
                <w:szCs w:val="16"/>
              </w:rPr>
              <w:t>Superannuation</w:t>
            </w:r>
          </w:p>
        </w:tc>
        <w:tc>
          <w:tcPr>
            <w:tcW w:w="1948" w:type="dxa"/>
            <w:gridSpan w:val="2"/>
            <w:tcBorders>
              <w:top w:val="nil"/>
              <w:left w:val="nil"/>
              <w:bottom w:val="nil"/>
              <w:right w:val="nil"/>
            </w:tcBorders>
            <w:shd w:val="clear" w:color="000000" w:fill="FFFFFF"/>
            <w:noWrap/>
            <w:vAlign w:val="center"/>
            <w:hideMark/>
          </w:tcPr>
          <w:p w14:paraId="63B08725" w14:textId="024D8557" w:rsidR="009A27FB" w:rsidRPr="0081569B" w:rsidRDefault="009A27FB" w:rsidP="00A85B4A">
            <w:pPr>
              <w:pStyle w:val="TableTextRight"/>
            </w:pPr>
            <w:r>
              <w:t>9,568</w:t>
            </w:r>
          </w:p>
        </w:tc>
        <w:tc>
          <w:tcPr>
            <w:tcW w:w="993" w:type="dxa"/>
            <w:tcBorders>
              <w:top w:val="nil"/>
              <w:left w:val="nil"/>
              <w:bottom w:val="nil"/>
              <w:right w:val="nil"/>
            </w:tcBorders>
            <w:shd w:val="clear" w:color="000000" w:fill="E6F2FF"/>
            <w:noWrap/>
            <w:vAlign w:val="center"/>
            <w:hideMark/>
          </w:tcPr>
          <w:p w14:paraId="063D8EDB" w14:textId="0807EA04" w:rsidR="009A27FB" w:rsidRPr="0081569B" w:rsidRDefault="009A27FB" w:rsidP="00A85B4A">
            <w:pPr>
              <w:pStyle w:val="TableTextRight"/>
            </w:pPr>
            <w:r>
              <w:t>8,845</w:t>
            </w:r>
          </w:p>
        </w:tc>
      </w:tr>
      <w:tr w:rsidR="009A27FB" w:rsidRPr="0081569B" w14:paraId="420E85D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05E7A0CD" w14:textId="77777777" w:rsidR="009A27FB" w:rsidRPr="005814CF" w:rsidRDefault="009A27FB" w:rsidP="009A27FB">
            <w:pPr>
              <w:spacing w:before="0" w:after="0" w:line="240" w:lineRule="auto"/>
              <w:ind w:firstLineChars="100" w:firstLine="160"/>
              <w:rPr>
                <w:rFonts w:ascii="Arial" w:hAnsi="Arial" w:cs="Arial"/>
                <w:sz w:val="16"/>
                <w:szCs w:val="16"/>
              </w:rPr>
            </w:pPr>
            <w:r w:rsidRPr="005814CF">
              <w:rPr>
                <w:rFonts w:ascii="Arial" w:hAnsi="Arial" w:cs="Arial"/>
                <w:sz w:val="16"/>
                <w:szCs w:val="16"/>
              </w:rPr>
              <w:t>Depreciation and amortisation</w:t>
            </w:r>
          </w:p>
        </w:tc>
        <w:tc>
          <w:tcPr>
            <w:tcW w:w="1948" w:type="dxa"/>
            <w:gridSpan w:val="2"/>
            <w:tcBorders>
              <w:top w:val="nil"/>
              <w:left w:val="nil"/>
              <w:bottom w:val="nil"/>
              <w:right w:val="nil"/>
            </w:tcBorders>
            <w:shd w:val="clear" w:color="000000" w:fill="FFFFFF"/>
            <w:noWrap/>
            <w:vAlign w:val="center"/>
            <w:hideMark/>
          </w:tcPr>
          <w:p w14:paraId="22107FBD" w14:textId="26C9B52A" w:rsidR="009A27FB" w:rsidRPr="0081569B" w:rsidRDefault="009A27FB" w:rsidP="00A85B4A">
            <w:pPr>
              <w:pStyle w:val="TableTextRight"/>
            </w:pPr>
            <w:r>
              <w:t>17,421</w:t>
            </w:r>
          </w:p>
        </w:tc>
        <w:tc>
          <w:tcPr>
            <w:tcW w:w="993" w:type="dxa"/>
            <w:tcBorders>
              <w:top w:val="nil"/>
              <w:left w:val="nil"/>
              <w:bottom w:val="nil"/>
              <w:right w:val="nil"/>
            </w:tcBorders>
            <w:shd w:val="clear" w:color="000000" w:fill="E6F2FF"/>
            <w:noWrap/>
            <w:vAlign w:val="center"/>
            <w:hideMark/>
          </w:tcPr>
          <w:p w14:paraId="6E014705" w14:textId="3215E3AB" w:rsidR="009A27FB" w:rsidRPr="0081569B" w:rsidRDefault="009A27FB" w:rsidP="00A85B4A">
            <w:pPr>
              <w:pStyle w:val="TableTextRight"/>
            </w:pPr>
            <w:r>
              <w:t>17,428</w:t>
            </w:r>
          </w:p>
        </w:tc>
      </w:tr>
      <w:tr w:rsidR="009A27FB" w:rsidRPr="0081569B" w14:paraId="383E80BD"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2304984" w14:textId="77777777" w:rsidR="009A27FB" w:rsidRPr="005814CF" w:rsidRDefault="009A27FB" w:rsidP="009A27FB">
            <w:pPr>
              <w:spacing w:before="0" w:after="0" w:line="240" w:lineRule="auto"/>
              <w:ind w:firstLineChars="100" w:firstLine="160"/>
              <w:rPr>
                <w:rFonts w:ascii="Arial" w:hAnsi="Arial" w:cs="Arial"/>
                <w:sz w:val="16"/>
                <w:szCs w:val="16"/>
              </w:rPr>
            </w:pPr>
            <w:r w:rsidRPr="005814CF">
              <w:rPr>
                <w:rFonts w:ascii="Arial" w:hAnsi="Arial" w:cs="Arial"/>
                <w:sz w:val="16"/>
                <w:szCs w:val="16"/>
              </w:rPr>
              <w:t>Supply of goods and services</w:t>
            </w:r>
          </w:p>
        </w:tc>
        <w:tc>
          <w:tcPr>
            <w:tcW w:w="1948" w:type="dxa"/>
            <w:gridSpan w:val="2"/>
            <w:tcBorders>
              <w:top w:val="nil"/>
              <w:left w:val="nil"/>
              <w:bottom w:val="nil"/>
              <w:right w:val="nil"/>
            </w:tcBorders>
            <w:shd w:val="clear" w:color="000000" w:fill="FFFFFF"/>
            <w:noWrap/>
            <w:vAlign w:val="center"/>
            <w:hideMark/>
          </w:tcPr>
          <w:p w14:paraId="51811555" w14:textId="074F5A63" w:rsidR="009A27FB" w:rsidRPr="0081569B" w:rsidRDefault="009A27FB" w:rsidP="00A85B4A">
            <w:pPr>
              <w:pStyle w:val="TableTextRight"/>
            </w:pPr>
            <w:r>
              <w:t>204,123</w:t>
            </w:r>
          </w:p>
        </w:tc>
        <w:tc>
          <w:tcPr>
            <w:tcW w:w="993" w:type="dxa"/>
            <w:tcBorders>
              <w:top w:val="nil"/>
              <w:left w:val="nil"/>
              <w:bottom w:val="nil"/>
              <w:right w:val="nil"/>
            </w:tcBorders>
            <w:shd w:val="clear" w:color="000000" w:fill="E6F2FF"/>
            <w:noWrap/>
            <w:vAlign w:val="center"/>
            <w:hideMark/>
          </w:tcPr>
          <w:p w14:paraId="601C498D" w14:textId="03E667B5" w:rsidR="009A27FB" w:rsidRPr="0081569B" w:rsidRDefault="009A27FB" w:rsidP="00A85B4A">
            <w:pPr>
              <w:pStyle w:val="TableTextRight"/>
            </w:pPr>
            <w:r>
              <w:t>221,079</w:t>
            </w:r>
          </w:p>
        </w:tc>
      </w:tr>
      <w:tr w:rsidR="009A27FB" w:rsidRPr="0081569B" w14:paraId="7688DE14"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50DD9652" w14:textId="77777777" w:rsidR="009A27FB" w:rsidRPr="005814CF" w:rsidRDefault="009A27FB" w:rsidP="009A27FB">
            <w:pPr>
              <w:spacing w:before="0" w:after="0" w:line="240" w:lineRule="auto"/>
              <w:ind w:firstLineChars="100" w:firstLine="160"/>
              <w:rPr>
                <w:rFonts w:ascii="Arial" w:hAnsi="Arial" w:cs="Arial"/>
                <w:sz w:val="16"/>
                <w:szCs w:val="16"/>
              </w:rPr>
            </w:pPr>
            <w:r w:rsidRPr="005814CF">
              <w:rPr>
                <w:rFonts w:ascii="Arial" w:hAnsi="Arial" w:cs="Arial"/>
                <w:sz w:val="16"/>
                <w:szCs w:val="16"/>
              </w:rPr>
              <w:t>Other operating expenses(a)</w:t>
            </w:r>
          </w:p>
        </w:tc>
        <w:tc>
          <w:tcPr>
            <w:tcW w:w="1948" w:type="dxa"/>
            <w:gridSpan w:val="2"/>
            <w:tcBorders>
              <w:top w:val="nil"/>
              <w:left w:val="nil"/>
              <w:bottom w:val="nil"/>
              <w:right w:val="nil"/>
            </w:tcBorders>
            <w:shd w:val="clear" w:color="000000" w:fill="FFFFFF"/>
            <w:noWrap/>
            <w:vAlign w:val="center"/>
            <w:hideMark/>
          </w:tcPr>
          <w:p w14:paraId="5FDCA273" w14:textId="66B41960" w:rsidR="009A27FB" w:rsidRPr="0081569B" w:rsidRDefault="009A27FB" w:rsidP="00A85B4A">
            <w:pPr>
              <w:pStyle w:val="TableTextRight"/>
            </w:pPr>
            <w:r>
              <w:t>10,021</w:t>
            </w:r>
          </w:p>
        </w:tc>
        <w:tc>
          <w:tcPr>
            <w:tcW w:w="993" w:type="dxa"/>
            <w:tcBorders>
              <w:top w:val="nil"/>
              <w:left w:val="nil"/>
              <w:bottom w:val="nil"/>
              <w:right w:val="nil"/>
            </w:tcBorders>
            <w:shd w:val="clear" w:color="000000" w:fill="E6F2FF"/>
            <w:noWrap/>
            <w:vAlign w:val="center"/>
            <w:hideMark/>
          </w:tcPr>
          <w:p w14:paraId="2E510DBD" w14:textId="453B2CD1" w:rsidR="009A27FB" w:rsidRPr="0081569B" w:rsidRDefault="009A27FB" w:rsidP="00A85B4A">
            <w:pPr>
              <w:pStyle w:val="TableTextRight"/>
            </w:pPr>
            <w:r>
              <w:t>10,637</w:t>
            </w:r>
          </w:p>
        </w:tc>
      </w:tr>
      <w:tr w:rsidR="009A27FB" w:rsidRPr="0081569B" w14:paraId="48842C6E"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7BBC9DF9" w14:textId="77777777" w:rsidR="009A27FB" w:rsidRPr="0081569B" w:rsidRDefault="009A27FB" w:rsidP="009D7098">
            <w:pPr>
              <w:pStyle w:val="TableTextLeft"/>
              <w:rPr>
                <w:i/>
              </w:rPr>
            </w:pPr>
            <w:r w:rsidRPr="0081569B">
              <w:rPr>
                <w:i/>
              </w:rPr>
              <w:t>Total gross operating expenses</w:t>
            </w:r>
          </w:p>
        </w:tc>
        <w:tc>
          <w:tcPr>
            <w:tcW w:w="1948" w:type="dxa"/>
            <w:gridSpan w:val="2"/>
            <w:tcBorders>
              <w:top w:val="nil"/>
              <w:left w:val="nil"/>
              <w:bottom w:val="nil"/>
              <w:right w:val="nil"/>
            </w:tcBorders>
            <w:shd w:val="clear" w:color="000000" w:fill="FFFFFF"/>
            <w:noWrap/>
            <w:vAlign w:val="center"/>
            <w:hideMark/>
          </w:tcPr>
          <w:p w14:paraId="0E054B47" w14:textId="68BFCDE8" w:rsidR="009A27FB" w:rsidRPr="0081569B" w:rsidRDefault="009A27FB" w:rsidP="00A85B4A">
            <w:pPr>
              <w:pStyle w:val="TableTextRight"/>
              <w:rPr>
                <w:i/>
              </w:rPr>
            </w:pPr>
            <w:r>
              <w:rPr>
                <w:i/>
              </w:rPr>
              <w:t>273,357</w:t>
            </w:r>
          </w:p>
        </w:tc>
        <w:tc>
          <w:tcPr>
            <w:tcW w:w="993" w:type="dxa"/>
            <w:tcBorders>
              <w:top w:val="nil"/>
              <w:left w:val="nil"/>
              <w:bottom w:val="nil"/>
              <w:right w:val="nil"/>
            </w:tcBorders>
            <w:shd w:val="clear" w:color="000000" w:fill="E6F2FF"/>
            <w:noWrap/>
            <w:vAlign w:val="center"/>
            <w:hideMark/>
          </w:tcPr>
          <w:p w14:paraId="7C2592F8" w14:textId="5AFBF853" w:rsidR="009A27FB" w:rsidRPr="0081569B" w:rsidRDefault="009A27FB" w:rsidP="00A85B4A">
            <w:pPr>
              <w:pStyle w:val="TableTextRight"/>
              <w:rPr>
                <w:i/>
              </w:rPr>
            </w:pPr>
            <w:r>
              <w:rPr>
                <w:i/>
              </w:rPr>
              <w:t>292,434</w:t>
            </w:r>
          </w:p>
        </w:tc>
      </w:tr>
      <w:tr w:rsidR="009A27FB" w:rsidRPr="0081569B" w14:paraId="236DDF68"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11A94703" w14:textId="77777777" w:rsidR="009A27FB" w:rsidRPr="0081569B" w:rsidRDefault="009A27FB" w:rsidP="009D7098">
            <w:pPr>
              <w:pStyle w:val="TableTextLeft"/>
            </w:pPr>
            <w:r w:rsidRPr="0081569B">
              <w:t>Superannuation interest expense</w:t>
            </w:r>
          </w:p>
        </w:tc>
        <w:tc>
          <w:tcPr>
            <w:tcW w:w="1948" w:type="dxa"/>
            <w:gridSpan w:val="2"/>
            <w:tcBorders>
              <w:top w:val="nil"/>
              <w:left w:val="nil"/>
              <w:bottom w:val="nil"/>
              <w:right w:val="nil"/>
            </w:tcBorders>
            <w:shd w:val="clear" w:color="000000" w:fill="FFFFFF"/>
            <w:noWrap/>
            <w:vAlign w:val="center"/>
            <w:hideMark/>
          </w:tcPr>
          <w:p w14:paraId="261609C5" w14:textId="3647EF5B" w:rsidR="009A27FB" w:rsidRPr="0081569B" w:rsidRDefault="009A27FB" w:rsidP="00A85B4A">
            <w:pPr>
              <w:pStyle w:val="TableTextRight"/>
            </w:pPr>
            <w:r>
              <w:t>13,374</w:t>
            </w:r>
          </w:p>
        </w:tc>
        <w:tc>
          <w:tcPr>
            <w:tcW w:w="993" w:type="dxa"/>
            <w:tcBorders>
              <w:top w:val="nil"/>
              <w:left w:val="nil"/>
              <w:bottom w:val="nil"/>
              <w:right w:val="nil"/>
            </w:tcBorders>
            <w:shd w:val="clear" w:color="000000" w:fill="E6F2FF"/>
            <w:noWrap/>
            <w:vAlign w:val="center"/>
            <w:hideMark/>
          </w:tcPr>
          <w:p w14:paraId="36818F94" w14:textId="6A04E02D" w:rsidR="009A27FB" w:rsidRPr="0081569B" w:rsidRDefault="009A27FB" w:rsidP="00A85B4A">
            <w:pPr>
              <w:pStyle w:val="TableTextRight"/>
            </w:pPr>
            <w:r>
              <w:t>14,620</w:t>
            </w:r>
          </w:p>
        </w:tc>
      </w:tr>
      <w:tr w:rsidR="009A27FB" w:rsidRPr="0081569B" w14:paraId="0FC0E16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9206CED" w14:textId="77777777" w:rsidR="009A27FB" w:rsidRPr="0081569B" w:rsidRDefault="009A27FB" w:rsidP="009D7098">
            <w:pPr>
              <w:pStyle w:val="TableTextLeft"/>
            </w:pPr>
            <w:r w:rsidRPr="0081569B">
              <w:t>Interest expenses</w:t>
            </w:r>
          </w:p>
        </w:tc>
        <w:tc>
          <w:tcPr>
            <w:tcW w:w="1948" w:type="dxa"/>
            <w:gridSpan w:val="2"/>
            <w:tcBorders>
              <w:top w:val="nil"/>
              <w:left w:val="nil"/>
              <w:bottom w:val="nil"/>
              <w:right w:val="nil"/>
            </w:tcBorders>
            <w:shd w:val="clear" w:color="000000" w:fill="FFFFFF"/>
            <w:noWrap/>
            <w:vAlign w:val="center"/>
            <w:hideMark/>
          </w:tcPr>
          <w:p w14:paraId="7BFF9942" w14:textId="55DB6E30" w:rsidR="009A27FB" w:rsidRPr="0081569B" w:rsidRDefault="009A27FB" w:rsidP="00A85B4A">
            <w:pPr>
              <w:pStyle w:val="TableTextRight"/>
            </w:pPr>
            <w:r>
              <w:t>29,470</w:t>
            </w:r>
          </w:p>
        </w:tc>
        <w:tc>
          <w:tcPr>
            <w:tcW w:w="993" w:type="dxa"/>
            <w:tcBorders>
              <w:top w:val="nil"/>
              <w:left w:val="nil"/>
              <w:bottom w:val="nil"/>
              <w:right w:val="nil"/>
            </w:tcBorders>
            <w:shd w:val="clear" w:color="000000" w:fill="E6F2FF"/>
            <w:noWrap/>
            <w:vAlign w:val="center"/>
            <w:hideMark/>
          </w:tcPr>
          <w:p w14:paraId="17A77F07" w14:textId="662D7637" w:rsidR="009A27FB" w:rsidRPr="0081569B" w:rsidRDefault="009A27FB" w:rsidP="00A85B4A">
            <w:pPr>
              <w:pStyle w:val="TableTextRight"/>
            </w:pPr>
            <w:r>
              <w:t>35,569</w:t>
            </w:r>
          </w:p>
        </w:tc>
      </w:tr>
      <w:tr w:rsidR="0081569B" w:rsidRPr="0081569B" w14:paraId="61750688"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7592CB55" w14:textId="77777777" w:rsidR="0081569B" w:rsidRPr="0081569B" w:rsidRDefault="0081569B" w:rsidP="009D7098">
            <w:pPr>
              <w:pStyle w:val="TableTextLeft"/>
            </w:pPr>
            <w:r w:rsidRPr="0081569B">
              <w:t>Current transfers</w:t>
            </w:r>
          </w:p>
        </w:tc>
        <w:tc>
          <w:tcPr>
            <w:tcW w:w="1948" w:type="dxa"/>
            <w:gridSpan w:val="2"/>
            <w:tcBorders>
              <w:top w:val="nil"/>
              <w:left w:val="nil"/>
              <w:bottom w:val="nil"/>
              <w:right w:val="nil"/>
            </w:tcBorders>
            <w:shd w:val="clear" w:color="000000" w:fill="FFFFFF"/>
            <w:noWrap/>
            <w:vAlign w:val="center"/>
            <w:hideMark/>
          </w:tcPr>
          <w:p w14:paraId="1B8F6335" w14:textId="77777777" w:rsidR="0081569B" w:rsidRPr="0081569B" w:rsidRDefault="0081569B" w:rsidP="00A85B4A">
            <w:pPr>
              <w:pStyle w:val="TableTextRight"/>
            </w:pPr>
            <w:r w:rsidRPr="0081569B">
              <w:t> </w:t>
            </w:r>
          </w:p>
        </w:tc>
        <w:tc>
          <w:tcPr>
            <w:tcW w:w="993" w:type="dxa"/>
            <w:tcBorders>
              <w:top w:val="nil"/>
              <w:left w:val="nil"/>
              <w:bottom w:val="nil"/>
              <w:right w:val="nil"/>
            </w:tcBorders>
            <w:shd w:val="clear" w:color="000000" w:fill="E6F2FF"/>
            <w:noWrap/>
            <w:vAlign w:val="center"/>
            <w:hideMark/>
          </w:tcPr>
          <w:p w14:paraId="66DDAE4F" w14:textId="77777777" w:rsidR="0081569B" w:rsidRPr="0081569B" w:rsidRDefault="0081569B" w:rsidP="00A85B4A">
            <w:pPr>
              <w:pStyle w:val="TableTextRight"/>
            </w:pPr>
            <w:r w:rsidRPr="0081569B">
              <w:t> </w:t>
            </w:r>
          </w:p>
        </w:tc>
      </w:tr>
      <w:tr w:rsidR="004B70C8" w:rsidRPr="0081569B" w14:paraId="4E0D45EC"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1887695" w14:textId="77777777" w:rsidR="004B70C8" w:rsidRPr="005814CF" w:rsidRDefault="004B70C8" w:rsidP="004B70C8">
            <w:pPr>
              <w:spacing w:before="0" w:after="0" w:line="240" w:lineRule="auto"/>
              <w:ind w:firstLineChars="100" w:firstLine="160"/>
              <w:rPr>
                <w:rFonts w:ascii="Arial" w:hAnsi="Arial" w:cs="Arial"/>
                <w:sz w:val="16"/>
                <w:szCs w:val="16"/>
              </w:rPr>
            </w:pPr>
            <w:r w:rsidRPr="005814CF">
              <w:rPr>
                <w:rFonts w:ascii="Arial" w:hAnsi="Arial" w:cs="Arial"/>
                <w:sz w:val="16"/>
                <w:szCs w:val="16"/>
              </w:rPr>
              <w:t>Current grants</w:t>
            </w:r>
          </w:p>
        </w:tc>
        <w:tc>
          <w:tcPr>
            <w:tcW w:w="1948" w:type="dxa"/>
            <w:gridSpan w:val="2"/>
            <w:tcBorders>
              <w:top w:val="nil"/>
              <w:left w:val="nil"/>
              <w:bottom w:val="nil"/>
              <w:right w:val="nil"/>
            </w:tcBorders>
            <w:shd w:val="clear" w:color="000000" w:fill="FFFFFF"/>
            <w:noWrap/>
            <w:vAlign w:val="center"/>
            <w:hideMark/>
          </w:tcPr>
          <w:p w14:paraId="4B3A108A" w14:textId="2AEF9182" w:rsidR="004B70C8" w:rsidRPr="0081569B" w:rsidRDefault="004B70C8" w:rsidP="00A85B4A">
            <w:pPr>
              <w:pStyle w:val="TableTextRight"/>
            </w:pPr>
            <w:r>
              <w:t>203,194</w:t>
            </w:r>
          </w:p>
        </w:tc>
        <w:tc>
          <w:tcPr>
            <w:tcW w:w="993" w:type="dxa"/>
            <w:tcBorders>
              <w:top w:val="nil"/>
              <w:left w:val="nil"/>
              <w:bottom w:val="nil"/>
              <w:right w:val="nil"/>
            </w:tcBorders>
            <w:shd w:val="clear" w:color="000000" w:fill="E6F2FF"/>
            <w:noWrap/>
            <w:vAlign w:val="center"/>
            <w:hideMark/>
          </w:tcPr>
          <w:p w14:paraId="0D9952E1" w14:textId="0410E92E" w:rsidR="004B70C8" w:rsidRPr="0081569B" w:rsidRDefault="004B70C8" w:rsidP="00A85B4A">
            <w:pPr>
              <w:pStyle w:val="TableTextRight"/>
            </w:pPr>
            <w:r>
              <w:t>208,915</w:t>
            </w:r>
          </w:p>
        </w:tc>
      </w:tr>
      <w:tr w:rsidR="004B70C8" w:rsidRPr="0081569B" w14:paraId="5A017CE3"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E4053CF" w14:textId="77777777" w:rsidR="004B70C8" w:rsidRPr="005814CF" w:rsidRDefault="004B70C8" w:rsidP="004B70C8">
            <w:pPr>
              <w:spacing w:before="0" w:after="0" w:line="240" w:lineRule="auto"/>
              <w:ind w:firstLineChars="100" w:firstLine="160"/>
              <w:rPr>
                <w:rFonts w:ascii="Arial" w:hAnsi="Arial" w:cs="Arial"/>
                <w:sz w:val="16"/>
                <w:szCs w:val="16"/>
              </w:rPr>
            </w:pPr>
            <w:r w:rsidRPr="005814CF">
              <w:rPr>
                <w:rFonts w:ascii="Arial" w:hAnsi="Arial" w:cs="Arial"/>
                <w:sz w:val="16"/>
                <w:szCs w:val="16"/>
              </w:rPr>
              <w:t>Subsidy expenses</w:t>
            </w:r>
          </w:p>
        </w:tc>
        <w:tc>
          <w:tcPr>
            <w:tcW w:w="1948" w:type="dxa"/>
            <w:gridSpan w:val="2"/>
            <w:tcBorders>
              <w:top w:val="nil"/>
              <w:left w:val="nil"/>
              <w:bottom w:val="nil"/>
              <w:right w:val="nil"/>
            </w:tcBorders>
            <w:shd w:val="clear" w:color="000000" w:fill="FFFFFF"/>
            <w:noWrap/>
            <w:vAlign w:val="center"/>
            <w:hideMark/>
          </w:tcPr>
          <w:p w14:paraId="34DC2DAD" w14:textId="604192C3" w:rsidR="004B70C8" w:rsidRPr="0081569B" w:rsidRDefault="004B70C8" w:rsidP="00A85B4A">
            <w:pPr>
              <w:pStyle w:val="TableTextRight"/>
            </w:pPr>
            <w:r>
              <w:t>18,822</w:t>
            </w:r>
          </w:p>
        </w:tc>
        <w:tc>
          <w:tcPr>
            <w:tcW w:w="993" w:type="dxa"/>
            <w:tcBorders>
              <w:top w:val="nil"/>
              <w:left w:val="nil"/>
              <w:bottom w:val="nil"/>
              <w:right w:val="nil"/>
            </w:tcBorders>
            <w:shd w:val="clear" w:color="000000" w:fill="E6F2FF"/>
            <w:noWrap/>
            <w:vAlign w:val="center"/>
            <w:hideMark/>
          </w:tcPr>
          <w:p w14:paraId="7DD11AE3" w14:textId="21FF5548" w:rsidR="004B70C8" w:rsidRPr="0081569B" w:rsidRDefault="004B70C8" w:rsidP="00A85B4A">
            <w:pPr>
              <w:pStyle w:val="TableTextRight"/>
            </w:pPr>
            <w:r>
              <w:t>17,966</w:t>
            </w:r>
          </w:p>
        </w:tc>
      </w:tr>
      <w:tr w:rsidR="004B70C8" w:rsidRPr="0081569B" w14:paraId="11E37157"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0620E536" w14:textId="77777777" w:rsidR="004B70C8" w:rsidRPr="005814CF" w:rsidRDefault="004B70C8" w:rsidP="004B70C8">
            <w:pPr>
              <w:spacing w:before="0" w:after="0" w:line="240" w:lineRule="auto"/>
              <w:ind w:firstLineChars="100" w:firstLine="160"/>
              <w:rPr>
                <w:rFonts w:ascii="Arial" w:hAnsi="Arial" w:cs="Arial"/>
                <w:sz w:val="16"/>
                <w:szCs w:val="16"/>
              </w:rPr>
            </w:pPr>
            <w:r w:rsidRPr="005814CF">
              <w:rPr>
                <w:rFonts w:ascii="Arial" w:hAnsi="Arial" w:cs="Arial"/>
                <w:sz w:val="16"/>
                <w:szCs w:val="16"/>
              </w:rPr>
              <w:t>Personal benefits</w:t>
            </w:r>
          </w:p>
        </w:tc>
        <w:tc>
          <w:tcPr>
            <w:tcW w:w="1948" w:type="dxa"/>
            <w:gridSpan w:val="2"/>
            <w:tcBorders>
              <w:top w:val="nil"/>
              <w:left w:val="nil"/>
              <w:bottom w:val="nil"/>
              <w:right w:val="nil"/>
            </w:tcBorders>
            <w:shd w:val="clear" w:color="000000" w:fill="FFFFFF"/>
            <w:noWrap/>
            <w:vAlign w:val="center"/>
            <w:hideMark/>
          </w:tcPr>
          <w:p w14:paraId="37060CCE" w14:textId="1125141C" w:rsidR="004B70C8" w:rsidRPr="0081569B" w:rsidRDefault="004B70C8" w:rsidP="00A85B4A">
            <w:pPr>
              <w:pStyle w:val="TableTextRight"/>
            </w:pPr>
            <w:r>
              <w:t>152,866</w:t>
            </w:r>
          </w:p>
        </w:tc>
        <w:tc>
          <w:tcPr>
            <w:tcW w:w="993" w:type="dxa"/>
            <w:tcBorders>
              <w:top w:val="nil"/>
              <w:left w:val="nil"/>
              <w:bottom w:val="nil"/>
              <w:right w:val="nil"/>
            </w:tcBorders>
            <w:shd w:val="clear" w:color="000000" w:fill="E6F2FF"/>
            <w:noWrap/>
            <w:vAlign w:val="center"/>
            <w:hideMark/>
          </w:tcPr>
          <w:p w14:paraId="7E25F98C" w14:textId="32BD6746" w:rsidR="004B70C8" w:rsidRPr="0081569B" w:rsidRDefault="004B70C8" w:rsidP="00A85B4A">
            <w:pPr>
              <w:pStyle w:val="TableTextRight"/>
            </w:pPr>
            <w:r>
              <w:t>161,051</w:t>
            </w:r>
          </w:p>
        </w:tc>
      </w:tr>
      <w:tr w:rsidR="004B70C8" w:rsidRPr="0081569B" w14:paraId="37C78909"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5D7FC549" w14:textId="77777777" w:rsidR="004B70C8" w:rsidRPr="0081569B" w:rsidRDefault="004B70C8" w:rsidP="009D7098">
            <w:pPr>
              <w:pStyle w:val="TableTextLeft"/>
              <w:rPr>
                <w:i/>
              </w:rPr>
            </w:pPr>
            <w:r w:rsidRPr="0081569B">
              <w:rPr>
                <w:i/>
              </w:rPr>
              <w:t>Total current transfers</w:t>
            </w:r>
          </w:p>
        </w:tc>
        <w:tc>
          <w:tcPr>
            <w:tcW w:w="1948" w:type="dxa"/>
            <w:gridSpan w:val="2"/>
            <w:tcBorders>
              <w:top w:val="nil"/>
              <w:left w:val="nil"/>
              <w:bottom w:val="nil"/>
              <w:right w:val="nil"/>
            </w:tcBorders>
            <w:shd w:val="clear" w:color="000000" w:fill="FFFFFF"/>
            <w:noWrap/>
            <w:vAlign w:val="center"/>
            <w:hideMark/>
          </w:tcPr>
          <w:p w14:paraId="09C06195" w14:textId="6B7F424B" w:rsidR="004B70C8" w:rsidRPr="0081569B" w:rsidRDefault="004B70C8" w:rsidP="00A85B4A">
            <w:pPr>
              <w:pStyle w:val="TableTextRight"/>
              <w:rPr>
                <w:i/>
              </w:rPr>
            </w:pPr>
            <w:r>
              <w:rPr>
                <w:i/>
              </w:rPr>
              <w:t>374,883</w:t>
            </w:r>
          </w:p>
        </w:tc>
        <w:tc>
          <w:tcPr>
            <w:tcW w:w="993" w:type="dxa"/>
            <w:tcBorders>
              <w:top w:val="nil"/>
              <w:left w:val="nil"/>
              <w:bottom w:val="nil"/>
              <w:right w:val="nil"/>
            </w:tcBorders>
            <w:shd w:val="clear" w:color="000000" w:fill="E6F2FF"/>
            <w:noWrap/>
            <w:vAlign w:val="center"/>
            <w:hideMark/>
          </w:tcPr>
          <w:p w14:paraId="346C3F5C" w14:textId="20047D8D" w:rsidR="004B70C8" w:rsidRPr="0081569B" w:rsidRDefault="004B70C8" w:rsidP="00A85B4A">
            <w:pPr>
              <w:pStyle w:val="TableTextRight"/>
              <w:rPr>
                <w:i/>
              </w:rPr>
            </w:pPr>
            <w:r>
              <w:rPr>
                <w:i/>
              </w:rPr>
              <w:t>387,932</w:t>
            </w:r>
          </w:p>
        </w:tc>
      </w:tr>
      <w:tr w:rsidR="004B70C8" w:rsidRPr="0081569B" w14:paraId="1862C0CB"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7CE0E539" w14:textId="77777777" w:rsidR="004B70C8" w:rsidRPr="0081569B" w:rsidRDefault="004B70C8" w:rsidP="009D7098">
            <w:pPr>
              <w:pStyle w:val="TableTextLeft"/>
            </w:pPr>
            <w:r w:rsidRPr="0081569B">
              <w:t>Capital transfers</w:t>
            </w:r>
          </w:p>
        </w:tc>
        <w:tc>
          <w:tcPr>
            <w:tcW w:w="1948" w:type="dxa"/>
            <w:gridSpan w:val="2"/>
            <w:tcBorders>
              <w:top w:val="nil"/>
              <w:left w:val="nil"/>
              <w:bottom w:val="nil"/>
              <w:right w:val="nil"/>
            </w:tcBorders>
            <w:shd w:val="clear" w:color="000000" w:fill="FFFFFF"/>
            <w:noWrap/>
            <w:vAlign w:val="center"/>
            <w:hideMark/>
          </w:tcPr>
          <w:p w14:paraId="5AC6BC6F" w14:textId="33F21F9B" w:rsidR="004B70C8" w:rsidRPr="0081569B" w:rsidRDefault="004B70C8" w:rsidP="00A85B4A">
            <w:pPr>
              <w:pStyle w:val="TableTextRight"/>
            </w:pPr>
            <w:r>
              <w:t>20,742</w:t>
            </w:r>
          </w:p>
        </w:tc>
        <w:tc>
          <w:tcPr>
            <w:tcW w:w="993" w:type="dxa"/>
            <w:tcBorders>
              <w:top w:val="nil"/>
              <w:left w:val="nil"/>
              <w:bottom w:val="nil"/>
              <w:right w:val="nil"/>
            </w:tcBorders>
            <w:shd w:val="clear" w:color="000000" w:fill="E6F2FF"/>
            <w:noWrap/>
            <w:vAlign w:val="center"/>
            <w:hideMark/>
          </w:tcPr>
          <w:p w14:paraId="1537CA90" w14:textId="78FE6E32" w:rsidR="004B70C8" w:rsidRPr="0081569B" w:rsidRDefault="004B70C8" w:rsidP="00A85B4A">
            <w:pPr>
              <w:pStyle w:val="TableTextRight"/>
            </w:pPr>
            <w:r>
              <w:t>25,258</w:t>
            </w:r>
          </w:p>
        </w:tc>
      </w:tr>
      <w:tr w:rsidR="004B70C8" w:rsidRPr="0081569B" w14:paraId="3C5378E5"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1F8AF45B" w14:textId="77777777" w:rsidR="004B70C8" w:rsidRPr="0081569B" w:rsidRDefault="004B70C8" w:rsidP="009D7098">
            <w:pPr>
              <w:pStyle w:val="TableTextLeft"/>
              <w:rPr>
                <w:b/>
              </w:rPr>
            </w:pPr>
            <w:r w:rsidRPr="0081569B">
              <w:rPr>
                <w:b/>
              </w:rPr>
              <w:t>Total expenses</w:t>
            </w:r>
          </w:p>
        </w:tc>
        <w:tc>
          <w:tcPr>
            <w:tcW w:w="1948" w:type="dxa"/>
            <w:gridSpan w:val="2"/>
            <w:tcBorders>
              <w:top w:val="nil"/>
              <w:left w:val="nil"/>
              <w:bottom w:val="nil"/>
              <w:right w:val="nil"/>
            </w:tcBorders>
            <w:shd w:val="clear" w:color="000000" w:fill="FFFFFF"/>
            <w:noWrap/>
            <w:vAlign w:val="center"/>
            <w:hideMark/>
          </w:tcPr>
          <w:p w14:paraId="30CCFAE9" w14:textId="63160485" w:rsidR="004B70C8" w:rsidRPr="0081569B" w:rsidRDefault="004B70C8" w:rsidP="00A85B4A">
            <w:pPr>
              <w:pStyle w:val="TableTextRight"/>
              <w:rPr>
                <w:b/>
              </w:rPr>
            </w:pPr>
            <w:r>
              <w:rPr>
                <w:b/>
              </w:rPr>
              <w:t>711,826</w:t>
            </w:r>
          </w:p>
        </w:tc>
        <w:tc>
          <w:tcPr>
            <w:tcW w:w="993" w:type="dxa"/>
            <w:tcBorders>
              <w:top w:val="nil"/>
              <w:left w:val="nil"/>
              <w:bottom w:val="nil"/>
              <w:right w:val="nil"/>
            </w:tcBorders>
            <w:shd w:val="clear" w:color="000000" w:fill="E6F2FF"/>
            <w:noWrap/>
            <w:vAlign w:val="center"/>
            <w:hideMark/>
          </w:tcPr>
          <w:p w14:paraId="42C28ACB" w14:textId="5FD11AB5" w:rsidR="004B70C8" w:rsidRPr="0081569B" w:rsidRDefault="004B70C8" w:rsidP="00A85B4A">
            <w:pPr>
              <w:pStyle w:val="TableTextRight"/>
              <w:rPr>
                <w:b/>
              </w:rPr>
            </w:pPr>
            <w:r>
              <w:rPr>
                <w:b/>
              </w:rPr>
              <w:t>755,813</w:t>
            </w:r>
          </w:p>
        </w:tc>
      </w:tr>
      <w:tr w:rsidR="00872A01" w:rsidRPr="0081569B" w14:paraId="6D7FAC6D"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48E24221" w14:textId="77777777" w:rsidR="00872A01" w:rsidRPr="0081569B" w:rsidRDefault="00872A01" w:rsidP="009D7098">
            <w:pPr>
              <w:pStyle w:val="TableTextLeft"/>
              <w:rPr>
                <w:b/>
              </w:rPr>
            </w:pPr>
            <w:r w:rsidRPr="0081569B">
              <w:rPr>
                <w:b/>
              </w:rPr>
              <w:t>Net operating balance</w:t>
            </w:r>
          </w:p>
        </w:tc>
        <w:tc>
          <w:tcPr>
            <w:tcW w:w="1948" w:type="dxa"/>
            <w:gridSpan w:val="2"/>
            <w:tcBorders>
              <w:top w:val="nil"/>
              <w:left w:val="nil"/>
              <w:bottom w:val="nil"/>
              <w:right w:val="nil"/>
            </w:tcBorders>
            <w:shd w:val="clear" w:color="000000" w:fill="FFFFFF"/>
            <w:noWrap/>
            <w:vAlign w:val="center"/>
            <w:hideMark/>
          </w:tcPr>
          <w:p w14:paraId="2B0FD377" w14:textId="31249B12" w:rsidR="00872A01" w:rsidRPr="0081569B" w:rsidRDefault="00872A01" w:rsidP="00A85B4A">
            <w:pPr>
              <w:pStyle w:val="TableTextRight"/>
              <w:rPr>
                <w:b/>
              </w:rPr>
            </w:pPr>
            <w:r>
              <w:rPr>
                <w:b/>
              </w:rPr>
              <w:t>14,126</w:t>
            </w:r>
          </w:p>
        </w:tc>
        <w:tc>
          <w:tcPr>
            <w:tcW w:w="993" w:type="dxa"/>
            <w:tcBorders>
              <w:top w:val="nil"/>
              <w:left w:val="nil"/>
              <w:bottom w:val="nil"/>
              <w:right w:val="nil"/>
            </w:tcBorders>
            <w:shd w:val="clear" w:color="000000" w:fill="E6F2FF"/>
            <w:noWrap/>
            <w:vAlign w:val="center"/>
            <w:hideMark/>
          </w:tcPr>
          <w:p w14:paraId="19305027" w14:textId="36A0183D" w:rsidR="00872A01" w:rsidRPr="0081569B" w:rsidRDefault="00325E1E" w:rsidP="00A85B4A">
            <w:pPr>
              <w:pStyle w:val="TableTextRight"/>
              <w:rPr>
                <w:b/>
              </w:rPr>
            </w:pPr>
            <w:r>
              <w:rPr>
                <w:b/>
              </w:rPr>
              <w:noBreakHyphen/>
            </w:r>
            <w:r w:rsidR="00872A01">
              <w:rPr>
                <w:b/>
              </w:rPr>
              <w:t>24,183</w:t>
            </w:r>
          </w:p>
        </w:tc>
      </w:tr>
      <w:tr w:rsidR="00872A01" w:rsidRPr="0081569B" w14:paraId="556E8938" w14:textId="77777777" w:rsidTr="003C7BDE">
        <w:trPr>
          <w:gridAfter w:val="1"/>
          <w:wAfter w:w="79" w:type="dxa"/>
          <w:trHeight w:val="284"/>
        </w:trPr>
        <w:tc>
          <w:tcPr>
            <w:tcW w:w="4793" w:type="dxa"/>
            <w:tcBorders>
              <w:top w:val="nil"/>
              <w:left w:val="nil"/>
              <w:bottom w:val="nil"/>
              <w:right w:val="nil"/>
            </w:tcBorders>
            <w:shd w:val="clear" w:color="000000" w:fill="FFFFFF"/>
            <w:noWrap/>
            <w:vAlign w:val="center"/>
            <w:hideMark/>
          </w:tcPr>
          <w:p w14:paraId="02056436" w14:textId="77777777" w:rsidR="00872A01" w:rsidRPr="0081569B" w:rsidRDefault="00872A01" w:rsidP="009D7098">
            <w:pPr>
              <w:pStyle w:val="TableTextLeft"/>
              <w:rPr>
                <w:b/>
              </w:rPr>
            </w:pPr>
            <w:r w:rsidRPr="0081569B">
              <w:rPr>
                <w:b/>
              </w:rPr>
              <w:t>Other economic flows</w:t>
            </w:r>
          </w:p>
        </w:tc>
        <w:tc>
          <w:tcPr>
            <w:tcW w:w="1948" w:type="dxa"/>
            <w:gridSpan w:val="2"/>
            <w:tcBorders>
              <w:top w:val="nil"/>
              <w:left w:val="nil"/>
              <w:bottom w:val="nil"/>
              <w:right w:val="nil"/>
            </w:tcBorders>
            <w:shd w:val="clear" w:color="000000" w:fill="FFFFFF"/>
            <w:noWrap/>
            <w:vAlign w:val="center"/>
            <w:hideMark/>
          </w:tcPr>
          <w:p w14:paraId="23E21CB2" w14:textId="30A7EC83" w:rsidR="00872A01" w:rsidRPr="0081569B" w:rsidRDefault="00325E1E" w:rsidP="00A85B4A">
            <w:pPr>
              <w:pStyle w:val="TableTextRight"/>
              <w:rPr>
                <w:b/>
              </w:rPr>
            </w:pPr>
            <w:r>
              <w:rPr>
                <w:b/>
              </w:rPr>
              <w:noBreakHyphen/>
            </w:r>
            <w:r w:rsidR="00872A01">
              <w:rPr>
                <w:b/>
              </w:rPr>
              <w:t>12,716</w:t>
            </w:r>
          </w:p>
        </w:tc>
        <w:tc>
          <w:tcPr>
            <w:tcW w:w="993" w:type="dxa"/>
            <w:tcBorders>
              <w:top w:val="nil"/>
              <w:left w:val="nil"/>
              <w:bottom w:val="nil"/>
              <w:right w:val="nil"/>
            </w:tcBorders>
            <w:shd w:val="clear" w:color="000000" w:fill="E6F2FF"/>
            <w:noWrap/>
            <w:vAlign w:val="center"/>
            <w:hideMark/>
          </w:tcPr>
          <w:p w14:paraId="3473B188" w14:textId="08ECEC63" w:rsidR="00872A01" w:rsidRPr="0081569B" w:rsidRDefault="00325E1E" w:rsidP="00A85B4A">
            <w:pPr>
              <w:pStyle w:val="TableTextRight"/>
              <w:rPr>
                <w:b/>
              </w:rPr>
            </w:pPr>
            <w:r>
              <w:rPr>
                <w:b/>
              </w:rPr>
              <w:noBreakHyphen/>
            </w:r>
            <w:r w:rsidR="00872A01">
              <w:rPr>
                <w:b/>
              </w:rPr>
              <w:t>13,772</w:t>
            </w:r>
          </w:p>
        </w:tc>
      </w:tr>
      <w:tr w:rsidR="00D47F34" w:rsidRPr="0081569B" w14:paraId="2DC31EF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7C4A0FB" w14:textId="39ABBC52" w:rsidR="00D47F34" w:rsidRPr="0081569B" w:rsidRDefault="00D47F34" w:rsidP="009D7098">
            <w:pPr>
              <w:pStyle w:val="TableTextLeft"/>
              <w:rPr>
                <w:b/>
              </w:rPr>
            </w:pPr>
            <w:r w:rsidRPr="0081569B">
              <w:rPr>
                <w:b/>
              </w:rPr>
              <w:t>Comprehensive result</w:t>
            </w:r>
            <w:r>
              <w:rPr>
                <w:b/>
              </w:rPr>
              <w:t xml:space="preserve"> </w:t>
            </w:r>
            <w:r w:rsidR="00480091">
              <w:rPr>
                <w:b/>
              </w:rPr>
              <w:t>–</w:t>
            </w:r>
            <w:r>
              <w:rPr>
                <w:b/>
              </w:rPr>
              <w:t xml:space="preserve"> </w:t>
            </w:r>
            <w:r w:rsidRPr="0081569B">
              <w:rPr>
                <w:b/>
              </w:rPr>
              <w:t>Total change in net worth</w:t>
            </w:r>
          </w:p>
        </w:tc>
        <w:tc>
          <w:tcPr>
            <w:tcW w:w="1948" w:type="dxa"/>
            <w:gridSpan w:val="2"/>
            <w:tcBorders>
              <w:top w:val="nil"/>
              <w:left w:val="nil"/>
              <w:bottom w:val="nil"/>
              <w:right w:val="nil"/>
            </w:tcBorders>
            <w:shd w:val="clear" w:color="000000" w:fill="FFFFFF"/>
            <w:noWrap/>
            <w:vAlign w:val="center"/>
            <w:hideMark/>
          </w:tcPr>
          <w:p w14:paraId="7D60B24B" w14:textId="75FFCAAB" w:rsidR="00D47F34" w:rsidRPr="0081569B" w:rsidRDefault="00D47F34" w:rsidP="00A85B4A">
            <w:pPr>
              <w:pStyle w:val="TableTextRight"/>
              <w:rPr>
                <w:b/>
              </w:rPr>
            </w:pPr>
            <w:r>
              <w:rPr>
                <w:b/>
              </w:rPr>
              <w:t>1,410</w:t>
            </w:r>
          </w:p>
        </w:tc>
        <w:tc>
          <w:tcPr>
            <w:tcW w:w="993" w:type="dxa"/>
            <w:tcBorders>
              <w:top w:val="nil"/>
              <w:left w:val="nil"/>
              <w:bottom w:val="nil"/>
              <w:right w:val="nil"/>
            </w:tcBorders>
            <w:shd w:val="clear" w:color="000000" w:fill="E6F2FF"/>
            <w:noWrap/>
            <w:vAlign w:val="center"/>
            <w:hideMark/>
          </w:tcPr>
          <w:p w14:paraId="01A4E3C8" w14:textId="0B4E2ADF" w:rsidR="00D47F34" w:rsidRPr="0081569B" w:rsidRDefault="00325E1E" w:rsidP="00A85B4A">
            <w:pPr>
              <w:pStyle w:val="TableTextRight"/>
              <w:rPr>
                <w:b/>
              </w:rPr>
            </w:pPr>
            <w:r>
              <w:rPr>
                <w:b/>
              </w:rPr>
              <w:noBreakHyphen/>
            </w:r>
            <w:r w:rsidR="00D47F34">
              <w:rPr>
                <w:b/>
              </w:rPr>
              <w:t>37,955</w:t>
            </w:r>
          </w:p>
        </w:tc>
      </w:tr>
      <w:tr w:rsidR="0081569B" w:rsidRPr="0081569B" w14:paraId="71BC0AA2"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FCFE7D8" w14:textId="4067798E" w:rsidR="0081569B" w:rsidRPr="0081569B" w:rsidRDefault="0081569B" w:rsidP="009D7098">
            <w:pPr>
              <w:pStyle w:val="TableTextLeft"/>
              <w:rPr>
                <w:b/>
              </w:rPr>
            </w:pPr>
            <w:r w:rsidRPr="0081569B">
              <w:rPr>
                <w:b/>
              </w:rPr>
              <w:t>Net acquisition of non</w:t>
            </w:r>
            <w:r w:rsidR="00325E1E">
              <w:rPr>
                <w:b/>
              </w:rPr>
              <w:noBreakHyphen/>
            </w:r>
            <w:r w:rsidRPr="0081569B">
              <w:rPr>
                <w:b/>
              </w:rPr>
              <w:t>financial assets</w:t>
            </w:r>
          </w:p>
        </w:tc>
        <w:tc>
          <w:tcPr>
            <w:tcW w:w="1948" w:type="dxa"/>
            <w:gridSpan w:val="2"/>
            <w:tcBorders>
              <w:top w:val="nil"/>
              <w:left w:val="nil"/>
              <w:bottom w:val="nil"/>
              <w:right w:val="nil"/>
            </w:tcBorders>
            <w:shd w:val="clear" w:color="000000" w:fill="FFFFFF"/>
            <w:noWrap/>
            <w:vAlign w:val="center"/>
            <w:hideMark/>
          </w:tcPr>
          <w:p w14:paraId="15FE3106" w14:textId="77777777" w:rsidR="0081569B" w:rsidRPr="0081569B" w:rsidRDefault="0081569B" w:rsidP="00A85B4A">
            <w:pPr>
              <w:pStyle w:val="TableTextRight"/>
            </w:pPr>
            <w:r w:rsidRPr="0081569B">
              <w:t> </w:t>
            </w:r>
          </w:p>
        </w:tc>
        <w:tc>
          <w:tcPr>
            <w:tcW w:w="993" w:type="dxa"/>
            <w:tcBorders>
              <w:top w:val="nil"/>
              <w:left w:val="nil"/>
              <w:bottom w:val="nil"/>
              <w:right w:val="nil"/>
            </w:tcBorders>
            <w:shd w:val="clear" w:color="000000" w:fill="E6F2FF"/>
            <w:noWrap/>
            <w:vAlign w:val="center"/>
            <w:hideMark/>
          </w:tcPr>
          <w:p w14:paraId="53AB67DA" w14:textId="77777777" w:rsidR="0081569B" w:rsidRPr="0081569B" w:rsidRDefault="0081569B" w:rsidP="00A85B4A">
            <w:pPr>
              <w:pStyle w:val="TableTextRight"/>
            </w:pPr>
            <w:r w:rsidRPr="0081569B">
              <w:t> </w:t>
            </w:r>
          </w:p>
        </w:tc>
      </w:tr>
      <w:tr w:rsidR="00D47F34" w:rsidRPr="0081569B" w14:paraId="1547F6EF"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55F0CD08" w14:textId="42A614A9" w:rsidR="00D47F34" w:rsidRPr="0081569B" w:rsidRDefault="00D47F34" w:rsidP="009D7098">
            <w:pPr>
              <w:pStyle w:val="TableTextLeft"/>
            </w:pPr>
            <w:r w:rsidRPr="0081569B">
              <w:t>Purchases of non</w:t>
            </w:r>
            <w:r w:rsidR="00325E1E">
              <w:noBreakHyphen/>
            </w:r>
            <w:r w:rsidRPr="0081569B">
              <w:t>financial assets</w:t>
            </w:r>
          </w:p>
        </w:tc>
        <w:tc>
          <w:tcPr>
            <w:tcW w:w="1948" w:type="dxa"/>
            <w:gridSpan w:val="2"/>
            <w:tcBorders>
              <w:top w:val="nil"/>
              <w:left w:val="nil"/>
              <w:bottom w:val="nil"/>
              <w:right w:val="nil"/>
            </w:tcBorders>
            <w:shd w:val="clear" w:color="000000" w:fill="FFFFFF"/>
            <w:noWrap/>
            <w:vAlign w:val="center"/>
            <w:hideMark/>
          </w:tcPr>
          <w:p w14:paraId="11F68034" w14:textId="61CEE963" w:rsidR="00D47F34" w:rsidRPr="0081569B" w:rsidRDefault="00D47F34" w:rsidP="00A85B4A">
            <w:pPr>
              <w:pStyle w:val="TableTextRight"/>
            </w:pPr>
            <w:r>
              <w:t>33,087</w:t>
            </w:r>
          </w:p>
        </w:tc>
        <w:tc>
          <w:tcPr>
            <w:tcW w:w="993" w:type="dxa"/>
            <w:tcBorders>
              <w:top w:val="nil"/>
              <w:left w:val="nil"/>
              <w:bottom w:val="nil"/>
              <w:right w:val="nil"/>
            </w:tcBorders>
            <w:shd w:val="clear" w:color="000000" w:fill="E6F2FF"/>
            <w:noWrap/>
            <w:vAlign w:val="center"/>
            <w:hideMark/>
          </w:tcPr>
          <w:p w14:paraId="38A10BA1" w14:textId="767FDF8E" w:rsidR="00D47F34" w:rsidRPr="0081569B" w:rsidRDefault="00D47F34" w:rsidP="00A85B4A">
            <w:pPr>
              <w:pStyle w:val="TableTextRight"/>
            </w:pPr>
            <w:r>
              <w:t>34,334</w:t>
            </w:r>
          </w:p>
        </w:tc>
      </w:tr>
      <w:tr w:rsidR="00D47F34" w:rsidRPr="0081569B" w14:paraId="55CCBC78"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04D8E154" w14:textId="7E7B8B99" w:rsidR="00D47F34" w:rsidRPr="0081569B" w:rsidRDefault="00D47F34" w:rsidP="009D7098">
            <w:pPr>
              <w:pStyle w:val="TableTextLeft"/>
              <w:rPr>
                <w:i/>
              </w:rPr>
            </w:pPr>
            <w:r w:rsidRPr="0081569B">
              <w:rPr>
                <w:i/>
              </w:rPr>
              <w:t>less</w:t>
            </w:r>
            <w:r w:rsidRPr="0081569B">
              <w:t xml:space="preserve"> Sales of non</w:t>
            </w:r>
            <w:r w:rsidR="00325E1E">
              <w:noBreakHyphen/>
            </w:r>
            <w:r w:rsidRPr="0081569B">
              <w:t>financial assets</w:t>
            </w:r>
          </w:p>
        </w:tc>
        <w:tc>
          <w:tcPr>
            <w:tcW w:w="1948" w:type="dxa"/>
            <w:gridSpan w:val="2"/>
            <w:tcBorders>
              <w:top w:val="nil"/>
              <w:left w:val="nil"/>
              <w:bottom w:val="nil"/>
              <w:right w:val="nil"/>
            </w:tcBorders>
            <w:shd w:val="clear" w:color="000000" w:fill="FFFFFF"/>
            <w:noWrap/>
            <w:vAlign w:val="center"/>
            <w:hideMark/>
          </w:tcPr>
          <w:p w14:paraId="0F491754" w14:textId="5DD0948C" w:rsidR="00D47F34" w:rsidRPr="0081569B" w:rsidRDefault="00D47F34" w:rsidP="00A85B4A">
            <w:pPr>
              <w:pStyle w:val="TableTextRight"/>
            </w:pPr>
            <w:r>
              <w:t>859</w:t>
            </w:r>
          </w:p>
        </w:tc>
        <w:tc>
          <w:tcPr>
            <w:tcW w:w="993" w:type="dxa"/>
            <w:tcBorders>
              <w:top w:val="nil"/>
              <w:left w:val="nil"/>
              <w:bottom w:val="nil"/>
              <w:right w:val="nil"/>
            </w:tcBorders>
            <w:shd w:val="clear" w:color="000000" w:fill="E6F2FF"/>
            <w:noWrap/>
            <w:vAlign w:val="center"/>
            <w:hideMark/>
          </w:tcPr>
          <w:p w14:paraId="0210B3C2" w14:textId="0D9E8074" w:rsidR="00D47F34" w:rsidRPr="0081569B" w:rsidRDefault="00D47F34" w:rsidP="00A85B4A">
            <w:pPr>
              <w:pStyle w:val="TableTextRight"/>
            </w:pPr>
            <w:r>
              <w:t>2,469</w:t>
            </w:r>
          </w:p>
        </w:tc>
      </w:tr>
      <w:tr w:rsidR="00D47F34" w:rsidRPr="0081569B" w14:paraId="17B5B529"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2A671AC5" w14:textId="77777777" w:rsidR="00D47F34" w:rsidRPr="0081569B" w:rsidRDefault="00D47F34" w:rsidP="009D7098">
            <w:pPr>
              <w:pStyle w:val="TableTextLeft"/>
              <w:rPr>
                <w:i/>
              </w:rPr>
            </w:pPr>
            <w:r w:rsidRPr="0081569B">
              <w:rPr>
                <w:i/>
              </w:rPr>
              <w:t>less</w:t>
            </w:r>
            <w:r w:rsidRPr="0081569B">
              <w:t xml:space="preserve"> Depreciation</w:t>
            </w:r>
          </w:p>
        </w:tc>
        <w:tc>
          <w:tcPr>
            <w:tcW w:w="1948" w:type="dxa"/>
            <w:gridSpan w:val="2"/>
            <w:tcBorders>
              <w:top w:val="nil"/>
              <w:left w:val="nil"/>
              <w:bottom w:val="nil"/>
              <w:right w:val="nil"/>
            </w:tcBorders>
            <w:shd w:val="clear" w:color="000000" w:fill="FFFFFF"/>
            <w:noWrap/>
            <w:vAlign w:val="center"/>
            <w:hideMark/>
          </w:tcPr>
          <w:p w14:paraId="507AB382" w14:textId="22BAF938" w:rsidR="00D47F34" w:rsidRPr="0081569B" w:rsidRDefault="00D47F34" w:rsidP="00A85B4A">
            <w:pPr>
              <w:pStyle w:val="TableTextRight"/>
            </w:pPr>
            <w:r>
              <w:t>17,421</w:t>
            </w:r>
          </w:p>
        </w:tc>
        <w:tc>
          <w:tcPr>
            <w:tcW w:w="993" w:type="dxa"/>
            <w:tcBorders>
              <w:top w:val="nil"/>
              <w:left w:val="nil"/>
              <w:bottom w:val="nil"/>
              <w:right w:val="nil"/>
            </w:tcBorders>
            <w:shd w:val="clear" w:color="000000" w:fill="E6F2FF"/>
            <w:noWrap/>
            <w:vAlign w:val="center"/>
            <w:hideMark/>
          </w:tcPr>
          <w:p w14:paraId="0E45680F" w14:textId="2A94326F" w:rsidR="00D47F34" w:rsidRPr="0081569B" w:rsidRDefault="00D47F34" w:rsidP="00A85B4A">
            <w:pPr>
              <w:pStyle w:val="TableTextRight"/>
            </w:pPr>
            <w:r>
              <w:t>17,428</w:t>
            </w:r>
          </w:p>
        </w:tc>
      </w:tr>
      <w:tr w:rsidR="00D47F34" w:rsidRPr="0081569B" w14:paraId="27A67DC6"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30F391BB" w14:textId="77777777" w:rsidR="00D47F34" w:rsidRPr="0081569B" w:rsidRDefault="00D47F34" w:rsidP="009D7098">
            <w:pPr>
              <w:pStyle w:val="TableTextLeft"/>
              <w:rPr>
                <w:i/>
              </w:rPr>
            </w:pPr>
            <w:r w:rsidRPr="0081569B">
              <w:rPr>
                <w:i/>
              </w:rPr>
              <w:t xml:space="preserve">plus </w:t>
            </w:r>
            <w:r w:rsidRPr="0081569B">
              <w:t>Change in inventories</w:t>
            </w:r>
          </w:p>
        </w:tc>
        <w:tc>
          <w:tcPr>
            <w:tcW w:w="1948" w:type="dxa"/>
            <w:gridSpan w:val="2"/>
            <w:tcBorders>
              <w:top w:val="nil"/>
              <w:left w:val="nil"/>
              <w:bottom w:val="nil"/>
              <w:right w:val="nil"/>
            </w:tcBorders>
            <w:shd w:val="clear" w:color="000000" w:fill="FFFFFF"/>
            <w:noWrap/>
            <w:vAlign w:val="center"/>
            <w:hideMark/>
          </w:tcPr>
          <w:p w14:paraId="0B2A7061" w14:textId="037B89FF" w:rsidR="00D47F34" w:rsidRPr="0081569B" w:rsidRDefault="00325E1E" w:rsidP="00A85B4A">
            <w:pPr>
              <w:pStyle w:val="TableTextRight"/>
            </w:pPr>
            <w:r>
              <w:noBreakHyphen/>
            </w:r>
            <w:r w:rsidR="00D47F34">
              <w:t>375</w:t>
            </w:r>
          </w:p>
        </w:tc>
        <w:tc>
          <w:tcPr>
            <w:tcW w:w="993" w:type="dxa"/>
            <w:tcBorders>
              <w:top w:val="nil"/>
              <w:left w:val="nil"/>
              <w:bottom w:val="nil"/>
              <w:right w:val="nil"/>
            </w:tcBorders>
            <w:shd w:val="clear" w:color="000000" w:fill="E6F2FF"/>
            <w:noWrap/>
            <w:vAlign w:val="center"/>
            <w:hideMark/>
          </w:tcPr>
          <w:p w14:paraId="7625EA9D" w14:textId="3501FF98" w:rsidR="00D47F34" w:rsidRPr="0081569B" w:rsidRDefault="00325E1E" w:rsidP="00A85B4A">
            <w:pPr>
              <w:pStyle w:val="TableTextRight"/>
            </w:pPr>
            <w:r>
              <w:noBreakHyphen/>
            </w:r>
            <w:r w:rsidR="00D47F34">
              <w:t>240</w:t>
            </w:r>
          </w:p>
        </w:tc>
      </w:tr>
      <w:tr w:rsidR="00D47F34" w:rsidRPr="0081569B" w14:paraId="0F19CD73"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3933EEC5" w14:textId="16370D9A" w:rsidR="00D47F34" w:rsidRPr="0081569B" w:rsidRDefault="00D47F34" w:rsidP="009D7098">
            <w:pPr>
              <w:pStyle w:val="TableTextLeft"/>
              <w:rPr>
                <w:i/>
              </w:rPr>
            </w:pPr>
            <w:r w:rsidRPr="0081569B">
              <w:rPr>
                <w:i/>
              </w:rPr>
              <w:t xml:space="preserve">plus </w:t>
            </w:r>
            <w:r w:rsidRPr="0081569B">
              <w:t>Other movements in non</w:t>
            </w:r>
            <w:r w:rsidR="00325E1E">
              <w:noBreakHyphen/>
            </w:r>
            <w:r w:rsidRPr="0081569B">
              <w:t>financial assets</w:t>
            </w:r>
          </w:p>
        </w:tc>
        <w:tc>
          <w:tcPr>
            <w:tcW w:w="1948" w:type="dxa"/>
            <w:gridSpan w:val="2"/>
            <w:tcBorders>
              <w:top w:val="nil"/>
              <w:left w:val="nil"/>
              <w:bottom w:val="nil"/>
              <w:right w:val="nil"/>
            </w:tcBorders>
            <w:shd w:val="clear" w:color="000000" w:fill="FFFFFF"/>
            <w:noWrap/>
            <w:vAlign w:val="center"/>
            <w:hideMark/>
          </w:tcPr>
          <w:p w14:paraId="185BCD3E" w14:textId="12FC386E" w:rsidR="00D47F34" w:rsidRPr="0081569B" w:rsidRDefault="00325E1E" w:rsidP="00A85B4A">
            <w:pPr>
              <w:pStyle w:val="TableTextRight"/>
            </w:pPr>
            <w:r>
              <w:noBreakHyphen/>
            </w:r>
            <w:r w:rsidR="00D47F34">
              <w:t>1</w:t>
            </w:r>
          </w:p>
        </w:tc>
        <w:tc>
          <w:tcPr>
            <w:tcW w:w="993" w:type="dxa"/>
            <w:tcBorders>
              <w:top w:val="nil"/>
              <w:left w:val="nil"/>
              <w:bottom w:val="nil"/>
              <w:right w:val="nil"/>
            </w:tcBorders>
            <w:shd w:val="clear" w:color="000000" w:fill="E6F2FF"/>
            <w:noWrap/>
            <w:vAlign w:val="center"/>
            <w:hideMark/>
          </w:tcPr>
          <w:p w14:paraId="14DD768D" w14:textId="312B2D2D" w:rsidR="00D47F34" w:rsidRPr="0081569B" w:rsidRDefault="00325E1E" w:rsidP="00A85B4A">
            <w:pPr>
              <w:pStyle w:val="TableTextRight"/>
            </w:pPr>
            <w:r>
              <w:noBreakHyphen/>
            </w:r>
            <w:r w:rsidR="00D47F34">
              <w:t>4</w:t>
            </w:r>
          </w:p>
        </w:tc>
      </w:tr>
      <w:tr w:rsidR="00D47F34" w:rsidRPr="0081569B" w14:paraId="01674E50" w14:textId="77777777" w:rsidTr="003C7BDE">
        <w:trPr>
          <w:gridAfter w:val="1"/>
          <w:wAfter w:w="79" w:type="dxa"/>
          <w:trHeight w:val="225"/>
        </w:trPr>
        <w:tc>
          <w:tcPr>
            <w:tcW w:w="4793" w:type="dxa"/>
            <w:tcBorders>
              <w:top w:val="nil"/>
              <w:left w:val="nil"/>
              <w:bottom w:val="nil"/>
              <w:right w:val="nil"/>
            </w:tcBorders>
            <w:shd w:val="clear" w:color="000000" w:fill="FFFFFF"/>
            <w:noWrap/>
            <w:vAlign w:val="center"/>
            <w:hideMark/>
          </w:tcPr>
          <w:p w14:paraId="6BEB8087" w14:textId="6751D693" w:rsidR="00D47F34" w:rsidRPr="0081569B" w:rsidRDefault="00D47F34" w:rsidP="009D7098">
            <w:pPr>
              <w:pStyle w:val="TableTextLeft"/>
              <w:rPr>
                <w:b/>
              </w:rPr>
            </w:pPr>
            <w:r w:rsidRPr="0081569B">
              <w:rPr>
                <w:b/>
              </w:rPr>
              <w:t>Total net acquisition of non</w:t>
            </w:r>
            <w:r w:rsidR="00325E1E">
              <w:rPr>
                <w:b/>
              </w:rPr>
              <w:noBreakHyphen/>
            </w:r>
            <w:r w:rsidRPr="0081569B">
              <w:rPr>
                <w:b/>
              </w:rPr>
              <w:t>financial assets</w:t>
            </w:r>
          </w:p>
        </w:tc>
        <w:tc>
          <w:tcPr>
            <w:tcW w:w="1948" w:type="dxa"/>
            <w:gridSpan w:val="2"/>
            <w:tcBorders>
              <w:top w:val="nil"/>
              <w:left w:val="nil"/>
              <w:bottom w:val="nil"/>
              <w:right w:val="nil"/>
            </w:tcBorders>
            <w:shd w:val="clear" w:color="000000" w:fill="FFFFFF"/>
            <w:noWrap/>
            <w:vAlign w:val="center"/>
            <w:hideMark/>
          </w:tcPr>
          <w:p w14:paraId="44AEAD62" w14:textId="028DE73E" w:rsidR="00D47F34" w:rsidRPr="0081569B" w:rsidRDefault="00D47F34" w:rsidP="00A85B4A">
            <w:pPr>
              <w:pStyle w:val="TableTextRight"/>
              <w:rPr>
                <w:b/>
              </w:rPr>
            </w:pPr>
            <w:r>
              <w:rPr>
                <w:b/>
              </w:rPr>
              <w:t>14,431</w:t>
            </w:r>
          </w:p>
        </w:tc>
        <w:tc>
          <w:tcPr>
            <w:tcW w:w="993" w:type="dxa"/>
            <w:tcBorders>
              <w:top w:val="nil"/>
              <w:left w:val="nil"/>
              <w:bottom w:val="nil"/>
              <w:right w:val="nil"/>
            </w:tcBorders>
            <w:shd w:val="clear" w:color="000000" w:fill="E6F2FF"/>
            <w:noWrap/>
            <w:vAlign w:val="center"/>
            <w:hideMark/>
          </w:tcPr>
          <w:p w14:paraId="7C3E69A1" w14:textId="55B03FC8" w:rsidR="00D47F34" w:rsidRPr="0081569B" w:rsidRDefault="00D47F34" w:rsidP="00A85B4A">
            <w:pPr>
              <w:pStyle w:val="TableTextRight"/>
              <w:rPr>
                <w:b/>
              </w:rPr>
            </w:pPr>
            <w:r>
              <w:rPr>
                <w:b/>
              </w:rPr>
              <w:t>14,193</w:t>
            </w:r>
          </w:p>
        </w:tc>
      </w:tr>
      <w:tr w:rsidR="00D47F34" w:rsidRPr="0081569B" w14:paraId="1FF92ED2" w14:textId="77777777" w:rsidTr="003C7BDE">
        <w:trPr>
          <w:gridAfter w:val="1"/>
          <w:wAfter w:w="79" w:type="dxa"/>
          <w:trHeight w:val="225"/>
        </w:trPr>
        <w:tc>
          <w:tcPr>
            <w:tcW w:w="4793" w:type="dxa"/>
            <w:tcBorders>
              <w:top w:val="nil"/>
              <w:left w:val="nil"/>
              <w:bottom w:val="single" w:sz="4" w:space="0" w:color="293F5B"/>
              <w:right w:val="nil"/>
            </w:tcBorders>
            <w:shd w:val="clear" w:color="000000" w:fill="FFFFFF"/>
            <w:noWrap/>
            <w:vAlign w:val="center"/>
            <w:hideMark/>
          </w:tcPr>
          <w:p w14:paraId="3A00E602" w14:textId="77777777" w:rsidR="00D47F34" w:rsidRPr="0081569B" w:rsidRDefault="00D47F34" w:rsidP="009D7098">
            <w:pPr>
              <w:pStyle w:val="TableTextLeft"/>
              <w:rPr>
                <w:b/>
              </w:rPr>
            </w:pPr>
            <w:r w:rsidRPr="0081569B">
              <w:rPr>
                <w:b/>
              </w:rPr>
              <w:t>Fiscal balance (Net lending/borrowing)(b)</w:t>
            </w:r>
          </w:p>
        </w:tc>
        <w:tc>
          <w:tcPr>
            <w:tcW w:w="1948" w:type="dxa"/>
            <w:gridSpan w:val="2"/>
            <w:tcBorders>
              <w:top w:val="nil"/>
              <w:left w:val="nil"/>
              <w:bottom w:val="single" w:sz="4" w:space="0" w:color="293F5B"/>
              <w:right w:val="nil"/>
            </w:tcBorders>
            <w:shd w:val="clear" w:color="000000" w:fill="FFFFFF"/>
            <w:noWrap/>
            <w:vAlign w:val="center"/>
            <w:hideMark/>
          </w:tcPr>
          <w:p w14:paraId="4F84BD68" w14:textId="5A77C766" w:rsidR="00D47F34" w:rsidRPr="0081569B" w:rsidRDefault="00325E1E" w:rsidP="00A85B4A">
            <w:pPr>
              <w:pStyle w:val="TableTextRight"/>
              <w:rPr>
                <w:b/>
              </w:rPr>
            </w:pPr>
            <w:r>
              <w:rPr>
                <w:b/>
              </w:rPr>
              <w:noBreakHyphen/>
            </w:r>
            <w:r w:rsidR="00D47F34">
              <w:rPr>
                <w:b/>
              </w:rPr>
              <w:t>305</w:t>
            </w:r>
          </w:p>
        </w:tc>
        <w:tc>
          <w:tcPr>
            <w:tcW w:w="993" w:type="dxa"/>
            <w:tcBorders>
              <w:top w:val="nil"/>
              <w:left w:val="nil"/>
              <w:bottom w:val="single" w:sz="4" w:space="0" w:color="293F5B"/>
              <w:right w:val="nil"/>
            </w:tcBorders>
            <w:shd w:val="clear" w:color="000000" w:fill="E6F2FF"/>
            <w:noWrap/>
            <w:vAlign w:val="center"/>
            <w:hideMark/>
          </w:tcPr>
          <w:p w14:paraId="32632117" w14:textId="11B16D20" w:rsidR="00D47F34" w:rsidRPr="0081569B" w:rsidRDefault="00325E1E" w:rsidP="00A85B4A">
            <w:pPr>
              <w:pStyle w:val="TableTextRight"/>
              <w:rPr>
                <w:b/>
              </w:rPr>
            </w:pPr>
            <w:r>
              <w:rPr>
                <w:b/>
              </w:rPr>
              <w:noBreakHyphen/>
            </w:r>
            <w:r w:rsidR="00D47F34">
              <w:rPr>
                <w:b/>
              </w:rPr>
              <w:t>38,376</w:t>
            </w:r>
          </w:p>
        </w:tc>
      </w:tr>
    </w:tbl>
    <w:p w14:paraId="3F4CC7BE" w14:textId="3E82968D" w:rsidR="00D8138E" w:rsidRPr="006D08B5" w:rsidRDefault="00D8138E" w:rsidP="00D8138E">
      <w:pPr>
        <w:pStyle w:val="ChartandTableFootnoteAlpha"/>
        <w:numPr>
          <w:ilvl w:val="0"/>
          <w:numId w:val="13"/>
        </w:numPr>
      </w:pPr>
      <w:r w:rsidRPr="006D08B5">
        <w:t>Consistent with the ABS GFS classification, other employee related expenses are classified separately from wages and salaries under other operating expenses. Total employee expenses equal wages and salaries plus other operating expenses.</w:t>
      </w:r>
    </w:p>
    <w:p w14:paraId="7F979E29" w14:textId="77777777" w:rsidR="00D8138E" w:rsidRPr="006D08B5" w:rsidRDefault="00D8138E" w:rsidP="00D8138E">
      <w:pPr>
        <w:pStyle w:val="ChartandTableFootnoteAlpha"/>
        <w:numPr>
          <w:ilvl w:val="0"/>
          <w:numId w:val="13"/>
        </w:numPr>
      </w:pPr>
      <w:r w:rsidRPr="006D08B5">
        <w:t>The term fiscal balance is not used by the ABS.</w:t>
      </w:r>
    </w:p>
    <w:p w14:paraId="769B7870" w14:textId="77777777" w:rsidR="00D8138E" w:rsidRPr="00EA746C" w:rsidRDefault="00D8138E" w:rsidP="00D736F4">
      <w:pPr>
        <w:pStyle w:val="TableLine"/>
      </w:pPr>
    </w:p>
    <w:p w14:paraId="77148D03" w14:textId="77777777" w:rsidR="002D63CE" w:rsidRDefault="00D8138E" w:rsidP="002D63CE">
      <w:r w:rsidRPr="00EA746C">
        <w:br w:type="page"/>
      </w:r>
    </w:p>
    <w:p w14:paraId="4568501B" w14:textId="3C920030" w:rsidR="00D8138E" w:rsidRDefault="00A96E0D" w:rsidP="00D8138E">
      <w:pPr>
        <w:pStyle w:val="TableHeading"/>
        <w:rPr>
          <w:rFonts w:asciiTheme="minorHAnsi" w:eastAsiaTheme="minorHAnsi" w:hAnsiTheme="minorHAnsi" w:cstheme="minorBidi"/>
          <w:sz w:val="22"/>
          <w:szCs w:val="22"/>
          <w:lang w:eastAsia="en-US"/>
        </w:rPr>
      </w:pPr>
      <w:r>
        <w:rPr>
          <w:rFonts w:ascii="Arial Bold" w:hAnsi="Arial Bold"/>
          <w:spacing w:val="-1"/>
        </w:rPr>
        <w:lastRenderedPageBreak/>
        <w:t>Table </w:t>
      </w:r>
      <w:r w:rsidR="00D8138E" w:rsidRPr="00EA746C">
        <w:rPr>
          <w:rFonts w:ascii="Arial Bold" w:hAnsi="Arial Bold"/>
          <w:spacing w:val="-1"/>
        </w:rPr>
        <w:t>1</w:t>
      </w:r>
      <w:r w:rsidR="00603DAA">
        <w:rPr>
          <w:rFonts w:ascii="Arial Bold" w:hAnsi="Arial Bold"/>
          <w:spacing w:val="-1"/>
        </w:rPr>
        <w:t>0</w:t>
      </w:r>
      <w:r w:rsidR="00D8138E" w:rsidRPr="00EA746C">
        <w:rPr>
          <w:rFonts w:ascii="Arial Bold" w:hAnsi="Arial Bold"/>
          <w:spacing w:val="-1"/>
        </w:rPr>
        <w:t>.8: Australian Government total non</w:t>
      </w:r>
      <w:r w:rsidR="00325E1E">
        <w:rPr>
          <w:rFonts w:ascii="Arial Bold" w:hAnsi="Arial Bold"/>
          <w:spacing w:val="-1"/>
        </w:rPr>
        <w:noBreakHyphen/>
      </w:r>
      <w:r w:rsidR="00D8138E" w:rsidRPr="00EA746C">
        <w:rPr>
          <w:rFonts w:ascii="Arial Bold" w:hAnsi="Arial Bold"/>
          <w:spacing w:val="-1"/>
        </w:rPr>
        <w:t>financial public sector balance shee</w:t>
      </w:r>
      <w:r w:rsidR="00D8138E">
        <w:rPr>
          <w:rFonts w:ascii="Arial Bold" w:hAnsi="Arial Bold"/>
          <w:spacing w:val="-1"/>
        </w:rPr>
        <w:t>t</w:t>
      </w:r>
    </w:p>
    <w:tbl>
      <w:tblPr>
        <w:tblW w:w="5000" w:type="pct"/>
        <w:tblLook w:val="04A0" w:firstRow="1" w:lastRow="0" w:firstColumn="1" w:lastColumn="0" w:noHBand="0" w:noVBand="1"/>
      </w:tblPr>
      <w:tblGrid>
        <w:gridCol w:w="5500"/>
        <w:gridCol w:w="1105"/>
        <w:gridCol w:w="1105"/>
      </w:tblGrid>
      <w:tr w:rsidR="00AC3389" w:rsidRPr="00AC3389" w14:paraId="1B5E03B1" w14:textId="77777777" w:rsidTr="00303D1F">
        <w:trPr>
          <w:trHeight w:val="225"/>
        </w:trPr>
        <w:tc>
          <w:tcPr>
            <w:tcW w:w="5500" w:type="dxa"/>
            <w:tcBorders>
              <w:top w:val="single" w:sz="4" w:space="0" w:color="293F5B"/>
              <w:left w:val="nil"/>
              <w:bottom w:val="nil"/>
              <w:right w:val="nil"/>
            </w:tcBorders>
            <w:shd w:val="clear" w:color="000000" w:fill="FFFFFF"/>
            <w:noWrap/>
            <w:vAlign w:val="center"/>
            <w:hideMark/>
          </w:tcPr>
          <w:p w14:paraId="691BB23F" w14:textId="77777777" w:rsidR="00AC3389" w:rsidRPr="00AC3389" w:rsidRDefault="00AC3389" w:rsidP="00694E07">
            <w:pPr>
              <w:pStyle w:val="TableTextLeft"/>
            </w:pPr>
            <w:r w:rsidRPr="00AC3389">
              <w:t> </w:t>
            </w:r>
          </w:p>
        </w:tc>
        <w:tc>
          <w:tcPr>
            <w:tcW w:w="2210" w:type="dxa"/>
            <w:gridSpan w:val="2"/>
            <w:tcBorders>
              <w:top w:val="single" w:sz="4" w:space="0" w:color="293F5B"/>
              <w:left w:val="nil"/>
              <w:bottom w:val="single" w:sz="4" w:space="0" w:color="293F5B"/>
              <w:right w:val="nil"/>
            </w:tcBorders>
            <w:shd w:val="clear" w:color="000000" w:fill="FFFFFF"/>
            <w:noWrap/>
            <w:vAlign w:val="center"/>
            <w:hideMark/>
          </w:tcPr>
          <w:p w14:paraId="0B32150B" w14:textId="6C8D98B4" w:rsidR="00AC3389" w:rsidRPr="00AC3389" w:rsidRDefault="00FE46DB" w:rsidP="00FE46DB">
            <w:pPr>
              <w:pStyle w:val="TableTextCentred"/>
            </w:pPr>
            <w:r w:rsidRPr="00AC3389">
              <w:t>Estimates </w:t>
            </w:r>
          </w:p>
        </w:tc>
      </w:tr>
      <w:tr w:rsidR="00AC3389" w:rsidRPr="00AC3389" w14:paraId="5ABC007B" w14:textId="77777777" w:rsidTr="00FE46DB">
        <w:trPr>
          <w:trHeight w:val="225"/>
        </w:trPr>
        <w:tc>
          <w:tcPr>
            <w:tcW w:w="5500" w:type="dxa"/>
            <w:tcBorders>
              <w:top w:val="nil"/>
              <w:left w:val="nil"/>
              <w:bottom w:val="nil"/>
              <w:right w:val="nil"/>
            </w:tcBorders>
            <w:shd w:val="clear" w:color="000000" w:fill="FFFFFF"/>
            <w:noWrap/>
            <w:vAlign w:val="center"/>
            <w:hideMark/>
          </w:tcPr>
          <w:p w14:paraId="00C055BA" w14:textId="77777777" w:rsidR="00AC3389" w:rsidRPr="00AC3389" w:rsidRDefault="00AC3389" w:rsidP="00694E07">
            <w:pPr>
              <w:pStyle w:val="TableTextLeft"/>
            </w:pPr>
            <w:r w:rsidRPr="00AC3389">
              <w:t> </w:t>
            </w:r>
          </w:p>
        </w:tc>
        <w:tc>
          <w:tcPr>
            <w:tcW w:w="1105" w:type="dxa"/>
            <w:tcBorders>
              <w:top w:val="nil"/>
              <w:left w:val="nil"/>
              <w:bottom w:val="nil"/>
              <w:right w:val="nil"/>
            </w:tcBorders>
            <w:shd w:val="clear" w:color="000000" w:fill="FFFFFF"/>
            <w:noWrap/>
            <w:vAlign w:val="center"/>
            <w:hideMark/>
          </w:tcPr>
          <w:p w14:paraId="6DA56B6D" w14:textId="449AA958" w:rsidR="00AC3389" w:rsidRPr="00AC3389" w:rsidRDefault="00AC3389" w:rsidP="00FE46DB">
            <w:pPr>
              <w:pStyle w:val="TableTextRight"/>
            </w:pPr>
            <w:r w:rsidRPr="00AC3389">
              <w:t>2023</w:t>
            </w:r>
            <w:r w:rsidR="00325E1E">
              <w:noBreakHyphen/>
            </w:r>
            <w:r w:rsidRPr="00AC3389">
              <w:t>24</w:t>
            </w:r>
          </w:p>
        </w:tc>
        <w:tc>
          <w:tcPr>
            <w:tcW w:w="1105" w:type="dxa"/>
            <w:tcBorders>
              <w:top w:val="nil"/>
              <w:left w:val="nil"/>
              <w:bottom w:val="nil"/>
              <w:right w:val="nil"/>
            </w:tcBorders>
            <w:shd w:val="clear" w:color="000000" w:fill="E6F2FF"/>
            <w:noWrap/>
            <w:vAlign w:val="center"/>
            <w:hideMark/>
          </w:tcPr>
          <w:p w14:paraId="7E1730E7" w14:textId="72BADD6C" w:rsidR="00AC3389" w:rsidRPr="00AC3389" w:rsidRDefault="00AC3389" w:rsidP="00FE46DB">
            <w:pPr>
              <w:pStyle w:val="TableTextRight"/>
            </w:pPr>
            <w:r w:rsidRPr="00AC3389">
              <w:t>2024</w:t>
            </w:r>
            <w:r w:rsidR="00325E1E">
              <w:noBreakHyphen/>
            </w:r>
            <w:r w:rsidRPr="00AC3389">
              <w:t>25</w:t>
            </w:r>
          </w:p>
        </w:tc>
      </w:tr>
      <w:tr w:rsidR="00AC3389" w:rsidRPr="00AC3389" w14:paraId="65DD820D" w14:textId="77777777" w:rsidTr="00FE46DB">
        <w:trPr>
          <w:trHeight w:val="225"/>
        </w:trPr>
        <w:tc>
          <w:tcPr>
            <w:tcW w:w="5500" w:type="dxa"/>
            <w:tcBorders>
              <w:top w:val="nil"/>
              <w:left w:val="nil"/>
              <w:bottom w:val="nil"/>
              <w:right w:val="nil"/>
            </w:tcBorders>
            <w:shd w:val="clear" w:color="000000" w:fill="FFFFFF"/>
            <w:noWrap/>
            <w:vAlign w:val="center"/>
            <w:hideMark/>
          </w:tcPr>
          <w:p w14:paraId="796B648B" w14:textId="77777777" w:rsidR="00AC3389" w:rsidRPr="00AC3389" w:rsidRDefault="00AC3389" w:rsidP="00694E07">
            <w:pPr>
              <w:pStyle w:val="TableTextLeft"/>
            </w:pPr>
            <w:r w:rsidRPr="00AC3389">
              <w:t> </w:t>
            </w:r>
          </w:p>
        </w:tc>
        <w:tc>
          <w:tcPr>
            <w:tcW w:w="1105" w:type="dxa"/>
            <w:tcBorders>
              <w:top w:val="nil"/>
              <w:left w:val="nil"/>
              <w:bottom w:val="single" w:sz="4" w:space="0" w:color="293F5B"/>
              <w:right w:val="nil"/>
            </w:tcBorders>
            <w:shd w:val="clear" w:color="000000" w:fill="FFFFFF"/>
            <w:noWrap/>
            <w:vAlign w:val="center"/>
            <w:hideMark/>
          </w:tcPr>
          <w:p w14:paraId="27FD1DFC" w14:textId="77777777" w:rsidR="00AC3389" w:rsidRPr="00AC3389" w:rsidRDefault="00AC3389" w:rsidP="00FE46DB">
            <w:pPr>
              <w:pStyle w:val="TableTextRight"/>
            </w:pPr>
            <w:r w:rsidRPr="00AC3389">
              <w:t>$m</w:t>
            </w:r>
          </w:p>
        </w:tc>
        <w:tc>
          <w:tcPr>
            <w:tcW w:w="1105" w:type="dxa"/>
            <w:tcBorders>
              <w:top w:val="nil"/>
              <w:left w:val="nil"/>
              <w:bottom w:val="single" w:sz="4" w:space="0" w:color="293F5B"/>
              <w:right w:val="nil"/>
            </w:tcBorders>
            <w:shd w:val="clear" w:color="000000" w:fill="E6F2FF"/>
            <w:noWrap/>
            <w:vAlign w:val="center"/>
            <w:hideMark/>
          </w:tcPr>
          <w:p w14:paraId="34741F32" w14:textId="77777777" w:rsidR="00AC3389" w:rsidRPr="00AC3389" w:rsidRDefault="00AC3389" w:rsidP="00FE46DB">
            <w:pPr>
              <w:pStyle w:val="TableTextRight"/>
            </w:pPr>
            <w:r w:rsidRPr="00AC3389">
              <w:t>$m</w:t>
            </w:r>
          </w:p>
        </w:tc>
      </w:tr>
      <w:tr w:rsidR="00AC3389" w:rsidRPr="00AC3389" w14:paraId="4D051BA3" w14:textId="77777777" w:rsidTr="00FE46DB">
        <w:trPr>
          <w:trHeight w:val="225"/>
        </w:trPr>
        <w:tc>
          <w:tcPr>
            <w:tcW w:w="5500" w:type="dxa"/>
            <w:tcBorders>
              <w:top w:val="nil"/>
              <w:left w:val="nil"/>
              <w:bottom w:val="nil"/>
              <w:right w:val="nil"/>
            </w:tcBorders>
            <w:shd w:val="clear" w:color="000000" w:fill="FFFFFF"/>
            <w:noWrap/>
            <w:vAlign w:val="center"/>
            <w:hideMark/>
          </w:tcPr>
          <w:p w14:paraId="7DD31219" w14:textId="77777777" w:rsidR="00AC3389" w:rsidRPr="00AC3389" w:rsidRDefault="00AC3389" w:rsidP="00694E07">
            <w:pPr>
              <w:pStyle w:val="TableTextLeft"/>
              <w:rPr>
                <w:b/>
              </w:rPr>
            </w:pPr>
            <w:r w:rsidRPr="00AC3389">
              <w:rPr>
                <w:b/>
              </w:rPr>
              <w:t>Assets</w:t>
            </w:r>
          </w:p>
        </w:tc>
        <w:tc>
          <w:tcPr>
            <w:tcW w:w="1105" w:type="dxa"/>
            <w:tcBorders>
              <w:top w:val="nil"/>
              <w:left w:val="nil"/>
              <w:bottom w:val="nil"/>
              <w:right w:val="nil"/>
            </w:tcBorders>
            <w:shd w:val="clear" w:color="000000" w:fill="FFFFFF"/>
            <w:noWrap/>
            <w:vAlign w:val="center"/>
            <w:hideMark/>
          </w:tcPr>
          <w:p w14:paraId="256A4012"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7828B718" w14:textId="77777777" w:rsidR="00AC3389" w:rsidRPr="00AC3389" w:rsidRDefault="00AC3389" w:rsidP="00FE46DB">
            <w:pPr>
              <w:pStyle w:val="TableTextRight"/>
            </w:pPr>
            <w:r w:rsidRPr="00AC3389">
              <w:t> </w:t>
            </w:r>
          </w:p>
        </w:tc>
      </w:tr>
      <w:tr w:rsidR="00AC3389" w:rsidRPr="00AC3389" w14:paraId="514CCDC8" w14:textId="77777777" w:rsidTr="00FE46DB">
        <w:trPr>
          <w:trHeight w:val="225"/>
        </w:trPr>
        <w:tc>
          <w:tcPr>
            <w:tcW w:w="5500" w:type="dxa"/>
            <w:tcBorders>
              <w:top w:val="nil"/>
              <w:left w:val="nil"/>
              <w:bottom w:val="nil"/>
              <w:right w:val="nil"/>
            </w:tcBorders>
            <w:shd w:val="clear" w:color="000000" w:fill="FFFFFF"/>
            <w:noWrap/>
            <w:vAlign w:val="center"/>
            <w:hideMark/>
          </w:tcPr>
          <w:p w14:paraId="5802293C" w14:textId="77777777" w:rsidR="00AC3389" w:rsidRPr="00AC3389" w:rsidRDefault="00AC3389" w:rsidP="00694E07">
            <w:pPr>
              <w:pStyle w:val="TableTextLeft"/>
            </w:pPr>
            <w:r w:rsidRPr="00AC3389">
              <w:t>Financial assets</w:t>
            </w:r>
          </w:p>
        </w:tc>
        <w:tc>
          <w:tcPr>
            <w:tcW w:w="1105" w:type="dxa"/>
            <w:tcBorders>
              <w:top w:val="nil"/>
              <w:left w:val="nil"/>
              <w:bottom w:val="nil"/>
              <w:right w:val="nil"/>
            </w:tcBorders>
            <w:shd w:val="clear" w:color="000000" w:fill="FFFFFF"/>
            <w:noWrap/>
            <w:vAlign w:val="center"/>
            <w:hideMark/>
          </w:tcPr>
          <w:p w14:paraId="65F4C7A6"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7A9C17DF" w14:textId="77777777" w:rsidR="00AC3389" w:rsidRPr="00AC3389" w:rsidRDefault="00AC3389" w:rsidP="00FE46DB">
            <w:pPr>
              <w:pStyle w:val="TableTextRight"/>
            </w:pPr>
            <w:r w:rsidRPr="00AC3389">
              <w:t> </w:t>
            </w:r>
          </w:p>
        </w:tc>
      </w:tr>
      <w:tr w:rsidR="00423AC5" w:rsidRPr="00AC3389" w14:paraId="0B973ADF" w14:textId="77777777" w:rsidTr="00FE46DB">
        <w:trPr>
          <w:trHeight w:val="225"/>
        </w:trPr>
        <w:tc>
          <w:tcPr>
            <w:tcW w:w="5500" w:type="dxa"/>
            <w:tcBorders>
              <w:top w:val="nil"/>
              <w:left w:val="nil"/>
              <w:bottom w:val="nil"/>
              <w:right w:val="nil"/>
            </w:tcBorders>
            <w:shd w:val="clear" w:color="000000" w:fill="FFFFFF"/>
            <w:noWrap/>
            <w:vAlign w:val="center"/>
            <w:hideMark/>
          </w:tcPr>
          <w:p w14:paraId="0A7F5098" w14:textId="77777777" w:rsidR="00423AC5" w:rsidRPr="005814CF" w:rsidRDefault="00423AC5" w:rsidP="00423AC5">
            <w:pPr>
              <w:spacing w:before="0" w:after="0" w:line="240" w:lineRule="auto"/>
              <w:ind w:firstLineChars="100" w:firstLine="160"/>
              <w:rPr>
                <w:rFonts w:ascii="Arial" w:hAnsi="Arial" w:cs="Arial"/>
                <w:sz w:val="16"/>
                <w:szCs w:val="16"/>
              </w:rPr>
            </w:pPr>
            <w:r w:rsidRPr="005814CF">
              <w:rPr>
                <w:rFonts w:ascii="Arial" w:hAnsi="Arial" w:cs="Arial"/>
                <w:sz w:val="16"/>
                <w:szCs w:val="16"/>
              </w:rPr>
              <w:t>Cash and deposits</w:t>
            </w:r>
          </w:p>
        </w:tc>
        <w:tc>
          <w:tcPr>
            <w:tcW w:w="1105" w:type="dxa"/>
            <w:tcBorders>
              <w:top w:val="nil"/>
              <w:left w:val="nil"/>
              <w:bottom w:val="nil"/>
              <w:right w:val="nil"/>
            </w:tcBorders>
            <w:shd w:val="clear" w:color="000000" w:fill="FFFFFF"/>
            <w:noWrap/>
            <w:vAlign w:val="center"/>
            <w:hideMark/>
          </w:tcPr>
          <w:p w14:paraId="51439003" w14:textId="231D4858" w:rsidR="00423AC5" w:rsidRPr="00AC3389" w:rsidRDefault="00423AC5" w:rsidP="00FE46DB">
            <w:pPr>
              <w:pStyle w:val="TableTextRight"/>
            </w:pPr>
            <w:r>
              <w:t>90,646</w:t>
            </w:r>
          </w:p>
        </w:tc>
        <w:tc>
          <w:tcPr>
            <w:tcW w:w="1105" w:type="dxa"/>
            <w:tcBorders>
              <w:top w:val="nil"/>
              <w:left w:val="nil"/>
              <w:bottom w:val="nil"/>
              <w:right w:val="nil"/>
            </w:tcBorders>
            <w:shd w:val="clear" w:color="000000" w:fill="E6F2FF"/>
            <w:noWrap/>
            <w:vAlign w:val="center"/>
            <w:hideMark/>
          </w:tcPr>
          <w:p w14:paraId="27F8B728" w14:textId="35B2CB30" w:rsidR="00423AC5" w:rsidRPr="00AC3389" w:rsidRDefault="00423AC5" w:rsidP="00FE46DB">
            <w:pPr>
              <w:pStyle w:val="TableTextRight"/>
            </w:pPr>
            <w:r>
              <w:t>63,530</w:t>
            </w:r>
          </w:p>
        </w:tc>
      </w:tr>
      <w:tr w:rsidR="00423AC5" w:rsidRPr="00AC3389" w14:paraId="05577E99" w14:textId="77777777" w:rsidTr="00FE46DB">
        <w:trPr>
          <w:trHeight w:val="225"/>
        </w:trPr>
        <w:tc>
          <w:tcPr>
            <w:tcW w:w="5500" w:type="dxa"/>
            <w:tcBorders>
              <w:top w:val="nil"/>
              <w:left w:val="nil"/>
              <w:bottom w:val="nil"/>
              <w:right w:val="nil"/>
            </w:tcBorders>
            <w:shd w:val="clear" w:color="000000" w:fill="FFFFFF"/>
            <w:noWrap/>
            <w:vAlign w:val="center"/>
            <w:hideMark/>
          </w:tcPr>
          <w:p w14:paraId="43BA3F79" w14:textId="77777777" w:rsidR="00423AC5" w:rsidRPr="005814CF" w:rsidRDefault="00423AC5" w:rsidP="00423AC5">
            <w:pPr>
              <w:spacing w:before="0" w:after="0" w:line="240" w:lineRule="auto"/>
              <w:ind w:firstLineChars="100" w:firstLine="160"/>
              <w:rPr>
                <w:rFonts w:ascii="Arial" w:hAnsi="Arial" w:cs="Arial"/>
                <w:sz w:val="16"/>
                <w:szCs w:val="16"/>
              </w:rPr>
            </w:pPr>
            <w:r w:rsidRPr="005814CF">
              <w:rPr>
                <w:rFonts w:ascii="Arial" w:hAnsi="Arial" w:cs="Arial"/>
                <w:sz w:val="16"/>
                <w:szCs w:val="16"/>
              </w:rPr>
              <w:t>Advances paid</w:t>
            </w:r>
          </w:p>
        </w:tc>
        <w:tc>
          <w:tcPr>
            <w:tcW w:w="1105" w:type="dxa"/>
            <w:tcBorders>
              <w:top w:val="nil"/>
              <w:left w:val="nil"/>
              <w:bottom w:val="nil"/>
              <w:right w:val="nil"/>
            </w:tcBorders>
            <w:shd w:val="clear" w:color="000000" w:fill="FFFFFF"/>
            <w:noWrap/>
            <w:vAlign w:val="center"/>
            <w:hideMark/>
          </w:tcPr>
          <w:p w14:paraId="5B21E337" w14:textId="0736AF02" w:rsidR="00423AC5" w:rsidRPr="00AC3389" w:rsidRDefault="00423AC5" w:rsidP="00FE46DB">
            <w:pPr>
              <w:pStyle w:val="TableTextRight"/>
            </w:pPr>
            <w:r>
              <w:t>67,240</w:t>
            </w:r>
          </w:p>
        </w:tc>
        <w:tc>
          <w:tcPr>
            <w:tcW w:w="1105" w:type="dxa"/>
            <w:tcBorders>
              <w:top w:val="nil"/>
              <w:left w:val="nil"/>
              <w:bottom w:val="nil"/>
              <w:right w:val="nil"/>
            </w:tcBorders>
            <w:shd w:val="clear" w:color="000000" w:fill="E6F2FF"/>
            <w:noWrap/>
            <w:vAlign w:val="center"/>
            <w:hideMark/>
          </w:tcPr>
          <w:p w14:paraId="3E16A227" w14:textId="7449A215" w:rsidR="00423AC5" w:rsidRPr="00AC3389" w:rsidRDefault="00423AC5" w:rsidP="00FE46DB">
            <w:pPr>
              <w:pStyle w:val="TableTextRight"/>
            </w:pPr>
            <w:r>
              <w:t>72,664</w:t>
            </w:r>
          </w:p>
        </w:tc>
      </w:tr>
      <w:tr w:rsidR="00423AC5" w:rsidRPr="00AC3389" w14:paraId="44EBD348" w14:textId="77777777" w:rsidTr="00FE46DB">
        <w:trPr>
          <w:trHeight w:val="225"/>
        </w:trPr>
        <w:tc>
          <w:tcPr>
            <w:tcW w:w="5500" w:type="dxa"/>
            <w:tcBorders>
              <w:top w:val="nil"/>
              <w:left w:val="nil"/>
              <w:bottom w:val="nil"/>
              <w:right w:val="nil"/>
            </w:tcBorders>
            <w:shd w:val="clear" w:color="000000" w:fill="FFFFFF"/>
            <w:noWrap/>
            <w:vAlign w:val="center"/>
            <w:hideMark/>
          </w:tcPr>
          <w:p w14:paraId="08A0718D" w14:textId="77777777" w:rsidR="00423AC5" w:rsidRPr="005814CF" w:rsidRDefault="00423AC5" w:rsidP="00423AC5">
            <w:pPr>
              <w:spacing w:before="0" w:after="0" w:line="240" w:lineRule="auto"/>
              <w:ind w:firstLineChars="100" w:firstLine="160"/>
              <w:rPr>
                <w:rFonts w:ascii="Arial" w:hAnsi="Arial" w:cs="Arial"/>
                <w:sz w:val="16"/>
                <w:szCs w:val="16"/>
              </w:rPr>
            </w:pPr>
            <w:r w:rsidRPr="005814CF">
              <w:rPr>
                <w:rFonts w:ascii="Arial" w:hAnsi="Arial" w:cs="Arial"/>
                <w:sz w:val="16"/>
                <w:szCs w:val="16"/>
              </w:rPr>
              <w:t>Investments, loans and placements</w:t>
            </w:r>
          </w:p>
        </w:tc>
        <w:tc>
          <w:tcPr>
            <w:tcW w:w="1105" w:type="dxa"/>
            <w:tcBorders>
              <w:top w:val="nil"/>
              <w:left w:val="nil"/>
              <w:bottom w:val="nil"/>
              <w:right w:val="nil"/>
            </w:tcBorders>
            <w:shd w:val="clear" w:color="000000" w:fill="FFFFFF"/>
            <w:noWrap/>
            <w:vAlign w:val="center"/>
            <w:hideMark/>
          </w:tcPr>
          <w:p w14:paraId="0E30EA05" w14:textId="5A26CBD6" w:rsidR="00423AC5" w:rsidRPr="00AC3389" w:rsidRDefault="00423AC5" w:rsidP="00FE46DB">
            <w:pPr>
              <w:pStyle w:val="TableTextRight"/>
            </w:pPr>
            <w:r>
              <w:t>243,235</w:t>
            </w:r>
          </w:p>
        </w:tc>
        <w:tc>
          <w:tcPr>
            <w:tcW w:w="1105" w:type="dxa"/>
            <w:tcBorders>
              <w:top w:val="nil"/>
              <w:left w:val="nil"/>
              <w:bottom w:val="nil"/>
              <w:right w:val="nil"/>
            </w:tcBorders>
            <w:shd w:val="clear" w:color="000000" w:fill="E6F2FF"/>
            <w:noWrap/>
            <w:vAlign w:val="center"/>
            <w:hideMark/>
          </w:tcPr>
          <w:p w14:paraId="058E7359" w14:textId="096B281F" w:rsidR="00423AC5" w:rsidRPr="00AC3389" w:rsidRDefault="00423AC5" w:rsidP="00FE46DB">
            <w:pPr>
              <w:pStyle w:val="TableTextRight"/>
            </w:pPr>
            <w:r>
              <w:t>250,717</w:t>
            </w:r>
          </w:p>
        </w:tc>
      </w:tr>
      <w:tr w:rsidR="00423AC5" w:rsidRPr="00AC3389" w14:paraId="09F8D3E0" w14:textId="77777777" w:rsidTr="00FE46DB">
        <w:trPr>
          <w:trHeight w:val="225"/>
        </w:trPr>
        <w:tc>
          <w:tcPr>
            <w:tcW w:w="5500" w:type="dxa"/>
            <w:tcBorders>
              <w:top w:val="nil"/>
              <w:left w:val="nil"/>
              <w:bottom w:val="nil"/>
              <w:right w:val="nil"/>
            </w:tcBorders>
            <w:shd w:val="clear" w:color="000000" w:fill="FFFFFF"/>
            <w:noWrap/>
            <w:vAlign w:val="center"/>
            <w:hideMark/>
          </w:tcPr>
          <w:p w14:paraId="2615429B" w14:textId="77777777" w:rsidR="00423AC5" w:rsidRPr="005814CF" w:rsidRDefault="00423AC5" w:rsidP="00423AC5">
            <w:pPr>
              <w:spacing w:before="0" w:after="0" w:line="240" w:lineRule="auto"/>
              <w:ind w:firstLineChars="100" w:firstLine="160"/>
              <w:rPr>
                <w:rFonts w:ascii="Arial" w:hAnsi="Arial" w:cs="Arial"/>
                <w:sz w:val="16"/>
                <w:szCs w:val="16"/>
              </w:rPr>
            </w:pPr>
            <w:r w:rsidRPr="005814CF">
              <w:rPr>
                <w:rFonts w:ascii="Arial" w:hAnsi="Arial" w:cs="Arial"/>
                <w:sz w:val="16"/>
                <w:szCs w:val="16"/>
              </w:rPr>
              <w:t>Other receivables</w:t>
            </w:r>
          </w:p>
        </w:tc>
        <w:tc>
          <w:tcPr>
            <w:tcW w:w="1105" w:type="dxa"/>
            <w:tcBorders>
              <w:top w:val="nil"/>
              <w:left w:val="nil"/>
              <w:bottom w:val="nil"/>
              <w:right w:val="nil"/>
            </w:tcBorders>
            <w:shd w:val="clear" w:color="000000" w:fill="FFFFFF"/>
            <w:noWrap/>
            <w:vAlign w:val="center"/>
            <w:hideMark/>
          </w:tcPr>
          <w:p w14:paraId="18A8F8CC" w14:textId="5B4ABA30" w:rsidR="00423AC5" w:rsidRPr="00AC3389" w:rsidRDefault="00423AC5" w:rsidP="00FE46DB">
            <w:pPr>
              <w:pStyle w:val="TableTextRight"/>
            </w:pPr>
            <w:r>
              <w:t>84,198</w:t>
            </w:r>
          </w:p>
        </w:tc>
        <w:tc>
          <w:tcPr>
            <w:tcW w:w="1105" w:type="dxa"/>
            <w:tcBorders>
              <w:top w:val="nil"/>
              <w:left w:val="nil"/>
              <w:bottom w:val="nil"/>
              <w:right w:val="nil"/>
            </w:tcBorders>
            <w:shd w:val="clear" w:color="000000" w:fill="E6F2FF"/>
            <w:noWrap/>
            <w:vAlign w:val="center"/>
            <w:hideMark/>
          </w:tcPr>
          <w:p w14:paraId="255D5E56" w14:textId="0AD434E6" w:rsidR="00423AC5" w:rsidRPr="00AC3389" w:rsidRDefault="00423AC5" w:rsidP="00FE46DB">
            <w:pPr>
              <w:pStyle w:val="TableTextRight"/>
            </w:pPr>
            <w:r>
              <w:t>89,475</w:t>
            </w:r>
          </w:p>
        </w:tc>
      </w:tr>
      <w:tr w:rsidR="00423AC5" w:rsidRPr="00AC3389" w14:paraId="0B785DF1" w14:textId="77777777" w:rsidTr="00FE46DB">
        <w:trPr>
          <w:trHeight w:val="225"/>
        </w:trPr>
        <w:tc>
          <w:tcPr>
            <w:tcW w:w="5500" w:type="dxa"/>
            <w:tcBorders>
              <w:top w:val="nil"/>
              <w:left w:val="nil"/>
              <w:bottom w:val="nil"/>
              <w:right w:val="nil"/>
            </w:tcBorders>
            <w:shd w:val="clear" w:color="000000" w:fill="FFFFFF"/>
            <w:noWrap/>
            <w:vAlign w:val="center"/>
            <w:hideMark/>
          </w:tcPr>
          <w:p w14:paraId="29E4E88E" w14:textId="77777777" w:rsidR="00423AC5" w:rsidRPr="005814CF" w:rsidRDefault="00423AC5" w:rsidP="00423AC5">
            <w:pPr>
              <w:spacing w:before="0" w:after="0" w:line="240" w:lineRule="auto"/>
              <w:ind w:firstLineChars="100" w:firstLine="160"/>
              <w:rPr>
                <w:rFonts w:ascii="Arial" w:hAnsi="Arial" w:cs="Arial"/>
                <w:sz w:val="16"/>
                <w:szCs w:val="16"/>
              </w:rPr>
            </w:pPr>
            <w:r w:rsidRPr="005814CF">
              <w:rPr>
                <w:rFonts w:ascii="Arial" w:hAnsi="Arial" w:cs="Arial"/>
                <w:sz w:val="16"/>
                <w:szCs w:val="16"/>
              </w:rPr>
              <w:t>Equity investments</w:t>
            </w:r>
          </w:p>
        </w:tc>
        <w:tc>
          <w:tcPr>
            <w:tcW w:w="1105" w:type="dxa"/>
            <w:tcBorders>
              <w:top w:val="nil"/>
              <w:left w:val="nil"/>
              <w:bottom w:val="nil"/>
              <w:right w:val="nil"/>
            </w:tcBorders>
            <w:shd w:val="clear" w:color="000000" w:fill="FFFFFF"/>
            <w:noWrap/>
            <w:vAlign w:val="center"/>
            <w:hideMark/>
          </w:tcPr>
          <w:p w14:paraId="4DBA618F" w14:textId="72CCF4FD" w:rsidR="00423AC5" w:rsidRPr="00AC3389" w:rsidRDefault="00423AC5" w:rsidP="00FE46DB">
            <w:pPr>
              <w:pStyle w:val="TableTextRight"/>
            </w:pPr>
            <w:r>
              <w:t>93,415</w:t>
            </w:r>
          </w:p>
        </w:tc>
        <w:tc>
          <w:tcPr>
            <w:tcW w:w="1105" w:type="dxa"/>
            <w:tcBorders>
              <w:top w:val="nil"/>
              <w:left w:val="nil"/>
              <w:bottom w:val="nil"/>
              <w:right w:val="nil"/>
            </w:tcBorders>
            <w:shd w:val="clear" w:color="000000" w:fill="E6F2FF"/>
            <w:noWrap/>
            <w:vAlign w:val="center"/>
            <w:hideMark/>
          </w:tcPr>
          <w:p w14:paraId="023D79DA" w14:textId="09700AE4" w:rsidR="00423AC5" w:rsidRPr="00AC3389" w:rsidRDefault="00423AC5" w:rsidP="00FE46DB">
            <w:pPr>
              <w:pStyle w:val="TableTextRight"/>
            </w:pPr>
            <w:r>
              <w:t>100,281</w:t>
            </w:r>
          </w:p>
        </w:tc>
      </w:tr>
      <w:tr w:rsidR="00423AC5" w:rsidRPr="00AC3389" w14:paraId="0F769EF8" w14:textId="77777777" w:rsidTr="00FE46DB">
        <w:trPr>
          <w:trHeight w:val="225"/>
        </w:trPr>
        <w:tc>
          <w:tcPr>
            <w:tcW w:w="5500" w:type="dxa"/>
            <w:tcBorders>
              <w:top w:val="nil"/>
              <w:left w:val="nil"/>
              <w:bottom w:val="nil"/>
              <w:right w:val="nil"/>
            </w:tcBorders>
            <w:shd w:val="clear" w:color="000000" w:fill="FFFFFF"/>
            <w:noWrap/>
            <w:vAlign w:val="center"/>
            <w:hideMark/>
          </w:tcPr>
          <w:p w14:paraId="23B88D71" w14:textId="77777777" w:rsidR="00423AC5" w:rsidRPr="00AC3389" w:rsidRDefault="00423AC5" w:rsidP="00694E07">
            <w:pPr>
              <w:pStyle w:val="TableTextLeft"/>
              <w:rPr>
                <w:i/>
              </w:rPr>
            </w:pPr>
            <w:r w:rsidRPr="00AC3389">
              <w:rPr>
                <w:i/>
              </w:rPr>
              <w:t>Total financial assets</w:t>
            </w:r>
          </w:p>
        </w:tc>
        <w:tc>
          <w:tcPr>
            <w:tcW w:w="1105" w:type="dxa"/>
            <w:tcBorders>
              <w:top w:val="nil"/>
              <w:left w:val="nil"/>
              <w:bottom w:val="nil"/>
              <w:right w:val="nil"/>
            </w:tcBorders>
            <w:shd w:val="clear" w:color="000000" w:fill="FFFFFF"/>
            <w:noWrap/>
            <w:vAlign w:val="center"/>
            <w:hideMark/>
          </w:tcPr>
          <w:p w14:paraId="7A16FCEF" w14:textId="064D636F" w:rsidR="00423AC5" w:rsidRPr="00AC3389" w:rsidRDefault="00423AC5" w:rsidP="00FE46DB">
            <w:pPr>
              <w:pStyle w:val="TableTextRight"/>
              <w:rPr>
                <w:i/>
              </w:rPr>
            </w:pPr>
            <w:r>
              <w:rPr>
                <w:i/>
              </w:rPr>
              <w:t>578,734</w:t>
            </w:r>
          </w:p>
        </w:tc>
        <w:tc>
          <w:tcPr>
            <w:tcW w:w="1105" w:type="dxa"/>
            <w:tcBorders>
              <w:top w:val="nil"/>
              <w:left w:val="nil"/>
              <w:bottom w:val="nil"/>
              <w:right w:val="nil"/>
            </w:tcBorders>
            <w:shd w:val="clear" w:color="000000" w:fill="E6F2FF"/>
            <w:noWrap/>
            <w:vAlign w:val="center"/>
            <w:hideMark/>
          </w:tcPr>
          <w:p w14:paraId="5EF2460F" w14:textId="42453AE5" w:rsidR="00423AC5" w:rsidRPr="00AC3389" w:rsidRDefault="00423AC5" w:rsidP="00FE46DB">
            <w:pPr>
              <w:pStyle w:val="TableTextRight"/>
              <w:rPr>
                <w:i/>
              </w:rPr>
            </w:pPr>
            <w:r>
              <w:rPr>
                <w:i/>
              </w:rPr>
              <w:t>576,667</w:t>
            </w:r>
          </w:p>
        </w:tc>
      </w:tr>
      <w:tr w:rsidR="00AC3389" w:rsidRPr="00AC3389" w14:paraId="1D5160B8" w14:textId="77777777" w:rsidTr="00FE46DB">
        <w:trPr>
          <w:trHeight w:val="225"/>
        </w:trPr>
        <w:tc>
          <w:tcPr>
            <w:tcW w:w="5500" w:type="dxa"/>
            <w:tcBorders>
              <w:top w:val="nil"/>
              <w:left w:val="nil"/>
              <w:bottom w:val="nil"/>
              <w:right w:val="nil"/>
            </w:tcBorders>
            <w:shd w:val="clear" w:color="000000" w:fill="FFFFFF"/>
            <w:noWrap/>
            <w:vAlign w:val="center"/>
            <w:hideMark/>
          </w:tcPr>
          <w:p w14:paraId="54BD4AB0" w14:textId="3516C382" w:rsidR="00AC3389" w:rsidRPr="00AC3389" w:rsidRDefault="00AC3389" w:rsidP="00694E07">
            <w:pPr>
              <w:pStyle w:val="TableTextLeft"/>
            </w:pPr>
            <w:r w:rsidRPr="00AC3389">
              <w:t>Non</w:t>
            </w:r>
            <w:r w:rsidR="00325E1E">
              <w:noBreakHyphen/>
            </w:r>
            <w:r w:rsidRPr="00AC3389">
              <w:t>financial assets</w:t>
            </w:r>
          </w:p>
        </w:tc>
        <w:tc>
          <w:tcPr>
            <w:tcW w:w="1105" w:type="dxa"/>
            <w:tcBorders>
              <w:top w:val="nil"/>
              <w:left w:val="nil"/>
              <w:bottom w:val="nil"/>
              <w:right w:val="nil"/>
            </w:tcBorders>
            <w:shd w:val="clear" w:color="000000" w:fill="FFFFFF"/>
            <w:noWrap/>
            <w:vAlign w:val="center"/>
            <w:hideMark/>
          </w:tcPr>
          <w:p w14:paraId="7CE71D6C"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4960B01F" w14:textId="77777777" w:rsidR="00AC3389" w:rsidRPr="00AC3389" w:rsidRDefault="00AC3389" w:rsidP="00FE46DB">
            <w:pPr>
              <w:pStyle w:val="TableTextRight"/>
            </w:pPr>
            <w:r w:rsidRPr="00AC3389">
              <w:t> </w:t>
            </w:r>
          </w:p>
        </w:tc>
      </w:tr>
      <w:tr w:rsidR="00FB5A59" w:rsidRPr="00AC3389" w14:paraId="3B21F214" w14:textId="77777777" w:rsidTr="00FE46DB">
        <w:trPr>
          <w:trHeight w:val="225"/>
        </w:trPr>
        <w:tc>
          <w:tcPr>
            <w:tcW w:w="5500" w:type="dxa"/>
            <w:tcBorders>
              <w:top w:val="nil"/>
              <w:left w:val="nil"/>
              <w:bottom w:val="nil"/>
              <w:right w:val="nil"/>
            </w:tcBorders>
            <w:shd w:val="clear" w:color="000000" w:fill="FFFFFF"/>
            <w:noWrap/>
            <w:vAlign w:val="center"/>
            <w:hideMark/>
          </w:tcPr>
          <w:p w14:paraId="55F822F2"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Land and other fixed assets</w:t>
            </w:r>
          </w:p>
        </w:tc>
        <w:tc>
          <w:tcPr>
            <w:tcW w:w="1105" w:type="dxa"/>
            <w:tcBorders>
              <w:top w:val="nil"/>
              <w:left w:val="nil"/>
              <w:bottom w:val="nil"/>
              <w:right w:val="nil"/>
            </w:tcBorders>
            <w:shd w:val="clear" w:color="000000" w:fill="FFFFFF"/>
            <w:noWrap/>
            <w:vAlign w:val="center"/>
            <w:hideMark/>
          </w:tcPr>
          <w:p w14:paraId="2B618F48" w14:textId="417D65F6" w:rsidR="00FB5A59" w:rsidRPr="00AC3389" w:rsidRDefault="00FB5A59" w:rsidP="00FE46DB">
            <w:pPr>
              <w:pStyle w:val="TableTextRight"/>
            </w:pPr>
            <w:r>
              <w:t>270,781</w:t>
            </w:r>
          </w:p>
        </w:tc>
        <w:tc>
          <w:tcPr>
            <w:tcW w:w="1105" w:type="dxa"/>
            <w:tcBorders>
              <w:top w:val="nil"/>
              <w:left w:val="nil"/>
              <w:bottom w:val="nil"/>
              <w:right w:val="nil"/>
            </w:tcBorders>
            <w:shd w:val="clear" w:color="000000" w:fill="E6F2FF"/>
            <w:noWrap/>
            <w:vAlign w:val="center"/>
            <w:hideMark/>
          </w:tcPr>
          <w:p w14:paraId="58C2902D" w14:textId="39C62EBC" w:rsidR="00FB5A59" w:rsidRPr="00AC3389" w:rsidRDefault="00FB5A59" w:rsidP="00FE46DB">
            <w:pPr>
              <w:pStyle w:val="TableTextRight"/>
            </w:pPr>
            <w:r>
              <w:t>284,126</w:t>
            </w:r>
          </w:p>
        </w:tc>
      </w:tr>
      <w:tr w:rsidR="00FB5A59" w:rsidRPr="00AC3389" w14:paraId="145D3A99" w14:textId="77777777" w:rsidTr="00FE46DB">
        <w:trPr>
          <w:trHeight w:val="225"/>
        </w:trPr>
        <w:tc>
          <w:tcPr>
            <w:tcW w:w="5500" w:type="dxa"/>
            <w:tcBorders>
              <w:top w:val="nil"/>
              <w:left w:val="nil"/>
              <w:bottom w:val="nil"/>
              <w:right w:val="nil"/>
            </w:tcBorders>
            <w:shd w:val="clear" w:color="000000" w:fill="FFFFFF"/>
            <w:noWrap/>
            <w:vAlign w:val="center"/>
            <w:hideMark/>
          </w:tcPr>
          <w:p w14:paraId="2050BA0A" w14:textId="388524EA"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Other non</w:t>
            </w:r>
            <w:r w:rsidR="00325E1E">
              <w:rPr>
                <w:rFonts w:ascii="Arial" w:hAnsi="Arial" w:cs="Arial"/>
                <w:sz w:val="16"/>
                <w:szCs w:val="16"/>
              </w:rPr>
              <w:noBreakHyphen/>
            </w:r>
            <w:r w:rsidRPr="005814CF">
              <w:rPr>
                <w:rFonts w:ascii="Arial" w:hAnsi="Arial" w:cs="Arial"/>
                <w:sz w:val="16"/>
                <w:szCs w:val="16"/>
              </w:rPr>
              <w:t>financial assets</w:t>
            </w:r>
          </w:p>
        </w:tc>
        <w:tc>
          <w:tcPr>
            <w:tcW w:w="1105" w:type="dxa"/>
            <w:tcBorders>
              <w:top w:val="nil"/>
              <w:left w:val="nil"/>
              <w:bottom w:val="nil"/>
              <w:right w:val="nil"/>
            </w:tcBorders>
            <w:shd w:val="clear" w:color="000000" w:fill="FFFFFF"/>
            <w:noWrap/>
            <w:vAlign w:val="center"/>
            <w:hideMark/>
          </w:tcPr>
          <w:p w14:paraId="53FDE421" w14:textId="0BF50FD8" w:rsidR="00FB5A59" w:rsidRPr="00AC3389" w:rsidRDefault="00FB5A59" w:rsidP="00FE46DB">
            <w:pPr>
              <w:pStyle w:val="TableTextRight"/>
            </w:pPr>
            <w:r>
              <w:t>17,028</w:t>
            </w:r>
          </w:p>
        </w:tc>
        <w:tc>
          <w:tcPr>
            <w:tcW w:w="1105" w:type="dxa"/>
            <w:tcBorders>
              <w:top w:val="nil"/>
              <w:left w:val="nil"/>
              <w:bottom w:val="nil"/>
              <w:right w:val="nil"/>
            </w:tcBorders>
            <w:shd w:val="clear" w:color="000000" w:fill="E6F2FF"/>
            <w:noWrap/>
            <w:vAlign w:val="center"/>
            <w:hideMark/>
          </w:tcPr>
          <w:p w14:paraId="4E259F4D" w14:textId="2DC8671B" w:rsidR="00FB5A59" w:rsidRPr="00AC3389" w:rsidRDefault="00FB5A59" w:rsidP="00FE46DB">
            <w:pPr>
              <w:pStyle w:val="TableTextRight"/>
            </w:pPr>
            <w:r>
              <w:t>18,769</w:t>
            </w:r>
          </w:p>
        </w:tc>
      </w:tr>
      <w:tr w:rsidR="00FB5A59" w:rsidRPr="00AC3389" w14:paraId="52DCC7ED" w14:textId="77777777" w:rsidTr="00FE46DB">
        <w:trPr>
          <w:trHeight w:val="225"/>
        </w:trPr>
        <w:tc>
          <w:tcPr>
            <w:tcW w:w="5500" w:type="dxa"/>
            <w:tcBorders>
              <w:top w:val="nil"/>
              <w:left w:val="nil"/>
              <w:bottom w:val="nil"/>
              <w:right w:val="nil"/>
            </w:tcBorders>
            <w:shd w:val="clear" w:color="000000" w:fill="FFFFFF"/>
            <w:noWrap/>
            <w:vAlign w:val="center"/>
            <w:hideMark/>
          </w:tcPr>
          <w:p w14:paraId="579DA917" w14:textId="1F0D0C6A" w:rsidR="00FB5A59" w:rsidRPr="00AC3389" w:rsidRDefault="00FB5A59" w:rsidP="00694E07">
            <w:pPr>
              <w:pStyle w:val="TableTextLeft"/>
              <w:rPr>
                <w:i/>
              </w:rPr>
            </w:pPr>
            <w:r w:rsidRPr="00AC3389">
              <w:rPr>
                <w:i/>
              </w:rPr>
              <w:t>Total non</w:t>
            </w:r>
            <w:r w:rsidR="00325E1E">
              <w:rPr>
                <w:i/>
              </w:rPr>
              <w:noBreakHyphen/>
            </w:r>
            <w:r w:rsidRPr="00AC3389">
              <w:rPr>
                <w:i/>
              </w:rPr>
              <w:t>financial assets</w:t>
            </w:r>
          </w:p>
        </w:tc>
        <w:tc>
          <w:tcPr>
            <w:tcW w:w="1105" w:type="dxa"/>
            <w:tcBorders>
              <w:top w:val="nil"/>
              <w:left w:val="nil"/>
              <w:bottom w:val="nil"/>
              <w:right w:val="nil"/>
            </w:tcBorders>
            <w:shd w:val="clear" w:color="000000" w:fill="FFFFFF"/>
            <w:noWrap/>
            <w:vAlign w:val="center"/>
            <w:hideMark/>
          </w:tcPr>
          <w:p w14:paraId="566CC952" w14:textId="2D04B785" w:rsidR="00FB5A59" w:rsidRPr="00AC3389" w:rsidRDefault="00FB5A59" w:rsidP="00FE46DB">
            <w:pPr>
              <w:pStyle w:val="TableTextRight"/>
              <w:rPr>
                <w:i/>
              </w:rPr>
            </w:pPr>
            <w:r>
              <w:rPr>
                <w:i/>
              </w:rPr>
              <w:t>287,810</w:t>
            </w:r>
          </w:p>
        </w:tc>
        <w:tc>
          <w:tcPr>
            <w:tcW w:w="1105" w:type="dxa"/>
            <w:tcBorders>
              <w:top w:val="nil"/>
              <w:left w:val="nil"/>
              <w:bottom w:val="nil"/>
              <w:right w:val="nil"/>
            </w:tcBorders>
            <w:shd w:val="clear" w:color="000000" w:fill="E6F2FF"/>
            <w:noWrap/>
            <w:vAlign w:val="center"/>
            <w:hideMark/>
          </w:tcPr>
          <w:p w14:paraId="26743332" w14:textId="2D60CAE6" w:rsidR="00FB5A59" w:rsidRPr="00AC3389" w:rsidRDefault="00FB5A59" w:rsidP="00FE46DB">
            <w:pPr>
              <w:pStyle w:val="TableTextRight"/>
              <w:rPr>
                <w:i/>
              </w:rPr>
            </w:pPr>
            <w:r>
              <w:rPr>
                <w:i/>
              </w:rPr>
              <w:t>302,895</w:t>
            </w:r>
          </w:p>
        </w:tc>
      </w:tr>
      <w:tr w:rsidR="00FB5A59" w:rsidRPr="00AC3389" w14:paraId="237F87BC" w14:textId="77777777" w:rsidTr="00FE46DB">
        <w:trPr>
          <w:trHeight w:val="225"/>
        </w:trPr>
        <w:tc>
          <w:tcPr>
            <w:tcW w:w="5500" w:type="dxa"/>
            <w:tcBorders>
              <w:top w:val="nil"/>
              <w:left w:val="nil"/>
              <w:bottom w:val="nil"/>
              <w:right w:val="nil"/>
            </w:tcBorders>
            <w:shd w:val="clear" w:color="000000" w:fill="FFFFFF"/>
            <w:noWrap/>
            <w:vAlign w:val="center"/>
            <w:hideMark/>
          </w:tcPr>
          <w:p w14:paraId="7AEEA2DD" w14:textId="77777777" w:rsidR="00FB5A59" w:rsidRPr="00AC3389" w:rsidRDefault="00FB5A59" w:rsidP="00694E07">
            <w:pPr>
              <w:pStyle w:val="TableTextLeft"/>
              <w:rPr>
                <w:b/>
              </w:rPr>
            </w:pPr>
            <w:r w:rsidRPr="00AC3389">
              <w:rPr>
                <w:b/>
              </w:rPr>
              <w:t>Total assets</w:t>
            </w:r>
          </w:p>
        </w:tc>
        <w:tc>
          <w:tcPr>
            <w:tcW w:w="1105" w:type="dxa"/>
            <w:tcBorders>
              <w:top w:val="nil"/>
              <w:left w:val="nil"/>
              <w:bottom w:val="nil"/>
              <w:right w:val="nil"/>
            </w:tcBorders>
            <w:shd w:val="clear" w:color="000000" w:fill="FFFFFF"/>
            <w:noWrap/>
            <w:vAlign w:val="center"/>
            <w:hideMark/>
          </w:tcPr>
          <w:p w14:paraId="2FEAFB56" w14:textId="4B5C536B" w:rsidR="00FB5A59" w:rsidRPr="00AC3389" w:rsidRDefault="00FB5A59" w:rsidP="00FE46DB">
            <w:pPr>
              <w:pStyle w:val="TableTextRight"/>
              <w:rPr>
                <w:b/>
              </w:rPr>
            </w:pPr>
            <w:r>
              <w:rPr>
                <w:b/>
              </w:rPr>
              <w:t>866,544</w:t>
            </w:r>
          </w:p>
        </w:tc>
        <w:tc>
          <w:tcPr>
            <w:tcW w:w="1105" w:type="dxa"/>
            <w:tcBorders>
              <w:top w:val="nil"/>
              <w:left w:val="nil"/>
              <w:bottom w:val="nil"/>
              <w:right w:val="nil"/>
            </w:tcBorders>
            <w:shd w:val="clear" w:color="000000" w:fill="E6F2FF"/>
            <w:noWrap/>
            <w:vAlign w:val="center"/>
            <w:hideMark/>
          </w:tcPr>
          <w:p w14:paraId="64B8E03E" w14:textId="7FC85EDB" w:rsidR="00FB5A59" w:rsidRPr="00AC3389" w:rsidRDefault="00FB5A59" w:rsidP="00FE46DB">
            <w:pPr>
              <w:pStyle w:val="TableTextRight"/>
              <w:rPr>
                <w:b/>
              </w:rPr>
            </w:pPr>
            <w:r>
              <w:rPr>
                <w:b/>
              </w:rPr>
              <w:t>879,562</w:t>
            </w:r>
          </w:p>
        </w:tc>
      </w:tr>
      <w:tr w:rsidR="00AC3389" w:rsidRPr="00AC3389" w14:paraId="796165A0" w14:textId="77777777" w:rsidTr="00FE46DB">
        <w:trPr>
          <w:trHeight w:val="225"/>
        </w:trPr>
        <w:tc>
          <w:tcPr>
            <w:tcW w:w="5500" w:type="dxa"/>
            <w:tcBorders>
              <w:top w:val="nil"/>
              <w:left w:val="nil"/>
              <w:bottom w:val="nil"/>
              <w:right w:val="nil"/>
            </w:tcBorders>
            <w:shd w:val="clear" w:color="000000" w:fill="FFFFFF"/>
            <w:noWrap/>
            <w:vAlign w:val="center"/>
            <w:hideMark/>
          </w:tcPr>
          <w:p w14:paraId="0A5A61AD" w14:textId="77777777" w:rsidR="00AC3389" w:rsidRPr="00AC3389" w:rsidRDefault="00AC3389" w:rsidP="00694E07">
            <w:pPr>
              <w:pStyle w:val="TableTextLeft"/>
              <w:rPr>
                <w:b/>
              </w:rPr>
            </w:pPr>
            <w:r w:rsidRPr="00AC3389">
              <w:rPr>
                <w:b/>
              </w:rPr>
              <w:t>Liabilities</w:t>
            </w:r>
          </w:p>
        </w:tc>
        <w:tc>
          <w:tcPr>
            <w:tcW w:w="1105" w:type="dxa"/>
            <w:tcBorders>
              <w:top w:val="nil"/>
              <w:left w:val="nil"/>
              <w:bottom w:val="nil"/>
              <w:right w:val="nil"/>
            </w:tcBorders>
            <w:shd w:val="clear" w:color="000000" w:fill="FFFFFF"/>
            <w:noWrap/>
            <w:vAlign w:val="center"/>
            <w:hideMark/>
          </w:tcPr>
          <w:p w14:paraId="4861ECAF"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6FC1D04F" w14:textId="77777777" w:rsidR="00AC3389" w:rsidRPr="00AC3389" w:rsidRDefault="00AC3389" w:rsidP="00FE46DB">
            <w:pPr>
              <w:pStyle w:val="TableTextRight"/>
            </w:pPr>
            <w:r w:rsidRPr="00AC3389">
              <w:t> </w:t>
            </w:r>
          </w:p>
        </w:tc>
      </w:tr>
      <w:tr w:rsidR="00AC3389" w:rsidRPr="00AC3389" w14:paraId="65D0FF50" w14:textId="77777777" w:rsidTr="00FE46DB">
        <w:trPr>
          <w:trHeight w:val="225"/>
        </w:trPr>
        <w:tc>
          <w:tcPr>
            <w:tcW w:w="5500" w:type="dxa"/>
            <w:tcBorders>
              <w:top w:val="nil"/>
              <w:left w:val="nil"/>
              <w:bottom w:val="nil"/>
              <w:right w:val="nil"/>
            </w:tcBorders>
            <w:shd w:val="clear" w:color="000000" w:fill="FFFFFF"/>
            <w:noWrap/>
            <w:vAlign w:val="center"/>
            <w:hideMark/>
          </w:tcPr>
          <w:p w14:paraId="28849FF1" w14:textId="77777777" w:rsidR="00AC3389" w:rsidRPr="00AC3389" w:rsidRDefault="00AC3389" w:rsidP="00694E07">
            <w:pPr>
              <w:pStyle w:val="TableTextLeft"/>
            </w:pPr>
            <w:r w:rsidRPr="00AC3389">
              <w:t>Interest bearing liabilities</w:t>
            </w:r>
          </w:p>
        </w:tc>
        <w:tc>
          <w:tcPr>
            <w:tcW w:w="1105" w:type="dxa"/>
            <w:tcBorders>
              <w:top w:val="nil"/>
              <w:left w:val="nil"/>
              <w:bottom w:val="nil"/>
              <w:right w:val="nil"/>
            </w:tcBorders>
            <w:shd w:val="clear" w:color="000000" w:fill="FFFFFF"/>
            <w:noWrap/>
            <w:vAlign w:val="center"/>
            <w:hideMark/>
          </w:tcPr>
          <w:p w14:paraId="02F89AED"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165C1652" w14:textId="77777777" w:rsidR="00AC3389" w:rsidRPr="00AC3389" w:rsidRDefault="00AC3389" w:rsidP="00FE46DB">
            <w:pPr>
              <w:pStyle w:val="TableTextRight"/>
            </w:pPr>
            <w:r w:rsidRPr="00AC3389">
              <w:t> </w:t>
            </w:r>
          </w:p>
        </w:tc>
      </w:tr>
      <w:tr w:rsidR="00FB5A59" w:rsidRPr="00AC3389" w14:paraId="19FB6964" w14:textId="77777777" w:rsidTr="00FE46DB">
        <w:trPr>
          <w:trHeight w:val="225"/>
        </w:trPr>
        <w:tc>
          <w:tcPr>
            <w:tcW w:w="5500" w:type="dxa"/>
            <w:tcBorders>
              <w:top w:val="nil"/>
              <w:left w:val="nil"/>
              <w:bottom w:val="nil"/>
              <w:right w:val="nil"/>
            </w:tcBorders>
            <w:shd w:val="clear" w:color="000000" w:fill="FFFFFF"/>
            <w:noWrap/>
            <w:vAlign w:val="center"/>
            <w:hideMark/>
          </w:tcPr>
          <w:p w14:paraId="1DDF8166"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Deposits held</w:t>
            </w:r>
          </w:p>
        </w:tc>
        <w:tc>
          <w:tcPr>
            <w:tcW w:w="1105" w:type="dxa"/>
            <w:tcBorders>
              <w:top w:val="nil"/>
              <w:left w:val="nil"/>
              <w:bottom w:val="nil"/>
              <w:right w:val="nil"/>
            </w:tcBorders>
            <w:shd w:val="clear" w:color="000000" w:fill="FFFFFF"/>
            <w:noWrap/>
            <w:vAlign w:val="center"/>
            <w:hideMark/>
          </w:tcPr>
          <w:p w14:paraId="2273D7A9" w14:textId="7BF066C7" w:rsidR="00FB5A59" w:rsidRPr="00AC3389" w:rsidRDefault="00FB5A59" w:rsidP="00FE46DB">
            <w:pPr>
              <w:pStyle w:val="TableTextRight"/>
            </w:pPr>
            <w:r>
              <w:t>421</w:t>
            </w:r>
          </w:p>
        </w:tc>
        <w:tc>
          <w:tcPr>
            <w:tcW w:w="1105" w:type="dxa"/>
            <w:tcBorders>
              <w:top w:val="nil"/>
              <w:left w:val="nil"/>
              <w:bottom w:val="nil"/>
              <w:right w:val="nil"/>
            </w:tcBorders>
            <w:shd w:val="clear" w:color="000000" w:fill="E6F2FF"/>
            <w:noWrap/>
            <w:vAlign w:val="center"/>
            <w:hideMark/>
          </w:tcPr>
          <w:p w14:paraId="51252B4F" w14:textId="3A7DB329" w:rsidR="00FB5A59" w:rsidRPr="00AC3389" w:rsidRDefault="00FB5A59" w:rsidP="00FE46DB">
            <w:pPr>
              <w:pStyle w:val="TableTextRight"/>
            </w:pPr>
            <w:r>
              <w:t>428</w:t>
            </w:r>
          </w:p>
        </w:tc>
      </w:tr>
      <w:tr w:rsidR="00FB5A59" w:rsidRPr="00AC3389" w14:paraId="088302BE" w14:textId="77777777" w:rsidTr="00FE46DB">
        <w:trPr>
          <w:trHeight w:val="225"/>
        </w:trPr>
        <w:tc>
          <w:tcPr>
            <w:tcW w:w="5500" w:type="dxa"/>
            <w:tcBorders>
              <w:top w:val="nil"/>
              <w:left w:val="nil"/>
              <w:bottom w:val="nil"/>
              <w:right w:val="nil"/>
            </w:tcBorders>
            <w:shd w:val="clear" w:color="000000" w:fill="FFFFFF"/>
            <w:noWrap/>
            <w:vAlign w:val="center"/>
            <w:hideMark/>
          </w:tcPr>
          <w:p w14:paraId="5D06E630"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Government securities</w:t>
            </w:r>
          </w:p>
        </w:tc>
        <w:tc>
          <w:tcPr>
            <w:tcW w:w="1105" w:type="dxa"/>
            <w:tcBorders>
              <w:top w:val="nil"/>
              <w:left w:val="nil"/>
              <w:bottom w:val="nil"/>
              <w:right w:val="nil"/>
            </w:tcBorders>
            <w:shd w:val="clear" w:color="000000" w:fill="FFFFFF"/>
            <w:noWrap/>
            <w:vAlign w:val="center"/>
            <w:hideMark/>
          </w:tcPr>
          <w:p w14:paraId="6CB99680" w14:textId="07378A85" w:rsidR="00FB5A59" w:rsidRPr="00AC3389" w:rsidRDefault="00FB5A59" w:rsidP="00FE46DB">
            <w:pPr>
              <w:pStyle w:val="TableTextRight"/>
            </w:pPr>
            <w:r>
              <w:t>847,774</w:t>
            </w:r>
          </w:p>
        </w:tc>
        <w:tc>
          <w:tcPr>
            <w:tcW w:w="1105" w:type="dxa"/>
            <w:tcBorders>
              <w:top w:val="nil"/>
              <w:left w:val="nil"/>
              <w:bottom w:val="nil"/>
              <w:right w:val="nil"/>
            </w:tcBorders>
            <w:shd w:val="clear" w:color="000000" w:fill="E6F2FF"/>
            <w:noWrap/>
            <w:vAlign w:val="center"/>
            <w:hideMark/>
          </w:tcPr>
          <w:p w14:paraId="26CFAF40" w14:textId="6EA89413" w:rsidR="00FB5A59" w:rsidRPr="00AC3389" w:rsidRDefault="00FB5A59" w:rsidP="00FE46DB">
            <w:pPr>
              <w:pStyle w:val="TableTextRight"/>
            </w:pPr>
            <w:r>
              <w:t>885,886</w:t>
            </w:r>
          </w:p>
        </w:tc>
      </w:tr>
      <w:tr w:rsidR="00FB5A59" w:rsidRPr="00AC3389" w14:paraId="0900C1FD" w14:textId="77777777" w:rsidTr="00FE46DB">
        <w:trPr>
          <w:trHeight w:val="225"/>
        </w:trPr>
        <w:tc>
          <w:tcPr>
            <w:tcW w:w="5500" w:type="dxa"/>
            <w:tcBorders>
              <w:top w:val="nil"/>
              <w:left w:val="nil"/>
              <w:bottom w:val="nil"/>
              <w:right w:val="nil"/>
            </w:tcBorders>
            <w:shd w:val="clear" w:color="000000" w:fill="FFFFFF"/>
            <w:noWrap/>
            <w:vAlign w:val="center"/>
            <w:hideMark/>
          </w:tcPr>
          <w:p w14:paraId="250CFA5B"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Advances received and loans</w:t>
            </w:r>
          </w:p>
        </w:tc>
        <w:tc>
          <w:tcPr>
            <w:tcW w:w="1105" w:type="dxa"/>
            <w:tcBorders>
              <w:top w:val="nil"/>
              <w:left w:val="nil"/>
              <w:bottom w:val="nil"/>
              <w:right w:val="nil"/>
            </w:tcBorders>
            <w:shd w:val="clear" w:color="000000" w:fill="FFFFFF"/>
            <w:noWrap/>
            <w:vAlign w:val="center"/>
            <w:hideMark/>
          </w:tcPr>
          <w:p w14:paraId="7DED4BE6" w14:textId="0B19840C" w:rsidR="00FB5A59" w:rsidRPr="00AC3389" w:rsidRDefault="00FB5A59" w:rsidP="00FE46DB">
            <w:pPr>
              <w:pStyle w:val="TableTextRight"/>
            </w:pPr>
            <w:r>
              <w:t>66,000</w:t>
            </w:r>
          </w:p>
        </w:tc>
        <w:tc>
          <w:tcPr>
            <w:tcW w:w="1105" w:type="dxa"/>
            <w:tcBorders>
              <w:top w:val="nil"/>
              <w:left w:val="nil"/>
              <w:bottom w:val="nil"/>
              <w:right w:val="nil"/>
            </w:tcBorders>
            <w:shd w:val="clear" w:color="000000" w:fill="E6F2FF"/>
            <w:noWrap/>
            <w:vAlign w:val="center"/>
            <w:hideMark/>
          </w:tcPr>
          <w:p w14:paraId="1385A467" w14:textId="1DD660CA" w:rsidR="00FB5A59" w:rsidRPr="00AC3389" w:rsidRDefault="00FB5A59" w:rsidP="00FE46DB">
            <w:pPr>
              <w:pStyle w:val="TableTextRight"/>
            </w:pPr>
            <w:r>
              <w:t>69,254</w:t>
            </w:r>
          </w:p>
        </w:tc>
      </w:tr>
      <w:tr w:rsidR="00FB5A59" w:rsidRPr="00AC3389" w14:paraId="5F9F2523" w14:textId="77777777" w:rsidTr="00FE46DB">
        <w:trPr>
          <w:trHeight w:val="225"/>
        </w:trPr>
        <w:tc>
          <w:tcPr>
            <w:tcW w:w="5500" w:type="dxa"/>
            <w:tcBorders>
              <w:top w:val="nil"/>
              <w:left w:val="nil"/>
              <w:bottom w:val="nil"/>
              <w:right w:val="nil"/>
            </w:tcBorders>
            <w:shd w:val="clear" w:color="000000" w:fill="FFFFFF"/>
            <w:noWrap/>
            <w:vAlign w:val="center"/>
            <w:hideMark/>
          </w:tcPr>
          <w:p w14:paraId="7D1EADB8"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Lease liabilities</w:t>
            </w:r>
          </w:p>
        </w:tc>
        <w:tc>
          <w:tcPr>
            <w:tcW w:w="1105" w:type="dxa"/>
            <w:tcBorders>
              <w:top w:val="nil"/>
              <w:left w:val="nil"/>
              <w:bottom w:val="nil"/>
              <w:right w:val="nil"/>
            </w:tcBorders>
            <w:shd w:val="clear" w:color="000000" w:fill="FFFFFF"/>
            <w:noWrap/>
            <w:vAlign w:val="center"/>
            <w:hideMark/>
          </w:tcPr>
          <w:p w14:paraId="1CFB6F7F" w14:textId="30185B93" w:rsidR="00FB5A59" w:rsidRPr="00AC3389" w:rsidRDefault="00FB5A59" w:rsidP="00FE46DB">
            <w:pPr>
              <w:pStyle w:val="TableTextRight"/>
            </w:pPr>
            <w:r>
              <w:t>32,849</w:t>
            </w:r>
          </w:p>
        </w:tc>
        <w:tc>
          <w:tcPr>
            <w:tcW w:w="1105" w:type="dxa"/>
            <w:tcBorders>
              <w:top w:val="nil"/>
              <w:left w:val="nil"/>
              <w:bottom w:val="nil"/>
              <w:right w:val="nil"/>
            </w:tcBorders>
            <w:shd w:val="clear" w:color="000000" w:fill="E6F2FF"/>
            <w:noWrap/>
            <w:vAlign w:val="center"/>
            <w:hideMark/>
          </w:tcPr>
          <w:p w14:paraId="74F11427" w14:textId="440C7383" w:rsidR="00FB5A59" w:rsidRPr="00AC3389" w:rsidRDefault="00FB5A59" w:rsidP="00FE46DB">
            <w:pPr>
              <w:pStyle w:val="TableTextRight"/>
            </w:pPr>
            <w:r>
              <w:t>32,526</w:t>
            </w:r>
          </w:p>
        </w:tc>
      </w:tr>
      <w:tr w:rsidR="00FB5A59" w:rsidRPr="00AC3389" w14:paraId="608CDF2B" w14:textId="77777777" w:rsidTr="00FE46DB">
        <w:trPr>
          <w:trHeight w:val="225"/>
        </w:trPr>
        <w:tc>
          <w:tcPr>
            <w:tcW w:w="5500" w:type="dxa"/>
            <w:tcBorders>
              <w:top w:val="nil"/>
              <w:left w:val="nil"/>
              <w:bottom w:val="nil"/>
              <w:right w:val="nil"/>
            </w:tcBorders>
            <w:shd w:val="clear" w:color="000000" w:fill="FFFFFF"/>
            <w:noWrap/>
            <w:vAlign w:val="center"/>
            <w:hideMark/>
          </w:tcPr>
          <w:p w14:paraId="77608B0D" w14:textId="77777777" w:rsidR="00FB5A59" w:rsidRPr="00AC3389" w:rsidRDefault="00FB5A59" w:rsidP="00694E07">
            <w:pPr>
              <w:pStyle w:val="TableTextLeft"/>
              <w:rPr>
                <w:i/>
              </w:rPr>
            </w:pPr>
            <w:r w:rsidRPr="00AC3389">
              <w:rPr>
                <w:i/>
              </w:rPr>
              <w:t>Total interest bearing liabilities</w:t>
            </w:r>
          </w:p>
        </w:tc>
        <w:tc>
          <w:tcPr>
            <w:tcW w:w="1105" w:type="dxa"/>
            <w:tcBorders>
              <w:top w:val="nil"/>
              <w:left w:val="nil"/>
              <w:bottom w:val="nil"/>
              <w:right w:val="nil"/>
            </w:tcBorders>
            <w:shd w:val="clear" w:color="000000" w:fill="FFFFFF"/>
            <w:noWrap/>
            <w:vAlign w:val="center"/>
            <w:hideMark/>
          </w:tcPr>
          <w:p w14:paraId="4DC35BAC" w14:textId="31CE1F2C" w:rsidR="00FB5A59" w:rsidRPr="00AC3389" w:rsidRDefault="00FB5A59" w:rsidP="00FE46DB">
            <w:pPr>
              <w:pStyle w:val="TableTextRight"/>
              <w:rPr>
                <w:i/>
              </w:rPr>
            </w:pPr>
            <w:r>
              <w:rPr>
                <w:i/>
              </w:rPr>
              <w:t>947,044</w:t>
            </w:r>
          </w:p>
        </w:tc>
        <w:tc>
          <w:tcPr>
            <w:tcW w:w="1105" w:type="dxa"/>
            <w:tcBorders>
              <w:top w:val="nil"/>
              <w:left w:val="nil"/>
              <w:bottom w:val="nil"/>
              <w:right w:val="nil"/>
            </w:tcBorders>
            <w:shd w:val="clear" w:color="000000" w:fill="E6F2FF"/>
            <w:noWrap/>
            <w:vAlign w:val="center"/>
            <w:hideMark/>
          </w:tcPr>
          <w:p w14:paraId="5AA0A954" w14:textId="3A1572D9" w:rsidR="00FB5A59" w:rsidRPr="00AC3389" w:rsidRDefault="00FB5A59" w:rsidP="00FE46DB">
            <w:pPr>
              <w:pStyle w:val="TableTextRight"/>
              <w:rPr>
                <w:i/>
              </w:rPr>
            </w:pPr>
            <w:r>
              <w:rPr>
                <w:i/>
              </w:rPr>
              <w:t>988,093</w:t>
            </w:r>
          </w:p>
        </w:tc>
      </w:tr>
      <w:tr w:rsidR="00AC3389" w:rsidRPr="00AC3389" w14:paraId="62545054" w14:textId="77777777" w:rsidTr="00FE46DB">
        <w:trPr>
          <w:trHeight w:val="225"/>
        </w:trPr>
        <w:tc>
          <w:tcPr>
            <w:tcW w:w="5500" w:type="dxa"/>
            <w:tcBorders>
              <w:top w:val="nil"/>
              <w:left w:val="nil"/>
              <w:bottom w:val="nil"/>
              <w:right w:val="nil"/>
            </w:tcBorders>
            <w:shd w:val="clear" w:color="000000" w:fill="FFFFFF"/>
            <w:noWrap/>
            <w:vAlign w:val="center"/>
            <w:hideMark/>
          </w:tcPr>
          <w:p w14:paraId="175A64CB" w14:textId="77777777" w:rsidR="00AC3389" w:rsidRPr="00AC3389" w:rsidRDefault="00AC3389" w:rsidP="00694E07">
            <w:pPr>
              <w:pStyle w:val="TableTextLeft"/>
            </w:pPr>
            <w:r w:rsidRPr="00AC3389">
              <w:t>Provisions and payables</w:t>
            </w:r>
          </w:p>
        </w:tc>
        <w:tc>
          <w:tcPr>
            <w:tcW w:w="1105" w:type="dxa"/>
            <w:tcBorders>
              <w:top w:val="nil"/>
              <w:left w:val="nil"/>
              <w:bottom w:val="nil"/>
              <w:right w:val="nil"/>
            </w:tcBorders>
            <w:shd w:val="clear" w:color="000000" w:fill="FFFFFF"/>
            <w:noWrap/>
            <w:vAlign w:val="center"/>
            <w:hideMark/>
          </w:tcPr>
          <w:p w14:paraId="01D97001" w14:textId="77777777" w:rsidR="00AC3389" w:rsidRPr="00AC3389" w:rsidRDefault="00AC3389" w:rsidP="00FE46DB">
            <w:pPr>
              <w:pStyle w:val="TableTextRight"/>
            </w:pPr>
            <w:r w:rsidRPr="00AC3389">
              <w:t> </w:t>
            </w:r>
          </w:p>
        </w:tc>
        <w:tc>
          <w:tcPr>
            <w:tcW w:w="1105" w:type="dxa"/>
            <w:tcBorders>
              <w:top w:val="nil"/>
              <w:left w:val="nil"/>
              <w:bottom w:val="nil"/>
              <w:right w:val="nil"/>
            </w:tcBorders>
            <w:shd w:val="clear" w:color="000000" w:fill="E6F2FF"/>
            <w:noWrap/>
            <w:vAlign w:val="center"/>
            <w:hideMark/>
          </w:tcPr>
          <w:p w14:paraId="0DAA88F1" w14:textId="77777777" w:rsidR="00AC3389" w:rsidRPr="00AC3389" w:rsidRDefault="00AC3389" w:rsidP="00FE46DB">
            <w:pPr>
              <w:pStyle w:val="TableTextRight"/>
            </w:pPr>
            <w:r w:rsidRPr="00AC3389">
              <w:t> </w:t>
            </w:r>
          </w:p>
        </w:tc>
      </w:tr>
      <w:tr w:rsidR="00FB5A59" w:rsidRPr="00AC3389" w14:paraId="1852806C" w14:textId="77777777" w:rsidTr="00FE46DB">
        <w:trPr>
          <w:trHeight w:val="225"/>
        </w:trPr>
        <w:tc>
          <w:tcPr>
            <w:tcW w:w="5500" w:type="dxa"/>
            <w:tcBorders>
              <w:top w:val="nil"/>
              <w:left w:val="nil"/>
              <w:bottom w:val="nil"/>
              <w:right w:val="nil"/>
            </w:tcBorders>
            <w:shd w:val="clear" w:color="000000" w:fill="FFFFFF"/>
            <w:noWrap/>
            <w:vAlign w:val="center"/>
            <w:hideMark/>
          </w:tcPr>
          <w:p w14:paraId="579AA1FF"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Superannuation liability</w:t>
            </w:r>
          </w:p>
        </w:tc>
        <w:tc>
          <w:tcPr>
            <w:tcW w:w="1105" w:type="dxa"/>
            <w:tcBorders>
              <w:top w:val="nil"/>
              <w:left w:val="nil"/>
              <w:bottom w:val="nil"/>
              <w:right w:val="nil"/>
            </w:tcBorders>
            <w:shd w:val="clear" w:color="000000" w:fill="FFFFFF"/>
            <w:noWrap/>
            <w:vAlign w:val="center"/>
            <w:hideMark/>
          </w:tcPr>
          <w:p w14:paraId="62459AA9" w14:textId="30A3F938" w:rsidR="00FB5A59" w:rsidRPr="00AC3389" w:rsidRDefault="00FB5A59" w:rsidP="00FE46DB">
            <w:pPr>
              <w:pStyle w:val="TableTextRight"/>
            </w:pPr>
            <w:r>
              <w:t>294,664</w:t>
            </w:r>
          </w:p>
        </w:tc>
        <w:tc>
          <w:tcPr>
            <w:tcW w:w="1105" w:type="dxa"/>
            <w:tcBorders>
              <w:top w:val="nil"/>
              <w:left w:val="nil"/>
              <w:bottom w:val="nil"/>
              <w:right w:val="nil"/>
            </w:tcBorders>
            <w:shd w:val="clear" w:color="000000" w:fill="E6F2FF"/>
            <w:noWrap/>
            <w:vAlign w:val="center"/>
            <w:hideMark/>
          </w:tcPr>
          <w:p w14:paraId="234B3C3C" w14:textId="1E5991D8" w:rsidR="00FB5A59" w:rsidRPr="00AC3389" w:rsidRDefault="00FB5A59" w:rsidP="00FE46DB">
            <w:pPr>
              <w:pStyle w:val="TableTextRight"/>
            </w:pPr>
            <w:r>
              <w:t>304,393</w:t>
            </w:r>
          </w:p>
        </w:tc>
      </w:tr>
      <w:tr w:rsidR="00FB5A59" w:rsidRPr="00AC3389" w14:paraId="1E371459" w14:textId="77777777" w:rsidTr="00FE46DB">
        <w:trPr>
          <w:trHeight w:val="225"/>
        </w:trPr>
        <w:tc>
          <w:tcPr>
            <w:tcW w:w="5500" w:type="dxa"/>
            <w:tcBorders>
              <w:top w:val="nil"/>
              <w:left w:val="nil"/>
              <w:bottom w:val="nil"/>
              <w:right w:val="nil"/>
            </w:tcBorders>
            <w:shd w:val="clear" w:color="000000" w:fill="FFFFFF"/>
            <w:noWrap/>
            <w:vAlign w:val="center"/>
            <w:hideMark/>
          </w:tcPr>
          <w:p w14:paraId="301572AC"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Other employee liabilities</w:t>
            </w:r>
          </w:p>
        </w:tc>
        <w:tc>
          <w:tcPr>
            <w:tcW w:w="1105" w:type="dxa"/>
            <w:tcBorders>
              <w:top w:val="nil"/>
              <w:left w:val="nil"/>
              <w:bottom w:val="nil"/>
              <w:right w:val="nil"/>
            </w:tcBorders>
            <w:shd w:val="clear" w:color="000000" w:fill="FFFFFF"/>
            <w:noWrap/>
            <w:vAlign w:val="center"/>
            <w:hideMark/>
          </w:tcPr>
          <w:p w14:paraId="41DCF63E" w14:textId="52784D6A" w:rsidR="00FB5A59" w:rsidRPr="00AC3389" w:rsidRDefault="00FB5A59" w:rsidP="00FE46DB">
            <w:pPr>
              <w:pStyle w:val="TableTextRight"/>
            </w:pPr>
            <w:r>
              <w:t>44,146</w:t>
            </w:r>
          </w:p>
        </w:tc>
        <w:tc>
          <w:tcPr>
            <w:tcW w:w="1105" w:type="dxa"/>
            <w:tcBorders>
              <w:top w:val="nil"/>
              <w:left w:val="nil"/>
              <w:bottom w:val="nil"/>
              <w:right w:val="nil"/>
            </w:tcBorders>
            <w:shd w:val="clear" w:color="000000" w:fill="E6F2FF"/>
            <w:noWrap/>
            <w:vAlign w:val="center"/>
            <w:hideMark/>
          </w:tcPr>
          <w:p w14:paraId="54DF867C" w14:textId="406EBE96" w:rsidR="00FB5A59" w:rsidRPr="00AC3389" w:rsidRDefault="00FB5A59" w:rsidP="00FE46DB">
            <w:pPr>
              <w:pStyle w:val="TableTextRight"/>
            </w:pPr>
            <w:r>
              <w:t>43,802</w:t>
            </w:r>
          </w:p>
        </w:tc>
      </w:tr>
      <w:tr w:rsidR="00FB5A59" w:rsidRPr="00AC3389" w14:paraId="5A3250F5" w14:textId="77777777" w:rsidTr="00FE46DB">
        <w:trPr>
          <w:trHeight w:val="225"/>
        </w:trPr>
        <w:tc>
          <w:tcPr>
            <w:tcW w:w="5500" w:type="dxa"/>
            <w:tcBorders>
              <w:top w:val="nil"/>
              <w:left w:val="nil"/>
              <w:bottom w:val="nil"/>
              <w:right w:val="nil"/>
            </w:tcBorders>
            <w:shd w:val="clear" w:color="000000" w:fill="FFFFFF"/>
            <w:noWrap/>
            <w:vAlign w:val="center"/>
            <w:hideMark/>
          </w:tcPr>
          <w:p w14:paraId="421450E1"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Other payables</w:t>
            </w:r>
          </w:p>
        </w:tc>
        <w:tc>
          <w:tcPr>
            <w:tcW w:w="1105" w:type="dxa"/>
            <w:tcBorders>
              <w:top w:val="nil"/>
              <w:left w:val="nil"/>
              <w:bottom w:val="nil"/>
              <w:right w:val="nil"/>
            </w:tcBorders>
            <w:shd w:val="clear" w:color="000000" w:fill="FFFFFF"/>
            <w:noWrap/>
            <w:vAlign w:val="center"/>
            <w:hideMark/>
          </w:tcPr>
          <w:p w14:paraId="206FAA92" w14:textId="4F3BD096" w:rsidR="00FB5A59" w:rsidRPr="00AC3389" w:rsidRDefault="00FB5A59" w:rsidP="00FE46DB">
            <w:pPr>
              <w:pStyle w:val="TableTextRight"/>
            </w:pPr>
            <w:r>
              <w:t>34,919</w:t>
            </w:r>
          </w:p>
        </w:tc>
        <w:tc>
          <w:tcPr>
            <w:tcW w:w="1105" w:type="dxa"/>
            <w:tcBorders>
              <w:top w:val="nil"/>
              <w:left w:val="nil"/>
              <w:bottom w:val="nil"/>
              <w:right w:val="nil"/>
            </w:tcBorders>
            <w:shd w:val="clear" w:color="000000" w:fill="E6F2FF"/>
            <w:noWrap/>
            <w:vAlign w:val="center"/>
            <w:hideMark/>
          </w:tcPr>
          <w:p w14:paraId="76EF6CEA" w14:textId="45B94DDC" w:rsidR="00FB5A59" w:rsidRPr="00AC3389" w:rsidRDefault="00FB5A59" w:rsidP="00FE46DB">
            <w:pPr>
              <w:pStyle w:val="TableTextRight"/>
            </w:pPr>
            <w:r>
              <w:t>33,357</w:t>
            </w:r>
          </w:p>
        </w:tc>
      </w:tr>
      <w:tr w:rsidR="00FB5A59" w:rsidRPr="00AC3389" w14:paraId="20EC7283" w14:textId="77777777" w:rsidTr="00FE46DB">
        <w:trPr>
          <w:trHeight w:val="225"/>
        </w:trPr>
        <w:tc>
          <w:tcPr>
            <w:tcW w:w="5500" w:type="dxa"/>
            <w:tcBorders>
              <w:top w:val="nil"/>
              <w:left w:val="nil"/>
              <w:bottom w:val="nil"/>
              <w:right w:val="nil"/>
            </w:tcBorders>
            <w:shd w:val="clear" w:color="000000" w:fill="FFFFFF"/>
            <w:noWrap/>
            <w:vAlign w:val="center"/>
            <w:hideMark/>
          </w:tcPr>
          <w:p w14:paraId="57589BE6" w14:textId="77777777" w:rsidR="00FB5A59" w:rsidRPr="005814CF" w:rsidRDefault="00FB5A59" w:rsidP="00FB5A59">
            <w:pPr>
              <w:spacing w:before="0" w:after="0" w:line="240" w:lineRule="auto"/>
              <w:ind w:firstLineChars="100" w:firstLine="160"/>
              <w:rPr>
                <w:rFonts w:ascii="Arial" w:hAnsi="Arial" w:cs="Arial"/>
                <w:sz w:val="16"/>
                <w:szCs w:val="16"/>
              </w:rPr>
            </w:pPr>
            <w:r w:rsidRPr="005814CF">
              <w:rPr>
                <w:rFonts w:ascii="Arial" w:hAnsi="Arial" w:cs="Arial"/>
                <w:sz w:val="16"/>
                <w:szCs w:val="16"/>
              </w:rPr>
              <w:t>Other provisions</w:t>
            </w:r>
          </w:p>
        </w:tc>
        <w:tc>
          <w:tcPr>
            <w:tcW w:w="1105" w:type="dxa"/>
            <w:tcBorders>
              <w:top w:val="nil"/>
              <w:left w:val="nil"/>
              <w:bottom w:val="nil"/>
              <w:right w:val="nil"/>
            </w:tcBorders>
            <w:shd w:val="clear" w:color="000000" w:fill="FFFFFF"/>
            <w:noWrap/>
            <w:vAlign w:val="center"/>
            <w:hideMark/>
          </w:tcPr>
          <w:p w14:paraId="7D6198AC" w14:textId="460639B4" w:rsidR="00FB5A59" w:rsidRPr="00AC3389" w:rsidRDefault="00FB5A59" w:rsidP="00FE46DB">
            <w:pPr>
              <w:pStyle w:val="TableTextRight"/>
            </w:pPr>
            <w:r>
              <w:t>69,934</w:t>
            </w:r>
          </w:p>
        </w:tc>
        <w:tc>
          <w:tcPr>
            <w:tcW w:w="1105" w:type="dxa"/>
            <w:tcBorders>
              <w:top w:val="nil"/>
              <w:left w:val="nil"/>
              <w:bottom w:val="nil"/>
              <w:right w:val="nil"/>
            </w:tcBorders>
            <w:shd w:val="clear" w:color="000000" w:fill="E6F2FF"/>
            <w:noWrap/>
            <w:vAlign w:val="center"/>
            <w:hideMark/>
          </w:tcPr>
          <w:p w14:paraId="242B01B0" w14:textId="7B8694B9" w:rsidR="00FB5A59" w:rsidRPr="00AC3389" w:rsidRDefault="00FB5A59" w:rsidP="00FE46DB">
            <w:pPr>
              <w:pStyle w:val="TableTextRight"/>
            </w:pPr>
            <w:r>
              <w:t>72,035</w:t>
            </w:r>
          </w:p>
        </w:tc>
      </w:tr>
      <w:tr w:rsidR="00FB5A59" w:rsidRPr="00AC3389" w14:paraId="0E6E4992" w14:textId="77777777" w:rsidTr="00FE46DB">
        <w:trPr>
          <w:trHeight w:val="225"/>
        </w:trPr>
        <w:tc>
          <w:tcPr>
            <w:tcW w:w="5500" w:type="dxa"/>
            <w:tcBorders>
              <w:top w:val="nil"/>
              <w:left w:val="nil"/>
              <w:bottom w:val="nil"/>
              <w:right w:val="nil"/>
            </w:tcBorders>
            <w:shd w:val="clear" w:color="000000" w:fill="FFFFFF"/>
            <w:noWrap/>
            <w:vAlign w:val="center"/>
            <w:hideMark/>
          </w:tcPr>
          <w:p w14:paraId="29F1E08F" w14:textId="77777777" w:rsidR="00FB5A59" w:rsidRPr="00AC3389" w:rsidRDefault="00FB5A59" w:rsidP="00694E07">
            <w:pPr>
              <w:pStyle w:val="TableTextLeft"/>
              <w:rPr>
                <w:i/>
              </w:rPr>
            </w:pPr>
            <w:r w:rsidRPr="00AC3389">
              <w:rPr>
                <w:i/>
              </w:rPr>
              <w:t>Total provisions and payables</w:t>
            </w:r>
          </w:p>
        </w:tc>
        <w:tc>
          <w:tcPr>
            <w:tcW w:w="1105" w:type="dxa"/>
            <w:tcBorders>
              <w:top w:val="nil"/>
              <w:left w:val="nil"/>
              <w:bottom w:val="nil"/>
              <w:right w:val="nil"/>
            </w:tcBorders>
            <w:shd w:val="clear" w:color="000000" w:fill="FFFFFF"/>
            <w:noWrap/>
            <w:vAlign w:val="center"/>
            <w:hideMark/>
          </w:tcPr>
          <w:p w14:paraId="3F40A70A" w14:textId="484BF6E4" w:rsidR="00FB5A59" w:rsidRPr="00AC3389" w:rsidRDefault="00FB5A59" w:rsidP="00FE46DB">
            <w:pPr>
              <w:pStyle w:val="TableTextRight"/>
              <w:rPr>
                <w:i/>
              </w:rPr>
            </w:pPr>
            <w:r>
              <w:rPr>
                <w:i/>
              </w:rPr>
              <w:t>443,663</w:t>
            </w:r>
          </w:p>
        </w:tc>
        <w:tc>
          <w:tcPr>
            <w:tcW w:w="1105" w:type="dxa"/>
            <w:tcBorders>
              <w:top w:val="nil"/>
              <w:left w:val="nil"/>
              <w:bottom w:val="nil"/>
              <w:right w:val="nil"/>
            </w:tcBorders>
            <w:shd w:val="clear" w:color="000000" w:fill="E6F2FF"/>
            <w:noWrap/>
            <w:vAlign w:val="center"/>
            <w:hideMark/>
          </w:tcPr>
          <w:p w14:paraId="2E550359" w14:textId="59120069" w:rsidR="00FB5A59" w:rsidRPr="00AC3389" w:rsidRDefault="00FB5A59" w:rsidP="00FE46DB">
            <w:pPr>
              <w:pStyle w:val="TableTextRight"/>
              <w:rPr>
                <w:i/>
              </w:rPr>
            </w:pPr>
            <w:r>
              <w:rPr>
                <w:i/>
              </w:rPr>
              <w:t>453,587</w:t>
            </w:r>
          </w:p>
        </w:tc>
      </w:tr>
      <w:tr w:rsidR="00FB5A59" w:rsidRPr="00AC3389" w14:paraId="369A096E" w14:textId="77777777" w:rsidTr="00FE46DB">
        <w:trPr>
          <w:trHeight w:val="225"/>
        </w:trPr>
        <w:tc>
          <w:tcPr>
            <w:tcW w:w="5500" w:type="dxa"/>
            <w:tcBorders>
              <w:top w:val="nil"/>
              <w:left w:val="nil"/>
              <w:bottom w:val="nil"/>
              <w:right w:val="nil"/>
            </w:tcBorders>
            <w:shd w:val="clear" w:color="000000" w:fill="FFFFFF"/>
            <w:noWrap/>
            <w:vAlign w:val="center"/>
            <w:hideMark/>
          </w:tcPr>
          <w:p w14:paraId="38093085" w14:textId="77777777" w:rsidR="00FB5A59" w:rsidRPr="00AC3389" w:rsidRDefault="00FB5A59" w:rsidP="00694E07">
            <w:pPr>
              <w:pStyle w:val="TableTextLeft"/>
              <w:rPr>
                <w:b/>
              </w:rPr>
            </w:pPr>
            <w:r w:rsidRPr="00AC3389">
              <w:rPr>
                <w:b/>
              </w:rPr>
              <w:t>Total liabilities</w:t>
            </w:r>
          </w:p>
        </w:tc>
        <w:tc>
          <w:tcPr>
            <w:tcW w:w="1105" w:type="dxa"/>
            <w:tcBorders>
              <w:top w:val="nil"/>
              <w:left w:val="nil"/>
              <w:bottom w:val="nil"/>
              <w:right w:val="nil"/>
            </w:tcBorders>
            <w:shd w:val="clear" w:color="000000" w:fill="FFFFFF"/>
            <w:noWrap/>
            <w:vAlign w:val="center"/>
            <w:hideMark/>
          </w:tcPr>
          <w:p w14:paraId="539726EC" w14:textId="6EE852C8" w:rsidR="00FB5A59" w:rsidRPr="00AC3389" w:rsidRDefault="00FB5A59" w:rsidP="00FE46DB">
            <w:pPr>
              <w:pStyle w:val="TableTextRight"/>
              <w:rPr>
                <w:b/>
              </w:rPr>
            </w:pPr>
            <w:r>
              <w:rPr>
                <w:b/>
              </w:rPr>
              <w:t>1,390,707</w:t>
            </w:r>
          </w:p>
        </w:tc>
        <w:tc>
          <w:tcPr>
            <w:tcW w:w="1105" w:type="dxa"/>
            <w:tcBorders>
              <w:top w:val="nil"/>
              <w:left w:val="nil"/>
              <w:bottom w:val="nil"/>
              <w:right w:val="nil"/>
            </w:tcBorders>
            <w:shd w:val="clear" w:color="000000" w:fill="E6F2FF"/>
            <w:noWrap/>
            <w:vAlign w:val="center"/>
            <w:hideMark/>
          </w:tcPr>
          <w:p w14:paraId="68BD05F2" w14:textId="1EFCE128" w:rsidR="00FB5A59" w:rsidRPr="00AC3389" w:rsidRDefault="00FB5A59" w:rsidP="00FE46DB">
            <w:pPr>
              <w:pStyle w:val="TableTextRight"/>
              <w:rPr>
                <w:b/>
              </w:rPr>
            </w:pPr>
            <w:r>
              <w:rPr>
                <w:b/>
              </w:rPr>
              <w:t>1,441,680</w:t>
            </w:r>
          </w:p>
        </w:tc>
      </w:tr>
      <w:tr w:rsidR="0082247B" w:rsidRPr="00AC3389" w14:paraId="679833B3" w14:textId="77777777" w:rsidTr="00FE46DB">
        <w:trPr>
          <w:trHeight w:val="225"/>
        </w:trPr>
        <w:tc>
          <w:tcPr>
            <w:tcW w:w="5500" w:type="dxa"/>
            <w:tcBorders>
              <w:top w:val="nil"/>
              <w:left w:val="nil"/>
              <w:bottom w:val="single" w:sz="4" w:space="0" w:color="293F5B"/>
              <w:right w:val="nil"/>
            </w:tcBorders>
            <w:shd w:val="clear" w:color="000000" w:fill="FFFFFF"/>
            <w:noWrap/>
            <w:vAlign w:val="center"/>
            <w:hideMark/>
          </w:tcPr>
          <w:p w14:paraId="6B96C45F" w14:textId="77777777" w:rsidR="0082247B" w:rsidRPr="00AC3389" w:rsidRDefault="0082247B" w:rsidP="00694E07">
            <w:pPr>
              <w:pStyle w:val="TableTextLeft"/>
              <w:rPr>
                <w:b/>
              </w:rPr>
            </w:pPr>
            <w:r w:rsidRPr="00AC3389">
              <w:rPr>
                <w:b/>
              </w:rPr>
              <w:t>Net worth(a)</w:t>
            </w:r>
          </w:p>
        </w:tc>
        <w:tc>
          <w:tcPr>
            <w:tcW w:w="1105" w:type="dxa"/>
            <w:tcBorders>
              <w:top w:val="nil"/>
              <w:left w:val="nil"/>
              <w:bottom w:val="single" w:sz="4" w:space="0" w:color="293F5B"/>
              <w:right w:val="nil"/>
            </w:tcBorders>
            <w:shd w:val="clear" w:color="000000" w:fill="FFFFFF"/>
            <w:noWrap/>
            <w:vAlign w:val="center"/>
            <w:hideMark/>
          </w:tcPr>
          <w:p w14:paraId="11F86015" w14:textId="2AF534E6" w:rsidR="0082247B" w:rsidRPr="00AC3389" w:rsidRDefault="00325E1E" w:rsidP="00FE46DB">
            <w:pPr>
              <w:pStyle w:val="TableTextRight"/>
              <w:rPr>
                <w:b/>
              </w:rPr>
            </w:pPr>
            <w:r>
              <w:rPr>
                <w:b/>
              </w:rPr>
              <w:noBreakHyphen/>
            </w:r>
            <w:r w:rsidR="0082247B">
              <w:rPr>
                <w:b/>
              </w:rPr>
              <w:t>524,163</w:t>
            </w:r>
          </w:p>
        </w:tc>
        <w:tc>
          <w:tcPr>
            <w:tcW w:w="1105" w:type="dxa"/>
            <w:tcBorders>
              <w:top w:val="nil"/>
              <w:left w:val="nil"/>
              <w:bottom w:val="single" w:sz="4" w:space="0" w:color="293F5B"/>
              <w:right w:val="nil"/>
            </w:tcBorders>
            <w:shd w:val="clear" w:color="000000" w:fill="E6F2FF"/>
            <w:noWrap/>
            <w:vAlign w:val="center"/>
            <w:hideMark/>
          </w:tcPr>
          <w:p w14:paraId="008ACAF1" w14:textId="0ECC1A69" w:rsidR="0082247B" w:rsidRPr="00AC3389" w:rsidRDefault="00325E1E" w:rsidP="00FE46DB">
            <w:pPr>
              <w:pStyle w:val="TableTextRight"/>
              <w:rPr>
                <w:b/>
              </w:rPr>
            </w:pPr>
            <w:r>
              <w:rPr>
                <w:b/>
              </w:rPr>
              <w:noBreakHyphen/>
            </w:r>
            <w:r w:rsidR="0082247B">
              <w:rPr>
                <w:b/>
              </w:rPr>
              <w:t>562,118</w:t>
            </w:r>
          </w:p>
        </w:tc>
      </w:tr>
      <w:tr w:rsidR="0082247B" w:rsidRPr="00AC3389" w14:paraId="00EAAFA5" w14:textId="77777777" w:rsidTr="00FE46DB">
        <w:trPr>
          <w:trHeight w:val="225"/>
        </w:trPr>
        <w:tc>
          <w:tcPr>
            <w:tcW w:w="5500" w:type="dxa"/>
            <w:tcBorders>
              <w:top w:val="nil"/>
              <w:left w:val="nil"/>
              <w:bottom w:val="nil"/>
              <w:right w:val="nil"/>
            </w:tcBorders>
            <w:shd w:val="clear" w:color="000000" w:fill="FFFFFF"/>
            <w:noWrap/>
            <w:vAlign w:val="center"/>
            <w:hideMark/>
          </w:tcPr>
          <w:p w14:paraId="04B29FAC" w14:textId="77777777" w:rsidR="0082247B" w:rsidRPr="00AC3389" w:rsidRDefault="0082247B" w:rsidP="00694E07">
            <w:pPr>
              <w:pStyle w:val="TableTextLeft"/>
              <w:rPr>
                <w:i/>
              </w:rPr>
            </w:pPr>
            <w:r w:rsidRPr="00AC3389">
              <w:rPr>
                <w:i/>
              </w:rPr>
              <w:t>Net financial worth(b)</w:t>
            </w:r>
          </w:p>
        </w:tc>
        <w:tc>
          <w:tcPr>
            <w:tcW w:w="1105" w:type="dxa"/>
            <w:tcBorders>
              <w:top w:val="nil"/>
              <w:left w:val="nil"/>
              <w:bottom w:val="nil"/>
              <w:right w:val="nil"/>
            </w:tcBorders>
            <w:shd w:val="clear" w:color="000000" w:fill="FFFFFF"/>
            <w:noWrap/>
            <w:vAlign w:val="center"/>
            <w:hideMark/>
          </w:tcPr>
          <w:p w14:paraId="53A42CC6" w14:textId="616AF6AA" w:rsidR="0082247B" w:rsidRPr="00AC3389" w:rsidRDefault="00325E1E" w:rsidP="00FE46DB">
            <w:pPr>
              <w:pStyle w:val="TableTextRight"/>
              <w:rPr>
                <w:i/>
              </w:rPr>
            </w:pPr>
            <w:r>
              <w:rPr>
                <w:i/>
              </w:rPr>
              <w:noBreakHyphen/>
            </w:r>
            <w:r w:rsidR="0082247B">
              <w:rPr>
                <w:i/>
              </w:rPr>
              <w:t>811,973</w:t>
            </w:r>
          </w:p>
        </w:tc>
        <w:tc>
          <w:tcPr>
            <w:tcW w:w="1105" w:type="dxa"/>
            <w:tcBorders>
              <w:top w:val="nil"/>
              <w:left w:val="nil"/>
              <w:bottom w:val="nil"/>
              <w:right w:val="nil"/>
            </w:tcBorders>
            <w:shd w:val="clear" w:color="000000" w:fill="E6F2FF"/>
            <w:noWrap/>
            <w:vAlign w:val="center"/>
            <w:hideMark/>
          </w:tcPr>
          <w:p w14:paraId="5C5696F9" w14:textId="28345E29" w:rsidR="0082247B" w:rsidRPr="00AC3389" w:rsidRDefault="00325E1E" w:rsidP="00FE46DB">
            <w:pPr>
              <w:pStyle w:val="TableTextRight"/>
              <w:rPr>
                <w:i/>
              </w:rPr>
            </w:pPr>
            <w:r>
              <w:rPr>
                <w:i/>
              </w:rPr>
              <w:noBreakHyphen/>
            </w:r>
            <w:r w:rsidR="0082247B">
              <w:rPr>
                <w:i/>
              </w:rPr>
              <w:t>865,013</w:t>
            </w:r>
          </w:p>
        </w:tc>
      </w:tr>
      <w:tr w:rsidR="0082247B" w:rsidRPr="00AC3389" w14:paraId="2468871F" w14:textId="77777777" w:rsidTr="00FE46DB">
        <w:trPr>
          <w:trHeight w:val="225"/>
        </w:trPr>
        <w:tc>
          <w:tcPr>
            <w:tcW w:w="5500" w:type="dxa"/>
            <w:tcBorders>
              <w:top w:val="nil"/>
              <w:left w:val="nil"/>
              <w:bottom w:val="single" w:sz="4" w:space="0" w:color="293F5B"/>
              <w:right w:val="nil"/>
            </w:tcBorders>
            <w:shd w:val="clear" w:color="000000" w:fill="FFFFFF"/>
            <w:noWrap/>
            <w:vAlign w:val="center"/>
            <w:hideMark/>
          </w:tcPr>
          <w:p w14:paraId="4660F09B" w14:textId="77777777" w:rsidR="0082247B" w:rsidRPr="00AC3389" w:rsidRDefault="0082247B" w:rsidP="00694E07">
            <w:pPr>
              <w:pStyle w:val="TableTextLeft"/>
              <w:rPr>
                <w:i/>
              </w:rPr>
            </w:pPr>
            <w:r w:rsidRPr="00AC3389">
              <w:rPr>
                <w:i/>
              </w:rPr>
              <w:t xml:space="preserve">Net debt(c) </w:t>
            </w:r>
          </w:p>
        </w:tc>
        <w:tc>
          <w:tcPr>
            <w:tcW w:w="1105" w:type="dxa"/>
            <w:tcBorders>
              <w:top w:val="nil"/>
              <w:left w:val="nil"/>
              <w:bottom w:val="single" w:sz="4" w:space="0" w:color="293F5B"/>
              <w:right w:val="nil"/>
            </w:tcBorders>
            <w:shd w:val="clear" w:color="000000" w:fill="FFFFFF"/>
            <w:noWrap/>
            <w:vAlign w:val="center"/>
            <w:hideMark/>
          </w:tcPr>
          <w:p w14:paraId="0FFB55D6" w14:textId="48067339" w:rsidR="0082247B" w:rsidRPr="00AC3389" w:rsidRDefault="0082247B" w:rsidP="00FE46DB">
            <w:pPr>
              <w:pStyle w:val="TableTextRight"/>
              <w:rPr>
                <w:i/>
              </w:rPr>
            </w:pPr>
            <w:r>
              <w:rPr>
                <w:i/>
              </w:rPr>
              <w:t>545,924</w:t>
            </w:r>
          </w:p>
        </w:tc>
        <w:tc>
          <w:tcPr>
            <w:tcW w:w="1105" w:type="dxa"/>
            <w:tcBorders>
              <w:top w:val="nil"/>
              <w:left w:val="nil"/>
              <w:bottom w:val="single" w:sz="4" w:space="0" w:color="293F5B"/>
              <w:right w:val="nil"/>
            </w:tcBorders>
            <w:shd w:val="clear" w:color="000000" w:fill="E6F2FF"/>
            <w:noWrap/>
            <w:vAlign w:val="center"/>
            <w:hideMark/>
          </w:tcPr>
          <w:p w14:paraId="3818A46C" w14:textId="39BC824B" w:rsidR="0082247B" w:rsidRPr="00AC3389" w:rsidRDefault="0082247B" w:rsidP="00FE46DB">
            <w:pPr>
              <w:pStyle w:val="TableTextRight"/>
              <w:rPr>
                <w:i/>
              </w:rPr>
            </w:pPr>
            <w:r>
              <w:rPr>
                <w:i/>
              </w:rPr>
              <w:t>601,183</w:t>
            </w:r>
          </w:p>
        </w:tc>
      </w:tr>
    </w:tbl>
    <w:p w14:paraId="5176CDC0" w14:textId="326562F5" w:rsidR="00D8138E" w:rsidRPr="00EA746C" w:rsidRDefault="00D8138E" w:rsidP="00D8138E">
      <w:pPr>
        <w:pStyle w:val="ChartandTableFootnoteAlpha"/>
        <w:numPr>
          <w:ilvl w:val="0"/>
          <w:numId w:val="14"/>
        </w:numPr>
      </w:pPr>
      <w:r w:rsidRPr="00EA746C">
        <w:t xml:space="preserve">Under </w:t>
      </w:r>
      <w:r w:rsidR="00A96E0D">
        <w:t>AASB </w:t>
      </w:r>
      <w:r w:rsidRPr="00EA746C">
        <w:t xml:space="preserve">1049, net worth equals total assets minus total liabilities. Under the ABS GFS, net worth equals total assets minus total liabilities minus shares and other contributed capital. The </w:t>
      </w:r>
      <w:r w:rsidR="00A96E0D">
        <w:t>AASB </w:t>
      </w:r>
      <w:r w:rsidRPr="00EA746C">
        <w:t>1049 method is used in this table.</w:t>
      </w:r>
    </w:p>
    <w:p w14:paraId="55C01930" w14:textId="3FAD280A" w:rsidR="00D8138E" w:rsidRPr="00EA746C" w:rsidRDefault="00D8138E" w:rsidP="00D8138E">
      <w:pPr>
        <w:pStyle w:val="ChartandTableFootnoteAlpha"/>
        <w:numPr>
          <w:ilvl w:val="0"/>
          <w:numId w:val="14"/>
        </w:numPr>
      </w:pPr>
      <w:r w:rsidRPr="00EA746C">
        <w:t xml:space="preserve">Under </w:t>
      </w:r>
      <w:r w:rsidR="00A96E0D">
        <w:t>AASB </w:t>
      </w:r>
      <w:r w:rsidRPr="00EA746C">
        <w:t xml:space="preserve">1049, net financial worth equals total financial assets minus total liabilities. Under the ABS GFS, net financial worth equals total financial assets minus total liabilities minus shares and other contributed capital. The </w:t>
      </w:r>
      <w:r w:rsidR="00A96E0D">
        <w:t>AASB </w:t>
      </w:r>
      <w:r w:rsidRPr="00EA746C">
        <w:t>1049 method is used in this table.</w:t>
      </w:r>
    </w:p>
    <w:p w14:paraId="4593297E" w14:textId="77777777" w:rsidR="00D8138E" w:rsidRPr="00EA746C" w:rsidRDefault="00D8138E" w:rsidP="00D8138E">
      <w:pPr>
        <w:pStyle w:val="ChartandTableFootnoteAlpha"/>
        <w:numPr>
          <w:ilvl w:val="0"/>
          <w:numId w:val="14"/>
        </w:numPr>
      </w:pPr>
      <w:r w:rsidRPr="00EA746C">
        <w:t>Net debt is the sum of interest bearing liabilities less the sum of selected financial assets (cash and deposits, advances paid and investments, loans and placements).</w:t>
      </w:r>
    </w:p>
    <w:p w14:paraId="39ABA58F" w14:textId="77777777" w:rsidR="00D8138E" w:rsidRPr="00EA746C" w:rsidRDefault="00D8138E" w:rsidP="00D736F4">
      <w:pPr>
        <w:pStyle w:val="TableLine"/>
      </w:pPr>
    </w:p>
    <w:p w14:paraId="08FB302D" w14:textId="77777777" w:rsidR="00D8138E" w:rsidRPr="00EA746C" w:rsidRDefault="00D8138E" w:rsidP="00D8138E">
      <w:r w:rsidRPr="00EA746C">
        <w:br w:type="page"/>
      </w:r>
    </w:p>
    <w:p w14:paraId="2773DDEE" w14:textId="1B2261B1"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EA746C">
        <w:t>1</w:t>
      </w:r>
      <w:r w:rsidR="00603DAA">
        <w:t>0</w:t>
      </w:r>
      <w:r w:rsidR="00D8138E" w:rsidRPr="00EA746C">
        <w:t>.9: Australian Government total non</w:t>
      </w:r>
      <w:r w:rsidR="00325E1E">
        <w:noBreakHyphen/>
      </w:r>
      <w:r w:rsidR="00D8138E" w:rsidRPr="00EA746C">
        <w:t>financial public sector cash flow statement</w:t>
      </w:r>
      <w:r w:rsidR="00D8138E" w:rsidRPr="00EA746C">
        <w:rPr>
          <w:vertAlign w:val="superscript"/>
        </w:rPr>
        <w:t>(a)</w:t>
      </w:r>
      <w:r w:rsidR="00D8138E">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5502"/>
        <w:gridCol w:w="1104"/>
        <w:gridCol w:w="1104"/>
      </w:tblGrid>
      <w:tr w:rsidR="000629BF" w:rsidRPr="00346557" w14:paraId="7D46322D" w14:textId="77777777" w:rsidTr="00A16052">
        <w:trPr>
          <w:trHeight w:hRule="exact" w:val="225"/>
        </w:trPr>
        <w:tc>
          <w:tcPr>
            <w:tcW w:w="3568" w:type="pct"/>
            <w:tcBorders>
              <w:top w:val="single" w:sz="4" w:space="0" w:color="293F5B"/>
              <w:left w:val="nil"/>
              <w:bottom w:val="nil"/>
              <w:right w:val="nil"/>
            </w:tcBorders>
            <w:shd w:val="clear" w:color="000000" w:fill="FFFFFF"/>
            <w:noWrap/>
            <w:vAlign w:val="center"/>
            <w:hideMark/>
          </w:tcPr>
          <w:p w14:paraId="2315B40D" w14:textId="77E71809" w:rsidR="000629BF" w:rsidRPr="00346557" w:rsidRDefault="000629BF" w:rsidP="000629BF">
            <w:pPr>
              <w:rPr>
                <w:rFonts w:ascii="Arial" w:hAnsi="Arial" w:cs="Arial"/>
                <w:sz w:val="16"/>
                <w:szCs w:val="16"/>
              </w:rPr>
            </w:pPr>
            <w:r>
              <w:rPr>
                <w:rFonts w:ascii="Arial" w:hAnsi="Arial" w:cs="Arial"/>
                <w:sz w:val="16"/>
                <w:szCs w:val="16"/>
              </w:rPr>
              <w:t> </w:t>
            </w:r>
          </w:p>
        </w:tc>
        <w:tc>
          <w:tcPr>
            <w:tcW w:w="1432" w:type="pct"/>
            <w:gridSpan w:val="2"/>
            <w:tcBorders>
              <w:top w:val="single" w:sz="4" w:space="0" w:color="293F5B"/>
              <w:left w:val="nil"/>
              <w:bottom w:val="single" w:sz="4" w:space="0" w:color="293F5B"/>
              <w:right w:val="nil"/>
            </w:tcBorders>
            <w:shd w:val="clear" w:color="000000" w:fill="FFFFFF"/>
            <w:noWrap/>
            <w:vAlign w:val="center"/>
            <w:hideMark/>
          </w:tcPr>
          <w:p w14:paraId="12A9203B" w14:textId="3AD77391" w:rsidR="000629BF" w:rsidRPr="00346557" w:rsidRDefault="000629BF" w:rsidP="00DC7BE9">
            <w:pPr>
              <w:pStyle w:val="TableTextCentred"/>
            </w:pPr>
            <w:r>
              <w:t>Estimates</w:t>
            </w:r>
          </w:p>
        </w:tc>
      </w:tr>
      <w:tr w:rsidR="000629BF" w:rsidRPr="00346557" w14:paraId="3CB91A9B"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08FFD1C7" w14:textId="29879F51" w:rsidR="000629BF" w:rsidRPr="00346557" w:rsidRDefault="000629BF" w:rsidP="006178FC">
            <w:pPr>
              <w:pStyle w:val="TableTextLeft"/>
            </w:pPr>
            <w:r>
              <w:t> </w:t>
            </w:r>
          </w:p>
        </w:tc>
        <w:tc>
          <w:tcPr>
            <w:tcW w:w="716" w:type="pct"/>
            <w:tcBorders>
              <w:top w:val="nil"/>
              <w:left w:val="nil"/>
              <w:bottom w:val="nil"/>
              <w:right w:val="nil"/>
            </w:tcBorders>
            <w:shd w:val="clear" w:color="000000" w:fill="FFFFFF"/>
            <w:noWrap/>
            <w:vAlign w:val="center"/>
            <w:hideMark/>
          </w:tcPr>
          <w:p w14:paraId="591F6249" w14:textId="5D191852" w:rsidR="000629BF" w:rsidRPr="00346557" w:rsidRDefault="000629BF" w:rsidP="00DC7BE9">
            <w:pPr>
              <w:pStyle w:val="TableTextRight"/>
            </w:pPr>
            <w:r>
              <w:t>2023</w:t>
            </w:r>
            <w:r w:rsidR="00325E1E">
              <w:noBreakHyphen/>
            </w:r>
            <w:r>
              <w:t>24</w:t>
            </w:r>
          </w:p>
        </w:tc>
        <w:tc>
          <w:tcPr>
            <w:tcW w:w="716" w:type="pct"/>
            <w:tcBorders>
              <w:top w:val="nil"/>
              <w:left w:val="nil"/>
              <w:bottom w:val="nil"/>
              <w:right w:val="nil"/>
            </w:tcBorders>
            <w:shd w:val="clear" w:color="000000" w:fill="E6F2FF"/>
            <w:noWrap/>
            <w:vAlign w:val="center"/>
            <w:hideMark/>
          </w:tcPr>
          <w:p w14:paraId="240A5DB1" w14:textId="382EE6C7" w:rsidR="000629BF" w:rsidRPr="00346557" w:rsidRDefault="000629BF" w:rsidP="00DC7BE9">
            <w:pPr>
              <w:pStyle w:val="TableTextRight"/>
            </w:pPr>
            <w:r>
              <w:t>2024</w:t>
            </w:r>
            <w:r w:rsidR="00325E1E">
              <w:noBreakHyphen/>
            </w:r>
            <w:r>
              <w:t>25</w:t>
            </w:r>
          </w:p>
        </w:tc>
      </w:tr>
      <w:tr w:rsidR="000629BF" w:rsidRPr="00346557" w14:paraId="43A92B81"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43E74D7" w14:textId="1A123F99" w:rsidR="000629BF" w:rsidRPr="00346557" w:rsidRDefault="000629BF" w:rsidP="006178FC">
            <w:pPr>
              <w:pStyle w:val="TableTextLeft"/>
              <w:rPr>
                <w:b/>
              </w:rPr>
            </w:pPr>
            <w:r>
              <w:rPr>
                <w:b/>
              </w:rPr>
              <w:t> </w:t>
            </w:r>
          </w:p>
        </w:tc>
        <w:tc>
          <w:tcPr>
            <w:tcW w:w="716" w:type="pct"/>
            <w:tcBorders>
              <w:top w:val="nil"/>
              <w:left w:val="nil"/>
              <w:bottom w:val="single" w:sz="4" w:space="0" w:color="293F5B"/>
              <w:right w:val="nil"/>
            </w:tcBorders>
            <w:shd w:val="clear" w:color="000000" w:fill="FFFFFF"/>
            <w:noWrap/>
            <w:vAlign w:val="center"/>
            <w:hideMark/>
          </w:tcPr>
          <w:p w14:paraId="0B152F5B" w14:textId="333B7F6F" w:rsidR="000629BF" w:rsidRPr="00346557" w:rsidRDefault="000629BF" w:rsidP="00DC7BE9">
            <w:pPr>
              <w:pStyle w:val="TableTextRight"/>
            </w:pPr>
            <w:r>
              <w:t>$m</w:t>
            </w:r>
          </w:p>
        </w:tc>
        <w:tc>
          <w:tcPr>
            <w:tcW w:w="716" w:type="pct"/>
            <w:tcBorders>
              <w:top w:val="nil"/>
              <w:left w:val="nil"/>
              <w:bottom w:val="single" w:sz="4" w:space="0" w:color="293F5B"/>
              <w:right w:val="nil"/>
            </w:tcBorders>
            <w:shd w:val="clear" w:color="000000" w:fill="E6F2FF"/>
            <w:noWrap/>
            <w:vAlign w:val="center"/>
            <w:hideMark/>
          </w:tcPr>
          <w:p w14:paraId="46C661F7" w14:textId="386C50D1" w:rsidR="000629BF" w:rsidRPr="00346557" w:rsidRDefault="000629BF" w:rsidP="00DC7BE9">
            <w:pPr>
              <w:pStyle w:val="TableTextRight"/>
            </w:pPr>
            <w:r>
              <w:t>$m</w:t>
            </w:r>
          </w:p>
        </w:tc>
      </w:tr>
      <w:tr w:rsidR="000629BF" w:rsidRPr="00346557" w14:paraId="0C51DF4A"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4BF6C77C" w14:textId="7A5CBAC6" w:rsidR="000629BF" w:rsidRPr="00346557" w:rsidRDefault="000629BF" w:rsidP="006178FC">
            <w:pPr>
              <w:pStyle w:val="TableTextLeft"/>
              <w:rPr>
                <w:b/>
              </w:rPr>
            </w:pPr>
            <w:r>
              <w:rPr>
                <w:b/>
              </w:rPr>
              <w:t>Cash receipts from operating activities</w:t>
            </w:r>
          </w:p>
        </w:tc>
        <w:tc>
          <w:tcPr>
            <w:tcW w:w="716" w:type="pct"/>
            <w:tcBorders>
              <w:top w:val="nil"/>
              <w:left w:val="nil"/>
              <w:bottom w:val="nil"/>
              <w:right w:val="nil"/>
            </w:tcBorders>
            <w:shd w:val="clear" w:color="000000" w:fill="FFFFFF"/>
            <w:noWrap/>
            <w:vAlign w:val="center"/>
            <w:hideMark/>
          </w:tcPr>
          <w:p w14:paraId="554FAECC" w14:textId="19635C55"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6CF19E46" w14:textId="276046D0" w:rsidR="000629BF" w:rsidRPr="00346557" w:rsidRDefault="000629BF" w:rsidP="00DC7BE9">
            <w:pPr>
              <w:pStyle w:val="TableTextRight"/>
            </w:pPr>
            <w:r>
              <w:t> </w:t>
            </w:r>
          </w:p>
        </w:tc>
      </w:tr>
      <w:tr w:rsidR="00E0613A" w:rsidRPr="00346557" w14:paraId="19E0D8D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BEFD71A" w14:textId="3593E7D9" w:rsidR="00E0613A" w:rsidRPr="00346557" w:rsidRDefault="00E0613A" w:rsidP="006178FC">
            <w:pPr>
              <w:pStyle w:val="TableTextLeft"/>
            </w:pPr>
            <w:r>
              <w:t>Taxes received</w:t>
            </w:r>
          </w:p>
        </w:tc>
        <w:tc>
          <w:tcPr>
            <w:tcW w:w="716" w:type="pct"/>
            <w:tcBorders>
              <w:top w:val="nil"/>
              <w:left w:val="nil"/>
              <w:bottom w:val="nil"/>
              <w:right w:val="nil"/>
            </w:tcBorders>
            <w:shd w:val="clear" w:color="000000" w:fill="FFFFFF"/>
            <w:noWrap/>
            <w:vAlign w:val="center"/>
            <w:hideMark/>
          </w:tcPr>
          <w:p w14:paraId="7B1BC347" w14:textId="3868CD08" w:rsidR="00E0613A" w:rsidRPr="00346557" w:rsidRDefault="00E0613A" w:rsidP="00DC7BE9">
            <w:pPr>
              <w:pStyle w:val="TableTextRight"/>
            </w:pPr>
            <w:r>
              <w:t>638,801</w:t>
            </w:r>
          </w:p>
        </w:tc>
        <w:tc>
          <w:tcPr>
            <w:tcW w:w="716" w:type="pct"/>
            <w:tcBorders>
              <w:top w:val="nil"/>
              <w:left w:val="nil"/>
              <w:bottom w:val="nil"/>
              <w:right w:val="nil"/>
            </w:tcBorders>
            <w:shd w:val="clear" w:color="000000" w:fill="E6F2FF"/>
            <w:noWrap/>
            <w:vAlign w:val="center"/>
            <w:hideMark/>
          </w:tcPr>
          <w:p w14:paraId="731F7BE4" w14:textId="22433B56" w:rsidR="00E0613A" w:rsidRPr="00346557" w:rsidRDefault="00E0613A" w:rsidP="00DC7BE9">
            <w:pPr>
              <w:pStyle w:val="TableTextRight"/>
            </w:pPr>
            <w:r>
              <w:t>642,363</w:t>
            </w:r>
          </w:p>
        </w:tc>
      </w:tr>
      <w:tr w:rsidR="00E0613A" w:rsidRPr="00346557" w14:paraId="56DE6187"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61EB38B8" w14:textId="24236AC4" w:rsidR="00E0613A" w:rsidRPr="00346557" w:rsidRDefault="00E0613A" w:rsidP="006178FC">
            <w:pPr>
              <w:pStyle w:val="TableTextLeft"/>
            </w:pPr>
            <w:r>
              <w:t>Receipts from sales of goods and services</w:t>
            </w:r>
          </w:p>
        </w:tc>
        <w:tc>
          <w:tcPr>
            <w:tcW w:w="716" w:type="pct"/>
            <w:tcBorders>
              <w:top w:val="nil"/>
              <w:left w:val="nil"/>
              <w:bottom w:val="nil"/>
              <w:right w:val="nil"/>
            </w:tcBorders>
            <w:shd w:val="clear" w:color="000000" w:fill="FFFFFF"/>
            <w:noWrap/>
            <w:vAlign w:val="center"/>
            <w:hideMark/>
          </w:tcPr>
          <w:p w14:paraId="17EBE6C7" w14:textId="50605AE0" w:rsidR="00E0613A" w:rsidRPr="00346557" w:rsidRDefault="00E0613A" w:rsidP="00DC7BE9">
            <w:pPr>
              <w:pStyle w:val="TableTextRight"/>
            </w:pPr>
            <w:r>
              <w:t>39,381</w:t>
            </w:r>
          </w:p>
        </w:tc>
        <w:tc>
          <w:tcPr>
            <w:tcW w:w="716" w:type="pct"/>
            <w:tcBorders>
              <w:top w:val="nil"/>
              <w:left w:val="nil"/>
              <w:bottom w:val="nil"/>
              <w:right w:val="nil"/>
            </w:tcBorders>
            <w:shd w:val="clear" w:color="000000" w:fill="E6F2FF"/>
            <w:noWrap/>
            <w:vAlign w:val="center"/>
            <w:hideMark/>
          </w:tcPr>
          <w:p w14:paraId="50012467" w14:textId="421DA1F7" w:rsidR="00E0613A" w:rsidRPr="00346557" w:rsidRDefault="00E0613A" w:rsidP="00DC7BE9">
            <w:pPr>
              <w:pStyle w:val="TableTextRight"/>
            </w:pPr>
            <w:r>
              <w:t>42,294</w:t>
            </w:r>
          </w:p>
        </w:tc>
      </w:tr>
      <w:tr w:rsidR="00E0613A" w:rsidRPr="00346557" w14:paraId="7673F39C"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C505747" w14:textId="752279EB" w:rsidR="00E0613A" w:rsidRPr="00346557" w:rsidRDefault="00E0613A" w:rsidP="006178FC">
            <w:pPr>
              <w:pStyle w:val="TableTextLeft"/>
            </w:pPr>
            <w:r>
              <w:t>Interest receipts</w:t>
            </w:r>
          </w:p>
        </w:tc>
        <w:tc>
          <w:tcPr>
            <w:tcW w:w="716" w:type="pct"/>
            <w:tcBorders>
              <w:top w:val="nil"/>
              <w:left w:val="nil"/>
              <w:bottom w:val="nil"/>
              <w:right w:val="nil"/>
            </w:tcBorders>
            <w:shd w:val="clear" w:color="000000" w:fill="FFFFFF"/>
            <w:noWrap/>
            <w:vAlign w:val="center"/>
            <w:hideMark/>
          </w:tcPr>
          <w:p w14:paraId="21311377" w14:textId="49963713" w:rsidR="00E0613A" w:rsidRPr="00346557" w:rsidRDefault="00E0613A" w:rsidP="00DC7BE9">
            <w:pPr>
              <w:pStyle w:val="TableTextRight"/>
            </w:pPr>
            <w:r>
              <w:t>10,236</w:t>
            </w:r>
          </w:p>
        </w:tc>
        <w:tc>
          <w:tcPr>
            <w:tcW w:w="716" w:type="pct"/>
            <w:tcBorders>
              <w:top w:val="nil"/>
              <w:left w:val="nil"/>
              <w:bottom w:val="nil"/>
              <w:right w:val="nil"/>
            </w:tcBorders>
            <w:shd w:val="clear" w:color="000000" w:fill="E6F2FF"/>
            <w:noWrap/>
            <w:vAlign w:val="center"/>
            <w:hideMark/>
          </w:tcPr>
          <w:p w14:paraId="72C47972" w14:textId="7C3993A8" w:rsidR="00E0613A" w:rsidRPr="00346557" w:rsidRDefault="00E0613A" w:rsidP="00DC7BE9">
            <w:pPr>
              <w:pStyle w:val="TableTextRight"/>
            </w:pPr>
            <w:r>
              <w:t>9,285</w:t>
            </w:r>
          </w:p>
        </w:tc>
      </w:tr>
      <w:tr w:rsidR="00E0613A" w:rsidRPr="00346557" w14:paraId="737AAF4C"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5955A8C6" w14:textId="0C18ED4B" w:rsidR="00E0613A" w:rsidRPr="00346557" w:rsidRDefault="00E0613A" w:rsidP="006178FC">
            <w:pPr>
              <w:pStyle w:val="TableTextLeft"/>
            </w:pPr>
            <w:r>
              <w:t>Dividends, distributions and income tax equivalents</w:t>
            </w:r>
          </w:p>
        </w:tc>
        <w:tc>
          <w:tcPr>
            <w:tcW w:w="716" w:type="pct"/>
            <w:tcBorders>
              <w:top w:val="nil"/>
              <w:left w:val="nil"/>
              <w:bottom w:val="nil"/>
              <w:right w:val="nil"/>
            </w:tcBorders>
            <w:shd w:val="clear" w:color="000000" w:fill="FFFFFF"/>
            <w:noWrap/>
            <w:vAlign w:val="center"/>
            <w:hideMark/>
          </w:tcPr>
          <w:p w14:paraId="46388C92" w14:textId="5874E987" w:rsidR="00E0613A" w:rsidRPr="00346557" w:rsidRDefault="00E0613A" w:rsidP="00DC7BE9">
            <w:pPr>
              <w:pStyle w:val="TableTextRight"/>
            </w:pPr>
            <w:r>
              <w:t>5,670</w:t>
            </w:r>
          </w:p>
        </w:tc>
        <w:tc>
          <w:tcPr>
            <w:tcW w:w="716" w:type="pct"/>
            <w:tcBorders>
              <w:top w:val="nil"/>
              <w:left w:val="nil"/>
              <w:bottom w:val="nil"/>
              <w:right w:val="nil"/>
            </w:tcBorders>
            <w:shd w:val="clear" w:color="000000" w:fill="E6F2FF"/>
            <w:noWrap/>
            <w:vAlign w:val="center"/>
            <w:hideMark/>
          </w:tcPr>
          <w:p w14:paraId="02759250" w14:textId="7C762830" w:rsidR="00E0613A" w:rsidRPr="00346557" w:rsidRDefault="00E0613A" w:rsidP="00DC7BE9">
            <w:pPr>
              <w:pStyle w:val="TableTextRight"/>
            </w:pPr>
            <w:r>
              <w:t>6,548</w:t>
            </w:r>
          </w:p>
        </w:tc>
      </w:tr>
      <w:tr w:rsidR="00E0613A" w:rsidRPr="00346557" w14:paraId="194D5457"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44A3E535" w14:textId="1E268BFD" w:rsidR="00E0613A" w:rsidRPr="00346557" w:rsidRDefault="00E0613A" w:rsidP="006178FC">
            <w:pPr>
              <w:pStyle w:val="TableTextLeft"/>
            </w:pPr>
            <w:r>
              <w:t>Other receipts</w:t>
            </w:r>
          </w:p>
        </w:tc>
        <w:tc>
          <w:tcPr>
            <w:tcW w:w="716" w:type="pct"/>
            <w:tcBorders>
              <w:top w:val="nil"/>
              <w:left w:val="nil"/>
              <w:bottom w:val="nil"/>
              <w:right w:val="nil"/>
            </w:tcBorders>
            <w:shd w:val="clear" w:color="000000" w:fill="FFFFFF"/>
            <w:noWrap/>
            <w:vAlign w:val="center"/>
            <w:hideMark/>
          </w:tcPr>
          <w:p w14:paraId="5E9CF0B4" w14:textId="3E7BA9FA" w:rsidR="00E0613A" w:rsidRPr="00346557" w:rsidRDefault="00E0613A" w:rsidP="00DC7BE9">
            <w:pPr>
              <w:pStyle w:val="TableTextRight"/>
            </w:pPr>
            <w:r>
              <w:t>14,256</w:t>
            </w:r>
          </w:p>
        </w:tc>
        <w:tc>
          <w:tcPr>
            <w:tcW w:w="716" w:type="pct"/>
            <w:tcBorders>
              <w:top w:val="nil"/>
              <w:left w:val="nil"/>
              <w:bottom w:val="nil"/>
              <w:right w:val="nil"/>
            </w:tcBorders>
            <w:shd w:val="clear" w:color="000000" w:fill="E6F2FF"/>
            <w:noWrap/>
            <w:vAlign w:val="center"/>
            <w:hideMark/>
          </w:tcPr>
          <w:p w14:paraId="45CB0A0C" w14:textId="647D9956" w:rsidR="00E0613A" w:rsidRPr="00346557" w:rsidRDefault="00E0613A" w:rsidP="00DC7BE9">
            <w:pPr>
              <w:pStyle w:val="TableTextRight"/>
            </w:pPr>
            <w:r>
              <w:t>18,181</w:t>
            </w:r>
          </w:p>
        </w:tc>
      </w:tr>
      <w:tr w:rsidR="00E0613A" w:rsidRPr="00346557" w14:paraId="7A210F1C"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46A94940" w14:textId="5245DEA2" w:rsidR="00E0613A" w:rsidRPr="00346557" w:rsidRDefault="00E0613A" w:rsidP="006178FC">
            <w:pPr>
              <w:pStyle w:val="TableTextLeft"/>
              <w:rPr>
                <w:b/>
              </w:rPr>
            </w:pPr>
            <w:r>
              <w:rPr>
                <w:b/>
              </w:rPr>
              <w:t>Total operating receipts</w:t>
            </w:r>
          </w:p>
        </w:tc>
        <w:tc>
          <w:tcPr>
            <w:tcW w:w="716" w:type="pct"/>
            <w:tcBorders>
              <w:top w:val="nil"/>
              <w:left w:val="nil"/>
              <w:bottom w:val="nil"/>
              <w:right w:val="nil"/>
            </w:tcBorders>
            <w:shd w:val="clear" w:color="000000" w:fill="FFFFFF"/>
            <w:noWrap/>
            <w:vAlign w:val="center"/>
            <w:hideMark/>
          </w:tcPr>
          <w:p w14:paraId="676BE634" w14:textId="0D0121B1" w:rsidR="00E0613A" w:rsidRPr="00346557" w:rsidRDefault="00E0613A" w:rsidP="00DC7BE9">
            <w:pPr>
              <w:pStyle w:val="TableTextRight"/>
              <w:rPr>
                <w:b/>
              </w:rPr>
            </w:pPr>
            <w:r>
              <w:rPr>
                <w:b/>
              </w:rPr>
              <w:t>708,343</w:t>
            </w:r>
          </w:p>
        </w:tc>
        <w:tc>
          <w:tcPr>
            <w:tcW w:w="716" w:type="pct"/>
            <w:tcBorders>
              <w:top w:val="nil"/>
              <w:left w:val="nil"/>
              <w:bottom w:val="nil"/>
              <w:right w:val="nil"/>
            </w:tcBorders>
            <w:shd w:val="clear" w:color="000000" w:fill="E6F2FF"/>
            <w:noWrap/>
            <w:vAlign w:val="center"/>
            <w:hideMark/>
          </w:tcPr>
          <w:p w14:paraId="316B3D72" w14:textId="76E94D66" w:rsidR="00E0613A" w:rsidRPr="00346557" w:rsidRDefault="00E0613A" w:rsidP="00DC7BE9">
            <w:pPr>
              <w:pStyle w:val="TableTextRight"/>
              <w:rPr>
                <w:b/>
              </w:rPr>
            </w:pPr>
            <w:r>
              <w:rPr>
                <w:b/>
              </w:rPr>
              <w:t>718,672</w:t>
            </w:r>
          </w:p>
        </w:tc>
      </w:tr>
      <w:tr w:rsidR="000629BF" w:rsidRPr="00346557" w14:paraId="3E149FE6"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614D9710" w14:textId="30AA908E" w:rsidR="000629BF" w:rsidRPr="00346557" w:rsidRDefault="000629BF" w:rsidP="006178FC">
            <w:pPr>
              <w:pStyle w:val="TableTextLeft"/>
            </w:pPr>
            <w:r>
              <w:t> </w:t>
            </w:r>
          </w:p>
        </w:tc>
        <w:tc>
          <w:tcPr>
            <w:tcW w:w="716" w:type="pct"/>
            <w:tcBorders>
              <w:top w:val="nil"/>
              <w:left w:val="nil"/>
              <w:bottom w:val="nil"/>
              <w:right w:val="nil"/>
            </w:tcBorders>
            <w:shd w:val="clear" w:color="000000" w:fill="FFFFFF"/>
            <w:noWrap/>
            <w:vAlign w:val="center"/>
            <w:hideMark/>
          </w:tcPr>
          <w:p w14:paraId="78A91E3F" w14:textId="19AA0B04"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0AFA4423" w14:textId="51053791" w:rsidR="000629BF" w:rsidRPr="00346557" w:rsidRDefault="000629BF" w:rsidP="00DC7BE9">
            <w:pPr>
              <w:pStyle w:val="TableTextRight"/>
            </w:pPr>
            <w:r>
              <w:t> </w:t>
            </w:r>
          </w:p>
        </w:tc>
      </w:tr>
      <w:tr w:rsidR="000629BF" w:rsidRPr="00346557" w14:paraId="67E708B4"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8470256" w14:textId="1AEDCF03" w:rsidR="000629BF" w:rsidRPr="00346557" w:rsidRDefault="000629BF" w:rsidP="006178FC">
            <w:pPr>
              <w:pStyle w:val="TableTextLeft"/>
              <w:rPr>
                <w:b/>
              </w:rPr>
            </w:pPr>
            <w:r>
              <w:rPr>
                <w:b/>
              </w:rPr>
              <w:t>Cash payments for operating activities</w:t>
            </w:r>
          </w:p>
        </w:tc>
        <w:tc>
          <w:tcPr>
            <w:tcW w:w="716" w:type="pct"/>
            <w:tcBorders>
              <w:top w:val="nil"/>
              <w:left w:val="nil"/>
              <w:bottom w:val="nil"/>
              <w:right w:val="nil"/>
            </w:tcBorders>
            <w:shd w:val="clear" w:color="000000" w:fill="FFFFFF"/>
            <w:noWrap/>
            <w:vAlign w:val="center"/>
            <w:hideMark/>
          </w:tcPr>
          <w:p w14:paraId="17317789" w14:textId="0C53E79E"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5FC37186" w14:textId="53D49BC8" w:rsidR="000629BF" w:rsidRPr="00346557" w:rsidRDefault="000629BF" w:rsidP="00DC7BE9">
            <w:pPr>
              <w:pStyle w:val="TableTextRight"/>
            </w:pPr>
            <w:r>
              <w:t> </w:t>
            </w:r>
          </w:p>
        </w:tc>
      </w:tr>
      <w:tr w:rsidR="002C6B2C" w:rsidRPr="00346557" w14:paraId="1CCE3A3A"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545D83B" w14:textId="44505EA0" w:rsidR="002C6B2C" w:rsidRPr="00346557" w:rsidRDefault="002C6B2C" w:rsidP="006178FC">
            <w:pPr>
              <w:pStyle w:val="TableTextLeft"/>
            </w:pPr>
            <w:r>
              <w:t>Payments to employees(b)</w:t>
            </w:r>
          </w:p>
        </w:tc>
        <w:tc>
          <w:tcPr>
            <w:tcW w:w="716" w:type="pct"/>
            <w:tcBorders>
              <w:top w:val="nil"/>
              <w:left w:val="nil"/>
              <w:bottom w:val="nil"/>
              <w:right w:val="nil"/>
            </w:tcBorders>
            <w:shd w:val="clear" w:color="000000" w:fill="FFFFFF"/>
            <w:noWrap/>
            <w:vAlign w:val="center"/>
            <w:hideMark/>
          </w:tcPr>
          <w:p w14:paraId="0385060F" w14:textId="2628371C" w:rsidR="002C6B2C" w:rsidRPr="00346557" w:rsidRDefault="00325E1E" w:rsidP="00DC7BE9">
            <w:pPr>
              <w:pStyle w:val="TableTextRight"/>
            </w:pPr>
            <w:r>
              <w:noBreakHyphen/>
            </w:r>
            <w:r w:rsidR="002C6B2C">
              <w:t>49,072</w:t>
            </w:r>
          </w:p>
        </w:tc>
        <w:tc>
          <w:tcPr>
            <w:tcW w:w="716" w:type="pct"/>
            <w:tcBorders>
              <w:top w:val="nil"/>
              <w:left w:val="nil"/>
              <w:bottom w:val="nil"/>
              <w:right w:val="nil"/>
            </w:tcBorders>
            <w:shd w:val="clear" w:color="000000" w:fill="E6F2FF"/>
            <w:noWrap/>
            <w:vAlign w:val="center"/>
            <w:hideMark/>
          </w:tcPr>
          <w:p w14:paraId="214630E3" w14:textId="26AAD5F9" w:rsidR="002C6B2C" w:rsidRPr="00346557" w:rsidRDefault="00325E1E" w:rsidP="00DC7BE9">
            <w:pPr>
              <w:pStyle w:val="TableTextRight"/>
            </w:pPr>
            <w:r>
              <w:noBreakHyphen/>
            </w:r>
            <w:r w:rsidR="002C6B2C">
              <w:t>52,410</w:t>
            </w:r>
          </w:p>
        </w:tc>
      </w:tr>
      <w:tr w:rsidR="002C6B2C" w:rsidRPr="00346557" w14:paraId="76A2277C"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E9C7AAB" w14:textId="34DC4E51" w:rsidR="002C6B2C" w:rsidRPr="00346557" w:rsidRDefault="002C6B2C" w:rsidP="006178FC">
            <w:pPr>
              <w:pStyle w:val="TableTextLeft"/>
            </w:pPr>
            <w:r>
              <w:t>Payments for goods and services</w:t>
            </w:r>
          </w:p>
        </w:tc>
        <w:tc>
          <w:tcPr>
            <w:tcW w:w="716" w:type="pct"/>
            <w:tcBorders>
              <w:top w:val="nil"/>
              <w:left w:val="nil"/>
              <w:bottom w:val="nil"/>
              <w:right w:val="nil"/>
            </w:tcBorders>
            <w:shd w:val="clear" w:color="000000" w:fill="FFFFFF"/>
            <w:noWrap/>
            <w:vAlign w:val="center"/>
            <w:hideMark/>
          </w:tcPr>
          <w:p w14:paraId="441AC36B" w14:textId="500A6CAB" w:rsidR="002C6B2C" w:rsidRPr="00346557" w:rsidRDefault="00325E1E" w:rsidP="00DC7BE9">
            <w:pPr>
              <w:pStyle w:val="TableTextRight"/>
            </w:pPr>
            <w:r>
              <w:noBreakHyphen/>
            </w:r>
            <w:r w:rsidR="002C6B2C">
              <w:t>200,587</w:t>
            </w:r>
          </w:p>
        </w:tc>
        <w:tc>
          <w:tcPr>
            <w:tcW w:w="716" w:type="pct"/>
            <w:tcBorders>
              <w:top w:val="nil"/>
              <w:left w:val="nil"/>
              <w:bottom w:val="nil"/>
              <w:right w:val="nil"/>
            </w:tcBorders>
            <w:shd w:val="clear" w:color="000000" w:fill="E6F2FF"/>
            <w:noWrap/>
            <w:vAlign w:val="center"/>
            <w:hideMark/>
          </w:tcPr>
          <w:p w14:paraId="51C7BCC8" w14:textId="4B09D2AE" w:rsidR="002C6B2C" w:rsidRPr="00346557" w:rsidRDefault="00325E1E" w:rsidP="00DC7BE9">
            <w:pPr>
              <w:pStyle w:val="TableTextRight"/>
            </w:pPr>
            <w:r>
              <w:noBreakHyphen/>
            </w:r>
            <w:r w:rsidR="002C6B2C">
              <w:t>219,558</w:t>
            </w:r>
          </w:p>
        </w:tc>
      </w:tr>
      <w:tr w:rsidR="002C6B2C" w:rsidRPr="00346557" w14:paraId="24461572"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45D1B04A" w14:textId="2E5C6F19" w:rsidR="002C6B2C" w:rsidRPr="00346557" w:rsidRDefault="002C6B2C" w:rsidP="006178FC">
            <w:pPr>
              <w:pStyle w:val="TableTextLeft"/>
            </w:pPr>
            <w:r>
              <w:t>Grants and subsidies paid</w:t>
            </w:r>
          </w:p>
        </w:tc>
        <w:tc>
          <w:tcPr>
            <w:tcW w:w="716" w:type="pct"/>
            <w:tcBorders>
              <w:top w:val="nil"/>
              <w:left w:val="nil"/>
              <w:bottom w:val="nil"/>
              <w:right w:val="nil"/>
            </w:tcBorders>
            <w:shd w:val="clear" w:color="000000" w:fill="FFFFFF"/>
            <w:noWrap/>
            <w:vAlign w:val="center"/>
            <w:hideMark/>
          </w:tcPr>
          <w:p w14:paraId="1864E49F" w14:textId="1A8AC398" w:rsidR="002C6B2C" w:rsidRPr="00346557" w:rsidRDefault="00325E1E" w:rsidP="00DC7BE9">
            <w:pPr>
              <w:pStyle w:val="TableTextRight"/>
            </w:pPr>
            <w:r>
              <w:noBreakHyphen/>
            </w:r>
            <w:r w:rsidR="002C6B2C">
              <w:t>239,706</w:t>
            </w:r>
          </w:p>
        </w:tc>
        <w:tc>
          <w:tcPr>
            <w:tcW w:w="716" w:type="pct"/>
            <w:tcBorders>
              <w:top w:val="nil"/>
              <w:left w:val="nil"/>
              <w:bottom w:val="nil"/>
              <w:right w:val="nil"/>
            </w:tcBorders>
            <w:shd w:val="clear" w:color="000000" w:fill="E6F2FF"/>
            <w:noWrap/>
            <w:vAlign w:val="center"/>
            <w:hideMark/>
          </w:tcPr>
          <w:p w14:paraId="71A36427" w14:textId="0072D274" w:rsidR="002C6B2C" w:rsidRPr="00346557" w:rsidRDefault="00325E1E" w:rsidP="00DC7BE9">
            <w:pPr>
              <w:pStyle w:val="TableTextRight"/>
            </w:pPr>
            <w:r>
              <w:noBreakHyphen/>
            </w:r>
            <w:r w:rsidR="002C6B2C">
              <w:t>250,951</w:t>
            </w:r>
          </w:p>
        </w:tc>
      </w:tr>
      <w:tr w:rsidR="002C6B2C" w:rsidRPr="00346557" w14:paraId="33E3A28C"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FB171D5" w14:textId="1BF25185" w:rsidR="002C6B2C" w:rsidRPr="00346557" w:rsidRDefault="002C6B2C" w:rsidP="006178FC">
            <w:pPr>
              <w:pStyle w:val="TableTextLeft"/>
            </w:pPr>
            <w:r>
              <w:t>Interest paid</w:t>
            </w:r>
          </w:p>
        </w:tc>
        <w:tc>
          <w:tcPr>
            <w:tcW w:w="716" w:type="pct"/>
            <w:tcBorders>
              <w:top w:val="nil"/>
              <w:left w:val="nil"/>
              <w:bottom w:val="nil"/>
              <w:right w:val="nil"/>
            </w:tcBorders>
            <w:shd w:val="clear" w:color="000000" w:fill="FFFFFF"/>
            <w:noWrap/>
            <w:vAlign w:val="center"/>
            <w:hideMark/>
          </w:tcPr>
          <w:p w14:paraId="4568D3CB" w14:textId="38C8A8ED" w:rsidR="002C6B2C" w:rsidRPr="00346557" w:rsidRDefault="00325E1E" w:rsidP="00DC7BE9">
            <w:pPr>
              <w:pStyle w:val="TableTextRight"/>
            </w:pPr>
            <w:r>
              <w:noBreakHyphen/>
            </w:r>
            <w:r w:rsidR="002C6B2C">
              <w:t>24,776</w:t>
            </w:r>
          </w:p>
        </w:tc>
        <w:tc>
          <w:tcPr>
            <w:tcW w:w="716" w:type="pct"/>
            <w:tcBorders>
              <w:top w:val="nil"/>
              <w:left w:val="nil"/>
              <w:bottom w:val="nil"/>
              <w:right w:val="nil"/>
            </w:tcBorders>
            <w:shd w:val="clear" w:color="000000" w:fill="E6F2FF"/>
            <w:noWrap/>
            <w:vAlign w:val="center"/>
            <w:hideMark/>
          </w:tcPr>
          <w:p w14:paraId="6191DD4C" w14:textId="3B07BB27" w:rsidR="002C6B2C" w:rsidRPr="00346557" w:rsidRDefault="00325E1E" w:rsidP="00DC7BE9">
            <w:pPr>
              <w:pStyle w:val="TableTextRight"/>
            </w:pPr>
            <w:r>
              <w:noBreakHyphen/>
            </w:r>
            <w:r w:rsidR="002C6B2C">
              <w:t>26,263</w:t>
            </w:r>
          </w:p>
        </w:tc>
      </w:tr>
      <w:tr w:rsidR="002C6B2C" w:rsidRPr="00346557" w14:paraId="0DA8D2F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EDFAAF4" w14:textId="3D076F41" w:rsidR="002C6B2C" w:rsidRPr="00346557" w:rsidRDefault="002C6B2C" w:rsidP="006178FC">
            <w:pPr>
              <w:pStyle w:val="TableTextLeft"/>
            </w:pPr>
            <w:r>
              <w:t>Personal benefit payments</w:t>
            </w:r>
          </w:p>
        </w:tc>
        <w:tc>
          <w:tcPr>
            <w:tcW w:w="716" w:type="pct"/>
            <w:tcBorders>
              <w:top w:val="nil"/>
              <w:left w:val="nil"/>
              <w:bottom w:val="nil"/>
              <w:right w:val="nil"/>
            </w:tcBorders>
            <w:shd w:val="clear" w:color="000000" w:fill="FFFFFF"/>
            <w:noWrap/>
            <w:vAlign w:val="center"/>
            <w:hideMark/>
          </w:tcPr>
          <w:p w14:paraId="25AE212B" w14:textId="4AC09742" w:rsidR="002C6B2C" w:rsidRPr="00346557" w:rsidRDefault="00325E1E" w:rsidP="00DC7BE9">
            <w:pPr>
              <w:pStyle w:val="TableTextRight"/>
            </w:pPr>
            <w:r>
              <w:noBreakHyphen/>
            </w:r>
            <w:r w:rsidR="002C6B2C">
              <w:t>152,828</w:t>
            </w:r>
          </w:p>
        </w:tc>
        <w:tc>
          <w:tcPr>
            <w:tcW w:w="716" w:type="pct"/>
            <w:tcBorders>
              <w:top w:val="nil"/>
              <w:left w:val="nil"/>
              <w:bottom w:val="nil"/>
              <w:right w:val="nil"/>
            </w:tcBorders>
            <w:shd w:val="clear" w:color="000000" w:fill="E6F2FF"/>
            <w:noWrap/>
            <w:vAlign w:val="center"/>
            <w:hideMark/>
          </w:tcPr>
          <w:p w14:paraId="243B2FE3" w14:textId="5F58F720" w:rsidR="002C6B2C" w:rsidRPr="00346557" w:rsidRDefault="00325E1E" w:rsidP="00DC7BE9">
            <w:pPr>
              <w:pStyle w:val="TableTextRight"/>
            </w:pPr>
            <w:r>
              <w:noBreakHyphen/>
            </w:r>
            <w:r w:rsidR="002C6B2C">
              <w:t>161,714</w:t>
            </w:r>
          </w:p>
        </w:tc>
      </w:tr>
      <w:tr w:rsidR="002C6B2C" w:rsidRPr="00346557" w14:paraId="64A2F8EF"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0B1E363" w14:textId="25098F67" w:rsidR="002C6B2C" w:rsidRPr="00346557" w:rsidRDefault="002C6B2C" w:rsidP="006178FC">
            <w:pPr>
              <w:pStyle w:val="TableTextLeft"/>
            </w:pPr>
            <w:r>
              <w:t xml:space="preserve">Other payments(b) </w:t>
            </w:r>
          </w:p>
        </w:tc>
        <w:tc>
          <w:tcPr>
            <w:tcW w:w="716" w:type="pct"/>
            <w:tcBorders>
              <w:top w:val="nil"/>
              <w:left w:val="nil"/>
              <w:bottom w:val="nil"/>
              <w:right w:val="nil"/>
            </w:tcBorders>
            <w:shd w:val="clear" w:color="000000" w:fill="FFFFFF"/>
            <w:noWrap/>
            <w:vAlign w:val="center"/>
            <w:hideMark/>
          </w:tcPr>
          <w:p w14:paraId="636D1365" w14:textId="6739D8DC" w:rsidR="002C6B2C" w:rsidRPr="00346557" w:rsidRDefault="00325E1E" w:rsidP="00DC7BE9">
            <w:pPr>
              <w:pStyle w:val="TableTextRight"/>
            </w:pPr>
            <w:r>
              <w:noBreakHyphen/>
            </w:r>
            <w:r w:rsidR="002C6B2C">
              <w:t>10,819</w:t>
            </w:r>
          </w:p>
        </w:tc>
        <w:tc>
          <w:tcPr>
            <w:tcW w:w="716" w:type="pct"/>
            <w:tcBorders>
              <w:top w:val="nil"/>
              <w:left w:val="nil"/>
              <w:bottom w:val="nil"/>
              <w:right w:val="nil"/>
            </w:tcBorders>
            <w:shd w:val="clear" w:color="000000" w:fill="E6F2FF"/>
            <w:noWrap/>
            <w:vAlign w:val="center"/>
            <w:hideMark/>
          </w:tcPr>
          <w:p w14:paraId="6A8E0000" w14:textId="35075DDA" w:rsidR="002C6B2C" w:rsidRPr="00346557" w:rsidRDefault="00325E1E" w:rsidP="00DC7BE9">
            <w:pPr>
              <w:pStyle w:val="TableTextRight"/>
            </w:pPr>
            <w:r>
              <w:noBreakHyphen/>
            </w:r>
            <w:r w:rsidR="002C6B2C">
              <w:t>11,073</w:t>
            </w:r>
          </w:p>
        </w:tc>
      </w:tr>
      <w:tr w:rsidR="002C6B2C" w:rsidRPr="00346557" w14:paraId="5C0ACA5B"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5B34C91B" w14:textId="20ABB1A0" w:rsidR="002C6B2C" w:rsidRPr="00346557" w:rsidRDefault="002C6B2C" w:rsidP="006178FC">
            <w:pPr>
              <w:pStyle w:val="TableTextLeft"/>
              <w:rPr>
                <w:b/>
              </w:rPr>
            </w:pPr>
            <w:r>
              <w:rPr>
                <w:b/>
              </w:rPr>
              <w:t>Total operating payments</w:t>
            </w:r>
          </w:p>
        </w:tc>
        <w:tc>
          <w:tcPr>
            <w:tcW w:w="716" w:type="pct"/>
            <w:tcBorders>
              <w:top w:val="nil"/>
              <w:left w:val="nil"/>
              <w:bottom w:val="nil"/>
              <w:right w:val="nil"/>
            </w:tcBorders>
            <w:shd w:val="clear" w:color="000000" w:fill="FFFFFF"/>
            <w:noWrap/>
            <w:vAlign w:val="center"/>
            <w:hideMark/>
          </w:tcPr>
          <w:p w14:paraId="1313FA50" w14:textId="30455246" w:rsidR="002C6B2C" w:rsidRPr="00346557" w:rsidRDefault="00325E1E" w:rsidP="00DC7BE9">
            <w:pPr>
              <w:pStyle w:val="TableTextRight"/>
              <w:rPr>
                <w:b/>
              </w:rPr>
            </w:pPr>
            <w:r>
              <w:rPr>
                <w:b/>
                <w:bCs/>
              </w:rPr>
              <w:noBreakHyphen/>
            </w:r>
            <w:r w:rsidR="002C6B2C">
              <w:rPr>
                <w:b/>
              </w:rPr>
              <w:t>677,788</w:t>
            </w:r>
          </w:p>
        </w:tc>
        <w:tc>
          <w:tcPr>
            <w:tcW w:w="716" w:type="pct"/>
            <w:tcBorders>
              <w:top w:val="nil"/>
              <w:left w:val="nil"/>
              <w:bottom w:val="nil"/>
              <w:right w:val="nil"/>
            </w:tcBorders>
            <w:shd w:val="clear" w:color="000000" w:fill="E6F2FF"/>
            <w:noWrap/>
            <w:vAlign w:val="center"/>
            <w:hideMark/>
          </w:tcPr>
          <w:p w14:paraId="007678F4" w14:textId="27E6CE9B" w:rsidR="002C6B2C" w:rsidRPr="00346557" w:rsidRDefault="00325E1E" w:rsidP="00DC7BE9">
            <w:pPr>
              <w:pStyle w:val="TableTextRight"/>
              <w:rPr>
                <w:b/>
              </w:rPr>
            </w:pPr>
            <w:r>
              <w:rPr>
                <w:b/>
                <w:bCs/>
              </w:rPr>
              <w:noBreakHyphen/>
            </w:r>
            <w:r w:rsidR="002C6B2C">
              <w:rPr>
                <w:b/>
              </w:rPr>
              <w:t>721,969</w:t>
            </w:r>
          </w:p>
        </w:tc>
      </w:tr>
      <w:tr w:rsidR="000629BF" w:rsidRPr="00346557" w14:paraId="4BAFFC02"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2501FB39" w14:textId="5E474113" w:rsidR="000629BF" w:rsidRPr="00346557" w:rsidRDefault="000629BF" w:rsidP="006178FC">
            <w:pPr>
              <w:pStyle w:val="TableTextLeft"/>
              <w:rPr>
                <w:b/>
              </w:rPr>
            </w:pPr>
            <w:r>
              <w:rPr>
                <w:b/>
              </w:rPr>
              <w:t> </w:t>
            </w:r>
          </w:p>
        </w:tc>
        <w:tc>
          <w:tcPr>
            <w:tcW w:w="716" w:type="pct"/>
            <w:tcBorders>
              <w:top w:val="nil"/>
              <w:left w:val="nil"/>
              <w:bottom w:val="nil"/>
              <w:right w:val="nil"/>
            </w:tcBorders>
            <w:shd w:val="clear" w:color="000000" w:fill="FFFFFF"/>
            <w:noWrap/>
            <w:vAlign w:val="center"/>
            <w:hideMark/>
          </w:tcPr>
          <w:p w14:paraId="580F89CE" w14:textId="64CD76F8"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67268457" w14:textId="4A934499" w:rsidR="000629BF" w:rsidRPr="00346557" w:rsidRDefault="000629BF" w:rsidP="00DC7BE9">
            <w:pPr>
              <w:pStyle w:val="TableTextRight"/>
              <w:rPr>
                <w:b/>
              </w:rPr>
            </w:pPr>
            <w:r>
              <w:rPr>
                <w:b/>
              </w:rPr>
              <w:t> </w:t>
            </w:r>
          </w:p>
        </w:tc>
      </w:tr>
      <w:tr w:rsidR="002C6B2C" w:rsidRPr="00346557" w14:paraId="246C9CD7"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963C2FA" w14:textId="476F8772" w:rsidR="002C6B2C" w:rsidRPr="00346557" w:rsidRDefault="002C6B2C" w:rsidP="006178FC">
            <w:pPr>
              <w:pStyle w:val="TableTextLeft"/>
              <w:rPr>
                <w:b/>
              </w:rPr>
            </w:pPr>
            <w:r>
              <w:rPr>
                <w:b/>
              </w:rPr>
              <w:t>Net cash flows from operating activities</w:t>
            </w:r>
          </w:p>
        </w:tc>
        <w:tc>
          <w:tcPr>
            <w:tcW w:w="716" w:type="pct"/>
            <w:tcBorders>
              <w:top w:val="nil"/>
              <w:left w:val="nil"/>
              <w:bottom w:val="nil"/>
              <w:right w:val="nil"/>
            </w:tcBorders>
            <w:shd w:val="clear" w:color="000000" w:fill="FFFFFF"/>
            <w:noWrap/>
            <w:vAlign w:val="center"/>
            <w:hideMark/>
          </w:tcPr>
          <w:p w14:paraId="433BBA06" w14:textId="77307D15" w:rsidR="002C6B2C" w:rsidRPr="00346557" w:rsidRDefault="002C6B2C" w:rsidP="00DC7BE9">
            <w:pPr>
              <w:pStyle w:val="TableTextRight"/>
              <w:rPr>
                <w:b/>
              </w:rPr>
            </w:pPr>
            <w:r>
              <w:rPr>
                <w:b/>
              </w:rPr>
              <w:t>30,555</w:t>
            </w:r>
          </w:p>
        </w:tc>
        <w:tc>
          <w:tcPr>
            <w:tcW w:w="716" w:type="pct"/>
            <w:tcBorders>
              <w:top w:val="nil"/>
              <w:left w:val="nil"/>
              <w:bottom w:val="nil"/>
              <w:right w:val="nil"/>
            </w:tcBorders>
            <w:shd w:val="clear" w:color="000000" w:fill="E6F2FF"/>
            <w:noWrap/>
            <w:vAlign w:val="center"/>
            <w:hideMark/>
          </w:tcPr>
          <w:p w14:paraId="655C63C6" w14:textId="3E17899E" w:rsidR="002C6B2C" w:rsidRPr="00346557" w:rsidRDefault="00325E1E" w:rsidP="00DC7BE9">
            <w:pPr>
              <w:pStyle w:val="TableTextRight"/>
              <w:rPr>
                <w:b/>
              </w:rPr>
            </w:pPr>
            <w:r>
              <w:rPr>
                <w:b/>
                <w:bCs/>
              </w:rPr>
              <w:noBreakHyphen/>
            </w:r>
            <w:r w:rsidR="002C6B2C">
              <w:rPr>
                <w:b/>
              </w:rPr>
              <w:t>3,297</w:t>
            </w:r>
          </w:p>
        </w:tc>
      </w:tr>
      <w:tr w:rsidR="000629BF" w:rsidRPr="00346557" w14:paraId="0B246056"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75C9ABE2" w14:textId="0F42B144" w:rsidR="000629BF" w:rsidRPr="00346557" w:rsidRDefault="000629BF" w:rsidP="006178FC">
            <w:pPr>
              <w:pStyle w:val="TableTextLeft"/>
            </w:pPr>
            <w:r>
              <w:t> </w:t>
            </w:r>
          </w:p>
        </w:tc>
        <w:tc>
          <w:tcPr>
            <w:tcW w:w="716" w:type="pct"/>
            <w:tcBorders>
              <w:top w:val="nil"/>
              <w:left w:val="nil"/>
              <w:bottom w:val="nil"/>
              <w:right w:val="nil"/>
            </w:tcBorders>
            <w:shd w:val="clear" w:color="000000" w:fill="FFFFFF"/>
            <w:noWrap/>
            <w:vAlign w:val="center"/>
            <w:hideMark/>
          </w:tcPr>
          <w:p w14:paraId="54D3FDC1" w14:textId="1D5259E3"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63BAAA4E" w14:textId="26989E38" w:rsidR="000629BF" w:rsidRPr="00346557" w:rsidRDefault="000629BF" w:rsidP="00DC7BE9">
            <w:pPr>
              <w:pStyle w:val="TableTextRight"/>
              <w:rPr>
                <w:b/>
              </w:rPr>
            </w:pPr>
            <w:r>
              <w:rPr>
                <w:b/>
              </w:rPr>
              <w:t> </w:t>
            </w:r>
          </w:p>
        </w:tc>
      </w:tr>
      <w:tr w:rsidR="000629BF" w:rsidRPr="00346557" w14:paraId="1EBEE8C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0D90693C" w14:textId="37B777DB" w:rsidR="000629BF" w:rsidRPr="00346557" w:rsidRDefault="000629BF" w:rsidP="006178FC">
            <w:pPr>
              <w:pStyle w:val="TableTextLeft"/>
              <w:rPr>
                <w:b/>
              </w:rPr>
            </w:pPr>
            <w:r>
              <w:rPr>
                <w:b/>
              </w:rPr>
              <w:t>Cash flows from investments in non</w:t>
            </w:r>
            <w:r w:rsidR="00325E1E">
              <w:rPr>
                <w:b/>
                <w:bCs/>
              </w:rPr>
              <w:noBreakHyphen/>
            </w:r>
            <w:r>
              <w:rPr>
                <w:b/>
              </w:rPr>
              <w:t>financial assets</w:t>
            </w:r>
          </w:p>
        </w:tc>
        <w:tc>
          <w:tcPr>
            <w:tcW w:w="716" w:type="pct"/>
            <w:tcBorders>
              <w:top w:val="nil"/>
              <w:left w:val="nil"/>
              <w:bottom w:val="nil"/>
              <w:right w:val="nil"/>
            </w:tcBorders>
            <w:shd w:val="clear" w:color="000000" w:fill="FFFFFF"/>
            <w:noWrap/>
            <w:vAlign w:val="center"/>
            <w:hideMark/>
          </w:tcPr>
          <w:p w14:paraId="7821D9CB" w14:textId="0175800B"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45AD2706" w14:textId="764C9D1E" w:rsidR="000629BF" w:rsidRPr="00346557" w:rsidRDefault="000629BF" w:rsidP="00DC7BE9">
            <w:pPr>
              <w:pStyle w:val="TableTextRight"/>
            </w:pPr>
            <w:r>
              <w:t> </w:t>
            </w:r>
          </w:p>
        </w:tc>
      </w:tr>
      <w:tr w:rsidR="002C6B2C" w:rsidRPr="00346557" w14:paraId="1F07F3DD"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1CF4B45F" w14:textId="3A84452E" w:rsidR="002C6B2C" w:rsidRPr="00346557" w:rsidRDefault="002C6B2C" w:rsidP="006178FC">
            <w:pPr>
              <w:pStyle w:val="TableTextLeft"/>
            </w:pPr>
            <w:r>
              <w:t>Sales of non</w:t>
            </w:r>
            <w:r w:rsidR="00325E1E">
              <w:noBreakHyphen/>
            </w:r>
            <w:r>
              <w:t>financial assets</w:t>
            </w:r>
          </w:p>
        </w:tc>
        <w:tc>
          <w:tcPr>
            <w:tcW w:w="716" w:type="pct"/>
            <w:tcBorders>
              <w:top w:val="nil"/>
              <w:left w:val="nil"/>
              <w:bottom w:val="nil"/>
              <w:right w:val="nil"/>
            </w:tcBorders>
            <w:shd w:val="clear" w:color="000000" w:fill="FFFFFF"/>
            <w:noWrap/>
            <w:vAlign w:val="center"/>
            <w:hideMark/>
          </w:tcPr>
          <w:p w14:paraId="72B85C14" w14:textId="5B777044" w:rsidR="002C6B2C" w:rsidRPr="00346557" w:rsidRDefault="002C6B2C" w:rsidP="00DC7BE9">
            <w:pPr>
              <w:pStyle w:val="TableTextRight"/>
            </w:pPr>
            <w:r>
              <w:t>3,063</w:t>
            </w:r>
          </w:p>
        </w:tc>
        <w:tc>
          <w:tcPr>
            <w:tcW w:w="716" w:type="pct"/>
            <w:tcBorders>
              <w:top w:val="nil"/>
              <w:left w:val="nil"/>
              <w:bottom w:val="nil"/>
              <w:right w:val="nil"/>
            </w:tcBorders>
            <w:shd w:val="clear" w:color="000000" w:fill="E6F2FF"/>
            <w:noWrap/>
            <w:vAlign w:val="center"/>
            <w:hideMark/>
          </w:tcPr>
          <w:p w14:paraId="25B1549E" w14:textId="6BB580B3" w:rsidR="002C6B2C" w:rsidRPr="00346557" w:rsidRDefault="002C6B2C" w:rsidP="00DC7BE9">
            <w:pPr>
              <w:pStyle w:val="TableTextRight"/>
            </w:pPr>
            <w:r>
              <w:t>273</w:t>
            </w:r>
          </w:p>
        </w:tc>
      </w:tr>
      <w:tr w:rsidR="002C6B2C" w:rsidRPr="00346557" w14:paraId="5C848B5F"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0F231D2F" w14:textId="711F7EFB" w:rsidR="002C6B2C" w:rsidRPr="00346557" w:rsidRDefault="002C6B2C" w:rsidP="006178FC">
            <w:pPr>
              <w:pStyle w:val="TableTextLeft"/>
            </w:pPr>
            <w:r>
              <w:t>Purchases of non</w:t>
            </w:r>
            <w:r w:rsidR="00325E1E">
              <w:noBreakHyphen/>
            </w:r>
            <w:r>
              <w:t>financial assets</w:t>
            </w:r>
          </w:p>
        </w:tc>
        <w:tc>
          <w:tcPr>
            <w:tcW w:w="716" w:type="pct"/>
            <w:tcBorders>
              <w:top w:val="nil"/>
              <w:left w:val="nil"/>
              <w:bottom w:val="nil"/>
              <w:right w:val="nil"/>
            </w:tcBorders>
            <w:shd w:val="clear" w:color="000000" w:fill="FFFFFF"/>
            <w:noWrap/>
            <w:vAlign w:val="center"/>
            <w:hideMark/>
          </w:tcPr>
          <w:p w14:paraId="51235AE1" w14:textId="128FAA18" w:rsidR="002C6B2C" w:rsidRPr="00346557" w:rsidRDefault="00325E1E" w:rsidP="00DC7BE9">
            <w:pPr>
              <w:pStyle w:val="TableTextRight"/>
            </w:pPr>
            <w:r>
              <w:noBreakHyphen/>
            </w:r>
            <w:r w:rsidR="002C6B2C">
              <w:t>28,907</w:t>
            </w:r>
          </w:p>
        </w:tc>
        <w:tc>
          <w:tcPr>
            <w:tcW w:w="716" w:type="pct"/>
            <w:tcBorders>
              <w:top w:val="nil"/>
              <w:left w:val="nil"/>
              <w:bottom w:val="nil"/>
              <w:right w:val="nil"/>
            </w:tcBorders>
            <w:shd w:val="clear" w:color="000000" w:fill="E6F2FF"/>
            <w:noWrap/>
            <w:vAlign w:val="center"/>
            <w:hideMark/>
          </w:tcPr>
          <w:p w14:paraId="54625C87" w14:textId="582B5C94" w:rsidR="002C6B2C" w:rsidRPr="00346557" w:rsidRDefault="00325E1E" w:rsidP="00DC7BE9">
            <w:pPr>
              <w:pStyle w:val="TableTextRight"/>
            </w:pPr>
            <w:r>
              <w:noBreakHyphen/>
            </w:r>
            <w:r w:rsidR="002C6B2C">
              <w:t>31,331</w:t>
            </w:r>
          </w:p>
        </w:tc>
      </w:tr>
      <w:tr w:rsidR="002C6B2C" w:rsidRPr="00346557" w14:paraId="55923CDD"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63E39DAA" w14:textId="0F038343" w:rsidR="002C6B2C" w:rsidRPr="00346557" w:rsidRDefault="002C6B2C" w:rsidP="006178FC">
            <w:pPr>
              <w:pStyle w:val="TableTextLeft"/>
              <w:rPr>
                <w:b/>
              </w:rPr>
            </w:pPr>
            <w:r>
              <w:rPr>
                <w:b/>
              </w:rPr>
              <w:t>Net cash flows from investments in non</w:t>
            </w:r>
            <w:r w:rsidR="00325E1E">
              <w:rPr>
                <w:b/>
                <w:bCs/>
              </w:rPr>
              <w:noBreakHyphen/>
            </w:r>
            <w:r>
              <w:rPr>
                <w:b/>
              </w:rPr>
              <w:t>financial assets</w:t>
            </w:r>
          </w:p>
        </w:tc>
        <w:tc>
          <w:tcPr>
            <w:tcW w:w="716" w:type="pct"/>
            <w:tcBorders>
              <w:top w:val="nil"/>
              <w:left w:val="nil"/>
              <w:bottom w:val="nil"/>
              <w:right w:val="nil"/>
            </w:tcBorders>
            <w:shd w:val="clear" w:color="000000" w:fill="FFFFFF"/>
            <w:noWrap/>
            <w:vAlign w:val="center"/>
            <w:hideMark/>
          </w:tcPr>
          <w:p w14:paraId="2E248103" w14:textId="72F83072" w:rsidR="002C6B2C" w:rsidRPr="00346557" w:rsidRDefault="00325E1E" w:rsidP="00DC7BE9">
            <w:pPr>
              <w:pStyle w:val="TableTextRight"/>
              <w:rPr>
                <w:b/>
              </w:rPr>
            </w:pPr>
            <w:r>
              <w:rPr>
                <w:b/>
                <w:bCs/>
              </w:rPr>
              <w:noBreakHyphen/>
            </w:r>
            <w:r w:rsidR="002C6B2C">
              <w:rPr>
                <w:b/>
              </w:rPr>
              <w:t>25,844</w:t>
            </w:r>
          </w:p>
        </w:tc>
        <w:tc>
          <w:tcPr>
            <w:tcW w:w="716" w:type="pct"/>
            <w:tcBorders>
              <w:top w:val="nil"/>
              <w:left w:val="nil"/>
              <w:bottom w:val="nil"/>
              <w:right w:val="nil"/>
            </w:tcBorders>
            <w:shd w:val="clear" w:color="000000" w:fill="E6F2FF"/>
            <w:noWrap/>
            <w:vAlign w:val="center"/>
            <w:hideMark/>
          </w:tcPr>
          <w:p w14:paraId="49762C67" w14:textId="3B1C3FFA" w:rsidR="002C6B2C" w:rsidRPr="00346557" w:rsidRDefault="00325E1E" w:rsidP="00DC7BE9">
            <w:pPr>
              <w:pStyle w:val="TableTextRight"/>
              <w:rPr>
                <w:b/>
              </w:rPr>
            </w:pPr>
            <w:r>
              <w:rPr>
                <w:b/>
                <w:bCs/>
              </w:rPr>
              <w:noBreakHyphen/>
            </w:r>
            <w:r w:rsidR="002C6B2C">
              <w:rPr>
                <w:b/>
              </w:rPr>
              <w:t>31,058</w:t>
            </w:r>
          </w:p>
        </w:tc>
      </w:tr>
      <w:tr w:rsidR="000629BF" w:rsidRPr="00346557" w14:paraId="697E2E40"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6635D522" w14:textId="233BB4CC" w:rsidR="000629BF" w:rsidRPr="00346557" w:rsidRDefault="000629BF" w:rsidP="006178FC">
            <w:pPr>
              <w:pStyle w:val="TableTextLeft"/>
            </w:pPr>
            <w:r>
              <w:t> </w:t>
            </w:r>
          </w:p>
        </w:tc>
        <w:tc>
          <w:tcPr>
            <w:tcW w:w="716" w:type="pct"/>
            <w:tcBorders>
              <w:top w:val="nil"/>
              <w:left w:val="nil"/>
              <w:bottom w:val="nil"/>
              <w:right w:val="nil"/>
            </w:tcBorders>
            <w:shd w:val="clear" w:color="000000" w:fill="FFFFFF"/>
            <w:noWrap/>
            <w:vAlign w:val="center"/>
            <w:hideMark/>
          </w:tcPr>
          <w:p w14:paraId="3A3E53F1" w14:textId="708A2967"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04270F2F" w14:textId="1E1187C6" w:rsidR="000629BF" w:rsidRPr="00346557" w:rsidRDefault="000629BF" w:rsidP="00DC7BE9">
            <w:pPr>
              <w:pStyle w:val="TableTextRight"/>
              <w:rPr>
                <w:b/>
              </w:rPr>
            </w:pPr>
            <w:r>
              <w:rPr>
                <w:b/>
              </w:rPr>
              <w:t> </w:t>
            </w:r>
          </w:p>
        </w:tc>
      </w:tr>
      <w:tr w:rsidR="000629BF" w:rsidRPr="00346557" w14:paraId="12C57994"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28C14596" w14:textId="0ACF1506" w:rsidR="000629BF" w:rsidRPr="00346557" w:rsidRDefault="000629BF" w:rsidP="006178FC">
            <w:pPr>
              <w:pStyle w:val="TableTextLeft"/>
              <w:rPr>
                <w:b/>
              </w:rPr>
            </w:pPr>
            <w:r>
              <w:rPr>
                <w:b/>
              </w:rPr>
              <w:t>Net cash flows from investments in financial assets</w:t>
            </w:r>
          </w:p>
        </w:tc>
        <w:tc>
          <w:tcPr>
            <w:tcW w:w="716" w:type="pct"/>
            <w:tcBorders>
              <w:top w:val="nil"/>
              <w:left w:val="nil"/>
              <w:bottom w:val="nil"/>
              <w:right w:val="nil"/>
            </w:tcBorders>
            <w:shd w:val="clear" w:color="000000" w:fill="FFFFFF"/>
            <w:noWrap/>
            <w:vAlign w:val="center"/>
            <w:hideMark/>
          </w:tcPr>
          <w:p w14:paraId="19975A65" w14:textId="7DFC0FAA"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5E73926E" w14:textId="61DA2294" w:rsidR="000629BF" w:rsidRPr="00346557" w:rsidRDefault="000629BF" w:rsidP="00DC7BE9">
            <w:pPr>
              <w:pStyle w:val="TableTextRight"/>
            </w:pPr>
            <w:r>
              <w:t> </w:t>
            </w:r>
          </w:p>
        </w:tc>
      </w:tr>
      <w:tr w:rsidR="009C0AA7" w:rsidRPr="00346557" w14:paraId="5D4466FF"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CD5E0A8" w14:textId="67BC23AD" w:rsidR="009C0AA7" w:rsidRPr="006113A8" w:rsidRDefault="009C0AA7" w:rsidP="006113A8">
            <w:pPr>
              <w:pStyle w:val="TableTextIndented"/>
              <w:rPr>
                <w:b/>
              </w:rPr>
            </w:pPr>
            <w:r w:rsidRPr="006113A8">
              <w:rPr>
                <w:b/>
              </w:rPr>
              <w:t>for policy purposes</w:t>
            </w:r>
          </w:p>
        </w:tc>
        <w:tc>
          <w:tcPr>
            <w:tcW w:w="716" w:type="pct"/>
            <w:tcBorders>
              <w:top w:val="nil"/>
              <w:left w:val="nil"/>
              <w:bottom w:val="nil"/>
              <w:right w:val="nil"/>
            </w:tcBorders>
            <w:shd w:val="clear" w:color="000000" w:fill="FFFFFF"/>
            <w:noWrap/>
            <w:vAlign w:val="center"/>
            <w:hideMark/>
          </w:tcPr>
          <w:p w14:paraId="74186837" w14:textId="3A25BEBF" w:rsidR="009C0AA7" w:rsidRPr="00346557" w:rsidRDefault="00325E1E" w:rsidP="00DC7BE9">
            <w:pPr>
              <w:pStyle w:val="TableTextRight"/>
              <w:rPr>
                <w:b/>
              </w:rPr>
            </w:pPr>
            <w:r>
              <w:rPr>
                <w:b/>
                <w:bCs/>
              </w:rPr>
              <w:noBreakHyphen/>
            </w:r>
            <w:r w:rsidR="009C0AA7">
              <w:rPr>
                <w:b/>
              </w:rPr>
              <w:t>4,870</w:t>
            </w:r>
          </w:p>
        </w:tc>
        <w:tc>
          <w:tcPr>
            <w:tcW w:w="716" w:type="pct"/>
            <w:tcBorders>
              <w:top w:val="nil"/>
              <w:left w:val="nil"/>
              <w:bottom w:val="nil"/>
              <w:right w:val="nil"/>
            </w:tcBorders>
            <w:shd w:val="clear" w:color="000000" w:fill="E6F2FF"/>
            <w:noWrap/>
            <w:vAlign w:val="center"/>
            <w:hideMark/>
          </w:tcPr>
          <w:p w14:paraId="6763085B" w14:textId="67948AC9" w:rsidR="009C0AA7" w:rsidRPr="00346557" w:rsidRDefault="00325E1E" w:rsidP="00DC7BE9">
            <w:pPr>
              <w:pStyle w:val="TableTextRight"/>
              <w:rPr>
                <w:b/>
              </w:rPr>
            </w:pPr>
            <w:r>
              <w:rPr>
                <w:b/>
                <w:bCs/>
              </w:rPr>
              <w:noBreakHyphen/>
            </w:r>
            <w:r w:rsidR="009C0AA7">
              <w:rPr>
                <w:b/>
              </w:rPr>
              <w:t>12,191</w:t>
            </w:r>
          </w:p>
        </w:tc>
      </w:tr>
      <w:tr w:rsidR="000629BF" w:rsidRPr="00346557" w14:paraId="231AC6CE"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2430199C" w14:textId="720AB5F7" w:rsidR="000629BF" w:rsidRPr="00346557" w:rsidRDefault="000629BF" w:rsidP="006178FC">
            <w:pPr>
              <w:pStyle w:val="TableTextLeft"/>
            </w:pPr>
            <w:r>
              <w:t> </w:t>
            </w:r>
          </w:p>
        </w:tc>
        <w:tc>
          <w:tcPr>
            <w:tcW w:w="716" w:type="pct"/>
            <w:tcBorders>
              <w:top w:val="nil"/>
              <w:left w:val="nil"/>
              <w:bottom w:val="nil"/>
              <w:right w:val="nil"/>
            </w:tcBorders>
            <w:shd w:val="clear" w:color="000000" w:fill="FFFFFF"/>
            <w:noWrap/>
            <w:vAlign w:val="center"/>
            <w:hideMark/>
          </w:tcPr>
          <w:p w14:paraId="64532865" w14:textId="6497C4D9"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6541A9C5" w14:textId="7EB105C2" w:rsidR="000629BF" w:rsidRPr="00346557" w:rsidRDefault="000629BF" w:rsidP="00DC7BE9">
            <w:pPr>
              <w:pStyle w:val="TableTextRight"/>
              <w:rPr>
                <w:b/>
              </w:rPr>
            </w:pPr>
            <w:r>
              <w:rPr>
                <w:b/>
              </w:rPr>
              <w:t> </w:t>
            </w:r>
          </w:p>
        </w:tc>
      </w:tr>
      <w:tr w:rsidR="000629BF" w:rsidRPr="00346557" w14:paraId="634F6B6A" w14:textId="77777777" w:rsidTr="00A16052">
        <w:trPr>
          <w:trHeight w:hRule="exact" w:val="225"/>
        </w:trPr>
        <w:tc>
          <w:tcPr>
            <w:tcW w:w="3568" w:type="pct"/>
            <w:tcBorders>
              <w:top w:val="nil"/>
              <w:left w:val="nil"/>
              <w:bottom w:val="nil"/>
              <w:right w:val="nil"/>
            </w:tcBorders>
            <w:shd w:val="clear" w:color="000000" w:fill="FFFFFF"/>
            <w:vAlign w:val="center"/>
            <w:hideMark/>
          </w:tcPr>
          <w:p w14:paraId="55499750" w14:textId="1BC3C7A7" w:rsidR="000629BF" w:rsidRPr="00346557" w:rsidRDefault="000629BF" w:rsidP="006178FC">
            <w:pPr>
              <w:pStyle w:val="TableTextLeft"/>
              <w:rPr>
                <w:b/>
              </w:rPr>
            </w:pPr>
            <w:r>
              <w:rPr>
                <w:b/>
              </w:rPr>
              <w:t xml:space="preserve">Net cash flows from investments in financial assets </w:t>
            </w:r>
          </w:p>
        </w:tc>
        <w:tc>
          <w:tcPr>
            <w:tcW w:w="716" w:type="pct"/>
            <w:tcBorders>
              <w:top w:val="nil"/>
              <w:left w:val="nil"/>
              <w:bottom w:val="nil"/>
              <w:right w:val="nil"/>
            </w:tcBorders>
            <w:shd w:val="clear" w:color="000000" w:fill="FFFFFF"/>
            <w:noWrap/>
            <w:vAlign w:val="center"/>
            <w:hideMark/>
          </w:tcPr>
          <w:p w14:paraId="033EC709" w14:textId="65691B8B" w:rsidR="000629BF" w:rsidRPr="00346557" w:rsidRDefault="000629BF" w:rsidP="00DC7BE9">
            <w:pPr>
              <w:pStyle w:val="TableTextRight"/>
            </w:pPr>
            <w:r>
              <w:t> </w:t>
            </w:r>
          </w:p>
        </w:tc>
        <w:tc>
          <w:tcPr>
            <w:tcW w:w="716" w:type="pct"/>
            <w:tcBorders>
              <w:top w:val="nil"/>
              <w:left w:val="nil"/>
              <w:bottom w:val="nil"/>
              <w:right w:val="nil"/>
            </w:tcBorders>
            <w:shd w:val="clear" w:color="000000" w:fill="E6F2FF"/>
            <w:noWrap/>
            <w:vAlign w:val="center"/>
            <w:hideMark/>
          </w:tcPr>
          <w:p w14:paraId="1A66581F" w14:textId="594ABC9A" w:rsidR="000629BF" w:rsidRPr="00346557" w:rsidRDefault="000629BF" w:rsidP="00DC7BE9">
            <w:pPr>
              <w:pStyle w:val="TableTextRight"/>
            </w:pPr>
            <w:r>
              <w:t> </w:t>
            </w:r>
          </w:p>
        </w:tc>
      </w:tr>
      <w:tr w:rsidR="009C0AA7" w:rsidRPr="00346557" w14:paraId="77E0F19B" w14:textId="77777777" w:rsidTr="00A16052">
        <w:trPr>
          <w:trHeight w:hRule="exact" w:val="225"/>
        </w:trPr>
        <w:tc>
          <w:tcPr>
            <w:tcW w:w="3568" w:type="pct"/>
            <w:tcBorders>
              <w:top w:val="nil"/>
              <w:left w:val="nil"/>
              <w:bottom w:val="nil"/>
              <w:right w:val="nil"/>
            </w:tcBorders>
            <w:shd w:val="clear" w:color="000000" w:fill="FFFFFF"/>
            <w:vAlign w:val="center"/>
            <w:hideMark/>
          </w:tcPr>
          <w:p w14:paraId="78D89D4B" w14:textId="5D2114AD" w:rsidR="009C0AA7" w:rsidRPr="006113A8" w:rsidRDefault="009C0AA7" w:rsidP="006113A8">
            <w:pPr>
              <w:pStyle w:val="TableTextIndented"/>
              <w:rPr>
                <w:b/>
              </w:rPr>
            </w:pPr>
            <w:r w:rsidRPr="006113A8">
              <w:rPr>
                <w:b/>
              </w:rPr>
              <w:t>for liquidity purposes</w:t>
            </w:r>
          </w:p>
        </w:tc>
        <w:tc>
          <w:tcPr>
            <w:tcW w:w="716" w:type="pct"/>
            <w:tcBorders>
              <w:top w:val="nil"/>
              <w:left w:val="nil"/>
              <w:bottom w:val="nil"/>
              <w:right w:val="nil"/>
            </w:tcBorders>
            <w:shd w:val="clear" w:color="000000" w:fill="FFFFFF"/>
            <w:noWrap/>
            <w:vAlign w:val="center"/>
            <w:hideMark/>
          </w:tcPr>
          <w:p w14:paraId="291733A5" w14:textId="4F21CFD3" w:rsidR="009C0AA7" w:rsidRPr="00346557" w:rsidRDefault="00325E1E" w:rsidP="00DC7BE9">
            <w:pPr>
              <w:pStyle w:val="TableTextRight"/>
              <w:rPr>
                <w:b/>
              </w:rPr>
            </w:pPr>
            <w:r>
              <w:rPr>
                <w:b/>
                <w:bCs/>
              </w:rPr>
              <w:noBreakHyphen/>
            </w:r>
            <w:r w:rsidR="009C0AA7">
              <w:rPr>
                <w:b/>
              </w:rPr>
              <w:t>16,613</w:t>
            </w:r>
          </w:p>
        </w:tc>
        <w:tc>
          <w:tcPr>
            <w:tcW w:w="716" w:type="pct"/>
            <w:tcBorders>
              <w:top w:val="nil"/>
              <w:left w:val="nil"/>
              <w:bottom w:val="nil"/>
              <w:right w:val="nil"/>
            </w:tcBorders>
            <w:shd w:val="clear" w:color="000000" w:fill="E6F2FF"/>
            <w:noWrap/>
            <w:vAlign w:val="center"/>
            <w:hideMark/>
          </w:tcPr>
          <w:p w14:paraId="7A24FBE8" w14:textId="1DAF245A" w:rsidR="009C0AA7" w:rsidRPr="00346557" w:rsidRDefault="00325E1E" w:rsidP="00DC7BE9">
            <w:pPr>
              <w:pStyle w:val="TableTextRight"/>
              <w:rPr>
                <w:b/>
              </w:rPr>
            </w:pPr>
            <w:r>
              <w:rPr>
                <w:b/>
                <w:bCs/>
              </w:rPr>
              <w:noBreakHyphen/>
            </w:r>
            <w:r w:rsidR="009C0AA7">
              <w:rPr>
                <w:b/>
              </w:rPr>
              <w:t>4,244</w:t>
            </w:r>
          </w:p>
        </w:tc>
      </w:tr>
      <w:tr w:rsidR="000629BF" w:rsidRPr="00346557" w14:paraId="1D9BFD02"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0BA1D11B" w14:textId="7298F3BF" w:rsidR="000629BF" w:rsidRPr="00346557" w:rsidRDefault="000629BF" w:rsidP="006178FC">
            <w:pPr>
              <w:pStyle w:val="TableTextLeft"/>
              <w:rPr>
                <w:b/>
              </w:rPr>
            </w:pPr>
            <w:r>
              <w:rPr>
                <w:b/>
              </w:rPr>
              <w:t> </w:t>
            </w:r>
          </w:p>
        </w:tc>
        <w:tc>
          <w:tcPr>
            <w:tcW w:w="716" w:type="pct"/>
            <w:tcBorders>
              <w:top w:val="nil"/>
              <w:left w:val="nil"/>
              <w:bottom w:val="nil"/>
              <w:right w:val="nil"/>
            </w:tcBorders>
            <w:shd w:val="clear" w:color="000000" w:fill="FFFFFF"/>
            <w:noWrap/>
            <w:vAlign w:val="center"/>
            <w:hideMark/>
          </w:tcPr>
          <w:p w14:paraId="59DFADC8" w14:textId="59BE9C26"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751ABB9A" w14:textId="48C25F4C" w:rsidR="000629BF" w:rsidRPr="00346557" w:rsidRDefault="000629BF" w:rsidP="00DC7BE9">
            <w:pPr>
              <w:pStyle w:val="TableTextRight"/>
              <w:rPr>
                <w:b/>
              </w:rPr>
            </w:pPr>
            <w:r>
              <w:rPr>
                <w:b/>
              </w:rPr>
              <w:t> </w:t>
            </w:r>
          </w:p>
        </w:tc>
      </w:tr>
      <w:tr w:rsidR="000629BF" w:rsidRPr="00346557" w14:paraId="7D7E7EAA"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0445E529" w14:textId="0FA282EE" w:rsidR="000629BF" w:rsidRPr="00346557" w:rsidRDefault="000629BF" w:rsidP="006178FC">
            <w:pPr>
              <w:pStyle w:val="TableTextLeft"/>
              <w:rPr>
                <w:b/>
              </w:rPr>
            </w:pPr>
            <w:r>
              <w:rPr>
                <w:b/>
              </w:rPr>
              <w:t>Net cash flows from financing activities</w:t>
            </w:r>
          </w:p>
        </w:tc>
        <w:tc>
          <w:tcPr>
            <w:tcW w:w="716" w:type="pct"/>
            <w:tcBorders>
              <w:top w:val="nil"/>
              <w:left w:val="nil"/>
              <w:bottom w:val="nil"/>
              <w:right w:val="nil"/>
            </w:tcBorders>
            <w:shd w:val="clear" w:color="000000" w:fill="FFFFFF"/>
            <w:noWrap/>
            <w:vAlign w:val="center"/>
            <w:hideMark/>
          </w:tcPr>
          <w:p w14:paraId="0875088D" w14:textId="6B1C6196" w:rsidR="000629BF" w:rsidRPr="00346557" w:rsidRDefault="000629BF"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0CD5B49C" w14:textId="244BB92C" w:rsidR="000629BF" w:rsidRPr="00346557" w:rsidRDefault="000629BF" w:rsidP="00DC7BE9">
            <w:pPr>
              <w:pStyle w:val="TableTextRight"/>
              <w:rPr>
                <w:b/>
              </w:rPr>
            </w:pPr>
            <w:r>
              <w:rPr>
                <w:b/>
              </w:rPr>
              <w:t> </w:t>
            </w:r>
          </w:p>
        </w:tc>
      </w:tr>
      <w:tr w:rsidR="009C0AA7" w:rsidRPr="00346557" w14:paraId="4D9E2A9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78CE3039" w14:textId="4025F42E" w:rsidR="009C0AA7" w:rsidRPr="00346557" w:rsidRDefault="009C0AA7" w:rsidP="006178FC">
            <w:pPr>
              <w:pStyle w:val="TableTextLeft"/>
            </w:pPr>
            <w:r>
              <w:t>Borrowing (net)</w:t>
            </w:r>
          </w:p>
        </w:tc>
        <w:tc>
          <w:tcPr>
            <w:tcW w:w="716" w:type="pct"/>
            <w:tcBorders>
              <w:top w:val="nil"/>
              <w:left w:val="nil"/>
              <w:bottom w:val="nil"/>
              <w:right w:val="nil"/>
            </w:tcBorders>
            <w:shd w:val="clear" w:color="000000" w:fill="FFFFFF"/>
            <w:noWrap/>
            <w:vAlign w:val="center"/>
            <w:hideMark/>
          </w:tcPr>
          <w:p w14:paraId="191CED46" w14:textId="594224EE" w:rsidR="009C0AA7" w:rsidRPr="00346557" w:rsidRDefault="009C0AA7" w:rsidP="00DC7BE9">
            <w:pPr>
              <w:pStyle w:val="TableTextRight"/>
            </w:pPr>
            <w:r>
              <w:t>21,038</w:t>
            </w:r>
          </w:p>
        </w:tc>
        <w:tc>
          <w:tcPr>
            <w:tcW w:w="716" w:type="pct"/>
            <w:tcBorders>
              <w:top w:val="nil"/>
              <w:left w:val="nil"/>
              <w:bottom w:val="nil"/>
              <w:right w:val="nil"/>
            </w:tcBorders>
            <w:shd w:val="clear" w:color="000000" w:fill="E6F2FF"/>
            <w:noWrap/>
            <w:vAlign w:val="center"/>
            <w:hideMark/>
          </w:tcPr>
          <w:p w14:paraId="05C765EF" w14:textId="753FCEBA" w:rsidR="009C0AA7" w:rsidRPr="00346557" w:rsidRDefault="009C0AA7" w:rsidP="00DC7BE9">
            <w:pPr>
              <w:pStyle w:val="TableTextRight"/>
            </w:pPr>
            <w:r>
              <w:t>28,949</w:t>
            </w:r>
          </w:p>
        </w:tc>
      </w:tr>
      <w:tr w:rsidR="009C0AA7" w:rsidRPr="00346557" w14:paraId="7A377FCB"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47D48F23" w14:textId="4286D1B6" w:rsidR="009C0AA7" w:rsidRPr="00346557" w:rsidRDefault="009C0AA7" w:rsidP="006178FC">
            <w:pPr>
              <w:pStyle w:val="TableTextLeft"/>
            </w:pPr>
            <w:r>
              <w:t>Other financing (net)</w:t>
            </w:r>
          </w:p>
        </w:tc>
        <w:tc>
          <w:tcPr>
            <w:tcW w:w="716" w:type="pct"/>
            <w:tcBorders>
              <w:top w:val="nil"/>
              <w:left w:val="nil"/>
              <w:bottom w:val="nil"/>
              <w:right w:val="nil"/>
            </w:tcBorders>
            <w:shd w:val="clear" w:color="auto" w:fill="auto"/>
            <w:noWrap/>
            <w:vAlign w:val="center"/>
            <w:hideMark/>
          </w:tcPr>
          <w:p w14:paraId="408418F7" w14:textId="50692B29" w:rsidR="009C0AA7" w:rsidRPr="00346557" w:rsidRDefault="00325E1E" w:rsidP="00DC7BE9">
            <w:pPr>
              <w:pStyle w:val="TableTextRight"/>
            </w:pPr>
            <w:r>
              <w:noBreakHyphen/>
            </w:r>
            <w:r w:rsidR="009C0AA7">
              <w:t>5,437</w:t>
            </w:r>
          </w:p>
        </w:tc>
        <w:tc>
          <w:tcPr>
            <w:tcW w:w="716" w:type="pct"/>
            <w:tcBorders>
              <w:top w:val="nil"/>
              <w:left w:val="nil"/>
              <w:bottom w:val="nil"/>
              <w:right w:val="nil"/>
            </w:tcBorders>
            <w:shd w:val="clear" w:color="000000" w:fill="E6F2FF"/>
            <w:noWrap/>
            <w:vAlign w:val="center"/>
            <w:hideMark/>
          </w:tcPr>
          <w:p w14:paraId="26BEA11C" w14:textId="22AFBD75" w:rsidR="009C0AA7" w:rsidRPr="00346557" w:rsidRDefault="00325E1E" w:rsidP="00DC7BE9">
            <w:pPr>
              <w:pStyle w:val="TableTextRight"/>
            </w:pPr>
            <w:r>
              <w:noBreakHyphen/>
            </w:r>
            <w:r w:rsidR="009C0AA7">
              <w:t>5,274</w:t>
            </w:r>
          </w:p>
        </w:tc>
      </w:tr>
      <w:tr w:rsidR="009C0AA7" w:rsidRPr="00346557" w14:paraId="68AA4EA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E2E79AB" w14:textId="51586BCC" w:rsidR="009C0AA7" w:rsidRPr="00346557" w:rsidRDefault="009C0AA7" w:rsidP="006178FC">
            <w:pPr>
              <w:pStyle w:val="TableTextLeft"/>
              <w:rPr>
                <w:b/>
              </w:rPr>
            </w:pPr>
            <w:r>
              <w:rPr>
                <w:b/>
              </w:rPr>
              <w:t>Net cash flows from financing activities</w:t>
            </w:r>
          </w:p>
        </w:tc>
        <w:tc>
          <w:tcPr>
            <w:tcW w:w="716" w:type="pct"/>
            <w:tcBorders>
              <w:top w:val="nil"/>
              <w:left w:val="nil"/>
              <w:bottom w:val="nil"/>
              <w:right w:val="nil"/>
            </w:tcBorders>
            <w:shd w:val="clear" w:color="000000" w:fill="FFFFFF"/>
            <w:noWrap/>
            <w:vAlign w:val="center"/>
            <w:hideMark/>
          </w:tcPr>
          <w:p w14:paraId="17FE76C1" w14:textId="292BF12C" w:rsidR="009C0AA7" w:rsidRPr="00346557" w:rsidRDefault="009C0AA7" w:rsidP="00DC7BE9">
            <w:pPr>
              <w:pStyle w:val="TableTextRight"/>
              <w:rPr>
                <w:b/>
              </w:rPr>
            </w:pPr>
            <w:r>
              <w:rPr>
                <w:b/>
              </w:rPr>
              <w:t>15,602</w:t>
            </w:r>
          </w:p>
        </w:tc>
        <w:tc>
          <w:tcPr>
            <w:tcW w:w="716" w:type="pct"/>
            <w:tcBorders>
              <w:top w:val="nil"/>
              <w:left w:val="nil"/>
              <w:bottom w:val="nil"/>
              <w:right w:val="nil"/>
            </w:tcBorders>
            <w:shd w:val="clear" w:color="000000" w:fill="E6F2FF"/>
            <w:noWrap/>
            <w:vAlign w:val="center"/>
            <w:hideMark/>
          </w:tcPr>
          <w:p w14:paraId="181E9798" w14:textId="636D847E" w:rsidR="009C0AA7" w:rsidRPr="00346557" w:rsidRDefault="009C0AA7" w:rsidP="00DC7BE9">
            <w:pPr>
              <w:pStyle w:val="TableTextRight"/>
              <w:rPr>
                <w:b/>
              </w:rPr>
            </w:pPr>
            <w:r>
              <w:rPr>
                <w:b/>
              </w:rPr>
              <w:t>23,675</w:t>
            </w:r>
          </w:p>
        </w:tc>
      </w:tr>
      <w:tr w:rsidR="009C0AA7" w:rsidRPr="00346557" w14:paraId="6C0FCE55"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68982B7E" w14:textId="3BFCE927" w:rsidR="009C0AA7" w:rsidRPr="00346557" w:rsidRDefault="009C0AA7" w:rsidP="006178FC">
            <w:pPr>
              <w:pStyle w:val="TableTextLeft"/>
            </w:pPr>
            <w:r>
              <w:t> </w:t>
            </w:r>
          </w:p>
        </w:tc>
        <w:tc>
          <w:tcPr>
            <w:tcW w:w="716" w:type="pct"/>
            <w:tcBorders>
              <w:top w:val="nil"/>
              <w:left w:val="nil"/>
              <w:bottom w:val="nil"/>
              <w:right w:val="nil"/>
            </w:tcBorders>
            <w:shd w:val="clear" w:color="000000" w:fill="FFFFFF"/>
            <w:noWrap/>
            <w:vAlign w:val="center"/>
            <w:hideMark/>
          </w:tcPr>
          <w:p w14:paraId="30C95DE9" w14:textId="14CF3556" w:rsidR="009C0AA7" w:rsidRPr="00346557" w:rsidRDefault="009C0AA7"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38248504" w14:textId="1DDF649E" w:rsidR="009C0AA7" w:rsidRPr="00346557" w:rsidRDefault="009C0AA7" w:rsidP="00DC7BE9">
            <w:pPr>
              <w:pStyle w:val="TableTextRight"/>
              <w:rPr>
                <w:b/>
              </w:rPr>
            </w:pPr>
            <w:r>
              <w:rPr>
                <w:b/>
              </w:rPr>
              <w:t> </w:t>
            </w:r>
          </w:p>
        </w:tc>
      </w:tr>
      <w:tr w:rsidR="009C0AA7" w:rsidRPr="00346557" w14:paraId="603E7886"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356B7197" w14:textId="12E994E9" w:rsidR="009C0AA7" w:rsidRPr="00346557" w:rsidRDefault="009C0AA7" w:rsidP="006178FC">
            <w:pPr>
              <w:pStyle w:val="TableTextLeft"/>
              <w:rPr>
                <w:b/>
              </w:rPr>
            </w:pPr>
            <w:r>
              <w:rPr>
                <w:b/>
              </w:rPr>
              <w:t>Net increase/(decrease) in cash held</w:t>
            </w:r>
          </w:p>
        </w:tc>
        <w:tc>
          <w:tcPr>
            <w:tcW w:w="716" w:type="pct"/>
            <w:tcBorders>
              <w:top w:val="nil"/>
              <w:left w:val="nil"/>
              <w:bottom w:val="nil"/>
              <w:right w:val="nil"/>
            </w:tcBorders>
            <w:shd w:val="clear" w:color="000000" w:fill="FFFFFF"/>
            <w:noWrap/>
            <w:vAlign w:val="center"/>
            <w:hideMark/>
          </w:tcPr>
          <w:p w14:paraId="75F1781B" w14:textId="725FA13A" w:rsidR="009C0AA7" w:rsidRPr="00346557" w:rsidRDefault="00325E1E" w:rsidP="00DC7BE9">
            <w:pPr>
              <w:pStyle w:val="TableTextRight"/>
              <w:rPr>
                <w:b/>
              </w:rPr>
            </w:pPr>
            <w:r>
              <w:rPr>
                <w:b/>
                <w:bCs/>
              </w:rPr>
              <w:noBreakHyphen/>
            </w:r>
            <w:r w:rsidR="009C0AA7">
              <w:rPr>
                <w:b/>
              </w:rPr>
              <w:t>1,170</w:t>
            </w:r>
          </w:p>
        </w:tc>
        <w:tc>
          <w:tcPr>
            <w:tcW w:w="716" w:type="pct"/>
            <w:tcBorders>
              <w:top w:val="nil"/>
              <w:left w:val="nil"/>
              <w:bottom w:val="nil"/>
              <w:right w:val="nil"/>
            </w:tcBorders>
            <w:shd w:val="clear" w:color="000000" w:fill="E6F2FF"/>
            <w:noWrap/>
            <w:vAlign w:val="center"/>
            <w:hideMark/>
          </w:tcPr>
          <w:p w14:paraId="4B99A43C" w14:textId="3087414C" w:rsidR="009C0AA7" w:rsidRPr="00346557" w:rsidRDefault="00325E1E" w:rsidP="00DC7BE9">
            <w:pPr>
              <w:pStyle w:val="TableTextRight"/>
              <w:rPr>
                <w:b/>
              </w:rPr>
            </w:pPr>
            <w:r>
              <w:rPr>
                <w:b/>
                <w:bCs/>
              </w:rPr>
              <w:noBreakHyphen/>
            </w:r>
            <w:r w:rsidR="009C0AA7">
              <w:rPr>
                <w:b/>
              </w:rPr>
              <w:t>27,115</w:t>
            </w:r>
          </w:p>
        </w:tc>
      </w:tr>
      <w:tr w:rsidR="009C0AA7" w:rsidRPr="00346557" w14:paraId="5289773D" w14:textId="77777777" w:rsidTr="00A16052">
        <w:trPr>
          <w:trHeight w:hRule="exact" w:val="60"/>
        </w:trPr>
        <w:tc>
          <w:tcPr>
            <w:tcW w:w="3568" w:type="pct"/>
            <w:tcBorders>
              <w:top w:val="nil"/>
              <w:left w:val="nil"/>
              <w:bottom w:val="nil"/>
              <w:right w:val="nil"/>
            </w:tcBorders>
            <w:shd w:val="clear" w:color="000000" w:fill="FFFFFF"/>
            <w:noWrap/>
            <w:vAlign w:val="center"/>
            <w:hideMark/>
          </w:tcPr>
          <w:p w14:paraId="57A287A4" w14:textId="007A9E2F" w:rsidR="009C0AA7" w:rsidRPr="00346557" w:rsidRDefault="009C0AA7" w:rsidP="006178FC">
            <w:pPr>
              <w:pStyle w:val="TableTextLeft"/>
              <w:rPr>
                <w:b/>
              </w:rPr>
            </w:pPr>
            <w:r>
              <w:rPr>
                <w:b/>
              </w:rPr>
              <w:t> </w:t>
            </w:r>
          </w:p>
        </w:tc>
        <w:tc>
          <w:tcPr>
            <w:tcW w:w="716" w:type="pct"/>
            <w:tcBorders>
              <w:top w:val="nil"/>
              <w:left w:val="nil"/>
              <w:bottom w:val="nil"/>
              <w:right w:val="nil"/>
            </w:tcBorders>
            <w:shd w:val="clear" w:color="000000" w:fill="FFFFFF"/>
            <w:noWrap/>
            <w:vAlign w:val="center"/>
            <w:hideMark/>
          </w:tcPr>
          <w:p w14:paraId="113A8C0D" w14:textId="321DAD52" w:rsidR="009C0AA7" w:rsidRPr="00346557" w:rsidRDefault="009C0AA7" w:rsidP="00DC7BE9">
            <w:pPr>
              <w:pStyle w:val="TableTextRight"/>
              <w:rPr>
                <w:b/>
              </w:rPr>
            </w:pPr>
            <w:r>
              <w:rPr>
                <w:b/>
              </w:rPr>
              <w:t> </w:t>
            </w:r>
          </w:p>
        </w:tc>
        <w:tc>
          <w:tcPr>
            <w:tcW w:w="716" w:type="pct"/>
            <w:tcBorders>
              <w:top w:val="nil"/>
              <w:left w:val="nil"/>
              <w:bottom w:val="nil"/>
              <w:right w:val="nil"/>
            </w:tcBorders>
            <w:shd w:val="clear" w:color="000000" w:fill="E6F2FF"/>
            <w:noWrap/>
            <w:vAlign w:val="center"/>
            <w:hideMark/>
          </w:tcPr>
          <w:p w14:paraId="0E1B90AA" w14:textId="00036641" w:rsidR="009C0AA7" w:rsidRPr="00346557" w:rsidRDefault="009C0AA7" w:rsidP="00DC7BE9">
            <w:pPr>
              <w:pStyle w:val="TableTextRight"/>
              <w:rPr>
                <w:b/>
              </w:rPr>
            </w:pPr>
            <w:r>
              <w:rPr>
                <w:b/>
              </w:rPr>
              <w:t> </w:t>
            </w:r>
          </w:p>
        </w:tc>
      </w:tr>
      <w:tr w:rsidR="009C0AA7" w:rsidRPr="00346557" w14:paraId="27364309" w14:textId="77777777" w:rsidTr="00A16052">
        <w:trPr>
          <w:trHeight w:hRule="exact" w:val="225"/>
        </w:trPr>
        <w:tc>
          <w:tcPr>
            <w:tcW w:w="3568" w:type="pct"/>
            <w:tcBorders>
              <w:top w:val="nil"/>
              <w:left w:val="nil"/>
              <w:bottom w:val="nil"/>
              <w:right w:val="nil"/>
            </w:tcBorders>
            <w:shd w:val="clear" w:color="000000" w:fill="FFFFFF"/>
            <w:noWrap/>
            <w:vAlign w:val="center"/>
            <w:hideMark/>
          </w:tcPr>
          <w:p w14:paraId="7EB042D0" w14:textId="631A41D3" w:rsidR="009C0AA7" w:rsidRPr="00346557" w:rsidRDefault="009C0AA7" w:rsidP="006178FC">
            <w:pPr>
              <w:pStyle w:val="TableTextLeft"/>
              <w:rPr>
                <w:b/>
              </w:rPr>
            </w:pPr>
            <w:r>
              <w:rPr>
                <w:b/>
              </w:rPr>
              <w:t>Cash at the beginning of the year</w:t>
            </w:r>
          </w:p>
        </w:tc>
        <w:tc>
          <w:tcPr>
            <w:tcW w:w="716" w:type="pct"/>
            <w:tcBorders>
              <w:top w:val="nil"/>
              <w:left w:val="nil"/>
              <w:bottom w:val="nil"/>
              <w:right w:val="nil"/>
            </w:tcBorders>
            <w:shd w:val="clear" w:color="000000" w:fill="FFFFFF"/>
            <w:noWrap/>
            <w:vAlign w:val="center"/>
            <w:hideMark/>
          </w:tcPr>
          <w:p w14:paraId="4B0015BB" w14:textId="679FD3E3" w:rsidR="009C0AA7" w:rsidRPr="00346557" w:rsidRDefault="009C0AA7" w:rsidP="00DC7BE9">
            <w:pPr>
              <w:pStyle w:val="TableTextRight"/>
              <w:rPr>
                <w:b/>
              </w:rPr>
            </w:pPr>
            <w:r>
              <w:rPr>
                <w:b/>
              </w:rPr>
              <w:t>91,816</w:t>
            </w:r>
          </w:p>
        </w:tc>
        <w:tc>
          <w:tcPr>
            <w:tcW w:w="716" w:type="pct"/>
            <w:tcBorders>
              <w:top w:val="nil"/>
              <w:left w:val="nil"/>
              <w:bottom w:val="nil"/>
              <w:right w:val="nil"/>
            </w:tcBorders>
            <w:shd w:val="clear" w:color="000000" w:fill="E6F2FF"/>
            <w:noWrap/>
            <w:vAlign w:val="center"/>
            <w:hideMark/>
          </w:tcPr>
          <w:p w14:paraId="5D4E7DA0" w14:textId="3AED6529" w:rsidR="009C0AA7" w:rsidRPr="00346557" w:rsidRDefault="009C0AA7" w:rsidP="00DC7BE9">
            <w:pPr>
              <w:pStyle w:val="TableTextRight"/>
              <w:rPr>
                <w:b/>
              </w:rPr>
            </w:pPr>
            <w:r>
              <w:rPr>
                <w:b/>
              </w:rPr>
              <w:t>90,646</w:t>
            </w:r>
          </w:p>
        </w:tc>
      </w:tr>
      <w:tr w:rsidR="009C0AA7" w:rsidRPr="00346557" w14:paraId="51679A3D" w14:textId="77777777" w:rsidTr="00A16052">
        <w:trPr>
          <w:trHeight w:hRule="exact" w:val="225"/>
        </w:trPr>
        <w:tc>
          <w:tcPr>
            <w:tcW w:w="3568" w:type="pct"/>
            <w:tcBorders>
              <w:top w:val="nil"/>
              <w:left w:val="nil"/>
              <w:bottom w:val="single" w:sz="4" w:space="0" w:color="293F5B"/>
              <w:right w:val="nil"/>
            </w:tcBorders>
            <w:shd w:val="clear" w:color="000000" w:fill="FFFFFF"/>
            <w:noWrap/>
            <w:vAlign w:val="center"/>
            <w:hideMark/>
          </w:tcPr>
          <w:p w14:paraId="67B676ED" w14:textId="382D19C9" w:rsidR="009C0AA7" w:rsidRPr="00346557" w:rsidRDefault="009C0AA7" w:rsidP="006178FC">
            <w:pPr>
              <w:pStyle w:val="TableTextLeft"/>
              <w:rPr>
                <w:b/>
              </w:rPr>
            </w:pPr>
            <w:r>
              <w:rPr>
                <w:b/>
              </w:rPr>
              <w:t>Cash at the end of the year</w:t>
            </w:r>
          </w:p>
        </w:tc>
        <w:tc>
          <w:tcPr>
            <w:tcW w:w="716" w:type="pct"/>
            <w:tcBorders>
              <w:top w:val="nil"/>
              <w:left w:val="nil"/>
              <w:bottom w:val="single" w:sz="4" w:space="0" w:color="293F5B"/>
              <w:right w:val="nil"/>
            </w:tcBorders>
            <w:shd w:val="clear" w:color="auto" w:fill="auto"/>
            <w:noWrap/>
            <w:vAlign w:val="center"/>
            <w:hideMark/>
          </w:tcPr>
          <w:p w14:paraId="5DFD46F3" w14:textId="268787A9" w:rsidR="009C0AA7" w:rsidRPr="00346557" w:rsidRDefault="009C0AA7" w:rsidP="00DC7BE9">
            <w:pPr>
              <w:pStyle w:val="TableTextRight"/>
              <w:rPr>
                <w:b/>
              </w:rPr>
            </w:pPr>
            <w:r>
              <w:rPr>
                <w:b/>
              </w:rPr>
              <w:t>90,646</w:t>
            </w:r>
          </w:p>
        </w:tc>
        <w:tc>
          <w:tcPr>
            <w:tcW w:w="716" w:type="pct"/>
            <w:tcBorders>
              <w:top w:val="nil"/>
              <w:left w:val="nil"/>
              <w:bottom w:val="single" w:sz="4" w:space="0" w:color="293F5B"/>
              <w:right w:val="nil"/>
            </w:tcBorders>
            <w:shd w:val="clear" w:color="000000" w:fill="E6F2FF"/>
            <w:noWrap/>
            <w:vAlign w:val="center"/>
            <w:hideMark/>
          </w:tcPr>
          <w:p w14:paraId="5897C4D9" w14:textId="266C18E0" w:rsidR="009C0AA7" w:rsidRPr="00346557" w:rsidRDefault="009C0AA7" w:rsidP="00DC7BE9">
            <w:pPr>
              <w:pStyle w:val="TableTextRight"/>
              <w:rPr>
                <w:b/>
              </w:rPr>
            </w:pPr>
            <w:r>
              <w:rPr>
                <w:b/>
              </w:rPr>
              <w:t>63,530</w:t>
            </w:r>
          </w:p>
        </w:tc>
      </w:tr>
    </w:tbl>
    <w:p w14:paraId="0E94F519" w14:textId="77777777" w:rsidR="00D8138E" w:rsidRPr="00EA746C" w:rsidRDefault="00D8138E" w:rsidP="00D8138E">
      <w:pPr>
        <w:rPr>
          <w:rFonts w:eastAsiaTheme="minorHAnsi"/>
        </w:rPr>
      </w:pPr>
      <w:r w:rsidRPr="00EA746C">
        <w:rPr>
          <w:rFonts w:eastAsiaTheme="minorHAnsi"/>
        </w:rPr>
        <w:br w:type="page"/>
      </w:r>
    </w:p>
    <w:p w14:paraId="038B78E2" w14:textId="7FDBA2F0" w:rsidR="00D8138E" w:rsidRDefault="00A96E0D" w:rsidP="002D63CE">
      <w:pPr>
        <w:pStyle w:val="TableHeadingcontinued"/>
        <w:rPr>
          <w:rFonts w:asciiTheme="minorHAnsi" w:eastAsiaTheme="minorHAnsi" w:hAnsiTheme="minorHAnsi" w:cstheme="minorBidi"/>
          <w:sz w:val="22"/>
          <w:szCs w:val="22"/>
          <w:lang w:eastAsia="en-US"/>
        </w:rPr>
      </w:pPr>
      <w:bookmarkStart w:id="5" w:name="_Hlk130215124"/>
      <w:r>
        <w:lastRenderedPageBreak/>
        <w:t>Table </w:t>
      </w:r>
      <w:r w:rsidR="00D8138E" w:rsidRPr="00EA746C">
        <w:t>1</w:t>
      </w:r>
      <w:r w:rsidR="00603DAA">
        <w:t>0</w:t>
      </w:r>
      <w:r w:rsidR="00D8138E" w:rsidRPr="00EA746C">
        <w:t>.9: Australian Government total non</w:t>
      </w:r>
      <w:r w:rsidR="00325E1E">
        <w:noBreakHyphen/>
      </w:r>
      <w:r w:rsidR="00D8138E" w:rsidRPr="00EA746C">
        <w:t xml:space="preserve">financial public sector cash flow statement </w:t>
      </w:r>
      <w:bookmarkEnd w:id="5"/>
      <w:r w:rsidR="00D8138E" w:rsidRPr="00EA746C">
        <w:t>(continued)</w:t>
      </w:r>
      <w:r w:rsidR="00D8138E" w:rsidRPr="00EA746C">
        <w:rPr>
          <w:vertAlign w:val="superscript"/>
        </w:rPr>
        <w:t>(a)</w:t>
      </w:r>
      <w:r w:rsidR="00D8138E">
        <w:t xml:space="preserve"> </w:t>
      </w:r>
    </w:p>
    <w:tbl>
      <w:tblPr>
        <w:tblW w:w="5000" w:type="pct"/>
        <w:tblCellMar>
          <w:left w:w="0" w:type="dxa"/>
          <w:right w:w="28" w:type="dxa"/>
        </w:tblCellMar>
        <w:tblLook w:val="04A0" w:firstRow="1" w:lastRow="0" w:firstColumn="1" w:lastColumn="0" w:noHBand="0" w:noVBand="1"/>
      </w:tblPr>
      <w:tblGrid>
        <w:gridCol w:w="5502"/>
        <w:gridCol w:w="1104"/>
        <w:gridCol w:w="1104"/>
      </w:tblGrid>
      <w:tr w:rsidR="00D8138E" w:rsidRPr="007368C5" w14:paraId="373573CA" w14:textId="77777777">
        <w:trPr>
          <w:trHeight w:hRule="exact" w:val="225"/>
        </w:trPr>
        <w:tc>
          <w:tcPr>
            <w:tcW w:w="3568" w:type="pct"/>
            <w:tcBorders>
              <w:top w:val="single" w:sz="4" w:space="0" w:color="293F5B"/>
              <w:left w:val="nil"/>
              <w:bottom w:val="nil"/>
              <w:right w:val="nil"/>
            </w:tcBorders>
            <w:shd w:val="clear" w:color="000000" w:fill="FFFFFF"/>
            <w:noWrap/>
            <w:vAlign w:val="center"/>
            <w:hideMark/>
          </w:tcPr>
          <w:p w14:paraId="18A91D71" w14:textId="77777777" w:rsidR="00D8138E" w:rsidRPr="007368C5" w:rsidRDefault="00D8138E">
            <w:pPr>
              <w:rPr>
                <w:rFonts w:ascii="Arial" w:hAnsi="Arial" w:cs="Arial"/>
                <w:sz w:val="16"/>
                <w:szCs w:val="16"/>
              </w:rPr>
            </w:pPr>
            <w:r w:rsidRPr="007368C5">
              <w:rPr>
                <w:rFonts w:ascii="Arial" w:hAnsi="Arial" w:cs="Arial"/>
                <w:sz w:val="16"/>
                <w:szCs w:val="16"/>
              </w:rPr>
              <w:t> </w:t>
            </w:r>
          </w:p>
        </w:tc>
        <w:tc>
          <w:tcPr>
            <w:tcW w:w="1432" w:type="pct"/>
            <w:gridSpan w:val="2"/>
            <w:tcBorders>
              <w:top w:val="single" w:sz="4" w:space="0" w:color="293F5B"/>
              <w:left w:val="nil"/>
              <w:bottom w:val="single" w:sz="4" w:space="0" w:color="293F5B"/>
              <w:right w:val="nil"/>
            </w:tcBorders>
            <w:shd w:val="clear" w:color="000000" w:fill="FFFFFF"/>
            <w:noWrap/>
            <w:vAlign w:val="center"/>
            <w:hideMark/>
          </w:tcPr>
          <w:p w14:paraId="2ADB3964" w14:textId="77777777" w:rsidR="00D8138E" w:rsidRPr="007368C5" w:rsidRDefault="00D8138E" w:rsidP="00DC7BE9">
            <w:pPr>
              <w:pStyle w:val="TableTextCentred"/>
            </w:pPr>
            <w:r w:rsidRPr="007368C5">
              <w:t>Estimates</w:t>
            </w:r>
          </w:p>
        </w:tc>
      </w:tr>
      <w:tr w:rsidR="00D8138E" w:rsidRPr="007368C5" w14:paraId="2CE2BEAE" w14:textId="77777777">
        <w:trPr>
          <w:trHeight w:hRule="exact" w:val="225"/>
        </w:trPr>
        <w:tc>
          <w:tcPr>
            <w:tcW w:w="3568" w:type="pct"/>
            <w:tcBorders>
              <w:top w:val="nil"/>
              <w:left w:val="nil"/>
              <w:bottom w:val="nil"/>
              <w:right w:val="nil"/>
            </w:tcBorders>
            <w:shd w:val="clear" w:color="000000" w:fill="FFFFFF"/>
            <w:noWrap/>
            <w:vAlign w:val="center"/>
            <w:hideMark/>
          </w:tcPr>
          <w:p w14:paraId="18A7EAA5" w14:textId="77777777" w:rsidR="00D8138E" w:rsidRPr="007368C5" w:rsidRDefault="00D8138E" w:rsidP="006C4AC8">
            <w:pPr>
              <w:pStyle w:val="TableTextLeft"/>
            </w:pPr>
            <w:r w:rsidRPr="007368C5">
              <w:t> </w:t>
            </w:r>
          </w:p>
        </w:tc>
        <w:tc>
          <w:tcPr>
            <w:tcW w:w="716" w:type="pct"/>
            <w:tcBorders>
              <w:top w:val="nil"/>
              <w:left w:val="nil"/>
              <w:bottom w:val="nil"/>
              <w:right w:val="nil"/>
            </w:tcBorders>
            <w:shd w:val="clear" w:color="000000" w:fill="FFFFFF"/>
            <w:noWrap/>
            <w:vAlign w:val="center"/>
            <w:hideMark/>
          </w:tcPr>
          <w:p w14:paraId="7CE182BF" w14:textId="016A1A6B" w:rsidR="00D8138E" w:rsidRPr="007368C5" w:rsidRDefault="00D8138E" w:rsidP="00DC7BE9">
            <w:pPr>
              <w:pStyle w:val="TableTextRight"/>
            </w:pPr>
            <w:r w:rsidRPr="007368C5">
              <w:t>202</w:t>
            </w:r>
            <w:r w:rsidR="00FD79DA">
              <w:t>3</w:t>
            </w:r>
            <w:r w:rsidRPr="007368C5">
              <w:t>–2</w:t>
            </w:r>
            <w:r w:rsidR="00FD79DA">
              <w:t>4</w:t>
            </w:r>
          </w:p>
        </w:tc>
        <w:tc>
          <w:tcPr>
            <w:tcW w:w="716" w:type="pct"/>
            <w:tcBorders>
              <w:top w:val="nil"/>
              <w:left w:val="nil"/>
              <w:bottom w:val="nil"/>
              <w:right w:val="nil"/>
            </w:tcBorders>
            <w:shd w:val="clear" w:color="000000" w:fill="E6F2FF"/>
            <w:noWrap/>
            <w:vAlign w:val="center"/>
            <w:hideMark/>
          </w:tcPr>
          <w:p w14:paraId="7261CC2D" w14:textId="47046F67" w:rsidR="00D8138E" w:rsidRPr="007368C5" w:rsidRDefault="00D8138E" w:rsidP="00DC7BE9">
            <w:pPr>
              <w:pStyle w:val="TableTextRight"/>
            </w:pPr>
            <w:r w:rsidRPr="007368C5">
              <w:t>202</w:t>
            </w:r>
            <w:r w:rsidR="00FD79DA">
              <w:t>4</w:t>
            </w:r>
            <w:r w:rsidRPr="007368C5">
              <w:t>–2</w:t>
            </w:r>
            <w:r w:rsidR="00FD79DA">
              <w:t>5</w:t>
            </w:r>
          </w:p>
        </w:tc>
      </w:tr>
      <w:tr w:rsidR="00D8138E" w:rsidRPr="007368C5" w14:paraId="3D2AD1BF" w14:textId="77777777">
        <w:trPr>
          <w:trHeight w:hRule="exact" w:val="225"/>
        </w:trPr>
        <w:tc>
          <w:tcPr>
            <w:tcW w:w="3568" w:type="pct"/>
            <w:tcBorders>
              <w:top w:val="nil"/>
              <w:left w:val="nil"/>
              <w:bottom w:val="nil"/>
              <w:right w:val="nil"/>
            </w:tcBorders>
            <w:shd w:val="clear" w:color="000000" w:fill="FFFFFF"/>
            <w:noWrap/>
            <w:vAlign w:val="center"/>
            <w:hideMark/>
          </w:tcPr>
          <w:p w14:paraId="11B9D515" w14:textId="77777777" w:rsidR="00D8138E" w:rsidRPr="007368C5" w:rsidRDefault="00D8138E" w:rsidP="006C4AC8">
            <w:pPr>
              <w:pStyle w:val="TableTextLeft"/>
              <w:rPr>
                <w:b/>
              </w:rPr>
            </w:pPr>
            <w:r w:rsidRPr="007368C5">
              <w:rPr>
                <w:b/>
              </w:rPr>
              <w:t> </w:t>
            </w:r>
          </w:p>
        </w:tc>
        <w:tc>
          <w:tcPr>
            <w:tcW w:w="716" w:type="pct"/>
            <w:tcBorders>
              <w:top w:val="nil"/>
              <w:left w:val="nil"/>
              <w:bottom w:val="single" w:sz="4" w:space="0" w:color="293F5B"/>
              <w:right w:val="nil"/>
            </w:tcBorders>
            <w:shd w:val="clear" w:color="000000" w:fill="FFFFFF"/>
            <w:noWrap/>
            <w:vAlign w:val="center"/>
            <w:hideMark/>
          </w:tcPr>
          <w:p w14:paraId="21303F21" w14:textId="77777777" w:rsidR="00D8138E" w:rsidRPr="007368C5" w:rsidRDefault="00D8138E" w:rsidP="00DC7BE9">
            <w:pPr>
              <w:pStyle w:val="TableTextRight"/>
            </w:pPr>
            <w:r w:rsidRPr="007368C5">
              <w:t>$m</w:t>
            </w:r>
          </w:p>
        </w:tc>
        <w:tc>
          <w:tcPr>
            <w:tcW w:w="716" w:type="pct"/>
            <w:tcBorders>
              <w:top w:val="nil"/>
              <w:left w:val="nil"/>
              <w:bottom w:val="single" w:sz="4" w:space="0" w:color="293F5B"/>
              <w:right w:val="nil"/>
            </w:tcBorders>
            <w:shd w:val="clear" w:color="000000" w:fill="E6F2FF"/>
            <w:noWrap/>
            <w:vAlign w:val="center"/>
            <w:hideMark/>
          </w:tcPr>
          <w:p w14:paraId="52F286D1" w14:textId="77777777" w:rsidR="00D8138E" w:rsidRPr="007368C5" w:rsidRDefault="00D8138E" w:rsidP="00DC7BE9">
            <w:pPr>
              <w:pStyle w:val="TableTextRight"/>
            </w:pPr>
            <w:r w:rsidRPr="007368C5">
              <w:t>$m</w:t>
            </w:r>
          </w:p>
        </w:tc>
      </w:tr>
      <w:tr w:rsidR="002B1C9E" w:rsidRPr="007368C5" w14:paraId="0333EF3C" w14:textId="77777777">
        <w:trPr>
          <w:trHeight w:hRule="exact" w:val="225"/>
        </w:trPr>
        <w:tc>
          <w:tcPr>
            <w:tcW w:w="3568" w:type="pct"/>
            <w:tcBorders>
              <w:top w:val="nil"/>
              <w:left w:val="nil"/>
              <w:bottom w:val="nil"/>
              <w:right w:val="nil"/>
            </w:tcBorders>
            <w:shd w:val="clear" w:color="000000" w:fill="FFFFFF"/>
            <w:noWrap/>
            <w:vAlign w:val="center"/>
            <w:hideMark/>
          </w:tcPr>
          <w:p w14:paraId="2EBD73B7" w14:textId="11E8E787" w:rsidR="002B1C9E" w:rsidRPr="007368C5" w:rsidRDefault="002B1C9E" w:rsidP="006C4AC8">
            <w:pPr>
              <w:pStyle w:val="TableTextLeft"/>
              <w:rPr>
                <w:b/>
              </w:rPr>
            </w:pPr>
            <w:r>
              <w:rPr>
                <w:b/>
              </w:rPr>
              <w:t>GFS cash surplus(+)/deficit</w:t>
            </w:r>
            <w:r>
              <w:rPr>
                <w:b/>
                <w:bCs/>
              </w:rPr>
              <w:t>(</w:t>
            </w:r>
            <w:r w:rsidR="00325E1E">
              <w:rPr>
                <w:b/>
                <w:bCs/>
              </w:rPr>
              <w:noBreakHyphen/>
            </w:r>
            <w:r>
              <w:rPr>
                <w:b/>
                <w:bCs/>
              </w:rPr>
              <w:t>)(</w:t>
            </w:r>
            <w:r>
              <w:rPr>
                <w:b/>
              </w:rPr>
              <w:t>c)</w:t>
            </w:r>
          </w:p>
        </w:tc>
        <w:tc>
          <w:tcPr>
            <w:tcW w:w="716" w:type="pct"/>
            <w:tcBorders>
              <w:top w:val="nil"/>
              <w:left w:val="nil"/>
              <w:bottom w:val="nil"/>
              <w:right w:val="nil"/>
            </w:tcBorders>
            <w:shd w:val="clear" w:color="000000" w:fill="FFFFFF"/>
            <w:noWrap/>
            <w:vAlign w:val="center"/>
            <w:hideMark/>
          </w:tcPr>
          <w:p w14:paraId="350CF977" w14:textId="7471EE0A" w:rsidR="002B1C9E" w:rsidRPr="007368C5" w:rsidRDefault="002B1C9E" w:rsidP="00DC7BE9">
            <w:pPr>
              <w:pStyle w:val="TableTextRight"/>
              <w:rPr>
                <w:b/>
              </w:rPr>
            </w:pPr>
            <w:r>
              <w:rPr>
                <w:b/>
              </w:rPr>
              <w:t>4,711</w:t>
            </w:r>
          </w:p>
        </w:tc>
        <w:tc>
          <w:tcPr>
            <w:tcW w:w="716" w:type="pct"/>
            <w:tcBorders>
              <w:top w:val="nil"/>
              <w:left w:val="nil"/>
              <w:bottom w:val="nil"/>
              <w:right w:val="nil"/>
            </w:tcBorders>
            <w:shd w:val="clear" w:color="000000" w:fill="E6F2FF"/>
            <w:noWrap/>
            <w:vAlign w:val="center"/>
            <w:hideMark/>
          </w:tcPr>
          <w:p w14:paraId="4DCB16BB" w14:textId="36158681" w:rsidR="002B1C9E" w:rsidRPr="007368C5" w:rsidRDefault="00325E1E" w:rsidP="00DC7BE9">
            <w:pPr>
              <w:pStyle w:val="TableTextRight"/>
              <w:rPr>
                <w:b/>
              </w:rPr>
            </w:pPr>
            <w:r>
              <w:rPr>
                <w:b/>
                <w:bCs/>
              </w:rPr>
              <w:noBreakHyphen/>
            </w:r>
            <w:r w:rsidR="002B1C9E">
              <w:rPr>
                <w:b/>
              </w:rPr>
              <w:t>34,356</w:t>
            </w:r>
          </w:p>
        </w:tc>
      </w:tr>
      <w:tr w:rsidR="002B1C9E" w:rsidRPr="007368C5" w14:paraId="5380647D" w14:textId="77777777">
        <w:trPr>
          <w:trHeight w:hRule="exact" w:val="225"/>
        </w:trPr>
        <w:tc>
          <w:tcPr>
            <w:tcW w:w="3568" w:type="pct"/>
            <w:tcBorders>
              <w:top w:val="nil"/>
              <w:left w:val="nil"/>
              <w:bottom w:val="nil"/>
              <w:right w:val="nil"/>
            </w:tcBorders>
            <w:shd w:val="clear" w:color="000000" w:fill="FFFFFF"/>
            <w:noWrap/>
            <w:vAlign w:val="center"/>
            <w:hideMark/>
          </w:tcPr>
          <w:p w14:paraId="7A6D8877" w14:textId="3F9BCF4E" w:rsidR="002B1C9E" w:rsidRPr="007368C5" w:rsidRDefault="002B1C9E" w:rsidP="006C4AC8">
            <w:pPr>
              <w:pStyle w:val="TableTextLeft"/>
            </w:pPr>
            <w:r>
              <w:rPr>
                <w:i/>
              </w:rPr>
              <w:t xml:space="preserve">plus </w:t>
            </w:r>
            <w:r>
              <w:t>Principal payments of lease liabilities(d)</w:t>
            </w:r>
          </w:p>
        </w:tc>
        <w:tc>
          <w:tcPr>
            <w:tcW w:w="716" w:type="pct"/>
            <w:tcBorders>
              <w:top w:val="nil"/>
              <w:left w:val="nil"/>
              <w:bottom w:val="nil"/>
              <w:right w:val="nil"/>
            </w:tcBorders>
            <w:shd w:val="clear" w:color="000000" w:fill="FFFFFF"/>
            <w:noWrap/>
            <w:vAlign w:val="center"/>
            <w:hideMark/>
          </w:tcPr>
          <w:p w14:paraId="57193BDC" w14:textId="114179E9" w:rsidR="002B1C9E" w:rsidRPr="007368C5" w:rsidRDefault="00325E1E" w:rsidP="00DC7BE9">
            <w:pPr>
              <w:pStyle w:val="TableTextRight"/>
            </w:pPr>
            <w:r>
              <w:noBreakHyphen/>
            </w:r>
            <w:r w:rsidR="002B1C9E">
              <w:t>3,070</w:t>
            </w:r>
          </w:p>
        </w:tc>
        <w:tc>
          <w:tcPr>
            <w:tcW w:w="716" w:type="pct"/>
            <w:tcBorders>
              <w:top w:val="nil"/>
              <w:left w:val="nil"/>
              <w:bottom w:val="nil"/>
              <w:right w:val="nil"/>
            </w:tcBorders>
            <w:shd w:val="clear" w:color="000000" w:fill="E6F2FF"/>
            <w:noWrap/>
            <w:vAlign w:val="center"/>
            <w:hideMark/>
          </w:tcPr>
          <w:p w14:paraId="7E1A56C9" w14:textId="389446A8" w:rsidR="002B1C9E" w:rsidRPr="007368C5" w:rsidRDefault="00325E1E" w:rsidP="00DC7BE9">
            <w:pPr>
              <w:pStyle w:val="TableTextRight"/>
            </w:pPr>
            <w:r>
              <w:noBreakHyphen/>
            </w:r>
            <w:r w:rsidR="002B1C9E">
              <w:t>2,968</w:t>
            </w:r>
          </w:p>
        </w:tc>
      </w:tr>
      <w:tr w:rsidR="002B1C9E" w:rsidRPr="007368C5" w14:paraId="1039B3C5"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7F9BF8D5" w14:textId="38FBB7B4" w:rsidR="002B1C9E" w:rsidRPr="007368C5" w:rsidRDefault="002B1C9E" w:rsidP="006C4AC8">
            <w:pPr>
              <w:pStyle w:val="TableTextLeft"/>
              <w:rPr>
                <w:b/>
              </w:rPr>
            </w:pPr>
            <w:r>
              <w:rPr>
                <w:b/>
              </w:rPr>
              <w:t>Adjusted GFS cash surplus(+)/deficit</w:t>
            </w:r>
            <w:r>
              <w:rPr>
                <w:b/>
                <w:bCs/>
              </w:rPr>
              <w:t>(</w:t>
            </w:r>
            <w:r w:rsidR="00325E1E">
              <w:rPr>
                <w:b/>
                <w:bCs/>
              </w:rPr>
              <w:noBreakHyphen/>
            </w:r>
            <w:r>
              <w:rPr>
                <w:b/>
                <w:bCs/>
              </w:rPr>
              <w:t>)(</w:t>
            </w:r>
            <w:r>
              <w:rPr>
                <w:b/>
              </w:rPr>
              <w:t>d)</w:t>
            </w:r>
          </w:p>
        </w:tc>
        <w:tc>
          <w:tcPr>
            <w:tcW w:w="716" w:type="pct"/>
            <w:tcBorders>
              <w:top w:val="nil"/>
              <w:left w:val="nil"/>
              <w:bottom w:val="single" w:sz="4" w:space="0" w:color="293F5B"/>
              <w:right w:val="nil"/>
            </w:tcBorders>
            <w:shd w:val="clear" w:color="000000" w:fill="FFFFFF"/>
            <w:noWrap/>
            <w:vAlign w:val="center"/>
            <w:hideMark/>
          </w:tcPr>
          <w:p w14:paraId="1DA5F306" w14:textId="519F2284" w:rsidR="002B1C9E" w:rsidRPr="007368C5" w:rsidRDefault="002B1C9E" w:rsidP="00DC7BE9">
            <w:pPr>
              <w:pStyle w:val="TableTextRight"/>
              <w:rPr>
                <w:b/>
              </w:rPr>
            </w:pPr>
            <w:r>
              <w:rPr>
                <w:b/>
              </w:rPr>
              <w:t>1,641</w:t>
            </w:r>
          </w:p>
        </w:tc>
        <w:tc>
          <w:tcPr>
            <w:tcW w:w="716" w:type="pct"/>
            <w:tcBorders>
              <w:top w:val="nil"/>
              <w:left w:val="nil"/>
              <w:bottom w:val="single" w:sz="4" w:space="0" w:color="293F5B"/>
              <w:right w:val="nil"/>
            </w:tcBorders>
            <w:shd w:val="clear" w:color="000000" w:fill="E6F2FF"/>
            <w:noWrap/>
            <w:vAlign w:val="center"/>
            <w:hideMark/>
          </w:tcPr>
          <w:p w14:paraId="0268F989" w14:textId="7F3DF7DC" w:rsidR="002B1C9E" w:rsidRPr="007368C5" w:rsidRDefault="00325E1E" w:rsidP="00DC7BE9">
            <w:pPr>
              <w:pStyle w:val="TableTextRight"/>
              <w:rPr>
                <w:b/>
              </w:rPr>
            </w:pPr>
            <w:r>
              <w:rPr>
                <w:b/>
                <w:bCs/>
              </w:rPr>
              <w:noBreakHyphen/>
            </w:r>
            <w:r w:rsidR="002B1C9E">
              <w:rPr>
                <w:b/>
              </w:rPr>
              <w:t>37,323</w:t>
            </w:r>
          </w:p>
        </w:tc>
      </w:tr>
    </w:tbl>
    <w:p w14:paraId="10B24C7C" w14:textId="77777777" w:rsidR="00D8138E" w:rsidRPr="00A2346F" w:rsidRDefault="00D8138E" w:rsidP="00D8138E">
      <w:pPr>
        <w:pStyle w:val="ChartandTableFootnoteAlpha"/>
        <w:numPr>
          <w:ilvl w:val="0"/>
          <w:numId w:val="15"/>
        </w:numPr>
      </w:pPr>
      <w:r w:rsidRPr="00A2346F">
        <w:t>A positive number denotes a cash inflow; a negative number denotes a cash outflow.</w:t>
      </w:r>
    </w:p>
    <w:p w14:paraId="232CF934" w14:textId="77777777" w:rsidR="00D8138E" w:rsidRPr="00A2346F" w:rsidRDefault="00D8138E" w:rsidP="00D8138E">
      <w:pPr>
        <w:pStyle w:val="ChartandTableFootnoteAlpha"/>
        <w:numPr>
          <w:ilvl w:val="0"/>
          <w:numId w:val="15"/>
        </w:numPr>
      </w:pPr>
      <w:r w:rsidRPr="00A2346F">
        <w:t>Consistent with the ABS GFS classification, other employee related payments are classified separately from wages and salaries under other payments.</w:t>
      </w:r>
    </w:p>
    <w:p w14:paraId="0F6116A9" w14:textId="3D6E662F" w:rsidR="00D8138E" w:rsidRPr="00A2346F" w:rsidRDefault="00D8138E" w:rsidP="00D8138E">
      <w:pPr>
        <w:pStyle w:val="ChartandTableFootnoteAlpha"/>
        <w:numPr>
          <w:ilvl w:val="0"/>
          <w:numId w:val="15"/>
        </w:numPr>
      </w:pPr>
      <w:r w:rsidRPr="00A2346F">
        <w:t>GFS cash surplus/deficit equals net cash flows from operating activities and investments in non</w:t>
      </w:r>
      <w:r w:rsidR="00325E1E">
        <w:noBreakHyphen/>
      </w:r>
      <w:r w:rsidRPr="00A2346F">
        <w:t>financial assets.</w:t>
      </w:r>
    </w:p>
    <w:p w14:paraId="1AAF11E9" w14:textId="597A1B34" w:rsidR="00D8138E" w:rsidRPr="00A2346F" w:rsidRDefault="00D8138E" w:rsidP="00D8138E">
      <w:pPr>
        <w:pStyle w:val="ChartandTableFootnoteAlpha"/>
        <w:numPr>
          <w:ilvl w:val="0"/>
          <w:numId w:val="15"/>
        </w:numPr>
      </w:pPr>
      <w:r w:rsidRPr="00A2346F">
        <w:t xml:space="preserve">Principal payments of lease liabilities, which are financing cash payments, are deducted in the calculation of the GFS cash surplus/deficit to maintain consistency of measure following the implementation of </w:t>
      </w:r>
      <w:r w:rsidR="00A96E0D">
        <w:t>AASB </w:t>
      </w:r>
      <w:r w:rsidRPr="00A2346F">
        <w:t>16.</w:t>
      </w:r>
    </w:p>
    <w:p w14:paraId="494EDA2E" w14:textId="77777777" w:rsidR="00D8138E" w:rsidRPr="00EA746C" w:rsidRDefault="00D8138E" w:rsidP="003835A0">
      <w:pPr>
        <w:pStyle w:val="TableLine"/>
      </w:pPr>
    </w:p>
    <w:p w14:paraId="7114FBF0" w14:textId="77777777" w:rsidR="00D8138E" w:rsidRPr="00EA746C" w:rsidRDefault="00D8138E" w:rsidP="00D8138E">
      <w:r w:rsidRPr="00EA746C">
        <w:br w:type="page"/>
      </w:r>
    </w:p>
    <w:p w14:paraId="4D120F3D" w14:textId="1CCA9F38"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EA746C">
        <w:t>1</w:t>
      </w:r>
      <w:r w:rsidR="004B559A">
        <w:t>0</w:t>
      </w:r>
      <w:r w:rsidR="00D8138E" w:rsidRPr="00EA746C">
        <w:t>.10: Australian Government public financial corporations sector operating statemen</w:t>
      </w:r>
      <w:r w:rsidR="00D8138E">
        <w:t>t</w:t>
      </w:r>
    </w:p>
    <w:tbl>
      <w:tblPr>
        <w:tblW w:w="5000" w:type="pct"/>
        <w:tblCellMar>
          <w:left w:w="0" w:type="dxa"/>
          <w:right w:w="28" w:type="dxa"/>
        </w:tblCellMar>
        <w:tblLook w:val="04A0" w:firstRow="1" w:lastRow="0" w:firstColumn="1" w:lastColumn="0" w:noHBand="0" w:noVBand="1"/>
      </w:tblPr>
      <w:tblGrid>
        <w:gridCol w:w="5502"/>
        <w:gridCol w:w="1104"/>
        <w:gridCol w:w="1104"/>
      </w:tblGrid>
      <w:tr w:rsidR="00D8138E" w:rsidRPr="00D83DB9" w14:paraId="3B6220AE" w14:textId="77777777">
        <w:trPr>
          <w:trHeight w:hRule="exact" w:val="225"/>
        </w:trPr>
        <w:tc>
          <w:tcPr>
            <w:tcW w:w="3568" w:type="pct"/>
            <w:tcBorders>
              <w:top w:val="single" w:sz="4" w:space="0" w:color="293F5B"/>
              <w:left w:val="nil"/>
              <w:bottom w:val="nil"/>
              <w:right w:val="nil"/>
            </w:tcBorders>
            <w:shd w:val="clear" w:color="000000" w:fill="FFFFFF"/>
            <w:noWrap/>
            <w:vAlign w:val="center"/>
            <w:hideMark/>
          </w:tcPr>
          <w:p w14:paraId="48DF641C" w14:textId="77777777" w:rsidR="00D8138E" w:rsidRPr="00D83DB9" w:rsidRDefault="00D8138E" w:rsidP="00BB2C1A">
            <w:pPr>
              <w:pStyle w:val="TableTextLeft"/>
            </w:pPr>
            <w:r w:rsidRPr="00D83DB9">
              <w:t> </w:t>
            </w:r>
          </w:p>
        </w:tc>
        <w:tc>
          <w:tcPr>
            <w:tcW w:w="1432" w:type="pct"/>
            <w:gridSpan w:val="2"/>
            <w:tcBorders>
              <w:top w:val="single" w:sz="4" w:space="0" w:color="293F5B"/>
              <w:left w:val="nil"/>
              <w:bottom w:val="single" w:sz="4" w:space="0" w:color="293F5B"/>
              <w:right w:val="nil"/>
            </w:tcBorders>
            <w:shd w:val="clear" w:color="000000" w:fill="FFFFFF"/>
            <w:noWrap/>
            <w:vAlign w:val="center"/>
            <w:hideMark/>
          </w:tcPr>
          <w:p w14:paraId="3D1074EB" w14:textId="77777777" w:rsidR="00D8138E" w:rsidRPr="00D83DB9" w:rsidRDefault="00D8138E" w:rsidP="0005205C">
            <w:pPr>
              <w:pStyle w:val="TableTextCentred"/>
            </w:pPr>
            <w:r w:rsidRPr="00D83DB9">
              <w:t>Estimates</w:t>
            </w:r>
          </w:p>
        </w:tc>
      </w:tr>
      <w:tr w:rsidR="00D8138E" w:rsidRPr="00D83DB9" w14:paraId="5883F6AE" w14:textId="77777777">
        <w:trPr>
          <w:trHeight w:hRule="exact" w:val="225"/>
        </w:trPr>
        <w:tc>
          <w:tcPr>
            <w:tcW w:w="3568" w:type="pct"/>
            <w:tcBorders>
              <w:top w:val="nil"/>
              <w:left w:val="nil"/>
              <w:bottom w:val="nil"/>
              <w:right w:val="nil"/>
            </w:tcBorders>
            <w:shd w:val="clear" w:color="000000" w:fill="FFFFFF"/>
            <w:noWrap/>
            <w:vAlign w:val="center"/>
            <w:hideMark/>
          </w:tcPr>
          <w:p w14:paraId="3E8C8DBA" w14:textId="77777777" w:rsidR="00D8138E" w:rsidRPr="00D83DB9" w:rsidRDefault="00D8138E" w:rsidP="00BB2C1A">
            <w:pPr>
              <w:pStyle w:val="TableTextLeft"/>
            </w:pPr>
            <w:r w:rsidRPr="00D83DB9">
              <w:t> </w:t>
            </w:r>
          </w:p>
        </w:tc>
        <w:tc>
          <w:tcPr>
            <w:tcW w:w="716" w:type="pct"/>
            <w:tcBorders>
              <w:top w:val="nil"/>
              <w:left w:val="nil"/>
              <w:bottom w:val="nil"/>
              <w:right w:val="nil"/>
            </w:tcBorders>
            <w:shd w:val="clear" w:color="000000" w:fill="FFFFFF"/>
            <w:noWrap/>
            <w:vAlign w:val="center"/>
            <w:hideMark/>
          </w:tcPr>
          <w:p w14:paraId="3125DC3B" w14:textId="2B282E92" w:rsidR="00D8138E" w:rsidRPr="00D83DB9" w:rsidRDefault="00D8138E" w:rsidP="0005205C">
            <w:pPr>
              <w:pStyle w:val="TableTextRight"/>
            </w:pPr>
            <w:r w:rsidRPr="00D83DB9">
              <w:t>202</w:t>
            </w:r>
            <w:r w:rsidR="00E01488">
              <w:t>3</w:t>
            </w:r>
            <w:r w:rsidRPr="00D83DB9">
              <w:t>–2</w:t>
            </w:r>
            <w:r w:rsidR="00E01488">
              <w:t>4</w:t>
            </w:r>
          </w:p>
        </w:tc>
        <w:tc>
          <w:tcPr>
            <w:tcW w:w="716" w:type="pct"/>
            <w:tcBorders>
              <w:top w:val="nil"/>
              <w:left w:val="nil"/>
              <w:bottom w:val="nil"/>
              <w:right w:val="nil"/>
            </w:tcBorders>
            <w:shd w:val="clear" w:color="000000" w:fill="E6F2FF"/>
            <w:noWrap/>
            <w:vAlign w:val="center"/>
            <w:hideMark/>
          </w:tcPr>
          <w:p w14:paraId="147E9E1A" w14:textId="4D1D52A1" w:rsidR="00D8138E" w:rsidRPr="00D83DB9" w:rsidRDefault="00D8138E" w:rsidP="0005205C">
            <w:pPr>
              <w:pStyle w:val="TableTextRight"/>
            </w:pPr>
            <w:r w:rsidRPr="00D83DB9">
              <w:t>202</w:t>
            </w:r>
            <w:r w:rsidR="00E01488">
              <w:t>4</w:t>
            </w:r>
            <w:r w:rsidRPr="00D83DB9">
              <w:t>–2</w:t>
            </w:r>
            <w:r w:rsidR="00E01488">
              <w:t>5</w:t>
            </w:r>
          </w:p>
        </w:tc>
      </w:tr>
      <w:tr w:rsidR="00D8138E" w:rsidRPr="00D83DB9" w14:paraId="1A0BD6C8" w14:textId="77777777">
        <w:trPr>
          <w:trHeight w:hRule="exact" w:val="225"/>
        </w:trPr>
        <w:tc>
          <w:tcPr>
            <w:tcW w:w="3568" w:type="pct"/>
            <w:tcBorders>
              <w:top w:val="nil"/>
              <w:left w:val="nil"/>
              <w:bottom w:val="nil"/>
              <w:right w:val="nil"/>
            </w:tcBorders>
            <w:shd w:val="clear" w:color="000000" w:fill="FFFFFF"/>
            <w:noWrap/>
            <w:vAlign w:val="center"/>
            <w:hideMark/>
          </w:tcPr>
          <w:p w14:paraId="599B43A1" w14:textId="77777777" w:rsidR="00D8138E" w:rsidRPr="00D83DB9" w:rsidRDefault="00D8138E" w:rsidP="00BB2C1A">
            <w:pPr>
              <w:pStyle w:val="TableTextLeft"/>
              <w:rPr>
                <w:b/>
              </w:rPr>
            </w:pPr>
            <w:r w:rsidRPr="00D83DB9">
              <w:rPr>
                <w:b/>
              </w:rPr>
              <w:t> </w:t>
            </w:r>
          </w:p>
        </w:tc>
        <w:tc>
          <w:tcPr>
            <w:tcW w:w="716" w:type="pct"/>
            <w:tcBorders>
              <w:top w:val="nil"/>
              <w:left w:val="nil"/>
              <w:bottom w:val="single" w:sz="4" w:space="0" w:color="293F5B"/>
              <w:right w:val="nil"/>
            </w:tcBorders>
            <w:shd w:val="clear" w:color="000000" w:fill="FFFFFF"/>
            <w:noWrap/>
            <w:vAlign w:val="center"/>
            <w:hideMark/>
          </w:tcPr>
          <w:p w14:paraId="347E7033" w14:textId="77777777" w:rsidR="00D8138E" w:rsidRPr="00D83DB9" w:rsidRDefault="00D8138E" w:rsidP="0005205C">
            <w:pPr>
              <w:pStyle w:val="TableTextRight"/>
            </w:pPr>
            <w:r w:rsidRPr="00D83DB9">
              <w:t>$m</w:t>
            </w:r>
          </w:p>
        </w:tc>
        <w:tc>
          <w:tcPr>
            <w:tcW w:w="716" w:type="pct"/>
            <w:tcBorders>
              <w:top w:val="nil"/>
              <w:left w:val="nil"/>
              <w:bottom w:val="single" w:sz="4" w:space="0" w:color="293F5B"/>
              <w:right w:val="nil"/>
            </w:tcBorders>
            <w:shd w:val="clear" w:color="000000" w:fill="E6F2FF"/>
            <w:noWrap/>
            <w:vAlign w:val="center"/>
            <w:hideMark/>
          </w:tcPr>
          <w:p w14:paraId="71A31FE7" w14:textId="77777777" w:rsidR="00D8138E" w:rsidRPr="00D83DB9" w:rsidRDefault="00D8138E" w:rsidP="0005205C">
            <w:pPr>
              <w:pStyle w:val="TableTextRight"/>
            </w:pPr>
            <w:r w:rsidRPr="00D83DB9">
              <w:t>$m</w:t>
            </w:r>
          </w:p>
        </w:tc>
      </w:tr>
      <w:tr w:rsidR="00FC2B60" w:rsidRPr="00D83DB9" w14:paraId="3792C94A" w14:textId="77777777">
        <w:trPr>
          <w:trHeight w:hRule="exact" w:val="225"/>
        </w:trPr>
        <w:tc>
          <w:tcPr>
            <w:tcW w:w="3568" w:type="pct"/>
            <w:tcBorders>
              <w:top w:val="nil"/>
              <w:left w:val="nil"/>
              <w:bottom w:val="nil"/>
              <w:right w:val="nil"/>
            </w:tcBorders>
            <w:shd w:val="clear" w:color="000000" w:fill="FFFFFF"/>
            <w:noWrap/>
            <w:vAlign w:val="center"/>
            <w:hideMark/>
          </w:tcPr>
          <w:p w14:paraId="533B85DB" w14:textId="60C5F038" w:rsidR="00FC2B60" w:rsidRPr="006264FA" w:rsidRDefault="00FC2B60" w:rsidP="00BB2C1A">
            <w:pPr>
              <w:pStyle w:val="TableTextLeft"/>
              <w:rPr>
                <w:rFonts w:cs="Arial"/>
                <w:b/>
                <w:szCs w:val="16"/>
              </w:rPr>
            </w:pPr>
            <w:r w:rsidRPr="006264FA">
              <w:rPr>
                <w:rFonts w:cs="Arial"/>
                <w:b/>
                <w:szCs w:val="16"/>
              </w:rPr>
              <w:t>Revenue</w:t>
            </w:r>
          </w:p>
        </w:tc>
        <w:tc>
          <w:tcPr>
            <w:tcW w:w="716" w:type="pct"/>
            <w:tcBorders>
              <w:top w:val="nil"/>
              <w:left w:val="nil"/>
              <w:bottom w:val="nil"/>
              <w:right w:val="nil"/>
            </w:tcBorders>
            <w:shd w:val="clear" w:color="000000" w:fill="FFFFFF"/>
            <w:noWrap/>
            <w:vAlign w:val="center"/>
            <w:hideMark/>
          </w:tcPr>
          <w:p w14:paraId="2D8AFC2D" w14:textId="47D7E464"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47F9071D" w14:textId="7E28E106" w:rsidR="00FC2B60" w:rsidRPr="006264FA" w:rsidRDefault="00FC2B60" w:rsidP="0005205C">
            <w:pPr>
              <w:pStyle w:val="TableTextRight"/>
              <w:rPr>
                <w:rFonts w:cs="Arial"/>
                <w:szCs w:val="16"/>
              </w:rPr>
            </w:pPr>
            <w:r w:rsidRPr="006264FA">
              <w:rPr>
                <w:rFonts w:cs="Arial"/>
                <w:szCs w:val="16"/>
              </w:rPr>
              <w:t> </w:t>
            </w:r>
          </w:p>
        </w:tc>
      </w:tr>
      <w:tr w:rsidR="00276FDF" w:rsidRPr="00D83DB9" w14:paraId="03384DD2" w14:textId="77777777">
        <w:trPr>
          <w:trHeight w:hRule="exact" w:val="225"/>
        </w:trPr>
        <w:tc>
          <w:tcPr>
            <w:tcW w:w="3568" w:type="pct"/>
            <w:tcBorders>
              <w:top w:val="nil"/>
              <w:left w:val="nil"/>
              <w:bottom w:val="nil"/>
              <w:right w:val="nil"/>
            </w:tcBorders>
            <w:shd w:val="clear" w:color="000000" w:fill="FFFFFF"/>
            <w:noWrap/>
            <w:vAlign w:val="center"/>
            <w:hideMark/>
          </w:tcPr>
          <w:p w14:paraId="1540E8FD" w14:textId="174E7D49" w:rsidR="00276FDF" w:rsidRPr="006264FA" w:rsidRDefault="00276FDF" w:rsidP="00BB2C1A">
            <w:pPr>
              <w:pStyle w:val="TableTextLeft"/>
              <w:rPr>
                <w:rFonts w:cs="Arial"/>
                <w:szCs w:val="16"/>
              </w:rPr>
            </w:pPr>
            <w:r w:rsidRPr="006264FA">
              <w:rPr>
                <w:rFonts w:cs="Arial"/>
                <w:szCs w:val="16"/>
              </w:rPr>
              <w:t>Grants and subsidies</w:t>
            </w:r>
          </w:p>
        </w:tc>
        <w:tc>
          <w:tcPr>
            <w:tcW w:w="716" w:type="pct"/>
            <w:tcBorders>
              <w:top w:val="nil"/>
              <w:left w:val="nil"/>
              <w:bottom w:val="nil"/>
              <w:right w:val="nil"/>
            </w:tcBorders>
            <w:shd w:val="clear" w:color="000000" w:fill="FFFFFF"/>
            <w:noWrap/>
            <w:vAlign w:val="center"/>
            <w:hideMark/>
          </w:tcPr>
          <w:p w14:paraId="7636E1DC" w14:textId="1F432429" w:rsidR="00276FDF" w:rsidRPr="006264FA" w:rsidRDefault="00276FDF" w:rsidP="0005205C">
            <w:pPr>
              <w:pStyle w:val="TableTextRight"/>
              <w:rPr>
                <w:rFonts w:cs="Arial"/>
                <w:szCs w:val="16"/>
              </w:rPr>
            </w:pPr>
            <w:r w:rsidRPr="006264FA">
              <w:rPr>
                <w:rFonts w:cs="Arial"/>
                <w:szCs w:val="16"/>
              </w:rPr>
              <w:t>233</w:t>
            </w:r>
          </w:p>
        </w:tc>
        <w:tc>
          <w:tcPr>
            <w:tcW w:w="716" w:type="pct"/>
            <w:tcBorders>
              <w:top w:val="nil"/>
              <w:left w:val="nil"/>
              <w:bottom w:val="nil"/>
              <w:right w:val="nil"/>
            </w:tcBorders>
            <w:shd w:val="clear" w:color="000000" w:fill="E6F2FF"/>
            <w:noWrap/>
            <w:vAlign w:val="center"/>
            <w:hideMark/>
          </w:tcPr>
          <w:p w14:paraId="3283BEB7" w14:textId="388AD073" w:rsidR="00276FDF" w:rsidRPr="006264FA" w:rsidRDefault="00276FDF" w:rsidP="0005205C">
            <w:pPr>
              <w:pStyle w:val="TableTextRight"/>
              <w:rPr>
                <w:rFonts w:cs="Arial"/>
                <w:szCs w:val="16"/>
              </w:rPr>
            </w:pPr>
            <w:r w:rsidRPr="006264FA">
              <w:rPr>
                <w:rFonts w:cs="Arial"/>
                <w:szCs w:val="16"/>
              </w:rPr>
              <w:t>252</w:t>
            </w:r>
          </w:p>
        </w:tc>
      </w:tr>
      <w:tr w:rsidR="00276FDF" w:rsidRPr="00D83DB9" w14:paraId="5342E752" w14:textId="77777777">
        <w:trPr>
          <w:trHeight w:hRule="exact" w:val="225"/>
        </w:trPr>
        <w:tc>
          <w:tcPr>
            <w:tcW w:w="3568" w:type="pct"/>
            <w:tcBorders>
              <w:top w:val="nil"/>
              <w:left w:val="nil"/>
              <w:bottom w:val="nil"/>
              <w:right w:val="nil"/>
            </w:tcBorders>
            <w:shd w:val="clear" w:color="000000" w:fill="FFFFFF"/>
            <w:noWrap/>
            <w:vAlign w:val="center"/>
            <w:hideMark/>
          </w:tcPr>
          <w:p w14:paraId="220E34E0" w14:textId="6E871AE9" w:rsidR="00276FDF" w:rsidRPr="006264FA" w:rsidRDefault="00276FDF" w:rsidP="00BB2C1A">
            <w:pPr>
              <w:pStyle w:val="TableTextLeft"/>
              <w:rPr>
                <w:rFonts w:cs="Arial"/>
                <w:szCs w:val="16"/>
              </w:rPr>
            </w:pPr>
            <w:r w:rsidRPr="006264FA">
              <w:rPr>
                <w:rFonts w:cs="Arial"/>
                <w:szCs w:val="16"/>
              </w:rPr>
              <w:t>Sales of goods and services</w:t>
            </w:r>
          </w:p>
        </w:tc>
        <w:tc>
          <w:tcPr>
            <w:tcW w:w="716" w:type="pct"/>
            <w:tcBorders>
              <w:top w:val="nil"/>
              <w:left w:val="nil"/>
              <w:bottom w:val="nil"/>
              <w:right w:val="nil"/>
            </w:tcBorders>
            <w:shd w:val="clear" w:color="000000" w:fill="FFFFFF"/>
            <w:noWrap/>
            <w:vAlign w:val="center"/>
            <w:hideMark/>
          </w:tcPr>
          <w:p w14:paraId="160F4913" w14:textId="7A8449AC" w:rsidR="00276FDF" w:rsidRPr="006264FA" w:rsidRDefault="00276FDF" w:rsidP="0005205C">
            <w:pPr>
              <w:pStyle w:val="TableTextRight"/>
              <w:rPr>
                <w:rFonts w:cs="Arial"/>
                <w:szCs w:val="16"/>
              </w:rPr>
            </w:pPr>
            <w:r w:rsidRPr="006264FA">
              <w:rPr>
                <w:rFonts w:cs="Arial"/>
                <w:szCs w:val="16"/>
              </w:rPr>
              <w:t>1,580</w:t>
            </w:r>
          </w:p>
        </w:tc>
        <w:tc>
          <w:tcPr>
            <w:tcW w:w="716" w:type="pct"/>
            <w:tcBorders>
              <w:top w:val="nil"/>
              <w:left w:val="nil"/>
              <w:bottom w:val="nil"/>
              <w:right w:val="nil"/>
            </w:tcBorders>
            <w:shd w:val="clear" w:color="000000" w:fill="E6F2FF"/>
            <w:noWrap/>
            <w:vAlign w:val="center"/>
            <w:hideMark/>
          </w:tcPr>
          <w:p w14:paraId="63732442" w14:textId="0DDEDF9E" w:rsidR="00276FDF" w:rsidRPr="006264FA" w:rsidRDefault="00276FDF" w:rsidP="0005205C">
            <w:pPr>
              <w:pStyle w:val="TableTextRight"/>
              <w:rPr>
                <w:rFonts w:cs="Arial"/>
                <w:szCs w:val="16"/>
              </w:rPr>
            </w:pPr>
            <w:r w:rsidRPr="006264FA">
              <w:rPr>
                <w:rFonts w:cs="Arial"/>
                <w:szCs w:val="16"/>
              </w:rPr>
              <w:t>1,375</w:t>
            </w:r>
          </w:p>
        </w:tc>
      </w:tr>
      <w:tr w:rsidR="00276FDF" w:rsidRPr="00D83DB9" w14:paraId="253E243B" w14:textId="77777777">
        <w:trPr>
          <w:trHeight w:hRule="exact" w:val="225"/>
        </w:trPr>
        <w:tc>
          <w:tcPr>
            <w:tcW w:w="3568" w:type="pct"/>
            <w:tcBorders>
              <w:top w:val="nil"/>
              <w:left w:val="nil"/>
              <w:bottom w:val="nil"/>
              <w:right w:val="nil"/>
            </w:tcBorders>
            <w:shd w:val="clear" w:color="000000" w:fill="FFFFFF"/>
            <w:noWrap/>
            <w:vAlign w:val="center"/>
            <w:hideMark/>
          </w:tcPr>
          <w:p w14:paraId="48B10B7B" w14:textId="0B179BB6" w:rsidR="00276FDF" w:rsidRPr="006264FA" w:rsidRDefault="00276FDF" w:rsidP="00BB2C1A">
            <w:pPr>
              <w:pStyle w:val="TableTextLeft"/>
              <w:rPr>
                <w:rFonts w:cs="Arial"/>
                <w:szCs w:val="16"/>
              </w:rPr>
            </w:pPr>
            <w:r w:rsidRPr="006264FA">
              <w:rPr>
                <w:rFonts w:cs="Arial"/>
                <w:szCs w:val="16"/>
              </w:rPr>
              <w:t>Interest income</w:t>
            </w:r>
          </w:p>
        </w:tc>
        <w:tc>
          <w:tcPr>
            <w:tcW w:w="716" w:type="pct"/>
            <w:tcBorders>
              <w:top w:val="nil"/>
              <w:left w:val="nil"/>
              <w:bottom w:val="nil"/>
              <w:right w:val="nil"/>
            </w:tcBorders>
            <w:shd w:val="clear" w:color="000000" w:fill="FFFFFF"/>
            <w:noWrap/>
            <w:vAlign w:val="center"/>
            <w:hideMark/>
          </w:tcPr>
          <w:p w14:paraId="4B124D97" w14:textId="2D36FAB2" w:rsidR="00276FDF" w:rsidRPr="006264FA" w:rsidRDefault="00276FDF" w:rsidP="0005205C">
            <w:pPr>
              <w:pStyle w:val="TableTextRight"/>
              <w:rPr>
                <w:rFonts w:cs="Arial"/>
                <w:szCs w:val="16"/>
              </w:rPr>
            </w:pPr>
            <w:r w:rsidRPr="006264FA">
              <w:rPr>
                <w:rFonts w:cs="Arial"/>
                <w:szCs w:val="16"/>
              </w:rPr>
              <w:t>11,116</w:t>
            </w:r>
          </w:p>
        </w:tc>
        <w:tc>
          <w:tcPr>
            <w:tcW w:w="716" w:type="pct"/>
            <w:tcBorders>
              <w:top w:val="nil"/>
              <w:left w:val="nil"/>
              <w:bottom w:val="nil"/>
              <w:right w:val="nil"/>
            </w:tcBorders>
            <w:shd w:val="clear" w:color="000000" w:fill="E6F2FF"/>
            <w:noWrap/>
            <w:vAlign w:val="center"/>
            <w:hideMark/>
          </w:tcPr>
          <w:p w14:paraId="183786E1" w14:textId="70619DF5" w:rsidR="00276FDF" w:rsidRPr="006264FA" w:rsidRDefault="00276FDF" w:rsidP="0005205C">
            <w:pPr>
              <w:pStyle w:val="TableTextRight"/>
              <w:rPr>
                <w:rFonts w:cs="Arial"/>
                <w:szCs w:val="16"/>
              </w:rPr>
            </w:pPr>
            <w:r w:rsidRPr="006264FA">
              <w:rPr>
                <w:rFonts w:cs="Arial"/>
                <w:szCs w:val="16"/>
              </w:rPr>
              <w:t>9,974</w:t>
            </w:r>
          </w:p>
        </w:tc>
      </w:tr>
      <w:tr w:rsidR="00276FDF" w:rsidRPr="00D83DB9" w14:paraId="3CE7B0D8" w14:textId="77777777">
        <w:trPr>
          <w:trHeight w:hRule="exact" w:val="225"/>
        </w:trPr>
        <w:tc>
          <w:tcPr>
            <w:tcW w:w="3568" w:type="pct"/>
            <w:tcBorders>
              <w:top w:val="nil"/>
              <w:left w:val="nil"/>
              <w:bottom w:val="nil"/>
              <w:right w:val="nil"/>
            </w:tcBorders>
            <w:shd w:val="clear" w:color="000000" w:fill="FFFFFF"/>
            <w:noWrap/>
            <w:vAlign w:val="center"/>
            <w:hideMark/>
          </w:tcPr>
          <w:p w14:paraId="5C00B1A4" w14:textId="377A8447" w:rsidR="00276FDF" w:rsidRPr="006264FA" w:rsidRDefault="00276FDF" w:rsidP="00BB2C1A">
            <w:pPr>
              <w:pStyle w:val="TableTextLeft"/>
              <w:rPr>
                <w:rFonts w:cs="Arial"/>
                <w:szCs w:val="16"/>
              </w:rPr>
            </w:pPr>
            <w:r w:rsidRPr="006264FA">
              <w:rPr>
                <w:rFonts w:cs="Arial"/>
                <w:szCs w:val="16"/>
              </w:rPr>
              <w:t>Other</w:t>
            </w:r>
          </w:p>
        </w:tc>
        <w:tc>
          <w:tcPr>
            <w:tcW w:w="716" w:type="pct"/>
            <w:tcBorders>
              <w:top w:val="nil"/>
              <w:left w:val="nil"/>
              <w:bottom w:val="nil"/>
              <w:right w:val="nil"/>
            </w:tcBorders>
            <w:shd w:val="clear" w:color="000000" w:fill="FFFFFF"/>
            <w:noWrap/>
            <w:vAlign w:val="center"/>
            <w:hideMark/>
          </w:tcPr>
          <w:p w14:paraId="21ABC1FD" w14:textId="4E629CFF" w:rsidR="00276FDF" w:rsidRPr="006264FA" w:rsidRDefault="00276FDF" w:rsidP="0005205C">
            <w:pPr>
              <w:pStyle w:val="TableTextRight"/>
              <w:rPr>
                <w:rFonts w:cs="Arial"/>
                <w:szCs w:val="16"/>
              </w:rPr>
            </w:pPr>
            <w:r w:rsidRPr="006264FA">
              <w:rPr>
                <w:rFonts w:cs="Arial"/>
                <w:szCs w:val="16"/>
              </w:rPr>
              <w:t>5</w:t>
            </w:r>
          </w:p>
        </w:tc>
        <w:tc>
          <w:tcPr>
            <w:tcW w:w="716" w:type="pct"/>
            <w:tcBorders>
              <w:top w:val="nil"/>
              <w:left w:val="nil"/>
              <w:bottom w:val="nil"/>
              <w:right w:val="nil"/>
            </w:tcBorders>
            <w:shd w:val="clear" w:color="000000" w:fill="E6F2FF"/>
            <w:noWrap/>
            <w:vAlign w:val="center"/>
            <w:hideMark/>
          </w:tcPr>
          <w:p w14:paraId="553DBF7B" w14:textId="4F64D1D1" w:rsidR="00276FDF" w:rsidRPr="006264FA" w:rsidRDefault="00276FDF" w:rsidP="0005205C">
            <w:pPr>
              <w:pStyle w:val="TableTextRight"/>
              <w:rPr>
                <w:rFonts w:cs="Arial"/>
                <w:szCs w:val="16"/>
              </w:rPr>
            </w:pPr>
            <w:r w:rsidRPr="006264FA">
              <w:rPr>
                <w:rFonts w:cs="Arial"/>
                <w:szCs w:val="16"/>
              </w:rPr>
              <w:t>5</w:t>
            </w:r>
          </w:p>
        </w:tc>
      </w:tr>
      <w:tr w:rsidR="00276FDF" w:rsidRPr="00D83DB9" w14:paraId="29D5FC4C" w14:textId="77777777">
        <w:trPr>
          <w:trHeight w:hRule="exact" w:val="225"/>
        </w:trPr>
        <w:tc>
          <w:tcPr>
            <w:tcW w:w="3568" w:type="pct"/>
            <w:tcBorders>
              <w:top w:val="nil"/>
              <w:left w:val="nil"/>
              <w:bottom w:val="nil"/>
              <w:right w:val="nil"/>
            </w:tcBorders>
            <w:shd w:val="clear" w:color="000000" w:fill="FFFFFF"/>
            <w:noWrap/>
            <w:vAlign w:val="center"/>
            <w:hideMark/>
          </w:tcPr>
          <w:p w14:paraId="1F781C2C" w14:textId="37180009" w:rsidR="00276FDF" w:rsidRPr="006264FA" w:rsidRDefault="00276FDF" w:rsidP="00BB2C1A">
            <w:pPr>
              <w:pStyle w:val="TableTextLeft"/>
              <w:rPr>
                <w:rFonts w:cs="Arial"/>
                <w:b/>
                <w:szCs w:val="16"/>
              </w:rPr>
            </w:pPr>
            <w:r w:rsidRPr="006264FA">
              <w:rPr>
                <w:rFonts w:cs="Arial"/>
                <w:b/>
                <w:szCs w:val="16"/>
              </w:rPr>
              <w:t>Total revenue</w:t>
            </w:r>
          </w:p>
        </w:tc>
        <w:tc>
          <w:tcPr>
            <w:tcW w:w="716" w:type="pct"/>
            <w:tcBorders>
              <w:top w:val="nil"/>
              <w:left w:val="nil"/>
              <w:bottom w:val="nil"/>
              <w:right w:val="nil"/>
            </w:tcBorders>
            <w:shd w:val="clear" w:color="000000" w:fill="FFFFFF"/>
            <w:noWrap/>
            <w:vAlign w:val="center"/>
            <w:hideMark/>
          </w:tcPr>
          <w:p w14:paraId="5DDD8552" w14:textId="3D60199D" w:rsidR="00276FDF" w:rsidRPr="006264FA" w:rsidRDefault="00276FDF" w:rsidP="0005205C">
            <w:pPr>
              <w:pStyle w:val="TableTextRight"/>
              <w:rPr>
                <w:rFonts w:cs="Arial"/>
                <w:b/>
                <w:szCs w:val="16"/>
              </w:rPr>
            </w:pPr>
            <w:r w:rsidRPr="006264FA">
              <w:rPr>
                <w:rFonts w:cs="Arial"/>
                <w:b/>
                <w:szCs w:val="16"/>
              </w:rPr>
              <w:t>12,934</w:t>
            </w:r>
          </w:p>
        </w:tc>
        <w:tc>
          <w:tcPr>
            <w:tcW w:w="716" w:type="pct"/>
            <w:tcBorders>
              <w:top w:val="nil"/>
              <w:left w:val="nil"/>
              <w:bottom w:val="nil"/>
              <w:right w:val="nil"/>
            </w:tcBorders>
            <w:shd w:val="clear" w:color="000000" w:fill="E6F2FF"/>
            <w:noWrap/>
            <w:vAlign w:val="center"/>
            <w:hideMark/>
          </w:tcPr>
          <w:p w14:paraId="1650839E" w14:textId="2959CF5B" w:rsidR="00276FDF" w:rsidRPr="006264FA" w:rsidRDefault="00276FDF" w:rsidP="0005205C">
            <w:pPr>
              <w:pStyle w:val="TableTextRight"/>
              <w:rPr>
                <w:rFonts w:cs="Arial"/>
                <w:b/>
                <w:szCs w:val="16"/>
              </w:rPr>
            </w:pPr>
            <w:r w:rsidRPr="006264FA">
              <w:rPr>
                <w:rFonts w:cs="Arial"/>
                <w:b/>
                <w:szCs w:val="16"/>
              </w:rPr>
              <w:t>11,605</w:t>
            </w:r>
          </w:p>
        </w:tc>
      </w:tr>
      <w:tr w:rsidR="00FC2B60" w:rsidRPr="00D83DB9" w14:paraId="51D06F58" w14:textId="77777777">
        <w:trPr>
          <w:trHeight w:hRule="exact" w:val="60"/>
        </w:trPr>
        <w:tc>
          <w:tcPr>
            <w:tcW w:w="3568" w:type="pct"/>
            <w:tcBorders>
              <w:top w:val="nil"/>
              <w:left w:val="nil"/>
              <w:bottom w:val="nil"/>
              <w:right w:val="nil"/>
            </w:tcBorders>
            <w:shd w:val="clear" w:color="000000" w:fill="FFFFFF"/>
            <w:noWrap/>
            <w:vAlign w:val="center"/>
            <w:hideMark/>
          </w:tcPr>
          <w:p w14:paraId="113CB66B" w14:textId="29653A85" w:rsidR="00FC2B60" w:rsidRPr="006264FA" w:rsidRDefault="00FC2B60" w:rsidP="00BB2C1A">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612EF34C" w14:textId="563CFF19"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61388EF0" w14:textId="684A433F" w:rsidR="00FC2B60" w:rsidRPr="006264FA" w:rsidRDefault="00FC2B60" w:rsidP="0005205C">
            <w:pPr>
              <w:pStyle w:val="TableTextRight"/>
              <w:rPr>
                <w:rFonts w:cs="Arial"/>
                <w:szCs w:val="16"/>
              </w:rPr>
            </w:pPr>
            <w:r w:rsidRPr="006264FA">
              <w:rPr>
                <w:rFonts w:cs="Arial"/>
                <w:szCs w:val="16"/>
              </w:rPr>
              <w:t> </w:t>
            </w:r>
          </w:p>
        </w:tc>
      </w:tr>
      <w:tr w:rsidR="00FC2B60" w:rsidRPr="00D83DB9" w14:paraId="31099E5F" w14:textId="77777777">
        <w:trPr>
          <w:trHeight w:hRule="exact" w:val="225"/>
        </w:trPr>
        <w:tc>
          <w:tcPr>
            <w:tcW w:w="3568" w:type="pct"/>
            <w:tcBorders>
              <w:top w:val="nil"/>
              <w:left w:val="nil"/>
              <w:bottom w:val="nil"/>
              <w:right w:val="nil"/>
            </w:tcBorders>
            <w:shd w:val="clear" w:color="000000" w:fill="FFFFFF"/>
            <w:noWrap/>
            <w:vAlign w:val="center"/>
            <w:hideMark/>
          </w:tcPr>
          <w:p w14:paraId="444C5ADC" w14:textId="767B91CA" w:rsidR="00FC2B60" w:rsidRPr="006264FA" w:rsidRDefault="00FC2B60" w:rsidP="00BB2C1A">
            <w:pPr>
              <w:pStyle w:val="TableTextLeft"/>
              <w:rPr>
                <w:rFonts w:cs="Arial"/>
                <w:b/>
                <w:szCs w:val="16"/>
              </w:rPr>
            </w:pPr>
            <w:r w:rsidRPr="006264FA">
              <w:rPr>
                <w:rFonts w:cs="Arial"/>
                <w:b/>
                <w:szCs w:val="16"/>
              </w:rPr>
              <w:t>Expenses</w:t>
            </w:r>
          </w:p>
        </w:tc>
        <w:tc>
          <w:tcPr>
            <w:tcW w:w="716" w:type="pct"/>
            <w:tcBorders>
              <w:top w:val="nil"/>
              <w:left w:val="nil"/>
              <w:bottom w:val="nil"/>
              <w:right w:val="nil"/>
            </w:tcBorders>
            <w:shd w:val="clear" w:color="000000" w:fill="FFFFFF"/>
            <w:noWrap/>
            <w:vAlign w:val="center"/>
            <w:hideMark/>
          </w:tcPr>
          <w:p w14:paraId="4046863C" w14:textId="5276A0EA"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6C987D3E" w14:textId="4F270F61" w:rsidR="00FC2B60" w:rsidRPr="006264FA" w:rsidRDefault="00FC2B60" w:rsidP="0005205C">
            <w:pPr>
              <w:pStyle w:val="TableTextRight"/>
              <w:rPr>
                <w:rFonts w:cs="Arial"/>
                <w:szCs w:val="16"/>
              </w:rPr>
            </w:pPr>
            <w:r w:rsidRPr="006264FA">
              <w:rPr>
                <w:rFonts w:cs="Arial"/>
                <w:szCs w:val="16"/>
              </w:rPr>
              <w:t> </w:t>
            </w:r>
          </w:p>
        </w:tc>
      </w:tr>
      <w:tr w:rsidR="00FC2B60" w:rsidRPr="00D83DB9" w14:paraId="7A58BBDD" w14:textId="77777777">
        <w:trPr>
          <w:trHeight w:hRule="exact" w:val="225"/>
        </w:trPr>
        <w:tc>
          <w:tcPr>
            <w:tcW w:w="3568" w:type="pct"/>
            <w:tcBorders>
              <w:top w:val="nil"/>
              <w:left w:val="nil"/>
              <w:bottom w:val="nil"/>
              <w:right w:val="nil"/>
            </w:tcBorders>
            <w:shd w:val="clear" w:color="000000" w:fill="FFFFFF"/>
            <w:noWrap/>
            <w:vAlign w:val="center"/>
            <w:hideMark/>
          </w:tcPr>
          <w:p w14:paraId="590D7D40" w14:textId="30759A52" w:rsidR="00FC2B60" w:rsidRPr="006264FA" w:rsidRDefault="00FC2B60" w:rsidP="00BB2C1A">
            <w:pPr>
              <w:pStyle w:val="TableTextLeft"/>
              <w:rPr>
                <w:rFonts w:cs="Arial"/>
                <w:szCs w:val="16"/>
              </w:rPr>
            </w:pPr>
            <w:r w:rsidRPr="006264FA">
              <w:rPr>
                <w:rFonts w:cs="Arial"/>
                <w:szCs w:val="16"/>
              </w:rPr>
              <w:t>Gross operating expenses</w:t>
            </w:r>
          </w:p>
        </w:tc>
        <w:tc>
          <w:tcPr>
            <w:tcW w:w="716" w:type="pct"/>
            <w:tcBorders>
              <w:top w:val="nil"/>
              <w:left w:val="nil"/>
              <w:bottom w:val="nil"/>
              <w:right w:val="nil"/>
            </w:tcBorders>
            <w:shd w:val="clear" w:color="000000" w:fill="FFFFFF"/>
            <w:noWrap/>
            <w:vAlign w:val="center"/>
            <w:hideMark/>
          </w:tcPr>
          <w:p w14:paraId="758AD8D0" w14:textId="704A7825"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6AAC9839" w14:textId="5CEAD5D4" w:rsidR="00FC2B60" w:rsidRPr="006264FA" w:rsidRDefault="00FC2B60" w:rsidP="0005205C">
            <w:pPr>
              <w:pStyle w:val="TableTextRight"/>
              <w:rPr>
                <w:rFonts w:cs="Arial"/>
                <w:szCs w:val="16"/>
              </w:rPr>
            </w:pPr>
            <w:r w:rsidRPr="006264FA">
              <w:rPr>
                <w:rFonts w:cs="Arial"/>
                <w:szCs w:val="16"/>
              </w:rPr>
              <w:t> </w:t>
            </w:r>
          </w:p>
        </w:tc>
      </w:tr>
      <w:tr w:rsidR="00276FDF" w:rsidRPr="00D83DB9" w14:paraId="73C8193B" w14:textId="77777777">
        <w:trPr>
          <w:trHeight w:hRule="exact" w:val="225"/>
        </w:trPr>
        <w:tc>
          <w:tcPr>
            <w:tcW w:w="3568" w:type="pct"/>
            <w:tcBorders>
              <w:top w:val="nil"/>
              <w:left w:val="nil"/>
              <w:bottom w:val="nil"/>
              <w:right w:val="nil"/>
            </w:tcBorders>
            <w:shd w:val="clear" w:color="000000" w:fill="FFFFFF"/>
            <w:noWrap/>
            <w:vAlign w:val="center"/>
            <w:hideMark/>
          </w:tcPr>
          <w:p w14:paraId="392C0279" w14:textId="58E0C193" w:rsidR="00276FDF" w:rsidRPr="006264FA" w:rsidRDefault="00276FDF" w:rsidP="00BB2C1A">
            <w:pPr>
              <w:pStyle w:val="TableTextIndented"/>
              <w:rPr>
                <w:rFonts w:cs="Arial"/>
                <w:szCs w:val="16"/>
              </w:rPr>
            </w:pPr>
            <w:r w:rsidRPr="006264FA">
              <w:rPr>
                <w:rFonts w:cs="Arial"/>
                <w:szCs w:val="16"/>
              </w:rPr>
              <w:t>Wages and salaries(a)</w:t>
            </w:r>
          </w:p>
        </w:tc>
        <w:tc>
          <w:tcPr>
            <w:tcW w:w="716" w:type="pct"/>
            <w:tcBorders>
              <w:top w:val="nil"/>
              <w:left w:val="nil"/>
              <w:bottom w:val="nil"/>
              <w:right w:val="nil"/>
            </w:tcBorders>
            <w:shd w:val="clear" w:color="000000" w:fill="FFFFFF"/>
            <w:noWrap/>
            <w:vAlign w:val="center"/>
            <w:hideMark/>
          </w:tcPr>
          <w:p w14:paraId="6867B917" w14:textId="06D634C8" w:rsidR="00276FDF" w:rsidRPr="006264FA" w:rsidRDefault="00276FDF" w:rsidP="0005205C">
            <w:pPr>
              <w:pStyle w:val="TableTextRight"/>
              <w:rPr>
                <w:rFonts w:cs="Arial"/>
                <w:szCs w:val="16"/>
              </w:rPr>
            </w:pPr>
            <w:r w:rsidRPr="006264FA">
              <w:rPr>
                <w:rFonts w:cs="Arial"/>
                <w:szCs w:val="16"/>
              </w:rPr>
              <w:t>320</w:t>
            </w:r>
          </w:p>
        </w:tc>
        <w:tc>
          <w:tcPr>
            <w:tcW w:w="716" w:type="pct"/>
            <w:tcBorders>
              <w:top w:val="nil"/>
              <w:left w:val="nil"/>
              <w:bottom w:val="nil"/>
              <w:right w:val="nil"/>
            </w:tcBorders>
            <w:shd w:val="clear" w:color="000000" w:fill="E6F2FF"/>
            <w:noWrap/>
            <w:vAlign w:val="center"/>
            <w:hideMark/>
          </w:tcPr>
          <w:p w14:paraId="6E349F17" w14:textId="1DC1591F" w:rsidR="00276FDF" w:rsidRPr="006264FA" w:rsidRDefault="00276FDF" w:rsidP="0005205C">
            <w:pPr>
              <w:pStyle w:val="TableTextRight"/>
              <w:rPr>
                <w:rFonts w:cs="Arial"/>
                <w:szCs w:val="16"/>
              </w:rPr>
            </w:pPr>
            <w:r w:rsidRPr="006264FA">
              <w:rPr>
                <w:rFonts w:cs="Arial"/>
                <w:szCs w:val="16"/>
              </w:rPr>
              <w:t>360</w:t>
            </w:r>
          </w:p>
        </w:tc>
      </w:tr>
      <w:tr w:rsidR="00276FDF" w:rsidRPr="00D83DB9" w14:paraId="3DC94A0F" w14:textId="77777777">
        <w:trPr>
          <w:trHeight w:hRule="exact" w:val="225"/>
        </w:trPr>
        <w:tc>
          <w:tcPr>
            <w:tcW w:w="3568" w:type="pct"/>
            <w:tcBorders>
              <w:top w:val="nil"/>
              <w:left w:val="nil"/>
              <w:bottom w:val="nil"/>
              <w:right w:val="nil"/>
            </w:tcBorders>
            <w:shd w:val="clear" w:color="000000" w:fill="FFFFFF"/>
            <w:noWrap/>
            <w:vAlign w:val="center"/>
            <w:hideMark/>
          </w:tcPr>
          <w:p w14:paraId="5E7CF194" w14:textId="08BB109B" w:rsidR="00276FDF" w:rsidRPr="006264FA" w:rsidRDefault="00276FDF" w:rsidP="00BB2C1A">
            <w:pPr>
              <w:pStyle w:val="TableTextIndented"/>
              <w:rPr>
                <w:rFonts w:cs="Arial"/>
                <w:szCs w:val="16"/>
              </w:rPr>
            </w:pPr>
            <w:r w:rsidRPr="006264FA">
              <w:rPr>
                <w:rFonts w:cs="Arial"/>
                <w:szCs w:val="16"/>
              </w:rPr>
              <w:t>Superannuation</w:t>
            </w:r>
          </w:p>
        </w:tc>
        <w:tc>
          <w:tcPr>
            <w:tcW w:w="716" w:type="pct"/>
            <w:tcBorders>
              <w:top w:val="nil"/>
              <w:left w:val="nil"/>
              <w:bottom w:val="nil"/>
              <w:right w:val="nil"/>
            </w:tcBorders>
            <w:shd w:val="clear" w:color="000000" w:fill="FFFFFF"/>
            <w:noWrap/>
            <w:vAlign w:val="center"/>
            <w:hideMark/>
          </w:tcPr>
          <w:p w14:paraId="7A4CB26C" w14:textId="0765CDB0" w:rsidR="00276FDF" w:rsidRPr="006264FA" w:rsidRDefault="00276FDF" w:rsidP="0005205C">
            <w:pPr>
              <w:pStyle w:val="TableTextRight"/>
              <w:rPr>
                <w:rFonts w:cs="Arial"/>
                <w:szCs w:val="16"/>
              </w:rPr>
            </w:pPr>
            <w:r w:rsidRPr="006264FA">
              <w:rPr>
                <w:rFonts w:cs="Arial"/>
                <w:szCs w:val="16"/>
              </w:rPr>
              <w:t>51</w:t>
            </w:r>
          </w:p>
        </w:tc>
        <w:tc>
          <w:tcPr>
            <w:tcW w:w="716" w:type="pct"/>
            <w:tcBorders>
              <w:top w:val="nil"/>
              <w:left w:val="nil"/>
              <w:bottom w:val="nil"/>
              <w:right w:val="nil"/>
            </w:tcBorders>
            <w:shd w:val="clear" w:color="000000" w:fill="E6F2FF"/>
            <w:noWrap/>
            <w:vAlign w:val="center"/>
            <w:hideMark/>
          </w:tcPr>
          <w:p w14:paraId="6B65DC82" w14:textId="2F5930D4" w:rsidR="00276FDF" w:rsidRPr="006264FA" w:rsidRDefault="00276FDF" w:rsidP="0005205C">
            <w:pPr>
              <w:pStyle w:val="TableTextRight"/>
              <w:rPr>
                <w:rFonts w:cs="Arial"/>
                <w:szCs w:val="16"/>
              </w:rPr>
            </w:pPr>
            <w:r w:rsidRPr="006264FA">
              <w:rPr>
                <w:rFonts w:cs="Arial"/>
                <w:szCs w:val="16"/>
              </w:rPr>
              <w:t>41</w:t>
            </w:r>
          </w:p>
        </w:tc>
      </w:tr>
      <w:tr w:rsidR="00276FDF" w:rsidRPr="00D83DB9" w14:paraId="6C2748DF" w14:textId="77777777">
        <w:trPr>
          <w:trHeight w:hRule="exact" w:val="225"/>
        </w:trPr>
        <w:tc>
          <w:tcPr>
            <w:tcW w:w="3568" w:type="pct"/>
            <w:tcBorders>
              <w:top w:val="nil"/>
              <w:left w:val="nil"/>
              <w:bottom w:val="nil"/>
              <w:right w:val="nil"/>
            </w:tcBorders>
            <w:shd w:val="clear" w:color="000000" w:fill="FFFFFF"/>
            <w:noWrap/>
            <w:vAlign w:val="center"/>
            <w:hideMark/>
          </w:tcPr>
          <w:p w14:paraId="6E2AEB67" w14:textId="3A457DFC" w:rsidR="00276FDF" w:rsidRPr="006264FA" w:rsidRDefault="00276FDF" w:rsidP="00BB2C1A">
            <w:pPr>
              <w:pStyle w:val="TableTextIndented"/>
              <w:rPr>
                <w:rFonts w:cs="Arial"/>
                <w:szCs w:val="16"/>
              </w:rPr>
            </w:pPr>
            <w:r w:rsidRPr="006264FA">
              <w:rPr>
                <w:rFonts w:cs="Arial"/>
                <w:szCs w:val="16"/>
              </w:rPr>
              <w:t>Depreciation and amortisation</w:t>
            </w:r>
          </w:p>
        </w:tc>
        <w:tc>
          <w:tcPr>
            <w:tcW w:w="716" w:type="pct"/>
            <w:tcBorders>
              <w:top w:val="nil"/>
              <w:left w:val="nil"/>
              <w:bottom w:val="nil"/>
              <w:right w:val="nil"/>
            </w:tcBorders>
            <w:shd w:val="clear" w:color="000000" w:fill="FFFFFF"/>
            <w:noWrap/>
            <w:vAlign w:val="center"/>
            <w:hideMark/>
          </w:tcPr>
          <w:p w14:paraId="7F95B2F8" w14:textId="6C9338A7" w:rsidR="00276FDF" w:rsidRPr="006264FA" w:rsidRDefault="00276FDF" w:rsidP="0005205C">
            <w:pPr>
              <w:pStyle w:val="TableTextRight"/>
              <w:rPr>
                <w:rFonts w:cs="Arial"/>
                <w:szCs w:val="16"/>
              </w:rPr>
            </w:pPr>
            <w:r w:rsidRPr="006264FA">
              <w:rPr>
                <w:rFonts w:cs="Arial"/>
                <w:szCs w:val="16"/>
              </w:rPr>
              <w:t>61</w:t>
            </w:r>
          </w:p>
        </w:tc>
        <w:tc>
          <w:tcPr>
            <w:tcW w:w="716" w:type="pct"/>
            <w:tcBorders>
              <w:top w:val="nil"/>
              <w:left w:val="nil"/>
              <w:bottom w:val="nil"/>
              <w:right w:val="nil"/>
            </w:tcBorders>
            <w:shd w:val="clear" w:color="000000" w:fill="E6F2FF"/>
            <w:noWrap/>
            <w:vAlign w:val="center"/>
            <w:hideMark/>
          </w:tcPr>
          <w:p w14:paraId="2CFFCB4E" w14:textId="55587CC1" w:rsidR="00276FDF" w:rsidRPr="006264FA" w:rsidRDefault="00276FDF" w:rsidP="0005205C">
            <w:pPr>
              <w:pStyle w:val="TableTextRight"/>
              <w:rPr>
                <w:rFonts w:cs="Arial"/>
                <w:szCs w:val="16"/>
              </w:rPr>
            </w:pPr>
            <w:r w:rsidRPr="006264FA">
              <w:rPr>
                <w:rFonts w:cs="Arial"/>
                <w:szCs w:val="16"/>
              </w:rPr>
              <w:t>61</w:t>
            </w:r>
          </w:p>
        </w:tc>
      </w:tr>
      <w:tr w:rsidR="00276FDF" w:rsidRPr="00D83DB9" w14:paraId="71019DBE" w14:textId="77777777">
        <w:trPr>
          <w:trHeight w:hRule="exact" w:val="225"/>
        </w:trPr>
        <w:tc>
          <w:tcPr>
            <w:tcW w:w="3568" w:type="pct"/>
            <w:tcBorders>
              <w:top w:val="nil"/>
              <w:left w:val="nil"/>
              <w:bottom w:val="nil"/>
              <w:right w:val="nil"/>
            </w:tcBorders>
            <w:shd w:val="clear" w:color="000000" w:fill="FFFFFF"/>
            <w:noWrap/>
            <w:vAlign w:val="center"/>
            <w:hideMark/>
          </w:tcPr>
          <w:p w14:paraId="3A23958A" w14:textId="4B62EAAB" w:rsidR="00276FDF" w:rsidRPr="006264FA" w:rsidRDefault="00276FDF" w:rsidP="00BB2C1A">
            <w:pPr>
              <w:pStyle w:val="TableTextIndented"/>
              <w:rPr>
                <w:rFonts w:cs="Arial"/>
                <w:szCs w:val="16"/>
              </w:rPr>
            </w:pPr>
            <w:r w:rsidRPr="006264FA">
              <w:rPr>
                <w:rFonts w:cs="Arial"/>
                <w:szCs w:val="16"/>
              </w:rPr>
              <w:t>Supply of goods and services</w:t>
            </w:r>
          </w:p>
        </w:tc>
        <w:tc>
          <w:tcPr>
            <w:tcW w:w="716" w:type="pct"/>
            <w:tcBorders>
              <w:top w:val="nil"/>
              <w:left w:val="nil"/>
              <w:bottom w:val="nil"/>
              <w:right w:val="nil"/>
            </w:tcBorders>
            <w:shd w:val="clear" w:color="000000" w:fill="FFFFFF"/>
            <w:noWrap/>
            <w:vAlign w:val="center"/>
            <w:hideMark/>
          </w:tcPr>
          <w:p w14:paraId="022C92CC" w14:textId="085EDB45" w:rsidR="00276FDF" w:rsidRPr="006264FA" w:rsidRDefault="00276FDF" w:rsidP="0005205C">
            <w:pPr>
              <w:pStyle w:val="TableTextRight"/>
              <w:rPr>
                <w:rFonts w:cs="Arial"/>
                <w:szCs w:val="16"/>
              </w:rPr>
            </w:pPr>
            <w:r w:rsidRPr="006264FA">
              <w:rPr>
                <w:rFonts w:cs="Arial"/>
                <w:szCs w:val="16"/>
              </w:rPr>
              <w:t>995</w:t>
            </w:r>
          </w:p>
        </w:tc>
        <w:tc>
          <w:tcPr>
            <w:tcW w:w="716" w:type="pct"/>
            <w:tcBorders>
              <w:top w:val="nil"/>
              <w:left w:val="nil"/>
              <w:bottom w:val="nil"/>
              <w:right w:val="nil"/>
            </w:tcBorders>
            <w:shd w:val="clear" w:color="000000" w:fill="E6F2FF"/>
            <w:noWrap/>
            <w:vAlign w:val="center"/>
            <w:hideMark/>
          </w:tcPr>
          <w:p w14:paraId="0308506A" w14:textId="5F1684CB" w:rsidR="00276FDF" w:rsidRPr="006264FA" w:rsidRDefault="00276FDF" w:rsidP="0005205C">
            <w:pPr>
              <w:pStyle w:val="TableTextRight"/>
              <w:rPr>
                <w:rFonts w:cs="Arial"/>
                <w:szCs w:val="16"/>
              </w:rPr>
            </w:pPr>
            <w:r w:rsidRPr="006264FA">
              <w:rPr>
                <w:rFonts w:cs="Arial"/>
                <w:szCs w:val="16"/>
              </w:rPr>
              <w:t>1,155</w:t>
            </w:r>
          </w:p>
        </w:tc>
      </w:tr>
      <w:tr w:rsidR="00276FDF" w:rsidRPr="00D83DB9" w14:paraId="76C14A1D" w14:textId="77777777">
        <w:trPr>
          <w:trHeight w:hRule="exact" w:val="225"/>
        </w:trPr>
        <w:tc>
          <w:tcPr>
            <w:tcW w:w="3568" w:type="pct"/>
            <w:tcBorders>
              <w:top w:val="nil"/>
              <w:left w:val="nil"/>
              <w:bottom w:val="nil"/>
              <w:right w:val="nil"/>
            </w:tcBorders>
            <w:shd w:val="clear" w:color="000000" w:fill="FFFFFF"/>
            <w:noWrap/>
            <w:vAlign w:val="center"/>
            <w:hideMark/>
          </w:tcPr>
          <w:p w14:paraId="660D6B71" w14:textId="47EA8459" w:rsidR="00276FDF" w:rsidRPr="006264FA" w:rsidRDefault="00276FDF" w:rsidP="00BB2C1A">
            <w:pPr>
              <w:pStyle w:val="TableTextIndented"/>
              <w:rPr>
                <w:rFonts w:cs="Arial"/>
                <w:szCs w:val="16"/>
              </w:rPr>
            </w:pPr>
            <w:r w:rsidRPr="006264FA">
              <w:rPr>
                <w:rFonts w:cs="Arial"/>
                <w:szCs w:val="16"/>
              </w:rPr>
              <w:t>Other operating expenses(a)</w:t>
            </w:r>
          </w:p>
        </w:tc>
        <w:tc>
          <w:tcPr>
            <w:tcW w:w="716" w:type="pct"/>
            <w:tcBorders>
              <w:top w:val="nil"/>
              <w:left w:val="nil"/>
              <w:bottom w:val="nil"/>
              <w:right w:val="nil"/>
            </w:tcBorders>
            <w:shd w:val="clear" w:color="000000" w:fill="FFFFFF"/>
            <w:noWrap/>
            <w:vAlign w:val="center"/>
            <w:hideMark/>
          </w:tcPr>
          <w:p w14:paraId="2BDFB621" w14:textId="2C8E0665" w:rsidR="00276FDF" w:rsidRPr="006264FA" w:rsidRDefault="00276FDF" w:rsidP="0005205C">
            <w:pPr>
              <w:pStyle w:val="TableTextRight"/>
              <w:rPr>
                <w:rFonts w:cs="Arial"/>
                <w:szCs w:val="16"/>
              </w:rPr>
            </w:pPr>
            <w:r w:rsidRPr="006264FA">
              <w:rPr>
                <w:rFonts w:cs="Arial"/>
                <w:szCs w:val="16"/>
              </w:rPr>
              <w:t>76</w:t>
            </w:r>
          </w:p>
        </w:tc>
        <w:tc>
          <w:tcPr>
            <w:tcW w:w="716" w:type="pct"/>
            <w:tcBorders>
              <w:top w:val="nil"/>
              <w:left w:val="nil"/>
              <w:bottom w:val="nil"/>
              <w:right w:val="nil"/>
            </w:tcBorders>
            <w:shd w:val="clear" w:color="000000" w:fill="E6F2FF"/>
            <w:noWrap/>
            <w:vAlign w:val="center"/>
            <w:hideMark/>
          </w:tcPr>
          <w:p w14:paraId="405ACEEE" w14:textId="6A3A455F" w:rsidR="00276FDF" w:rsidRPr="006264FA" w:rsidRDefault="00276FDF" w:rsidP="0005205C">
            <w:pPr>
              <w:pStyle w:val="TableTextRight"/>
              <w:rPr>
                <w:rFonts w:cs="Arial"/>
                <w:szCs w:val="16"/>
              </w:rPr>
            </w:pPr>
            <w:r w:rsidRPr="006264FA">
              <w:rPr>
                <w:rFonts w:cs="Arial"/>
                <w:szCs w:val="16"/>
              </w:rPr>
              <w:t>84</w:t>
            </w:r>
          </w:p>
        </w:tc>
      </w:tr>
      <w:tr w:rsidR="00276FDF" w:rsidRPr="00D83DB9" w14:paraId="4C7DFE82" w14:textId="77777777">
        <w:trPr>
          <w:trHeight w:hRule="exact" w:val="225"/>
        </w:trPr>
        <w:tc>
          <w:tcPr>
            <w:tcW w:w="3568" w:type="pct"/>
            <w:tcBorders>
              <w:top w:val="nil"/>
              <w:left w:val="nil"/>
              <w:bottom w:val="nil"/>
              <w:right w:val="nil"/>
            </w:tcBorders>
            <w:shd w:val="clear" w:color="000000" w:fill="FFFFFF"/>
            <w:noWrap/>
            <w:vAlign w:val="center"/>
            <w:hideMark/>
          </w:tcPr>
          <w:p w14:paraId="70452994" w14:textId="2E8509CA" w:rsidR="00276FDF" w:rsidRPr="006264FA" w:rsidRDefault="00276FDF" w:rsidP="00BB2C1A">
            <w:pPr>
              <w:pStyle w:val="TableTextLeft"/>
              <w:rPr>
                <w:rFonts w:cs="Arial"/>
                <w:i/>
                <w:szCs w:val="16"/>
              </w:rPr>
            </w:pPr>
            <w:r w:rsidRPr="006264FA">
              <w:rPr>
                <w:rFonts w:cs="Arial"/>
                <w:i/>
                <w:szCs w:val="16"/>
              </w:rPr>
              <w:t>Total gross operating expenses</w:t>
            </w:r>
          </w:p>
        </w:tc>
        <w:tc>
          <w:tcPr>
            <w:tcW w:w="716" w:type="pct"/>
            <w:tcBorders>
              <w:top w:val="nil"/>
              <w:left w:val="nil"/>
              <w:bottom w:val="nil"/>
              <w:right w:val="nil"/>
            </w:tcBorders>
            <w:shd w:val="clear" w:color="000000" w:fill="FFFFFF"/>
            <w:noWrap/>
            <w:vAlign w:val="center"/>
            <w:hideMark/>
          </w:tcPr>
          <w:p w14:paraId="2858F419" w14:textId="63E8D6B5" w:rsidR="00276FDF" w:rsidRPr="006264FA" w:rsidRDefault="00276FDF" w:rsidP="0005205C">
            <w:pPr>
              <w:pStyle w:val="TableTextRight"/>
              <w:rPr>
                <w:rFonts w:cs="Arial"/>
                <w:i/>
                <w:szCs w:val="16"/>
              </w:rPr>
            </w:pPr>
            <w:r w:rsidRPr="006264FA">
              <w:rPr>
                <w:rFonts w:cs="Arial"/>
                <w:i/>
                <w:szCs w:val="16"/>
              </w:rPr>
              <w:t>1,503</w:t>
            </w:r>
          </w:p>
        </w:tc>
        <w:tc>
          <w:tcPr>
            <w:tcW w:w="716" w:type="pct"/>
            <w:tcBorders>
              <w:top w:val="nil"/>
              <w:left w:val="nil"/>
              <w:bottom w:val="nil"/>
              <w:right w:val="nil"/>
            </w:tcBorders>
            <w:shd w:val="clear" w:color="000000" w:fill="E6F2FF"/>
            <w:noWrap/>
            <w:vAlign w:val="center"/>
            <w:hideMark/>
          </w:tcPr>
          <w:p w14:paraId="77993B1F" w14:textId="6A9246B2" w:rsidR="00276FDF" w:rsidRPr="006264FA" w:rsidRDefault="00276FDF" w:rsidP="0005205C">
            <w:pPr>
              <w:pStyle w:val="TableTextRight"/>
              <w:rPr>
                <w:rFonts w:cs="Arial"/>
                <w:i/>
                <w:szCs w:val="16"/>
              </w:rPr>
            </w:pPr>
            <w:r w:rsidRPr="006264FA">
              <w:rPr>
                <w:rFonts w:cs="Arial"/>
                <w:i/>
                <w:szCs w:val="16"/>
              </w:rPr>
              <w:t>1,701</w:t>
            </w:r>
          </w:p>
        </w:tc>
      </w:tr>
      <w:tr w:rsidR="00276FDF" w:rsidRPr="00D83DB9" w14:paraId="30610624" w14:textId="77777777">
        <w:trPr>
          <w:trHeight w:hRule="exact" w:val="225"/>
        </w:trPr>
        <w:tc>
          <w:tcPr>
            <w:tcW w:w="3568" w:type="pct"/>
            <w:tcBorders>
              <w:top w:val="nil"/>
              <w:left w:val="nil"/>
              <w:bottom w:val="nil"/>
              <w:right w:val="nil"/>
            </w:tcBorders>
            <w:shd w:val="clear" w:color="000000" w:fill="FFFFFF"/>
            <w:noWrap/>
            <w:vAlign w:val="center"/>
            <w:hideMark/>
          </w:tcPr>
          <w:p w14:paraId="1899B0F3" w14:textId="697F857A" w:rsidR="00276FDF" w:rsidRPr="006264FA" w:rsidRDefault="00276FDF" w:rsidP="00BB2C1A">
            <w:pPr>
              <w:pStyle w:val="TableTextLeft"/>
              <w:rPr>
                <w:rFonts w:cs="Arial"/>
                <w:szCs w:val="16"/>
              </w:rPr>
            </w:pPr>
            <w:r w:rsidRPr="006264FA">
              <w:rPr>
                <w:rFonts w:cs="Arial"/>
                <w:szCs w:val="16"/>
              </w:rPr>
              <w:t>Interest expenses</w:t>
            </w:r>
          </w:p>
        </w:tc>
        <w:tc>
          <w:tcPr>
            <w:tcW w:w="716" w:type="pct"/>
            <w:tcBorders>
              <w:top w:val="nil"/>
              <w:left w:val="nil"/>
              <w:bottom w:val="nil"/>
              <w:right w:val="nil"/>
            </w:tcBorders>
            <w:shd w:val="clear" w:color="000000" w:fill="FFFFFF"/>
            <w:noWrap/>
            <w:vAlign w:val="center"/>
            <w:hideMark/>
          </w:tcPr>
          <w:p w14:paraId="5B260715" w14:textId="40D48640" w:rsidR="00276FDF" w:rsidRPr="006264FA" w:rsidRDefault="00276FDF" w:rsidP="0005205C">
            <w:pPr>
              <w:pStyle w:val="TableTextRight"/>
              <w:rPr>
                <w:rFonts w:cs="Arial"/>
                <w:szCs w:val="16"/>
              </w:rPr>
            </w:pPr>
            <w:r w:rsidRPr="006264FA">
              <w:rPr>
                <w:rFonts w:cs="Arial"/>
                <w:szCs w:val="16"/>
              </w:rPr>
              <w:t>18,324</w:t>
            </w:r>
          </w:p>
        </w:tc>
        <w:tc>
          <w:tcPr>
            <w:tcW w:w="716" w:type="pct"/>
            <w:tcBorders>
              <w:top w:val="nil"/>
              <w:left w:val="nil"/>
              <w:bottom w:val="nil"/>
              <w:right w:val="nil"/>
            </w:tcBorders>
            <w:shd w:val="clear" w:color="000000" w:fill="E6F2FF"/>
            <w:noWrap/>
            <w:vAlign w:val="center"/>
            <w:hideMark/>
          </w:tcPr>
          <w:p w14:paraId="5CEAA24B" w14:textId="1055352F" w:rsidR="00276FDF" w:rsidRPr="006264FA" w:rsidRDefault="00276FDF" w:rsidP="0005205C">
            <w:pPr>
              <w:pStyle w:val="TableTextRight"/>
              <w:rPr>
                <w:rFonts w:cs="Arial"/>
                <w:szCs w:val="16"/>
              </w:rPr>
            </w:pPr>
            <w:r w:rsidRPr="006264FA">
              <w:rPr>
                <w:rFonts w:cs="Arial"/>
                <w:szCs w:val="16"/>
              </w:rPr>
              <w:t>12,101</w:t>
            </w:r>
          </w:p>
        </w:tc>
      </w:tr>
      <w:tr w:rsidR="00276FDF" w:rsidRPr="00D83DB9" w14:paraId="24C56259" w14:textId="77777777">
        <w:trPr>
          <w:trHeight w:hRule="exact" w:val="225"/>
        </w:trPr>
        <w:tc>
          <w:tcPr>
            <w:tcW w:w="3568" w:type="pct"/>
            <w:tcBorders>
              <w:top w:val="nil"/>
              <w:left w:val="nil"/>
              <w:bottom w:val="nil"/>
              <w:right w:val="nil"/>
            </w:tcBorders>
            <w:shd w:val="clear" w:color="000000" w:fill="FFFFFF"/>
            <w:noWrap/>
            <w:vAlign w:val="center"/>
            <w:hideMark/>
          </w:tcPr>
          <w:p w14:paraId="15356654" w14:textId="46A09E52" w:rsidR="00276FDF" w:rsidRPr="006264FA" w:rsidRDefault="00276FDF" w:rsidP="00BB2C1A">
            <w:pPr>
              <w:pStyle w:val="TableTextLeft"/>
              <w:rPr>
                <w:rFonts w:cs="Arial"/>
                <w:szCs w:val="16"/>
              </w:rPr>
            </w:pPr>
            <w:r w:rsidRPr="006264FA">
              <w:rPr>
                <w:rFonts w:cs="Arial"/>
                <w:szCs w:val="16"/>
              </w:rPr>
              <w:t>Other property expenses</w:t>
            </w:r>
          </w:p>
        </w:tc>
        <w:tc>
          <w:tcPr>
            <w:tcW w:w="716" w:type="pct"/>
            <w:tcBorders>
              <w:top w:val="nil"/>
              <w:left w:val="nil"/>
              <w:bottom w:val="nil"/>
              <w:right w:val="nil"/>
            </w:tcBorders>
            <w:shd w:val="clear" w:color="000000" w:fill="FFFFFF"/>
            <w:noWrap/>
            <w:vAlign w:val="center"/>
            <w:hideMark/>
          </w:tcPr>
          <w:p w14:paraId="3CA3506D" w14:textId="267B0B08" w:rsidR="00276FDF" w:rsidRPr="006264FA" w:rsidRDefault="00276FDF" w:rsidP="0005205C">
            <w:pPr>
              <w:pStyle w:val="TableTextRight"/>
              <w:rPr>
                <w:rFonts w:cs="Arial"/>
                <w:szCs w:val="16"/>
              </w:rPr>
            </w:pPr>
            <w:r w:rsidRPr="006264FA">
              <w:rPr>
                <w:rFonts w:cs="Arial"/>
                <w:szCs w:val="16"/>
              </w:rPr>
              <w:t>9</w:t>
            </w:r>
          </w:p>
        </w:tc>
        <w:tc>
          <w:tcPr>
            <w:tcW w:w="716" w:type="pct"/>
            <w:tcBorders>
              <w:top w:val="nil"/>
              <w:left w:val="nil"/>
              <w:bottom w:val="nil"/>
              <w:right w:val="nil"/>
            </w:tcBorders>
            <w:shd w:val="clear" w:color="000000" w:fill="E6F2FF"/>
            <w:noWrap/>
            <w:vAlign w:val="center"/>
            <w:hideMark/>
          </w:tcPr>
          <w:p w14:paraId="60512A01" w14:textId="4792B263" w:rsidR="00276FDF" w:rsidRPr="006264FA" w:rsidRDefault="00276FDF" w:rsidP="0005205C">
            <w:pPr>
              <w:pStyle w:val="TableTextRight"/>
              <w:rPr>
                <w:rFonts w:cs="Arial"/>
                <w:szCs w:val="16"/>
              </w:rPr>
            </w:pPr>
            <w:r w:rsidRPr="006264FA">
              <w:rPr>
                <w:rFonts w:cs="Arial"/>
                <w:szCs w:val="16"/>
              </w:rPr>
              <w:t>7</w:t>
            </w:r>
          </w:p>
        </w:tc>
      </w:tr>
      <w:tr w:rsidR="00FC2B60" w:rsidRPr="00D83DB9" w14:paraId="5F0B3073" w14:textId="77777777">
        <w:trPr>
          <w:trHeight w:hRule="exact" w:val="225"/>
        </w:trPr>
        <w:tc>
          <w:tcPr>
            <w:tcW w:w="3568" w:type="pct"/>
            <w:tcBorders>
              <w:top w:val="nil"/>
              <w:left w:val="nil"/>
              <w:bottom w:val="nil"/>
              <w:right w:val="nil"/>
            </w:tcBorders>
            <w:shd w:val="clear" w:color="000000" w:fill="FFFFFF"/>
            <w:noWrap/>
            <w:vAlign w:val="center"/>
            <w:hideMark/>
          </w:tcPr>
          <w:p w14:paraId="435ABF15" w14:textId="1DCA6350" w:rsidR="00FC2B60" w:rsidRPr="006264FA" w:rsidRDefault="00FC2B60" w:rsidP="00BB2C1A">
            <w:pPr>
              <w:pStyle w:val="TableTextLeft"/>
              <w:rPr>
                <w:rFonts w:cs="Arial"/>
                <w:szCs w:val="16"/>
              </w:rPr>
            </w:pPr>
            <w:r w:rsidRPr="006264FA">
              <w:rPr>
                <w:rFonts w:cs="Arial"/>
                <w:szCs w:val="16"/>
              </w:rPr>
              <w:t>Current transfers</w:t>
            </w:r>
          </w:p>
        </w:tc>
        <w:tc>
          <w:tcPr>
            <w:tcW w:w="716" w:type="pct"/>
            <w:tcBorders>
              <w:top w:val="nil"/>
              <w:left w:val="nil"/>
              <w:bottom w:val="nil"/>
              <w:right w:val="nil"/>
            </w:tcBorders>
            <w:shd w:val="clear" w:color="000000" w:fill="FFFFFF"/>
            <w:noWrap/>
            <w:vAlign w:val="center"/>
            <w:hideMark/>
          </w:tcPr>
          <w:p w14:paraId="0B615ECD" w14:textId="48C80FD9"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317E8D9B" w14:textId="40C4F942" w:rsidR="00FC2B60" w:rsidRPr="006264FA" w:rsidRDefault="00FC2B60" w:rsidP="0005205C">
            <w:pPr>
              <w:pStyle w:val="TableTextRight"/>
              <w:rPr>
                <w:rFonts w:cs="Arial"/>
                <w:szCs w:val="16"/>
              </w:rPr>
            </w:pPr>
            <w:r w:rsidRPr="006264FA">
              <w:rPr>
                <w:rFonts w:cs="Arial"/>
                <w:szCs w:val="16"/>
              </w:rPr>
              <w:t> </w:t>
            </w:r>
          </w:p>
        </w:tc>
      </w:tr>
      <w:tr w:rsidR="00E5219F" w:rsidRPr="00D83DB9" w14:paraId="21B65E66" w14:textId="77777777">
        <w:trPr>
          <w:trHeight w:hRule="exact" w:val="225"/>
        </w:trPr>
        <w:tc>
          <w:tcPr>
            <w:tcW w:w="3568" w:type="pct"/>
            <w:tcBorders>
              <w:top w:val="nil"/>
              <w:left w:val="nil"/>
              <w:bottom w:val="nil"/>
              <w:right w:val="nil"/>
            </w:tcBorders>
            <w:shd w:val="clear" w:color="000000" w:fill="FFFFFF"/>
            <w:noWrap/>
            <w:vAlign w:val="center"/>
            <w:hideMark/>
          </w:tcPr>
          <w:p w14:paraId="4B4E8E02" w14:textId="6094869D" w:rsidR="00E5219F" w:rsidRPr="006264FA" w:rsidRDefault="00E5219F" w:rsidP="00BB2C1A">
            <w:pPr>
              <w:pStyle w:val="TableTextIndented"/>
              <w:rPr>
                <w:rFonts w:cs="Arial"/>
                <w:szCs w:val="16"/>
              </w:rPr>
            </w:pPr>
            <w:r w:rsidRPr="006264FA">
              <w:rPr>
                <w:rFonts w:cs="Arial"/>
                <w:szCs w:val="16"/>
              </w:rPr>
              <w:t>Tax expenses</w:t>
            </w:r>
          </w:p>
        </w:tc>
        <w:tc>
          <w:tcPr>
            <w:tcW w:w="716" w:type="pct"/>
            <w:tcBorders>
              <w:top w:val="nil"/>
              <w:left w:val="nil"/>
              <w:bottom w:val="nil"/>
              <w:right w:val="nil"/>
            </w:tcBorders>
            <w:shd w:val="clear" w:color="000000" w:fill="FFFFFF"/>
            <w:noWrap/>
            <w:vAlign w:val="center"/>
            <w:hideMark/>
          </w:tcPr>
          <w:p w14:paraId="1FAAC197" w14:textId="5EFC8663" w:rsidR="00E5219F" w:rsidRPr="006264FA" w:rsidRDefault="00E5219F" w:rsidP="0005205C">
            <w:pPr>
              <w:pStyle w:val="TableTextRight"/>
              <w:rPr>
                <w:rFonts w:cs="Arial"/>
                <w:szCs w:val="16"/>
              </w:rPr>
            </w:pPr>
            <w:r w:rsidRPr="006264FA">
              <w:rPr>
                <w:rFonts w:cs="Arial"/>
                <w:szCs w:val="16"/>
              </w:rPr>
              <w:t>9</w:t>
            </w:r>
          </w:p>
        </w:tc>
        <w:tc>
          <w:tcPr>
            <w:tcW w:w="716" w:type="pct"/>
            <w:tcBorders>
              <w:top w:val="nil"/>
              <w:left w:val="nil"/>
              <w:bottom w:val="nil"/>
              <w:right w:val="nil"/>
            </w:tcBorders>
            <w:shd w:val="clear" w:color="000000" w:fill="E6F2FF"/>
            <w:noWrap/>
            <w:vAlign w:val="center"/>
            <w:hideMark/>
          </w:tcPr>
          <w:p w14:paraId="74D16FAE" w14:textId="1094F4E9" w:rsidR="00E5219F" w:rsidRPr="006264FA" w:rsidRDefault="00E5219F" w:rsidP="0005205C">
            <w:pPr>
              <w:pStyle w:val="TableTextRight"/>
              <w:rPr>
                <w:rFonts w:cs="Arial"/>
                <w:szCs w:val="16"/>
              </w:rPr>
            </w:pPr>
            <w:r w:rsidRPr="006264FA">
              <w:rPr>
                <w:rFonts w:cs="Arial"/>
                <w:szCs w:val="16"/>
              </w:rPr>
              <w:t>9</w:t>
            </w:r>
          </w:p>
        </w:tc>
      </w:tr>
      <w:tr w:rsidR="00E5219F" w:rsidRPr="00D83DB9" w14:paraId="367E4C7F" w14:textId="77777777">
        <w:trPr>
          <w:trHeight w:hRule="exact" w:val="225"/>
        </w:trPr>
        <w:tc>
          <w:tcPr>
            <w:tcW w:w="3568" w:type="pct"/>
            <w:tcBorders>
              <w:top w:val="nil"/>
              <w:left w:val="nil"/>
              <w:bottom w:val="nil"/>
              <w:right w:val="nil"/>
            </w:tcBorders>
            <w:shd w:val="clear" w:color="000000" w:fill="FFFFFF"/>
            <w:noWrap/>
            <w:vAlign w:val="center"/>
            <w:hideMark/>
          </w:tcPr>
          <w:p w14:paraId="6C503004" w14:textId="4D285166" w:rsidR="00E5219F" w:rsidRPr="006264FA" w:rsidRDefault="00E5219F" w:rsidP="00BB2C1A">
            <w:pPr>
              <w:pStyle w:val="TableTextLeft"/>
              <w:rPr>
                <w:rFonts w:cs="Arial"/>
                <w:i/>
                <w:szCs w:val="16"/>
              </w:rPr>
            </w:pPr>
            <w:r w:rsidRPr="006264FA">
              <w:rPr>
                <w:rFonts w:cs="Arial"/>
                <w:i/>
                <w:szCs w:val="16"/>
              </w:rPr>
              <w:t>Total current transfers</w:t>
            </w:r>
          </w:p>
        </w:tc>
        <w:tc>
          <w:tcPr>
            <w:tcW w:w="716" w:type="pct"/>
            <w:tcBorders>
              <w:top w:val="nil"/>
              <w:left w:val="nil"/>
              <w:bottom w:val="nil"/>
              <w:right w:val="nil"/>
            </w:tcBorders>
            <w:shd w:val="clear" w:color="000000" w:fill="FFFFFF"/>
            <w:noWrap/>
            <w:vAlign w:val="center"/>
            <w:hideMark/>
          </w:tcPr>
          <w:p w14:paraId="5B4EF5CC" w14:textId="194AAA02" w:rsidR="00E5219F" w:rsidRPr="006264FA" w:rsidRDefault="00E5219F" w:rsidP="0005205C">
            <w:pPr>
              <w:pStyle w:val="TableTextRight"/>
              <w:rPr>
                <w:rFonts w:cs="Arial"/>
                <w:i/>
                <w:szCs w:val="16"/>
              </w:rPr>
            </w:pPr>
            <w:r w:rsidRPr="006264FA">
              <w:rPr>
                <w:rFonts w:cs="Arial"/>
                <w:i/>
                <w:szCs w:val="16"/>
              </w:rPr>
              <w:t>9</w:t>
            </w:r>
          </w:p>
        </w:tc>
        <w:tc>
          <w:tcPr>
            <w:tcW w:w="716" w:type="pct"/>
            <w:tcBorders>
              <w:top w:val="nil"/>
              <w:left w:val="nil"/>
              <w:bottom w:val="nil"/>
              <w:right w:val="nil"/>
            </w:tcBorders>
            <w:shd w:val="clear" w:color="000000" w:fill="E6F2FF"/>
            <w:noWrap/>
            <w:vAlign w:val="center"/>
            <w:hideMark/>
          </w:tcPr>
          <w:p w14:paraId="7F38861F" w14:textId="31B20B3D" w:rsidR="00E5219F" w:rsidRPr="006264FA" w:rsidRDefault="00E5219F" w:rsidP="0005205C">
            <w:pPr>
              <w:pStyle w:val="TableTextRight"/>
              <w:rPr>
                <w:rFonts w:cs="Arial"/>
                <w:i/>
                <w:szCs w:val="16"/>
              </w:rPr>
            </w:pPr>
            <w:r w:rsidRPr="006264FA">
              <w:rPr>
                <w:rFonts w:cs="Arial"/>
                <w:i/>
                <w:szCs w:val="16"/>
              </w:rPr>
              <w:t>9</w:t>
            </w:r>
          </w:p>
        </w:tc>
      </w:tr>
      <w:tr w:rsidR="00E5219F" w:rsidRPr="00D83DB9" w14:paraId="6195B703" w14:textId="77777777">
        <w:trPr>
          <w:trHeight w:hRule="exact" w:val="225"/>
        </w:trPr>
        <w:tc>
          <w:tcPr>
            <w:tcW w:w="3568" w:type="pct"/>
            <w:tcBorders>
              <w:top w:val="nil"/>
              <w:left w:val="nil"/>
              <w:bottom w:val="nil"/>
              <w:right w:val="nil"/>
            </w:tcBorders>
            <w:shd w:val="clear" w:color="000000" w:fill="FFFFFF"/>
            <w:noWrap/>
            <w:vAlign w:val="center"/>
            <w:hideMark/>
          </w:tcPr>
          <w:p w14:paraId="26497A15" w14:textId="3211182F" w:rsidR="00E5219F" w:rsidRPr="006264FA" w:rsidRDefault="00E5219F" w:rsidP="00BB2C1A">
            <w:pPr>
              <w:pStyle w:val="TableTextLeft"/>
              <w:rPr>
                <w:rFonts w:cs="Arial"/>
                <w:b/>
                <w:szCs w:val="16"/>
              </w:rPr>
            </w:pPr>
            <w:r w:rsidRPr="006264FA">
              <w:rPr>
                <w:rFonts w:cs="Arial"/>
                <w:b/>
                <w:szCs w:val="16"/>
              </w:rPr>
              <w:t>Total expenses</w:t>
            </w:r>
          </w:p>
        </w:tc>
        <w:tc>
          <w:tcPr>
            <w:tcW w:w="716" w:type="pct"/>
            <w:tcBorders>
              <w:top w:val="nil"/>
              <w:left w:val="nil"/>
              <w:bottom w:val="nil"/>
              <w:right w:val="nil"/>
            </w:tcBorders>
            <w:shd w:val="clear" w:color="000000" w:fill="FFFFFF"/>
            <w:noWrap/>
            <w:vAlign w:val="center"/>
            <w:hideMark/>
          </w:tcPr>
          <w:p w14:paraId="6BDD3837" w14:textId="61AA9A8A" w:rsidR="00E5219F" w:rsidRPr="006264FA" w:rsidRDefault="00E5219F" w:rsidP="0005205C">
            <w:pPr>
              <w:pStyle w:val="TableTextRight"/>
              <w:rPr>
                <w:rFonts w:cs="Arial"/>
                <w:b/>
                <w:szCs w:val="16"/>
              </w:rPr>
            </w:pPr>
            <w:r w:rsidRPr="006264FA">
              <w:rPr>
                <w:rFonts w:cs="Arial"/>
                <w:b/>
                <w:szCs w:val="16"/>
              </w:rPr>
              <w:t>19,845</w:t>
            </w:r>
          </w:p>
        </w:tc>
        <w:tc>
          <w:tcPr>
            <w:tcW w:w="716" w:type="pct"/>
            <w:tcBorders>
              <w:top w:val="nil"/>
              <w:left w:val="nil"/>
              <w:bottom w:val="nil"/>
              <w:right w:val="nil"/>
            </w:tcBorders>
            <w:shd w:val="clear" w:color="000000" w:fill="E6F2FF"/>
            <w:noWrap/>
            <w:vAlign w:val="center"/>
            <w:hideMark/>
          </w:tcPr>
          <w:p w14:paraId="20C285DA" w14:textId="7E1F7CCD" w:rsidR="00E5219F" w:rsidRPr="006264FA" w:rsidRDefault="00E5219F" w:rsidP="0005205C">
            <w:pPr>
              <w:pStyle w:val="TableTextRight"/>
              <w:rPr>
                <w:rFonts w:cs="Arial"/>
                <w:b/>
                <w:szCs w:val="16"/>
              </w:rPr>
            </w:pPr>
            <w:r w:rsidRPr="006264FA">
              <w:rPr>
                <w:rFonts w:cs="Arial"/>
                <w:b/>
                <w:szCs w:val="16"/>
              </w:rPr>
              <w:t>13,818</w:t>
            </w:r>
          </w:p>
        </w:tc>
      </w:tr>
      <w:tr w:rsidR="00E5219F" w:rsidRPr="00D83DB9" w14:paraId="7A496047" w14:textId="77777777">
        <w:trPr>
          <w:trHeight w:hRule="exact" w:val="60"/>
        </w:trPr>
        <w:tc>
          <w:tcPr>
            <w:tcW w:w="3568" w:type="pct"/>
            <w:tcBorders>
              <w:top w:val="nil"/>
              <w:left w:val="nil"/>
              <w:bottom w:val="nil"/>
              <w:right w:val="nil"/>
            </w:tcBorders>
            <w:shd w:val="clear" w:color="000000" w:fill="FFFFFF"/>
            <w:noWrap/>
            <w:vAlign w:val="center"/>
            <w:hideMark/>
          </w:tcPr>
          <w:p w14:paraId="479ADE7B" w14:textId="231CD783" w:rsidR="00E5219F" w:rsidRPr="006264FA" w:rsidRDefault="00E5219F" w:rsidP="00BB2C1A">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1B560035" w14:textId="3DF970E9" w:rsidR="00E5219F" w:rsidRPr="006264FA" w:rsidRDefault="00E5219F"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4D52BDD5" w14:textId="74709B53" w:rsidR="00E5219F" w:rsidRPr="006264FA" w:rsidRDefault="00E5219F" w:rsidP="0005205C">
            <w:pPr>
              <w:pStyle w:val="TableTextRight"/>
              <w:rPr>
                <w:rFonts w:cs="Arial"/>
                <w:szCs w:val="16"/>
              </w:rPr>
            </w:pPr>
            <w:r w:rsidRPr="006264FA">
              <w:rPr>
                <w:rFonts w:cs="Arial"/>
                <w:szCs w:val="16"/>
              </w:rPr>
              <w:t> </w:t>
            </w:r>
          </w:p>
        </w:tc>
      </w:tr>
      <w:tr w:rsidR="00E5219F" w:rsidRPr="00D83DB9" w14:paraId="53C637A7" w14:textId="77777777">
        <w:trPr>
          <w:trHeight w:hRule="exact" w:val="225"/>
        </w:trPr>
        <w:tc>
          <w:tcPr>
            <w:tcW w:w="3568" w:type="pct"/>
            <w:tcBorders>
              <w:top w:val="nil"/>
              <w:left w:val="nil"/>
              <w:bottom w:val="nil"/>
              <w:right w:val="nil"/>
            </w:tcBorders>
            <w:shd w:val="clear" w:color="000000" w:fill="FFFFFF"/>
            <w:noWrap/>
            <w:vAlign w:val="center"/>
            <w:hideMark/>
          </w:tcPr>
          <w:p w14:paraId="6BFF8411" w14:textId="75F66AA3" w:rsidR="00E5219F" w:rsidRPr="006264FA" w:rsidRDefault="00E5219F" w:rsidP="00BB2C1A">
            <w:pPr>
              <w:pStyle w:val="TableTextLeft"/>
              <w:rPr>
                <w:rFonts w:cs="Arial"/>
                <w:b/>
                <w:szCs w:val="16"/>
              </w:rPr>
            </w:pPr>
            <w:r w:rsidRPr="006264FA">
              <w:rPr>
                <w:rFonts w:cs="Arial"/>
                <w:b/>
                <w:szCs w:val="16"/>
              </w:rPr>
              <w:t>Net operating balance</w:t>
            </w:r>
          </w:p>
        </w:tc>
        <w:tc>
          <w:tcPr>
            <w:tcW w:w="716" w:type="pct"/>
            <w:tcBorders>
              <w:top w:val="nil"/>
              <w:left w:val="nil"/>
              <w:bottom w:val="nil"/>
              <w:right w:val="nil"/>
            </w:tcBorders>
            <w:shd w:val="clear" w:color="000000" w:fill="FFFFFF"/>
            <w:noWrap/>
            <w:vAlign w:val="center"/>
            <w:hideMark/>
          </w:tcPr>
          <w:p w14:paraId="447A7F2E" w14:textId="3A5DC247"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6,911</w:t>
            </w:r>
          </w:p>
        </w:tc>
        <w:tc>
          <w:tcPr>
            <w:tcW w:w="716" w:type="pct"/>
            <w:tcBorders>
              <w:top w:val="nil"/>
              <w:left w:val="nil"/>
              <w:bottom w:val="nil"/>
              <w:right w:val="nil"/>
            </w:tcBorders>
            <w:shd w:val="clear" w:color="000000" w:fill="E6F2FF"/>
            <w:noWrap/>
            <w:vAlign w:val="center"/>
            <w:hideMark/>
          </w:tcPr>
          <w:p w14:paraId="2A6DDD0E" w14:textId="38A8784F"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2,213</w:t>
            </w:r>
          </w:p>
        </w:tc>
      </w:tr>
      <w:tr w:rsidR="00E5219F" w:rsidRPr="00D83DB9" w14:paraId="7997A226" w14:textId="77777777">
        <w:trPr>
          <w:trHeight w:hRule="exact" w:val="60"/>
        </w:trPr>
        <w:tc>
          <w:tcPr>
            <w:tcW w:w="3568" w:type="pct"/>
            <w:tcBorders>
              <w:top w:val="nil"/>
              <w:left w:val="nil"/>
              <w:bottom w:val="nil"/>
              <w:right w:val="nil"/>
            </w:tcBorders>
            <w:shd w:val="clear" w:color="000000" w:fill="FFFFFF"/>
            <w:noWrap/>
            <w:vAlign w:val="center"/>
            <w:hideMark/>
          </w:tcPr>
          <w:p w14:paraId="7651EC23" w14:textId="39DE3E50" w:rsidR="00E5219F" w:rsidRPr="006264FA" w:rsidRDefault="00E5219F" w:rsidP="00BB2C1A">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3FDCFF30" w14:textId="0DB33536" w:rsidR="00E5219F" w:rsidRPr="006264FA" w:rsidRDefault="00E5219F"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1C36B3AD" w14:textId="247B9089" w:rsidR="00E5219F" w:rsidRPr="006264FA" w:rsidRDefault="00E5219F" w:rsidP="0005205C">
            <w:pPr>
              <w:pStyle w:val="TableTextRight"/>
              <w:rPr>
                <w:rFonts w:cs="Arial"/>
                <w:szCs w:val="16"/>
              </w:rPr>
            </w:pPr>
            <w:r w:rsidRPr="006264FA">
              <w:rPr>
                <w:rFonts w:cs="Arial"/>
                <w:szCs w:val="16"/>
              </w:rPr>
              <w:t> </w:t>
            </w:r>
          </w:p>
        </w:tc>
      </w:tr>
      <w:tr w:rsidR="00E5219F" w:rsidRPr="00D83DB9" w14:paraId="6A42ABE3" w14:textId="77777777">
        <w:trPr>
          <w:trHeight w:hRule="exact" w:val="225"/>
        </w:trPr>
        <w:tc>
          <w:tcPr>
            <w:tcW w:w="3568" w:type="pct"/>
            <w:tcBorders>
              <w:top w:val="nil"/>
              <w:left w:val="nil"/>
              <w:bottom w:val="nil"/>
              <w:right w:val="nil"/>
            </w:tcBorders>
            <w:shd w:val="clear" w:color="000000" w:fill="FFFFFF"/>
            <w:noWrap/>
            <w:vAlign w:val="center"/>
            <w:hideMark/>
          </w:tcPr>
          <w:p w14:paraId="493495BF" w14:textId="4111E68B" w:rsidR="00E5219F" w:rsidRPr="006264FA" w:rsidRDefault="00E5219F" w:rsidP="00BB2C1A">
            <w:pPr>
              <w:pStyle w:val="TableTextLeft"/>
              <w:rPr>
                <w:rFonts w:cs="Arial"/>
                <w:b/>
                <w:szCs w:val="16"/>
              </w:rPr>
            </w:pPr>
            <w:r w:rsidRPr="006264FA">
              <w:rPr>
                <w:rFonts w:cs="Arial"/>
                <w:b/>
                <w:szCs w:val="16"/>
              </w:rPr>
              <w:t>Other economic flows</w:t>
            </w:r>
          </w:p>
        </w:tc>
        <w:tc>
          <w:tcPr>
            <w:tcW w:w="716" w:type="pct"/>
            <w:tcBorders>
              <w:top w:val="nil"/>
              <w:left w:val="nil"/>
              <w:bottom w:val="nil"/>
              <w:right w:val="nil"/>
            </w:tcBorders>
            <w:shd w:val="clear" w:color="000000" w:fill="FFFFFF"/>
            <w:noWrap/>
            <w:vAlign w:val="center"/>
            <w:hideMark/>
          </w:tcPr>
          <w:p w14:paraId="0161A9AA" w14:textId="380A2A56" w:rsidR="00E5219F" w:rsidRPr="006264FA" w:rsidRDefault="00E5219F" w:rsidP="0005205C">
            <w:pPr>
              <w:pStyle w:val="TableTextRight"/>
              <w:rPr>
                <w:rFonts w:cs="Arial"/>
                <w:b/>
                <w:szCs w:val="16"/>
              </w:rPr>
            </w:pPr>
            <w:r w:rsidRPr="006264FA">
              <w:rPr>
                <w:rFonts w:cs="Arial"/>
                <w:b/>
                <w:szCs w:val="16"/>
              </w:rPr>
              <w:t>9,952</w:t>
            </w:r>
          </w:p>
        </w:tc>
        <w:tc>
          <w:tcPr>
            <w:tcW w:w="716" w:type="pct"/>
            <w:tcBorders>
              <w:top w:val="nil"/>
              <w:left w:val="nil"/>
              <w:bottom w:val="nil"/>
              <w:right w:val="nil"/>
            </w:tcBorders>
            <w:shd w:val="clear" w:color="000000" w:fill="E6F2FF"/>
            <w:noWrap/>
            <w:vAlign w:val="center"/>
            <w:hideMark/>
          </w:tcPr>
          <w:p w14:paraId="1AB69A1B" w14:textId="1D23F26A" w:rsidR="00E5219F" w:rsidRPr="006264FA" w:rsidRDefault="00E5219F" w:rsidP="0005205C">
            <w:pPr>
              <w:pStyle w:val="TableTextRight"/>
              <w:rPr>
                <w:rFonts w:cs="Arial"/>
                <w:b/>
                <w:szCs w:val="16"/>
              </w:rPr>
            </w:pPr>
            <w:r w:rsidRPr="006264FA">
              <w:rPr>
                <w:rFonts w:cs="Arial"/>
                <w:b/>
                <w:szCs w:val="16"/>
              </w:rPr>
              <w:t>4,615</w:t>
            </w:r>
          </w:p>
        </w:tc>
      </w:tr>
      <w:tr w:rsidR="00FC2B60" w:rsidRPr="00D83DB9" w14:paraId="019DB9E9" w14:textId="77777777">
        <w:trPr>
          <w:trHeight w:hRule="exact" w:val="60"/>
        </w:trPr>
        <w:tc>
          <w:tcPr>
            <w:tcW w:w="3568" w:type="pct"/>
            <w:tcBorders>
              <w:top w:val="nil"/>
              <w:left w:val="nil"/>
              <w:bottom w:val="nil"/>
              <w:right w:val="nil"/>
            </w:tcBorders>
            <w:shd w:val="clear" w:color="000000" w:fill="FFFFFF"/>
            <w:noWrap/>
            <w:vAlign w:val="center"/>
            <w:hideMark/>
          </w:tcPr>
          <w:p w14:paraId="1AC92402" w14:textId="0DF5BE1B" w:rsidR="00FC2B60" w:rsidRPr="006264FA" w:rsidRDefault="00FC2B60" w:rsidP="00BB2C1A">
            <w:pPr>
              <w:pStyle w:val="TableTextLeft"/>
              <w:rPr>
                <w:rFonts w:cs="Arial"/>
                <w:b/>
                <w:szCs w:val="16"/>
              </w:rPr>
            </w:pPr>
            <w:r w:rsidRPr="006264FA">
              <w:rPr>
                <w:rFonts w:cs="Arial"/>
                <w:b/>
                <w:szCs w:val="16"/>
              </w:rPr>
              <w:t> </w:t>
            </w:r>
          </w:p>
        </w:tc>
        <w:tc>
          <w:tcPr>
            <w:tcW w:w="716" w:type="pct"/>
            <w:tcBorders>
              <w:top w:val="nil"/>
              <w:left w:val="nil"/>
              <w:bottom w:val="nil"/>
              <w:right w:val="nil"/>
            </w:tcBorders>
            <w:shd w:val="clear" w:color="000000" w:fill="FFFFFF"/>
            <w:noWrap/>
            <w:vAlign w:val="center"/>
            <w:hideMark/>
          </w:tcPr>
          <w:p w14:paraId="3177182D" w14:textId="11A5745C" w:rsidR="00FC2B60" w:rsidRPr="006264FA" w:rsidRDefault="00FC2B60"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40E739B5" w14:textId="6F804C33" w:rsidR="00FC2B60" w:rsidRPr="006264FA" w:rsidRDefault="00FC2B60" w:rsidP="0005205C">
            <w:pPr>
              <w:pStyle w:val="TableTextRight"/>
              <w:rPr>
                <w:rFonts w:cs="Arial"/>
                <w:b/>
                <w:szCs w:val="16"/>
              </w:rPr>
            </w:pPr>
            <w:r w:rsidRPr="006264FA">
              <w:rPr>
                <w:rFonts w:cs="Arial"/>
                <w:b/>
                <w:szCs w:val="16"/>
              </w:rPr>
              <w:t> </w:t>
            </w:r>
          </w:p>
        </w:tc>
      </w:tr>
      <w:tr w:rsidR="00FC2B60" w:rsidRPr="00D83DB9" w14:paraId="2CE745B3" w14:textId="77777777">
        <w:trPr>
          <w:trHeight w:hRule="exact" w:val="225"/>
        </w:trPr>
        <w:tc>
          <w:tcPr>
            <w:tcW w:w="3568" w:type="pct"/>
            <w:tcBorders>
              <w:top w:val="nil"/>
              <w:left w:val="nil"/>
              <w:bottom w:val="nil"/>
              <w:right w:val="nil"/>
            </w:tcBorders>
            <w:shd w:val="clear" w:color="000000" w:fill="FFFFFF"/>
            <w:noWrap/>
            <w:vAlign w:val="center"/>
            <w:hideMark/>
          </w:tcPr>
          <w:p w14:paraId="1AF1DB5D" w14:textId="04E19C3E" w:rsidR="00FC2B60" w:rsidRPr="006264FA" w:rsidRDefault="00FC2B60" w:rsidP="00BB2C1A">
            <w:pPr>
              <w:pStyle w:val="TableTextLeft"/>
              <w:rPr>
                <w:rFonts w:cs="Arial"/>
                <w:b/>
                <w:szCs w:val="16"/>
              </w:rPr>
            </w:pPr>
            <w:r w:rsidRPr="006264FA">
              <w:rPr>
                <w:rFonts w:cs="Arial"/>
                <w:b/>
                <w:szCs w:val="16"/>
              </w:rPr>
              <w:t xml:space="preserve">Comprehensive result </w:t>
            </w:r>
            <w:r w:rsidR="00480091" w:rsidRPr="006264FA">
              <w:rPr>
                <w:rFonts w:cs="Arial"/>
                <w:b/>
                <w:bCs/>
                <w:szCs w:val="16"/>
              </w:rPr>
              <w:t>–</w:t>
            </w:r>
            <w:r w:rsidRPr="006264FA">
              <w:rPr>
                <w:rFonts w:cs="Arial"/>
                <w:b/>
                <w:szCs w:val="16"/>
              </w:rPr>
              <w:t xml:space="preserve"> Total change in net worth</w:t>
            </w:r>
          </w:p>
        </w:tc>
        <w:tc>
          <w:tcPr>
            <w:tcW w:w="716" w:type="pct"/>
            <w:tcBorders>
              <w:top w:val="nil"/>
              <w:left w:val="nil"/>
              <w:bottom w:val="nil"/>
              <w:right w:val="nil"/>
            </w:tcBorders>
            <w:shd w:val="clear" w:color="000000" w:fill="FFFFFF"/>
            <w:noWrap/>
            <w:vAlign w:val="center"/>
            <w:hideMark/>
          </w:tcPr>
          <w:p w14:paraId="4B794FB5" w14:textId="79B3A304" w:rsidR="00FC2B60" w:rsidRPr="006264FA" w:rsidRDefault="00FC2B60"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07F3BEB1" w14:textId="3AFB53B6" w:rsidR="00FC2B60" w:rsidRPr="006264FA" w:rsidRDefault="00FC2B60" w:rsidP="0005205C">
            <w:pPr>
              <w:pStyle w:val="TableTextRight"/>
              <w:rPr>
                <w:rFonts w:cs="Arial"/>
                <w:b/>
                <w:szCs w:val="16"/>
              </w:rPr>
            </w:pPr>
            <w:r w:rsidRPr="006264FA">
              <w:rPr>
                <w:rFonts w:cs="Arial"/>
                <w:b/>
                <w:szCs w:val="16"/>
              </w:rPr>
              <w:t> </w:t>
            </w:r>
          </w:p>
        </w:tc>
      </w:tr>
      <w:tr w:rsidR="00E5219F" w:rsidRPr="00D83DB9" w14:paraId="63CAE750" w14:textId="77777777">
        <w:trPr>
          <w:trHeight w:hRule="exact" w:val="225"/>
        </w:trPr>
        <w:tc>
          <w:tcPr>
            <w:tcW w:w="3568" w:type="pct"/>
            <w:tcBorders>
              <w:top w:val="nil"/>
              <w:left w:val="nil"/>
              <w:bottom w:val="nil"/>
              <w:right w:val="nil"/>
            </w:tcBorders>
            <w:shd w:val="clear" w:color="000000" w:fill="FFFFFF"/>
            <w:noWrap/>
            <w:vAlign w:val="center"/>
            <w:hideMark/>
          </w:tcPr>
          <w:p w14:paraId="3F699CC0" w14:textId="35CBF8BF" w:rsidR="00E5219F" w:rsidRPr="006264FA" w:rsidRDefault="00E5219F" w:rsidP="00D754C2">
            <w:pPr>
              <w:pStyle w:val="TableTextIndented"/>
              <w:rPr>
                <w:rFonts w:cs="Arial"/>
                <w:b/>
                <w:szCs w:val="16"/>
              </w:rPr>
            </w:pPr>
            <w:r w:rsidRPr="006264FA">
              <w:rPr>
                <w:rFonts w:cs="Arial"/>
                <w:b/>
                <w:szCs w:val="16"/>
              </w:rPr>
              <w:t>excluding contribution from owners</w:t>
            </w:r>
          </w:p>
        </w:tc>
        <w:tc>
          <w:tcPr>
            <w:tcW w:w="716" w:type="pct"/>
            <w:tcBorders>
              <w:top w:val="nil"/>
              <w:left w:val="nil"/>
              <w:bottom w:val="nil"/>
              <w:right w:val="nil"/>
            </w:tcBorders>
            <w:shd w:val="clear" w:color="auto" w:fill="auto"/>
            <w:noWrap/>
            <w:vAlign w:val="center"/>
            <w:hideMark/>
          </w:tcPr>
          <w:p w14:paraId="51AF387B" w14:textId="179FA209" w:rsidR="00E5219F" w:rsidRPr="006264FA" w:rsidRDefault="00E5219F" w:rsidP="0005205C">
            <w:pPr>
              <w:pStyle w:val="TableTextRight"/>
              <w:rPr>
                <w:rFonts w:cs="Arial"/>
                <w:b/>
                <w:szCs w:val="16"/>
              </w:rPr>
            </w:pPr>
            <w:r w:rsidRPr="006264FA">
              <w:rPr>
                <w:rFonts w:cs="Arial"/>
                <w:b/>
                <w:szCs w:val="16"/>
              </w:rPr>
              <w:t>3,042</w:t>
            </w:r>
          </w:p>
        </w:tc>
        <w:tc>
          <w:tcPr>
            <w:tcW w:w="716" w:type="pct"/>
            <w:tcBorders>
              <w:top w:val="nil"/>
              <w:left w:val="nil"/>
              <w:bottom w:val="nil"/>
              <w:right w:val="nil"/>
            </w:tcBorders>
            <w:shd w:val="clear" w:color="000000" w:fill="E6F2FF"/>
            <w:noWrap/>
            <w:vAlign w:val="center"/>
            <w:hideMark/>
          </w:tcPr>
          <w:p w14:paraId="4A16B281" w14:textId="4DAAD4A4" w:rsidR="00E5219F" w:rsidRPr="006264FA" w:rsidRDefault="00E5219F" w:rsidP="0005205C">
            <w:pPr>
              <w:pStyle w:val="TableTextRight"/>
              <w:rPr>
                <w:rFonts w:cs="Arial"/>
                <w:b/>
                <w:szCs w:val="16"/>
              </w:rPr>
            </w:pPr>
            <w:r w:rsidRPr="006264FA">
              <w:rPr>
                <w:rFonts w:cs="Arial"/>
                <w:b/>
                <w:szCs w:val="16"/>
              </w:rPr>
              <w:t>2,402</w:t>
            </w:r>
          </w:p>
        </w:tc>
      </w:tr>
      <w:tr w:rsidR="00FC2B60" w:rsidRPr="00D83DB9" w14:paraId="1323B29C" w14:textId="77777777">
        <w:trPr>
          <w:trHeight w:hRule="exact" w:val="60"/>
        </w:trPr>
        <w:tc>
          <w:tcPr>
            <w:tcW w:w="3568" w:type="pct"/>
            <w:tcBorders>
              <w:top w:val="nil"/>
              <w:left w:val="nil"/>
              <w:bottom w:val="nil"/>
              <w:right w:val="nil"/>
            </w:tcBorders>
            <w:shd w:val="clear" w:color="000000" w:fill="FFFFFF"/>
            <w:noWrap/>
            <w:vAlign w:val="center"/>
            <w:hideMark/>
          </w:tcPr>
          <w:p w14:paraId="7A18C9D7" w14:textId="6BFA35C6" w:rsidR="00FC2B60" w:rsidRPr="006264FA" w:rsidRDefault="00FC2B60" w:rsidP="00BB2C1A">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24043EE2" w14:textId="564835CB"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1ED2EA8" w14:textId="0089E78C" w:rsidR="00FC2B60" w:rsidRPr="006264FA" w:rsidRDefault="00FC2B60" w:rsidP="0005205C">
            <w:pPr>
              <w:pStyle w:val="TableTextRight"/>
              <w:rPr>
                <w:rFonts w:cs="Arial"/>
                <w:szCs w:val="16"/>
              </w:rPr>
            </w:pPr>
            <w:r w:rsidRPr="006264FA">
              <w:rPr>
                <w:rFonts w:cs="Arial"/>
                <w:szCs w:val="16"/>
              </w:rPr>
              <w:t> </w:t>
            </w:r>
          </w:p>
        </w:tc>
      </w:tr>
      <w:tr w:rsidR="00FC2B60" w:rsidRPr="00D83DB9" w14:paraId="08CBF835" w14:textId="77777777">
        <w:trPr>
          <w:trHeight w:hRule="exact" w:val="225"/>
        </w:trPr>
        <w:tc>
          <w:tcPr>
            <w:tcW w:w="3568" w:type="pct"/>
            <w:tcBorders>
              <w:top w:val="nil"/>
              <w:left w:val="nil"/>
              <w:bottom w:val="nil"/>
              <w:right w:val="nil"/>
            </w:tcBorders>
            <w:shd w:val="clear" w:color="000000" w:fill="FFFFFF"/>
            <w:noWrap/>
            <w:vAlign w:val="center"/>
            <w:hideMark/>
          </w:tcPr>
          <w:p w14:paraId="5B87BA66" w14:textId="01E10A44" w:rsidR="00FC2B60" w:rsidRPr="006264FA" w:rsidRDefault="00FC2B60" w:rsidP="00BB2C1A">
            <w:pPr>
              <w:pStyle w:val="TableTextLeft"/>
              <w:rPr>
                <w:rFonts w:cs="Arial"/>
                <w:b/>
                <w:szCs w:val="16"/>
              </w:rPr>
            </w:pPr>
            <w:r w:rsidRPr="006264FA">
              <w:rPr>
                <w:rFonts w:cs="Arial"/>
                <w:b/>
                <w:szCs w:val="16"/>
              </w:rPr>
              <w:t>Net acquisition of non</w:t>
            </w:r>
            <w:r w:rsidR="00325E1E">
              <w:rPr>
                <w:rFonts w:cs="Arial"/>
                <w:b/>
                <w:bCs/>
                <w:szCs w:val="16"/>
              </w:rPr>
              <w:noBreakHyphen/>
            </w:r>
            <w:r w:rsidRPr="006264FA">
              <w:rPr>
                <w:rFonts w:cs="Arial"/>
                <w:b/>
                <w:szCs w:val="16"/>
              </w:rPr>
              <w:t>financial assets</w:t>
            </w:r>
          </w:p>
        </w:tc>
        <w:tc>
          <w:tcPr>
            <w:tcW w:w="716" w:type="pct"/>
            <w:tcBorders>
              <w:top w:val="nil"/>
              <w:left w:val="nil"/>
              <w:bottom w:val="nil"/>
              <w:right w:val="nil"/>
            </w:tcBorders>
            <w:shd w:val="clear" w:color="000000" w:fill="FFFFFF"/>
            <w:noWrap/>
            <w:vAlign w:val="center"/>
            <w:hideMark/>
          </w:tcPr>
          <w:p w14:paraId="0106CFF2" w14:textId="09D4249E" w:rsidR="00FC2B60" w:rsidRPr="006264FA" w:rsidRDefault="00FC2B60"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7D64382C" w14:textId="0E879589" w:rsidR="00FC2B60" w:rsidRPr="006264FA" w:rsidRDefault="00FC2B60" w:rsidP="0005205C">
            <w:pPr>
              <w:pStyle w:val="TableTextRight"/>
              <w:rPr>
                <w:rFonts w:cs="Arial"/>
                <w:szCs w:val="16"/>
              </w:rPr>
            </w:pPr>
            <w:r w:rsidRPr="006264FA">
              <w:rPr>
                <w:rFonts w:cs="Arial"/>
                <w:szCs w:val="16"/>
              </w:rPr>
              <w:t> </w:t>
            </w:r>
          </w:p>
        </w:tc>
      </w:tr>
      <w:tr w:rsidR="00E5219F" w:rsidRPr="00D83DB9" w14:paraId="3B98F998" w14:textId="77777777">
        <w:trPr>
          <w:trHeight w:hRule="exact" w:val="225"/>
        </w:trPr>
        <w:tc>
          <w:tcPr>
            <w:tcW w:w="3568" w:type="pct"/>
            <w:tcBorders>
              <w:top w:val="nil"/>
              <w:left w:val="nil"/>
              <w:bottom w:val="nil"/>
              <w:right w:val="nil"/>
            </w:tcBorders>
            <w:shd w:val="clear" w:color="000000" w:fill="FFFFFF"/>
            <w:noWrap/>
            <w:vAlign w:val="center"/>
            <w:hideMark/>
          </w:tcPr>
          <w:p w14:paraId="13FDD0D0" w14:textId="6C7A8271" w:rsidR="00E5219F" w:rsidRPr="006264FA" w:rsidRDefault="00E5219F" w:rsidP="00BB2C1A">
            <w:pPr>
              <w:pStyle w:val="TableTextLeft"/>
              <w:rPr>
                <w:rFonts w:cs="Arial"/>
                <w:szCs w:val="16"/>
              </w:rPr>
            </w:pPr>
            <w:r w:rsidRPr="006264FA">
              <w:rPr>
                <w:rFonts w:cs="Arial"/>
                <w:szCs w:val="16"/>
              </w:rPr>
              <w:t>Purchases of 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0B4080F3" w14:textId="050BA510" w:rsidR="00E5219F" w:rsidRPr="006264FA" w:rsidRDefault="00E5219F" w:rsidP="0005205C">
            <w:pPr>
              <w:pStyle w:val="TableTextRight"/>
              <w:rPr>
                <w:rFonts w:cs="Arial"/>
                <w:szCs w:val="16"/>
              </w:rPr>
            </w:pPr>
            <w:r w:rsidRPr="006264FA">
              <w:rPr>
                <w:rFonts w:cs="Arial"/>
                <w:szCs w:val="16"/>
              </w:rPr>
              <w:t>29</w:t>
            </w:r>
          </w:p>
        </w:tc>
        <w:tc>
          <w:tcPr>
            <w:tcW w:w="716" w:type="pct"/>
            <w:tcBorders>
              <w:top w:val="nil"/>
              <w:left w:val="nil"/>
              <w:bottom w:val="nil"/>
              <w:right w:val="nil"/>
            </w:tcBorders>
            <w:shd w:val="clear" w:color="000000" w:fill="E6F2FF"/>
            <w:noWrap/>
            <w:vAlign w:val="center"/>
            <w:hideMark/>
          </w:tcPr>
          <w:p w14:paraId="449FA565" w14:textId="56E0AED2" w:rsidR="00E5219F" w:rsidRPr="006264FA" w:rsidRDefault="00E5219F" w:rsidP="0005205C">
            <w:pPr>
              <w:pStyle w:val="TableTextRight"/>
              <w:rPr>
                <w:rFonts w:cs="Arial"/>
                <w:szCs w:val="16"/>
              </w:rPr>
            </w:pPr>
            <w:r w:rsidRPr="006264FA">
              <w:rPr>
                <w:rFonts w:cs="Arial"/>
                <w:szCs w:val="16"/>
              </w:rPr>
              <w:t>10</w:t>
            </w:r>
          </w:p>
        </w:tc>
      </w:tr>
      <w:tr w:rsidR="00E5219F" w:rsidRPr="00D83DB9" w14:paraId="2FED24E1" w14:textId="77777777">
        <w:trPr>
          <w:trHeight w:hRule="exact" w:val="225"/>
        </w:trPr>
        <w:tc>
          <w:tcPr>
            <w:tcW w:w="3568" w:type="pct"/>
            <w:tcBorders>
              <w:top w:val="nil"/>
              <w:left w:val="nil"/>
              <w:bottom w:val="nil"/>
              <w:right w:val="nil"/>
            </w:tcBorders>
            <w:shd w:val="clear" w:color="000000" w:fill="FFFFFF"/>
            <w:noWrap/>
            <w:vAlign w:val="center"/>
            <w:hideMark/>
          </w:tcPr>
          <w:p w14:paraId="76AC1741" w14:textId="0277F5EB" w:rsidR="00E5219F" w:rsidRPr="006264FA" w:rsidRDefault="00E5219F" w:rsidP="00BB2C1A">
            <w:pPr>
              <w:pStyle w:val="TableTextLeft"/>
              <w:rPr>
                <w:rFonts w:cs="Arial"/>
                <w:i/>
                <w:szCs w:val="16"/>
              </w:rPr>
            </w:pPr>
            <w:r w:rsidRPr="006264FA">
              <w:rPr>
                <w:rFonts w:cs="Arial"/>
                <w:i/>
                <w:szCs w:val="16"/>
              </w:rPr>
              <w:t>less</w:t>
            </w:r>
            <w:r w:rsidRPr="006264FA">
              <w:rPr>
                <w:rFonts w:cs="Arial"/>
                <w:szCs w:val="16"/>
              </w:rPr>
              <w:t xml:space="preserve"> Sales of 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43050D0D" w14:textId="7A46E85A" w:rsidR="00E5219F" w:rsidRPr="006264FA" w:rsidRDefault="00E5219F" w:rsidP="0005205C">
            <w:pPr>
              <w:pStyle w:val="TableTextRight"/>
              <w:rPr>
                <w:rFonts w:cs="Arial"/>
                <w:szCs w:val="16"/>
              </w:rPr>
            </w:pPr>
            <w:r w:rsidRPr="006264FA">
              <w:rPr>
                <w:rFonts w:cs="Arial"/>
                <w:szCs w:val="16"/>
              </w:rPr>
              <w:t>0</w:t>
            </w:r>
          </w:p>
        </w:tc>
        <w:tc>
          <w:tcPr>
            <w:tcW w:w="716" w:type="pct"/>
            <w:tcBorders>
              <w:top w:val="nil"/>
              <w:left w:val="nil"/>
              <w:bottom w:val="nil"/>
              <w:right w:val="nil"/>
            </w:tcBorders>
            <w:shd w:val="clear" w:color="000000" w:fill="E6F2FF"/>
            <w:noWrap/>
            <w:vAlign w:val="center"/>
            <w:hideMark/>
          </w:tcPr>
          <w:p w14:paraId="33D2900D" w14:textId="533933C0" w:rsidR="00E5219F" w:rsidRPr="006264FA" w:rsidRDefault="00E5219F" w:rsidP="0005205C">
            <w:pPr>
              <w:pStyle w:val="TableTextRight"/>
              <w:rPr>
                <w:rFonts w:cs="Arial"/>
                <w:szCs w:val="16"/>
              </w:rPr>
            </w:pPr>
            <w:r w:rsidRPr="006264FA">
              <w:rPr>
                <w:rFonts w:cs="Arial"/>
                <w:szCs w:val="16"/>
              </w:rPr>
              <w:t>0</w:t>
            </w:r>
          </w:p>
        </w:tc>
      </w:tr>
      <w:tr w:rsidR="00E5219F" w:rsidRPr="00D83DB9" w14:paraId="6123F24B" w14:textId="77777777">
        <w:trPr>
          <w:trHeight w:hRule="exact" w:val="225"/>
        </w:trPr>
        <w:tc>
          <w:tcPr>
            <w:tcW w:w="3568" w:type="pct"/>
            <w:tcBorders>
              <w:top w:val="nil"/>
              <w:left w:val="nil"/>
              <w:bottom w:val="nil"/>
              <w:right w:val="nil"/>
            </w:tcBorders>
            <w:shd w:val="clear" w:color="000000" w:fill="FFFFFF"/>
            <w:noWrap/>
            <w:vAlign w:val="center"/>
            <w:hideMark/>
          </w:tcPr>
          <w:p w14:paraId="37ACA3A1" w14:textId="04D5A6D8" w:rsidR="00E5219F" w:rsidRPr="006264FA" w:rsidRDefault="00E5219F" w:rsidP="00BB2C1A">
            <w:pPr>
              <w:pStyle w:val="TableTextLeft"/>
              <w:rPr>
                <w:rFonts w:cs="Arial"/>
                <w:i/>
                <w:szCs w:val="16"/>
              </w:rPr>
            </w:pPr>
            <w:r w:rsidRPr="006264FA">
              <w:rPr>
                <w:rFonts w:cs="Arial"/>
                <w:i/>
                <w:szCs w:val="16"/>
              </w:rPr>
              <w:t>less</w:t>
            </w:r>
            <w:r w:rsidRPr="006264FA">
              <w:rPr>
                <w:rFonts w:cs="Arial"/>
                <w:szCs w:val="16"/>
              </w:rPr>
              <w:t xml:space="preserve"> Depreciation</w:t>
            </w:r>
          </w:p>
        </w:tc>
        <w:tc>
          <w:tcPr>
            <w:tcW w:w="716" w:type="pct"/>
            <w:tcBorders>
              <w:top w:val="nil"/>
              <w:left w:val="nil"/>
              <w:bottom w:val="nil"/>
              <w:right w:val="nil"/>
            </w:tcBorders>
            <w:shd w:val="clear" w:color="000000" w:fill="FFFFFF"/>
            <w:noWrap/>
            <w:vAlign w:val="center"/>
            <w:hideMark/>
          </w:tcPr>
          <w:p w14:paraId="750E33CC" w14:textId="460D64CC" w:rsidR="00E5219F" w:rsidRPr="006264FA" w:rsidRDefault="00E5219F" w:rsidP="0005205C">
            <w:pPr>
              <w:pStyle w:val="TableTextRight"/>
              <w:rPr>
                <w:rFonts w:cs="Arial"/>
                <w:szCs w:val="16"/>
              </w:rPr>
            </w:pPr>
            <w:r w:rsidRPr="006264FA">
              <w:rPr>
                <w:rFonts w:cs="Arial"/>
                <w:szCs w:val="16"/>
              </w:rPr>
              <w:t>61</w:t>
            </w:r>
          </w:p>
        </w:tc>
        <w:tc>
          <w:tcPr>
            <w:tcW w:w="716" w:type="pct"/>
            <w:tcBorders>
              <w:top w:val="nil"/>
              <w:left w:val="nil"/>
              <w:bottom w:val="nil"/>
              <w:right w:val="nil"/>
            </w:tcBorders>
            <w:shd w:val="clear" w:color="000000" w:fill="E6F2FF"/>
            <w:noWrap/>
            <w:vAlign w:val="center"/>
            <w:hideMark/>
          </w:tcPr>
          <w:p w14:paraId="3CE610EC" w14:textId="68819DDB" w:rsidR="00E5219F" w:rsidRPr="006264FA" w:rsidRDefault="00E5219F" w:rsidP="0005205C">
            <w:pPr>
              <w:pStyle w:val="TableTextRight"/>
              <w:rPr>
                <w:rFonts w:cs="Arial"/>
                <w:szCs w:val="16"/>
              </w:rPr>
            </w:pPr>
            <w:r w:rsidRPr="006264FA">
              <w:rPr>
                <w:rFonts w:cs="Arial"/>
                <w:szCs w:val="16"/>
              </w:rPr>
              <w:t>61</w:t>
            </w:r>
          </w:p>
        </w:tc>
      </w:tr>
      <w:tr w:rsidR="00E5219F" w:rsidRPr="00D83DB9" w14:paraId="173BB5EB" w14:textId="77777777">
        <w:trPr>
          <w:trHeight w:hRule="exact" w:val="225"/>
        </w:trPr>
        <w:tc>
          <w:tcPr>
            <w:tcW w:w="3568" w:type="pct"/>
            <w:tcBorders>
              <w:top w:val="nil"/>
              <w:left w:val="nil"/>
              <w:bottom w:val="nil"/>
              <w:right w:val="nil"/>
            </w:tcBorders>
            <w:shd w:val="clear" w:color="000000" w:fill="FFFFFF"/>
            <w:noWrap/>
            <w:vAlign w:val="center"/>
            <w:hideMark/>
          </w:tcPr>
          <w:p w14:paraId="3B1308CE" w14:textId="2E292257" w:rsidR="00E5219F" w:rsidRPr="006264FA" w:rsidRDefault="00E5219F" w:rsidP="00BB2C1A">
            <w:pPr>
              <w:pStyle w:val="TableTextLeft"/>
              <w:rPr>
                <w:rFonts w:cs="Arial"/>
                <w:i/>
                <w:szCs w:val="16"/>
              </w:rPr>
            </w:pPr>
            <w:r w:rsidRPr="006264FA">
              <w:rPr>
                <w:rFonts w:cs="Arial"/>
                <w:i/>
                <w:szCs w:val="16"/>
              </w:rPr>
              <w:t>plus</w:t>
            </w:r>
            <w:r w:rsidRPr="006264FA">
              <w:rPr>
                <w:rFonts w:cs="Arial"/>
                <w:szCs w:val="16"/>
              </w:rPr>
              <w:t xml:space="preserve"> Change in inventories</w:t>
            </w:r>
          </w:p>
        </w:tc>
        <w:tc>
          <w:tcPr>
            <w:tcW w:w="716" w:type="pct"/>
            <w:tcBorders>
              <w:top w:val="nil"/>
              <w:left w:val="nil"/>
              <w:bottom w:val="nil"/>
              <w:right w:val="nil"/>
            </w:tcBorders>
            <w:shd w:val="clear" w:color="000000" w:fill="FFFFFF"/>
            <w:noWrap/>
            <w:vAlign w:val="center"/>
            <w:hideMark/>
          </w:tcPr>
          <w:p w14:paraId="64458D57" w14:textId="60457954" w:rsidR="00E5219F" w:rsidRPr="006264FA" w:rsidRDefault="00325E1E" w:rsidP="0005205C">
            <w:pPr>
              <w:pStyle w:val="TableTextRight"/>
              <w:rPr>
                <w:rFonts w:cs="Arial"/>
                <w:szCs w:val="16"/>
              </w:rPr>
            </w:pPr>
            <w:r>
              <w:rPr>
                <w:rFonts w:cs="Arial"/>
                <w:szCs w:val="16"/>
              </w:rPr>
              <w:noBreakHyphen/>
            </w:r>
            <w:r w:rsidR="00E5219F" w:rsidRPr="006264FA">
              <w:rPr>
                <w:rFonts w:cs="Arial"/>
                <w:szCs w:val="16"/>
              </w:rPr>
              <w:t>56</w:t>
            </w:r>
          </w:p>
        </w:tc>
        <w:tc>
          <w:tcPr>
            <w:tcW w:w="716" w:type="pct"/>
            <w:tcBorders>
              <w:top w:val="nil"/>
              <w:left w:val="nil"/>
              <w:bottom w:val="nil"/>
              <w:right w:val="nil"/>
            </w:tcBorders>
            <w:shd w:val="clear" w:color="000000" w:fill="E6F2FF"/>
            <w:noWrap/>
            <w:vAlign w:val="center"/>
            <w:hideMark/>
          </w:tcPr>
          <w:p w14:paraId="5B4C3FE2" w14:textId="0F15A655" w:rsidR="00E5219F" w:rsidRPr="006264FA" w:rsidRDefault="00E5219F" w:rsidP="0005205C">
            <w:pPr>
              <w:pStyle w:val="TableTextRight"/>
              <w:rPr>
                <w:rFonts w:cs="Arial"/>
                <w:szCs w:val="16"/>
              </w:rPr>
            </w:pPr>
            <w:r w:rsidRPr="006264FA">
              <w:rPr>
                <w:rFonts w:cs="Arial"/>
                <w:szCs w:val="16"/>
              </w:rPr>
              <w:t>0</w:t>
            </w:r>
          </w:p>
        </w:tc>
      </w:tr>
      <w:tr w:rsidR="00E5219F" w:rsidRPr="00D83DB9" w14:paraId="5423A14A" w14:textId="77777777">
        <w:trPr>
          <w:trHeight w:hRule="exact" w:val="225"/>
        </w:trPr>
        <w:tc>
          <w:tcPr>
            <w:tcW w:w="3568" w:type="pct"/>
            <w:tcBorders>
              <w:top w:val="nil"/>
              <w:left w:val="nil"/>
              <w:bottom w:val="nil"/>
              <w:right w:val="nil"/>
            </w:tcBorders>
            <w:shd w:val="clear" w:color="000000" w:fill="FFFFFF"/>
            <w:noWrap/>
            <w:vAlign w:val="center"/>
            <w:hideMark/>
          </w:tcPr>
          <w:p w14:paraId="68BEB2AA" w14:textId="63D30EF8" w:rsidR="00E5219F" w:rsidRPr="006264FA" w:rsidRDefault="00E5219F" w:rsidP="00BB2C1A">
            <w:pPr>
              <w:pStyle w:val="TableTextLeft"/>
              <w:rPr>
                <w:rFonts w:cs="Arial"/>
                <w:i/>
                <w:szCs w:val="16"/>
              </w:rPr>
            </w:pPr>
            <w:r w:rsidRPr="006264FA">
              <w:rPr>
                <w:rFonts w:cs="Arial"/>
                <w:i/>
                <w:szCs w:val="16"/>
              </w:rPr>
              <w:t>plus</w:t>
            </w:r>
            <w:r w:rsidRPr="006264FA">
              <w:rPr>
                <w:rFonts w:cs="Arial"/>
                <w:szCs w:val="16"/>
              </w:rPr>
              <w:t xml:space="preserve"> Other movements in 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76D909BB" w14:textId="6A7C5896" w:rsidR="00E5219F" w:rsidRPr="006264FA" w:rsidRDefault="00E5219F" w:rsidP="0005205C">
            <w:pPr>
              <w:pStyle w:val="TableTextRight"/>
              <w:rPr>
                <w:rFonts w:cs="Arial"/>
                <w:szCs w:val="16"/>
              </w:rPr>
            </w:pPr>
            <w:r w:rsidRPr="006264FA">
              <w:rPr>
                <w:rFonts w:cs="Arial"/>
                <w:szCs w:val="16"/>
              </w:rPr>
              <w:t>0</w:t>
            </w:r>
          </w:p>
        </w:tc>
        <w:tc>
          <w:tcPr>
            <w:tcW w:w="716" w:type="pct"/>
            <w:tcBorders>
              <w:top w:val="nil"/>
              <w:left w:val="nil"/>
              <w:bottom w:val="nil"/>
              <w:right w:val="nil"/>
            </w:tcBorders>
            <w:shd w:val="clear" w:color="000000" w:fill="E6F2FF"/>
            <w:noWrap/>
            <w:vAlign w:val="center"/>
            <w:hideMark/>
          </w:tcPr>
          <w:p w14:paraId="7F57534D" w14:textId="499DC0E8" w:rsidR="00E5219F" w:rsidRPr="006264FA" w:rsidRDefault="00E5219F" w:rsidP="0005205C">
            <w:pPr>
              <w:pStyle w:val="TableTextRight"/>
              <w:rPr>
                <w:rFonts w:cs="Arial"/>
                <w:szCs w:val="16"/>
              </w:rPr>
            </w:pPr>
            <w:r w:rsidRPr="006264FA">
              <w:rPr>
                <w:rFonts w:cs="Arial"/>
                <w:szCs w:val="16"/>
              </w:rPr>
              <w:t>0</w:t>
            </w:r>
          </w:p>
        </w:tc>
      </w:tr>
      <w:tr w:rsidR="00E5219F" w:rsidRPr="00D83DB9" w14:paraId="2800C53B" w14:textId="77777777">
        <w:trPr>
          <w:trHeight w:hRule="exact" w:val="225"/>
        </w:trPr>
        <w:tc>
          <w:tcPr>
            <w:tcW w:w="3568" w:type="pct"/>
            <w:tcBorders>
              <w:top w:val="nil"/>
              <w:left w:val="nil"/>
              <w:bottom w:val="nil"/>
              <w:right w:val="nil"/>
            </w:tcBorders>
            <w:shd w:val="clear" w:color="000000" w:fill="FFFFFF"/>
            <w:noWrap/>
            <w:vAlign w:val="center"/>
            <w:hideMark/>
          </w:tcPr>
          <w:p w14:paraId="75EF7882" w14:textId="0D527211" w:rsidR="00E5219F" w:rsidRPr="006264FA" w:rsidRDefault="00E5219F" w:rsidP="00BB2C1A">
            <w:pPr>
              <w:pStyle w:val="TableTextLeft"/>
              <w:rPr>
                <w:rFonts w:cs="Arial"/>
                <w:b/>
                <w:szCs w:val="16"/>
              </w:rPr>
            </w:pPr>
            <w:r w:rsidRPr="006264FA">
              <w:rPr>
                <w:rFonts w:cs="Arial"/>
                <w:b/>
                <w:szCs w:val="16"/>
              </w:rPr>
              <w:t>Total net acquisition of non</w:t>
            </w:r>
            <w:r w:rsidR="00325E1E">
              <w:rPr>
                <w:rFonts w:cs="Arial"/>
                <w:b/>
                <w:bCs/>
                <w:szCs w:val="16"/>
              </w:rPr>
              <w:noBreakHyphen/>
            </w:r>
            <w:r w:rsidRPr="006264FA">
              <w:rPr>
                <w:rFonts w:cs="Arial"/>
                <w:b/>
                <w:szCs w:val="16"/>
              </w:rPr>
              <w:t>financial assets</w:t>
            </w:r>
          </w:p>
        </w:tc>
        <w:tc>
          <w:tcPr>
            <w:tcW w:w="716" w:type="pct"/>
            <w:tcBorders>
              <w:top w:val="nil"/>
              <w:left w:val="nil"/>
              <w:bottom w:val="nil"/>
              <w:right w:val="nil"/>
            </w:tcBorders>
            <w:shd w:val="clear" w:color="000000" w:fill="FFFFFF"/>
            <w:noWrap/>
            <w:vAlign w:val="center"/>
            <w:hideMark/>
          </w:tcPr>
          <w:p w14:paraId="7EEF1141" w14:textId="17AC9DC9"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88</w:t>
            </w:r>
          </w:p>
        </w:tc>
        <w:tc>
          <w:tcPr>
            <w:tcW w:w="716" w:type="pct"/>
            <w:tcBorders>
              <w:top w:val="nil"/>
              <w:left w:val="nil"/>
              <w:bottom w:val="nil"/>
              <w:right w:val="nil"/>
            </w:tcBorders>
            <w:shd w:val="clear" w:color="000000" w:fill="E6F2FF"/>
            <w:noWrap/>
            <w:vAlign w:val="center"/>
            <w:hideMark/>
          </w:tcPr>
          <w:p w14:paraId="3475D889" w14:textId="02C27557"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51</w:t>
            </w:r>
          </w:p>
        </w:tc>
      </w:tr>
      <w:tr w:rsidR="00FC2B60" w:rsidRPr="00D83DB9" w14:paraId="372EE6B1" w14:textId="77777777">
        <w:trPr>
          <w:trHeight w:hRule="exact" w:val="60"/>
        </w:trPr>
        <w:tc>
          <w:tcPr>
            <w:tcW w:w="3568" w:type="pct"/>
            <w:tcBorders>
              <w:top w:val="nil"/>
              <w:left w:val="nil"/>
              <w:bottom w:val="nil"/>
              <w:right w:val="nil"/>
            </w:tcBorders>
            <w:shd w:val="clear" w:color="000000" w:fill="FFFFFF"/>
            <w:noWrap/>
            <w:vAlign w:val="center"/>
            <w:hideMark/>
          </w:tcPr>
          <w:p w14:paraId="409B2A85" w14:textId="049B641E" w:rsidR="00FC2B60" w:rsidRPr="006264FA" w:rsidRDefault="00FC2B60" w:rsidP="00BB2C1A">
            <w:pPr>
              <w:pStyle w:val="TableTextLeft"/>
              <w:rPr>
                <w:rFonts w:cs="Arial"/>
                <w:b/>
                <w:szCs w:val="16"/>
              </w:rPr>
            </w:pPr>
            <w:r w:rsidRPr="006264FA">
              <w:rPr>
                <w:rFonts w:cs="Arial"/>
                <w:b/>
                <w:szCs w:val="16"/>
              </w:rPr>
              <w:t> </w:t>
            </w:r>
          </w:p>
        </w:tc>
        <w:tc>
          <w:tcPr>
            <w:tcW w:w="716" w:type="pct"/>
            <w:tcBorders>
              <w:top w:val="nil"/>
              <w:left w:val="nil"/>
              <w:bottom w:val="nil"/>
              <w:right w:val="nil"/>
            </w:tcBorders>
            <w:shd w:val="clear" w:color="000000" w:fill="FFFFFF"/>
            <w:noWrap/>
            <w:vAlign w:val="center"/>
            <w:hideMark/>
          </w:tcPr>
          <w:p w14:paraId="1BBB121A" w14:textId="7153DA44" w:rsidR="00FC2B60" w:rsidRPr="006264FA" w:rsidRDefault="00FC2B60"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72B2247E" w14:textId="6D2AE886" w:rsidR="00FC2B60" w:rsidRPr="006264FA" w:rsidRDefault="00FC2B60" w:rsidP="0005205C">
            <w:pPr>
              <w:pStyle w:val="TableTextRight"/>
              <w:rPr>
                <w:rFonts w:cs="Arial"/>
                <w:b/>
                <w:szCs w:val="16"/>
              </w:rPr>
            </w:pPr>
            <w:r w:rsidRPr="006264FA">
              <w:rPr>
                <w:rFonts w:cs="Arial"/>
                <w:b/>
                <w:szCs w:val="16"/>
              </w:rPr>
              <w:t> </w:t>
            </w:r>
          </w:p>
        </w:tc>
      </w:tr>
      <w:tr w:rsidR="00E5219F" w:rsidRPr="00D83DB9" w14:paraId="7A0366B9"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1D54E3F4" w14:textId="5AC9FFC8" w:rsidR="00E5219F" w:rsidRPr="006264FA" w:rsidRDefault="00E5219F" w:rsidP="00BB2C1A">
            <w:pPr>
              <w:pStyle w:val="TableTextLeft"/>
              <w:rPr>
                <w:rFonts w:cs="Arial"/>
                <w:b/>
                <w:szCs w:val="16"/>
              </w:rPr>
            </w:pPr>
            <w:r w:rsidRPr="006264FA">
              <w:rPr>
                <w:rFonts w:cs="Arial"/>
                <w:b/>
                <w:szCs w:val="16"/>
              </w:rPr>
              <w:t>Fiscal balance (Net lending/borrowing)(b)</w:t>
            </w:r>
          </w:p>
        </w:tc>
        <w:tc>
          <w:tcPr>
            <w:tcW w:w="716" w:type="pct"/>
            <w:tcBorders>
              <w:top w:val="nil"/>
              <w:left w:val="nil"/>
              <w:bottom w:val="single" w:sz="4" w:space="0" w:color="293F5B"/>
              <w:right w:val="nil"/>
            </w:tcBorders>
            <w:shd w:val="clear" w:color="000000" w:fill="FFFFFF"/>
            <w:noWrap/>
            <w:vAlign w:val="center"/>
            <w:hideMark/>
          </w:tcPr>
          <w:p w14:paraId="5CB9BE56" w14:textId="4CDF6DC9"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6,823</w:t>
            </w:r>
          </w:p>
        </w:tc>
        <w:tc>
          <w:tcPr>
            <w:tcW w:w="716" w:type="pct"/>
            <w:tcBorders>
              <w:top w:val="nil"/>
              <w:left w:val="nil"/>
              <w:bottom w:val="single" w:sz="4" w:space="0" w:color="293F5B"/>
              <w:right w:val="nil"/>
            </w:tcBorders>
            <w:shd w:val="clear" w:color="000000" w:fill="E6F2FF"/>
            <w:noWrap/>
            <w:vAlign w:val="center"/>
            <w:hideMark/>
          </w:tcPr>
          <w:p w14:paraId="5CC7DA02" w14:textId="7AC4CA82" w:rsidR="00E5219F" w:rsidRPr="006264FA" w:rsidRDefault="00325E1E" w:rsidP="0005205C">
            <w:pPr>
              <w:pStyle w:val="TableTextRight"/>
              <w:rPr>
                <w:rFonts w:cs="Arial"/>
                <w:b/>
                <w:szCs w:val="16"/>
              </w:rPr>
            </w:pPr>
            <w:r>
              <w:rPr>
                <w:rFonts w:cs="Arial"/>
                <w:b/>
                <w:bCs/>
                <w:szCs w:val="16"/>
              </w:rPr>
              <w:noBreakHyphen/>
            </w:r>
            <w:r w:rsidR="00E5219F" w:rsidRPr="006264FA">
              <w:rPr>
                <w:rFonts w:cs="Arial"/>
                <w:b/>
                <w:szCs w:val="16"/>
              </w:rPr>
              <w:t>2,162</w:t>
            </w:r>
          </w:p>
        </w:tc>
      </w:tr>
    </w:tbl>
    <w:p w14:paraId="6F88CBE7" w14:textId="77777777" w:rsidR="00D8138E" w:rsidRPr="00663990" w:rsidRDefault="00D8138E" w:rsidP="002D63CE">
      <w:pPr>
        <w:pStyle w:val="ChartandTableFootnoteAlpha"/>
        <w:numPr>
          <w:ilvl w:val="0"/>
          <w:numId w:val="16"/>
        </w:numPr>
        <w:rPr>
          <w:rFonts w:eastAsiaTheme="minorHAnsi"/>
        </w:rPr>
      </w:pPr>
      <w:r w:rsidRPr="00EA746C">
        <w:t>Consistent with the ABS GFS classification, other employee related expenses are classified separately from wages and salaries under other operating expenses. Total employee expenses equal wages and salaries plus other operating expenses.</w:t>
      </w:r>
    </w:p>
    <w:p w14:paraId="6E035121" w14:textId="77777777" w:rsidR="00D8138E" w:rsidRPr="00EA746C" w:rsidRDefault="00D8138E" w:rsidP="00D8138E">
      <w:pPr>
        <w:pStyle w:val="ChartandTableFootnoteAlpha"/>
        <w:numPr>
          <w:ilvl w:val="0"/>
          <w:numId w:val="16"/>
        </w:numPr>
      </w:pPr>
      <w:r w:rsidRPr="00EA746C">
        <w:t>The term fiscal balance is not used by the ABS.</w:t>
      </w:r>
    </w:p>
    <w:p w14:paraId="104C54B4" w14:textId="77777777" w:rsidR="00D8138E" w:rsidRPr="00EA746C" w:rsidRDefault="00D8138E" w:rsidP="003835A0">
      <w:pPr>
        <w:pStyle w:val="TableLine"/>
      </w:pPr>
    </w:p>
    <w:p w14:paraId="5B5A3EA7" w14:textId="77777777" w:rsidR="00D8138E" w:rsidRPr="00EA746C" w:rsidRDefault="00D8138E" w:rsidP="00D8138E">
      <w:r w:rsidRPr="00EA746C">
        <w:br w:type="page"/>
      </w:r>
    </w:p>
    <w:p w14:paraId="30226E87" w14:textId="2DFEFCEA"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EA746C">
        <w:t>1</w:t>
      </w:r>
      <w:r w:rsidR="00C73FEA">
        <w:t>0</w:t>
      </w:r>
      <w:r w:rsidR="00D8138E" w:rsidRPr="00EA746C">
        <w:t>.11: Australian Government public financial corporations sector balance sheet</w:t>
      </w:r>
      <w:r w:rsidR="00D8138E" w:rsidRPr="00EA746C">
        <w:rPr>
          <w:vertAlign w:val="superscript"/>
        </w:rPr>
        <w:t>(a)</w:t>
      </w:r>
      <w:r w:rsidR="00D8138E">
        <w:t xml:space="preserve"> </w:t>
      </w:r>
    </w:p>
    <w:tbl>
      <w:tblPr>
        <w:tblW w:w="5000" w:type="pct"/>
        <w:tblCellMar>
          <w:left w:w="0" w:type="dxa"/>
          <w:right w:w="28" w:type="dxa"/>
        </w:tblCellMar>
        <w:tblLook w:val="04A0" w:firstRow="1" w:lastRow="0" w:firstColumn="1" w:lastColumn="0" w:noHBand="0" w:noVBand="1"/>
      </w:tblPr>
      <w:tblGrid>
        <w:gridCol w:w="5502"/>
        <w:gridCol w:w="1104"/>
        <w:gridCol w:w="1104"/>
      </w:tblGrid>
      <w:tr w:rsidR="00D8138E" w:rsidRPr="00673F8A" w14:paraId="1CFA51D6" w14:textId="77777777">
        <w:trPr>
          <w:trHeight w:hRule="exact" w:val="225"/>
        </w:trPr>
        <w:tc>
          <w:tcPr>
            <w:tcW w:w="3568" w:type="pct"/>
            <w:tcBorders>
              <w:top w:val="single" w:sz="4" w:space="0" w:color="293F5B"/>
              <w:left w:val="nil"/>
              <w:bottom w:val="nil"/>
              <w:right w:val="nil"/>
            </w:tcBorders>
            <w:shd w:val="clear" w:color="000000" w:fill="FFFFFF"/>
            <w:noWrap/>
            <w:vAlign w:val="center"/>
            <w:hideMark/>
          </w:tcPr>
          <w:p w14:paraId="33F6ED10" w14:textId="77777777" w:rsidR="00D8138E" w:rsidRPr="00673F8A" w:rsidRDefault="00D8138E">
            <w:pPr>
              <w:rPr>
                <w:rFonts w:ascii="Arial" w:hAnsi="Arial" w:cs="Arial"/>
                <w:sz w:val="16"/>
                <w:szCs w:val="16"/>
              </w:rPr>
            </w:pPr>
            <w:r w:rsidRPr="00673F8A">
              <w:rPr>
                <w:rFonts w:ascii="Arial" w:hAnsi="Arial" w:cs="Arial"/>
                <w:sz w:val="16"/>
                <w:szCs w:val="16"/>
              </w:rPr>
              <w:t> </w:t>
            </w:r>
          </w:p>
        </w:tc>
        <w:tc>
          <w:tcPr>
            <w:tcW w:w="1432" w:type="pct"/>
            <w:gridSpan w:val="2"/>
            <w:tcBorders>
              <w:top w:val="single" w:sz="4" w:space="0" w:color="293F5B"/>
              <w:left w:val="nil"/>
              <w:bottom w:val="single" w:sz="4" w:space="0" w:color="293F5B"/>
              <w:right w:val="nil"/>
            </w:tcBorders>
            <w:shd w:val="clear" w:color="000000" w:fill="FFFFFF"/>
            <w:noWrap/>
            <w:vAlign w:val="center"/>
            <w:hideMark/>
          </w:tcPr>
          <w:p w14:paraId="22F1453F" w14:textId="77777777" w:rsidR="00D8138E" w:rsidRPr="00673F8A" w:rsidRDefault="00D8138E" w:rsidP="0005205C">
            <w:pPr>
              <w:pStyle w:val="TableTextCentred"/>
            </w:pPr>
            <w:r w:rsidRPr="00673F8A">
              <w:t>Estimates</w:t>
            </w:r>
          </w:p>
        </w:tc>
      </w:tr>
      <w:tr w:rsidR="00D8138E" w:rsidRPr="00673F8A" w14:paraId="5CF1FAD7" w14:textId="77777777">
        <w:trPr>
          <w:trHeight w:hRule="exact" w:val="225"/>
        </w:trPr>
        <w:tc>
          <w:tcPr>
            <w:tcW w:w="3568" w:type="pct"/>
            <w:tcBorders>
              <w:top w:val="nil"/>
              <w:left w:val="nil"/>
              <w:bottom w:val="nil"/>
              <w:right w:val="nil"/>
            </w:tcBorders>
            <w:shd w:val="clear" w:color="000000" w:fill="FFFFFF"/>
            <w:noWrap/>
            <w:vAlign w:val="center"/>
            <w:hideMark/>
          </w:tcPr>
          <w:p w14:paraId="4A225150" w14:textId="77777777" w:rsidR="00D8138E" w:rsidRPr="00673F8A" w:rsidRDefault="00D8138E" w:rsidP="00C7128E">
            <w:pPr>
              <w:pStyle w:val="TableTextLeft"/>
            </w:pPr>
            <w:r w:rsidRPr="00673F8A">
              <w:t> </w:t>
            </w:r>
          </w:p>
        </w:tc>
        <w:tc>
          <w:tcPr>
            <w:tcW w:w="716" w:type="pct"/>
            <w:tcBorders>
              <w:top w:val="nil"/>
              <w:left w:val="nil"/>
              <w:bottom w:val="nil"/>
              <w:right w:val="nil"/>
            </w:tcBorders>
            <w:shd w:val="clear" w:color="000000" w:fill="FFFFFF"/>
            <w:noWrap/>
            <w:vAlign w:val="center"/>
            <w:hideMark/>
          </w:tcPr>
          <w:p w14:paraId="21964A59" w14:textId="6544283F" w:rsidR="00D8138E" w:rsidRPr="00673F8A" w:rsidRDefault="00D8138E" w:rsidP="0005205C">
            <w:pPr>
              <w:pStyle w:val="TableTextRight"/>
            </w:pPr>
            <w:r w:rsidRPr="00673F8A">
              <w:t>202</w:t>
            </w:r>
            <w:r w:rsidR="00924CFE">
              <w:t>3</w:t>
            </w:r>
            <w:r w:rsidRPr="00673F8A">
              <w:t>–2</w:t>
            </w:r>
            <w:r w:rsidR="00924CFE">
              <w:t>4</w:t>
            </w:r>
          </w:p>
        </w:tc>
        <w:tc>
          <w:tcPr>
            <w:tcW w:w="716" w:type="pct"/>
            <w:tcBorders>
              <w:top w:val="nil"/>
              <w:left w:val="nil"/>
              <w:bottom w:val="nil"/>
              <w:right w:val="nil"/>
            </w:tcBorders>
            <w:shd w:val="clear" w:color="000000" w:fill="E6F2FF"/>
            <w:noWrap/>
            <w:vAlign w:val="center"/>
            <w:hideMark/>
          </w:tcPr>
          <w:p w14:paraId="1DAEFB78" w14:textId="0EB72CE3" w:rsidR="00D8138E" w:rsidRPr="00673F8A" w:rsidRDefault="00D8138E" w:rsidP="0005205C">
            <w:pPr>
              <w:pStyle w:val="TableTextRight"/>
            </w:pPr>
            <w:r w:rsidRPr="00673F8A">
              <w:t>202</w:t>
            </w:r>
            <w:r w:rsidR="00924CFE">
              <w:t>4</w:t>
            </w:r>
            <w:r w:rsidRPr="00673F8A">
              <w:t>–2</w:t>
            </w:r>
            <w:r w:rsidR="00924CFE">
              <w:t>5</w:t>
            </w:r>
          </w:p>
        </w:tc>
      </w:tr>
      <w:tr w:rsidR="00D8138E" w:rsidRPr="00673F8A" w14:paraId="3EA6E716" w14:textId="77777777">
        <w:trPr>
          <w:trHeight w:hRule="exact" w:val="225"/>
        </w:trPr>
        <w:tc>
          <w:tcPr>
            <w:tcW w:w="3568" w:type="pct"/>
            <w:tcBorders>
              <w:top w:val="nil"/>
              <w:left w:val="nil"/>
              <w:bottom w:val="nil"/>
              <w:right w:val="nil"/>
            </w:tcBorders>
            <w:shd w:val="clear" w:color="000000" w:fill="FFFFFF"/>
            <w:noWrap/>
            <w:vAlign w:val="center"/>
            <w:hideMark/>
          </w:tcPr>
          <w:p w14:paraId="4A30F88D" w14:textId="77777777" w:rsidR="00D8138E" w:rsidRPr="00673F8A" w:rsidRDefault="00D8138E" w:rsidP="00C7128E">
            <w:pPr>
              <w:pStyle w:val="TableTextLeft"/>
            </w:pPr>
            <w:r w:rsidRPr="00673F8A">
              <w:t> </w:t>
            </w:r>
          </w:p>
        </w:tc>
        <w:tc>
          <w:tcPr>
            <w:tcW w:w="716" w:type="pct"/>
            <w:tcBorders>
              <w:top w:val="nil"/>
              <w:left w:val="nil"/>
              <w:bottom w:val="single" w:sz="4" w:space="0" w:color="293F5B"/>
              <w:right w:val="nil"/>
            </w:tcBorders>
            <w:shd w:val="clear" w:color="000000" w:fill="FFFFFF"/>
            <w:noWrap/>
            <w:vAlign w:val="center"/>
            <w:hideMark/>
          </w:tcPr>
          <w:p w14:paraId="53BC0905" w14:textId="77777777" w:rsidR="00D8138E" w:rsidRPr="00673F8A" w:rsidRDefault="00D8138E" w:rsidP="0005205C">
            <w:pPr>
              <w:pStyle w:val="TableTextRight"/>
            </w:pPr>
            <w:r w:rsidRPr="00673F8A">
              <w:t>$m</w:t>
            </w:r>
          </w:p>
        </w:tc>
        <w:tc>
          <w:tcPr>
            <w:tcW w:w="716" w:type="pct"/>
            <w:tcBorders>
              <w:top w:val="nil"/>
              <w:left w:val="nil"/>
              <w:bottom w:val="single" w:sz="4" w:space="0" w:color="293F5B"/>
              <w:right w:val="nil"/>
            </w:tcBorders>
            <w:shd w:val="clear" w:color="000000" w:fill="E6F2FF"/>
            <w:noWrap/>
            <w:vAlign w:val="center"/>
            <w:hideMark/>
          </w:tcPr>
          <w:p w14:paraId="6FB2EFD0" w14:textId="77777777" w:rsidR="00D8138E" w:rsidRPr="00673F8A" w:rsidRDefault="00D8138E" w:rsidP="0005205C">
            <w:pPr>
              <w:pStyle w:val="TableTextRight"/>
            </w:pPr>
            <w:r w:rsidRPr="00673F8A">
              <w:t>$m</w:t>
            </w:r>
          </w:p>
        </w:tc>
      </w:tr>
      <w:tr w:rsidR="003079F2" w:rsidRPr="00673F8A" w14:paraId="666DA050" w14:textId="77777777">
        <w:trPr>
          <w:trHeight w:hRule="exact" w:val="225"/>
        </w:trPr>
        <w:tc>
          <w:tcPr>
            <w:tcW w:w="3568" w:type="pct"/>
            <w:tcBorders>
              <w:top w:val="nil"/>
              <w:left w:val="nil"/>
              <w:bottom w:val="nil"/>
              <w:right w:val="nil"/>
            </w:tcBorders>
            <w:shd w:val="clear" w:color="000000" w:fill="FFFFFF"/>
            <w:noWrap/>
            <w:vAlign w:val="center"/>
            <w:hideMark/>
          </w:tcPr>
          <w:p w14:paraId="23FC1FD2" w14:textId="4CA3B351" w:rsidR="003079F2" w:rsidRPr="006264FA" w:rsidRDefault="003079F2" w:rsidP="00C7128E">
            <w:pPr>
              <w:pStyle w:val="TableTextLeft"/>
              <w:rPr>
                <w:rFonts w:cs="Arial"/>
                <w:b/>
                <w:szCs w:val="16"/>
              </w:rPr>
            </w:pPr>
            <w:r w:rsidRPr="006264FA">
              <w:rPr>
                <w:rFonts w:cs="Arial"/>
                <w:b/>
                <w:szCs w:val="16"/>
              </w:rPr>
              <w:t>Assets</w:t>
            </w:r>
          </w:p>
        </w:tc>
        <w:tc>
          <w:tcPr>
            <w:tcW w:w="716" w:type="pct"/>
            <w:tcBorders>
              <w:top w:val="nil"/>
              <w:left w:val="nil"/>
              <w:bottom w:val="nil"/>
              <w:right w:val="nil"/>
            </w:tcBorders>
            <w:shd w:val="clear" w:color="000000" w:fill="FFFFFF"/>
            <w:noWrap/>
            <w:vAlign w:val="center"/>
            <w:hideMark/>
          </w:tcPr>
          <w:p w14:paraId="1A5D7330" w14:textId="3C2E2479"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0E18BF40" w14:textId="39BF4AD4" w:rsidR="003079F2" w:rsidRPr="006264FA" w:rsidRDefault="003079F2" w:rsidP="0005205C">
            <w:pPr>
              <w:pStyle w:val="TableTextRight"/>
              <w:rPr>
                <w:rFonts w:cs="Arial"/>
                <w:szCs w:val="16"/>
              </w:rPr>
            </w:pPr>
            <w:r w:rsidRPr="006264FA">
              <w:rPr>
                <w:rFonts w:cs="Arial"/>
                <w:szCs w:val="16"/>
              </w:rPr>
              <w:t> </w:t>
            </w:r>
          </w:p>
        </w:tc>
      </w:tr>
      <w:tr w:rsidR="003079F2" w:rsidRPr="00673F8A" w14:paraId="428E6280" w14:textId="77777777">
        <w:trPr>
          <w:trHeight w:hRule="exact" w:val="225"/>
        </w:trPr>
        <w:tc>
          <w:tcPr>
            <w:tcW w:w="3568" w:type="pct"/>
            <w:tcBorders>
              <w:top w:val="nil"/>
              <w:left w:val="nil"/>
              <w:bottom w:val="nil"/>
              <w:right w:val="nil"/>
            </w:tcBorders>
            <w:shd w:val="clear" w:color="000000" w:fill="FFFFFF"/>
            <w:noWrap/>
            <w:vAlign w:val="center"/>
            <w:hideMark/>
          </w:tcPr>
          <w:p w14:paraId="16AC0165" w14:textId="5E965B27" w:rsidR="003079F2" w:rsidRPr="006264FA" w:rsidRDefault="003079F2" w:rsidP="00C7128E">
            <w:pPr>
              <w:pStyle w:val="TableTextLeft"/>
              <w:rPr>
                <w:rFonts w:cs="Arial"/>
                <w:szCs w:val="16"/>
              </w:rPr>
            </w:pP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5FBE3B7C" w14:textId="6676C23C"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1FFCDBF1" w14:textId="11620A44" w:rsidR="003079F2" w:rsidRPr="006264FA" w:rsidRDefault="003079F2" w:rsidP="0005205C">
            <w:pPr>
              <w:pStyle w:val="TableTextRight"/>
              <w:rPr>
                <w:rFonts w:cs="Arial"/>
                <w:szCs w:val="16"/>
              </w:rPr>
            </w:pPr>
            <w:r w:rsidRPr="006264FA">
              <w:rPr>
                <w:rFonts w:cs="Arial"/>
                <w:szCs w:val="16"/>
              </w:rPr>
              <w:t> </w:t>
            </w:r>
          </w:p>
        </w:tc>
      </w:tr>
      <w:tr w:rsidR="00727FA3" w:rsidRPr="00673F8A" w14:paraId="46550855" w14:textId="77777777">
        <w:trPr>
          <w:trHeight w:hRule="exact" w:val="225"/>
        </w:trPr>
        <w:tc>
          <w:tcPr>
            <w:tcW w:w="3568" w:type="pct"/>
            <w:tcBorders>
              <w:top w:val="nil"/>
              <w:left w:val="nil"/>
              <w:bottom w:val="nil"/>
              <w:right w:val="nil"/>
            </w:tcBorders>
            <w:shd w:val="clear" w:color="000000" w:fill="FFFFFF"/>
            <w:noWrap/>
            <w:vAlign w:val="center"/>
            <w:hideMark/>
          </w:tcPr>
          <w:p w14:paraId="6B6599F2" w14:textId="55F4603E" w:rsidR="00727FA3" w:rsidRPr="006264FA" w:rsidRDefault="00727FA3" w:rsidP="001A11FA">
            <w:pPr>
              <w:pStyle w:val="TableTextIndented"/>
              <w:rPr>
                <w:rFonts w:cs="Arial"/>
                <w:szCs w:val="16"/>
              </w:rPr>
            </w:pPr>
            <w:r w:rsidRPr="006264FA">
              <w:rPr>
                <w:rFonts w:cs="Arial"/>
                <w:szCs w:val="16"/>
              </w:rPr>
              <w:t>Cash and deposits</w:t>
            </w:r>
          </w:p>
        </w:tc>
        <w:tc>
          <w:tcPr>
            <w:tcW w:w="716" w:type="pct"/>
            <w:tcBorders>
              <w:top w:val="nil"/>
              <w:left w:val="nil"/>
              <w:bottom w:val="nil"/>
              <w:right w:val="nil"/>
            </w:tcBorders>
            <w:shd w:val="clear" w:color="000000" w:fill="FFFFFF"/>
            <w:noWrap/>
            <w:vAlign w:val="center"/>
            <w:hideMark/>
          </w:tcPr>
          <w:p w14:paraId="33CFC3C3" w14:textId="58886C83" w:rsidR="00727FA3" w:rsidRPr="006264FA" w:rsidRDefault="00727FA3" w:rsidP="0005205C">
            <w:pPr>
              <w:pStyle w:val="TableTextRight"/>
              <w:rPr>
                <w:rFonts w:cs="Arial"/>
                <w:szCs w:val="16"/>
              </w:rPr>
            </w:pPr>
            <w:r w:rsidRPr="006264FA">
              <w:rPr>
                <w:rFonts w:cs="Arial"/>
                <w:szCs w:val="16"/>
              </w:rPr>
              <w:t>1,203</w:t>
            </w:r>
          </w:p>
        </w:tc>
        <w:tc>
          <w:tcPr>
            <w:tcW w:w="716" w:type="pct"/>
            <w:tcBorders>
              <w:top w:val="nil"/>
              <w:left w:val="nil"/>
              <w:bottom w:val="nil"/>
              <w:right w:val="nil"/>
            </w:tcBorders>
            <w:shd w:val="clear" w:color="000000" w:fill="E6F2FF"/>
            <w:noWrap/>
            <w:vAlign w:val="center"/>
            <w:hideMark/>
          </w:tcPr>
          <w:p w14:paraId="4495EA94" w14:textId="18973688" w:rsidR="00727FA3" w:rsidRPr="006264FA" w:rsidRDefault="00727FA3" w:rsidP="0005205C">
            <w:pPr>
              <w:pStyle w:val="TableTextRight"/>
              <w:rPr>
                <w:rFonts w:cs="Arial"/>
                <w:szCs w:val="16"/>
              </w:rPr>
            </w:pPr>
            <w:r w:rsidRPr="006264FA">
              <w:rPr>
                <w:rFonts w:cs="Arial"/>
                <w:szCs w:val="16"/>
              </w:rPr>
              <w:t>1,248</w:t>
            </w:r>
          </w:p>
        </w:tc>
      </w:tr>
      <w:tr w:rsidR="00727FA3" w:rsidRPr="00673F8A" w14:paraId="5AD035F7" w14:textId="77777777">
        <w:trPr>
          <w:trHeight w:hRule="exact" w:val="225"/>
        </w:trPr>
        <w:tc>
          <w:tcPr>
            <w:tcW w:w="3568" w:type="pct"/>
            <w:tcBorders>
              <w:top w:val="nil"/>
              <w:left w:val="nil"/>
              <w:bottom w:val="nil"/>
              <w:right w:val="nil"/>
            </w:tcBorders>
            <w:shd w:val="clear" w:color="000000" w:fill="FFFFFF"/>
            <w:noWrap/>
            <w:vAlign w:val="center"/>
            <w:hideMark/>
          </w:tcPr>
          <w:p w14:paraId="472D732E" w14:textId="2C158488" w:rsidR="00727FA3" w:rsidRPr="006264FA" w:rsidRDefault="00727FA3" w:rsidP="001A11FA">
            <w:pPr>
              <w:pStyle w:val="TableTextIndented"/>
              <w:rPr>
                <w:rFonts w:cs="Arial"/>
                <w:szCs w:val="16"/>
              </w:rPr>
            </w:pPr>
            <w:r w:rsidRPr="006264FA">
              <w:rPr>
                <w:rFonts w:cs="Arial"/>
                <w:szCs w:val="16"/>
              </w:rPr>
              <w:t>Investments, loans and placements</w:t>
            </w:r>
          </w:p>
        </w:tc>
        <w:tc>
          <w:tcPr>
            <w:tcW w:w="716" w:type="pct"/>
            <w:tcBorders>
              <w:top w:val="nil"/>
              <w:left w:val="nil"/>
              <w:bottom w:val="nil"/>
              <w:right w:val="nil"/>
            </w:tcBorders>
            <w:shd w:val="clear" w:color="000000" w:fill="FFFFFF"/>
            <w:noWrap/>
            <w:vAlign w:val="center"/>
            <w:hideMark/>
          </w:tcPr>
          <w:p w14:paraId="35A87E6F" w14:textId="1A779D23" w:rsidR="00727FA3" w:rsidRPr="006264FA" w:rsidRDefault="00727FA3" w:rsidP="0005205C">
            <w:pPr>
              <w:pStyle w:val="TableTextRight"/>
              <w:rPr>
                <w:rFonts w:cs="Arial"/>
                <w:szCs w:val="16"/>
              </w:rPr>
            </w:pPr>
            <w:r w:rsidRPr="006264FA">
              <w:rPr>
                <w:rFonts w:cs="Arial"/>
                <w:szCs w:val="16"/>
              </w:rPr>
              <w:t>533,029</w:t>
            </w:r>
          </w:p>
        </w:tc>
        <w:tc>
          <w:tcPr>
            <w:tcW w:w="716" w:type="pct"/>
            <w:tcBorders>
              <w:top w:val="nil"/>
              <w:left w:val="nil"/>
              <w:bottom w:val="nil"/>
              <w:right w:val="nil"/>
            </w:tcBorders>
            <w:shd w:val="clear" w:color="000000" w:fill="E6F2FF"/>
            <w:noWrap/>
            <w:vAlign w:val="center"/>
            <w:hideMark/>
          </w:tcPr>
          <w:p w14:paraId="1C07302F" w14:textId="58D624BE" w:rsidR="00727FA3" w:rsidRPr="006264FA" w:rsidRDefault="00727FA3" w:rsidP="0005205C">
            <w:pPr>
              <w:pStyle w:val="TableTextRight"/>
              <w:rPr>
                <w:rFonts w:cs="Arial"/>
                <w:szCs w:val="16"/>
              </w:rPr>
            </w:pPr>
            <w:r w:rsidRPr="006264FA">
              <w:rPr>
                <w:rFonts w:cs="Arial"/>
                <w:szCs w:val="16"/>
              </w:rPr>
              <w:t>539,853</w:t>
            </w:r>
          </w:p>
        </w:tc>
      </w:tr>
      <w:tr w:rsidR="00727FA3" w:rsidRPr="00673F8A" w14:paraId="67585FF4" w14:textId="77777777">
        <w:trPr>
          <w:trHeight w:hRule="exact" w:val="225"/>
        </w:trPr>
        <w:tc>
          <w:tcPr>
            <w:tcW w:w="3568" w:type="pct"/>
            <w:tcBorders>
              <w:top w:val="nil"/>
              <w:left w:val="nil"/>
              <w:bottom w:val="nil"/>
              <w:right w:val="nil"/>
            </w:tcBorders>
            <w:shd w:val="clear" w:color="000000" w:fill="FFFFFF"/>
            <w:noWrap/>
            <w:vAlign w:val="center"/>
            <w:hideMark/>
          </w:tcPr>
          <w:p w14:paraId="00B33C18" w14:textId="5E30C1E5" w:rsidR="00727FA3" w:rsidRPr="006264FA" w:rsidRDefault="00727FA3" w:rsidP="001A11FA">
            <w:pPr>
              <w:pStyle w:val="TableTextIndented"/>
              <w:rPr>
                <w:rFonts w:cs="Arial"/>
                <w:szCs w:val="16"/>
              </w:rPr>
            </w:pPr>
            <w:r w:rsidRPr="006264FA">
              <w:rPr>
                <w:rFonts w:cs="Arial"/>
                <w:szCs w:val="16"/>
              </w:rPr>
              <w:t>Other receivables</w:t>
            </w:r>
          </w:p>
        </w:tc>
        <w:tc>
          <w:tcPr>
            <w:tcW w:w="716" w:type="pct"/>
            <w:tcBorders>
              <w:top w:val="nil"/>
              <w:left w:val="nil"/>
              <w:bottom w:val="nil"/>
              <w:right w:val="nil"/>
            </w:tcBorders>
            <w:shd w:val="clear" w:color="000000" w:fill="FFFFFF"/>
            <w:noWrap/>
            <w:vAlign w:val="center"/>
            <w:hideMark/>
          </w:tcPr>
          <w:p w14:paraId="771525C1" w14:textId="50357C68" w:rsidR="00727FA3" w:rsidRPr="006264FA" w:rsidRDefault="00727FA3" w:rsidP="0005205C">
            <w:pPr>
              <w:pStyle w:val="TableTextRight"/>
              <w:rPr>
                <w:rFonts w:cs="Arial"/>
                <w:szCs w:val="16"/>
              </w:rPr>
            </w:pPr>
            <w:r w:rsidRPr="006264FA">
              <w:rPr>
                <w:rFonts w:cs="Arial"/>
                <w:szCs w:val="16"/>
              </w:rPr>
              <w:t>371</w:t>
            </w:r>
          </w:p>
        </w:tc>
        <w:tc>
          <w:tcPr>
            <w:tcW w:w="716" w:type="pct"/>
            <w:tcBorders>
              <w:top w:val="nil"/>
              <w:left w:val="nil"/>
              <w:bottom w:val="nil"/>
              <w:right w:val="nil"/>
            </w:tcBorders>
            <w:shd w:val="clear" w:color="000000" w:fill="E6F2FF"/>
            <w:noWrap/>
            <w:vAlign w:val="center"/>
            <w:hideMark/>
          </w:tcPr>
          <w:p w14:paraId="0156506F" w14:textId="25C2A85A" w:rsidR="00727FA3" w:rsidRPr="006264FA" w:rsidRDefault="00727FA3" w:rsidP="0005205C">
            <w:pPr>
              <w:pStyle w:val="TableTextRight"/>
              <w:rPr>
                <w:rFonts w:cs="Arial"/>
                <w:szCs w:val="16"/>
              </w:rPr>
            </w:pPr>
            <w:r w:rsidRPr="006264FA">
              <w:rPr>
                <w:rFonts w:cs="Arial"/>
                <w:szCs w:val="16"/>
              </w:rPr>
              <w:t>523</w:t>
            </w:r>
          </w:p>
        </w:tc>
      </w:tr>
      <w:tr w:rsidR="00727FA3" w:rsidRPr="00673F8A" w14:paraId="4BA8908D" w14:textId="77777777">
        <w:trPr>
          <w:trHeight w:hRule="exact" w:val="225"/>
        </w:trPr>
        <w:tc>
          <w:tcPr>
            <w:tcW w:w="3568" w:type="pct"/>
            <w:tcBorders>
              <w:top w:val="nil"/>
              <w:left w:val="nil"/>
              <w:bottom w:val="nil"/>
              <w:right w:val="nil"/>
            </w:tcBorders>
            <w:shd w:val="clear" w:color="000000" w:fill="FFFFFF"/>
            <w:noWrap/>
            <w:vAlign w:val="center"/>
            <w:hideMark/>
          </w:tcPr>
          <w:p w14:paraId="4466053C" w14:textId="12969099" w:rsidR="00727FA3" w:rsidRPr="006264FA" w:rsidRDefault="00727FA3" w:rsidP="001A11FA">
            <w:pPr>
              <w:pStyle w:val="TableTextIndented"/>
              <w:rPr>
                <w:rFonts w:cs="Arial"/>
                <w:szCs w:val="16"/>
              </w:rPr>
            </w:pPr>
            <w:r w:rsidRPr="006264FA">
              <w:rPr>
                <w:rFonts w:cs="Arial"/>
                <w:szCs w:val="16"/>
              </w:rPr>
              <w:t>Equity investments</w:t>
            </w:r>
          </w:p>
        </w:tc>
        <w:tc>
          <w:tcPr>
            <w:tcW w:w="716" w:type="pct"/>
            <w:tcBorders>
              <w:top w:val="nil"/>
              <w:left w:val="nil"/>
              <w:bottom w:val="nil"/>
              <w:right w:val="nil"/>
            </w:tcBorders>
            <w:shd w:val="clear" w:color="000000" w:fill="FFFFFF"/>
            <w:noWrap/>
            <w:vAlign w:val="center"/>
            <w:hideMark/>
          </w:tcPr>
          <w:p w14:paraId="18E39BD3" w14:textId="0DA29E7C" w:rsidR="00727FA3" w:rsidRPr="006264FA" w:rsidRDefault="00727FA3" w:rsidP="0005205C">
            <w:pPr>
              <w:pStyle w:val="TableTextRight"/>
              <w:rPr>
                <w:rFonts w:cs="Arial"/>
                <w:szCs w:val="16"/>
              </w:rPr>
            </w:pPr>
            <w:r w:rsidRPr="006264FA">
              <w:rPr>
                <w:rFonts w:cs="Arial"/>
                <w:szCs w:val="16"/>
              </w:rPr>
              <w:t>1,466</w:t>
            </w:r>
          </w:p>
        </w:tc>
        <w:tc>
          <w:tcPr>
            <w:tcW w:w="716" w:type="pct"/>
            <w:tcBorders>
              <w:top w:val="nil"/>
              <w:left w:val="nil"/>
              <w:bottom w:val="nil"/>
              <w:right w:val="nil"/>
            </w:tcBorders>
            <w:shd w:val="clear" w:color="000000" w:fill="E6F2FF"/>
            <w:noWrap/>
            <w:vAlign w:val="center"/>
            <w:hideMark/>
          </w:tcPr>
          <w:p w14:paraId="6EDDBD00" w14:textId="3E2EEB9D" w:rsidR="00727FA3" w:rsidRPr="006264FA" w:rsidRDefault="00727FA3" w:rsidP="0005205C">
            <w:pPr>
              <w:pStyle w:val="TableTextRight"/>
              <w:rPr>
                <w:rFonts w:cs="Arial"/>
                <w:szCs w:val="16"/>
              </w:rPr>
            </w:pPr>
            <w:r w:rsidRPr="006264FA">
              <w:rPr>
                <w:rFonts w:cs="Arial"/>
                <w:szCs w:val="16"/>
              </w:rPr>
              <w:t>1,600</w:t>
            </w:r>
          </w:p>
        </w:tc>
      </w:tr>
      <w:tr w:rsidR="00727FA3" w:rsidRPr="00673F8A" w14:paraId="637E3628" w14:textId="77777777">
        <w:trPr>
          <w:trHeight w:hRule="exact" w:val="225"/>
        </w:trPr>
        <w:tc>
          <w:tcPr>
            <w:tcW w:w="3568" w:type="pct"/>
            <w:tcBorders>
              <w:top w:val="nil"/>
              <w:left w:val="nil"/>
              <w:bottom w:val="nil"/>
              <w:right w:val="nil"/>
            </w:tcBorders>
            <w:shd w:val="clear" w:color="000000" w:fill="FFFFFF"/>
            <w:noWrap/>
            <w:vAlign w:val="center"/>
            <w:hideMark/>
          </w:tcPr>
          <w:p w14:paraId="1CBE4C43" w14:textId="672CEBE9" w:rsidR="00727FA3" w:rsidRPr="006264FA" w:rsidRDefault="00727FA3" w:rsidP="00C7128E">
            <w:pPr>
              <w:pStyle w:val="TableTextLeft"/>
              <w:rPr>
                <w:rFonts w:cs="Arial"/>
                <w:i/>
                <w:szCs w:val="16"/>
              </w:rPr>
            </w:pPr>
            <w:r w:rsidRPr="006264FA">
              <w:rPr>
                <w:rFonts w:cs="Arial"/>
                <w:i/>
                <w:szCs w:val="16"/>
              </w:rPr>
              <w:t>Total financial assets</w:t>
            </w:r>
          </w:p>
        </w:tc>
        <w:tc>
          <w:tcPr>
            <w:tcW w:w="716" w:type="pct"/>
            <w:tcBorders>
              <w:top w:val="nil"/>
              <w:left w:val="nil"/>
              <w:bottom w:val="nil"/>
              <w:right w:val="nil"/>
            </w:tcBorders>
            <w:shd w:val="clear" w:color="000000" w:fill="FFFFFF"/>
            <w:noWrap/>
            <w:vAlign w:val="center"/>
            <w:hideMark/>
          </w:tcPr>
          <w:p w14:paraId="4B80746A" w14:textId="270C5C4B" w:rsidR="00727FA3" w:rsidRPr="006264FA" w:rsidRDefault="00727FA3" w:rsidP="0005205C">
            <w:pPr>
              <w:pStyle w:val="TableTextRight"/>
              <w:rPr>
                <w:rFonts w:cs="Arial"/>
                <w:i/>
                <w:szCs w:val="16"/>
              </w:rPr>
            </w:pPr>
            <w:r w:rsidRPr="006264FA">
              <w:rPr>
                <w:rFonts w:cs="Arial"/>
                <w:i/>
                <w:szCs w:val="16"/>
              </w:rPr>
              <w:t>536,068</w:t>
            </w:r>
          </w:p>
        </w:tc>
        <w:tc>
          <w:tcPr>
            <w:tcW w:w="716" w:type="pct"/>
            <w:tcBorders>
              <w:top w:val="nil"/>
              <w:left w:val="nil"/>
              <w:bottom w:val="nil"/>
              <w:right w:val="nil"/>
            </w:tcBorders>
            <w:shd w:val="clear" w:color="000000" w:fill="E6F2FF"/>
            <w:noWrap/>
            <w:vAlign w:val="center"/>
            <w:hideMark/>
          </w:tcPr>
          <w:p w14:paraId="19FEEAB1" w14:textId="6FC71819" w:rsidR="00727FA3" w:rsidRPr="006264FA" w:rsidRDefault="00727FA3" w:rsidP="0005205C">
            <w:pPr>
              <w:pStyle w:val="TableTextRight"/>
              <w:rPr>
                <w:rFonts w:cs="Arial"/>
                <w:i/>
                <w:szCs w:val="16"/>
              </w:rPr>
            </w:pPr>
            <w:r w:rsidRPr="006264FA">
              <w:rPr>
                <w:rFonts w:cs="Arial"/>
                <w:i/>
                <w:szCs w:val="16"/>
              </w:rPr>
              <w:t>543,225</w:t>
            </w:r>
          </w:p>
        </w:tc>
      </w:tr>
      <w:tr w:rsidR="003079F2" w:rsidRPr="00673F8A" w14:paraId="37B6D43B" w14:textId="77777777">
        <w:trPr>
          <w:trHeight w:hRule="exact" w:val="225"/>
        </w:trPr>
        <w:tc>
          <w:tcPr>
            <w:tcW w:w="3568" w:type="pct"/>
            <w:tcBorders>
              <w:top w:val="nil"/>
              <w:left w:val="nil"/>
              <w:bottom w:val="nil"/>
              <w:right w:val="nil"/>
            </w:tcBorders>
            <w:shd w:val="clear" w:color="000000" w:fill="FFFFFF"/>
            <w:noWrap/>
            <w:vAlign w:val="center"/>
            <w:hideMark/>
          </w:tcPr>
          <w:p w14:paraId="7BF07CA9" w14:textId="291EB5BF" w:rsidR="003079F2" w:rsidRPr="006264FA" w:rsidRDefault="003079F2" w:rsidP="00C7128E">
            <w:pPr>
              <w:pStyle w:val="TableTextLeft"/>
              <w:rPr>
                <w:rFonts w:cs="Arial"/>
                <w:szCs w:val="16"/>
              </w:rPr>
            </w:pPr>
            <w:r w:rsidRPr="006264FA">
              <w:rPr>
                <w:rFonts w:cs="Arial"/>
                <w:szCs w:val="16"/>
              </w:rPr>
              <w:t>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53EB6152" w14:textId="0E3CFF18"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08015F6F" w14:textId="5457CCD9" w:rsidR="003079F2" w:rsidRPr="006264FA" w:rsidRDefault="003079F2" w:rsidP="0005205C">
            <w:pPr>
              <w:pStyle w:val="TableTextRight"/>
              <w:rPr>
                <w:rFonts w:cs="Arial"/>
                <w:szCs w:val="16"/>
              </w:rPr>
            </w:pPr>
            <w:r w:rsidRPr="006264FA">
              <w:rPr>
                <w:rFonts w:cs="Arial"/>
                <w:szCs w:val="16"/>
              </w:rPr>
              <w:t> </w:t>
            </w:r>
          </w:p>
        </w:tc>
      </w:tr>
      <w:tr w:rsidR="00E966C8" w:rsidRPr="00673F8A" w14:paraId="51A2778D" w14:textId="77777777">
        <w:trPr>
          <w:trHeight w:hRule="exact" w:val="225"/>
        </w:trPr>
        <w:tc>
          <w:tcPr>
            <w:tcW w:w="3568" w:type="pct"/>
            <w:tcBorders>
              <w:top w:val="nil"/>
              <w:left w:val="nil"/>
              <w:bottom w:val="nil"/>
              <w:right w:val="nil"/>
            </w:tcBorders>
            <w:shd w:val="clear" w:color="000000" w:fill="FFFFFF"/>
            <w:noWrap/>
            <w:vAlign w:val="center"/>
            <w:hideMark/>
          </w:tcPr>
          <w:p w14:paraId="7BF8AA08" w14:textId="794E3A0B" w:rsidR="00E966C8" w:rsidRPr="006264FA" w:rsidRDefault="00E966C8" w:rsidP="001A11FA">
            <w:pPr>
              <w:pStyle w:val="TableTextIndented"/>
              <w:rPr>
                <w:rFonts w:cs="Arial"/>
                <w:szCs w:val="16"/>
              </w:rPr>
            </w:pPr>
            <w:r w:rsidRPr="006264FA">
              <w:rPr>
                <w:rFonts w:cs="Arial"/>
                <w:szCs w:val="16"/>
              </w:rPr>
              <w:t>Land and other fixed assets</w:t>
            </w:r>
          </w:p>
        </w:tc>
        <w:tc>
          <w:tcPr>
            <w:tcW w:w="716" w:type="pct"/>
            <w:tcBorders>
              <w:top w:val="nil"/>
              <w:left w:val="nil"/>
              <w:bottom w:val="nil"/>
              <w:right w:val="nil"/>
            </w:tcBorders>
            <w:shd w:val="clear" w:color="000000" w:fill="FFFFFF"/>
            <w:noWrap/>
            <w:vAlign w:val="center"/>
            <w:hideMark/>
          </w:tcPr>
          <w:p w14:paraId="0D9FE381" w14:textId="6DD30C46" w:rsidR="00E966C8" w:rsidRPr="006264FA" w:rsidRDefault="00E966C8" w:rsidP="0005205C">
            <w:pPr>
              <w:pStyle w:val="TableTextRight"/>
              <w:rPr>
                <w:rFonts w:cs="Arial"/>
                <w:szCs w:val="16"/>
              </w:rPr>
            </w:pPr>
            <w:r w:rsidRPr="006264FA">
              <w:rPr>
                <w:rFonts w:cs="Arial"/>
                <w:szCs w:val="16"/>
              </w:rPr>
              <w:t>906</w:t>
            </w:r>
          </w:p>
        </w:tc>
        <w:tc>
          <w:tcPr>
            <w:tcW w:w="716" w:type="pct"/>
            <w:tcBorders>
              <w:top w:val="nil"/>
              <w:left w:val="nil"/>
              <w:bottom w:val="nil"/>
              <w:right w:val="nil"/>
            </w:tcBorders>
            <w:shd w:val="clear" w:color="000000" w:fill="E6F2FF"/>
            <w:noWrap/>
            <w:vAlign w:val="center"/>
            <w:hideMark/>
          </w:tcPr>
          <w:p w14:paraId="49E7833C" w14:textId="6B08CD69" w:rsidR="00E966C8" w:rsidRPr="006264FA" w:rsidRDefault="00E966C8" w:rsidP="0005205C">
            <w:pPr>
              <w:pStyle w:val="TableTextRight"/>
              <w:rPr>
                <w:rFonts w:cs="Arial"/>
                <w:szCs w:val="16"/>
              </w:rPr>
            </w:pPr>
            <w:r w:rsidRPr="006264FA">
              <w:rPr>
                <w:rFonts w:cs="Arial"/>
                <w:szCs w:val="16"/>
              </w:rPr>
              <w:t>908</w:t>
            </w:r>
          </w:p>
        </w:tc>
      </w:tr>
      <w:tr w:rsidR="00E966C8" w:rsidRPr="00673F8A" w14:paraId="231853AF" w14:textId="77777777">
        <w:trPr>
          <w:trHeight w:hRule="exact" w:val="225"/>
        </w:trPr>
        <w:tc>
          <w:tcPr>
            <w:tcW w:w="3568" w:type="pct"/>
            <w:tcBorders>
              <w:top w:val="nil"/>
              <w:left w:val="nil"/>
              <w:bottom w:val="nil"/>
              <w:right w:val="nil"/>
            </w:tcBorders>
            <w:shd w:val="clear" w:color="000000" w:fill="FFFFFF"/>
            <w:noWrap/>
            <w:vAlign w:val="center"/>
            <w:hideMark/>
          </w:tcPr>
          <w:p w14:paraId="60D1457F" w14:textId="2091B7FA" w:rsidR="00E966C8" w:rsidRPr="006264FA" w:rsidRDefault="00E966C8" w:rsidP="001A11FA">
            <w:pPr>
              <w:pStyle w:val="TableTextIndented"/>
              <w:rPr>
                <w:rFonts w:cs="Arial"/>
                <w:szCs w:val="16"/>
              </w:rPr>
            </w:pPr>
            <w:r w:rsidRPr="006264FA">
              <w:rPr>
                <w:rFonts w:cs="Arial"/>
                <w:szCs w:val="16"/>
              </w:rPr>
              <w:t>Other non</w:t>
            </w:r>
            <w:r w:rsidR="00325E1E">
              <w:rPr>
                <w:rFonts w:cs="Arial"/>
                <w:szCs w:val="16"/>
              </w:rPr>
              <w:noBreakHyphen/>
            </w:r>
            <w:r w:rsidRPr="006264FA">
              <w:rPr>
                <w:rFonts w:cs="Arial"/>
                <w:szCs w:val="16"/>
              </w:rPr>
              <w:t>financial assets(b)</w:t>
            </w:r>
          </w:p>
        </w:tc>
        <w:tc>
          <w:tcPr>
            <w:tcW w:w="716" w:type="pct"/>
            <w:tcBorders>
              <w:top w:val="nil"/>
              <w:left w:val="nil"/>
              <w:bottom w:val="nil"/>
              <w:right w:val="nil"/>
            </w:tcBorders>
            <w:shd w:val="clear" w:color="000000" w:fill="FFFFFF"/>
            <w:noWrap/>
            <w:vAlign w:val="center"/>
            <w:hideMark/>
          </w:tcPr>
          <w:p w14:paraId="5763FAD8" w14:textId="326163C7" w:rsidR="00E966C8" w:rsidRPr="006264FA" w:rsidRDefault="00E966C8" w:rsidP="0005205C">
            <w:pPr>
              <w:pStyle w:val="TableTextRight"/>
              <w:rPr>
                <w:rFonts w:cs="Arial"/>
                <w:szCs w:val="16"/>
              </w:rPr>
            </w:pPr>
            <w:r w:rsidRPr="006264FA">
              <w:rPr>
                <w:rFonts w:cs="Arial"/>
                <w:szCs w:val="16"/>
              </w:rPr>
              <w:t>66</w:t>
            </w:r>
          </w:p>
        </w:tc>
        <w:tc>
          <w:tcPr>
            <w:tcW w:w="716" w:type="pct"/>
            <w:tcBorders>
              <w:top w:val="nil"/>
              <w:left w:val="nil"/>
              <w:bottom w:val="nil"/>
              <w:right w:val="nil"/>
            </w:tcBorders>
            <w:shd w:val="clear" w:color="000000" w:fill="E6F2FF"/>
            <w:noWrap/>
            <w:vAlign w:val="center"/>
            <w:hideMark/>
          </w:tcPr>
          <w:p w14:paraId="319B04EA" w14:textId="1C32F45E" w:rsidR="00E966C8" w:rsidRPr="006264FA" w:rsidRDefault="00E966C8" w:rsidP="0005205C">
            <w:pPr>
              <w:pStyle w:val="TableTextRight"/>
              <w:rPr>
                <w:rFonts w:cs="Arial"/>
                <w:szCs w:val="16"/>
              </w:rPr>
            </w:pPr>
            <w:r w:rsidRPr="006264FA">
              <w:rPr>
                <w:rFonts w:cs="Arial"/>
                <w:szCs w:val="16"/>
              </w:rPr>
              <w:t>66</w:t>
            </w:r>
          </w:p>
        </w:tc>
      </w:tr>
      <w:tr w:rsidR="00E966C8" w:rsidRPr="00673F8A" w14:paraId="5965B2E0" w14:textId="77777777">
        <w:trPr>
          <w:trHeight w:hRule="exact" w:val="225"/>
        </w:trPr>
        <w:tc>
          <w:tcPr>
            <w:tcW w:w="3568" w:type="pct"/>
            <w:tcBorders>
              <w:top w:val="nil"/>
              <w:left w:val="nil"/>
              <w:bottom w:val="nil"/>
              <w:right w:val="nil"/>
            </w:tcBorders>
            <w:shd w:val="clear" w:color="000000" w:fill="FFFFFF"/>
            <w:noWrap/>
            <w:vAlign w:val="center"/>
            <w:hideMark/>
          </w:tcPr>
          <w:p w14:paraId="774F2FC5" w14:textId="21F0D9AA" w:rsidR="00E966C8" w:rsidRPr="006264FA" w:rsidRDefault="00E966C8" w:rsidP="00C7128E">
            <w:pPr>
              <w:pStyle w:val="TableTextLeft"/>
              <w:rPr>
                <w:rFonts w:cs="Arial"/>
                <w:i/>
                <w:szCs w:val="16"/>
              </w:rPr>
            </w:pPr>
            <w:r w:rsidRPr="006264FA">
              <w:rPr>
                <w:rFonts w:cs="Arial"/>
                <w:i/>
                <w:szCs w:val="16"/>
              </w:rPr>
              <w:t>Total non</w:t>
            </w:r>
            <w:r w:rsidR="00325E1E">
              <w:rPr>
                <w:rFonts w:cs="Arial"/>
                <w:i/>
                <w:iCs/>
                <w:szCs w:val="16"/>
              </w:rPr>
              <w:noBreakHyphen/>
            </w:r>
            <w:r w:rsidRPr="006264FA">
              <w:rPr>
                <w:rFonts w:cs="Arial"/>
                <w:i/>
                <w:szCs w:val="16"/>
              </w:rPr>
              <w:t>financial assets</w:t>
            </w:r>
          </w:p>
        </w:tc>
        <w:tc>
          <w:tcPr>
            <w:tcW w:w="716" w:type="pct"/>
            <w:tcBorders>
              <w:top w:val="nil"/>
              <w:left w:val="nil"/>
              <w:bottom w:val="nil"/>
              <w:right w:val="nil"/>
            </w:tcBorders>
            <w:shd w:val="clear" w:color="000000" w:fill="FFFFFF"/>
            <w:noWrap/>
            <w:vAlign w:val="center"/>
            <w:hideMark/>
          </w:tcPr>
          <w:p w14:paraId="33E8988C" w14:textId="3F819AC4" w:rsidR="00E966C8" w:rsidRPr="006264FA" w:rsidRDefault="00E966C8" w:rsidP="0005205C">
            <w:pPr>
              <w:pStyle w:val="TableTextRight"/>
              <w:rPr>
                <w:rFonts w:cs="Arial"/>
                <w:i/>
                <w:szCs w:val="16"/>
              </w:rPr>
            </w:pPr>
            <w:r w:rsidRPr="006264FA">
              <w:rPr>
                <w:rFonts w:cs="Arial"/>
                <w:i/>
                <w:szCs w:val="16"/>
              </w:rPr>
              <w:t>973</w:t>
            </w:r>
          </w:p>
        </w:tc>
        <w:tc>
          <w:tcPr>
            <w:tcW w:w="716" w:type="pct"/>
            <w:tcBorders>
              <w:top w:val="nil"/>
              <w:left w:val="nil"/>
              <w:bottom w:val="nil"/>
              <w:right w:val="nil"/>
            </w:tcBorders>
            <w:shd w:val="clear" w:color="000000" w:fill="E6F2FF"/>
            <w:noWrap/>
            <w:vAlign w:val="center"/>
            <w:hideMark/>
          </w:tcPr>
          <w:p w14:paraId="7D30EF9F" w14:textId="2FBF31A0" w:rsidR="00E966C8" w:rsidRPr="006264FA" w:rsidRDefault="00E966C8" w:rsidP="0005205C">
            <w:pPr>
              <w:pStyle w:val="TableTextRight"/>
              <w:rPr>
                <w:rFonts w:cs="Arial"/>
                <w:i/>
                <w:szCs w:val="16"/>
              </w:rPr>
            </w:pPr>
            <w:r w:rsidRPr="006264FA">
              <w:rPr>
                <w:rFonts w:cs="Arial"/>
                <w:i/>
                <w:szCs w:val="16"/>
              </w:rPr>
              <w:t>973</w:t>
            </w:r>
          </w:p>
        </w:tc>
      </w:tr>
      <w:tr w:rsidR="00E966C8" w:rsidRPr="00673F8A" w14:paraId="295D6381" w14:textId="77777777">
        <w:trPr>
          <w:trHeight w:hRule="exact" w:val="60"/>
        </w:trPr>
        <w:tc>
          <w:tcPr>
            <w:tcW w:w="3568" w:type="pct"/>
            <w:tcBorders>
              <w:top w:val="nil"/>
              <w:left w:val="nil"/>
              <w:bottom w:val="nil"/>
              <w:right w:val="nil"/>
            </w:tcBorders>
            <w:shd w:val="clear" w:color="000000" w:fill="FFFFFF"/>
            <w:noWrap/>
            <w:vAlign w:val="center"/>
            <w:hideMark/>
          </w:tcPr>
          <w:p w14:paraId="2D8C2EFE" w14:textId="5A56A937" w:rsidR="00E966C8" w:rsidRPr="006264FA" w:rsidRDefault="00E966C8" w:rsidP="00C7128E">
            <w:pPr>
              <w:pStyle w:val="TableTextLeft"/>
              <w:rPr>
                <w:rFonts w:cs="Arial"/>
                <w:i/>
                <w:szCs w:val="16"/>
              </w:rPr>
            </w:pPr>
            <w:r w:rsidRPr="006264FA">
              <w:rPr>
                <w:rFonts w:cs="Arial"/>
                <w:i/>
                <w:szCs w:val="16"/>
              </w:rPr>
              <w:t> </w:t>
            </w:r>
          </w:p>
        </w:tc>
        <w:tc>
          <w:tcPr>
            <w:tcW w:w="716" w:type="pct"/>
            <w:tcBorders>
              <w:top w:val="nil"/>
              <w:left w:val="nil"/>
              <w:bottom w:val="nil"/>
              <w:right w:val="nil"/>
            </w:tcBorders>
            <w:shd w:val="clear" w:color="000000" w:fill="FFFFFF"/>
            <w:noWrap/>
            <w:vAlign w:val="center"/>
            <w:hideMark/>
          </w:tcPr>
          <w:p w14:paraId="75F38429" w14:textId="2106E2BA" w:rsidR="00E966C8" w:rsidRPr="006264FA" w:rsidRDefault="00E966C8" w:rsidP="0005205C">
            <w:pPr>
              <w:pStyle w:val="TableTextRight"/>
              <w:rPr>
                <w:rFonts w:cs="Arial"/>
                <w:i/>
                <w:szCs w:val="16"/>
              </w:rPr>
            </w:pPr>
            <w:r w:rsidRPr="006264FA">
              <w:rPr>
                <w:rFonts w:cs="Arial"/>
                <w:i/>
                <w:szCs w:val="16"/>
              </w:rPr>
              <w:t> </w:t>
            </w:r>
          </w:p>
        </w:tc>
        <w:tc>
          <w:tcPr>
            <w:tcW w:w="716" w:type="pct"/>
            <w:tcBorders>
              <w:top w:val="nil"/>
              <w:left w:val="nil"/>
              <w:bottom w:val="nil"/>
              <w:right w:val="nil"/>
            </w:tcBorders>
            <w:shd w:val="clear" w:color="000000" w:fill="E6F2FF"/>
            <w:noWrap/>
            <w:vAlign w:val="center"/>
            <w:hideMark/>
          </w:tcPr>
          <w:p w14:paraId="1A221A73" w14:textId="202D138B" w:rsidR="00E966C8" w:rsidRPr="006264FA" w:rsidRDefault="00E966C8" w:rsidP="0005205C">
            <w:pPr>
              <w:pStyle w:val="TableTextRight"/>
              <w:rPr>
                <w:rFonts w:cs="Arial"/>
                <w:i/>
                <w:szCs w:val="16"/>
              </w:rPr>
            </w:pPr>
            <w:r w:rsidRPr="006264FA">
              <w:rPr>
                <w:rFonts w:cs="Arial"/>
                <w:i/>
                <w:szCs w:val="16"/>
              </w:rPr>
              <w:t> </w:t>
            </w:r>
          </w:p>
        </w:tc>
      </w:tr>
      <w:tr w:rsidR="00E966C8" w:rsidRPr="00673F8A" w14:paraId="1F2DF8B6" w14:textId="77777777">
        <w:trPr>
          <w:trHeight w:hRule="exact" w:val="225"/>
        </w:trPr>
        <w:tc>
          <w:tcPr>
            <w:tcW w:w="3568" w:type="pct"/>
            <w:tcBorders>
              <w:top w:val="nil"/>
              <w:left w:val="nil"/>
              <w:bottom w:val="nil"/>
              <w:right w:val="nil"/>
            </w:tcBorders>
            <w:shd w:val="clear" w:color="000000" w:fill="FFFFFF"/>
            <w:noWrap/>
            <w:vAlign w:val="center"/>
            <w:hideMark/>
          </w:tcPr>
          <w:p w14:paraId="7EBF0867" w14:textId="4FB67E72" w:rsidR="00E966C8" w:rsidRPr="006264FA" w:rsidRDefault="00E966C8" w:rsidP="00C7128E">
            <w:pPr>
              <w:pStyle w:val="TableTextLeft"/>
              <w:rPr>
                <w:rFonts w:cs="Arial"/>
                <w:b/>
                <w:szCs w:val="16"/>
              </w:rPr>
            </w:pPr>
            <w:r w:rsidRPr="006264FA">
              <w:rPr>
                <w:rFonts w:cs="Arial"/>
                <w:b/>
                <w:szCs w:val="16"/>
              </w:rPr>
              <w:t>Total assets</w:t>
            </w:r>
          </w:p>
        </w:tc>
        <w:tc>
          <w:tcPr>
            <w:tcW w:w="716" w:type="pct"/>
            <w:tcBorders>
              <w:top w:val="nil"/>
              <w:left w:val="nil"/>
              <w:bottom w:val="nil"/>
              <w:right w:val="nil"/>
            </w:tcBorders>
            <w:shd w:val="clear" w:color="000000" w:fill="FFFFFF"/>
            <w:noWrap/>
            <w:vAlign w:val="center"/>
            <w:hideMark/>
          </w:tcPr>
          <w:p w14:paraId="01B24EA2" w14:textId="28567250" w:rsidR="00E966C8" w:rsidRPr="006264FA" w:rsidRDefault="00E966C8" w:rsidP="0005205C">
            <w:pPr>
              <w:pStyle w:val="TableTextRight"/>
              <w:rPr>
                <w:rFonts w:cs="Arial"/>
                <w:b/>
                <w:szCs w:val="16"/>
              </w:rPr>
            </w:pPr>
            <w:r w:rsidRPr="006264FA">
              <w:rPr>
                <w:rFonts w:cs="Arial"/>
                <w:b/>
                <w:szCs w:val="16"/>
              </w:rPr>
              <w:t>537,041</w:t>
            </w:r>
          </w:p>
        </w:tc>
        <w:tc>
          <w:tcPr>
            <w:tcW w:w="716" w:type="pct"/>
            <w:tcBorders>
              <w:top w:val="nil"/>
              <w:left w:val="nil"/>
              <w:bottom w:val="nil"/>
              <w:right w:val="nil"/>
            </w:tcBorders>
            <w:shd w:val="clear" w:color="000000" w:fill="E6F2FF"/>
            <w:noWrap/>
            <w:vAlign w:val="center"/>
            <w:hideMark/>
          </w:tcPr>
          <w:p w14:paraId="307F5007" w14:textId="2A28E776" w:rsidR="00E966C8" w:rsidRPr="006264FA" w:rsidRDefault="00E966C8" w:rsidP="0005205C">
            <w:pPr>
              <w:pStyle w:val="TableTextRight"/>
              <w:rPr>
                <w:rFonts w:cs="Arial"/>
                <w:b/>
                <w:szCs w:val="16"/>
              </w:rPr>
            </w:pPr>
            <w:r w:rsidRPr="006264FA">
              <w:rPr>
                <w:rFonts w:cs="Arial"/>
                <w:b/>
                <w:szCs w:val="16"/>
              </w:rPr>
              <w:t>544,198</w:t>
            </w:r>
          </w:p>
        </w:tc>
      </w:tr>
      <w:tr w:rsidR="003079F2" w:rsidRPr="00673F8A" w14:paraId="023A2566" w14:textId="77777777">
        <w:trPr>
          <w:trHeight w:hRule="exact" w:val="60"/>
        </w:trPr>
        <w:tc>
          <w:tcPr>
            <w:tcW w:w="3568" w:type="pct"/>
            <w:tcBorders>
              <w:top w:val="nil"/>
              <w:left w:val="nil"/>
              <w:bottom w:val="nil"/>
              <w:right w:val="nil"/>
            </w:tcBorders>
            <w:shd w:val="clear" w:color="000000" w:fill="FFFFFF"/>
            <w:noWrap/>
            <w:vAlign w:val="center"/>
            <w:hideMark/>
          </w:tcPr>
          <w:p w14:paraId="41AB1244" w14:textId="47702756" w:rsidR="003079F2" w:rsidRPr="006264FA" w:rsidRDefault="003079F2" w:rsidP="00C7128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5AE8A4BA" w14:textId="43E3AD32"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2A044E3C" w14:textId="6DB20865" w:rsidR="003079F2" w:rsidRPr="006264FA" w:rsidRDefault="003079F2" w:rsidP="0005205C">
            <w:pPr>
              <w:pStyle w:val="TableTextRight"/>
              <w:rPr>
                <w:rFonts w:cs="Arial"/>
                <w:szCs w:val="16"/>
              </w:rPr>
            </w:pPr>
            <w:r w:rsidRPr="006264FA">
              <w:rPr>
                <w:rFonts w:cs="Arial"/>
                <w:szCs w:val="16"/>
              </w:rPr>
              <w:t> </w:t>
            </w:r>
          </w:p>
        </w:tc>
      </w:tr>
      <w:tr w:rsidR="003079F2" w:rsidRPr="00673F8A" w14:paraId="5265B777" w14:textId="77777777">
        <w:trPr>
          <w:trHeight w:hRule="exact" w:val="225"/>
        </w:trPr>
        <w:tc>
          <w:tcPr>
            <w:tcW w:w="3568" w:type="pct"/>
            <w:tcBorders>
              <w:top w:val="nil"/>
              <w:left w:val="nil"/>
              <w:bottom w:val="nil"/>
              <w:right w:val="nil"/>
            </w:tcBorders>
            <w:shd w:val="clear" w:color="000000" w:fill="FFFFFF"/>
            <w:noWrap/>
            <w:vAlign w:val="center"/>
            <w:hideMark/>
          </w:tcPr>
          <w:p w14:paraId="0BB9661E" w14:textId="28E1D36D" w:rsidR="003079F2" w:rsidRPr="006264FA" w:rsidRDefault="003079F2" w:rsidP="00C7128E">
            <w:pPr>
              <w:pStyle w:val="TableTextLeft"/>
              <w:rPr>
                <w:rFonts w:cs="Arial"/>
                <w:b/>
                <w:szCs w:val="16"/>
              </w:rPr>
            </w:pPr>
            <w:r w:rsidRPr="006264FA">
              <w:rPr>
                <w:rFonts w:cs="Arial"/>
                <w:b/>
                <w:szCs w:val="16"/>
              </w:rPr>
              <w:t>Liabilities</w:t>
            </w:r>
          </w:p>
        </w:tc>
        <w:tc>
          <w:tcPr>
            <w:tcW w:w="716" w:type="pct"/>
            <w:tcBorders>
              <w:top w:val="nil"/>
              <w:left w:val="nil"/>
              <w:bottom w:val="nil"/>
              <w:right w:val="nil"/>
            </w:tcBorders>
            <w:shd w:val="clear" w:color="000000" w:fill="FFFFFF"/>
            <w:noWrap/>
            <w:vAlign w:val="center"/>
            <w:hideMark/>
          </w:tcPr>
          <w:p w14:paraId="628F38E2" w14:textId="042FAD42"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2B86187A" w14:textId="5B77A8BA" w:rsidR="003079F2" w:rsidRPr="006264FA" w:rsidRDefault="003079F2" w:rsidP="0005205C">
            <w:pPr>
              <w:pStyle w:val="TableTextRight"/>
              <w:rPr>
                <w:rFonts w:cs="Arial"/>
                <w:szCs w:val="16"/>
              </w:rPr>
            </w:pPr>
            <w:r w:rsidRPr="006264FA">
              <w:rPr>
                <w:rFonts w:cs="Arial"/>
                <w:szCs w:val="16"/>
              </w:rPr>
              <w:t> </w:t>
            </w:r>
          </w:p>
        </w:tc>
      </w:tr>
      <w:tr w:rsidR="003079F2" w:rsidRPr="00673F8A" w14:paraId="14FC6554" w14:textId="77777777">
        <w:trPr>
          <w:trHeight w:hRule="exact" w:val="225"/>
        </w:trPr>
        <w:tc>
          <w:tcPr>
            <w:tcW w:w="3568" w:type="pct"/>
            <w:tcBorders>
              <w:top w:val="nil"/>
              <w:left w:val="nil"/>
              <w:bottom w:val="nil"/>
              <w:right w:val="nil"/>
            </w:tcBorders>
            <w:shd w:val="clear" w:color="000000" w:fill="FFFFFF"/>
            <w:noWrap/>
            <w:vAlign w:val="center"/>
            <w:hideMark/>
          </w:tcPr>
          <w:p w14:paraId="233C4472" w14:textId="04C0262A" w:rsidR="003079F2" w:rsidRPr="006264FA" w:rsidRDefault="003079F2" w:rsidP="00C7128E">
            <w:pPr>
              <w:pStyle w:val="TableTextLeft"/>
              <w:rPr>
                <w:rFonts w:cs="Arial"/>
                <w:szCs w:val="16"/>
              </w:rPr>
            </w:pPr>
            <w:r w:rsidRPr="006264FA">
              <w:rPr>
                <w:rFonts w:cs="Arial"/>
                <w:szCs w:val="16"/>
              </w:rPr>
              <w:t>Interest bearing liabilities</w:t>
            </w:r>
          </w:p>
        </w:tc>
        <w:tc>
          <w:tcPr>
            <w:tcW w:w="716" w:type="pct"/>
            <w:tcBorders>
              <w:top w:val="nil"/>
              <w:left w:val="nil"/>
              <w:bottom w:val="nil"/>
              <w:right w:val="nil"/>
            </w:tcBorders>
            <w:shd w:val="clear" w:color="000000" w:fill="FFFFFF"/>
            <w:noWrap/>
            <w:vAlign w:val="center"/>
            <w:hideMark/>
          </w:tcPr>
          <w:p w14:paraId="5A1A98B0" w14:textId="346151F4"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49607885" w14:textId="362787D8" w:rsidR="003079F2" w:rsidRPr="006264FA" w:rsidRDefault="003079F2" w:rsidP="0005205C">
            <w:pPr>
              <w:pStyle w:val="TableTextRight"/>
              <w:rPr>
                <w:rFonts w:cs="Arial"/>
                <w:szCs w:val="16"/>
              </w:rPr>
            </w:pPr>
            <w:r w:rsidRPr="006264FA">
              <w:rPr>
                <w:rFonts w:cs="Arial"/>
                <w:szCs w:val="16"/>
              </w:rPr>
              <w:t> </w:t>
            </w:r>
          </w:p>
        </w:tc>
      </w:tr>
      <w:tr w:rsidR="00E966C8" w:rsidRPr="00673F8A" w14:paraId="6F68F3D0" w14:textId="77777777">
        <w:trPr>
          <w:trHeight w:hRule="exact" w:val="225"/>
        </w:trPr>
        <w:tc>
          <w:tcPr>
            <w:tcW w:w="3568" w:type="pct"/>
            <w:tcBorders>
              <w:top w:val="nil"/>
              <w:left w:val="nil"/>
              <w:bottom w:val="nil"/>
              <w:right w:val="nil"/>
            </w:tcBorders>
            <w:shd w:val="clear" w:color="000000" w:fill="FFFFFF"/>
            <w:noWrap/>
            <w:vAlign w:val="center"/>
            <w:hideMark/>
          </w:tcPr>
          <w:p w14:paraId="31C80748" w14:textId="1D33C341" w:rsidR="00E966C8" w:rsidRPr="006264FA" w:rsidRDefault="00E966C8" w:rsidP="001A11FA">
            <w:pPr>
              <w:pStyle w:val="TableTextIndented"/>
              <w:rPr>
                <w:rFonts w:cs="Arial"/>
                <w:szCs w:val="16"/>
              </w:rPr>
            </w:pPr>
            <w:r w:rsidRPr="006264FA">
              <w:rPr>
                <w:rFonts w:cs="Arial"/>
                <w:szCs w:val="16"/>
              </w:rPr>
              <w:t>Deposits held</w:t>
            </w:r>
          </w:p>
        </w:tc>
        <w:tc>
          <w:tcPr>
            <w:tcW w:w="716" w:type="pct"/>
            <w:tcBorders>
              <w:top w:val="nil"/>
              <w:left w:val="nil"/>
              <w:bottom w:val="nil"/>
              <w:right w:val="nil"/>
            </w:tcBorders>
            <w:shd w:val="clear" w:color="000000" w:fill="FFFFFF"/>
            <w:noWrap/>
            <w:vAlign w:val="center"/>
            <w:hideMark/>
          </w:tcPr>
          <w:p w14:paraId="61CC1EBC" w14:textId="3F3D55EA" w:rsidR="00E966C8" w:rsidRPr="006264FA" w:rsidRDefault="00E966C8" w:rsidP="0005205C">
            <w:pPr>
              <w:pStyle w:val="TableTextRight"/>
              <w:rPr>
                <w:rFonts w:cs="Arial"/>
                <w:szCs w:val="16"/>
              </w:rPr>
            </w:pPr>
            <w:r w:rsidRPr="006264FA">
              <w:rPr>
                <w:rFonts w:cs="Arial"/>
                <w:szCs w:val="16"/>
              </w:rPr>
              <w:t>525,312</w:t>
            </w:r>
          </w:p>
        </w:tc>
        <w:tc>
          <w:tcPr>
            <w:tcW w:w="716" w:type="pct"/>
            <w:tcBorders>
              <w:top w:val="nil"/>
              <w:left w:val="nil"/>
              <w:bottom w:val="nil"/>
              <w:right w:val="nil"/>
            </w:tcBorders>
            <w:shd w:val="clear" w:color="000000" w:fill="E6F2FF"/>
            <w:noWrap/>
            <w:vAlign w:val="center"/>
            <w:hideMark/>
          </w:tcPr>
          <w:p w14:paraId="6EC3FA5F" w14:textId="6FB072BB" w:rsidR="00E966C8" w:rsidRPr="006264FA" w:rsidRDefault="00E966C8" w:rsidP="0005205C">
            <w:pPr>
              <w:pStyle w:val="TableTextRight"/>
              <w:rPr>
                <w:rFonts w:cs="Arial"/>
                <w:szCs w:val="16"/>
              </w:rPr>
            </w:pPr>
            <w:r w:rsidRPr="006264FA">
              <w:rPr>
                <w:rFonts w:cs="Arial"/>
                <w:szCs w:val="16"/>
              </w:rPr>
              <w:t>525,312</w:t>
            </w:r>
          </w:p>
        </w:tc>
      </w:tr>
      <w:tr w:rsidR="00E966C8" w:rsidRPr="00673F8A" w14:paraId="571D5785" w14:textId="77777777">
        <w:trPr>
          <w:trHeight w:hRule="exact" w:val="225"/>
        </w:trPr>
        <w:tc>
          <w:tcPr>
            <w:tcW w:w="3568" w:type="pct"/>
            <w:tcBorders>
              <w:top w:val="nil"/>
              <w:left w:val="nil"/>
              <w:bottom w:val="nil"/>
              <w:right w:val="nil"/>
            </w:tcBorders>
            <w:shd w:val="clear" w:color="000000" w:fill="FFFFFF"/>
            <w:noWrap/>
            <w:vAlign w:val="center"/>
            <w:hideMark/>
          </w:tcPr>
          <w:p w14:paraId="285E6295" w14:textId="6373D031" w:rsidR="00E966C8" w:rsidRPr="006264FA" w:rsidRDefault="00E966C8" w:rsidP="001A11FA">
            <w:pPr>
              <w:pStyle w:val="TableTextIndented"/>
              <w:rPr>
                <w:rFonts w:cs="Arial"/>
                <w:szCs w:val="16"/>
              </w:rPr>
            </w:pPr>
            <w:r w:rsidRPr="006264FA">
              <w:rPr>
                <w:rFonts w:cs="Arial"/>
                <w:szCs w:val="16"/>
              </w:rPr>
              <w:t>Borrowing</w:t>
            </w:r>
          </w:p>
        </w:tc>
        <w:tc>
          <w:tcPr>
            <w:tcW w:w="716" w:type="pct"/>
            <w:tcBorders>
              <w:top w:val="nil"/>
              <w:left w:val="nil"/>
              <w:bottom w:val="nil"/>
              <w:right w:val="nil"/>
            </w:tcBorders>
            <w:shd w:val="clear" w:color="000000" w:fill="FFFFFF"/>
            <w:noWrap/>
            <w:vAlign w:val="center"/>
            <w:hideMark/>
          </w:tcPr>
          <w:p w14:paraId="47F8B6E2" w14:textId="0F57F117" w:rsidR="00E966C8" w:rsidRPr="006264FA" w:rsidRDefault="00E966C8" w:rsidP="0005205C">
            <w:pPr>
              <w:pStyle w:val="TableTextRight"/>
              <w:rPr>
                <w:rFonts w:cs="Arial"/>
                <w:szCs w:val="16"/>
              </w:rPr>
            </w:pPr>
            <w:r w:rsidRPr="006264FA">
              <w:rPr>
                <w:rFonts w:cs="Arial"/>
                <w:szCs w:val="16"/>
              </w:rPr>
              <w:t>11,063</w:t>
            </w:r>
          </w:p>
        </w:tc>
        <w:tc>
          <w:tcPr>
            <w:tcW w:w="716" w:type="pct"/>
            <w:tcBorders>
              <w:top w:val="nil"/>
              <w:left w:val="nil"/>
              <w:bottom w:val="nil"/>
              <w:right w:val="nil"/>
            </w:tcBorders>
            <w:shd w:val="clear" w:color="000000" w:fill="E6F2FF"/>
            <w:noWrap/>
            <w:vAlign w:val="center"/>
            <w:hideMark/>
          </w:tcPr>
          <w:p w14:paraId="2B8CE441" w14:textId="20BA61F0" w:rsidR="00E966C8" w:rsidRPr="006264FA" w:rsidRDefault="00E966C8" w:rsidP="0005205C">
            <w:pPr>
              <w:pStyle w:val="TableTextRight"/>
              <w:rPr>
                <w:rFonts w:cs="Arial"/>
                <w:szCs w:val="16"/>
              </w:rPr>
            </w:pPr>
            <w:r w:rsidRPr="006264FA">
              <w:rPr>
                <w:rFonts w:cs="Arial"/>
                <w:szCs w:val="16"/>
              </w:rPr>
              <w:t>15,361</w:t>
            </w:r>
          </w:p>
        </w:tc>
      </w:tr>
      <w:tr w:rsidR="00E966C8" w:rsidRPr="00673F8A" w14:paraId="3AF4EC40" w14:textId="77777777">
        <w:trPr>
          <w:trHeight w:hRule="exact" w:val="225"/>
        </w:trPr>
        <w:tc>
          <w:tcPr>
            <w:tcW w:w="3568" w:type="pct"/>
            <w:tcBorders>
              <w:top w:val="nil"/>
              <w:left w:val="nil"/>
              <w:bottom w:val="nil"/>
              <w:right w:val="nil"/>
            </w:tcBorders>
            <w:shd w:val="clear" w:color="000000" w:fill="FFFFFF"/>
            <w:noWrap/>
            <w:vAlign w:val="center"/>
            <w:hideMark/>
          </w:tcPr>
          <w:p w14:paraId="1BB37537" w14:textId="4927F828" w:rsidR="00E966C8" w:rsidRPr="006264FA" w:rsidRDefault="00E966C8" w:rsidP="00C7128E">
            <w:pPr>
              <w:pStyle w:val="TableTextLeft"/>
              <w:rPr>
                <w:rFonts w:cs="Arial"/>
                <w:i/>
                <w:szCs w:val="16"/>
              </w:rPr>
            </w:pPr>
            <w:r w:rsidRPr="006264FA">
              <w:rPr>
                <w:rFonts w:cs="Arial"/>
                <w:i/>
                <w:szCs w:val="16"/>
              </w:rPr>
              <w:t>Total interest bearing liabilities</w:t>
            </w:r>
          </w:p>
        </w:tc>
        <w:tc>
          <w:tcPr>
            <w:tcW w:w="716" w:type="pct"/>
            <w:tcBorders>
              <w:top w:val="nil"/>
              <w:left w:val="nil"/>
              <w:bottom w:val="nil"/>
              <w:right w:val="nil"/>
            </w:tcBorders>
            <w:shd w:val="clear" w:color="000000" w:fill="FFFFFF"/>
            <w:noWrap/>
            <w:vAlign w:val="center"/>
            <w:hideMark/>
          </w:tcPr>
          <w:p w14:paraId="4EA48809" w14:textId="60EC0BF4" w:rsidR="00E966C8" w:rsidRPr="006264FA" w:rsidRDefault="00E966C8" w:rsidP="0005205C">
            <w:pPr>
              <w:pStyle w:val="TableTextRight"/>
              <w:rPr>
                <w:rFonts w:cs="Arial"/>
                <w:i/>
                <w:szCs w:val="16"/>
              </w:rPr>
            </w:pPr>
            <w:r w:rsidRPr="006264FA">
              <w:rPr>
                <w:rFonts w:cs="Arial"/>
                <w:i/>
                <w:szCs w:val="16"/>
              </w:rPr>
              <w:t>536,375</w:t>
            </w:r>
          </w:p>
        </w:tc>
        <w:tc>
          <w:tcPr>
            <w:tcW w:w="716" w:type="pct"/>
            <w:tcBorders>
              <w:top w:val="nil"/>
              <w:left w:val="nil"/>
              <w:bottom w:val="nil"/>
              <w:right w:val="nil"/>
            </w:tcBorders>
            <w:shd w:val="clear" w:color="000000" w:fill="E6F2FF"/>
            <w:noWrap/>
            <w:vAlign w:val="center"/>
            <w:hideMark/>
          </w:tcPr>
          <w:p w14:paraId="19039EEF" w14:textId="65E8F258" w:rsidR="00E966C8" w:rsidRPr="006264FA" w:rsidRDefault="00E966C8" w:rsidP="0005205C">
            <w:pPr>
              <w:pStyle w:val="TableTextRight"/>
              <w:rPr>
                <w:rFonts w:cs="Arial"/>
                <w:i/>
                <w:szCs w:val="16"/>
              </w:rPr>
            </w:pPr>
            <w:r w:rsidRPr="006264FA">
              <w:rPr>
                <w:rFonts w:cs="Arial"/>
                <w:i/>
                <w:szCs w:val="16"/>
              </w:rPr>
              <w:t>540,673</w:t>
            </w:r>
          </w:p>
        </w:tc>
      </w:tr>
      <w:tr w:rsidR="003079F2" w:rsidRPr="00673F8A" w14:paraId="2102724F" w14:textId="77777777">
        <w:trPr>
          <w:trHeight w:hRule="exact" w:val="225"/>
        </w:trPr>
        <w:tc>
          <w:tcPr>
            <w:tcW w:w="3568" w:type="pct"/>
            <w:tcBorders>
              <w:top w:val="nil"/>
              <w:left w:val="nil"/>
              <w:bottom w:val="nil"/>
              <w:right w:val="nil"/>
            </w:tcBorders>
            <w:shd w:val="clear" w:color="000000" w:fill="FFFFFF"/>
            <w:noWrap/>
            <w:vAlign w:val="center"/>
            <w:hideMark/>
          </w:tcPr>
          <w:p w14:paraId="61181A48" w14:textId="35BB4BE2" w:rsidR="003079F2" w:rsidRPr="006264FA" w:rsidRDefault="003079F2" w:rsidP="00C7128E">
            <w:pPr>
              <w:pStyle w:val="TableTextLeft"/>
              <w:rPr>
                <w:rFonts w:cs="Arial"/>
                <w:szCs w:val="16"/>
              </w:rPr>
            </w:pPr>
            <w:r w:rsidRPr="006264FA">
              <w:rPr>
                <w:rFonts w:cs="Arial"/>
                <w:szCs w:val="16"/>
              </w:rPr>
              <w:t>Provisions and payables</w:t>
            </w:r>
          </w:p>
        </w:tc>
        <w:tc>
          <w:tcPr>
            <w:tcW w:w="716" w:type="pct"/>
            <w:tcBorders>
              <w:top w:val="nil"/>
              <w:left w:val="nil"/>
              <w:bottom w:val="nil"/>
              <w:right w:val="nil"/>
            </w:tcBorders>
            <w:shd w:val="clear" w:color="000000" w:fill="FFFFFF"/>
            <w:noWrap/>
            <w:vAlign w:val="center"/>
            <w:hideMark/>
          </w:tcPr>
          <w:p w14:paraId="74B51D7C" w14:textId="518D3D97" w:rsidR="003079F2" w:rsidRPr="006264FA" w:rsidRDefault="003079F2"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63391C60" w14:textId="0D062A7A" w:rsidR="003079F2" w:rsidRPr="006264FA" w:rsidRDefault="003079F2" w:rsidP="0005205C">
            <w:pPr>
              <w:pStyle w:val="TableTextRight"/>
              <w:rPr>
                <w:rFonts w:cs="Arial"/>
                <w:szCs w:val="16"/>
              </w:rPr>
            </w:pPr>
            <w:r w:rsidRPr="006264FA">
              <w:rPr>
                <w:rFonts w:cs="Arial"/>
                <w:szCs w:val="16"/>
              </w:rPr>
              <w:t> </w:t>
            </w:r>
          </w:p>
        </w:tc>
      </w:tr>
      <w:tr w:rsidR="00E966C8" w:rsidRPr="00673F8A" w14:paraId="763BFC33" w14:textId="77777777">
        <w:trPr>
          <w:trHeight w:hRule="exact" w:val="225"/>
        </w:trPr>
        <w:tc>
          <w:tcPr>
            <w:tcW w:w="3568" w:type="pct"/>
            <w:tcBorders>
              <w:top w:val="nil"/>
              <w:left w:val="nil"/>
              <w:bottom w:val="nil"/>
              <w:right w:val="nil"/>
            </w:tcBorders>
            <w:shd w:val="clear" w:color="000000" w:fill="FFFFFF"/>
            <w:noWrap/>
            <w:vAlign w:val="center"/>
            <w:hideMark/>
          </w:tcPr>
          <w:p w14:paraId="75E7F598" w14:textId="2B53CF1C" w:rsidR="00E966C8" w:rsidRPr="006264FA" w:rsidRDefault="00E966C8" w:rsidP="001A11FA">
            <w:pPr>
              <w:pStyle w:val="TableTextIndented"/>
              <w:rPr>
                <w:rFonts w:cs="Arial"/>
                <w:szCs w:val="16"/>
              </w:rPr>
            </w:pPr>
            <w:r w:rsidRPr="006264FA">
              <w:rPr>
                <w:rFonts w:cs="Arial"/>
                <w:szCs w:val="16"/>
              </w:rPr>
              <w:t>Superannuation liability</w:t>
            </w:r>
          </w:p>
        </w:tc>
        <w:tc>
          <w:tcPr>
            <w:tcW w:w="716" w:type="pct"/>
            <w:tcBorders>
              <w:top w:val="nil"/>
              <w:left w:val="nil"/>
              <w:bottom w:val="nil"/>
              <w:right w:val="nil"/>
            </w:tcBorders>
            <w:shd w:val="clear" w:color="000000" w:fill="FFFFFF"/>
            <w:noWrap/>
            <w:vAlign w:val="center"/>
            <w:hideMark/>
          </w:tcPr>
          <w:p w14:paraId="5EC5D190" w14:textId="0699A004" w:rsidR="00E966C8" w:rsidRPr="006264FA" w:rsidRDefault="00E966C8" w:rsidP="0005205C">
            <w:pPr>
              <w:pStyle w:val="TableTextRight"/>
              <w:rPr>
                <w:rFonts w:cs="Arial"/>
                <w:szCs w:val="16"/>
              </w:rPr>
            </w:pPr>
            <w:r w:rsidRPr="006264FA">
              <w:rPr>
                <w:rFonts w:cs="Arial"/>
                <w:szCs w:val="16"/>
              </w:rPr>
              <w:t>0</w:t>
            </w:r>
          </w:p>
        </w:tc>
        <w:tc>
          <w:tcPr>
            <w:tcW w:w="716" w:type="pct"/>
            <w:tcBorders>
              <w:top w:val="nil"/>
              <w:left w:val="nil"/>
              <w:bottom w:val="nil"/>
              <w:right w:val="nil"/>
            </w:tcBorders>
            <w:shd w:val="clear" w:color="000000" w:fill="E6F2FF"/>
            <w:noWrap/>
            <w:vAlign w:val="center"/>
            <w:hideMark/>
          </w:tcPr>
          <w:p w14:paraId="66055934" w14:textId="60DB05D7" w:rsidR="00E966C8" w:rsidRPr="006264FA" w:rsidRDefault="00E966C8" w:rsidP="0005205C">
            <w:pPr>
              <w:pStyle w:val="TableTextRight"/>
              <w:rPr>
                <w:rFonts w:cs="Arial"/>
                <w:szCs w:val="16"/>
              </w:rPr>
            </w:pPr>
            <w:r w:rsidRPr="006264FA">
              <w:rPr>
                <w:rFonts w:cs="Arial"/>
                <w:szCs w:val="16"/>
              </w:rPr>
              <w:t>0</w:t>
            </w:r>
          </w:p>
        </w:tc>
      </w:tr>
      <w:tr w:rsidR="00E966C8" w:rsidRPr="00673F8A" w14:paraId="2EAA7A4E" w14:textId="77777777">
        <w:trPr>
          <w:trHeight w:hRule="exact" w:val="225"/>
        </w:trPr>
        <w:tc>
          <w:tcPr>
            <w:tcW w:w="3568" w:type="pct"/>
            <w:tcBorders>
              <w:top w:val="nil"/>
              <w:left w:val="nil"/>
              <w:bottom w:val="nil"/>
              <w:right w:val="nil"/>
            </w:tcBorders>
            <w:shd w:val="clear" w:color="000000" w:fill="FFFFFF"/>
            <w:noWrap/>
            <w:vAlign w:val="center"/>
            <w:hideMark/>
          </w:tcPr>
          <w:p w14:paraId="76472856" w14:textId="6C650A86" w:rsidR="00E966C8" w:rsidRPr="006264FA" w:rsidRDefault="00E966C8" w:rsidP="001A11FA">
            <w:pPr>
              <w:pStyle w:val="TableTextIndented"/>
              <w:rPr>
                <w:rFonts w:cs="Arial"/>
                <w:szCs w:val="16"/>
              </w:rPr>
            </w:pPr>
            <w:r w:rsidRPr="006264FA">
              <w:rPr>
                <w:rFonts w:cs="Arial"/>
                <w:szCs w:val="16"/>
              </w:rPr>
              <w:t>Other employee liabilities</w:t>
            </w:r>
          </w:p>
        </w:tc>
        <w:tc>
          <w:tcPr>
            <w:tcW w:w="716" w:type="pct"/>
            <w:tcBorders>
              <w:top w:val="nil"/>
              <w:left w:val="nil"/>
              <w:bottom w:val="nil"/>
              <w:right w:val="nil"/>
            </w:tcBorders>
            <w:shd w:val="clear" w:color="000000" w:fill="FFFFFF"/>
            <w:noWrap/>
            <w:vAlign w:val="center"/>
            <w:hideMark/>
          </w:tcPr>
          <w:p w14:paraId="22E3562B" w14:textId="26E616C2" w:rsidR="00E966C8" w:rsidRPr="006264FA" w:rsidRDefault="00E966C8" w:rsidP="0005205C">
            <w:pPr>
              <w:pStyle w:val="TableTextRight"/>
              <w:rPr>
                <w:rFonts w:cs="Arial"/>
                <w:szCs w:val="16"/>
              </w:rPr>
            </w:pPr>
            <w:r w:rsidRPr="006264FA">
              <w:rPr>
                <w:rFonts w:cs="Arial"/>
                <w:szCs w:val="16"/>
              </w:rPr>
              <w:t>194</w:t>
            </w:r>
          </w:p>
        </w:tc>
        <w:tc>
          <w:tcPr>
            <w:tcW w:w="716" w:type="pct"/>
            <w:tcBorders>
              <w:top w:val="nil"/>
              <w:left w:val="nil"/>
              <w:bottom w:val="nil"/>
              <w:right w:val="nil"/>
            </w:tcBorders>
            <w:shd w:val="clear" w:color="000000" w:fill="E6F2FF"/>
            <w:noWrap/>
            <w:vAlign w:val="center"/>
            <w:hideMark/>
          </w:tcPr>
          <w:p w14:paraId="066D6AE5" w14:textId="0197E143" w:rsidR="00E966C8" w:rsidRPr="006264FA" w:rsidRDefault="00E966C8" w:rsidP="0005205C">
            <w:pPr>
              <w:pStyle w:val="TableTextRight"/>
              <w:rPr>
                <w:rFonts w:cs="Arial"/>
                <w:szCs w:val="16"/>
              </w:rPr>
            </w:pPr>
            <w:r w:rsidRPr="006264FA">
              <w:rPr>
                <w:rFonts w:cs="Arial"/>
                <w:szCs w:val="16"/>
              </w:rPr>
              <w:t>195</w:t>
            </w:r>
          </w:p>
        </w:tc>
      </w:tr>
      <w:tr w:rsidR="00E966C8" w:rsidRPr="00673F8A" w14:paraId="42F03D6B" w14:textId="77777777">
        <w:trPr>
          <w:trHeight w:hRule="exact" w:val="225"/>
        </w:trPr>
        <w:tc>
          <w:tcPr>
            <w:tcW w:w="3568" w:type="pct"/>
            <w:tcBorders>
              <w:top w:val="nil"/>
              <w:left w:val="nil"/>
              <w:bottom w:val="nil"/>
              <w:right w:val="nil"/>
            </w:tcBorders>
            <w:shd w:val="clear" w:color="000000" w:fill="FFFFFF"/>
            <w:noWrap/>
            <w:vAlign w:val="center"/>
            <w:hideMark/>
          </w:tcPr>
          <w:p w14:paraId="5D22D521" w14:textId="56766AAA" w:rsidR="00E966C8" w:rsidRPr="006264FA" w:rsidRDefault="00E966C8" w:rsidP="001A11FA">
            <w:pPr>
              <w:pStyle w:val="TableTextIndented"/>
              <w:rPr>
                <w:rFonts w:cs="Arial"/>
                <w:szCs w:val="16"/>
              </w:rPr>
            </w:pPr>
            <w:r w:rsidRPr="006264FA">
              <w:rPr>
                <w:rFonts w:cs="Arial"/>
                <w:szCs w:val="16"/>
              </w:rPr>
              <w:t>Other payables</w:t>
            </w:r>
          </w:p>
        </w:tc>
        <w:tc>
          <w:tcPr>
            <w:tcW w:w="716" w:type="pct"/>
            <w:tcBorders>
              <w:top w:val="nil"/>
              <w:left w:val="nil"/>
              <w:bottom w:val="nil"/>
              <w:right w:val="nil"/>
            </w:tcBorders>
            <w:shd w:val="clear" w:color="000000" w:fill="FFFFFF"/>
            <w:noWrap/>
            <w:vAlign w:val="center"/>
            <w:hideMark/>
          </w:tcPr>
          <w:p w14:paraId="1C57482E" w14:textId="12E4F516" w:rsidR="00E966C8" w:rsidRPr="006264FA" w:rsidRDefault="00E966C8" w:rsidP="0005205C">
            <w:pPr>
              <w:pStyle w:val="TableTextRight"/>
              <w:rPr>
                <w:rFonts w:cs="Arial"/>
                <w:szCs w:val="16"/>
              </w:rPr>
            </w:pPr>
            <w:r w:rsidRPr="006264FA">
              <w:rPr>
                <w:rFonts w:cs="Arial"/>
                <w:szCs w:val="16"/>
              </w:rPr>
              <w:t>10,088</w:t>
            </w:r>
          </w:p>
        </w:tc>
        <w:tc>
          <w:tcPr>
            <w:tcW w:w="716" w:type="pct"/>
            <w:tcBorders>
              <w:top w:val="nil"/>
              <w:left w:val="nil"/>
              <w:bottom w:val="nil"/>
              <w:right w:val="nil"/>
            </w:tcBorders>
            <w:shd w:val="clear" w:color="000000" w:fill="E6F2FF"/>
            <w:noWrap/>
            <w:vAlign w:val="center"/>
            <w:hideMark/>
          </w:tcPr>
          <w:p w14:paraId="5B78C37B" w14:textId="789BF6B4" w:rsidR="00E966C8" w:rsidRPr="006264FA" w:rsidRDefault="00E966C8" w:rsidP="0005205C">
            <w:pPr>
              <w:pStyle w:val="TableTextRight"/>
              <w:rPr>
                <w:rFonts w:cs="Arial"/>
                <w:szCs w:val="16"/>
              </w:rPr>
            </w:pPr>
            <w:r w:rsidRPr="006264FA">
              <w:rPr>
                <w:rFonts w:cs="Arial"/>
                <w:szCs w:val="16"/>
              </w:rPr>
              <w:t>10,069</w:t>
            </w:r>
          </w:p>
        </w:tc>
      </w:tr>
      <w:tr w:rsidR="00E966C8" w:rsidRPr="00673F8A" w14:paraId="7B7CA152" w14:textId="77777777">
        <w:trPr>
          <w:trHeight w:hRule="exact" w:val="225"/>
        </w:trPr>
        <w:tc>
          <w:tcPr>
            <w:tcW w:w="3568" w:type="pct"/>
            <w:tcBorders>
              <w:top w:val="nil"/>
              <w:left w:val="nil"/>
              <w:bottom w:val="nil"/>
              <w:right w:val="nil"/>
            </w:tcBorders>
            <w:shd w:val="clear" w:color="000000" w:fill="FFFFFF"/>
            <w:noWrap/>
            <w:vAlign w:val="center"/>
            <w:hideMark/>
          </w:tcPr>
          <w:p w14:paraId="157115C1" w14:textId="5AA06691" w:rsidR="00E966C8" w:rsidRPr="006264FA" w:rsidRDefault="00E966C8" w:rsidP="001A11FA">
            <w:pPr>
              <w:pStyle w:val="TableTextIndented"/>
              <w:rPr>
                <w:rFonts w:cs="Arial"/>
                <w:szCs w:val="16"/>
              </w:rPr>
            </w:pPr>
            <w:r w:rsidRPr="006264FA">
              <w:rPr>
                <w:rFonts w:cs="Arial"/>
                <w:szCs w:val="16"/>
              </w:rPr>
              <w:t xml:space="preserve">Other provisions(b) </w:t>
            </w:r>
          </w:p>
        </w:tc>
        <w:tc>
          <w:tcPr>
            <w:tcW w:w="716" w:type="pct"/>
            <w:tcBorders>
              <w:top w:val="nil"/>
              <w:left w:val="nil"/>
              <w:bottom w:val="nil"/>
              <w:right w:val="nil"/>
            </w:tcBorders>
            <w:shd w:val="clear" w:color="000000" w:fill="FFFFFF"/>
            <w:noWrap/>
            <w:vAlign w:val="center"/>
            <w:hideMark/>
          </w:tcPr>
          <w:p w14:paraId="2E5C4576" w14:textId="47B9FF16" w:rsidR="00E966C8" w:rsidRPr="006264FA" w:rsidRDefault="00E966C8" w:rsidP="0005205C">
            <w:pPr>
              <w:pStyle w:val="TableTextRight"/>
              <w:rPr>
                <w:rFonts w:cs="Arial"/>
                <w:szCs w:val="16"/>
              </w:rPr>
            </w:pPr>
            <w:r w:rsidRPr="006264FA">
              <w:rPr>
                <w:rFonts w:cs="Arial"/>
                <w:szCs w:val="16"/>
              </w:rPr>
              <w:t>2,586</w:t>
            </w:r>
          </w:p>
        </w:tc>
        <w:tc>
          <w:tcPr>
            <w:tcW w:w="716" w:type="pct"/>
            <w:tcBorders>
              <w:top w:val="nil"/>
              <w:left w:val="nil"/>
              <w:bottom w:val="nil"/>
              <w:right w:val="nil"/>
            </w:tcBorders>
            <w:shd w:val="clear" w:color="000000" w:fill="E6F2FF"/>
            <w:noWrap/>
            <w:vAlign w:val="center"/>
            <w:hideMark/>
          </w:tcPr>
          <w:p w14:paraId="24E18A20" w14:textId="3B2D2A06" w:rsidR="00E966C8" w:rsidRPr="006264FA" w:rsidRDefault="00E966C8" w:rsidP="0005205C">
            <w:pPr>
              <w:pStyle w:val="TableTextRight"/>
              <w:rPr>
                <w:rFonts w:cs="Arial"/>
                <w:szCs w:val="16"/>
              </w:rPr>
            </w:pPr>
            <w:r w:rsidRPr="006264FA">
              <w:rPr>
                <w:rFonts w:cs="Arial"/>
                <w:szCs w:val="16"/>
              </w:rPr>
              <w:t>2,888</w:t>
            </w:r>
          </w:p>
        </w:tc>
      </w:tr>
      <w:tr w:rsidR="00E966C8" w:rsidRPr="00673F8A" w14:paraId="38511ACB" w14:textId="77777777">
        <w:trPr>
          <w:trHeight w:hRule="exact" w:val="225"/>
        </w:trPr>
        <w:tc>
          <w:tcPr>
            <w:tcW w:w="3568" w:type="pct"/>
            <w:tcBorders>
              <w:top w:val="nil"/>
              <w:left w:val="nil"/>
              <w:bottom w:val="nil"/>
              <w:right w:val="nil"/>
            </w:tcBorders>
            <w:shd w:val="clear" w:color="000000" w:fill="FFFFFF"/>
            <w:noWrap/>
            <w:vAlign w:val="center"/>
            <w:hideMark/>
          </w:tcPr>
          <w:p w14:paraId="7745D3BA" w14:textId="620812E3" w:rsidR="00E966C8" w:rsidRPr="006264FA" w:rsidRDefault="00E966C8" w:rsidP="00C7128E">
            <w:pPr>
              <w:pStyle w:val="TableTextLeft"/>
              <w:rPr>
                <w:rFonts w:cs="Arial"/>
                <w:i/>
                <w:szCs w:val="16"/>
              </w:rPr>
            </w:pPr>
            <w:r w:rsidRPr="006264FA">
              <w:rPr>
                <w:rFonts w:cs="Arial"/>
                <w:i/>
                <w:szCs w:val="16"/>
              </w:rPr>
              <w:t>Total provisions and payables</w:t>
            </w:r>
          </w:p>
        </w:tc>
        <w:tc>
          <w:tcPr>
            <w:tcW w:w="716" w:type="pct"/>
            <w:tcBorders>
              <w:top w:val="nil"/>
              <w:left w:val="nil"/>
              <w:bottom w:val="nil"/>
              <w:right w:val="nil"/>
            </w:tcBorders>
            <w:shd w:val="clear" w:color="000000" w:fill="FFFFFF"/>
            <w:noWrap/>
            <w:vAlign w:val="center"/>
            <w:hideMark/>
          </w:tcPr>
          <w:p w14:paraId="4CD87A09" w14:textId="1B5B0A24" w:rsidR="00E966C8" w:rsidRPr="006264FA" w:rsidRDefault="00E966C8" w:rsidP="0005205C">
            <w:pPr>
              <w:pStyle w:val="TableTextRight"/>
              <w:rPr>
                <w:rFonts w:cs="Arial"/>
                <w:i/>
                <w:szCs w:val="16"/>
              </w:rPr>
            </w:pPr>
            <w:r w:rsidRPr="006264FA">
              <w:rPr>
                <w:rFonts w:cs="Arial"/>
                <w:i/>
                <w:szCs w:val="16"/>
              </w:rPr>
              <w:t>12,868</w:t>
            </w:r>
          </w:p>
        </w:tc>
        <w:tc>
          <w:tcPr>
            <w:tcW w:w="716" w:type="pct"/>
            <w:tcBorders>
              <w:top w:val="nil"/>
              <w:left w:val="nil"/>
              <w:bottom w:val="nil"/>
              <w:right w:val="nil"/>
            </w:tcBorders>
            <w:shd w:val="clear" w:color="000000" w:fill="E6F2FF"/>
            <w:noWrap/>
            <w:vAlign w:val="center"/>
            <w:hideMark/>
          </w:tcPr>
          <w:p w14:paraId="27CE81AA" w14:textId="49B3EDA4" w:rsidR="00E966C8" w:rsidRPr="006264FA" w:rsidRDefault="00E966C8" w:rsidP="0005205C">
            <w:pPr>
              <w:pStyle w:val="TableTextRight"/>
              <w:rPr>
                <w:rFonts w:cs="Arial"/>
                <w:i/>
                <w:szCs w:val="16"/>
              </w:rPr>
            </w:pPr>
            <w:r w:rsidRPr="006264FA">
              <w:rPr>
                <w:rFonts w:cs="Arial"/>
                <w:i/>
                <w:szCs w:val="16"/>
              </w:rPr>
              <w:t>13,153</w:t>
            </w:r>
          </w:p>
        </w:tc>
      </w:tr>
      <w:tr w:rsidR="00E966C8" w:rsidRPr="00673F8A" w14:paraId="73F5BA3A" w14:textId="77777777">
        <w:trPr>
          <w:trHeight w:hRule="exact" w:val="60"/>
        </w:trPr>
        <w:tc>
          <w:tcPr>
            <w:tcW w:w="3568" w:type="pct"/>
            <w:tcBorders>
              <w:top w:val="nil"/>
              <w:left w:val="nil"/>
              <w:bottom w:val="nil"/>
              <w:right w:val="nil"/>
            </w:tcBorders>
            <w:shd w:val="clear" w:color="000000" w:fill="FFFFFF"/>
            <w:noWrap/>
            <w:vAlign w:val="center"/>
            <w:hideMark/>
          </w:tcPr>
          <w:p w14:paraId="1A7DB4E4" w14:textId="340A337E" w:rsidR="00E966C8" w:rsidRPr="006264FA" w:rsidRDefault="00E966C8" w:rsidP="00C7128E">
            <w:pPr>
              <w:pStyle w:val="TableTextLeft"/>
              <w:rPr>
                <w:rFonts w:cs="Arial"/>
                <w:i/>
                <w:szCs w:val="16"/>
              </w:rPr>
            </w:pPr>
            <w:r w:rsidRPr="006264FA">
              <w:rPr>
                <w:rFonts w:cs="Arial"/>
                <w:i/>
                <w:szCs w:val="16"/>
              </w:rPr>
              <w:t> </w:t>
            </w:r>
          </w:p>
        </w:tc>
        <w:tc>
          <w:tcPr>
            <w:tcW w:w="716" w:type="pct"/>
            <w:tcBorders>
              <w:top w:val="nil"/>
              <w:left w:val="nil"/>
              <w:bottom w:val="nil"/>
              <w:right w:val="nil"/>
            </w:tcBorders>
            <w:shd w:val="clear" w:color="000000" w:fill="FFFFFF"/>
            <w:noWrap/>
            <w:vAlign w:val="center"/>
            <w:hideMark/>
          </w:tcPr>
          <w:p w14:paraId="63914BD1" w14:textId="0F5D8ECF" w:rsidR="00E966C8" w:rsidRPr="006264FA" w:rsidRDefault="00E966C8" w:rsidP="0005205C">
            <w:pPr>
              <w:pStyle w:val="TableTextRight"/>
              <w:rPr>
                <w:rFonts w:cs="Arial"/>
                <w:i/>
                <w:szCs w:val="16"/>
              </w:rPr>
            </w:pPr>
            <w:r w:rsidRPr="006264FA">
              <w:rPr>
                <w:rFonts w:cs="Arial"/>
                <w:i/>
                <w:szCs w:val="16"/>
              </w:rPr>
              <w:t> </w:t>
            </w:r>
          </w:p>
        </w:tc>
        <w:tc>
          <w:tcPr>
            <w:tcW w:w="716" w:type="pct"/>
            <w:tcBorders>
              <w:top w:val="nil"/>
              <w:left w:val="nil"/>
              <w:bottom w:val="nil"/>
              <w:right w:val="nil"/>
            </w:tcBorders>
            <w:shd w:val="clear" w:color="000000" w:fill="E6F2FF"/>
            <w:noWrap/>
            <w:vAlign w:val="center"/>
            <w:hideMark/>
          </w:tcPr>
          <w:p w14:paraId="58168B95" w14:textId="0F26CC0B" w:rsidR="00E966C8" w:rsidRPr="006264FA" w:rsidRDefault="00E966C8" w:rsidP="0005205C">
            <w:pPr>
              <w:pStyle w:val="TableTextRight"/>
              <w:rPr>
                <w:rFonts w:cs="Arial"/>
                <w:i/>
                <w:szCs w:val="16"/>
              </w:rPr>
            </w:pPr>
            <w:r w:rsidRPr="006264FA">
              <w:rPr>
                <w:rFonts w:cs="Arial"/>
                <w:i/>
                <w:szCs w:val="16"/>
              </w:rPr>
              <w:t> </w:t>
            </w:r>
          </w:p>
        </w:tc>
      </w:tr>
      <w:tr w:rsidR="00E966C8" w:rsidRPr="00673F8A" w14:paraId="02F99F60" w14:textId="77777777">
        <w:trPr>
          <w:trHeight w:hRule="exact" w:val="225"/>
        </w:trPr>
        <w:tc>
          <w:tcPr>
            <w:tcW w:w="3568" w:type="pct"/>
            <w:tcBorders>
              <w:top w:val="nil"/>
              <w:left w:val="nil"/>
              <w:bottom w:val="nil"/>
              <w:right w:val="nil"/>
            </w:tcBorders>
            <w:shd w:val="clear" w:color="000000" w:fill="FFFFFF"/>
            <w:noWrap/>
            <w:vAlign w:val="center"/>
            <w:hideMark/>
          </w:tcPr>
          <w:p w14:paraId="34F640E0" w14:textId="6B740F3A" w:rsidR="00E966C8" w:rsidRPr="006264FA" w:rsidRDefault="00E966C8" w:rsidP="00C7128E">
            <w:pPr>
              <w:pStyle w:val="TableTextLeft"/>
              <w:rPr>
                <w:rFonts w:cs="Arial"/>
                <w:b/>
                <w:szCs w:val="16"/>
              </w:rPr>
            </w:pPr>
            <w:r w:rsidRPr="006264FA">
              <w:rPr>
                <w:rFonts w:cs="Arial"/>
                <w:b/>
                <w:szCs w:val="16"/>
              </w:rPr>
              <w:t>Total liabilities</w:t>
            </w:r>
          </w:p>
        </w:tc>
        <w:tc>
          <w:tcPr>
            <w:tcW w:w="716" w:type="pct"/>
            <w:tcBorders>
              <w:top w:val="nil"/>
              <w:left w:val="nil"/>
              <w:bottom w:val="nil"/>
              <w:right w:val="nil"/>
            </w:tcBorders>
            <w:shd w:val="clear" w:color="000000" w:fill="FFFFFF"/>
            <w:noWrap/>
            <w:vAlign w:val="center"/>
            <w:hideMark/>
          </w:tcPr>
          <w:p w14:paraId="6623AA50" w14:textId="50B6FC72" w:rsidR="00E966C8" w:rsidRPr="006264FA" w:rsidRDefault="00E966C8" w:rsidP="0005205C">
            <w:pPr>
              <w:pStyle w:val="TableTextRight"/>
              <w:rPr>
                <w:rFonts w:cs="Arial"/>
                <w:b/>
                <w:szCs w:val="16"/>
              </w:rPr>
            </w:pPr>
            <w:r w:rsidRPr="006264FA">
              <w:rPr>
                <w:rFonts w:cs="Arial"/>
                <w:b/>
                <w:szCs w:val="16"/>
              </w:rPr>
              <w:t>549,243</w:t>
            </w:r>
          </w:p>
        </w:tc>
        <w:tc>
          <w:tcPr>
            <w:tcW w:w="716" w:type="pct"/>
            <w:tcBorders>
              <w:top w:val="nil"/>
              <w:left w:val="nil"/>
              <w:bottom w:val="nil"/>
              <w:right w:val="nil"/>
            </w:tcBorders>
            <w:shd w:val="clear" w:color="000000" w:fill="E6F2FF"/>
            <w:noWrap/>
            <w:vAlign w:val="center"/>
            <w:hideMark/>
          </w:tcPr>
          <w:p w14:paraId="0149B035" w14:textId="6195A4E1" w:rsidR="00E966C8" w:rsidRPr="006264FA" w:rsidRDefault="00E966C8" w:rsidP="0005205C">
            <w:pPr>
              <w:pStyle w:val="TableTextRight"/>
              <w:rPr>
                <w:rFonts w:cs="Arial"/>
                <w:b/>
                <w:szCs w:val="16"/>
              </w:rPr>
            </w:pPr>
            <w:r w:rsidRPr="006264FA">
              <w:rPr>
                <w:rFonts w:cs="Arial"/>
                <w:b/>
                <w:szCs w:val="16"/>
              </w:rPr>
              <w:t>553,825</w:t>
            </w:r>
          </w:p>
        </w:tc>
      </w:tr>
      <w:tr w:rsidR="00E966C8" w:rsidRPr="00673F8A" w14:paraId="3ECCE49E" w14:textId="77777777">
        <w:trPr>
          <w:trHeight w:hRule="exact" w:val="60"/>
        </w:trPr>
        <w:tc>
          <w:tcPr>
            <w:tcW w:w="3568" w:type="pct"/>
            <w:tcBorders>
              <w:top w:val="nil"/>
              <w:left w:val="nil"/>
              <w:bottom w:val="nil"/>
              <w:right w:val="nil"/>
            </w:tcBorders>
            <w:shd w:val="clear" w:color="000000" w:fill="FFFFFF"/>
            <w:noWrap/>
            <w:vAlign w:val="center"/>
            <w:hideMark/>
          </w:tcPr>
          <w:p w14:paraId="3D63C93E" w14:textId="5F37F237" w:rsidR="00E966C8" w:rsidRPr="006264FA" w:rsidRDefault="00E966C8" w:rsidP="00C7128E">
            <w:pPr>
              <w:pStyle w:val="TableTextLeft"/>
              <w:rPr>
                <w:rFonts w:cs="Arial"/>
                <w:b/>
                <w:szCs w:val="16"/>
              </w:rPr>
            </w:pPr>
            <w:r w:rsidRPr="006264FA">
              <w:rPr>
                <w:rFonts w:cs="Arial"/>
                <w:b/>
                <w:szCs w:val="16"/>
              </w:rPr>
              <w:t> </w:t>
            </w:r>
          </w:p>
        </w:tc>
        <w:tc>
          <w:tcPr>
            <w:tcW w:w="716" w:type="pct"/>
            <w:tcBorders>
              <w:top w:val="nil"/>
              <w:left w:val="nil"/>
              <w:bottom w:val="nil"/>
              <w:right w:val="nil"/>
            </w:tcBorders>
            <w:shd w:val="clear" w:color="000000" w:fill="FFFFFF"/>
            <w:noWrap/>
            <w:vAlign w:val="center"/>
            <w:hideMark/>
          </w:tcPr>
          <w:p w14:paraId="382C2AAC" w14:textId="5BD47187" w:rsidR="00E966C8" w:rsidRPr="006264FA" w:rsidRDefault="00E966C8"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116DDD3B" w14:textId="213377F4" w:rsidR="00E966C8" w:rsidRPr="006264FA" w:rsidRDefault="00E966C8" w:rsidP="0005205C">
            <w:pPr>
              <w:pStyle w:val="TableTextRight"/>
              <w:rPr>
                <w:rFonts w:cs="Arial"/>
                <w:b/>
                <w:szCs w:val="16"/>
              </w:rPr>
            </w:pPr>
            <w:r w:rsidRPr="006264FA">
              <w:rPr>
                <w:rFonts w:cs="Arial"/>
                <w:b/>
                <w:szCs w:val="16"/>
              </w:rPr>
              <w:t> </w:t>
            </w:r>
          </w:p>
        </w:tc>
      </w:tr>
      <w:tr w:rsidR="00E966C8" w:rsidRPr="00673F8A" w14:paraId="5E8BAA34" w14:textId="77777777">
        <w:trPr>
          <w:trHeight w:hRule="exact" w:val="225"/>
        </w:trPr>
        <w:tc>
          <w:tcPr>
            <w:tcW w:w="3568" w:type="pct"/>
            <w:tcBorders>
              <w:top w:val="nil"/>
              <w:left w:val="nil"/>
              <w:bottom w:val="nil"/>
              <w:right w:val="nil"/>
            </w:tcBorders>
            <w:shd w:val="clear" w:color="000000" w:fill="FFFFFF"/>
            <w:noWrap/>
            <w:vAlign w:val="center"/>
            <w:hideMark/>
          </w:tcPr>
          <w:p w14:paraId="556B667A" w14:textId="3CF7AC0B" w:rsidR="00E966C8" w:rsidRPr="006264FA" w:rsidRDefault="00E966C8" w:rsidP="00C7128E">
            <w:pPr>
              <w:pStyle w:val="TableTextLeft"/>
              <w:rPr>
                <w:rFonts w:cs="Arial"/>
                <w:b/>
                <w:szCs w:val="16"/>
              </w:rPr>
            </w:pPr>
            <w:r w:rsidRPr="006264FA">
              <w:rPr>
                <w:rFonts w:cs="Arial"/>
                <w:b/>
                <w:szCs w:val="16"/>
              </w:rPr>
              <w:t>Shares and other contributed capital</w:t>
            </w:r>
          </w:p>
        </w:tc>
        <w:tc>
          <w:tcPr>
            <w:tcW w:w="716" w:type="pct"/>
            <w:tcBorders>
              <w:top w:val="nil"/>
              <w:left w:val="nil"/>
              <w:bottom w:val="nil"/>
              <w:right w:val="nil"/>
            </w:tcBorders>
            <w:shd w:val="clear" w:color="000000" w:fill="FFFFFF"/>
            <w:noWrap/>
            <w:vAlign w:val="center"/>
            <w:hideMark/>
          </w:tcPr>
          <w:p w14:paraId="14473170" w14:textId="0546EC0B" w:rsidR="00E966C8" w:rsidRPr="006264FA" w:rsidRDefault="00325E1E" w:rsidP="0005205C">
            <w:pPr>
              <w:pStyle w:val="TableTextRight"/>
              <w:rPr>
                <w:rFonts w:cs="Arial"/>
                <w:b/>
                <w:szCs w:val="16"/>
              </w:rPr>
            </w:pPr>
            <w:r>
              <w:rPr>
                <w:rFonts w:cs="Arial"/>
                <w:b/>
                <w:bCs/>
                <w:szCs w:val="16"/>
              </w:rPr>
              <w:noBreakHyphen/>
            </w:r>
            <w:r w:rsidR="00E966C8" w:rsidRPr="006264FA">
              <w:rPr>
                <w:rFonts w:cs="Arial"/>
                <w:b/>
                <w:szCs w:val="16"/>
              </w:rPr>
              <w:t>12,202</w:t>
            </w:r>
          </w:p>
        </w:tc>
        <w:tc>
          <w:tcPr>
            <w:tcW w:w="716" w:type="pct"/>
            <w:tcBorders>
              <w:top w:val="nil"/>
              <w:left w:val="nil"/>
              <w:bottom w:val="nil"/>
              <w:right w:val="nil"/>
            </w:tcBorders>
            <w:shd w:val="clear" w:color="000000" w:fill="E6F2FF"/>
            <w:noWrap/>
            <w:vAlign w:val="center"/>
            <w:hideMark/>
          </w:tcPr>
          <w:p w14:paraId="0A40445F" w14:textId="253FF717" w:rsidR="00E966C8" w:rsidRPr="006264FA" w:rsidRDefault="00325E1E" w:rsidP="0005205C">
            <w:pPr>
              <w:pStyle w:val="TableTextRight"/>
              <w:rPr>
                <w:rFonts w:cs="Arial"/>
                <w:b/>
                <w:szCs w:val="16"/>
              </w:rPr>
            </w:pPr>
            <w:r>
              <w:rPr>
                <w:rFonts w:cs="Arial"/>
                <w:b/>
                <w:bCs/>
                <w:szCs w:val="16"/>
              </w:rPr>
              <w:noBreakHyphen/>
            </w:r>
            <w:r w:rsidR="00E966C8" w:rsidRPr="006264FA">
              <w:rPr>
                <w:rFonts w:cs="Arial"/>
                <w:b/>
                <w:szCs w:val="16"/>
              </w:rPr>
              <w:t>9,627</w:t>
            </w:r>
          </w:p>
        </w:tc>
      </w:tr>
      <w:tr w:rsidR="00E966C8" w:rsidRPr="00673F8A" w14:paraId="5B95CEE0" w14:textId="77777777">
        <w:trPr>
          <w:trHeight w:hRule="exact" w:val="60"/>
        </w:trPr>
        <w:tc>
          <w:tcPr>
            <w:tcW w:w="3568" w:type="pct"/>
            <w:tcBorders>
              <w:top w:val="nil"/>
              <w:left w:val="nil"/>
              <w:bottom w:val="nil"/>
              <w:right w:val="nil"/>
            </w:tcBorders>
            <w:shd w:val="clear" w:color="000000" w:fill="FFFFFF"/>
            <w:noWrap/>
            <w:vAlign w:val="center"/>
            <w:hideMark/>
          </w:tcPr>
          <w:p w14:paraId="2F0D87D9" w14:textId="1169EA7B" w:rsidR="00E966C8" w:rsidRPr="006264FA" w:rsidRDefault="00E966C8" w:rsidP="00C7128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35216C72" w14:textId="204090B9" w:rsidR="00E966C8" w:rsidRPr="006264FA" w:rsidRDefault="00E966C8"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E4A185F" w14:textId="6A46248C" w:rsidR="00E966C8" w:rsidRPr="006264FA" w:rsidRDefault="00E966C8" w:rsidP="0005205C">
            <w:pPr>
              <w:pStyle w:val="TableTextRight"/>
              <w:rPr>
                <w:rFonts w:cs="Arial"/>
                <w:szCs w:val="16"/>
              </w:rPr>
            </w:pPr>
            <w:r w:rsidRPr="006264FA">
              <w:rPr>
                <w:rFonts w:cs="Arial"/>
                <w:szCs w:val="16"/>
              </w:rPr>
              <w:t> </w:t>
            </w:r>
          </w:p>
        </w:tc>
      </w:tr>
      <w:tr w:rsidR="00E966C8" w:rsidRPr="00673F8A" w14:paraId="424DDFC2"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1D2E4377" w14:textId="04E1CFD2" w:rsidR="00E966C8" w:rsidRPr="006264FA" w:rsidRDefault="00E966C8" w:rsidP="00C7128E">
            <w:pPr>
              <w:pStyle w:val="TableTextLeft"/>
              <w:rPr>
                <w:rFonts w:cs="Arial"/>
                <w:b/>
                <w:szCs w:val="16"/>
              </w:rPr>
            </w:pPr>
            <w:r w:rsidRPr="006264FA">
              <w:rPr>
                <w:rFonts w:cs="Arial"/>
                <w:b/>
                <w:szCs w:val="16"/>
              </w:rPr>
              <w:t>Net worth(c)</w:t>
            </w:r>
          </w:p>
        </w:tc>
        <w:tc>
          <w:tcPr>
            <w:tcW w:w="716" w:type="pct"/>
            <w:tcBorders>
              <w:top w:val="nil"/>
              <w:left w:val="nil"/>
              <w:bottom w:val="single" w:sz="4" w:space="0" w:color="293F5B"/>
              <w:right w:val="nil"/>
            </w:tcBorders>
            <w:shd w:val="clear" w:color="000000" w:fill="FFFFFF"/>
            <w:noWrap/>
            <w:vAlign w:val="center"/>
            <w:hideMark/>
          </w:tcPr>
          <w:p w14:paraId="12DEE8C7" w14:textId="17473B1D" w:rsidR="00E966C8" w:rsidRPr="006264FA" w:rsidRDefault="00325E1E" w:rsidP="0005205C">
            <w:pPr>
              <w:pStyle w:val="TableTextRight"/>
              <w:rPr>
                <w:rFonts w:cs="Arial"/>
                <w:b/>
                <w:szCs w:val="16"/>
              </w:rPr>
            </w:pPr>
            <w:r>
              <w:rPr>
                <w:rFonts w:cs="Arial"/>
                <w:b/>
                <w:bCs/>
                <w:szCs w:val="16"/>
              </w:rPr>
              <w:noBreakHyphen/>
            </w:r>
            <w:r w:rsidR="00E966C8" w:rsidRPr="006264FA">
              <w:rPr>
                <w:rFonts w:cs="Arial"/>
                <w:b/>
                <w:szCs w:val="16"/>
              </w:rPr>
              <w:t>12,202</w:t>
            </w:r>
          </w:p>
        </w:tc>
        <w:tc>
          <w:tcPr>
            <w:tcW w:w="716" w:type="pct"/>
            <w:tcBorders>
              <w:top w:val="nil"/>
              <w:left w:val="nil"/>
              <w:bottom w:val="single" w:sz="4" w:space="0" w:color="293F5B"/>
              <w:right w:val="nil"/>
            </w:tcBorders>
            <w:shd w:val="clear" w:color="000000" w:fill="E6F2FF"/>
            <w:noWrap/>
            <w:vAlign w:val="center"/>
            <w:hideMark/>
          </w:tcPr>
          <w:p w14:paraId="0C94C4C8" w14:textId="5CADBACD" w:rsidR="00E966C8" w:rsidRPr="006264FA" w:rsidRDefault="00325E1E" w:rsidP="0005205C">
            <w:pPr>
              <w:pStyle w:val="TableTextRight"/>
              <w:rPr>
                <w:rFonts w:cs="Arial"/>
                <w:b/>
                <w:szCs w:val="16"/>
              </w:rPr>
            </w:pPr>
            <w:r>
              <w:rPr>
                <w:rFonts w:cs="Arial"/>
                <w:b/>
                <w:bCs/>
                <w:szCs w:val="16"/>
              </w:rPr>
              <w:noBreakHyphen/>
            </w:r>
            <w:r w:rsidR="00E966C8" w:rsidRPr="006264FA">
              <w:rPr>
                <w:rFonts w:cs="Arial"/>
                <w:b/>
                <w:szCs w:val="16"/>
              </w:rPr>
              <w:t>9,627</w:t>
            </w:r>
          </w:p>
        </w:tc>
      </w:tr>
      <w:tr w:rsidR="00E44A4B" w:rsidRPr="00673F8A" w14:paraId="3B31C39C" w14:textId="77777777">
        <w:trPr>
          <w:trHeight w:hRule="exact" w:val="225"/>
        </w:trPr>
        <w:tc>
          <w:tcPr>
            <w:tcW w:w="3568" w:type="pct"/>
            <w:tcBorders>
              <w:top w:val="nil"/>
              <w:left w:val="nil"/>
              <w:bottom w:val="nil"/>
              <w:right w:val="nil"/>
            </w:tcBorders>
            <w:shd w:val="clear" w:color="000000" w:fill="FFFFFF"/>
            <w:noWrap/>
            <w:vAlign w:val="center"/>
            <w:hideMark/>
          </w:tcPr>
          <w:p w14:paraId="408DEAAC" w14:textId="3D0FE084" w:rsidR="00E44A4B" w:rsidRPr="006264FA" w:rsidRDefault="00E44A4B" w:rsidP="00C7128E">
            <w:pPr>
              <w:pStyle w:val="TableTextLeft"/>
              <w:rPr>
                <w:rFonts w:cs="Arial"/>
                <w:i/>
                <w:szCs w:val="16"/>
              </w:rPr>
            </w:pPr>
            <w:r w:rsidRPr="006264FA">
              <w:rPr>
                <w:rFonts w:cs="Arial"/>
                <w:i/>
                <w:szCs w:val="16"/>
              </w:rPr>
              <w:t xml:space="preserve">Net financial worth(d) </w:t>
            </w:r>
          </w:p>
        </w:tc>
        <w:tc>
          <w:tcPr>
            <w:tcW w:w="716" w:type="pct"/>
            <w:tcBorders>
              <w:top w:val="nil"/>
              <w:left w:val="nil"/>
              <w:bottom w:val="nil"/>
              <w:right w:val="nil"/>
            </w:tcBorders>
            <w:shd w:val="clear" w:color="000000" w:fill="FFFFFF"/>
            <w:noWrap/>
            <w:vAlign w:val="center"/>
            <w:hideMark/>
          </w:tcPr>
          <w:p w14:paraId="1F70901E" w14:textId="3FCA71CB" w:rsidR="00E44A4B" w:rsidRPr="006264FA" w:rsidRDefault="00325E1E" w:rsidP="0005205C">
            <w:pPr>
              <w:pStyle w:val="TableTextRight"/>
              <w:rPr>
                <w:rFonts w:cs="Arial"/>
                <w:i/>
                <w:szCs w:val="16"/>
              </w:rPr>
            </w:pPr>
            <w:r>
              <w:rPr>
                <w:rFonts w:cs="Arial"/>
                <w:i/>
                <w:iCs/>
                <w:szCs w:val="16"/>
              </w:rPr>
              <w:noBreakHyphen/>
            </w:r>
            <w:r w:rsidR="00E44A4B" w:rsidRPr="006264FA">
              <w:rPr>
                <w:rFonts w:cs="Arial"/>
                <w:i/>
                <w:szCs w:val="16"/>
              </w:rPr>
              <w:t>13,175</w:t>
            </w:r>
          </w:p>
        </w:tc>
        <w:tc>
          <w:tcPr>
            <w:tcW w:w="716" w:type="pct"/>
            <w:tcBorders>
              <w:top w:val="nil"/>
              <w:left w:val="nil"/>
              <w:bottom w:val="nil"/>
              <w:right w:val="nil"/>
            </w:tcBorders>
            <w:shd w:val="clear" w:color="000000" w:fill="E6F2FF"/>
            <w:noWrap/>
            <w:vAlign w:val="center"/>
            <w:hideMark/>
          </w:tcPr>
          <w:p w14:paraId="3C559B40" w14:textId="3FFD7BBA" w:rsidR="00E44A4B" w:rsidRPr="006264FA" w:rsidRDefault="00325E1E" w:rsidP="0005205C">
            <w:pPr>
              <w:pStyle w:val="TableTextRight"/>
              <w:rPr>
                <w:rFonts w:cs="Arial"/>
                <w:i/>
                <w:szCs w:val="16"/>
              </w:rPr>
            </w:pPr>
            <w:r>
              <w:rPr>
                <w:rFonts w:cs="Arial"/>
                <w:i/>
                <w:iCs/>
                <w:szCs w:val="16"/>
              </w:rPr>
              <w:noBreakHyphen/>
            </w:r>
            <w:r w:rsidR="00E44A4B" w:rsidRPr="006264FA">
              <w:rPr>
                <w:rFonts w:cs="Arial"/>
                <w:i/>
                <w:szCs w:val="16"/>
              </w:rPr>
              <w:t>10,600</w:t>
            </w:r>
          </w:p>
        </w:tc>
      </w:tr>
      <w:tr w:rsidR="00E44A4B" w:rsidRPr="00673F8A" w14:paraId="6622ECD1"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7F2A1DF2" w14:textId="074854B4" w:rsidR="00E44A4B" w:rsidRPr="006264FA" w:rsidRDefault="00E44A4B" w:rsidP="00C7128E">
            <w:pPr>
              <w:pStyle w:val="TableTextLeft"/>
              <w:rPr>
                <w:rFonts w:cs="Arial"/>
                <w:i/>
                <w:szCs w:val="16"/>
              </w:rPr>
            </w:pPr>
            <w:r w:rsidRPr="006264FA">
              <w:rPr>
                <w:rFonts w:cs="Arial"/>
                <w:i/>
                <w:szCs w:val="16"/>
              </w:rPr>
              <w:t>Net debt(e)</w:t>
            </w:r>
          </w:p>
        </w:tc>
        <w:tc>
          <w:tcPr>
            <w:tcW w:w="716" w:type="pct"/>
            <w:tcBorders>
              <w:top w:val="nil"/>
              <w:left w:val="nil"/>
              <w:bottom w:val="single" w:sz="4" w:space="0" w:color="293F5B"/>
              <w:right w:val="nil"/>
            </w:tcBorders>
            <w:shd w:val="clear" w:color="000000" w:fill="FFFFFF"/>
            <w:noWrap/>
            <w:vAlign w:val="center"/>
            <w:hideMark/>
          </w:tcPr>
          <w:p w14:paraId="0DCBCACC" w14:textId="717B5022" w:rsidR="00E44A4B" w:rsidRPr="006264FA" w:rsidRDefault="00E44A4B" w:rsidP="0005205C">
            <w:pPr>
              <w:pStyle w:val="TableTextRight"/>
              <w:rPr>
                <w:rFonts w:cs="Arial"/>
                <w:i/>
                <w:szCs w:val="16"/>
              </w:rPr>
            </w:pPr>
            <w:r w:rsidRPr="006264FA">
              <w:rPr>
                <w:rFonts w:cs="Arial"/>
                <w:i/>
                <w:szCs w:val="16"/>
              </w:rPr>
              <w:t>2,143</w:t>
            </w:r>
          </w:p>
        </w:tc>
        <w:tc>
          <w:tcPr>
            <w:tcW w:w="716" w:type="pct"/>
            <w:tcBorders>
              <w:top w:val="nil"/>
              <w:left w:val="nil"/>
              <w:bottom w:val="single" w:sz="4" w:space="0" w:color="293F5B"/>
              <w:right w:val="nil"/>
            </w:tcBorders>
            <w:shd w:val="clear" w:color="000000" w:fill="E6F2FF"/>
            <w:noWrap/>
            <w:vAlign w:val="center"/>
            <w:hideMark/>
          </w:tcPr>
          <w:p w14:paraId="5E2FAD94" w14:textId="28F08FD0" w:rsidR="00E44A4B" w:rsidRPr="006264FA" w:rsidRDefault="00325E1E" w:rsidP="0005205C">
            <w:pPr>
              <w:pStyle w:val="TableTextRight"/>
              <w:rPr>
                <w:rFonts w:cs="Arial"/>
                <w:i/>
                <w:szCs w:val="16"/>
              </w:rPr>
            </w:pPr>
            <w:r>
              <w:rPr>
                <w:rFonts w:cs="Arial"/>
                <w:i/>
                <w:iCs/>
                <w:szCs w:val="16"/>
              </w:rPr>
              <w:noBreakHyphen/>
            </w:r>
            <w:r w:rsidR="00E44A4B" w:rsidRPr="006264FA">
              <w:rPr>
                <w:rFonts w:cs="Arial"/>
                <w:i/>
                <w:szCs w:val="16"/>
              </w:rPr>
              <w:t>429</w:t>
            </w:r>
          </w:p>
        </w:tc>
      </w:tr>
    </w:tbl>
    <w:p w14:paraId="64E3F6E6" w14:textId="77777777" w:rsidR="00D8138E" w:rsidRPr="00EA746C" w:rsidRDefault="00D8138E" w:rsidP="00D8138E">
      <w:pPr>
        <w:pStyle w:val="ChartandTableFootnoteAlpha"/>
        <w:numPr>
          <w:ilvl w:val="0"/>
          <w:numId w:val="17"/>
        </w:numPr>
      </w:pPr>
      <w:r w:rsidRPr="00EA746C">
        <w:t>Assumes no valuation or currency movement.</w:t>
      </w:r>
    </w:p>
    <w:p w14:paraId="1883C1C1" w14:textId="77777777" w:rsidR="00D8138E" w:rsidRPr="00EA746C" w:rsidRDefault="00D8138E" w:rsidP="00D8138E">
      <w:pPr>
        <w:pStyle w:val="ChartandTableFootnoteAlpha"/>
        <w:numPr>
          <w:ilvl w:val="0"/>
          <w:numId w:val="17"/>
        </w:numPr>
      </w:pPr>
      <w:r w:rsidRPr="00EA746C">
        <w:t>Excludes the impact of commercial taxation adjustments.</w:t>
      </w:r>
    </w:p>
    <w:p w14:paraId="11ACC7AE" w14:textId="257D74D1" w:rsidR="00D8138E" w:rsidRPr="00EA746C" w:rsidRDefault="00D8138E" w:rsidP="00D8138E">
      <w:pPr>
        <w:pStyle w:val="ChartandTableFootnoteAlpha"/>
        <w:numPr>
          <w:ilvl w:val="0"/>
          <w:numId w:val="17"/>
        </w:numPr>
      </w:pPr>
      <w:r w:rsidRPr="00EA746C">
        <w:t xml:space="preserve">Under </w:t>
      </w:r>
      <w:r w:rsidR="00A96E0D">
        <w:t>AASB </w:t>
      </w:r>
      <w:r w:rsidRPr="00EA746C">
        <w:t xml:space="preserve">1049, net worth equals total assets minus total liabilities. Under the ABS GFS, net worth equals total assets minus total liabilities minus shares and other contributed capital. The </w:t>
      </w:r>
      <w:r w:rsidR="00A96E0D">
        <w:t>AASB </w:t>
      </w:r>
      <w:r w:rsidRPr="00EA746C">
        <w:t>1049 method is used in this table.</w:t>
      </w:r>
    </w:p>
    <w:p w14:paraId="2C752B63" w14:textId="72CF926A" w:rsidR="00D8138E" w:rsidRPr="00EA746C" w:rsidRDefault="00D8138E" w:rsidP="00D8138E">
      <w:pPr>
        <w:pStyle w:val="ChartandTableFootnoteAlpha"/>
        <w:numPr>
          <w:ilvl w:val="0"/>
          <w:numId w:val="17"/>
        </w:numPr>
      </w:pPr>
      <w:r w:rsidRPr="00EA746C">
        <w:t xml:space="preserve">Under </w:t>
      </w:r>
      <w:r w:rsidR="00A96E0D">
        <w:t>AASB </w:t>
      </w:r>
      <w:r w:rsidRPr="00EA746C">
        <w:t xml:space="preserve">1049, net financial worth equals total financial assets minus total liabilities. Under the ABS GFS, net financial worth equals total financial assets minus total liabilities minus shares and other contributed capital. The </w:t>
      </w:r>
      <w:r w:rsidR="00A96E0D">
        <w:t>AASB </w:t>
      </w:r>
      <w:r w:rsidRPr="00EA746C">
        <w:t>1049 method is used in this table.</w:t>
      </w:r>
    </w:p>
    <w:p w14:paraId="260E5241" w14:textId="77777777" w:rsidR="00D8138E" w:rsidRPr="00EA746C" w:rsidRDefault="00D8138E" w:rsidP="00D8138E">
      <w:pPr>
        <w:pStyle w:val="ChartandTableFootnoteAlpha"/>
        <w:numPr>
          <w:ilvl w:val="0"/>
          <w:numId w:val="17"/>
        </w:numPr>
      </w:pPr>
      <w:r w:rsidRPr="00EA746C">
        <w:t>Net debt is the sum of interest bearing liabilities less the sum of selected financial assets (cash and deposits and investments, loans and placements).</w:t>
      </w:r>
    </w:p>
    <w:p w14:paraId="0E764090" w14:textId="77777777" w:rsidR="00D8138E" w:rsidRPr="00EA746C" w:rsidRDefault="00D8138E" w:rsidP="003835A0">
      <w:pPr>
        <w:pStyle w:val="TableLine"/>
      </w:pPr>
    </w:p>
    <w:p w14:paraId="69978996" w14:textId="77777777" w:rsidR="00D8138E" w:rsidRPr="00EA746C" w:rsidRDefault="00D8138E" w:rsidP="00D8138E">
      <w:r w:rsidRPr="00EA746C">
        <w:br w:type="page"/>
      </w:r>
    </w:p>
    <w:p w14:paraId="75861EF3" w14:textId="757243F7" w:rsidR="00D8138E" w:rsidRDefault="00A96E0D" w:rsidP="00D8138E">
      <w:pPr>
        <w:pStyle w:val="TableHeading"/>
        <w:rPr>
          <w:rFonts w:asciiTheme="minorHAnsi" w:eastAsiaTheme="minorHAnsi" w:hAnsiTheme="minorHAnsi" w:cstheme="minorBidi"/>
          <w:sz w:val="22"/>
          <w:szCs w:val="22"/>
          <w:lang w:eastAsia="en-US"/>
        </w:rPr>
      </w:pPr>
      <w:r>
        <w:lastRenderedPageBreak/>
        <w:t>Table </w:t>
      </w:r>
      <w:r w:rsidR="00D8138E" w:rsidRPr="00DC7D2A">
        <w:t>1</w:t>
      </w:r>
      <w:r w:rsidR="00C73FEA">
        <w:t>0</w:t>
      </w:r>
      <w:r w:rsidR="00D8138E" w:rsidRPr="00DC7D2A">
        <w:t>.12: Australian Government public financial corporations sector cash flow statement</w:t>
      </w:r>
      <w:r w:rsidR="00D8138E">
        <w:rPr>
          <w:vertAlign w:val="superscript"/>
        </w:rPr>
        <w:t>(a)</w:t>
      </w:r>
      <w:r w:rsidR="00D8138E">
        <w:t xml:space="preserve"> </w:t>
      </w:r>
    </w:p>
    <w:tbl>
      <w:tblPr>
        <w:tblW w:w="5000" w:type="pct"/>
        <w:tblCellMar>
          <w:left w:w="0" w:type="dxa"/>
          <w:right w:w="28" w:type="dxa"/>
        </w:tblCellMar>
        <w:tblLook w:val="04A0" w:firstRow="1" w:lastRow="0" w:firstColumn="1" w:lastColumn="0" w:noHBand="0" w:noVBand="1"/>
      </w:tblPr>
      <w:tblGrid>
        <w:gridCol w:w="5502"/>
        <w:gridCol w:w="1104"/>
        <w:gridCol w:w="1104"/>
      </w:tblGrid>
      <w:tr w:rsidR="00D8138E" w:rsidRPr="00D121A8" w14:paraId="3A038157" w14:textId="77777777">
        <w:trPr>
          <w:trHeight w:hRule="exact" w:val="225"/>
        </w:trPr>
        <w:tc>
          <w:tcPr>
            <w:tcW w:w="3568" w:type="pct"/>
            <w:tcBorders>
              <w:top w:val="single" w:sz="4" w:space="0" w:color="293F5B"/>
              <w:left w:val="nil"/>
              <w:bottom w:val="nil"/>
              <w:right w:val="nil"/>
            </w:tcBorders>
            <w:shd w:val="clear" w:color="000000" w:fill="FFFFFF"/>
            <w:noWrap/>
            <w:vAlign w:val="center"/>
            <w:hideMark/>
          </w:tcPr>
          <w:p w14:paraId="355E39DA" w14:textId="77777777" w:rsidR="00D8138E" w:rsidRPr="00D121A8" w:rsidRDefault="00D8138E" w:rsidP="008679DE">
            <w:pPr>
              <w:pStyle w:val="TableTextLeft"/>
            </w:pPr>
            <w:r w:rsidRPr="00D121A8">
              <w:t> </w:t>
            </w:r>
          </w:p>
        </w:tc>
        <w:tc>
          <w:tcPr>
            <w:tcW w:w="1432" w:type="pct"/>
            <w:gridSpan w:val="2"/>
            <w:tcBorders>
              <w:top w:val="single" w:sz="4" w:space="0" w:color="293F5B"/>
              <w:left w:val="nil"/>
              <w:bottom w:val="single" w:sz="4" w:space="0" w:color="293F5B"/>
              <w:right w:val="nil"/>
            </w:tcBorders>
            <w:shd w:val="clear" w:color="000000" w:fill="FFFFFF"/>
            <w:noWrap/>
            <w:vAlign w:val="center"/>
            <w:hideMark/>
          </w:tcPr>
          <w:p w14:paraId="7ADE377C" w14:textId="77777777" w:rsidR="00D8138E" w:rsidRPr="00D121A8" w:rsidRDefault="00D8138E" w:rsidP="0005205C">
            <w:pPr>
              <w:pStyle w:val="TableTextCentred"/>
            </w:pPr>
            <w:r w:rsidRPr="00D121A8">
              <w:t>Estimates</w:t>
            </w:r>
          </w:p>
        </w:tc>
      </w:tr>
      <w:tr w:rsidR="00D8138E" w:rsidRPr="00D121A8" w14:paraId="6D3F6884" w14:textId="77777777">
        <w:trPr>
          <w:trHeight w:hRule="exact" w:val="225"/>
        </w:trPr>
        <w:tc>
          <w:tcPr>
            <w:tcW w:w="3568" w:type="pct"/>
            <w:tcBorders>
              <w:top w:val="nil"/>
              <w:left w:val="nil"/>
              <w:bottom w:val="nil"/>
              <w:right w:val="nil"/>
            </w:tcBorders>
            <w:shd w:val="clear" w:color="000000" w:fill="FFFFFF"/>
            <w:noWrap/>
            <w:vAlign w:val="center"/>
            <w:hideMark/>
          </w:tcPr>
          <w:p w14:paraId="3385B2A9" w14:textId="77777777" w:rsidR="00D8138E" w:rsidRPr="00D121A8" w:rsidRDefault="00D8138E" w:rsidP="008679DE">
            <w:pPr>
              <w:pStyle w:val="TableTextLeft"/>
            </w:pPr>
            <w:r w:rsidRPr="00D121A8">
              <w:t> </w:t>
            </w:r>
          </w:p>
        </w:tc>
        <w:tc>
          <w:tcPr>
            <w:tcW w:w="716" w:type="pct"/>
            <w:tcBorders>
              <w:top w:val="nil"/>
              <w:left w:val="nil"/>
              <w:bottom w:val="nil"/>
              <w:right w:val="nil"/>
            </w:tcBorders>
            <w:shd w:val="clear" w:color="000000" w:fill="FFFFFF"/>
            <w:noWrap/>
            <w:vAlign w:val="center"/>
            <w:hideMark/>
          </w:tcPr>
          <w:p w14:paraId="2B23BEE2" w14:textId="7FC4C814" w:rsidR="00D8138E" w:rsidRPr="00D121A8" w:rsidRDefault="00D8138E" w:rsidP="0005205C">
            <w:pPr>
              <w:pStyle w:val="TableTextRight"/>
            </w:pPr>
            <w:r w:rsidRPr="00D121A8">
              <w:t>202</w:t>
            </w:r>
            <w:r w:rsidR="00924CFE">
              <w:t>3</w:t>
            </w:r>
            <w:r w:rsidRPr="00D121A8">
              <w:t>–2</w:t>
            </w:r>
            <w:r w:rsidR="00924CFE">
              <w:t>4</w:t>
            </w:r>
          </w:p>
        </w:tc>
        <w:tc>
          <w:tcPr>
            <w:tcW w:w="716" w:type="pct"/>
            <w:tcBorders>
              <w:top w:val="nil"/>
              <w:left w:val="nil"/>
              <w:bottom w:val="nil"/>
              <w:right w:val="nil"/>
            </w:tcBorders>
            <w:shd w:val="clear" w:color="000000" w:fill="E6F2FF"/>
            <w:noWrap/>
            <w:vAlign w:val="center"/>
            <w:hideMark/>
          </w:tcPr>
          <w:p w14:paraId="155EB481" w14:textId="435C8544" w:rsidR="00D8138E" w:rsidRPr="00D121A8" w:rsidRDefault="00D8138E" w:rsidP="0005205C">
            <w:pPr>
              <w:pStyle w:val="TableTextRight"/>
            </w:pPr>
            <w:r w:rsidRPr="00D121A8">
              <w:t>202</w:t>
            </w:r>
            <w:r w:rsidR="00924CFE">
              <w:t>4</w:t>
            </w:r>
            <w:r w:rsidRPr="00D121A8">
              <w:t>–2</w:t>
            </w:r>
            <w:r w:rsidR="00924CFE">
              <w:t>5</w:t>
            </w:r>
          </w:p>
        </w:tc>
      </w:tr>
      <w:tr w:rsidR="00D8138E" w:rsidRPr="00D121A8" w14:paraId="504E44F2" w14:textId="77777777">
        <w:trPr>
          <w:trHeight w:hRule="exact" w:val="225"/>
        </w:trPr>
        <w:tc>
          <w:tcPr>
            <w:tcW w:w="3568" w:type="pct"/>
            <w:tcBorders>
              <w:top w:val="nil"/>
              <w:left w:val="nil"/>
              <w:bottom w:val="nil"/>
              <w:right w:val="nil"/>
            </w:tcBorders>
            <w:shd w:val="clear" w:color="000000" w:fill="FFFFFF"/>
            <w:noWrap/>
            <w:vAlign w:val="center"/>
            <w:hideMark/>
          </w:tcPr>
          <w:p w14:paraId="34997DE0" w14:textId="77777777" w:rsidR="00D8138E" w:rsidRPr="00D121A8" w:rsidRDefault="00D8138E" w:rsidP="008679DE">
            <w:pPr>
              <w:pStyle w:val="TableTextLeft"/>
            </w:pPr>
            <w:r w:rsidRPr="00D121A8">
              <w:t> </w:t>
            </w:r>
          </w:p>
        </w:tc>
        <w:tc>
          <w:tcPr>
            <w:tcW w:w="716" w:type="pct"/>
            <w:tcBorders>
              <w:top w:val="nil"/>
              <w:left w:val="nil"/>
              <w:bottom w:val="single" w:sz="4" w:space="0" w:color="293F5B"/>
              <w:right w:val="nil"/>
            </w:tcBorders>
            <w:shd w:val="clear" w:color="000000" w:fill="FFFFFF"/>
            <w:noWrap/>
            <w:vAlign w:val="center"/>
            <w:hideMark/>
          </w:tcPr>
          <w:p w14:paraId="7F7EBFD4" w14:textId="77777777" w:rsidR="00D8138E" w:rsidRPr="00D121A8" w:rsidRDefault="00D8138E" w:rsidP="0005205C">
            <w:pPr>
              <w:pStyle w:val="TableTextRight"/>
            </w:pPr>
            <w:r w:rsidRPr="00D121A8">
              <w:t>$m</w:t>
            </w:r>
          </w:p>
        </w:tc>
        <w:tc>
          <w:tcPr>
            <w:tcW w:w="716" w:type="pct"/>
            <w:tcBorders>
              <w:top w:val="nil"/>
              <w:left w:val="nil"/>
              <w:bottom w:val="single" w:sz="4" w:space="0" w:color="293F5B"/>
              <w:right w:val="nil"/>
            </w:tcBorders>
            <w:shd w:val="clear" w:color="000000" w:fill="E6F2FF"/>
            <w:noWrap/>
            <w:vAlign w:val="center"/>
            <w:hideMark/>
          </w:tcPr>
          <w:p w14:paraId="3C9236D4" w14:textId="77777777" w:rsidR="00D8138E" w:rsidRPr="00D121A8" w:rsidRDefault="00D8138E" w:rsidP="0005205C">
            <w:pPr>
              <w:pStyle w:val="TableTextRight"/>
            </w:pPr>
            <w:r w:rsidRPr="00D121A8">
              <w:t>$m</w:t>
            </w:r>
          </w:p>
        </w:tc>
      </w:tr>
      <w:tr w:rsidR="00E123AE" w:rsidRPr="00D121A8" w14:paraId="076AF659" w14:textId="77777777">
        <w:trPr>
          <w:trHeight w:hRule="exact" w:val="225"/>
        </w:trPr>
        <w:tc>
          <w:tcPr>
            <w:tcW w:w="3568" w:type="pct"/>
            <w:tcBorders>
              <w:top w:val="nil"/>
              <w:left w:val="nil"/>
              <w:bottom w:val="nil"/>
              <w:right w:val="nil"/>
            </w:tcBorders>
            <w:shd w:val="clear" w:color="000000" w:fill="FFFFFF"/>
            <w:noWrap/>
            <w:vAlign w:val="center"/>
            <w:hideMark/>
          </w:tcPr>
          <w:p w14:paraId="65B7E143" w14:textId="4CA6A2D0" w:rsidR="00E123AE" w:rsidRPr="006264FA" w:rsidRDefault="00E123AE" w:rsidP="008679DE">
            <w:pPr>
              <w:pStyle w:val="TableTextLeft"/>
              <w:rPr>
                <w:rFonts w:cs="Arial"/>
                <w:b/>
                <w:szCs w:val="16"/>
              </w:rPr>
            </w:pPr>
            <w:r w:rsidRPr="006264FA">
              <w:rPr>
                <w:rFonts w:cs="Arial"/>
                <w:b/>
                <w:szCs w:val="16"/>
              </w:rPr>
              <w:t>Cash receipts from operating activities</w:t>
            </w:r>
          </w:p>
        </w:tc>
        <w:tc>
          <w:tcPr>
            <w:tcW w:w="716" w:type="pct"/>
            <w:tcBorders>
              <w:top w:val="nil"/>
              <w:left w:val="nil"/>
              <w:bottom w:val="nil"/>
              <w:right w:val="nil"/>
            </w:tcBorders>
            <w:shd w:val="clear" w:color="000000" w:fill="FFFFFF"/>
            <w:noWrap/>
            <w:vAlign w:val="center"/>
            <w:hideMark/>
          </w:tcPr>
          <w:p w14:paraId="5A49B003" w14:textId="1589611E" w:rsidR="00E123AE" w:rsidRPr="006264FA" w:rsidRDefault="00E123AE"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7F259C6" w14:textId="353A4547" w:rsidR="00E123AE" w:rsidRPr="006264FA" w:rsidRDefault="00E123AE" w:rsidP="0005205C">
            <w:pPr>
              <w:pStyle w:val="TableTextRight"/>
              <w:rPr>
                <w:rFonts w:cs="Arial"/>
                <w:szCs w:val="16"/>
              </w:rPr>
            </w:pPr>
            <w:r w:rsidRPr="006264FA">
              <w:rPr>
                <w:rFonts w:cs="Arial"/>
                <w:szCs w:val="16"/>
              </w:rPr>
              <w:t> </w:t>
            </w:r>
          </w:p>
        </w:tc>
      </w:tr>
      <w:tr w:rsidR="00D7240C" w:rsidRPr="00D121A8" w14:paraId="66EBC451" w14:textId="77777777">
        <w:trPr>
          <w:trHeight w:hRule="exact" w:val="225"/>
        </w:trPr>
        <w:tc>
          <w:tcPr>
            <w:tcW w:w="3568" w:type="pct"/>
            <w:tcBorders>
              <w:top w:val="nil"/>
              <w:left w:val="nil"/>
              <w:bottom w:val="nil"/>
              <w:right w:val="nil"/>
            </w:tcBorders>
            <w:shd w:val="clear" w:color="000000" w:fill="FFFFFF"/>
            <w:noWrap/>
            <w:vAlign w:val="center"/>
            <w:hideMark/>
          </w:tcPr>
          <w:p w14:paraId="2D7959A6" w14:textId="372C6E36" w:rsidR="00D7240C" w:rsidRPr="006264FA" w:rsidRDefault="00D7240C" w:rsidP="008679DE">
            <w:pPr>
              <w:pStyle w:val="TableTextLeft"/>
              <w:rPr>
                <w:rFonts w:cs="Arial"/>
                <w:szCs w:val="16"/>
              </w:rPr>
            </w:pPr>
            <w:r w:rsidRPr="006264FA">
              <w:rPr>
                <w:rFonts w:cs="Arial"/>
                <w:szCs w:val="16"/>
              </w:rPr>
              <w:t>Receipts from sales of goods and services</w:t>
            </w:r>
          </w:p>
        </w:tc>
        <w:tc>
          <w:tcPr>
            <w:tcW w:w="716" w:type="pct"/>
            <w:tcBorders>
              <w:top w:val="nil"/>
              <w:left w:val="nil"/>
              <w:bottom w:val="nil"/>
              <w:right w:val="nil"/>
            </w:tcBorders>
            <w:shd w:val="clear" w:color="000000" w:fill="FFFFFF"/>
            <w:noWrap/>
            <w:vAlign w:val="center"/>
            <w:hideMark/>
          </w:tcPr>
          <w:p w14:paraId="2370FA51" w14:textId="2BC3E8DA" w:rsidR="00D7240C" w:rsidRPr="006264FA" w:rsidRDefault="00D7240C" w:rsidP="0005205C">
            <w:pPr>
              <w:pStyle w:val="TableTextRight"/>
              <w:rPr>
                <w:rFonts w:cs="Arial"/>
                <w:szCs w:val="16"/>
              </w:rPr>
            </w:pPr>
            <w:r w:rsidRPr="006264FA">
              <w:rPr>
                <w:rFonts w:cs="Arial"/>
                <w:szCs w:val="16"/>
              </w:rPr>
              <w:t>1,591</w:t>
            </w:r>
          </w:p>
        </w:tc>
        <w:tc>
          <w:tcPr>
            <w:tcW w:w="716" w:type="pct"/>
            <w:tcBorders>
              <w:top w:val="nil"/>
              <w:left w:val="nil"/>
              <w:bottom w:val="nil"/>
              <w:right w:val="nil"/>
            </w:tcBorders>
            <w:shd w:val="clear" w:color="000000" w:fill="E6F2FF"/>
            <w:noWrap/>
            <w:vAlign w:val="center"/>
            <w:hideMark/>
          </w:tcPr>
          <w:p w14:paraId="403FB411" w14:textId="51E1F5CA" w:rsidR="00D7240C" w:rsidRPr="006264FA" w:rsidRDefault="00D7240C" w:rsidP="0005205C">
            <w:pPr>
              <w:pStyle w:val="TableTextRight"/>
              <w:rPr>
                <w:rFonts w:cs="Arial"/>
                <w:szCs w:val="16"/>
              </w:rPr>
            </w:pPr>
            <w:r w:rsidRPr="006264FA">
              <w:rPr>
                <w:rFonts w:cs="Arial"/>
                <w:szCs w:val="16"/>
              </w:rPr>
              <w:t>1,153</w:t>
            </w:r>
          </w:p>
        </w:tc>
      </w:tr>
      <w:tr w:rsidR="00D7240C" w:rsidRPr="00D121A8" w14:paraId="2FDEC7CB" w14:textId="77777777">
        <w:trPr>
          <w:trHeight w:hRule="exact" w:val="225"/>
        </w:trPr>
        <w:tc>
          <w:tcPr>
            <w:tcW w:w="3568" w:type="pct"/>
            <w:tcBorders>
              <w:top w:val="nil"/>
              <w:left w:val="nil"/>
              <w:bottom w:val="nil"/>
              <w:right w:val="nil"/>
            </w:tcBorders>
            <w:shd w:val="clear" w:color="000000" w:fill="FFFFFF"/>
            <w:noWrap/>
            <w:vAlign w:val="center"/>
            <w:hideMark/>
          </w:tcPr>
          <w:p w14:paraId="7DD756F3" w14:textId="607F6088" w:rsidR="00D7240C" w:rsidRPr="006264FA" w:rsidRDefault="00D7240C" w:rsidP="008679DE">
            <w:pPr>
              <w:pStyle w:val="TableTextLeft"/>
              <w:rPr>
                <w:rFonts w:cs="Arial"/>
                <w:szCs w:val="16"/>
              </w:rPr>
            </w:pPr>
            <w:r w:rsidRPr="006264FA">
              <w:rPr>
                <w:rFonts w:cs="Arial"/>
                <w:szCs w:val="16"/>
              </w:rPr>
              <w:t>Grants and subsidies received</w:t>
            </w:r>
          </w:p>
        </w:tc>
        <w:tc>
          <w:tcPr>
            <w:tcW w:w="716" w:type="pct"/>
            <w:tcBorders>
              <w:top w:val="nil"/>
              <w:left w:val="nil"/>
              <w:bottom w:val="nil"/>
              <w:right w:val="nil"/>
            </w:tcBorders>
            <w:shd w:val="clear" w:color="000000" w:fill="FFFFFF"/>
            <w:noWrap/>
            <w:vAlign w:val="center"/>
            <w:hideMark/>
          </w:tcPr>
          <w:p w14:paraId="492FAE53" w14:textId="469008CB" w:rsidR="00D7240C" w:rsidRPr="006264FA" w:rsidRDefault="00D7240C" w:rsidP="0005205C">
            <w:pPr>
              <w:pStyle w:val="TableTextRight"/>
              <w:rPr>
                <w:rFonts w:cs="Arial"/>
                <w:szCs w:val="16"/>
              </w:rPr>
            </w:pPr>
            <w:r w:rsidRPr="006264FA">
              <w:rPr>
                <w:rFonts w:cs="Arial"/>
                <w:szCs w:val="16"/>
              </w:rPr>
              <w:t>233</w:t>
            </w:r>
          </w:p>
        </w:tc>
        <w:tc>
          <w:tcPr>
            <w:tcW w:w="716" w:type="pct"/>
            <w:tcBorders>
              <w:top w:val="nil"/>
              <w:left w:val="nil"/>
              <w:bottom w:val="nil"/>
              <w:right w:val="nil"/>
            </w:tcBorders>
            <w:shd w:val="clear" w:color="000000" w:fill="E6F2FF"/>
            <w:noWrap/>
            <w:vAlign w:val="center"/>
            <w:hideMark/>
          </w:tcPr>
          <w:p w14:paraId="453F7E58" w14:textId="1CD25140" w:rsidR="00D7240C" w:rsidRPr="006264FA" w:rsidRDefault="00D7240C" w:rsidP="0005205C">
            <w:pPr>
              <w:pStyle w:val="TableTextRight"/>
              <w:rPr>
                <w:rFonts w:cs="Arial"/>
                <w:szCs w:val="16"/>
              </w:rPr>
            </w:pPr>
            <w:r w:rsidRPr="006264FA">
              <w:rPr>
                <w:rFonts w:cs="Arial"/>
                <w:szCs w:val="16"/>
              </w:rPr>
              <w:t>252</w:t>
            </w:r>
          </w:p>
        </w:tc>
      </w:tr>
      <w:tr w:rsidR="00D7240C" w:rsidRPr="00D121A8" w14:paraId="5EFE3B36" w14:textId="77777777">
        <w:trPr>
          <w:trHeight w:hRule="exact" w:val="225"/>
        </w:trPr>
        <w:tc>
          <w:tcPr>
            <w:tcW w:w="3568" w:type="pct"/>
            <w:tcBorders>
              <w:top w:val="nil"/>
              <w:left w:val="nil"/>
              <w:bottom w:val="nil"/>
              <w:right w:val="nil"/>
            </w:tcBorders>
            <w:shd w:val="clear" w:color="000000" w:fill="FFFFFF"/>
            <w:noWrap/>
            <w:vAlign w:val="center"/>
            <w:hideMark/>
          </w:tcPr>
          <w:p w14:paraId="10A377B6" w14:textId="76A839A1" w:rsidR="00D7240C" w:rsidRPr="006264FA" w:rsidRDefault="00D7240C" w:rsidP="008679DE">
            <w:pPr>
              <w:pStyle w:val="TableTextLeft"/>
              <w:rPr>
                <w:rFonts w:cs="Arial"/>
                <w:szCs w:val="16"/>
              </w:rPr>
            </w:pPr>
            <w:r w:rsidRPr="006264FA">
              <w:rPr>
                <w:rFonts w:cs="Arial"/>
                <w:szCs w:val="16"/>
              </w:rPr>
              <w:t>GST input credit receipts</w:t>
            </w:r>
          </w:p>
        </w:tc>
        <w:tc>
          <w:tcPr>
            <w:tcW w:w="716" w:type="pct"/>
            <w:tcBorders>
              <w:top w:val="nil"/>
              <w:left w:val="nil"/>
              <w:bottom w:val="nil"/>
              <w:right w:val="nil"/>
            </w:tcBorders>
            <w:shd w:val="clear" w:color="000000" w:fill="FFFFFF"/>
            <w:noWrap/>
            <w:vAlign w:val="center"/>
            <w:hideMark/>
          </w:tcPr>
          <w:p w14:paraId="6A344719" w14:textId="19BB8EC2" w:rsidR="00D7240C" w:rsidRPr="006264FA" w:rsidRDefault="00D7240C" w:rsidP="0005205C">
            <w:pPr>
              <w:pStyle w:val="TableTextRight"/>
              <w:rPr>
                <w:rFonts w:cs="Arial"/>
                <w:szCs w:val="16"/>
              </w:rPr>
            </w:pPr>
            <w:r w:rsidRPr="006264FA">
              <w:rPr>
                <w:rFonts w:cs="Arial"/>
                <w:szCs w:val="16"/>
              </w:rPr>
              <w:t>3</w:t>
            </w:r>
          </w:p>
        </w:tc>
        <w:tc>
          <w:tcPr>
            <w:tcW w:w="716" w:type="pct"/>
            <w:tcBorders>
              <w:top w:val="nil"/>
              <w:left w:val="nil"/>
              <w:bottom w:val="nil"/>
              <w:right w:val="nil"/>
            </w:tcBorders>
            <w:shd w:val="clear" w:color="000000" w:fill="E6F2FF"/>
            <w:noWrap/>
            <w:vAlign w:val="center"/>
            <w:hideMark/>
          </w:tcPr>
          <w:p w14:paraId="72987CF2" w14:textId="4D8E9077" w:rsidR="00D7240C" w:rsidRPr="006264FA" w:rsidRDefault="00D7240C" w:rsidP="0005205C">
            <w:pPr>
              <w:pStyle w:val="TableTextRight"/>
              <w:rPr>
                <w:rFonts w:cs="Arial"/>
                <w:szCs w:val="16"/>
              </w:rPr>
            </w:pPr>
            <w:r w:rsidRPr="006264FA">
              <w:rPr>
                <w:rFonts w:cs="Arial"/>
                <w:szCs w:val="16"/>
              </w:rPr>
              <w:t>2</w:t>
            </w:r>
          </w:p>
        </w:tc>
      </w:tr>
      <w:tr w:rsidR="00D7240C" w:rsidRPr="00D121A8" w14:paraId="29A5113E" w14:textId="77777777">
        <w:trPr>
          <w:trHeight w:hRule="exact" w:val="225"/>
        </w:trPr>
        <w:tc>
          <w:tcPr>
            <w:tcW w:w="3568" w:type="pct"/>
            <w:tcBorders>
              <w:top w:val="nil"/>
              <w:left w:val="nil"/>
              <w:bottom w:val="nil"/>
              <w:right w:val="nil"/>
            </w:tcBorders>
            <w:shd w:val="clear" w:color="000000" w:fill="FFFFFF"/>
            <w:noWrap/>
            <w:vAlign w:val="center"/>
            <w:hideMark/>
          </w:tcPr>
          <w:p w14:paraId="5A3264A7" w14:textId="7AC59433" w:rsidR="00D7240C" w:rsidRPr="006264FA" w:rsidRDefault="00D7240C" w:rsidP="008679DE">
            <w:pPr>
              <w:pStyle w:val="TableTextLeft"/>
              <w:rPr>
                <w:rFonts w:cs="Arial"/>
                <w:szCs w:val="16"/>
              </w:rPr>
            </w:pPr>
            <w:r w:rsidRPr="006264FA">
              <w:rPr>
                <w:rFonts w:cs="Arial"/>
                <w:szCs w:val="16"/>
              </w:rPr>
              <w:t>Interest receipts</w:t>
            </w:r>
          </w:p>
        </w:tc>
        <w:tc>
          <w:tcPr>
            <w:tcW w:w="716" w:type="pct"/>
            <w:tcBorders>
              <w:top w:val="nil"/>
              <w:left w:val="nil"/>
              <w:bottom w:val="nil"/>
              <w:right w:val="nil"/>
            </w:tcBorders>
            <w:shd w:val="clear" w:color="000000" w:fill="FFFFFF"/>
            <w:noWrap/>
            <w:vAlign w:val="center"/>
            <w:hideMark/>
          </w:tcPr>
          <w:p w14:paraId="5A4C32EF" w14:textId="16B93ADF" w:rsidR="00D7240C" w:rsidRPr="006264FA" w:rsidRDefault="00D7240C" w:rsidP="0005205C">
            <w:pPr>
              <w:pStyle w:val="TableTextRight"/>
              <w:rPr>
                <w:rFonts w:cs="Arial"/>
                <w:szCs w:val="16"/>
              </w:rPr>
            </w:pPr>
            <w:r w:rsidRPr="006264FA">
              <w:rPr>
                <w:rFonts w:cs="Arial"/>
                <w:szCs w:val="16"/>
              </w:rPr>
              <w:t>10,684</w:t>
            </w:r>
          </w:p>
        </w:tc>
        <w:tc>
          <w:tcPr>
            <w:tcW w:w="716" w:type="pct"/>
            <w:tcBorders>
              <w:top w:val="nil"/>
              <w:left w:val="nil"/>
              <w:bottom w:val="nil"/>
              <w:right w:val="nil"/>
            </w:tcBorders>
            <w:shd w:val="clear" w:color="000000" w:fill="E6F2FF"/>
            <w:noWrap/>
            <w:vAlign w:val="center"/>
            <w:hideMark/>
          </w:tcPr>
          <w:p w14:paraId="384AD39D" w14:textId="326C67E0" w:rsidR="00D7240C" w:rsidRPr="006264FA" w:rsidRDefault="00D7240C" w:rsidP="0005205C">
            <w:pPr>
              <w:pStyle w:val="TableTextRight"/>
              <w:rPr>
                <w:rFonts w:cs="Arial"/>
                <w:szCs w:val="16"/>
              </w:rPr>
            </w:pPr>
            <w:r w:rsidRPr="006264FA">
              <w:rPr>
                <w:rFonts w:cs="Arial"/>
                <w:szCs w:val="16"/>
              </w:rPr>
              <w:t>9,941</w:t>
            </w:r>
          </w:p>
        </w:tc>
      </w:tr>
      <w:tr w:rsidR="00D7240C" w:rsidRPr="00D121A8" w14:paraId="2EC405C6" w14:textId="77777777">
        <w:trPr>
          <w:trHeight w:hRule="exact" w:val="225"/>
        </w:trPr>
        <w:tc>
          <w:tcPr>
            <w:tcW w:w="3568" w:type="pct"/>
            <w:tcBorders>
              <w:top w:val="nil"/>
              <w:left w:val="nil"/>
              <w:bottom w:val="nil"/>
              <w:right w:val="nil"/>
            </w:tcBorders>
            <w:shd w:val="clear" w:color="000000" w:fill="FFFFFF"/>
            <w:noWrap/>
            <w:vAlign w:val="center"/>
            <w:hideMark/>
          </w:tcPr>
          <w:p w14:paraId="3C933DE2" w14:textId="430E0D79" w:rsidR="00D7240C" w:rsidRPr="006264FA" w:rsidRDefault="00D7240C" w:rsidP="008679DE">
            <w:pPr>
              <w:pStyle w:val="TableTextLeft"/>
              <w:rPr>
                <w:rFonts w:cs="Arial"/>
                <w:szCs w:val="16"/>
              </w:rPr>
            </w:pPr>
            <w:r w:rsidRPr="006264FA">
              <w:rPr>
                <w:rFonts w:cs="Arial"/>
                <w:szCs w:val="16"/>
              </w:rPr>
              <w:t>Other receipts</w:t>
            </w:r>
          </w:p>
        </w:tc>
        <w:tc>
          <w:tcPr>
            <w:tcW w:w="716" w:type="pct"/>
            <w:tcBorders>
              <w:top w:val="nil"/>
              <w:left w:val="nil"/>
              <w:bottom w:val="nil"/>
              <w:right w:val="nil"/>
            </w:tcBorders>
            <w:shd w:val="clear" w:color="000000" w:fill="FFFFFF"/>
            <w:noWrap/>
            <w:vAlign w:val="center"/>
            <w:hideMark/>
          </w:tcPr>
          <w:p w14:paraId="77B9D014" w14:textId="535E374B" w:rsidR="00D7240C" w:rsidRPr="006264FA" w:rsidRDefault="00D7240C" w:rsidP="0005205C">
            <w:pPr>
              <w:pStyle w:val="TableTextRight"/>
              <w:rPr>
                <w:rFonts w:cs="Arial"/>
                <w:szCs w:val="16"/>
              </w:rPr>
            </w:pPr>
            <w:r w:rsidRPr="006264FA">
              <w:rPr>
                <w:rFonts w:cs="Arial"/>
                <w:szCs w:val="16"/>
              </w:rPr>
              <w:t>265</w:t>
            </w:r>
          </w:p>
        </w:tc>
        <w:tc>
          <w:tcPr>
            <w:tcW w:w="716" w:type="pct"/>
            <w:tcBorders>
              <w:top w:val="nil"/>
              <w:left w:val="nil"/>
              <w:bottom w:val="nil"/>
              <w:right w:val="nil"/>
            </w:tcBorders>
            <w:shd w:val="clear" w:color="000000" w:fill="E6F2FF"/>
            <w:noWrap/>
            <w:vAlign w:val="center"/>
            <w:hideMark/>
          </w:tcPr>
          <w:p w14:paraId="2E708C53" w14:textId="16218163" w:rsidR="00D7240C" w:rsidRPr="006264FA" w:rsidRDefault="00D7240C" w:rsidP="0005205C">
            <w:pPr>
              <w:pStyle w:val="TableTextRight"/>
              <w:rPr>
                <w:rFonts w:cs="Arial"/>
                <w:szCs w:val="16"/>
              </w:rPr>
            </w:pPr>
            <w:r w:rsidRPr="006264FA">
              <w:rPr>
                <w:rFonts w:cs="Arial"/>
                <w:szCs w:val="16"/>
              </w:rPr>
              <w:t>17</w:t>
            </w:r>
          </w:p>
        </w:tc>
      </w:tr>
      <w:tr w:rsidR="00D7240C" w:rsidRPr="00D121A8" w14:paraId="2656C48C" w14:textId="77777777">
        <w:trPr>
          <w:trHeight w:hRule="exact" w:val="225"/>
        </w:trPr>
        <w:tc>
          <w:tcPr>
            <w:tcW w:w="3568" w:type="pct"/>
            <w:tcBorders>
              <w:top w:val="nil"/>
              <w:left w:val="nil"/>
              <w:bottom w:val="nil"/>
              <w:right w:val="nil"/>
            </w:tcBorders>
            <w:shd w:val="clear" w:color="000000" w:fill="FFFFFF"/>
            <w:noWrap/>
            <w:vAlign w:val="center"/>
            <w:hideMark/>
          </w:tcPr>
          <w:p w14:paraId="311E4A8E" w14:textId="2A0A283F" w:rsidR="00D7240C" w:rsidRPr="006264FA" w:rsidRDefault="00D7240C" w:rsidP="008679DE">
            <w:pPr>
              <w:pStyle w:val="TableTextLeft"/>
              <w:rPr>
                <w:rFonts w:cs="Arial"/>
                <w:b/>
                <w:szCs w:val="16"/>
              </w:rPr>
            </w:pPr>
            <w:r w:rsidRPr="006264FA">
              <w:rPr>
                <w:rFonts w:cs="Arial"/>
                <w:b/>
                <w:szCs w:val="16"/>
              </w:rPr>
              <w:t>Total operating receipts</w:t>
            </w:r>
          </w:p>
        </w:tc>
        <w:tc>
          <w:tcPr>
            <w:tcW w:w="716" w:type="pct"/>
            <w:tcBorders>
              <w:top w:val="nil"/>
              <w:left w:val="nil"/>
              <w:bottom w:val="nil"/>
              <w:right w:val="nil"/>
            </w:tcBorders>
            <w:shd w:val="clear" w:color="000000" w:fill="FFFFFF"/>
            <w:noWrap/>
            <w:vAlign w:val="center"/>
            <w:hideMark/>
          </w:tcPr>
          <w:p w14:paraId="721F0A51" w14:textId="6719820C" w:rsidR="00D7240C" w:rsidRPr="006264FA" w:rsidRDefault="00D7240C" w:rsidP="0005205C">
            <w:pPr>
              <w:pStyle w:val="TableTextRight"/>
              <w:rPr>
                <w:rFonts w:cs="Arial"/>
                <w:b/>
                <w:szCs w:val="16"/>
              </w:rPr>
            </w:pPr>
            <w:r w:rsidRPr="006264FA">
              <w:rPr>
                <w:rFonts w:cs="Arial"/>
                <w:b/>
                <w:szCs w:val="16"/>
              </w:rPr>
              <w:t>12,776</w:t>
            </w:r>
          </w:p>
        </w:tc>
        <w:tc>
          <w:tcPr>
            <w:tcW w:w="716" w:type="pct"/>
            <w:tcBorders>
              <w:top w:val="nil"/>
              <w:left w:val="nil"/>
              <w:bottom w:val="nil"/>
              <w:right w:val="nil"/>
            </w:tcBorders>
            <w:shd w:val="clear" w:color="000000" w:fill="E6F2FF"/>
            <w:noWrap/>
            <w:vAlign w:val="center"/>
            <w:hideMark/>
          </w:tcPr>
          <w:p w14:paraId="2BDBB260" w14:textId="64B237AD" w:rsidR="00D7240C" w:rsidRPr="006264FA" w:rsidRDefault="00D7240C" w:rsidP="0005205C">
            <w:pPr>
              <w:pStyle w:val="TableTextRight"/>
              <w:rPr>
                <w:rFonts w:cs="Arial"/>
                <w:b/>
                <w:szCs w:val="16"/>
              </w:rPr>
            </w:pPr>
            <w:r w:rsidRPr="006264FA">
              <w:rPr>
                <w:rFonts w:cs="Arial"/>
                <w:b/>
                <w:szCs w:val="16"/>
              </w:rPr>
              <w:t>11,366</w:t>
            </w:r>
          </w:p>
        </w:tc>
      </w:tr>
      <w:tr w:rsidR="00E123AE" w:rsidRPr="00D121A8" w14:paraId="6FFAAAD6" w14:textId="77777777">
        <w:trPr>
          <w:trHeight w:hRule="exact" w:val="60"/>
        </w:trPr>
        <w:tc>
          <w:tcPr>
            <w:tcW w:w="3568" w:type="pct"/>
            <w:tcBorders>
              <w:top w:val="nil"/>
              <w:left w:val="nil"/>
              <w:bottom w:val="nil"/>
              <w:right w:val="nil"/>
            </w:tcBorders>
            <w:shd w:val="clear" w:color="000000" w:fill="FFFFFF"/>
            <w:noWrap/>
            <w:vAlign w:val="center"/>
            <w:hideMark/>
          </w:tcPr>
          <w:p w14:paraId="69BF071F" w14:textId="0B6A4EFA" w:rsidR="00E123AE" w:rsidRPr="006264FA" w:rsidRDefault="00E123AE" w:rsidP="008679D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60812F6A" w14:textId="10D76997" w:rsidR="00E123AE" w:rsidRPr="006264FA" w:rsidRDefault="00E123AE"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704D8B6" w14:textId="4D35ED40" w:rsidR="00E123AE" w:rsidRPr="006264FA" w:rsidRDefault="00E123AE" w:rsidP="0005205C">
            <w:pPr>
              <w:pStyle w:val="TableTextRight"/>
              <w:rPr>
                <w:rFonts w:cs="Arial"/>
                <w:szCs w:val="16"/>
              </w:rPr>
            </w:pPr>
            <w:r w:rsidRPr="006264FA">
              <w:rPr>
                <w:rFonts w:cs="Arial"/>
                <w:szCs w:val="16"/>
              </w:rPr>
              <w:t> </w:t>
            </w:r>
          </w:p>
        </w:tc>
      </w:tr>
      <w:tr w:rsidR="00E123AE" w:rsidRPr="00D121A8" w14:paraId="3311A56F" w14:textId="77777777">
        <w:trPr>
          <w:trHeight w:hRule="exact" w:val="225"/>
        </w:trPr>
        <w:tc>
          <w:tcPr>
            <w:tcW w:w="3568" w:type="pct"/>
            <w:tcBorders>
              <w:top w:val="nil"/>
              <w:left w:val="nil"/>
              <w:bottom w:val="nil"/>
              <w:right w:val="nil"/>
            </w:tcBorders>
            <w:shd w:val="clear" w:color="000000" w:fill="FFFFFF"/>
            <w:noWrap/>
            <w:vAlign w:val="center"/>
            <w:hideMark/>
          </w:tcPr>
          <w:p w14:paraId="7E78C315" w14:textId="098F830E" w:rsidR="00E123AE" w:rsidRPr="006264FA" w:rsidRDefault="00E123AE" w:rsidP="008679DE">
            <w:pPr>
              <w:pStyle w:val="TableTextLeft"/>
              <w:rPr>
                <w:rFonts w:cs="Arial"/>
                <w:b/>
                <w:szCs w:val="16"/>
              </w:rPr>
            </w:pPr>
            <w:r w:rsidRPr="006264FA">
              <w:rPr>
                <w:rFonts w:cs="Arial"/>
                <w:b/>
                <w:szCs w:val="16"/>
              </w:rPr>
              <w:t>Cash payments for operating activities</w:t>
            </w:r>
          </w:p>
        </w:tc>
        <w:tc>
          <w:tcPr>
            <w:tcW w:w="716" w:type="pct"/>
            <w:tcBorders>
              <w:top w:val="nil"/>
              <w:left w:val="nil"/>
              <w:bottom w:val="nil"/>
              <w:right w:val="nil"/>
            </w:tcBorders>
            <w:shd w:val="clear" w:color="000000" w:fill="FFFFFF"/>
            <w:noWrap/>
            <w:vAlign w:val="center"/>
            <w:hideMark/>
          </w:tcPr>
          <w:p w14:paraId="79E0F9D5" w14:textId="57291AB6" w:rsidR="00E123AE" w:rsidRPr="006264FA" w:rsidRDefault="00E123AE"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46DD4E4C" w14:textId="1DD5B326" w:rsidR="00E123AE" w:rsidRPr="006264FA" w:rsidRDefault="00E123AE" w:rsidP="0005205C">
            <w:pPr>
              <w:pStyle w:val="TableTextRight"/>
              <w:rPr>
                <w:rFonts w:cs="Arial"/>
                <w:szCs w:val="16"/>
              </w:rPr>
            </w:pPr>
            <w:r w:rsidRPr="006264FA">
              <w:rPr>
                <w:rFonts w:cs="Arial"/>
                <w:szCs w:val="16"/>
              </w:rPr>
              <w:t> </w:t>
            </w:r>
          </w:p>
        </w:tc>
      </w:tr>
      <w:tr w:rsidR="008801A9" w:rsidRPr="00D121A8" w14:paraId="0AAADD26" w14:textId="77777777">
        <w:trPr>
          <w:trHeight w:hRule="exact" w:val="225"/>
        </w:trPr>
        <w:tc>
          <w:tcPr>
            <w:tcW w:w="3568" w:type="pct"/>
            <w:tcBorders>
              <w:top w:val="nil"/>
              <w:left w:val="nil"/>
              <w:bottom w:val="nil"/>
              <w:right w:val="nil"/>
            </w:tcBorders>
            <w:shd w:val="clear" w:color="000000" w:fill="FFFFFF"/>
            <w:noWrap/>
            <w:vAlign w:val="center"/>
            <w:hideMark/>
          </w:tcPr>
          <w:p w14:paraId="47045569" w14:textId="6C782386" w:rsidR="008801A9" w:rsidRPr="006264FA" w:rsidRDefault="008801A9" w:rsidP="008679DE">
            <w:pPr>
              <w:pStyle w:val="TableTextLeft"/>
              <w:rPr>
                <w:rFonts w:cs="Arial"/>
                <w:szCs w:val="16"/>
              </w:rPr>
            </w:pPr>
            <w:r w:rsidRPr="006264FA">
              <w:rPr>
                <w:rFonts w:cs="Arial"/>
                <w:szCs w:val="16"/>
              </w:rPr>
              <w:t>Payments to employees(b)</w:t>
            </w:r>
          </w:p>
        </w:tc>
        <w:tc>
          <w:tcPr>
            <w:tcW w:w="716" w:type="pct"/>
            <w:tcBorders>
              <w:top w:val="nil"/>
              <w:left w:val="nil"/>
              <w:bottom w:val="nil"/>
              <w:right w:val="nil"/>
            </w:tcBorders>
            <w:shd w:val="clear" w:color="000000" w:fill="FFFFFF"/>
            <w:noWrap/>
            <w:vAlign w:val="center"/>
            <w:hideMark/>
          </w:tcPr>
          <w:p w14:paraId="0C4D7EEE" w14:textId="6FE434C3"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367</w:t>
            </w:r>
          </w:p>
        </w:tc>
        <w:tc>
          <w:tcPr>
            <w:tcW w:w="716" w:type="pct"/>
            <w:tcBorders>
              <w:top w:val="nil"/>
              <w:left w:val="nil"/>
              <w:bottom w:val="nil"/>
              <w:right w:val="nil"/>
            </w:tcBorders>
            <w:shd w:val="clear" w:color="000000" w:fill="E6F2FF"/>
            <w:noWrap/>
            <w:vAlign w:val="center"/>
            <w:hideMark/>
          </w:tcPr>
          <w:p w14:paraId="140B2583" w14:textId="5E49824B"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403</w:t>
            </w:r>
          </w:p>
        </w:tc>
      </w:tr>
      <w:tr w:rsidR="008801A9" w:rsidRPr="00D121A8" w14:paraId="6793F73A" w14:textId="77777777">
        <w:trPr>
          <w:trHeight w:hRule="exact" w:val="225"/>
        </w:trPr>
        <w:tc>
          <w:tcPr>
            <w:tcW w:w="3568" w:type="pct"/>
            <w:tcBorders>
              <w:top w:val="nil"/>
              <w:left w:val="nil"/>
              <w:bottom w:val="nil"/>
              <w:right w:val="nil"/>
            </w:tcBorders>
            <w:shd w:val="clear" w:color="000000" w:fill="FFFFFF"/>
            <w:noWrap/>
            <w:vAlign w:val="center"/>
            <w:hideMark/>
          </w:tcPr>
          <w:p w14:paraId="57F2A404" w14:textId="4F02E2D9" w:rsidR="008801A9" w:rsidRPr="006264FA" w:rsidRDefault="008801A9" w:rsidP="008679DE">
            <w:pPr>
              <w:pStyle w:val="TableTextLeft"/>
              <w:rPr>
                <w:rFonts w:cs="Arial"/>
                <w:szCs w:val="16"/>
              </w:rPr>
            </w:pPr>
            <w:r w:rsidRPr="006264FA">
              <w:rPr>
                <w:rFonts w:cs="Arial"/>
                <w:szCs w:val="16"/>
              </w:rPr>
              <w:t>Payment for goods and services</w:t>
            </w:r>
          </w:p>
        </w:tc>
        <w:tc>
          <w:tcPr>
            <w:tcW w:w="716" w:type="pct"/>
            <w:tcBorders>
              <w:top w:val="nil"/>
              <w:left w:val="nil"/>
              <w:bottom w:val="nil"/>
              <w:right w:val="nil"/>
            </w:tcBorders>
            <w:shd w:val="clear" w:color="000000" w:fill="FFFFFF"/>
            <w:noWrap/>
            <w:vAlign w:val="center"/>
            <w:hideMark/>
          </w:tcPr>
          <w:p w14:paraId="128B038D" w14:textId="538F0C46"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1,133</w:t>
            </w:r>
          </w:p>
        </w:tc>
        <w:tc>
          <w:tcPr>
            <w:tcW w:w="716" w:type="pct"/>
            <w:tcBorders>
              <w:top w:val="nil"/>
              <w:left w:val="nil"/>
              <w:bottom w:val="nil"/>
              <w:right w:val="nil"/>
            </w:tcBorders>
            <w:shd w:val="clear" w:color="000000" w:fill="E6F2FF"/>
            <w:noWrap/>
            <w:vAlign w:val="center"/>
            <w:hideMark/>
          </w:tcPr>
          <w:p w14:paraId="7A13E062" w14:textId="132FA0AF"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1,368</w:t>
            </w:r>
          </w:p>
        </w:tc>
      </w:tr>
      <w:tr w:rsidR="008801A9" w:rsidRPr="00D121A8" w14:paraId="7889771F" w14:textId="77777777">
        <w:trPr>
          <w:trHeight w:hRule="exact" w:val="225"/>
        </w:trPr>
        <w:tc>
          <w:tcPr>
            <w:tcW w:w="3568" w:type="pct"/>
            <w:tcBorders>
              <w:top w:val="nil"/>
              <w:left w:val="nil"/>
              <w:bottom w:val="nil"/>
              <w:right w:val="nil"/>
            </w:tcBorders>
            <w:shd w:val="clear" w:color="000000" w:fill="FFFFFF"/>
            <w:noWrap/>
            <w:vAlign w:val="center"/>
            <w:hideMark/>
          </w:tcPr>
          <w:p w14:paraId="32804E01" w14:textId="13F6BA43" w:rsidR="008801A9" w:rsidRPr="006264FA" w:rsidRDefault="008801A9" w:rsidP="008679DE">
            <w:pPr>
              <w:pStyle w:val="TableTextLeft"/>
              <w:rPr>
                <w:rFonts w:cs="Arial"/>
                <w:szCs w:val="16"/>
              </w:rPr>
            </w:pPr>
            <w:r w:rsidRPr="006264FA">
              <w:rPr>
                <w:rFonts w:cs="Arial"/>
                <w:szCs w:val="16"/>
              </w:rPr>
              <w:t>Interest paid</w:t>
            </w:r>
          </w:p>
        </w:tc>
        <w:tc>
          <w:tcPr>
            <w:tcW w:w="716" w:type="pct"/>
            <w:tcBorders>
              <w:top w:val="nil"/>
              <w:left w:val="nil"/>
              <w:bottom w:val="nil"/>
              <w:right w:val="nil"/>
            </w:tcBorders>
            <w:shd w:val="clear" w:color="000000" w:fill="FFFFFF"/>
            <w:noWrap/>
            <w:vAlign w:val="center"/>
            <w:hideMark/>
          </w:tcPr>
          <w:p w14:paraId="7F3D3F58" w14:textId="593E9962"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18,452</w:t>
            </w:r>
          </w:p>
        </w:tc>
        <w:tc>
          <w:tcPr>
            <w:tcW w:w="716" w:type="pct"/>
            <w:tcBorders>
              <w:top w:val="nil"/>
              <w:left w:val="nil"/>
              <w:bottom w:val="nil"/>
              <w:right w:val="nil"/>
            </w:tcBorders>
            <w:shd w:val="clear" w:color="000000" w:fill="E6F2FF"/>
            <w:noWrap/>
            <w:vAlign w:val="center"/>
            <w:hideMark/>
          </w:tcPr>
          <w:p w14:paraId="6BB42201" w14:textId="7E585B23"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11,959</w:t>
            </w:r>
          </w:p>
        </w:tc>
      </w:tr>
      <w:tr w:rsidR="008801A9" w:rsidRPr="00D121A8" w14:paraId="7C5955AC" w14:textId="77777777">
        <w:trPr>
          <w:trHeight w:hRule="exact" w:val="225"/>
        </w:trPr>
        <w:tc>
          <w:tcPr>
            <w:tcW w:w="3568" w:type="pct"/>
            <w:tcBorders>
              <w:top w:val="nil"/>
              <w:left w:val="nil"/>
              <w:bottom w:val="nil"/>
              <w:right w:val="nil"/>
            </w:tcBorders>
            <w:shd w:val="clear" w:color="000000" w:fill="FFFFFF"/>
            <w:noWrap/>
            <w:vAlign w:val="center"/>
            <w:hideMark/>
          </w:tcPr>
          <w:p w14:paraId="4CABDCB8" w14:textId="62F19A11" w:rsidR="008801A9" w:rsidRPr="006264FA" w:rsidRDefault="008801A9" w:rsidP="008679DE">
            <w:pPr>
              <w:pStyle w:val="TableTextLeft"/>
              <w:rPr>
                <w:rFonts w:cs="Arial"/>
                <w:szCs w:val="16"/>
              </w:rPr>
            </w:pPr>
            <w:r w:rsidRPr="006264FA">
              <w:rPr>
                <w:rFonts w:cs="Arial"/>
                <w:szCs w:val="16"/>
              </w:rPr>
              <w:t>GST payments to taxation authority</w:t>
            </w:r>
          </w:p>
        </w:tc>
        <w:tc>
          <w:tcPr>
            <w:tcW w:w="716" w:type="pct"/>
            <w:tcBorders>
              <w:top w:val="nil"/>
              <w:left w:val="nil"/>
              <w:bottom w:val="nil"/>
              <w:right w:val="nil"/>
            </w:tcBorders>
            <w:shd w:val="clear" w:color="000000" w:fill="FFFFFF"/>
            <w:noWrap/>
            <w:vAlign w:val="center"/>
            <w:hideMark/>
          </w:tcPr>
          <w:p w14:paraId="783F4D71" w14:textId="7859B049"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3</w:t>
            </w:r>
          </w:p>
        </w:tc>
        <w:tc>
          <w:tcPr>
            <w:tcW w:w="716" w:type="pct"/>
            <w:tcBorders>
              <w:top w:val="nil"/>
              <w:left w:val="nil"/>
              <w:bottom w:val="nil"/>
              <w:right w:val="nil"/>
            </w:tcBorders>
            <w:shd w:val="clear" w:color="000000" w:fill="E6F2FF"/>
            <w:noWrap/>
            <w:vAlign w:val="center"/>
            <w:hideMark/>
          </w:tcPr>
          <w:p w14:paraId="2F8AD6A5" w14:textId="30718B69" w:rsidR="008801A9" w:rsidRPr="006264FA" w:rsidRDefault="008801A9" w:rsidP="0005205C">
            <w:pPr>
              <w:pStyle w:val="TableTextRight"/>
              <w:rPr>
                <w:rFonts w:cs="Arial"/>
                <w:szCs w:val="16"/>
              </w:rPr>
            </w:pPr>
            <w:r w:rsidRPr="006264FA">
              <w:rPr>
                <w:rFonts w:cs="Arial"/>
                <w:szCs w:val="16"/>
              </w:rPr>
              <w:t>0</w:t>
            </w:r>
          </w:p>
        </w:tc>
      </w:tr>
      <w:tr w:rsidR="008801A9" w:rsidRPr="00D121A8" w14:paraId="27601DF3" w14:textId="77777777">
        <w:trPr>
          <w:trHeight w:hRule="exact" w:val="225"/>
        </w:trPr>
        <w:tc>
          <w:tcPr>
            <w:tcW w:w="3568" w:type="pct"/>
            <w:tcBorders>
              <w:top w:val="nil"/>
              <w:left w:val="nil"/>
              <w:bottom w:val="nil"/>
              <w:right w:val="nil"/>
            </w:tcBorders>
            <w:shd w:val="clear" w:color="000000" w:fill="FFFFFF"/>
            <w:noWrap/>
            <w:vAlign w:val="center"/>
            <w:hideMark/>
          </w:tcPr>
          <w:p w14:paraId="0A38B09B" w14:textId="2C7928F6" w:rsidR="008801A9" w:rsidRPr="006264FA" w:rsidRDefault="008801A9" w:rsidP="008679DE">
            <w:pPr>
              <w:pStyle w:val="TableTextLeft"/>
              <w:rPr>
                <w:rFonts w:cs="Arial"/>
                <w:szCs w:val="16"/>
              </w:rPr>
            </w:pPr>
            <w:r w:rsidRPr="006264FA">
              <w:rPr>
                <w:rFonts w:cs="Arial"/>
                <w:szCs w:val="16"/>
              </w:rPr>
              <w:t>Distributions paid</w:t>
            </w:r>
          </w:p>
        </w:tc>
        <w:tc>
          <w:tcPr>
            <w:tcW w:w="716" w:type="pct"/>
            <w:tcBorders>
              <w:top w:val="nil"/>
              <w:left w:val="nil"/>
              <w:bottom w:val="nil"/>
              <w:right w:val="nil"/>
            </w:tcBorders>
            <w:shd w:val="clear" w:color="000000" w:fill="FFFFFF"/>
            <w:noWrap/>
            <w:vAlign w:val="center"/>
            <w:hideMark/>
          </w:tcPr>
          <w:p w14:paraId="3BDBED5F" w14:textId="062F0706"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19</w:t>
            </w:r>
          </w:p>
        </w:tc>
        <w:tc>
          <w:tcPr>
            <w:tcW w:w="716" w:type="pct"/>
            <w:tcBorders>
              <w:top w:val="nil"/>
              <w:left w:val="nil"/>
              <w:bottom w:val="nil"/>
              <w:right w:val="nil"/>
            </w:tcBorders>
            <w:shd w:val="clear" w:color="000000" w:fill="E6F2FF"/>
            <w:noWrap/>
            <w:vAlign w:val="center"/>
            <w:hideMark/>
          </w:tcPr>
          <w:p w14:paraId="7F2E1ECA" w14:textId="4003B148"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17</w:t>
            </w:r>
          </w:p>
        </w:tc>
      </w:tr>
      <w:tr w:rsidR="008801A9" w:rsidRPr="00D121A8" w14:paraId="12147135" w14:textId="77777777">
        <w:trPr>
          <w:trHeight w:hRule="exact" w:val="225"/>
        </w:trPr>
        <w:tc>
          <w:tcPr>
            <w:tcW w:w="3568" w:type="pct"/>
            <w:tcBorders>
              <w:top w:val="nil"/>
              <w:left w:val="nil"/>
              <w:bottom w:val="nil"/>
              <w:right w:val="nil"/>
            </w:tcBorders>
            <w:shd w:val="clear" w:color="000000" w:fill="FFFFFF"/>
            <w:noWrap/>
            <w:vAlign w:val="center"/>
            <w:hideMark/>
          </w:tcPr>
          <w:p w14:paraId="2D69C2C7" w14:textId="10B433B9" w:rsidR="008801A9" w:rsidRPr="006264FA" w:rsidRDefault="008801A9" w:rsidP="008679DE">
            <w:pPr>
              <w:pStyle w:val="TableTextLeft"/>
              <w:rPr>
                <w:rFonts w:cs="Arial"/>
                <w:szCs w:val="16"/>
              </w:rPr>
            </w:pPr>
            <w:r w:rsidRPr="006264FA">
              <w:rPr>
                <w:rFonts w:cs="Arial"/>
                <w:szCs w:val="16"/>
              </w:rPr>
              <w:t>Other payments(b)</w:t>
            </w:r>
          </w:p>
        </w:tc>
        <w:tc>
          <w:tcPr>
            <w:tcW w:w="716" w:type="pct"/>
            <w:tcBorders>
              <w:top w:val="nil"/>
              <w:left w:val="nil"/>
              <w:bottom w:val="nil"/>
              <w:right w:val="nil"/>
            </w:tcBorders>
            <w:shd w:val="clear" w:color="000000" w:fill="FFFFFF"/>
            <w:noWrap/>
            <w:vAlign w:val="center"/>
            <w:hideMark/>
          </w:tcPr>
          <w:p w14:paraId="4D621B6B" w14:textId="7F71A51C"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87</w:t>
            </w:r>
          </w:p>
        </w:tc>
        <w:tc>
          <w:tcPr>
            <w:tcW w:w="716" w:type="pct"/>
            <w:tcBorders>
              <w:top w:val="nil"/>
              <w:left w:val="nil"/>
              <w:bottom w:val="nil"/>
              <w:right w:val="nil"/>
            </w:tcBorders>
            <w:shd w:val="clear" w:color="000000" w:fill="E6F2FF"/>
            <w:noWrap/>
            <w:vAlign w:val="center"/>
            <w:hideMark/>
          </w:tcPr>
          <w:p w14:paraId="47C2AA84" w14:textId="0DA724A9"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84</w:t>
            </w:r>
          </w:p>
        </w:tc>
      </w:tr>
      <w:tr w:rsidR="008801A9" w:rsidRPr="00D121A8" w14:paraId="20770B7B" w14:textId="77777777">
        <w:trPr>
          <w:trHeight w:hRule="exact" w:val="225"/>
        </w:trPr>
        <w:tc>
          <w:tcPr>
            <w:tcW w:w="3568" w:type="pct"/>
            <w:tcBorders>
              <w:top w:val="nil"/>
              <w:left w:val="nil"/>
              <w:bottom w:val="nil"/>
              <w:right w:val="nil"/>
            </w:tcBorders>
            <w:shd w:val="clear" w:color="000000" w:fill="FFFFFF"/>
            <w:noWrap/>
            <w:vAlign w:val="center"/>
            <w:hideMark/>
          </w:tcPr>
          <w:p w14:paraId="3547BD45" w14:textId="7DFFC1D6" w:rsidR="008801A9" w:rsidRPr="006264FA" w:rsidRDefault="008801A9" w:rsidP="008679DE">
            <w:pPr>
              <w:pStyle w:val="TableTextLeft"/>
              <w:rPr>
                <w:rFonts w:cs="Arial"/>
                <w:b/>
                <w:szCs w:val="16"/>
              </w:rPr>
            </w:pPr>
            <w:r w:rsidRPr="006264FA">
              <w:rPr>
                <w:rFonts w:cs="Arial"/>
                <w:b/>
                <w:szCs w:val="16"/>
              </w:rPr>
              <w:t>Total operating payments</w:t>
            </w:r>
          </w:p>
        </w:tc>
        <w:tc>
          <w:tcPr>
            <w:tcW w:w="716" w:type="pct"/>
            <w:tcBorders>
              <w:top w:val="nil"/>
              <w:left w:val="nil"/>
              <w:bottom w:val="nil"/>
              <w:right w:val="nil"/>
            </w:tcBorders>
            <w:shd w:val="clear" w:color="auto" w:fill="auto"/>
            <w:noWrap/>
            <w:vAlign w:val="center"/>
            <w:hideMark/>
          </w:tcPr>
          <w:p w14:paraId="1C34D0B1" w14:textId="172D4920"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20,062</w:t>
            </w:r>
          </w:p>
        </w:tc>
        <w:tc>
          <w:tcPr>
            <w:tcW w:w="716" w:type="pct"/>
            <w:tcBorders>
              <w:top w:val="nil"/>
              <w:left w:val="nil"/>
              <w:bottom w:val="nil"/>
              <w:right w:val="nil"/>
            </w:tcBorders>
            <w:shd w:val="clear" w:color="000000" w:fill="E6F2FF"/>
            <w:noWrap/>
            <w:vAlign w:val="center"/>
            <w:hideMark/>
          </w:tcPr>
          <w:p w14:paraId="3136DADD" w14:textId="23D872AD"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13,831</w:t>
            </w:r>
          </w:p>
        </w:tc>
      </w:tr>
      <w:tr w:rsidR="008801A9" w:rsidRPr="00D121A8" w14:paraId="50987CE7" w14:textId="77777777">
        <w:trPr>
          <w:trHeight w:hRule="exact" w:val="60"/>
        </w:trPr>
        <w:tc>
          <w:tcPr>
            <w:tcW w:w="3568" w:type="pct"/>
            <w:tcBorders>
              <w:top w:val="nil"/>
              <w:left w:val="nil"/>
              <w:bottom w:val="nil"/>
              <w:right w:val="nil"/>
            </w:tcBorders>
            <w:shd w:val="clear" w:color="000000" w:fill="FFFFFF"/>
            <w:noWrap/>
            <w:vAlign w:val="center"/>
            <w:hideMark/>
          </w:tcPr>
          <w:p w14:paraId="12003432" w14:textId="7A246EAB" w:rsidR="008801A9" w:rsidRPr="006264FA" w:rsidRDefault="008801A9" w:rsidP="008679DE">
            <w:pPr>
              <w:pStyle w:val="TableTextLeft"/>
              <w:rPr>
                <w:rFonts w:cs="Arial"/>
                <w:b/>
                <w:i/>
                <w:szCs w:val="16"/>
              </w:rPr>
            </w:pPr>
            <w:r w:rsidRPr="006264FA">
              <w:rPr>
                <w:rFonts w:cs="Arial"/>
                <w:b/>
                <w:i/>
                <w:szCs w:val="16"/>
              </w:rPr>
              <w:t> </w:t>
            </w:r>
          </w:p>
        </w:tc>
        <w:tc>
          <w:tcPr>
            <w:tcW w:w="716" w:type="pct"/>
            <w:tcBorders>
              <w:top w:val="nil"/>
              <w:left w:val="nil"/>
              <w:bottom w:val="nil"/>
              <w:right w:val="nil"/>
            </w:tcBorders>
            <w:shd w:val="clear" w:color="000000" w:fill="FFFFFF"/>
            <w:noWrap/>
            <w:vAlign w:val="center"/>
            <w:hideMark/>
          </w:tcPr>
          <w:p w14:paraId="2CDF12B8" w14:textId="3AC8C44E" w:rsidR="008801A9" w:rsidRPr="006264FA" w:rsidRDefault="008801A9" w:rsidP="0005205C">
            <w:pPr>
              <w:pStyle w:val="TableTextRight"/>
              <w:rPr>
                <w:rFonts w:cs="Arial"/>
                <w:i/>
                <w:szCs w:val="16"/>
              </w:rPr>
            </w:pPr>
            <w:r w:rsidRPr="006264FA">
              <w:rPr>
                <w:rFonts w:cs="Arial"/>
                <w:i/>
                <w:szCs w:val="16"/>
              </w:rPr>
              <w:t> </w:t>
            </w:r>
          </w:p>
        </w:tc>
        <w:tc>
          <w:tcPr>
            <w:tcW w:w="716" w:type="pct"/>
            <w:tcBorders>
              <w:top w:val="nil"/>
              <w:left w:val="nil"/>
              <w:bottom w:val="nil"/>
              <w:right w:val="nil"/>
            </w:tcBorders>
            <w:shd w:val="clear" w:color="000000" w:fill="E6F2FF"/>
            <w:noWrap/>
            <w:vAlign w:val="center"/>
            <w:hideMark/>
          </w:tcPr>
          <w:p w14:paraId="04DDEB4C" w14:textId="35B84009" w:rsidR="008801A9" w:rsidRPr="006264FA" w:rsidRDefault="008801A9" w:rsidP="0005205C">
            <w:pPr>
              <w:pStyle w:val="TableTextRight"/>
              <w:rPr>
                <w:rFonts w:cs="Arial"/>
                <w:i/>
                <w:szCs w:val="16"/>
              </w:rPr>
            </w:pPr>
            <w:r w:rsidRPr="006264FA">
              <w:rPr>
                <w:rFonts w:cs="Arial"/>
                <w:i/>
                <w:szCs w:val="16"/>
              </w:rPr>
              <w:t> </w:t>
            </w:r>
          </w:p>
        </w:tc>
      </w:tr>
      <w:tr w:rsidR="008801A9" w:rsidRPr="00D121A8" w14:paraId="7D3C1F3C" w14:textId="77777777">
        <w:trPr>
          <w:trHeight w:hRule="exact" w:val="225"/>
        </w:trPr>
        <w:tc>
          <w:tcPr>
            <w:tcW w:w="3568" w:type="pct"/>
            <w:tcBorders>
              <w:top w:val="nil"/>
              <w:left w:val="nil"/>
              <w:bottom w:val="nil"/>
              <w:right w:val="nil"/>
            </w:tcBorders>
            <w:shd w:val="clear" w:color="000000" w:fill="FFFFFF"/>
            <w:noWrap/>
            <w:vAlign w:val="center"/>
            <w:hideMark/>
          </w:tcPr>
          <w:p w14:paraId="04FC8FE6" w14:textId="29922EC4" w:rsidR="008801A9" w:rsidRPr="006264FA" w:rsidRDefault="008801A9" w:rsidP="008679DE">
            <w:pPr>
              <w:pStyle w:val="TableTextLeft"/>
              <w:rPr>
                <w:rFonts w:cs="Arial"/>
                <w:b/>
                <w:szCs w:val="16"/>
              </w:rPr>
            </w:pPr>
            <w:r w:rsidRPr="006264FA">
              <w:rPr>
                <w:rFonts w:cs="Arial"/>
                <w:b/>
                <w:szCs w:val="16"/>
              </w:rPr>
              <w:t>Net cash flows from operating activities</w:t>
            </w:r>
          </w:p>
        </w:tc>
        <w:tc>
          <w:tcPr>
            <w:tcW w:w="716" w:type="pct"/>
            <w:tcBorders>
              <w:top w:val="nil"/>
              <w:left w:val="nil"/>
              <w:bottom w:val="nil"/>
              <w:right w:val="nil"/>
            </w:tcBorders>
            <w:shd w:val="clear" w:color="auto" w:fill="auto"/>
            <w:noWrap/>
            <w:vAlign w:val="center"/>
            <w:hideMark/>
          </w:tcPr>
          <w:p w14:paraId="68292632" w14:textId="36EDD66F"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7,286</w:t>
            </w:r>
          </w:p>
        </w:tc>
        <w:tc>
          <w:tcPr>
            <w:tcW w:w="716" w:type="pct"/>
            <w:tcBorders>
              <w:top w:val="nil"/>
              <w:left w:val="nil"/>
              <w:bottom w:val="nil"/>
              <w:right w:val="nil"/>
            </w:tcBorders>
            <w:shd w:val="clear" w:color="000000" w:fill="E6F2FF"/>
            <w:noWrap/>
            <w:vAlign w:val="center"/>
            <w:hideMark/>
          </w:tcPr>
          <w:p w14:paraId="0DAB3C7C" w14:textId="32CD3E65"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2,465</w:t>
            </w:r>
          </w:p>
        </w:tc>
      </w:tr>
      <w:tr w:rsidR="00E123AE" w:rsidRPr="00D121A8" w14:paraId="1081B1C2" w14:textId="77777777">
        <w:trPr>
          <w:trHeight w:hRule="exact" w:val="60"/>
        </w:trPr>
        <w:tc>
          <w:tcPr>
            <w:tcW w:w="3568" w:type="pct"/>
            <w:tcBorders>
              <w:top w:val="nil"/>
              <w:left w:val="nil"/>
              <w:bottom w:val="nil"/>
              <w:right w:val="nil"/>
            </w:tcBorders>
            <w:shd w:val="clear" w:color="000000" w:fill="FFFFFF"/>
            <w:noWrap/>
            <w:vAlign w:val="center"/>
            <w:hideMark/>
          </w:tcPr>
          <w:p w14:paraId="068737DD" w14:textId="7053BA43" w:rsidR="00E123AE" w:rsidRPr="006264FA" w:rsidRDefault="00E123AE" w:rsidP="008679D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0C76BE87" w14:textId="24988301" w:rsidR="00E123AE" w:rsidRPr="006264FA" w:rsidRDefault="00E123AE"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4277FF15" w14:textId="69B74BF0" w:rsidR="00E123AE" w:rsidRPr="006264FA" w:rsidRDefault="00E123AE" w:rsidP="0005205C">
            <w:pPr>
              <w:pStyle w:val="TableTextRight"/>
              <w:rPr>
                <w:rFonts w:cs="Arial"/>
                <w:szCs w:val="16"/>
              </w:rPr>
            </w:pPr>
            <w:r w:rsidRPr="006264FA">
              <w:rPr>
                <w:rFonts w:cs="Arial"/>
                <w:szCs w:val="16"/>
              </w:rPr>
              <w:t> </w:t>
            </w:r>
          </w:p>
        </w:tc>
      </w:tr>
      <w:tr w:rsidR="00E123AE" w:rsidRPr="00D121A8" w14:paraId="55B3D9F1" w14:textId="77777777">
        <w:trPr>
          <w:trHeight w:hRule="exact" w:val="225"/>
        </w:trPr>
        <w:tc>
          <w:tcPr>
            <w:tcW w:w="3568" w:type="pct"/>
            <w:tcBorders>
              <w:top w:val="nil"/>
              <w:left w:val="nil"/>
              <w:bottom w:val="nil"/>
              <w:right w:val="nil"/>
            </w:tcBorders>
            <w:shd w:val="clear" w:color="000000" w:fill="FFFFFF"/>
            <w:noWrap/>
            <w:vAlign w:val="center"/>
            <w:hideMark/>
          </w:tcPr>
          <w:p w14:paraId="5A8D0CE2" w14:textId="443E3401" w:rsidR="00E123AE" w:rsidRPr="006264FA" w:rsidRDefault="00E123AE" w:rsidP="008679DE">
            <w:pPr>
              <w:pStyle w:val="TableTextLeft"/>
              <w:rPr>
                <w:rFonts w:cs="Arial"/>
                <w:b/>
                <w:szCs w:val="16"/>
              </w:rPr>
            </w:pPr>
            <w:r w:rsidRPr="006264FA">
              <w:rPr>
                <w:rFonts w:cs="Arial"/>
                <w:b/>
                <w:szCs w:val="16"/>
              </w:rPr>
              <w:t>Cash flows from investments in non</w:t>
            </w:r>
            <w:r w:rsidR="00325E1E">
              <w:rPr>
                <w:rFonts w:cs="Arial"/>
                <w:b/>
                <w:bCs/>
                <w:szCs w:val="16"/>
              </w:rPr>
              <w:noBreakHyphen/>
            </w:r>
            <w:r w:rsidRPr="006264FA">
              <w:rPr>
                <w:rFonts w:cs="Arial"/>
                <w:b/>
                <w:szCs w:val="16"/>
              </w:rPr>
              <w:t>financial assets</w:t>
            </w:r>
          </w:p>
        </w:tc>
        <w:tc>
          <w:tcPr>
            <w:tcW w:w="716" w:type="pct"/>
            <w:tcBorders>
              <w:top w:val="nil"/>
              <w:left w:val="nil"/>
              <w:bottom w:val="nil"/>
              <w:right w:val="nil"/>
            </w:tcBorders>
            <w:shd w:val="clear" w:color="000000" w:fill="FFFFFF"/>
            <w:noWrap/>
            <w:vAlign w:val="center"/>
            <w:hideMark/>
          </w:tcPr>
          <w:p w14:paraId="703416C9" w14:textId="4E704709" w:rsidR="00E123AE" w:rsidRPr="006264FA" w:rsidRDefault="00E123AE"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195B1150" w14:textId="00B70ED2" w:rsidR="00E123AE" w:rsidRPr="006264FA" w:rsidRDefault="00E123AE" w:rsidP="0005205C">
            <w:pPr>
              <w:pStyle w:val="TableTextRight"/>
              <w:rPr>
                <w:rFonts w:cs="Arial"/>
                <w:szCs w:val="16"/>
              </w:rPr>
            </w:pPr>
            <w:r w:rsidRPr="006264FA">
              <w:rPr>
                <w:rFonts w:cs="Arial"/>
                <w:szCs w:val="16"/>
              </w:rPr>
              <w:t> </w:t>
            </w:r>
          </w:p>
        </w:tc>
      </w:tr>
      <w:tr w:rsidR="008801A9" w:rsidRPr="00D121A8" w14:paraId="1E693086" w14:textId="77777777">
        <w:trPr>
          <w:trHeight w:hRule="exact" w:val="225"/>
        </w:trPr>
        <w:tc>
          <w:tcPr>
            <w:tcW w:w="3568" w:type="pct"/>
            <w:tcBorders>
              <w:top w:val="nil"/>
              <w:left w:val="nil"/>
              <w:bottom w:val="nil"/>
              <w:right w:val="nil"/>
            </w:tcBorders>
            <w:shd w:val="clear" w:color="000000" w:fill="FFFFFF"/>
            <w:noWrap/>
            <w:vAlign w:val="center"/>
            <w:hideMark/>
          </w:tcPr>
          <w:p w14:paraId="6FBCCF02" w14:textId="2BE2BB3A" w:rsidR="008801A9" w:rsidRPr="006264FA" w:rsidRDefault="008801A9" w:rsidP="008679DE">
            <w:pPr>
              <w:pStyle w:val="TableTextLeft"/>
              <w:rPr>
                <w:rFonts w:cs="Arial"/>
                <w:szCs w:val="16"/>
              </w:rPr>
            </w:pPr>
            <w:r w:rsidRPr="006264FA">
              <w:rPr>
                <w:rFonts w:cs="Arial"/>
                <w:szCs w:val="16"/>
              </w:rPr>
              <w:t>Sales of 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395E8579" w14:textId="6376D582" w:rsidR="008801A9" w:rsidRPr="006264FA" w:rsidRDefault="008801A9" w:rsidP="0005205C">
            <w:pPr>
              <w:pStyle w:val="TableTextRight"/>
              <w:rPr>
                <w:rFonts w:cs="Arial"/>
                <w:szCs w:val="16"/>
              </w:rPr>
            </w:pPr>
            <w:r w:rsidRPr="006264FA">
              <w:rPr>
                <w:rFonts w:cs="Arial"/>
                <w:szCs w:val="16"/>
              </w:rPr>
              <w:t>0</w:t>
            </w:r>
          </w:p>
        </w:tc>
        <w:tc>
          <w:tcPr>
            <w:tcW w:w="716" w:type="pct"/>
            <w:tcBorders>
              <w:top w:val="nil"/>
              <w:left w:val="nil"/>
              <w:bottom w:val="nil"/>
              <w:right w:val="nil"/>
            </w:tcBorders>
            <w:shd w:val="clear" w:color="000000" w:fill="E6F2FF"/>
            <w:noWrap/>
            <w:vAlign w:val="center"/>
            <w:hideMark/>
          </w:tcPr>
          <w:p w14:paraId="7A3355A2" w14:textId="0333A23F" w:rsidR="008801A9" w:rsidRPr="006264FA" w:rsidRDefault="008801A9" w:rsidP="0005205C">
            <w:pPr>
              <w:pStyle w:val="TableTextRight"/>
              <w:rPr>
                <w:rFonts w:cs="Arial"/>
                <w:szCs w:val="16"/>
              </w:rPr>
            </w:pPr>
            <w:r w:rsidRPr="006264FA">
              <w:rPr>
                <w:rFonts w:cs="Arial"/>
                <w:szCs w:val="16"/>
              </w:rPr>
              <w:t>0</w:t>
            </w:r>
          </w:p>
        </w:tc>
      </w:tr>
      <w:tr w:rsidR="008801A9" w:rsidRPr="00D121A8" w14:paraId="090AB4D4" w14:textId="77777777">
        <w:trPr>
          <w:trHeight w:hRule="exact" w:val="225"/>
        </w:trPr>
        <w:tc>
          <w:tcPr>
            <w:tcW w:w="3568" w:type="pct"/>
            <w:tcBorders>
              <w:top w:val="nil"/>
              <w:left w:val="nil"/>
              <w:bottom w:val="nil"/>
              <w:right w:val="nil"/>
            </w:tcBorders>
            <w:shd w:val="clear" w:color="000000" w:fill="FFFFFF"/>
            <w:noWrap/>
            <w:vAlign w:val="center"/>
            <w:hideMark/>
          </w:tcPr>
          <w:p w14:paraId="44774425" w14:textId="7E570212" w:rsidR="008801A9" w:rsidRPr="006264FA" w:rsidRDefault="008801A9" w:rsidP="008679DE">
            <w:pPr>
              <w:pStyle w:val="TableTextLeft"/>
              <w:rPr>
                <w:rFonts w:cs="Arial"/>
                <w:szCs w:val="16"/>
              </w:rPr>
            </w:pPr>
            <w:r w:rsidRPr="006264FA">
              <w:rPr>
                <w:rFonts w:cs="Arial"/>
                <w:szCs w:val="16"/>
              </w:rPr>
              <w:t>Purchases of non</w:t>
            </w:r>
            <w:r w:rsidR="00325E1E">
              <w:rPr>
                <w:rFonts w:cs="Arial"/>
                <w:szCs w:val="16"/>
              </w:rPr>
              <w:noBreakHyphen/>
            </w:r>
            <w:r w:rsidRPr="006264FA">
              <w:rPr>
                <w:rFonts w:cs="Arial"/>
                <w:szCs w:val="16"/>
              </w:rPr>
              <w:t>financial assets</w:t>
            </w:r>
          </w:p>
        </w:tc>
        <w:tc>
          <w:tcPr>
            <w:tcW w:w="716" w:type="pct"/>
            <w:tcBorders>
              <w:top w:val="nil"/>
              <w:left w:val="nil"/>
              <w:bottom w:val="nil"/>
              <w:right w:val="nil"/>
            </w:tcBorders>
            <w:shd w:val="clear" w:color="000000" w:fill="FFFFFF"/>
            <w:noWrap/>
            <w:vAlign w:val="center"/>
            <w:hideMark/>
          </w:tcPr>
          <w:p w14:paraId="2E7E1383" w14:textId="2E1F88B6"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6</w:t>
            </w:r>
          </w:p>
        </w:tc>
        <w:tc>
          <w:tcPr>
            <w:tcW w:w="716" w:type="pct"/>
            <w:tcBorders>
              <w:top w:val="nil"/>
              <w:left w:val="nil"/>
              <w:bottom w:val="nil"/>
              <w:right w:val="nil"/>
            </w:tcBorders>
            <w:shd w:val="clear" w:color="000000" w:fill="E6F2FF"/>
            <w:noWrap/>
            <w:vAlign w:val="center"/>
            <w:hideMark/>
          </w:tcPr>
          <w:p w14:paraId="35BF5ACA" w14:textId="5F2D45DA"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10</w:t>
            </w:r>
          </w:p>
        </w:tc>
      </w:tr>
      <w:tr w:rsidR="008801A9" w:rsidRPr="00D121A8" w14:paraId="27DDF420" w14:textId="77777777">
        <w:trPr>
          <w:trHeight w:hRule="exact" w:val="225"/>
        </w:trPr>
        <w:tc>
          <w:tcPr>
            <w:tcW w:w="3568" w:type="pct"/>
            <w:tcBorders>
              <w:top w:val="nil"/>
              <w:left w:val="nil"/>
              <w:bottom w:val="nil"/>
              <w:right w:val="nil"/>
            </w:tcBorders>
            <w:shd w:val="clear" w:color="000000" w:fill="FFFFFF"/>
            <w:noWrap/>
            <w:vAlign w:val="center"/>
            <w:hideMark/>
          </w:tcPr>
          <w:p w14:paraId="7AC7DA64" w14:textId="61A8BCB6" w:rsidR="008801A9" w:rsidRPr="006264FA" w:rsidRDefault="008801A9" w:rsidP="008679DE">
            <w:pPr>
              <w:pStyle w:val="TableTextLeft"/>
              <w:rPr>
                <w:rFonts w:cs="Arial"/>
                <w:b/>
                <w:szCs w:val="16"/>
              </w:rPr>
            </w:pPr>
            <w:r w:rsidRPr="006264FA">
              <w:rPr>
                <w:rFonts w:cs="Arial"/>
                <w:b/>
                <w:szCs w:val="16"/>
              </w:rPr>
              <w:t>Net cash flows from investments in non</w:t>
            </w:r>
            <w:r w:rsidR="00325E1E">
              <w:rPr>
                <w:rFonts w:cs="Arial"/>
                <w:b/>
                <w:bCs/>
                <w:szCs w:val="16"/>
              </w:rPr>
              <w:noBreakHyphen/>
            </w:r>
            <w:r w:rsidRPr="006264FA">
              <w:rPr>
                <w:rFonts w:cs="Arial"/>
                <w:b/>
                <w:szCs w:val="16"/>
              </w:rPr>
              <w:t xml:space="preserve">financial assets </w:t>
            </w:r>
          </w:p>
        </w:tc>
        <w:tc>
          <w:tcPr>
            <w:tcW w:w="716" w:type="pct"/>
            <w:tcBorders>
              <w:top w:val="nil"/>
              <w:left w:val="nil"/>
              <w:bottom w:val="nil"/>
              <w:right w:val="nil"/>
            </w:tcBorders>
            <w:shd w:val="clear" w:color="000000" w:fill="FFFFFF"/>
            <w:noWrap/>
            <w:vAlign w:val="center"/>
            <w:hideMark/>
          </w:tcPr>
          <w:p w14:paraId="60122311" w14:textId="7316571F"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6</w:t>
            </w:r>
          </w:p>
        </w:tc>
        <w:tc>
          <w:tcPr>
            <w:tcW w:w="716" w:type="pct"/>
            <w:tcBorders>
              <w:top w:val="nil"/>
              <w:left w:val="nil"/>
              <w:bottom w:val="nil"/>
              <w:right w:val="nil"/>
            </w:tcBorders>
            <w:shd w:val="clear" w:color="000000" w:fill="E6F2FF"/>
            <w:noWrap/>
            <w:vAlign w:val="center"/>
            <w:hideMark/>
          </w:tcPr>
          <w:p w14:paraId="32D81D04" w14:textId="4E69D96A"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10</w:t>
            </w:r>
          </w:p>
        </w:tc>
      </w:tr>
      <w:tr w:rsidR="008801A9" w:rsidRPr="00D121A8" w14:paraId="6175C1B5" w14:textId="77777777">
        <w:trPr>
          <w:trHeight w:hRule="exact" w:val="60"/>
        </w:trPr>
        <w:tc>
          <w:tcPr>
            <w:tcW w:w="3568" w:type="pct"/>
            <w:tcBorders>
              <w:top w:val="nil"/>
              <w:left w:val="nil"/>
              <w:bottom w:val="nil"/>
              <w:right w:val="nil"/>
            </w:tcBorders>
            <w:shd w:val="clear" w:color="000000" w:fill="FFFFFF"/>
            <w:noWrap/>
            <w:vAlign w:val="center"/>
            <w:hideMark/>
          </w:tcPr>
          <w:p w14:paraId="08EB4905" w14:textId="6F586E49" w:rsidR="008801A9" w:rsidRPr="006264FA" w:rsidRDefault="008801A9" w:rsidP="008679D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455CECAE" w14:textId="3E70C7F1" w:rsidR="008801A9" w:rsidRPr="006264FA" w:rsidRDefault="008801A9"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18F09AF7" w14:textId="04E3F289" w:rsidR="008801A9" w:rsidRPr="006264FA" w:rsidRDefault="008801A9" w:rsidP="0005205C">
            <w:pPr>
              <w:pStyle w:val="TableTextRight"/>
              <w:rPr>
                <w:rFonts w:cs="Arial"/>
                <w:szCs w:val="16"/>
              </w:rPr>
            </w:pPr>
            <w:r w:rsidRPr="006264FA">
              <w:rPr>
                <w:rFonts w:cs="Arial"/>
                <w:szCs w:val="16"/>
              </w:rPr>
              <w:t> </w:t>
            </w:r>
          </w:p>
        </w:tc>
      </w:tr>
      <w:tr w:rsidR="008801A9" w:rsidRPr="00D121A8" w14:paraId="390ADFA1" w14:textId="77777777">
        <w:trPr>
          <w:trHeight w:hRule="exact" w:val="225"/>
        </w:trPr>
        <w:tc>
          <w:tcPr>
            <w:tcW w:w="3568" w:type="pct"/>
            <w:tcBorders>
              <w:top w:val="nil"/>
              <w:left w:val="nil"/>
              <w:bottom w:val="nil"/>
              <w:right w:val="nil"/>
            </w:tcBorders>
            <w:shd w:val="clear" w:color="000000" w:fill="FFFFFF"/>
            <w:vAlign w:val="center"/>
            <w:hideMark/>
          </w:tcPr>
          <w:p w14:paraId="7D951DA2" w14:textId="18B767A9" w:rsidR="008801A9" w:rsidRPr="006264FA" w:rsidRDefault="008801A9" w:rsidP="008679DE">
            <w:pPr>
              <w:pStyle w:val="TableTextLeft"/>
              <w:rPr>
                <w:rFonts w:cs="Arial"/>
                <w:b/>
                <w:szCs w:val="16"/>
              </w:rPr>
            </w:pPr>
            <w:r w:rsidRPr="006264FA">
              <w:rPr>
                <w:rFonts w:cs="Arial"/>
                <w:b/>
                <w:szCs w:val="16"/>
              </w:rPr>
              <w:t xml:space="preserve">Net cash flows from investments in financial assets </w:t>
            </w:r>
          </w:p>
        </w:tc>
        <w:tc>
          <w:tcPr>
            <w:tcW w:w="716" w:type="pct"/>
            <w:tcBorders>
              <w:top w:val="nil"/>
              <w:left w:val="nil"/>
              <w:bottom w:val="nil"/>
              <w:right w:val="nil"/>
            </w:tcBorders>
            <w:shd w:val="clear" w:color="000000" w:fill="FFFFFF"/>
            <w:noWrap/>
            <w:vAlign w:val="center"/>
            <w:hideMark/>
          </w:tcPr>
          <w:p w14:paraId="5C9ECABC" w14:textId="1473A937" w:rsidR="008801A9" w:rsidRPr="006264FA" w:rsidRDefault="008801A9"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2D463F0" w14:textId="19593E0E" w:rsidR="008801A9" w:rsidRPr="006264FA" w:rsidRDefault="008801A9" w:rsidP="0005205C">
            <w:pPr>
              <w:pStyle w:val="TableTextRight"/>
              <w:rPr>
                <w:rFonts w:cs="Arial"/>
                <w:szCs w:val="16"/>
              </w:rPr>
            </w:pPr>
            <w:r w:rsidRPr="006264FA">
              <w:rPr>
                <w:rFonts w:cs="Arial"/>
                <w:szCs w:val="16"/>
              </w:rPr>
              <w:t> </w:t>
            </w:r>
          </w:p>
        </w:tc>
      </w:tr>
      <w:tr w:rsidR="008801A9" w:rsidRPr="00D121A8" w14:paraId="5CE56EA5" w14:textId="77777777">
        <w:trPr>
          <w:trHeight w:hRule="exact" w:val="225"/>
        </w:trPr>
        <w:tc>
          <w:tcPr>
            <w:tcW w:w="3568" w:type="pct"/>
            <w:tcBorders>
              <w:top w:val="nil"/>
              <w:left w:val="nil"/>
              <w:bottom w:val="nil"/>
              <w:right w:val="nil"/>
            </w:tcBorders>
            <w:shd w:val="clear" w:color="000000" w:fill="FFFFFF"/>
            <w:vAlign w:val="center"/>
            <w:hideMark/>
          </w:tcPr>
          <w:p w14:paraId="7131FD79" w14:textId="3BF754DF" w:rsidR="008801A9" w:rsidRPr="006264FA" w:rsidRDefault="008801A9" w:rsidP="008679DE">
            <w:pPr>
              <w:pStyle w:val="TableTextIndented"/>
              <w:rPr>
                <w:rFonts w:cs="Arial"/>
                <w:b/>
                <w:szCs w:val="16"/>
              </w:rPr>
            </w:pPr>
            <w:r w:rsidRPr="006264FA">
              <w:rPr>
                <w:rFonts w:cs="Arial"/>
                <w:b/>
                <w:szCs w:val="16"/>
              </w:rPr>
              <w:t>for policy purposes</w:t>
            </w:r>
          </w:p>
        </w:tc>
        <w:tc>
          <w:tcPr>
            <w:tcW w:w="716" w:type="pct"/>
            <w:tcBorders>
              <w:top w:val="nil"/>
              <w:left w:val="nil"/>
              <w:bottom w:val="nil"/>
              <w:right w:val="nil"/>
            </w:tcBorders>
            <w:shd w:val="clear" w:color="000000" w:fill="FFFFFF"/>
            <w:noWrap/>
            <w:vAlign w:val="center"/>
            <w:hideMark/>
          </w:tcPr>
          <w:p w14:paraId="25D610EE" w14:textId="5621B0BC"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748</w:t>
            </w:r>
          </w:p>
        </w:tc>
        <w:tc>
          <w:tcPr>
            <w:tcW w:w="716" w:type="pct"/>
            <w:tcBorders>
              <w:top w:val="nil"/>
              <w:left w:val="nil"/>
              <w:bottom w:val="nil"/>
              <w:right w:val="nil"/>
            </w:tcBorders>
            <w:shd w:val="clear" w:color="000000" w:fill="E6F2FF"/>
            <w:noWrap/>
            <w:vAlign w:val="center"/>
            <w:hideMark/>
          </w:tcPr>
          <w:p w14:paraId="20544B9C" w14:textId="61CCF107"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3,671</w:t>
            </w:r>
          </w:p>
        </w:tc>
      </w:tr>
      <w:tr w:rsidR="008801A9" w:rsidRPr="00D121A8" w14:paraId="44563B38" w14:textId="77777777">
        <w:trPr>
          <w:trHeight w:hRule="exact" w:val="60"/>
        </w:trPr>
        <w:tc>
          <w:tcPr>
            <w:tcW w:w="3568" w:type="pct"/>
            <w:tcBorders>
              <w:top w:val="nil"/>
              <w:left w:val="nil"/>
              <w:bottom w:val="nil"/>
              <w:right w:val="nil"/>
            </w:tcBorders>
            <w:shd w:val="clear" w:color="000000" w:fill="FFFFFF"/>
            <w:noWrap/>
            <w:vAlign w:val="center"/>
            <w:hideMark/>
          </w:tcPr>
          <w:p w14:paraId="68D29B03" w14:textId="440E1B8A" w:rsidR="008801A9" w:rsidRPr="006264FA" w:rsidRDefault="008801A9" w:rsidP="008679DE">
            <w:pPr>
              <w:pStyle w:val="TableTextLeft"/>
              <w:rPr>
                <w:rFonts w:cs="Arial"/>
                <w:szCs w:val="16"/>
              </w:rPr>
            </w:pPr>
            <w:r w:rsidRPr="006264FA">
              <w:rPr>
                <w:rFonts w:cs="Arial"/>
                <w:szCs w:val="16"/>
              </w:rPr>
              <w:t> </w:t>
            </w:r>
          </w:p>
        </w:tc>
        <w:tc>
          <w:tcPr>
            <w:tcW w:w="716" w:type="pct"/>
            <w:tcBorders>
              <w:top w:val="nil"/>
              <w:left w:val="nil"/>
              <w:bottom w:val="nil"/>
              <w:right w:val="nil"/>
            </w:tcBorders>
            <w:shd w:val="clear" w:color="000000" w:fill="FFFFFF"/>
            <w:noWrap/>
            <w:vAlign w:val="center"/>
            <w:hideMark/>
          </w:tcPr>
          <w:p w14:paraId="7291B195" w14:textId="6F5EE976" w:rsidR="008801A9" w:rsidRPr="006264FA" w:rsidRDefault="008801A9"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5A5685C2" w14:textId="5C715707" w:rsidR="008801A9" w:rsidRPr="006264FA" w:rsidRDefault="008801A9" w:rsidP="0005205C">
            <w:pPr>
              <w:pStyle w:val="TableTextRight"/>
              <w:rPr>
                <w:rFonts w:cs="Arial"/>
                <w:szCs w:val="16"/>
              </w:rPr>
            </w:pPr>
            <w:r w:rsidRPr="006264FA">
              <w:rPr>
                <w:rFonts w:cs="Arial"/>
                <w:szCs w:val="16"/>
              </w:rPr>
              <w:t> </w:t>
            </w:r>
          </w:p>
        </w:tc>
      </w:tr>
      <w:tr w:rsidR="008801A9" w:rsidRPr="00D121A8" w14:paraId="4E70667F" w14:textId="77777777">
        <w:trPr>
          <w:trHeight w:hRule="exact" w:val="225"/>
        </w:trPr>
        <w:tc>
          <w:tcPr>
            <w:tcW w:w="3568" w:type="pct"/>
            <w:tcBorders>
              <w:top w:val="nil"/>
              <w:left w:val="nil"/>
              <w:bottom w:val="nil"/>
              <w:right w:val="nil"/>
            </w:tcBorders>
            <w:shd w:val="clear" w:color="000000" w:fill="FFFFFF"/>
            <w:noWrap/>
            <w:vAlign w:val="center"/>
            <w:hideMark/>
          </w:tcPr>
          <w:p w14:paraId="3B2AA1B8" w14:textId="4EA70E35" w:rsidR="008801A9" w:rsidRPr="006264FA" w:rsidRDefault="008801A9" w:rsidP="008679DE">
            <w:pPr>
              <w:pStyle w:val="TableTextLeft"/>
              <w:rPr>
                <w:rFonts w:cs="Arial"/>
                <w:b/>
                <w:szCs w:val="16"/>
              </w:rPr>
            </w:pPr>
            <w:r w:rsidRPr="006264FA">
              <w:rPr>
                <w:rFonts w:cs="Arial"/>
                <w:b/>
                <w:szCs w:val="16"/>
              </w:rPr>
              <w:t xml:space="preserve">Net cash flows from investments in financial assets </w:t>
            </w:r>
          </w:p>
        </w:tc>
        <w:tc>
          <w:tcPr>
            <w:tcW w:w="716" w:type="pct"/>
            <w:tcBorders>
              <w:top w:val="nil"/>
              <w:left w:val="nil"/>
              <w:bottom w:val="nil"/>
              <w:right w:val="nil"/>
            </w:tcBorders>
            <w:shd w:val="clear" w:color="000000" w:fill="FFFFFF"/>
            <w:noWrap/>
            <w:vAlign w:val="center"/>
            <w:hideMark/>
          </w:tcPr>
          <w:p w14:paraId="6D8AE988" w14:textId="2CE8A2BA" w:rsidR="008801A9" w:rsidRPr="006264FA" w:rsidRDefault="008801A9"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052DF082" w14:textId="653D24B4" w:rsidR="008801A9" w:rsidRPr="006264FA" w:rsidRDefault="008801A9" w:rsidP="0005205C">
            <w:pPr>
              <w:pStyle w:val="TableTextRight"/>
              <w:rPr>
                <w:rFonts w:cs="Arial"/>
                <w:szCs w:val="16"/>
              </w:rPr>
            </w:pPr>
            <w:r w:rsidRPr="006264FA">
              <w:rPr>
                <w:rFonts w:cs="Arial"/>
                <w:szCs w:val="16"/>
              </w:rPr>
              <w:t> </w:t>
            </w:r>
          </w:p>
        </w:tc>
      </w:tr>
      <w:tr w:rsidR="008801A9" w:rsidRPr="00D121A8" w14:paraId="22038A07" w14:textId="77777777">
        <w:trPr>
          <w:trHeight w:hRule="exact" w:val="225"/>
        </w:trPr>
        <w:tc>
          <w:tcPr>
            <w:tcW w:w="3568" w:type="pct"/>
            <w:tcBorders>
              <w:top w:val="nil"/>
              <w:left w:val="nil"/>
              <w:bottom w:val="nil"/>
              <w:right w:val="nil"/>
            </w:tcBorders>
            <w:shd w:val="clear" w:color="000000" w:fill="FFFFFF"/>
            <w:noWrap/>
            <w:vAlign w:val="center"/>
            <w:hideMark/>
          </w:tcPr>
          <w:p w14:paraId="4918E39D" w14:textId="45AC2E54" w:rsidR="008801A9" w:rsidRPr="006264FA" w:rsidRDefault="008801A9" w:rsidP="008679DE">
            <w:pPr>
              <w:pStyle w:val="TableTextIndented"/>
              <w:rPr>
                <w:rFonts w:cs="Arial"/>
                <w:b/>
                <w:szCs w:val="16"/>
              </w:rPr>
            </w:pPr>
            <w:r w:rsidRPr="006264FA">
              <w:rPr>
                <w:rFonts w:cs="Arial"/>
                <w:b/>
                <w:szCs w:val="16"/>
              </w:rPr>
              <w:t xml:space="preserve">for liquidity purposes(c) </w:t>
            </w:r>
          </w:p>
        </w:tc>
        <w:tc>
          <w:tcPr>
            <w:tcW w:w="716" w:type="pct"/>
            <w:tcBorders>
              <w:top w:val="nil"/>
              <w:left w:val="nil"/>
              <w:bottom w:val="nil"/>
              <w:right w:val="nil"/>
            </w:tcBorders>
            <w:shd w:val="clear" w:color="000000" w:fill="FFFFFF"/>
            <w:noWrap/>
            <w:vAlign w:val="center"/>
            <w:hideMark/>
          </w:tcPr>
          <w:p w14:paraId="5AE0D0D4" w14:textId="634E5C3C" w:rsidR="008801A9" w:rsidRPr="006264FA" w:rsidRDefault="008801A9" w:rsidP="0005205C">
            <w:pPr>
              <w:pStyle w:val="TableTextRight"/>
              <w:rPr>
                <w:rFonts w:cs="Arial"/>
                <w:b/>
                <w:szCs w:val="16"/>
              </w:rPr>
            </w:pPr>
            <w:r w:rsidRPr="006264FA">
              <w:rPr>
                <w:rFonts w:cs="Arial"/>
                <w:b/>
                <w:szCs w:val="16"/>
              </w:rPr>
              <w:t>87,655</w:t>
            </w:r>
          </w:p>
        </w:tc>
        <w:tc>
          <w:tcPr>
            <w:tcW w:w="716" w:type="pct"/>
            <w:tcBorders>
              <w:top w:val="nil"/>
              <w:left w:val="nil"/>
              <w:bottom w:val="nil"/>
              <w:right w:val="nil"/>
            </w:tcBorders>
            <w:shd w:val="clear" w:color="000000" w:fill="E6F2FF"/>
            <w:noWrap/>
            <w:vAlign w:val="center"/>
            <w:hideMark/>
          </w:tcPr>
          <w:p w14:paraId="7DB84A33" w14:textId="29CEEF17" w:rsidR="008801A9" w:rsidRPr="006264FA" w:rsidRDefault="008801A9" w:rsidP="0005205C">
            <w:pPr>
              <w:pStyle w:val="TableTextRight"/>
              <w:rPr>
                <w:rFonts w:cs="Arial"/>
                <w:b/>
                <w:szCs w:val="16"/>
              </w:rPr>
            </w:pPr>
            <w:r w:rsidRPr="006264FA">
              <w:rPr>
                <w:rFonts w:cs="Arial"/>
                <w:b/>
                <w:szCs w:val="16"/>
              </w:rPr>
              <w:t>1,275</w:t>
            </w:r>
          </w:p>
        </w:tc>
      </w:tr>
      <w:tr w:rsidR="008801A9" w:rsidRPr="00D121A8" w14:paraId="34419E8C" w14:textId="77777777">
        <w:trPr>
          <w:trHeight w:hRule="exact" w:val="60"/>
        </w:trPr>
        <w:tc>
          <w:tcPr>
            <w:tcW w:w="3568" w:type="pct"/>
            <w:tcBorders>
              <w:top w:val="nil"/>
              <w:left w:val="nil"/>
              <w:bottom w:val="nil"/>
              <w:right w:val="nil"/>
            </w:tcBorders>
            <w:shd w:val="clear" w:color="000000" w:fill="FFFFFF"/>
            <w:noWrap/>
            <w:vAlign w:val="center"/>
            <w:hideMark/>
          </w:tcPr>
          <w:p w14:paraId="7CD2FFFD" w14:textId="24C677DE" w:rsidR="008801A9" w:rsidRPr="006264FA" w:rsidRDefault="008801A9" w:rsidP="008679DE">
            <w:pPr>
              <w:pStyle w:val="TableTextLeft"/>
              <w:rPr>
                <w:rFonts w:cs="Arial"/>
                <w:b/>
                <w:i/>
                <w:szCs w:val="16"/>
              </w:rPr>
            </w:pPr>
            <w:r w:rsidRPr="006264FA">
              <w:rPr>
                <w:rFonts w:cs="Arial"/>
                <w:b/>
                <w:i/>
                <w:szCs w:val="16"/>
              </w:rPr>
              <w:t> </w:t>
            </w:r>
          </w:p>
        </w:tc>
        <w:tc>
          <w:tcPr>
            <w:tcW w:w="716" w:type="pct"/>
            <w:tcBorders>
              <w:top w:val="nil"/>
              <w:left w:val="nil"/>
              <w:bottom w:val="nil"/>
              <w:right w:val="nil"/>
            </w:tcBorders>
            <w:shd w:val="clear" w:color="000000" w:fill="FFFFFF"/>
            <w:noWrap/>
            <w:vAlign w:val="center"/>
            <w:hideMark/>
          </w:tcPr>
          <w:p w14:paraId="45B377C2" w14:textId="44D5E29D" w:rsidR="008801A9" w:rsidRPr="006264FA" w:rsidRDefault="008801A9" w:rsidP="0005205C">
            <w:pPr>
              <w:pStyle w:val="TableTextRight"/>
              <w:rPr>
                <w:rFonts w:cs="Arial"/>
                <w:szCs w:val="16"/>
              </w:rPr>
            </w:pPr>
            <w:r w:rsidRPr="006264FA">
              <w:rPr>
                <w:rFonts w:cs="Arial"/>
                <w:szCs w:val="16"/>
              </w:rPr>
              <w:t> </w:t>
            </w:r>
          </w:p>
        </w:tc>
        <w:tc>
          <w:tcPr>
            <w:tcW w:w="716" w:type="pct"/>
            <w:tcBorders>
              <w:top w:val="nil"/>
              <w:left w:val="nil"/>
              <w:bottom w:val="nil"/>
              <w:right w:val="nil"/>
            </w:tcBorders>
            <w:shd w:val="clear" w:color="000000" w:fill="E6F2FF"/>
            <w:noWrap/>
            <w:vAlign w:val="center"/>
            <w:hideMark/>
          </w:tcPr>
          <w:p w14:paraId="11062838" w14:textId="6FF7C5D7" w:rsidR="008801A9" w:rsidRPr="006264FA" w:rsidRDefault="008801A9" w:rsidP="0005205C">
            <w:pPr>
              <w:pStyle w:val="TableTextRight"/>
              <w:rPr>
                <w:rFonts w:cs="Arial"/>
                <w:szCs w:val="16"/>
              </w:rPr>
            </w:pPr>
            <w:r w:rsidRPr="006264FA">
              <w:rPr>
                <w:rFonts w:cs="Arial"/>
                <w:szCs w:val="16"/>
              </w:rPr>
              <w:t> </w:t>
            </w:r>
          </w:p>
        </w:tc>
      </w:tr>
      <w:tr w:rsidR="008801A9" w:rsidRPr="00D121A8" w14:paraId="53C6F9DF" w14:textId="77777777">
        <w:trPr>
          <w:trHeight w:hRule="exact" w:val="225"/>
        </w:trPr>
        <w:tc>
          <w:tcPr>
            <w:tcW w:w="3568" w:type="pct"/>
            <w:tcBorders>
              <w:top w:val="nil"/>
              <w:left w:val="nil"/>
              <w:bottom w:val="nil"/>
              <w:right w:val="nil"/>
            </w:tcBorders>
            <w:shd w:val="clear" w:color="000000" w:fill="FFFFFF"/>
            <w:noWrap/>
            <w:vAlign w:val="center"/>
            <w:hideMark/>
          </w:tcPr>
          <w:p w14:paraId="546C2F29" w14:textId="4B7F7638" w:rsidR="008801A9" w:rsidRPr="006264FA" w:rsidRDefault="008801A9" w:rsidP="008679DE">
            <w:pPr>
              <w:pStyle w:val="TableTextLeft"/>
              <w:rPr>
                <w:rFonts w:cs="Arial"/>
                <w:b/>
                <w:szCs w:val="16"/>
              </w:rPr>
            </w:pPr>
            <w:r w:rsidRPr="006264FA">
              <w:rPr>
                <w:rFonts w:cs="Arial"/>
                <w:b/>
                <w:szCs w:val="16"/>
              </w:rPr>
              <w:t>Net cash flows from financing activities</w:t>
            </w:r>
          </w:p>
        </w:tc>
        <w:tc>
          <w:tcPr>
            <w:tcW w:w="716" w:type="pct"/>
            <w:tcBorders>
              <w:top w:val="nil"/>
              <w:left w:val="nil"/>
              <w:bottom w:val="nil"/>
              <w:right w:val="nil"/>
            </w:tcBorders>
            <w:shd w:val="clear" w:color="000000" w:fill="FFFFFF"/>
            <w:noWrap/>
            <w:vAlign w:val="center"/>
            <w:hideMark/>
          </w:tcPr>
          <w:p w14:paraId="555A0A9D" w14:textId="7F7DA823" w:rsidR="008801A9" w:rsidRPr="006264FA" w:rsidRDefault="008801A9"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7A561740" w14:textId="5E000852" w:rsidR="008801A9" w:rsidRPr="006264FA" w:rsidRDefault="008801A9" w:rsidP="0005205C">
            <w:pPr>
              <w:pStyle w:val="TableTextRight"/>
              <w:rPr>
                <w:rFonts w:cs="Arial"/>
                <w:b/>
                <w:szCs w:val="16"/>
              </w:rPr>
            </w:pPr>
            <w:r w:rsidRPr="006264FA">
              <w:rPr>
                <w:rFonts w:cs="Arial"/>
                <w:b/>
                <w:szCs w:val="16"/>
              </w:rPr>
              <w:t> </w:t>
            </w:r>
          </w:p>
        </w:tc>
      </w:tr>
      <w:tr w:rsidR="008801A9" w:rsidRPr="00D121A8" w14:paraId="1098D557" w14:textId="77777777">
        <w:trPr>
          <w:trHeight w:hRule="exact" w:val="225"/>
        </w:trPr>
        <w:tc>
          <w:tcPr>
            <w:tcW w:w="3568" w:type="pct"/>
            <w:tcBorders>
              <w:top w:val="nil"/>
              <w:left w:val="nil"/>
              <w:bottom w:val="nil"/>
              <w:right w:val="nil"/>
            </w:tcBorders>
            <w:shd w:val="clear" w:color="000000" w:fill="FFFFFF"/>
            <w:noWrap/>
            <w:vAlign w:val="center"/>
            <w:hideMark/>
          </w:tcPr>
          <w:p w14:paraId="136CB129" w14:textId="2F770A3D" w:rsidR="008801A9" w:rsidRPr="006264FA" w:rsidRDefault="008801A9" w:rsidP="008679DE">
            <w:pPr>
              <w:pStyle w:val="TableTextLeft"/>
              <w:rPr>
                <w:rFonts w:cs="Arial"/>
                <w:szCs w:val="16"/>
              </w:rPr>
            </w:pPr>
            <w:r w:rsidRPr="006264FA">
              <w:rPr>
                <w:rFonts w:cs="Arial"/>
                <w:szCs w:val="16"/>
              </w:rPr>
              <w:t>Borrowing and deposits received (net)(c)</w:t>
            </w:r>
          </w:p>
        </w:tc>
        <w:tc>
          <w:tcPr>
            <w:tcW w:w="716" w:type="pct"/>
            <w:tcBorders>
              <w:top w:val="nil"/>
              <w:left w:val="nil"/>
              <w:bottom w:val="nil"/>
              <w:right w:val="nil"/>
            </w:tcBorders>
            <w:shd w:val="clear" w:color="000000" w:fill="FFFFFF"/>
            <w:noWrap/>
            <w:vAlign w:val="center"/>
            <w:hideMark/>
          </w:tcPr>
          <w:p w14:paraId="4BD540DE" w14:textId="699A804F"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73,217</w:t>
            </w:r>
          </w:p>
        </w:tc>
        <w:tc>
          <w:tcPr>
            <w:tcW w:w="716" w:type="pct"/>
            <w:tcBorders>
              <w:top w:val="nil"/>
              <w:left w:val="nil"/>
              <w:bottom w:val="nil"/>
              <w:right w:val="nil"/>
            </w:tcBorders>
            <w:shd w:val="clear" w:color="000000" w:fill="E6F2FF"/>
            <w:noWrap/>
            <w:vAlign w:val="center"/>
            <w:hideMark/>
          </w:tcPr>
          <w:p w14:paraId="4F266FB8" w14:textId="2925ED8B" w:rsidR="008801A9" w:rsidRPr="006264FA" w:rsidRDefault="008801A9" w:rsidP="0005205C">
            <w:pPr>
              <w:pStyle w:val="TableTextRight"/>
              <w:rPr>
                <w:rFonts w:cs="Arial"/>
                <w:szCs w:val="16"/>
              </w:rPr>
            </w:pPr>
            <w:r w:rsidRPr="006264FA">
              <w:rPr>
                <w:rFonts w:cs="Arial"/>
                <w:szCs w:val="16"/>
              </w:rPr>
              <w:t>4,793</w:t>
            </w:r>
          </w:p>
        </w:tc>
      </w:tr>
      <w:tr w:rsidR="008801A9" w:rsidRPr="00D121A8" w14:paraId="531B5735" w14:textId="77777777">
        <w:trPr>
          <w:trHeight w:hRule="exact" w:val="225"/>
        </w:trPr>
        <w:tc>
          <w:tcPr>
            <w:tcW w:w="3568" w:type="pct"/>
            <w:tcBorders>
              <w:top w:val="nil"/>
              <w:left w:val="nil"/>
              <w:bottom w:val="nil"/>
              <w:right w:val="nil"/>
            </w:tcBorders>
            <w:shd w:val="clear" w:color="000000" w:fill="FFFFFF"/>
            <w:noWrap/>
            <w:vAlign w:val="center"/>
            <w:hideMark/>
          </w:tcPr>
          <w:p w14:paraId="523D28DF" w14:textId="667D3859" w:rsidR="008801A9" w:rsidRPr="006264FA" w:rsidRDefault="008801A9" w:rsidP="008679DE">
            <w:pPr>
              <w:pStyle w:val="TableTextLeft"/>
              <w:rPr>
                <w:rFonts w:cs="Arial"/>
                <w:szCs w:val="16"/>
              </w:rPr>
            </w:pPr>
            <w:r w:rsidRPr="006264FA">
              <w:rPr>
                <w:rFonts w:cs="Arial"/>
                <w:szCs w:val="16"/>
              </w:rPr>
              <w:t>Other financing (net)</w:t>
            </w:r>
          </w:p>
        </w:tc>
        <w:tc>
          <w:tcPr>
            <w:tcW w:w="716" w:type="pct"/>
            <w:tcBorders>
              <w:top w:val="nil"/>
              <w:left w:val="nil"/>
              <w:bottom w:val="nil"/>
              <w:right w:val="nil"/>
            </w:tcBorders>
            <w:shd w:val="clear" w:color="000000" w:fill="FFFFFF"/>
            <w:noWrap/>
            <w:vAlign w:val="center"/>
            <w:hideMark/>
          </w:tcPr>
          <w:p w14:paraId="0F55CAAE" w14:textId="1C99DB2C"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6,558</w:t>
            </w:r>
          </w:p>
        </w:tc>
        <w:tc>
          <w:tcPr>
            <w:tcW w:w="716" w:type="pct"/>
            <w:tcBorders>
              <w:top w:val="nil"/>
              <w:left w:val="nil"/>
              <w:bottom w:val="nil"/>
              <w:right w:val="nil"/>
            </w:tcBorders>
            <w:shd w:val="clear" w:color="000000" w:fill="E6F2FF"/>
            <w:noWrap/>
            <w:vAlign w:val="center"/>
            <w:hideMark/>
          </w:tcPr>
          <w:p w14:paraId="694D3C9E" w14:textId="138073E5" w:rsidR="008801A9" w:rsidRPr="006264FA" w:rsidRDefault="008801A9" w:rsidP="0005205C">
            <w:pPr>
              <w:pStyle w:val="TableTextRight"/>
              <w:rPr>
                <w:rFonts w:cs="Arial"/>
                <w:szCs w:val="16"/>
              </w:rPr>
            </w:pPr>
            <w:r w:rsidRPr="006264FA">
              <w:rPr>
                <w:rFonts w:cs="Arial"/>
                <w:szCs w:val="16"/>
              </w:rPr>
              <w:t>124</w:t>
            </w:r>
          </w:p>
        </w:tc>
      </w:tr>
      <w:tr w:rsidR="008801A9" w:rsidRPr="00D121A8" w14:paraId="158D650F" w14:textId="77777777">
        <w:trPr>
          <w:trHeight w:hRule="exact" w:val="225"/>
        </w:trPr>
        <w:tc>
          <w:tcPr>
            <w:tcW w:w="3568" w:type="pct"/>
            <w:tcBorders>
              <w:top w:val="nil"/>
              <w:left w:val="nil"/>
              <w:bottom w:val="nil"/>
              <w:right w:val="nil"/>
            </w:tcBorders>
            <w:shd w:val="clear" w:color="000000" w:fill="FFFFFF"/>
            <w:noWrap/>
            <w:vAlign w:val="center"/>
            <w:hideMark/>
          </w:tcPr>
          <w:p w14:paraId="5AED75FA" w14:textId="6590E6C8" w:rsidR="008801A9" w:rsidRPr="006264FA" w:rsidRDefault="008801A9" w:rsidP="008679DE">
            <w:pPr>
              <w:pStyle w:val="TableTextLeft"/>
              <w:rPr>
                <w:rFonts w:cs="Arial"/>
                <w:b/>
                <w:szCs w:val="16"/>
              </w:rPr>
            </w:pPr>
            <w:r w:rsidRPr="006264FA">
              <w:rPr>
                <w:rFonts w:cs="Arial"/>
                <w:b/>
                <w:szCs w:val="16"/>
              </w:rPr>
              <w:t>Net cash flows from financing activities</w:t>
            </w:r>
          </w:p>
        </w:tc>
        <w:tc>
          <w:tcPr>
            <w:tcW w:w="716" w:type="pct"/>
            <w:tcBorders>
              <w:top w:val="nil"/>
              <w:left w:val="nil"/>
              <w:bottom w:val="nil"/>
              <w:right w:val="nil"/>
            </w:tcBorders>
            <w:shd w:val="clear" w:color="000000" w:fill="FFFFFF"/>
            <w:noWrap/>
            <w:vAlign w:val="center"/>
            <w:hideMark/>
          </w:tcPr>
          <w:p w14:paraId="62D3DCF9" w14:textId="404880D2"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79,775</w:t>
            </w:r>
          </w:p>
        </w:tc>
        <w:tc>
          <w:tcPr>
            <w:tcW w:w="716" w:type="pct"/>
            <w:tcBorders>
              <w:top w:val="nil"/>
              <w:left w:val="nil"/>
              <w:bottom w:val="nil"/>
              <w:right w:val="nil"/>
            </w:tcBorders>
            <w:shd w:val="clear" w:color="000000" w:fill="E6F2FF"/>
            <w:noWrap/>
            <w:vAlign w:val="center"/>
            <w:hideMark/>
          </w:tcPr>
          <w:p w14:paraId="74D11E89" w14:textId="22BF803A" w:rsidR="008801A9" w:rsidRPr="006264FA" w:rsidRDefault="008801A9" w:rsidP="0005205C">
            <w:pPr>
              <w:pStyle w:val="TableTextRight"/>
              <w:rPr>
                <w:rFonts w:cs="Arial"/>
                <w:b/>
                <w:szCs w:val="16"/>
              </w:rPr>
            </w:pPr>
            <w:r w:rsidRPr="006264FA">
              <w:rPr>
                <w:rFonts w:cs="Arial"/>
                <w:b/>
                <w:szCs w:val="16"/>
              </w:rPr>
              <w:t>4,917</w:t>
            </w:r>
          </w:p>
        </w:tc>
      </w:tr>
      <w:tr w:rsidR="008801A9" w:rsidRPr="00D121A8" w14:paraId="1EEBE8D1" w14:textId="77777777">
        <w:trPr>
          <w:trHeight w:hRule="exact" w:val="60"/>
        </w:trPr>
        <w:tc>
          <w:tcPr>
            <w:tcW w:w="3568" w:type="pct"/>
            <w:tcBorders>
              <w:top w:val="nil"/>
              <w:left w:val="nil"/>
              <w:bottom w:val="nil"/>
              <w:right w:val="nil"/>
            </w:tcBorders>
            <w:shd w:val="clear" w:color="000000" w:fill="FFFFFF"/>
            <w:noWrap/>
            <w:vAlign w:val="center"/>
            <w:hideMark/>
          </w:tcPr>
          <w:p w14:paraId="6C6AAA84" w14:textId="1DDEF055" w:rsidR="008801A9" w:rsidRPr="006264FA" w:rsidRDefault="008801A9" w:rsidP="008679DE">
            <w:pPr>
              <w:pStyle w:val="TableTextLeft"/>
              <w:rPr>
                <w:rFonts w:cs="Arial"/>
                <w:i/>
                <w:szCs w:val="16"/>
              </w:rPr>
            </w:pPr>
            <w:r w:rsidRPr="006264FA">
              <w:rPr>
                <w:rFonts w:cs="Arial"/>
                <w:i/>
                <w:szCs w:val="16"/>
              </w:rPr>
              <w:t> </w:t>
            </w:r>
          </w:p>
        </w:tc>
        <w:tc>
          <w:tcPr>
            <w:tcW w:w="716" w:type="pct"/>
            <w:tcBorders>
              <w:top w:val="nil"/>
              <w:left w:val="nil"/>
              <w:bottom w:val="nil"/>
              <w:right w:val="nil"/>
            </w:tcBorders>
            <w:shd w:val="clear" w:color="000000" w:fill="FFFFFF"/>
            <w:noWrap/>
            <w:vAlign w:val="center"/>
            <w:hideMark/>
          </w:tcPr>
          <w:p w14:paraId="531C8163" w14:textId="4D96E71C" w:rsidR="008801A9" w:rsidRPr="006264FA" w:rsidRDefault="008801A9"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079CA17D" w14:textId="26BC2C5D" w:rsidR="008801A9" w:rsidRPr="006264FA" w:rsidRDefault="008801A9" w:rsidP="0005205C">
            <w:pPr>
              <w:pStyle w:val="TableTextRight"/>
              <w:rPr>
                <w:rFonts w:cs="Arial"/>
                <w:b/>
                <w:szCs w:val="16"/>
              </w:rPr>
            </w:pPr>
            <w:r w:rsidRPr="006264FA">
              <w:rPr>
                <w:rFonts w:cs="Arial"/>
                <w:b/>
                <w:szCs w:val="16"/>
              </w:rPr>
              <w:t> </w:t>
            </w:r>
          </w:p>
        </w:tc>
      </w:tr>
      <w:tr w:rsidR="008801A9" w:rsidRPr="00D121A8" w14:paraId="70F5B9E4" w14:textId="77777777">
        <w:trPr>
          <w:trHeight w:hRule="exact" w:val="225"/>
        </w:trPr>
        <w:tc>
          <w:tcPr>
            <w:tcW w:w="3568" w:type="pct"/>
            <w:tcBorders>
              <w:top w:val="nil"/>
              <w:left w:val="nil"/>
              <w:bottom w:val="nil"/>
              <w:right w:val="nil"/>
            </w:tcBorders>
            <w:shd w:val="clear" w:color="000000" w:fill="FFFFFF"/>
            <w:noWrap/>
            <w:vAlign w:val="center"/>
            <w:hideMark/>
          </w:tcPr>
          <w:p w14:paraId="5B4F5A70" w14:textId="3CEE1F9B" w:rsidR="008801A9" w:rsidRPr="006264FA" w:rsidRDefault="008801A9" w:rsidP="008679DE">
            <w:pPr>
              <w:pStyle w:val="TableTextLeft"/>
              <w:rPr>
                <w:rFonts w:cs="Arial"/>
                <w:b/>
                <w:szCs w:val="16"/>
              </w:rPr>
            </w:pPr>
            <w:r w:rsidRPr="006264FA">
              <w:rPr>
                <w:rFonts w:cs="Arial"/>
                <w:b/>
                <w:szCs w:val="16"/>
              </w:rPr>
              <w:t>Net increase/(decrease) in cash held</w:t>
            </w:r>
          </w:p>
        </w:tc>
        <w:tc>
          <w:tcPr>
            <w:tcW w:w="716" w:type="pct"/>
            <w:tcBorders>
              <w:top w:val="nil"/>
              <w:left w:val="nil"/>
              <w:bottom w:val="nil"/>
              <w:right w:val="nil"/>
            </w:tcBorders>
            <w:shd w:val="clear" w:color="000000" w:fill="FFFFFF"/>
            <w:noWrap/>
            <w:vAlign w:val="center"/>
            <w:hideMark/>
          </w:tcPr>
          <w:p w14:paraId="0E4D6397" w14:textId="0F539BB0"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159</w:t>
            </w:r>
          </w:p>
        </w:tc>
        <w:tc>
          <w:tcPr>
            <w:tcW w:w="716" w:type="pct"/>
            <w:tcBorders>
              <w:top w:val="nil"/>
              <w:left w:val="nil"/>
              <w:bottom w:val="nil"/>
              <w:right w:val="nil"/>
            </w:tcBorders>
            <w:shd w:val="clear" w:color="000000" w:fill="E6F2FF"/>
            <w:noWrap/>
            <w:vAlign w:val="center"/>
            <w:hideMark/>
          </w:tcPr>
          <w:p w14:paraId="49F256B8" w14:textId="7C580ABF" w:rsidR="008801A9" w:rsidRPr="006264FA" w:rsidRDefault="008801A9" w:rsidP="0005205C">
            <w:pPr>
              <w:pStyle w:val="TableTextRight"/>
              <w:rPr>
                <w:rFonts w:cs="Arial"/>
                <w:b/>
                <w:szCs w:val="16"/>
              </w:rPr>
            </w:pPr>
            <w:r w:rsidRPr="006264FA">
              <w:rPr>
                <w:rFonts w:cs="Arial"/>
                <w:b/>
                <w:szCs w:val="16"/>
              </w:rPr>
              <w:t>45</w:t>
            </w:r>
          </w:p>
        </w:tc>
      </w:tr>
      <w:tr w:rsidR="008801A9" w:rsidRPr="00D121A8" w14:paraId="75C2425D" w14:textId="77777777">
        <w:trPr>
          <w:trHeight w:hRule="exact" w:val="60"/>
        </w:trPr>
        <w:tc>
          <w:tcPr>
            <w:tcW w:w="3568" w:type="pct"/>
            <w:tcBorders>
              <w:top w:val="nil"/>
              <w:left w:val="nil"/>
              <w:bottom w:val="nil"/>
              <w:right w:val="nil"/>
            </w:tcBorders>
            <w:shd w:val="clear" w:color="000000" w:fill="FFFFFF"/>
            <w:noWrap/>
            <w:vAlign w:val="center"/>
            <w:hideMark/>
          </w:tcPr>
          <w:p w14:paraId="1DE952FF" w14:textId="68C84621" w:rsidR="008801A9" w:rsidRPr="006264FA" w:rsidRDefault="008801A9" w:rsidP="008679DE">
            <w:pPr>
              <w:pStyle w:val="TableTextLeft"/>
              <w:rPr>
                <w:rFonts w:cs="Arial"/>
                <w:i/>
                <w:szCs w:val="16"/>
              </w:rPr>
            </w:pPr>
            <w:r w:rsidRPr="006264FA">
              <w:rPr>
                <w:rFonts w:cs="Arial"/>
                <w:i/>
                <w:szCs w:val="16"/>
              </w:rPr>
              <w:t> </w:t>
            </w:r>
          </w:p>
        </w:tc>
        <w:tc>
          <w:tcPr>
            <w:tcW w:w="716" w:type="pct"/>
            <w:tcBorders>
              <w:top w:val="nil"/>
              <w:left w:val="nil"/>
              <w:bottom w:val="nil"/>
              <w:right w:val="nil"/>
            </w:tcBorders>
            <w:shd w:val="clear" w:color="000000" w:fill="FFFFFF"/>
            <w:noWrap/>
            <w:vAlign w:val="center"/>
            <w:hideMark/>
          </w:tcPr>
          <w:p w14:paraId="1B21BB29" w14:textId="3A89B031" w:rsidR="008801A9" w:rsidRPr="006264FA" w:rsidRDefault="008801A9"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7815C20C" w14:textId="5F2DF257" w:rsidR="008801A9" w:rsidRPr="006264FA" w:rsidRDefault="008801A9" w:rsidP="0005205C">
            <w:pPr>
              <w:pStyle w:val="TableTextRight"/>
              <w:rPr>
                <w:rFonts w:cs="Arial"/>
                <w:szCs w:val="16"/>
              </w:rPr>
            </w:pPr>
            <w:r w:rsidRPr="006264FA">
              <w:rPr>
                <w:rFonts w:cs="Arial"/>
                <w:szCs w:val="16"/>
              </w:rPr>
              <w:t> </w:t>
            </w:r>
          </w:p>
        </w:tc>
      </w:tr>
      <w:tr w:rsidR="008801A9" w:rsidRPr="00D121A8" w14:paraId="06B777B2" w14:textId="77777777">
        <w:trPr>
          <w:trHeight w:hRule="exact" w:val="225"/>
        </w:trPr>
        <w:tc>
          <w:tcPr>
            <w:tcW w:w="3568" w:type="pct"/>
            <w:tcBorders>
              <w:top w:val="nil"/>
              <w:left w:val="nil"/>
              <w:bottom w:val="nil"/>
              <w:right w:val="nil"/>
            </w:tcBorders>
            <w:shd w:val="clear" w:color="000000" w:fill="FFFFFF"/>
            <w:noWrap/>
            <w:vAlign w:val="center"/>
            <w:hideMark/>
          </w:tcPr>
          <w:p w14:paraId="3878DB4D" w14:textId="2616CC5D" w:rsidR="008801A9" w:rsidRPr="006264FA" w:rsidRDefault="008801A9" w:rsidP="008679DE">
            <w:pPr>
              <w:pStyle w:val="TableTextLeft"/>
              <w:rPr>
                <w:rFonts w:cs="Arial"/>
                <w:b/>
                <w:szCs w:val="16"/>
              </w:rPr>
            </w:pPr>
            <w:r w:rsidRPr="006264FA">
              <w:rPr>
                <w:rFonts w:cs="Arial"/>
                <w:b/>
                <w:szCs w:val="16"/>
              </w:rPr>
              <w:t>Cash at the beginning of the year</w:t>
            </w:r>
          </w:p>
        </w:tc>
        <w:tc>
          <w:tcPr>
            <w:tcW w:w="716" w:type="pct"/>
            <w:tcBorders>
              <w:top w:val="nil"/>
              <w:left w:val="nil"/>
              <w:bottom w:val="nil"/>
              <w:right w:val="nil"/>
            </w:tcBorders>
            <w:shd w:val="clear" w:color="000000" w:fill="FFFFFF"/>
            <w:noWrap/>
            <w:vAlign w:val="center"/>
            <w:hideMark/>
          </w:tcPr>
          <w:p w14:paraId="0F81FA02" w14:textId="04698CBF" w:rsidR="008801A9" w:rsidRPr="006264FA" w:rsidRDefault="008801A9" w:rsidP="0005205C">
            <w:pPr>
              <w:pStyle w:val="TableTextRight"/>
              <w:rPr>
                <w:rFonts w:cs="Arial"/>
                <w:b/>
                <w:szCs w:val="16"/>
              </w:rPr>
            </w:pPr>
            <w:r w:rsidRPr="006264FA">
              <w:rPr>
                <w:rFonts w:cs="Arial"/>
                <w:b/>
                <w:szCs w:val="16"/>
              </w:rPr>
              <w:t>1,362</w:t>
            </w:r>
          </w:p>
        </w:tc>
        <w:tc>
          <w:tcPr>
            <w:tcW w:w="716" w:type="pct"/>
            <w:tcBorders>
              <w:top w:val="nil"/>
              <w:left w:val="nil"/>
              <w:bottom w:val="nil"/>
              <w:right w:val="nil"/>
            </w:tcBorders>
            <w:shd w:val="clear" w:color="000000" w:fill="E6F2FF"/>
            <w:noWrap/>
            <w:vAlign w:val="center"/>
            <w:hideMark/>
          </w:tcPr>
          <w:p w14:paraId="0860DAD3" w14:textId="748EBAD2" w:rsidR="008801A9" w:rsidRPr="006264FA" w:rsidRDefault="008801A9" w:rsidP="0005205C">
            <w:pPr>
              <w:pStyle w:val="TableTextRight"/>
              <w:rPr>
                <w:rFonts w:cs="Arial"/>
                <w:b/>
                <w:szCs w:val="16"/>
              </w:rPr>
            </w:pPr>
            <w:r w:rsidRPr="006264FA">
              <w:rPr>
                <w:rFonts w:cs="Arial"/>
                <w:b/>
                <w:szCs w:val="16"/>
              </w:rPr>
              <w:t>1,203</w:t>
            </w:r>
          </w:p>
        </w:tc>
      </w:tr>
      <w:tr w:rsidR="008801A9" w:rsidRPr="00D121A8" w14:paraId="52A4CD63"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47778D21" w14:textId="76F8055D" w:rsidR="008801A9" w:rsidRPr="006264FA" w:rsidRDefault="008801A9" w:rsidP="008679DE">
            <w:pPr>
              <w:pStyle w:val="TableTextLeft"/>
              <w:rPr>
                <w:rFonts w:cs="Arial"/>
                <w:b/>
                <w:szCs w:val="16"/>
              </w:rPr>
            </w:pPr>
            <w:r w:rsidRPr="006264FA">
              <w:rPr>
                <w:rFonts w:cs="Arial"/>
                <w:b/>
                <w:szCs w:val="16"/>
              </w:rPr>
              <w:t>Cash at the end of the year</w:t>
            </w:r>
          </w:p>
        </w:tc>
        <w:tc>
          <w:tcPr>
            <w:tcW w:w="716" w:type="pct"/>
            <w:tcBorders>
              <w:top w:val="nil"/>
              <w:left w:val="nil"/>
              <w:bottom w:val="single" w:sz="4" w:space="0" w:color="293F5B"/>
              <w:right w:val="nil"/>
            </w:tcBorders>
            <w:shd w:val="clear" w:color="auto" w:fill="auto"/>
            <w:noWrap/>
            <w:vAlign w:val="center"/>
            <w:hideMark/>
          </w:tcPr>
          <w:p w14:paraId="506DFDEF" w14:textId="39DE9F1C" w:rsidR="008801A9" w:rsidRPr="006264FA" w:rsidRDefault="008801A9" w:rsidP="0005205C">
            <w:pPr>
              <w:pStyle w:val="TableTextRight"/>
              <w:rPr>
                <w:rFonts w:cs="Arial"/>
                <w:b/>
                <w:szCs w:val="16"/>
              </w:rPr>
            </w:pPr>
            <w:r w:rsidRPr="006264FA">
              <w:rPr>
                <w:rFonts w:cs="Arial"/>
                <w:b/>
                <w:szCs w:val="16"/>
              </w:rPr>
              <w:t>1,203</w:t>
            </w:r>
          </w:p>
        </w:tc>
        <w:tc>
          <w:tcPr>
            <w:tcW w:w="716" w:type="pct"/>
            <w:tcBorders>
              <w:top w:val="nil"/>
              <w:left w:val="nil"/>
              <w:bottom w:val="single" w:sz="4" w:space="0" w:color="293F5B"/>
              <w:right w:val="nil"/>
            </w:tcBorders>
            <w:shd w:val="clear" w:color="000000" w:fill="E6F2FF"/>
            <w:noWrap/>
            <w:vAlign w:val="center"/>
            <w:hideMark/>
          </w:tcPr>
          <w:p w14:paraId="26B39696" w14:textId="634022C1" w:rsidR="008801A9" w:rsidRPr="006264FA" w:rsidRDefault="008801A9" w:rsidP="0005205C">
            <w:pPr>
              <w:pStyle w:val="TableTextRight"/>
              <w:rPr>
                <w:rFonts w:cs="Arial"/>
                <w:b/>
                <w:szCs w:val="16"/>
              </w:rPr>
            </w:pPr>
            <w:r w:rsidRPr="006264FA">
              <w:rPr>
                <w:rFonts w:cs="Arial"/>
                <w:b/>
                <w:szCs w:val="16"/>
              </w:rPr>
              <w:t>1,248</w:t>
            </w:r>
          </w:p>
        </w:tc>
      </w:tr>
      <w:tr w:rsidR="008801A9" w:rsidRPr="00D121A8" w14:paraId="212CB2BE" w14:textId="77777777">
        <w:trPr>
          <w:trHeight w:hRule="exact" w:val="60"/>
        </w:trPr>
        <w:tc>
          <w:tcPr>
            <w:tcW w:w="3568" w:type="pct"/>
            <w:tcBorders>
              <w:top w:val="nil"/>
              <w:left w:val="nil"/>
              <w:bottom w:val="nil"/>
              <w:right w:val="nil"/>
            </w:tcBorders>
            <w:shd w:val="clear" w:color="000000" w:fill="FFFFFF"/>
            <w:noWrap/>
            <w:vAlign w:val="center"/>
            <w:hideMark/>
          </w:tcPr>
          <w:p w14:paraId="17682117" w14:textId="2747CE93" w:rsidR="008801A9" w:rsidRPr="006264FA" w:rsidRDefault="008801A9" w:rsidP="008679DE">
            <w:pPr>
              <w:pStyle w:val="TableTextLeft"/>
              <w:rPr>
                <w:rFonts w:cs="Arial"/>
                <w:b/>
                <w:szCs w:val="16"/>
              </w:rPr>
            </w:pPr>
            <w:r w:rsidRPr="006264FA">
              <w:rPr>
                <w:rFonts w:cs="Arial"/>
                <w:b/>
                <w:szCs w:val="16"/>
              </w:rPr>
              <w:t> </w:t>
            </w:r>
          </w:p>
        </w:tc>
        <w:tc>
          <w:tcPr>
            <w:tcW w:w="716" w:type="pct"/>
            <w:tcBorders>
              <w:top w:val="nil"/>
              <w:left w:val="nil"/>
              <w:bottom w:val="nil"/>
              <w:right w:val="nil"/>
            </w:tcBorders>
            <w:shd w:val="clear" w:color="000000" w:fill="FFFFFF"/>
            <w:noWrap/>
            <w:vAlign w:val="center"/>
            <w:hideMark/>
          </w:tcPr>
          <w:p w14:paraId="10CA25D5" w14:textId="51BFFD6C" w:rsidR="008801A9" w:rsidRPr="006264FA" w:rsidRDefault="008801A9" w:rsidP="0005205C">
            <w:pPr>
              <w:pStyle w:val="TableTextRight"/>
              <w:rPr>
                <w:rFonts w:cs="Arial"/>
                <w:b/>
                <w:szCs w:val="16"/>
              </w:rPr>
            </w:pPr>
            <w:r w:rsidRPr="006264FA">
              <w:rPr>
                <w:rFonts w:cs="Arial"/>
                <w:b/>
                <w:szCs w:val="16"/>
              </w:rPr>
              <w:t> </w:t>
            </w:r>
          </w:p>
        </w:tc>
        <w:tc>
          <w:tcPr>
            <w:tcW w:w="716" w:type="pct"/>
            <w:tcBorders>
              <w:top w:val="nil"/>
              <w:left w:val="nil"/>
              <w:bottom w:val="nil"/>
              <w:right w:val="nil"/>
            </w:tcBorders>
            <w:shd w:val="clear" w:color="000000" w:fill="E6F2FF"/>
            <w:noWrap/>
            <w:vAlign w:val="center"/>
            <w:hideMark/>
          </w:tcPr>
          <w:p w14:paraId="361A11E1" w14:textId="76F997BB" w:rsidR="008801A9" w:rsidRPr="006264FA" w:rsidRDefault="008801A9" w:rsidP="0005205C">
            <w:pPr>
              <w:pStyle w:val="TableTextRight"/>
              <w:rPr>
                <w:rFonts w:cs="Arial"/>
                <w:b/>
                <w:szCs w:val="16"/>
              </w:rPr>
            </w:pPr>
            <w:r w:rsidRPr="006264FA">
              <w:rPr>
                <w:rFonts w:cs="Arial"/>
                <w:b/>
                <w:szCs w:val="16"/>
              </w:rPr>
              <w:t> </w:t>
            </w:r>
          </w:p>
        </w:tc>
      </w:tr>
      <w:tr w:rsidR="008801A9" w:rsidRPr="00D121A8" w14:paraId="1BC48561" w14:textId="77777777">
        <w:trPr>
          <w:trHeight w:hRule="exact" w:val="225"/>
        </w:trPr>
        <w:tc>
          <w:tcPr>
            <w:tcW w:w="3568" w:type="pct"/>
            <w:tcBorders>
              <w:top w:val="nil"/>
              <w:left w:val="nil"/>
              <w:bottom w:val="nil"/>
              <w:right w:val="nil"/>
            </w:tcBorders>
            <w:shd w:val="clear" w:color="000000" w:fill="FFFFFF"/>
            <w:noWrap/>
            <w:vAlign w:val="center"/>
            <w:hideMark/>
          </w:tcPr>
          <w:p w14:paraId="4AD1D9DF" w14:textId="2C87AA6E" w:rsidR="008801A9" w:rsidRPr="006264FA" w:rsidRDefault="008801A9" w:rsidP="008679DE">
            <w:pPr>
              <w:pStyle w:val="TableTextLeft"/>
              <w:rPr>
                <w:rFonts w:cs="Arial"/>
                <w:b/>
                <w:szCs w:val="16"/>
              </w:rPr>
            </w:pPr>
            <w:r w:rsidRPr="006264FA">
              <w:rPr>
                <w:rFonts w:cs="Arial"/>
                <w:b/>
                <w:szCs w:val="16"/>
              </w:rPr>
              <w:t>GFS cash surplus(+)/deficit</w:t>
            </w:r>
            <w:r w:rsidRPr="006264FA">
              <w:rPr>
                <w:rFonts w:cs="Arial"/>
                <w:b/>
                <w:bCs/>
                <w:szCs w:val="16"/>
              </w:rPr>
              <w:t>(</w:t>
            </w:r>
            <w:r w:rsidR="00325E1E">
              <w:rPr>
                <w:rFonts w:cs="Arial"/>
                <w:b/>
                <w:bCs/>
                <w:szCs w:val="16"/>
              </w:rPr>
              <w:noBreakHyphen/>
            </w:r>
            <w:r w:rsidRPr="006264FA">
              <w:rPr>
                <w:rFonts w:cs="Arial"/>
                <w:b/>
                <w:bCs/>
                <w:szCs w:val="16"/>
              </w:rPr>
              <w:t>)(</w:t>
            </w:r>
            <w:r w:rsidRPr="006264FA">
              <w:rPr>
                <w:rFonts w:cs="Arial"/>
                <w:b/>
                <w:szCs w:val="16"/>
              </w:rPr>
              <w:t>d)</w:t>
            </w:r>
          </w:p>
        </w:tc>
        <w:tc>
          <w:tcPr>
            <w:tcW w:w="716" w:type="pct"/>
            <w:tcBorders>
              <w:top w:val="nil"/>
              <w:left w:val="nil"/>
              <w:bottom w:val="nil"/>
              <w:right w:val="nil"/>
            </w:tcBorders>
            <w:shd w:val="clear" w:color="000000" w:fill="FFFFFF"/>
            <w:noWrap/>
            <w:vAlign w:val="center"/>
            <w:hideMark/>
          </w:tcPr>
          <w:p w14:paraId="6FA01859" w14:textId="43BD0D8D"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7,291</w:t>
            </w:r>
          </w:p>
        </w:tc>
        <w:tc>
          <w:tcPr>
            <w:tcW w:w="716" w:type="pct"/>
            <w:tcBorders>
              <w:top w:val="nil"/>
              <w:left w:val="nil"/>
              <w:bottom w:val="nil"/>
              <w:right w:val="nil"/>
            </w:tcBorders>
            <w:shd w:val="clear" w:color="000000" w:fill="E6F2FF"/>
            <w:noWrap/>
            <w:vAlign w:val="center"/>
            <w:hideMark/>
          </w:tcPr>
          <w:p w14:paraId="6BD31474" w14:textId="76895D4B"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2,475</w:t>
            </w:r>
          </w:p>
        </w:tc>
      </w:tr>
      <w:tr w:rsidR="008801A9" w:rsidRPr="00D121A8" w14:paraId="40A7AA63" w14:textId="77777777">
        <w:trPr>
          <w:trHeight w:hRule="exact" w:val="225"/>
        </w:trPr>
        <w:tc>
          <w:tcPr>
            <w:tcW w:w="3568" w:type="pct"/>
            <w:tcBorders>
              <w:top w:val="nil"/>
              <w:left w:val="nil"/>
              <w:bottom w:val="nil"/>
              <w:right w:val="nil"/>
            </w:tcBorders>
            <w:shd w:val="clear" w:color="000000" w:fill="FFFFFF"/>
            <w:noWrap/>
            <w:vAlign w:val="center"/>
            <w:hideMark/>
          </w:tcPr>
          <w:p w14:paraId="5D3D889E" w14:textId="30E58226" w:rsidR="008801A9" w:rsidRPr="006264FA" w:rsidRDefault="008801A9" w:rsidP="008679DE">
            <w:pPr>
              <w:pStyle w:val="TableTextLeft"/>
              <w:rPr>
                <w:rFonts w:cs="Arial"/>
                <w:szCs w:val="16"/>
              </w:rPr>
            </w:pPr>
            <w:r w:rsidRPr="006264FA">
              <w:rPr>
                <w:rFonts w:cs="Arial"/>
                <w:i/>
                <w:szCs w:val="16"/>
              </w:rPr>
              <w:t>plus</w:t>
            </w:r>
            <w:r w:rsidRPr="006264FA">
              <w:rPr>
                <w:rFonts w:cs="Arial"/>
                <w:szCs w:val="16"/>
              </w:rPr>
              <w:t xml:space="preserve"> Principal payments of lease liabilities(e)</w:t>
            </w:r>
          </w:p>
        </w:tc>
        <w:tc>
          <w:tcPr>
            <w:tcW w:w="716" w:type="pct"/>
            <w:tcBorders>
              <w:top w:val="nil"/>
              <w:left w:val="nil"/>
              <w:bottom w:val="nil"/>
              <w:right w:val="nil"/>
            </w:tcBorders>
            <w:shd w:val="clear" w:color="000000" w:fill="FFFFFF"/>
            <w:noWrap/>
            <w:vAlign w:val="center"/>
            <w:hideMark/>
          </w:tcPr>
          <w:p w14:paraId="1CAEFFF3" w14:textId="6791DD26" w:rsidR="008801A9" w:rsidRPr="006264FA" w:rsidRDefault="00325E1E" w:rsidP="0005205C">
            <w:pPr>
              <w:pStyle w:val="TableTextRight"/>
              <w:rPr>
                <w:rFonts w:cs="Arial"/>
                <w:szCs w:val="16"/>
              </w:rPr>
            </w:pPr>
            <w:r>
              <w:rPr>
                <w:rFonts w:cs="Arial"/>
                <w:szCs w:val="16"/>
              </w:rPr>
              <w:noBreakHyphen/>
            </w:r>
            <w:r w:rsidR="008801A9" w:rsidRPr="006264FA">
              <w:rPr>
                <w:rFonts w:cs="Arial"/>
                <w:szCs w:val="16"/>
              </w:rPr>
              <w:t>18</w:t>
            </w:r>
          </w:p>
        </w:tc>
        <w:tc>
          <w:tcPr>
            <w:tcW w:w="716" w:type="pct"/>
            <w:tcBorders>
              <w:top w:val="nil"/>
              <w:left w:val="nil"/>
              <w:bottom w:val="nil"/>
              <w:right w:val="nil"/>
            </w:tcBorders>
            <w:shd w:val="clear" w:color="000000" w:fill="E6F2FF"/>
            <w:noWrap/>
            <w:vAlign w:val="center"/>
            <w:hideMark/>
          </w:tcPr>
          <w:p w14:paraId="009DCBFF" w14:textId="4F1FCDD7" w:rsidR="008801A9" w:rsidRPr="006264FA" w:rsidRDefault="008801A9" w:rsidP="0005205C">
            <w:pPr>
              <w:pStyle w:val="TableTextRight"/>
              <w:rPr>
                <w:rFonts w:cs="Arial"/>
                <w:szCs w:val="16"/>
              </w:rPr>
            </w:pPr>
            <w:r w:rsidRPr="006264FA">
              <w:rPr>
                <w:rFonts w:cs="Arial"/>
                <w:szCs w:val="16"/>
              </w:rPr>
              <w:t>5</w:t>
            </w:r>
          </w:p>
        </w:tc>
      </w:tr>
      <w:tr w:rsidR="008801A9" w:rsidRPr="00D121A8" w14:paraId="212680DE" w14:textId="77777777">
        <w:trPr>
          <w:trHeight w:hRule="exact" w:val="225"/>
        </w:trPr>
        <w:tc>
          <w:tcPr>
            <w:tcW w:w="3568" w:type="pct"/>
            <w:tcBorders>
              <w:top w:val="nil"/>
              <w:left w:val="nil"/>
              <w:bottom w:val="single" w:sz="4" w:space="0" w:color="293F5B"/>
              <w:right w:val="nil"/>
            </w:tcBorders>
            <w:shd w:val="clear" w:color="000000" w:fill="FFFFFF"/>
            <w:noWrap/>
            <w:vAlign w:val="center"/>
            <w:hideMark/>
          </w:tcPr>
          <w:p w14:paraId="7B406D02" w14:textId="16C62905" w:rsidR="008801A9" w:rsidRPr="006264FA" w:rsidRDefault="008801A9" w:rsidP="008679DE">
            <w:pPr>
              <w:pStyle w:val="TableTextLeft"/>
              <w:rPr>
                <w:rFonts w:cs="Arial"/>
                <w:b/>
                <w:szCs w:val="16"/>
              </w:rPr>
            </w:pPr>
            <w:r w:rsidRPr="006264FA">
              <w:rPr>
                <w:rFonts w:cs="Arial"/>
                <w:b/>
                <w:szCs w:val="16"/>
              </w:rPr>
              <w:t>Adjusted GFS cash surplus(+)/deficit</w:t>
            </w:r>
            <w:r w:rsidRPr="006264FA">
              <w:rPr>
                <w:rFonts w:cs="Arial"/>
                <w:b/>
                <w:bCs/>
                <w:szCs w:val="16"/>
              </w:rPr>
              <w:t>(</w:t>
            </w:r>
            <w:r w:rsidR="00325E1E">
              <w:rPr>
                <w:rFonts w:cs="Arial"/>
                <w:b/>
                <w:bCs/>
                <w:szCs w:val="16"/>
              </w:rPr>
              <w:noBreakHyphen/>
            </w:r>
            <w:r w:rsidRPr="006264FA">
              <w:rPr>
                <w:rFonts w:cs="Arial"/>
                <w:b/>
                <w:bCs/>
                <w:szCs w:val="16"/>
              </w:rPr>
              <w:t>)(</w:t>
            </w:r>
            <w:r w:rsidRPr="006264FA">
              <w:rPr>
                <w:rFonts w:cs="Arial"/>
                <w:b/>
                <w:szCs w:val="16"/>
              </w:rPr>
              <w:t>e)</w:t>
            </w:r>
          </w:p>
        </w:tc>
        <w:tc>
          <w:tcPr>
            <w:tcW w:w="716" w:type="pct"/>
            <w:tcBorders>
              <w:top w:val="nil"/>
              <w:left w:val="nil"/>
              <w:bottom w:val="single" w:sz="4" w:space="0" w:color="293F5B"/>
              <w:right w:val="nil"/>
            </w:tcBorders>
            <w:shd w:val="clear" w:color="000000" w:fill="FFFFFF"/>
            <w:noWrap/>
            <w:vAlign w:val="center"/>
            <w:hideMark/>
          </w:tcPr>
          <w:p w14:paraId="71A2D13F" w14:textId="35D6452A"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7,309</w:t>
            </w:r>
          </w:p>
        </w:tc>
        <w:tc>
          <w:tcPr>
            <w:tcW w:w="716" w:type="pct"/>
            <w:tcBorders>
              <w:top w:val="nil"/>
              <w:left w:val="nil"/>
              <w:bottom w:val="single" w:sz="4" w:space="0" w:color="293F5B"/>
              <w:right w:val="nil"/>
            </w:tcBorders>
            <w:shd w:val="clear" w:color="000000" w:fill="E6F2FF"/>
            <w:noWrap/>
            <w:vAlign w:val="center"/>
            <w:hideMark/>
          </w:tcPr>
          <w:p w14:paraId="0E4250E8" w14:textId="396851FD" w:rsidR="008801A9" w:rsidRPr="006264FA" w:rsidRDefault="00325E1E" w:rsidP="0005205C">
            <w:pPr>
              <w:pStyle w:val="TableTextRight"/>
              <w:rPr>
                <w:rFonts w:cs="Arial"/>
                <w:b/>
                <w:szCs w:val="16"/>
              </w:rPr>
            </w:pPr>
            <w:r>
              <w:rPr>
                <w:rFonts w:cs="Arial"/>
                <w:b/>
                <w:bCs/>
                <w:szCs w:val="16"/>
              </w:rPr>
              <w:noBreakHyphen/>
            </w:r>
            <w:r w:rsidR="008801A9" w:rsidRPr="006264FA">
              <w:rPr>
                <w:rFonts w:cs="Arial"/>
                <w:b/>
                <w:szCs w:val="16"/>
              </w:rPr>
              <w:t>2,470</w:t>
            </w:r>
          </w:p>
        </w:tc>
      </w:tr>
    </w:tbl>
    <w:p w14:paraId="5D2A7B0C" w14:textId="77777777" w:rsidR="00D8138E" w:rsidRPr="00EA746C" w:rsidRDefault="00D8138E" w:rsidP="00A65976">
      <w:pPr>
        <w:pStyle w:val="ChartandTableFootnoteAlpha"/>
        <w:numPr>
          <w:ilvl w:val="0"/>
          <w:numId w:val="40"/>
        </w:numPr>
      </w:pPr>
      <w:r w:rsidRPr="00EA746C">
        <w:t>A positive number denotes a cash inflow; a negative number denotes a cash outflow.</w:t>
      </w:r>
    </w:p>
    <w:p w14:paraId="41BF5041" w14:textId="77777777" w:rsidR="00D8138E" w:rsidRPr="00EA746C" w:rsidRDefault="00D8138E" w:rsidP="00D8138E">
      <w:pPr>
        <w:pStyle w:val="ChartandTableFootnoteAlpha"/>
        <w:numPr>
          <w:ilvl w:val="0"/>
          <w:numId w:val="18"/>
        </w:numPr>
      </w:pPr>
      <w:r w:rsidRPr="00EA746C">
        <w:t>Consistent with the ABS GFS classification, other employee related payments are classified separately from wages and salaries under other payments.</w:t>
      </w:r>
    </w:p>
    <w:p w14:paraId="63769FBC" w14:textId="77777777" w:rsidR="00D8138E" w:rsidRPr="00EA746C" w:rsidRDefault="00D8138E" w:rsidP="00D8138E">
      <w:pPr>
        <w:pStyle w:val="ChartandTableFootnoteAlpha"/>
        <w:numPr>
          <w:ilvl w:val="0"/>
          <w:numId w:val="18"/>
        </w:numPr>
      </w:pPr>
      <w:r w:rsidRPr="00EA746C">
        <w:t>Assumes no cash flows associated with valuation or currency movements.</w:t>
      </w:r>
    </w:p>
    <w:p w14:paraId="58DACC22" w14:textId="0963DCE5" w:rsidR="00D8138E" w:rsidRPr="00EA746C" w:rsidRDefault="00D8138E" w:rsidP="00D8138E">
      <w:pPr>
        <w:pStyle w:val="ChartandTableFootnoteAlpha"/>
        <w:numPr>
          <w:ilvl w:val="0"/>
          <w:numId w:val="18"/>
        </w:numPr>
      </w:pPr>
      <w:r w:rsidRPr="00EA746C">
        <w:t>GFS cash surplus/deficit equals net cash flows from operating activities and investments in non</w:t>
      </w:r>
      <w:r w:rsidR="00325E1E">
        <w:noBreakHyphen/>
      </w:r>
      <w:r w:rsidRPr="00EA746C">
        <w:t>financial assets.</w:t>
      </w:r>
    </w:p>
    <w:p w14:paraId="5CD61036" w14:textId="3F35C75F" w:rsidR="00D8138E" w:rsidRPr="00EA746C" w:rsidRDefault="00D8138E" w:rsidP="00D8138E">
      <w:pPr>
        <w:pStyle w:val="ChartandTableFootnoteAlpha"/>
        <w:numPr>
          <w:ilvl w:val="0"/>
          <w:numId w:val="18"/>
        </w:numPr>
      </w:pPr>
      <w:r w:rsidRPr="00EA746C">
        <w:t xml:space="preserve">Principal payments of lease liabilities, which are financing cash payments, are deducted in the calculation of the GFS cash surplus/deficit to maintain consistency of measure following the implementation of </w:t>
      </w:r>
      <w:r w:rsidR="00A96E0D">
        <w:t>AASB </w:t>
      </w:r>
      <w:r w:rsidRPr="00EA746C">
        <w:t>16.</w:t>
      </w:r>
    </w:p>
    <w:p w14:paraId="1B38DBFC" w14:textId="77777777" w:rsidR="00D8138E" w:rsidRPr="00EA746C" w:rsidRDefault="00D8138E" w:rsidP="003835A0">
      <w:pPr>
        <w:pStyle w:val="TableLine"/>
      </w:pPr>
    </w:p>
    <w:p w14:paraId="6F5C0964" w14:textId="77777777" w:rsidR="00D8138E" w:rsidRPr="00EA746C" w:rsidRDefault="00D8138E" w:rsidP="00D8138E">
      <w:pPr>
        <w:pStyle w:val="Heading2"/>
      </w:pPr>
      <w:bookmarkStart w:id="6" w:name="_Toc480448585"/>
      <w:bookmarkStart w:id="7" w:name="_Toc481404343"/>
      <w:bookmarkStart w:id="8" w:name="_Toc512865310"/>
      <w:bookmarkStart w:id="9" w:name="_Toc50460128"/>
      <w:bookmarkStart w:id="10" w:name="_Toc52705262"/>
      <w:bookmarkStart w:id="11" w:name="_Toc52705474"/>
      <w:bookmarkStart w:id="12" w:name="_Toc52705645"/>
      <w:bookmarkStart w:id="13" w:name="_Toc99020930"/>
      <w:bookmarkStart w:id="14" w:name="_Toc117278211"/>
      <w:bookmarkStart w:id="15" w:name="_Toc129181800"/>
      <w:bookmarkStart w:id="16" w:name="_Toc166082637"/>
      <w:r w:rsidRPr="00EA746C">
        <w:lastRenderedPageBreak/>
        <w:t>Notes to the general government sector financial statements</w:t>
      </w:r>
      <w:bookmarkEnd w:id="6"/>
      <w:bookmarkEnd w:id="7"/>
      <w:bookmarkEnd w:id="8"/>
      <w:bookmarkEnd w:id="9"/>
      <w:bookmarkEnd w:id="10"/>
      <w:bookmarkEnd w:id="11"/>
      <w:bookmarkEnd w:id="12"/>
      <w:bookmarkEnd w:id="13"/>
      <w:bookmarkEnd w:id="14"/>
      <w:bookmarkEnd w:id="15"/>
      <w:bookmarkEnd w:id="16"/>
    </w:p>
    <w:p w14:paraId="38E14008" w14:textId="37AD07EF" w:rsidR="00D8138E" w:rsidRPr="00EA746C" w:rsidRDefault="000D0B7D" w:rsidP="00D8138E">
      <w:pPr>
        <w:pStyle w:val="Heading3"/>
      </w:pPr>
      <w:bookmarkStart w:id="17" w:name="_Hlk130554781"/>
      <w:r>
        <w:t>Note </w:t>
      </w:r>
      <w:r w:rsidR="00D8138E" w:rsidRPr="00EA746C">
        <w:t>1: External reporting standards and accounting policies</w:t>
      </w:r>
    </w:p>
    <w:bookmarkEnd w:id="17"/>
    <w:p w14:paraId="346252BE" w14:textId="77777777" w:rsidR="00D8138E" w:rsidRPr="00EA746C" w:rsidRDefault="00D8138E" w:rsidP="00D8138E">
      <w:r w:rsidRPr="00EA746C">
        <w:t xml:space="preserve">The </w:t>
      </w:r>
      <w:r w:rsidRPr="00163F84">
        <w:rPr>
          <w:rStyle w:val="Emphasis"/>
        </w:rPr>
        <w:t>Charter of Budget Honesty Act 1998</w:t>
      </w:r>
      <w:r w:rsidRPr="00EA746C">
        <w:t xml:space="preserve"> (the Charter) requires that the Budget be based on external reporting standards and that departures from applicable external reporting standards be identified.</w:t>
      </w:r>
    </w:p>
    <w:p w14:paraId="3B0D02B7" w14:textId="77777777" w:rsidR="00D8138E" w:rsidRPr="00EA746C" w:rsidRDefault="00D8138E" w:rsidP="00D8138E">
      <w:r w:rsidRPr="00EA746C">
        <w:t>The external standards used for budget reporting purposes are:</w:t>
      </w:r>
    </w:p>
    <w:p w14:paraId="7D2DE917" w14:textId="10BE904C" w:rsidR="00D8138E" w:rsidRPr="00EA746C" w:rsidRDefault="00D8138E" w:rsidP="00D8138E">
      <w:pPr>
        <w:pStyle w:val="Bullet"/>
      </w:pPr>
      <w:r w:rsidRPr="00EA746C">
        <w:t>the Australian Bureau of Statistics</w:t>
      </w:r>
      <w:r w:rsidR="00325E1E">
        <w:t>’</w:t>
      </w:r>
      <w:r w:rsidRPr="00EA746C">
        <w:t xml:space="preserve"> (ABS) accrual Government Finance Statistics (GFS) publication, </w:t>
      </w:r>
      <w:r w:rsidRPr="00C74A02">
        <w:rPr>
          <w:rStyle w:val="Emphasis"/>
        </w:rPr>
        <w:t>Australian System of Government Finance Statistics: Concepts, Sources and Methods, 2015</w:t>
      </w:r>
      <w:r w:rsidRPr="00EA746C">
        <w:t xml:space="preserve"> (cat. no. 5514.0), which is based on the International Monetary Fund (IMF) accrual GFS framework</w:t>
      </w:r>
    </w:p>
    <w:p w14:paraId="6554038D" w14:textId="1F4CB44A" w:rsidR="00D8138E" w:rsidRPr="00EA746C" w:rsidRDefault="00D8138E" w:rsidP="00D8138E">
      <w:pPr>
        <w:pStyle w:val="Bullet"/>
      </w:pPr>
      <w:r w:rsidRPr="00EA746C">
        <w:t>the Australian Accounting Standards (AAS), issued by the Australian Accounting Standards Board (AASB), which includes International Financial Reporting Standards as adopted in Australia for use by the not</w:t>
      </w:r>
      <w:r w:rsidR="00325E1E">
        <w:noBreakHyphen/>
      </w:r>
      <w:r w:rsidRPr="00EA746C">
        <w:t>for</w:t>
      </w:r>
      <w:r w:rsidR="00325E1E">
        <w:noBreakHyphen/>
      </w:r>
      <w:r w:rsidRPr="00EA746C">
        <w:t xml:space="preserve">profit sector and specific standards such as </w:t>
      </w:r>
      <w:r w:rsidR="00A96E0D">
        <w:t>AASB </w:t>
      </w:r>
      <w:r w:rsidRPr="00EA746C">
        <w:t xml:space="preserve">1049 </w:t>
      </w:r>
      <w:r w:rsidRPr="00C74A02">
        <w:rPr>
          <w:rStyle w:val="Emphasis"/>
        </w:rPr>
        <w:t>Whole of Government and General Government Sector Financial Reporting</w:t>
      </w:r>
      <w:r w:rsidRPr="00EA746C">
        <w:rPr>
          <w:i/>
        </w:rPr>
        <w:t xml:space="preserve"> </w:t>
      </w:r>
      <w:r w:rsidRPr="00EA746C">
        <w:t>(</w:t>
      </w:r>
      <w:r w:rsidR="00A96E0D">
        <w:t>AASB </w:t>
      </w:r>
      <w:r w:rsidRPr="00EA746C">
        <w:t>1049).</w:t>
      </w:r>
    </w:p>
    <w:p w14:paraId="63191D26" w14:textId="00434C27" w:rsidR="00D8138E" w:rsidRPr="00EA746C" w:rsidRDefault="00D8138E" w:rsidP="00D8138E">
      <w:r w:rsidRPr="00EA746C">
        <w:t xml:space="preserve">The financial statements have been prepared on an accrual basis that complies with both the ABS GFS and AAS, except for departures disclosed at </w:t>
      </w:r>
      <w:r w:rsidR="000D0B7D">
        <w:t>Note </w:t>
      </w:r>
      <w:r w:rsidRPr="00EA746C">
        <w:t>2. A more detailed description of the AAS and the ABS GFS frameworks, in addition to definitions of key terms used in these frameworks, can be found in Appendix A. Detailed accounting policies, as well as a set of notes and other disclosures as required by AAS, are disclosed in the Australian Government Consolidated Financial Statements.</w:t>
      </w:r>
    </w:p>
    <w:p w14:paraId="55802E58" w14:textId="7B4B4BEB" w:rsidR="00D8138E" w:rsidRPr="00EA746C" w:rsidRDefault="00D8138E" w:rsidP="00D8138E">
      <w:r w:rsidRPr="00EA746C">
        <w:t>Fiscal reporting focuses on the general government sector (GGS). The GGS provides public services that are mainly non</w:t>
      </w:r>
      <w:r w:rsidR="00325E1E">
        <w:noBreakHyphen/>
      </w:r>
      <w:r w:rsidRPr="00EA746C">
        <w:t>market 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317EC341" w14:textId="4E6E2E8A" w:rsidR="00D8138E" w:rsidRPr="00EA746C" w:rsidRDefault="00D8138E" w:rsidP="00D8138E">
      <w:r w:rsidRPr="00EA746C">
        <w:t>The Government</w:t>
      </w:r>
      <w:r w:rsidR="00325E1E">
        <w:t>’</w:t>
      </w:r>
      <w:r w:rsidRPr="00EA746C">
        <w:t xml:space="preserve">s key fiscal aggregates are based on the ABS GFS concepts and definitions, including the ABS GFS cash surplus/deficit and net financial worth. </w:t>
      </w:r>
      <w:r w:rsidR="00A96E0D">
        <w:t>AASB </w:t>
      </w:r>
      <w:r w:rsidRPr="00EA746C">
        <w:t>1049 requires the disclosure of other ABS GFS fiscal aggregates, including the net operating balance, net lending/borrowing (fiscal balance) and net worth. In addition to these ABS GFS aggregates, the Uniform Presentation Framework (UPF) requires disclosure of net debt, net financial worth and net financial liabilities.</w:t>
      </w:r>
    </w:p>
    <w:p w14:paraId="671573EC" w14:textId="74844E52" w:rsidR="00D8138E" w:rsidRPr="00EA746C" w:rsidRDefault="00A96E0D" w:rsidP="00D8138E">
      <w:r>
        <w:t>AASB </w:t>
      </w:r>
      <w:r w:rsidR="00D8138E" w:rsidRPr="00EA746C">
        <w:t>1049 and the UPF also provide a basis for reporting the public non</w:t>
      </w:r>
      <w:r w:rsidR="00325E1E">
        <w:noBreakHyphen/>
      </w:r>
      <w:r w:rsidR="00D8138E" w:rsidRPr="00EA746C">
        <w:t>financial corporations (PNFC) and public financial corporations (PFC) sectors and the total non</w:t>
      </w:r>
      <w:r w:rsidR="00325E1E">
        <w:noBreakHyphen/>
      </w:r>
      <w:r w:rsidR="00D8138E" w:rsidRPr="00EA746C">
        <w:t>financial public sector (NFPS).</w:t>
      </w:r>
    </w:p>
    <w:p w14:paraId="3D0D005F" w14:textId="73221E8C" w:rsidR="00D8138E" w:rsidRPr="00EA746C" w:rsidRDefault="00A96E0D" w:rsidP="00D8138E">
      <w:r>
        <w:lastRenderedPageBreak/>
        <w:t>AASB </w:t>
      </w:r>
      <w:r w:rsidR="00D8138E" w:rsidRPr="00EA746C">
        <w:t>1049 requires disaggregated information, by ABS GFS function, for expenses and total assets to be disclosed where they are reliably attributable. The ABS GFS does not require total assets to be attributed to functions. In accordance with the ABS GFS, disaggregated information for expenses and net acquisition of non</w:t>
      </w:r>
      <w:r w:rsidR="00325E1E">
        <w:noBreakHyphen/>
      </w:r>
      <w:r w:rsidR="00D8138E" w:rsidRPr="00EA746C">
        <w:t xml:space="preserve">financial assets by function is disclosed in </w:t>
      </w:r>
      <w:r w:rsidR="00D8138E" w:rsidRPr="00EA746C">
        <w:rPr>
          <w:i/>
        </w:rPr>
        <w:t>Statement 6: Expenses and Net Capital Investment</w:t>
      </w:r>
      <w:r w:rsidR="00D8138E" w:rsidRPr="00EA746C">
        <w:t>. In accordance with the UPF, purchases of non</w:t>
      </w:r>
      <w:r w:rsidR="00325E1E">
        <w:noBreakHyphen/>
      </w:r>
      <w:r w:rsidR="00D8138E" w:rsidRPr="00EA746C">
        <w:t xml:space="preserve">financial assets by function are also disclosed in </w:t>
      </w:r>
      <w:r w:rsidR="00D8138E" w:rsidRPr="00EA746C">
        <w:rPr>
          <w:i/>
        </w:rPr>
        <w:t>Statement 6</w:t>
      </w:r>
      <w:r w:rsidR="00D8138E" w:rsidRPr="00EA746C">
        <w:t>.</w:t>
      </w:r>
    </w:p>
    <w:p w14:paraId="36D41BF9" w14:textId="7842E3DF" w:rsidR="00D8138E" w:rsidRPr="00DB562F" w:rsidRDefault="00A96E0D" w:rsidP="00D8138E">
      <w:r>
        <w:t>AASB </w:t>
      </w:r>
      <w:r w:rsidR="00D8138E" w:rsidRPr="00EA746C">
        <w:t xml:space="preserve">1055 </w:t>
      </w:r>
      <w:r w:rsidR="00D8138E" w:rsidRPr="00EA746C">
        <w:rPr>
          <w:i/>
        </w:rPr>
        <w:t>Budgetary Reporting</w:t>
      </w:r>
      <w:r w:rsidR="00D8138E" w:rsidRPr="00EA746C">
        <w:t xml:space="preserve"> requires major variances between original budget estimates and outcomes to be explained in the financial statements. Explanations of variances in fiscal balance, revenue, expenses, net capital investment, cash flows, net debt, net financial worth </w:t>
      </w:r>
      <w:r w:rsidR="00D8138E" w:rsidRPr="00FF1FCD">
        <w:t xml:space="preserve">and net worth since the </w:t>
      </w:r>
      <w:r w:rsidR="006B46E6" w:rsidRPr="00FF1FCD">
        <w:t>2023</w:t>
      </w:r>
      <w:r w:rsidR="00663990">
        <w:t>–</w:t>
      </w:r>
      <w:r w:rsidR="006B46E6" w:rsidRPr="00FF1FCD">
        <w:t xml:space="preserve">24 </w:t>
      </w:r>
      <w:r w:rsidR="00D61529" w:rsidRPr="00FF1FCD">
        <w:t>Budget</w:t>
      </w:r>
      <w:r w:rsidR="00D8138E" w:rsidRPr="00FF1FCD">
        <w:t xml:space="preserve"> are disclosed in the </w:t>
      </w:r>
      <w:r w:rsidR="00D8138E" w:rsidRPr="00FF1FCD">
        <w:rPr>
          <w:i/>
        </w:rPr>
        <w:t>Statement 3:</w:t>
      </w:r>
      <w:r w:rsidR="00D8138E" w:rsidRPr="00FF1FCD">
        <w:t xml:space="preserve"> </w:t>
      </w:r>
      <w:r w:rsidR="00D8138E" w:rsidRPr="00FF1FCD">
        <w:rPr>
          <w:i/>
        </w:rPr>
        <w:t>Fiscal Strategy and Outlook</w:t>
      </w:r>
      <w:r w:rsidR="00D8138E" w:rsidRPr="00FF1FCD">
        <w:t xml:space="preserve">, with decisions taken since the </w:t>
      </w:r>
      <w:r w:rsidR="004D44B4" w:rsidRPr="00FF1FCD">
        <w:t>Mid</w:t>
      </w:r>
      <w:r w:rsidR="00325E1E">
        <w:noBreakHyphen/>
      </w:r>
      <w:r w:rsidR="004D44B4" w:rsidRPr="00FF1FCD">
        <w:t xml:space="preserve">Year Economic and Fiscal </w:t>
      </w:r>
      <w:r w:rsidR="004F1CE8" w:rsidRPr="00FF1FCD">
        <w:t>Outlook 2023</w:t>
      </w:r>
      <w:r w:rsidR="00663990">
        <w:t>–</w:t>
      </w:r>
      <w:r w:rsidR="004F1CE8" w:rsidRPr="00FF1FCD">
        <w:t xml:space="preserve">24 (MYEFO) </w:t>
      </w:r>
      <w:r w:rsidR="00D8138E" w:rsidRPr="00FF1FCD">
        <w:t xml:space="preserve">disclosed in Budget Paper No. 2 </w:t>
      </w:r>
      <w:r w:rsidR="00D8138E" w:rsidRPr="00FF1FCD">
        <w:rPr>
          <w:i/>
        </w:rPr>
        <w:t>Budget Measures 202</w:t>
      </w:r>
      <w:r w:rsidR="00822EBA" w:rsidRPr="00FF1FCD">
        <w:rPr>
          <w:i/>
        </w:rPr>
        <w:t>4</w:t>
      </w:r>
      <w:r w:rsidR="00663990">
        <w:t>–</w:t>
      </w:r>
      <w:r w:rsidR="00D8138E" w:rsidRPr="00FF1FCD">
        <w:rPr>
          <w:i/>
        </w:rPr>
        <w:t>2</w:t>
      </w:r>
      <w:r w:rsidR="00822EBA" w:rsidRPr="00FF1FCD">
        <w:rPr>
          <w:i/>
        </w:rPr>
        <w:t>5</w:t>
      </w:r>
      <w:r w:rsidR="00D8138E" w:rsidRPr="00FF1FCD">
        <w:t xml:space="preserve">. </w:t>
      </w:r>
      <w:bookmarkStart w:id="18" w:name="_Hlk130554752"/>
      <w:r w:rsidR="00D8138E" w:rsidRPr="00FF1FCD">
        <w:t>All policy decisions taken between the 202</w:t>
      </w:r>
      <w:r w:rsidR="00822EBA" w:rsidRPr="00FF1FCD">
        <w:t>3</w:t>
      </w:r>
      <w:r w:rsidR="00663990">
        <w:t>–</w:t>
      </w:r>
      <w:r w:rsidR="00D8138E" w:rsidRPr="00FF1FCD">
        <w:t>2</w:t>
      </w:r>
      <w:r w:rsidR="00822EBA" w:rsidRPr="00FF1FCD">
        <w:t>4</w:t>
      </w:r>
      <w:r w:rsidR="00D8138E" w:rsidRPr="00FF1FCD">
        <w:t xml:space="preserve"> Budget and the 202</w:t>
      </w:r>
      <w:r w:rsidR="002A4312" w:rsidRPr="00FF1FCD">
        <w:t>3</w:t>
      </w:r>
      <w:r w:rsidR="00663990">
        <w:t>–</w:t>
      </w:r>
      <w:r w:rsidR="002A4312" w:rsidRPr="00FF1FCD">
        <w:t>24 MYEFO</w:t>
      </w:r>
      <w:r w:rsidR="00D8138E" w:rsidRPr="00FF1FCD">
        <w:t xml:space="preserve"> are disclosed in </w:t>
      </w:r>
      <w:r w:rsidR="009F2168" w:rsidRPr="00DB562F">
        <w:t>Appendix A of MYEFO.</w:t>
      </w:r>
      <w:bookmarkEnd w:id="18"/>
    </w:p>
    <w:p w14:paraId="0241E2AC" w14:textId="308BB7FD" w:rsidR="00D8138E" w:rsidRPr="00EA746C" w:rsidRDefault="00D8138E" w:rsidP="00D8138E">
      <w:r w:rsidRPr="00EA746C">
        <w:t>Details of the Australian Government</w:t>
      </w:r>
      <w:r w:rsidR="00325E1E">
        <w:t>’</w:t>
      </w:r>
      <w:r w:rsidRPr="00EA746C">
        <w:t xml:space="preserve">s GGS contingent liabilities are disclosed in </w:t>
      </w:r>
      <w:r w:rsidRPr="006824C4">
        <w:rPr>
          <w:rStyle w:val="Emphasis"/>
        </w:rPr>
        <w:t>Statement </w:t>
      </w:r>
      <w:r w:rsidR="00FF205F" w:rsidRPr="006824C4">
        <w:rPr>
          <w:rStyle w:val="Emphasis"/>
        </w:rPr>
        <w:t>9</w:t>
      </w:r>
      <w:r w:rsidRPr="006824C4">
        <w:rPr>
          <w:rStyle w:val="Emphasis"/>
        </w:rPr>
        <w:t>: Statement of Risks.</w:t>
      </w:r>
    </w:p>
    <w:p w14:paraId="34A19157" w14:textId="46437B79" w:rsidR="00D8138E" w:rsidRPr="00EA746C" w:rsidRDefault="000D0B7D" w:rsidP="00D8138E">
      <w:pPr>
        <w:pStyle w:val="Heading3"/>
      </w:pPr>
      <w:bookmarkStart w:id="19" w:name="_Toc481404344"/>
      <w:r>
        <w:t>Note </w:t>
      </w:r>
      <w:r w:rsidR="00D8138E" w:rsidRPr="00EA746C">
        <w:t>2: Departures from external reporting standards</w:t>
      </w:r>
      <w:bookmarkEnd w:id="19"/>
    </w:p>
    <w:p w14:paraId="35517A92" w14:textId="69C0343F" w:rsidR="00D8138E" w:rsidRPr="00EA746C" w:rsidRDefault="00D8138E" w:rsidP="00D8138E">
      <w:r w:rsidRPr="00EA746C">
        <w:t xml:space="preserve">The Charter requires that departures from applicable external reporting standards be identified. The major differences between AAS and the ABS GFS treatments of transactions are outlined in </w:t>
      </w:r>
      <w:r w:rsidR="00A96E0D">
        <w:t>Table </w:t>
      </w:r>
      <w:r w:rsidR="009A548A">
        <w:t>10.</w:t>
      </w:r>
      <w:r w:rsidRPr="00EA746C">
        <w:t>13.</w:t>
      </w:r>
    </w:p>
    <w:p w14:paraId="11D7F3DB" w14:textId="5F593ECF" w:rsidR="00D8138E" w:rsidRPr="00EA746C" w:rsidRDefault="00A96E0D" w:rsidP="00D8138E">
      <w:r>
        <w:t>AASB </w:t>
      </w:r>
      <w:r w:rsidR="00D8138E" w:rsidRPr="00EA746C">
        <w:t>1049 requires AAS measurement of items to be disclosed on the face of the financial statements with reconciliation to the ABS GFS measurement of key fiscal aggregates, where different, in notes to the financial statements. Only one measure of each aggregate has been included on the face statements to avoid confusion.</w:t>
      </w:r>
    </w:p>
    <w:p w14:paraId="24B2D09B" w14:textId="6A60A9C4" w:rsidR="00D8138E" w:rsidRPr="00EA746C" w:rsidRDefault="00D8138E" w:rsidP="00D8138E">
      <w:r w:rsidRPr="00EA746C">
        <w:t xml:space="preserve">Further information on the differences between the </w:t>
      </w:r>
      <w:r w:rsidR="00A7498F">
        <w:t>two</w:t>
      </w:r>
      <w:r w:rsidRPr="00EA746C">
        <w:t xml:space="preserve"> systems is provided in the ABS publication</w:t>
      </w:r>
      <w:r w:rsidRPr="00EA746C">
        <w:rPr>
          <w:i/>
        </w:rPr>
        <w:t xml:space="preserve"> </w:t>
      </w:r>
      <w:r w:rsidRPr="006824C4">
        <w:rPr>
          <w:rStyle w:val="Emphasis"/>
        </w:rPr>
        <w:t>Australian System of Government Finance Statistics: Concepts, Sources and Methods, 2015</w:t>
      </w:r>
      <w:r w:rsidRPr="00EA746C">
        <w:t xml:space="preserve"> (cat. no. 5514.0).</w:t>
      </w:r>
    </w:p>
    <w:p w14:paraId="7AF99F0D" w14:textId="77777777" w:rsidR="00D8138E" w:rsidRPr="00EA746C" w:rsidRDefault="00D8138E" w:rsidP="00D8138E">
      <w:r w:rsidRPr="00EA746C">
        <w:br w:type="page"/>
      </w:r>
    </w:p>
    <w:p w14:paraId="5557A045" w14:textId="7F72BA3C" w:rsidR="00D8138E" w:rsidRPr="00EA746C" w:rsidRDefault="00A96E0D" w:rsidP="00D8138E">
      <w:pPr>
        <w:pStyle w:val="TableHeading"/>
      </w:pPr>
      <w:r>
        <w:lastRenderedPageBreak/>
        <w:t>Table </w:t>
      </w:r>
      <w:r w:rsidR="009A548A">
        <w:t>10.</w:t>
      </w:r>
      <w:r w:rsidR="00D8138E" w:rsidRPr="00EA746C">
        <w:t>13: Major differences between AAS and ABS GFS</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D8138E" w:rsidRPr="00EA746C" w14:paraId="6F12740F" w14:textId="77777777">
        <w:trPr>
          <w:trHeight w:val="113"/>
          <w:tblHeader/>
        </w:trPr>
        <w:tc>
          <w:tcPr>
            <w:tcW w:w="1000" w:type="pct"/>
            <w:shd w:val="clear" w:color="auto" w:fill="E6F2FF"/>
          </w:tcPr>
          <w:p w14:paraId="1DAC5C4C" w14:textId="77777777" w:rsidR="00D8138E" w:rsidRPr="00EA746C" w:rsidRDefault="00D8138E">
            <w:pPr>
              <w:pStyle w:val="TableColumnHeadingLeft"/>
            </w:pPr>
            <w:r w:rsidRPr="00EA746C">
              <w:t>Issue</w:t>
            </w:r>
          </w:p>
        </w:tc>
        <w:tc>
          <w:tcPr>
            <w:tcW w:w="1500" w:type="pct"/>
            <w:shd w:val="clear" w:color="auto" w:fill="E6F2FF"/>
          </w:tcPr>
          <w:p w14:paraId="785D924B" w14:textId="77777777" w:rsidR="00D8138E" w:rsidRPr="00EA746C" w:rsidRDefault="00D8138E">
            <w:pPr>
              <w:pStyle w:val="TableColumnHeadingLeft"/>
            </w:pPr>
            <w:r w:rsidRPr="00EA746C">
              <w:t>AAS treatment</w:t>
            </w:r>
          </w:p>
        </w:tc>
        <w:tc>
          <w:tcPr>
            <w:tcW w:w="1500" w:type="pct"/>
            <w:shd w:val="clear" w:color="auto" w:fill="E6F2FF"/>
          </w:tcPr>
          <w:p w14:paraId="38C23A69" w14:textId="77777777" w:rsidR="00D8138E" w:rsidRPr="00EA746C" w:rsidRDefault="00D8138E">
            <w:pPr>
              <w:pStyle w:val="TableColumnHeadingLeft"/>
            </w:pPr>
            <w:r w:rsidRPr="00EA746C">
              <w:t>ABS GFS treatment</w:t>
            </w:r>
          </w:p>
        </w:tc>
        <w:tc>
          <w:tcPr>
            <w:tcW w:w="750" w:type="pct"/>
            <w:shd w:val="clear" w:color="auto" w:fill="E6F2FF"/>
          </w:tcPr>
          <w:p w14:paraId="0E47AF08" w14:textId="77777777" w:rsidR="00D8138E" w:rsidRPr="00EA746C" w:rsidRDefault="00D8138E">
            <w:pPr>
              <w:pStyle w:val="TableColumnHeadingLeft"/>
            </w:pPr>
            <w:r w:rsidRPr="00EA746C">
              <w:t>Treatment adopted</w:t>
            </w:r>
          </w:p>
        </w:tc>
      </w:tr>
      <w:tr w:rsidR="00D8138E" w:rsidRPr="00EA746C" w14:paraId="14260E94" w14:textId="77777777">
        <w:trPr>
          <w:trHeight w:val="113"/>
        </w:trPr>
        <w:tc>
          <w:tcPr>
            <w:tcW w:w="1000" w:type="pct"/>
            <w:shd w:val="clear" w:color="auto" w:fill="auto"/>
          </w:tcPr>
          <w:p w14:paraId="31FB5F75" w14:textId="77777777" w:rsidR="00D8138E" w:rsidRPr="00EA746C" w:rsidRDefault="00D8138E">
            <w:pPr>
              <w:pStyle w:val="TableTextLeft"/>
              <w:spacing w:after="60"/>
            </w:pPr>
            <w:r w:rsidRPr="00EA746C">
              <w:t>Circulating coins – seigniorage</w:t>
            </w:r>
          </w:p>
        </w:tc>
        <w:tc>
          <w:tcPr>
            <w:tcW w:w="1500" w:type="pct"/>
            <w:shd w:val="clear" w:color="auto" w:fill="auto"/>
          </w:tcPr>
          <w:p w14:paraId="1389D6A9" w14:textId="77777777" w:rsidR="00D8138E" w:rsidRPr="00EA746C" w:rsidRDefault="00D8138E">
            <w:pPr>
              <w:pStyle w:val="TableTextLeft"/>
              <w:spacing w:after="60"/>
            </w:pPr>
            <w:r w:rsidRPr="00EA746C">
              <w:t>The profit between the cost and sale of circulating coins (seigniorage) is treated as revenue.</w:t>
            </w:r>
          </w:p>
        </w:tc>
        <w:tc>
          <w:tcPr>
            <w:tcW w:w="1500" w:type="pct"/>
            <w:shd w:val="clear" w:color="auto" w:fill="auto"/>
          </w:tcPr>
          <w:p w14:paraId="29FCCBFD" w14:textId="77777777" w:rsidR="00D8138E" w:rsidRPr="00EA746C" w:rsidRDefault="00D8138E">
            <w:pPr>
              <w:pStyle w:val="TableTextLeft"/>
              <w:spacing w:after="60"/>
            </w:pPr>
            <w:r w:rsidRPr="00EA746C">
              <w:t>Circulating coins is treated as a liability, and the cost of producing the coins is treated as an expense.</w:t>
            </w:r>
          </w:p>
        </w:tc>
        <w:tc>
          <w:tcPr>
            <w:tcW w:w="750" w:type="pct"/>
            <w:shd w:val="clear" w:color="auto" w:fill="auto"/>
          </w:tcPr>
          <w:p w14:paraId="622A8465" w14:textId="77777777" w:rsidR="00D8138E" w:rsidRPr="00EA746C" w:rsidRDefault="00D8138E">
            <w:pPr>
              <w:pStyle w:val="TableTextLeft"/>
              <w:spacing w:after="60"/>
            </w:pPr>
            <w:r w:rsidRPr="00EA746C">
              <w:t>AAS</w:t>
            </w:r>
          </w:p>
        </w:tc>
      </w:tr>
      <w:tr w:rsidR="00D8138E" w:rsidRPr="00EA746C" w14:paraId="191F0378" w14:textId="77777777">
        <w:trPr>
          <w:trHeight w:val="113"/>
        </w:trPr>
        <w:tc>
          <w:tcPr>
            <w:tcW w:w="1000" w:type="pct"/>
            <w:shd w:val="clear" w:color="auto" w:fill="auto"/>
          </w:tcPr>
          <w:p w14:paraId="130A0F39" w14:textId="77777777" w:rsidR="00D8138E" w:rsidRPr="00EA746C" w:rsidRDefault="00D8138E">
            <w:pPr>
              <w:pStyle w:val="TableTextLeft"/>
              <w:spacing w:after="60"/>
            </w:pPr>
            <w:r w:rsidRPr="00EA746C">
              <w:t>Valuation of loans</w:t>
            </w:r>
          </w:p>
        </w:tc>
        <w:tc>
          <w:tcPr>
            <w:tcW w:w="1500" w:type="pct"/>
            <w:shd w:val="clear" w:color="auto" w:fill="auto"/>
          </w:tcPr>
          <w:p w14:paraId="03F6ADD1" w14:textId="77777777" w:rsidR="00D8138E" w:rsidRPr="00EA746C" w:rsidRDefault="00D8138E">
            <w:pPr>
              <w:pStyle w:val="TableTextLeft"/>
              <w:spacing w:after="60"/>
            </w:pPr>
            <w:r w:rsidRPr="00EA746C">
              <w:t>Changes in the valuation of loans are treated as a revenue or an expense.</w:t>
            </w:r>
          </w:p>
          <w:p w14:paraId="2976CF91" w14:textId="77777777" w:rsidR="00D8138E" w:rsidRPr="00EA746C" w:rsidRDefault="00D8138E">
            <w:pPr>
              <w:pStyle w:val="TableTextLeft"/>
              <w:spacing w:after="60"/>
            </w:pPr>
            <w:r w:rsidRPr="00EA746C">
              <w:t>In some circumstances recognition as a revenue or an expense is delayed until the loan ends or is transferred.</w:t>
            </w:r>
          </w:p>
        </w:tc>
        <w:tc>
          <w:tcPr>
            <w:tcW w:w="1500" w:type="pct"/>
            <w:shd w:val="clear" w:color="auto" w:fill="auto"/>
          </w:tcPr>
          <w:p w14:paraId="4E05C0B2" w14:textId="355F3ED3" w:rsidR="00D8138E" w:rsidRPr="00EA746C" w:rsidRDefault="00D8138E">
            <w:pPr>
              <w:pStyle w:val="TableTextLeft"/>
              <w:spacing w:after="60"/>
            </w:pPr>
            <w:r w:rsidRPr="00EA746C">
              <w:t>Changes in the valuation of loans (excluding mutually agreed write</w:t>
            </w:r>
            <w:r w:rsidR="00325E1E">
              <w:noBreakHyphen/>
            </w:r>
            <w:r w:rsidRPr="00EA746C">
              <w:t xml:space="preserve">downs) are treated as an </w:t>
            </w:r>
            <w:r w:rsidR="00325E1E">
              <w:t>‘</w:t>
            </w:r>
            <w:r w:rsidRPr="00EA746C">
              <w:t>other economic flow</w:t>
            </w:r>
            <w:r w:rsidR="00325E1E">
              <w:t>’</w:t>
            </w:r>
            <w:r w:rsidRPr="00EA746C">
              <w:t>.</w:t>
            </w:r>
          </w:p>
        </w:tc>
        <w:tc>
          <w:tcPr>
            <w:tcW w:w="750" w:type="pct"/>
            <w:shd w:val="clear" w:color="auto" w:fill="auto"/>
          </w:tcPr>
          <w:p w14:paraId="4DBE5065" w14:textId="77777777" w:rsidR="00D8138E" w:rsidRPr="00EA746C" w:rsidRDefault="00D8138E">
            <w:pPr>
              <w:pStyle w:val="TableTextLeft"/>
              <w:spacing w:after="60"/>
            </w:pPr>
            <w:r w:rsidRPr="00EA746C">
              <w:t xml:space="preserve">ABS GFS </w:t>
            </w:r>
          </w:p>
        </w:tc>
      </w:tr>
      <w:tr w:rsidR="00D8138E" w:rsidRPr="00EA746C" w14:paraId="4068CF3B" w14:textId="77777777">
        <w:trPr>
          <w:trHeight w:val="113"/>
        </w:trPr>
        <w:tc>
          <w:tcPr>
            <w:tcW w:w="1000" w:type="pct"/>
            <w:shd w:val="clear" w:color="auto" w:fill="auto"/>
          </w:tcPr>
          <w:p w14:paraId="55D4BEBA" w14:textId="77777777" w:rsidR="00D8138E" w:rsidRPr="00EA746C" w:rsidRDefault="00D8138E">
            <w:pPr>
              <w:pStyle w:val="TableTextLeft"/>
              <w:spacing w:after="60"/>
            </w:pPr>
            <w:r w:rsidRPr="00EA746C">
              <w:t xml:space="preserve">Timing recognition of Boosting Cash Flow for Employers </w:t>
            </w:r>
          </w:p>
        </w:tc>
        <w:tc>
          <w:tcPr>
            <w:tcW w:w="1500" w:type="pct"/>
            <w:shd w:val="clear" w:color="auto" w:fill="auto"/>
          </w:tcPr>
          <w:p w14:paraId="5DA5BEE2" w14:textId="77777777" w:rsidR="00D8138E" w:rsidRPr="00EA746C" w:rsidRDefault="00D8138E">
            <w:pPr>
              <w:pStyle w:val="TableTextLeft"/>
              <w:spacing w:after="60"/>
            </w:pPr>
            <w:r w:rsidRPr="00EA746C">
              <w:t>Expense recognition is based on underlying economic activity that gives rise to the Cash Flow Boost payment.</w:t>
            </w:r>
          </w:p>
        </w:tc>
        <w:tc>
          <w:tcPr>
            <w:tcW w:w="1500" w:type="pct"/>
            <w:shd w:val="clear" w:color="auto" w:fill="auto"/>
          </w:tcPr>
          <w:p w14:paraId="3A98D1B9" w14:textId="77777777" w:rsidR="00D8138E" w:rsidRPr="00EA746C" w:rsidRDefault="00D8138E">
            <w:pPr>
              <w:pStyle w:val="TableTextLeft"/>
              <w:spacing w:after="60"/>
            </w:pPr>
            <w:r w:rsidRPr="00EA746C">
              <w:t>Recognised when the businesses receive payments after submitting their activity statements and having met all requirements.</w:t>
            </w:r>
          </w:p>
        </w:tc>
        <w:tc>
          <w:tcPr>
            <w:tcW w:w="750" w:type="pct"/>
            <w:shd w:val="clear" w:color="auto" w:fill="auto"/>
          </w:tcPr>
          <w:p w14:paraId="13B27615" w14:textId="40887F85" w:rsidR="00D8138E" w:rsidRPr="00EA746C" w:rsidRDefault="00D8138E">
            <w:pPr>
              <w:pStyle w:val="TableTextLeft"/>
              <w:spacing w:after="60"/>
            </w:pPr>
            <w:r w:rsidRPr="00EA746C">
              <w:t>AAS</w:t>
            </w:r>
          </w:p>
        </w:tc>
      </w:tr>
      <w:tr w:rsidR="00D8138E" w:rsidRPr="00EA746C" w14:paraId="44BF74E0" w14:textId="77777777">
        <w:trPr>
          <w:trHeight w:val="113"/>
        </w:trPr>
        <w:tc>
          <w:tcPr>
            <w:tcW w:w="1000" w:type="pct"/>
            <w:shd w:val="clear" w:color="auto" w:fill="auto"/>
          </w:tcPr>
          <w:p w14:paraId="0FE2EED7" w14:textId="77777777" w:rsidR="00D8138E" w:rsidRPr="00EA746C" w:rsidRDefault="00D8138E">
            <w:pPr>
              <w:pStyle w:val="TableTextLeft"/>
              <w:spacing w:after="60"/>
            </w:pPr>
            <w:r w:rsidRPr="00EA746C">
              <w:t>Leases</w:t>
            </w:r>
          </w:p>
        </w:tc>
        <w:tc>
          <w:tcPr>
            <w:tcW w:w="1500" w:type="pct"/>
            <w:shd w:val="clear" w:color="auto" w:fill="auto"/>
          </w:tcPr>
          <w:p w14:paraId="0FF170DF" w14:textId="2572AD22" w:rsidR="00D8138E" w:rsidRPr="00EA746C" w:rsidRDefault="00A96E0D">
            <w:pPr>
              <w:pStyle w:val="TableTextLeft"/>
              <w:spacing w:after="60"/>
            </w:pPr>
            <w:r>
              <w:t>AASB </w:t>
            </w:r>
            <w:r w:rsidR="00D8138E" w:rsidRPr="00EA746C">
              <w:t>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1500" w:type="pct"/>
            <w:shd w:val="clear" w:color="auto" w:fill="auto"/>
          </w:tcPr>
          <w:p w14:paraId="3C83C86B" w14:textId="77777777" w:rsidR="00D8138E" w:rsidRPr="00EA746C" w:rsidRDefault="00D8138E">
            <w:pPr>
              <w:pStyle w:val="TableTextLeft"/>
              <w:spacing w:after="60"/>
            </w:pPr>
            <w:r w:rsidRPr="00EA746C">
              <w:t>The distinction between operating leases and finance leases is continued for lessees.</w:t>
            </w:r>
          </w:p>
        </w:tc>
        <w:tc>
          <w:tcPr>
            <w:tcW w:w="750" w:type="pct"/>
            <w:shd w:val="clear" w:color="auto" w:fill="auto"/>
          </w:tcPr>
          <w:p w14:paraId="26AC8D8F" w14:textId="77777777" w:rsidR="00D8138E" w:rsidRPr="00EA746C" w:rsidRDefault="00D8138E">
            <w:pPr>
              <w:pStyle w:val="TableTextLeft"/>
              <w:spacing w:after="60"/>
            </w:pPr>
            <w:r w:rsidRPr="00EA746C">
              <w:t>AAS</w:t>
            </w:r>
          </w:p>
        </w:tc>
      </w:tr>
      <w:tr w:rsidR="00D8138E" w:rsidRPr="00EA746C" w14:paraId="5D8FCDAB" w14:textId="77777777">
        <w:trPr>
          <w:trHeight w:val="113"/>
        </w:trPr>
        <w:tc>
          <w:tcPr>
            <w:tcW w:w="1000" w:type="pct"/>
            <w:shd w:val="clear" w:color="auto" w:fill="auto"/>
          </w:tcPr>
          <w:p w14:paraId="7FF38B9D" w14:textId="77777777" w:rsidR="00D8138E" w:rsidRPr="00EA746C" w:rsidRDefault="00D8138E">
            <w:pPr>
              <w:pStyle w:val="TableTextLeft"/>
              <w:spacing w:after="60"/>
            </w:pPr>
            <w:r w:rsidRPr="00EA746C">
              <w:br w:type="page"/>
              <w:t>Concessional loans</w:t>
            </w:r>
          </w:p>
        </w:tc>
        <w:tc>
          <w:tcPr>
            <w:tcW w:w="1500" w:type="pct"/>
            <w:shd w:val="clear" w:color="auto" w:fill="auto"/>
          </w:tcPr>
          <w:p w14:paraId="3D4008DC" w14:textId="77777777" w:rsidR="00D8138E" w:rsidRPr="00EA746C" w:rsidRDefault="00D8138E">
            <w:pPr>
              <w:pStyle w:val="TableTextLeft"/>
              <w:spacing w:after="60"/>
            </w:pPr>
            <w:r w:rsidRPr="00EA746C">
              <w:t>Concessional elements are treated as an expense on initial recognition and unwound over the loan term.</w:t>
            </w:r>
          </w:p>
        </w:tc>
        <w:tc>
          <w:tcPr>
            <w:tcW w:w="1500" w:type="pct"/>
            <w:shd w:val="clear" w:color="auto" w:fill="auto"/>
          </w:tcPr>
          <w:p w14:paraId="5CA0BF74" w14:textId="0C858548" w:rsidR="00D8138E" w:rsidRPr="00EA746C" w:rsidRDefault="00D8138E">
            <w:pPr>
              <w:pStyle w:val="TableTextLeft"/>
              <w:spacing w:after="60"/>
            </w:pPr>
            <w:r w:rsidRPr="00EA746C">
              <w:t xml:space="preserve">Concessional elements are treated as an </w:t>
            </w:r>
            <w:r w:rsidR="00325E1E">
              <w:t>‘</w:t>
            </w:r>
            <w:r w:rsidRPr="00EA746C">
              <w:t>other economic flow</w:t>
            </w:r>
            <w:r w:rsidR="00325E1E">
              <w:t>’</w:t>
            </w:r>
            <w:r w:rsidRPr="00EA746C">
              <w:t>.</w:t>
            </w:r>
          </w:p>
        </w:tc>
        <w:tc>
          <w:tcPr>
            <w:tcW w:w="750" w:type="pct"/>
            <w:shd w:val="clear" w:color="auto" w:fill="auto"/>
          </w:tcPr>
          <w:p w14:paraId="1DDDB5AF" w14:textId="77777777" w:rsidR="00D8138E" w:rsidRPr="00EA746C" w:rsidRDefault="00D8138E">
            <w:pPr>
              <w:pStyle w:val="TableTextLeft"/>
              <w:spacing w:after="60"/>
            </w:pPr>
            <w:r w:rsidRPr="00EA746C">
              <w:t>AAS</w:t>
            </w:r>
          </w:p>
        </w:tc>
      </w:tr>
      <w:tr w:rsidR="00D8138E" w:rsidRPr="00EA746C" w14:paraId="5FE05772" w14:textId="77777777">
        <w:trPr>
          <w:trHeight w:val="113"/>
        </w:trPr>
        <w:tc>
          <w:tcPr>
            <w:tcW w:w="1000" w:type="pct"/>
            <w:shd w:val="clear" w:color="auto" w:fill="auto"/>
          </w:tcPr>
          <w:p w14:paraId="70D203D1" w14:textId="77777777" w:rsidR="00D8138E" w:rsidRPr="00EA746C" w:rsidRDefault="00D8138E">
            <w:pPr>
              <w:pStyle w:val="TableTextLeft"/>
              <w:spacing w:after="60"/>
            </w:pPr>
            <w:r w:rsidRPr="00EA746C">
              <w:t>Investment in other public sector entities</w:t>
            </w:r>
          </w:p>
        </w:tc>
        <w:tc>
          <w:tcPr>
            <w:tcW w:w="1500" w:type="pct"/>
            <w:shd w:val="clear" w:color="auto" w:fill="auto"/>
          </w:tcPr>
          <w:p w14:paraId="43E95BF1" w14:textId="77777777" w:rsidR="00D8138E" w:rsidRPr="00EA746C" w:rsidRDefault="00D8138E">
            <w:pPr>
              <w:pStyle w:val="TableTextLeft"/>
              <w:spacing w:after="60"/>
            </w:pPr>
            <w:r w:rsidRPr="00EA746C">
              <w:t>Valued at fair value in the balance sheet as long as it can be reliably measured, otherwise net assets is permissible.</w:t>
            </w:r>
          </w:p>
        </w:tc>
        <w:tc>
          <w:tcPr>
            <w:tcW w:w="1500" w:type="pct"/>
            <w:shd w:val="clear" w:color="auto" w:fill="auto"/>
          </w:tcPr>
          <w:p w14:paraId="6A78FF7E" w14:textId="77777777" w:rsidR="00D8138E" w:rsidRPr="00EA746C" w:rsidRDefault="00D8138E">
            <w:pPr>
              <w:pStyle w:val="TableTextLeft"/>
              <w:spacing w:after="60"/>
            </w:pPr>
            <w:r w:rsidRPr="00EA746C">
              <w:t>Unlisted entities are valued based on their net assets in the balance sheet.</w:t>
            </w:r>
          </w:p>
        </w:tc>
        <w:tc>
          <w:tcPr>
            <w:tcW w:w="750" w:type="pct"/>
            <w:shd w:val="clear" w:color="auto" w:fill="auto"/>
          </w:tcPr>
          <w:p w14:paraId="3EEE87E6" w14:textId="77777777" w:rsidR="00D8138E" w:rsidRPr="00EA746C" w:rsidRDefault="00D8138E">
            <w:pPr>
              <w:pStyle w:val="TableTextLeft"/>
              <w:spacing w:after="60"/>
            </w:pPr>
            <w:r w:rsidRPr="00EA746C">
              <w:t>AAS</w:t>
            </w:r>
          </w:p>
        </w:tc>
      </w:tr>
      <w:tr w:rsidR="00D8138E" w:rsidRPr="00EA746C" w14:paraId="2B346AAF" w14:textId="77777777">
        <w:trPr>
          <w:trHeight w:val="113"/>
        </w:trPr>
        <w:tc>
          <w:tcPr>
            <w:tcW w:w="1000" w:type="pct"/>
            <w:shd w:val="clear" w:color="auto" w:fill="auto"/>
          </w:tcPr>
          <w:p w14:paraId="3C87A8E6" w14:textId="7BCFB10A" w:rsidR="00D8138E" w:rsidRPr="00EA746C" w:rsidRDefault="00D8138E">
            <w:pPr>
              <w:pStyle w:val="TableTextLeft"/>
              <w:spacing w:after="60"/>
            </w:pPr>
            <w:r w:rsidRPr="00EA746C">
              <w:t>Provision for restoration, decommissioning and make</w:t>
            </w:r>
            <w:r w:rsidR="00325E1E">
              <w:noBreakHyphen/>
            </w:r>
            <w:r w:rsidRPr="00EA746C">
              <w:t>good</w:t>
            </w:r>
          </w:p>
        </w:tc>
        <w:tc>
          <w:tcPr>
            <w:tcW w:w="1500" w:type="pct"/>
            <w:shd w:val="clear" w:color="auto" w:fill="auto"/>
          </w:tcPr>
          <w:p w14:paraId="3B675C64" w14:textId="77777777" w:rsidR="00D8138E" w:rsidRPr="00EA746C" w:rsidRDefault="00D8138E">
            <w:pPr>
              <w:pStyle w:val="TableTextLeft"/>
              <w:spacing w:after="60"/>
            </w:pPr>
            <w:r w:rsidRPr="00EA746C">
              <w:t>Capitalised when the asset is acquired.</w:t>
            </w:r>
          </w:p>
        </w:tc>
        <w:tc>
          <w:tcPr>
            <w:tcW w:w="1500" w:type="pct"/>
            <w:shd w:val="clear" w:color="auto" w:fill="auto"/>
          </w:tcPr>
          <w:p w14:paraId="07504432" w14:textId="32B64C25" w:rsidR="00D8138E" w:rsidRPr="00EA746C" w:rsidRDefault="00D8138E">
            <w:pPr>
              <w:pStyle w:val="TableTextLeft"/>
              <w:spacing w:after="60"/>
            </w:pPr>
            <w:r w:rsidRPr="00EA746C">
              <w:t>Capitalised when make</w:t>
            </w:r>
            <w:r w:rsidR="00325E1E">
              <w:noBreakHyphen/>
            </w:r>
            <w:r w:rsidRPr="00EA746C">
              <w:t>good activity takes place.</w:t>
            </w:r>
          </w:p>
        </w:tc>
        <w:tc>
          <w:tcPr>
            <w:tcW w:w="750" w:type="pct"/>
            <w:shd w:val="clear" w:color="auto" w:fill="auto"/>
          </w:tcPr>
          <w:p w14:paraId="2D54D9CD" w14:textId="77777777" w:rsidR="00D8138E" w:rsidRPr="00EA746C" w:rsidRDefault="00D8138E">
            <w:pPr>
              <w:pStyle w:val="TableTextLeft"/>
              <w:spacing w:after="60"/>
            </w:pPr>
            <w:r w:rsidRPr="00EA746C">
              <w:t>AAS</w:t>
            </w:r>
          </w:p>
        </w:tc>
      </w:tr>
      <w:tr w:rsidR="00D8138E" w:rsidRPr="00EA746C" w14:paraId="1B1AFCBB" w14:textId="77777777">
        <w:trPr>
          <w:trHeight w:val="113"/>
        </w:trPr>
        <w:tc>
          <w:tcPr>
            <w:tcW w:w="1000" w:type="pct"/>
            <w:shd w:val="clear" w:color="auto" w:fill="auto"/>
          </w:tcPr>
          <w:p w14:paraId="14ED93EB" w14:textId="77777777" w:rsidR="00D8138E" w:rsidRPr="00EA746C" w:rsidRDefault="00D8138E">
            <w:pPr>
              <w:pStyle w:val="TableTextLeft"/>
              <w:spacing w:after="60"/>
            </w:pPr>
            <w:r w:rsidRPr="00EA746C">
              <w:t>Renewable Energy Certificates (RECs)</w:t>
            </w:r>
          </w:p>
        </w:tc>
        <w:tc>
          <w:tcPr>
            <w:tcW w:w="1500" w:type="pct"/>
            <w:shd w:val="clear" w:color="auto" w:fill="auto"/>
          </w:tcPr>
          <w:p w14:paraId="795057C3" w14:textId="77777777" w:rsidR="00D8138E" w:rsidRPr="00EA746C" w:rsidRDefault="00D8138E">
            <w:pPr>
              <w:pStyle w:val="TableTextLeft"/>
              <w:spacing w:after="60"/>
            </w:pPr>
            <w:r w:rsidRPr="00EA746C">
              <w:t>The issuance and registration of RECs is considered to be an administrative function and does not result in the recognition of assets or liabilities and, consequently, no revenue or expenses are recognised.</w:t>
            </w:r>
          </w:p>
        </w:tc>
        <w:tc>
          <w:tcPr>
            <w:tcW w:w="1500" w:type="pct"/>
            <w:shd w:val="clear" w:color="auto" w:fill="auto"/>
          </w:tcPr>
          <w:p w14:paraId="1A43D94A" w14:textId="77777777" w:rsidR="00D8138E" w:rsidRPr="00EA746C" w:rsidRDefault="00D8138E">
            <w:pPr>
              <w:pStyle w:val="TableTextLeft"/>
              <w:spacing w:after="60"/>
            </w:pPr>
            <w:r w:rsidRPr="00EA746C">
              <w:t>The issuance and registration of RECs is considered to be government financial transactions resulting in the recognition of assets, liabilities, revenue and expenses.</w:t>
            </w:r>
          </w:p>
        </w:tc>
        <w:tc>
          <w:tcPr>
            <w:tcW w:w="750" w:type="pct"/>
            <w:shd w:val="clear" w:color="auto" w:fill="auto"/>
          </w:tcPr>
          <w:p w14:paraId="37F3B2B1" w14:textId="77777777" w:rsidR="00D8138E" w:rsidRPr="00EA746C" w:rsidRDefault="00D8138E">
            <w:pPr>
              <w:pStyle w:val="TableTextLeft"/>
              <w:spacing w:after="60"/>
            </w:pPr>
            <w:r w:rsidRPr="00EA746C">
              <w:t>AAS</w:t>
            </w:r>
          </w:p>
        </w:tc>
      </w:tr>
      <w:tr w:rsidR="00D8138E" w:rsidRPr="00EA746C" w14:paraId="165AD3DD" w14:textId="77777777">
        <w:trPr>
          <w:trHeight w:val="113"/>
        </w:trPr>
        <w:tc>
          <w:tcPr>
            <w:tcW w:w="1000" w:type="pct"/>
            <w:shd w:val="clear" w:color="auto" w:fill="auto"/>
          </w:tcPr>
          <w:p w14:paraId="755E4FE5" w14:textId="77777777" w:rsidR="00D8138E" w:rsidRPr="00EA746C" w:rsidRDefault="00D8138E">
            <w:pPr>
              <w:pStyle w:val="TableTextLeft"/>
              <w:spacing w:after="60"/>
            </w:pPr>
            <w:r w:rsidRPr="00EA746C">
              <w:t>Dividends paid by public corporations</w:t>
            </w:r>
          </w:p>
        </w:tc>
        <w:tc>
          <w:tcPr>
            <w:tcW w:w="1500" w:type="pct"/>
            <w:shd w:val="clear" w:color="auto" w:fill="auto"/>
          </w:tcPr>
          <w:p w14:paraId="3E2C0CB6" w14:textId="77777777" w:rsidR="00D8138E" w:rsidRPr="00EA746C" w:rsidRDefault="00D8138E">
            <w:pPr>
              <w:pStyle w:val="TableTextLeft"/>
              <w:spacing w:after="60"/>
            </w:pPr>
            <w:r w:rsidRPr="00EA746C">
              <w:t>Treated as an equity distribution. Equity distributions are treated as a distribution of profits, as opposed to an expense.</w:t>
            </w:r>
          </w:p>
        </w:tc>
        <w:tc>
          <w:tcPr>
            <w:tcW w:w="1500" w:type="pct"/>
            <w:shd w:val="clear" w:color="auto" w:fill="auto"/>
          </w:tcPr>
          <w:p w14:paraId="3AF07A29" w14:textId="77777777" w:rsidR="00D8138E" w:rsidRPr="00EA746C" w:rsidRDefault="00D8138E">
            <w:pPr>
              <w:pStyle w:val="TableTextLeft"/>
              <w:spacing w:after="60"/>
            </w:pPr>
            <w:r w:rsidRPr="00EA746C">
              <w:t>Dividends are treated as an expense.</w:t>
            </w:r>
          </w:p>
        </w:tc>
        <w:tc>
          <w:tcPr>
            <w:tcW w:w="750" w:type="pct"/>
            <w:shd w:val="clear" w:color="auto" w:fill="auto"/>
          </w:tcPr>
          <w:p w14:paraId="368B3AC8" w14:textId="77777777" w:rsidR="00D8138E" w:rsidRPr="00EA746C" w:rsidRDefault="00D8138E">
            <w:pPr>
              <w:pStyle w:val="TableTextLeft"/>
              <w:spacing w:after="60"/>
            </w:pPr>
            <w:r w:rsidRPr="00EA746C">
              <w:t>ABS GFS</w:t>
            </w:r>
          </w:p>
        </w:tc>
      </w:tr>
    </w:tbl>
    <w:p w14:paraId="357E8A85" w14:textId="3DDF7BDF" w:rsidR="00D8138E" w:rsidRPr="00EA746C" w:rsidRDefault="00A96E0D" w:rsidP="00D8138E">
      <w:pPr>
        <w:pStyle w:val="TableHeadingcontinued"/>
      </w:pPr>
      <w:r>
        <w:lastRenderedPageBreak/>
        <w:t>Table </w:t>
      </w:r>
      <w:r w:rsidR="009A548A">
        <w:t>10.</w:t>
      </w:r>
      <w:r w:rsidR="00D8138E" w:rsidRPr="00EA746C">
        <w:t>13: Major differences between AAS and ABS GFS (continued)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D8138E" w:rsidRPr="00EA746C" w14:paraId="6256E65B" w14:textId="77777777">
        <w:trPr>
          <w:trHeight w:val="170"/>
          <w:tblHeader/>
        </w:trPr>
        <w:tc>
          <w:tcPr>
            <w:tcW w:w="1053" w:type="pct"/>
            <w:shd w:val="clear" w:color="auto" w:fill="E6F2FF"/>
          </w:tcPr>
          <w:p w14:paraId="5294E3DC" w14:textId="77777777" w:rsidR="00D8138E" w:rsidRPr="00EA746C" w:rsidRDefault="00D8138E">
            <w:pPr>
              <w:pStyle w:val="TableColumnHeadingLeft"/>
            </w:pPr>
            <w:r w:rsidRPr="00EA746C">
              <w:t>Issue</w:t>
            </w:r>
          </w:p>
        </w:tc>
        <w:tc>
          <w:tcPr>
            <w:tcW w:w="1579" w:type="pct"/>
            <w:shd w:val="clear" w:color="auto" w:fill="E6F2FF"/>
          </w:tcPr>
          <w:p w14:paraId="34F65D11" w14:textId="77777777" w:rsidR="00D8138E" w:rsidRPr="00EA746C" w:rsidRDefault="00D8138E">
            <w:pPr>
              <w:pStyle w:val="TableColumnHeadingLeft"/>
            </w:pPr>
            <w:r w:rsidRPr="00EA746C">
              <w:t>AAS treatment</w:t>
            </w:r>
          </w:p>
        </w:tc>
        <w:tc>
          <w:tcPr>
            <w:tcW w:w="1579" w:type="pct"/>
            <w:shd w:val="clear" w:color="auto" w:fill="E6F2FF"/>
          </w:tcPr>
          <w:p w14:paraId="6A5D2F76" w14:textId="77777777" w:rsidR="00D8138E" w:rsidRPr="00EA746C" w:rsidRDefault="00D8138E">
            <w:pPr>
              <w:pStyle w:val="TableColumnHeadingLeft"/>
            </w:pPr>
            <w:r w:rsidRPr="00EA746C">
              <w:t>ABS GFS treatment</w:t>
            </w:r>
          </w:p>
        </w:tc>
        <w:tc>
          <w:tcPr>
            <w:tcW w:w="789" w:type="pct"/>
            <w:shd w:val="clear" w:color="auto" w:fill="E6F2FF"/>
          </w:tcPr>
          <w:p w14:paraId="13F2BD5A" w14:textId="77777777" w:rsidR="00D8138E" w:rsidRPr="00EA746C" w:rsidRDefault="00D8138E">
            <w:pPr>
              <w:pStyle w:val="TableColumnHeadingLeft"/>
            </w:pPr>
            <w:r w:rsidRPr="00EA746C">
              <w:t>Treatment adopted</w:t>
            </w:r>
          </w:p>
        </w:tc>
      </w:tr>
      <w:tr w:rsidR="00D8138E" w:rsidRPr="00EA746C" w14:paraId="3D755259" w14:textId="77777777">
        <w:trPr>
          <w:trHeight w:val="170"/>
        </w:trPr>
        <w:tc>
          <w:tcPr>
            <w:tcW w:w="1053" w:type="pct"/>
            <w:shd w:val="clear" w:color="auto" w:fill="auto"/>
          </w:tcPr>
          <w:p w14:paraId="3AD027E5" w14:textId="77777777" w:rsidR="00D8138E" w:rsidRPr="00EA746C" w:rsidRDefault="00D8138E">
            <w:pPr>
              <w:pStyle w:val="TableTextLeft"/>
              <w:spacing w:after="60"/>
            </w:pPr>
            <w:r w:rsidRPr="00EA746C">
              <w:t>Dividends paid by the Reserve Bank of Australia</w:t>
            </w:r>
          </w:p>
        </w:tc>
        <w:tc>
          <w:tcPr>
            <w:tcW w:w="1579" w:type="pct"/>
            <w:shd w:val="clear" w:color="auto" w:fill="auto"/>
          </w:tcPr>
          <w:p w14:paraId="5E97592D" w14:textId="77777777" w:rsidR="00D8138E" w:rsidRPr="00EA746C" w:rsidRDefault="00D8138E">
            <w:pPr>
              <w:pStyle w:val="TableTextLeft"/>
              <w:spacing w:after="60"/>
            </w:pPr>
            <w:r w:rsidRPr="00EA746C">
              <w:t>Dividends are recognised in the year profit was earned.</w:t>
            </w:r>
          </w:p>
        </w:tc>
        <w:tc>
          <w:tcPr>
            <w:tcW w:w="1579" w:type="pct"/>
            <w:shd w:val="clear" w:color="auto" w:fill="auto"/>
          </w:tcPr>
          <w:p w14:paraId="6F44FD25" w14:textId="77777777" w:rsidR="00D8138E" w:rsidRPr="00EA746C" w:rsidRDefault="00D8138E">
            <w:pPr>
              <w:pStyle w:val="TableTextLeft"/>
              <w:spacing w:after="60"/>
            </w:pPr>
            <w:r w:rsidRPr="00EA746C">
              <w:t>Dividends are recognised when the Treasurer makes a determination.</w:t>
            </w:r>
          </w:p>
        </w:tc>
        <w:tc>
          <w:tcPr>
            <w:tcW w:w="789" w:type="pct"/>
            <w:shd w:val="clear" w:color="auto" w:fill="auto"/>
          </w:tcPr>
          <w:p w14:paraId="44B06090" w14:textId="77777777" w:rsidR="00D8138E" w:rsidRPr="00EA746C" w:rsidRDefault="00D8138E">
            <w:pPr>
              <w:pStyle w:val="TableTextLeft"/>
              <w:spacing w:after="60"/>
            </w:pPr>
            <w:r w:rsidRPr="00EA746C">
              <w:t>AAS</w:t>
            </w:r>
          </w:p>
        </w:tc>
      </w:tr>
      <w:tr w:rsidR="00D8138E" w:rsidRPr="00EA746C" w14:paraId="55A1330A" w14:textId="77777777">
        <w:trPr>
          <w:trHeight w:val="170"/>
        </w:trPr>
        <w:tc>
          <w:tcPr>
            <w:tcW w:w="1053" w:type="pct"/>
            <w:shd w:val="clear" w:color="auto" w:fill="auto"/>
          </w:tcPr>
          <w:p w14:paraId="58E4F899" w14:textId="77777777" w:rsidR="00D8138E" w:rsidRPr="00EA746C" w:rsidRDefault="00D8138E">
            <w:pPr>
              <w:pStyle w:val="TableTextLeft"/>
              <w:spacing w:after="60"/>
            </w:pPr>
            <w:r w:rsidRPr="00EA746C">
              <w:t xml:space="preserve">National Disability Insurance Scheme (NDIS) revenue </w:t>
            </w:r>
          </w:p>
        </w:tc>
        <w:tc>
          <w:tcPr>
            <w:tcW w:w="1579" w:type="pct"/>
            <w:shd w:val="clear" w:color="auto" w:fill="auto"/>
          </w:tcPr>
          <w:p w14:paraId="6321DE5F" w14:textId="77777777" w:rsidR="00D8138E" w:rsidRPr="00EA746C" w:rsidRDefault="00D8138E">
            <w:pPr>
              <w:pStyle w:val="TableTextLeft"/>
              <w:spacing w:after="60"/>
            </w:pPr>
            <w:r w:rsidRPr="00EA746C">
              <w:t xml:space="preserve">Funding contributions by the state and territory governments to NDIS are treated as sales of goods and services revenue. </w:t>
            </w:r>
          </w:p>
          <w:p w14:paraId="255CC5B8" w14:textId="46E819FE" w:rsidR="00D8138E" w:rsidRPr="00EA746C" w:rsidRDefault="00D8138E">
            <w:pPr>
              <w:pStyle w:val="TableTextLeft"/>
              <w:spacing w:after="60"/>
            </w:pPr>
            <w:r w:rsidRPr="00EA746C">
              <w:t>In</w:t>
            </w:r>
            <w:r w:rsidR="00325E1E">
              <w:noBreakHyphen/>
            </w:r>
            <w:r w:rsidRPr="00EA746C">
              <w:t>kind disability services provided by the state and territory governments are treated as other revenue.</w:t>
            </w:r>
          </w:p>
        </w:tc>
        <w:tc>
          <w:tcPr>
            <w:tcW w:w="1579" w:type="pct"/>
            <w:shd w:val="clear" w:color="auto" w:fill="auto"/>
          </w:tcPr>
          <w:p w14:paraId="7319EA33" w14:textId="77777777" w:rsidR="00D8138E" w:rsidRPr="00EA746C" w:rsidRDefault="00D8138E">
            <w:pPr>
              <w:pStyle w:val="TableTextLeft"/>
              <w:spacing w:after="60"/>
            </w:pPr>
            <w:r w:rsidRPr="00EA746C">
              <w:t xml:space="preserve">Funding contributions by the state and territory governments to NDIS are treated as grants revenue. </w:t>
            </w:r>
          </w:p>
          <w:p w14:paraId="443A95DF" w14:textId="38BAB02F" w:rsidR="00D8138E" w:rsidRPr="00EA746C" w:rsidRDefault="00D8138E">
            <w:pPr>
              <w:pStyle w:val="TableTextLeft"/>
              <w:spacing w:after="60"/>
            </w:pPr>
            <w:r w:rsidRPr="00EA746C">
              <w:t>In</w:t>
            </w:r>
            <w:r w:rsidR="00325E1E">
              <w:noBreakHyphen/>
            </w:r>
            <w:r w:rsidRPr="00EA746C">
              <w:t xml:space="preserve">kind disability services provided by the state and territory governments are treated as sales of goods and services revenue. </w:t>
            </w:r>
          </w:p>
        </w:tc>
        <w:tc>
          <w:tcPr>
            <w:tcW w:w="789" w:type="pct"/>
            <w:shd w:val="clear" w:color="auto" w:fill="auto"/>
          </w:tcPr>
          <w:p w14:paraId="169462DB" w14:textId="77777777" w:rsidR="00D8138E" w:rsidRPr="00EA746C" w:rsidRDefault="00D8138E">
            <w:pPr>
              <w:pStyle w:val="TableTextLeft"/>
              <w:spacing w:after="60"/>
            </w:pPr>
            <w:r w:rsidRPr="00EA746C">
              <w:t>AAS</w:t>
            </w:r>
          </w:p>
        </w:tc>
      </w:tr>
      <w:tr w:rsidR="00D8138E" w:rsidRPr="00EA746C" w14:paraId="5A16145B" w14:textId="77777777">
        <w:trPr>
          <w:trHeight w:val="170"/>
        </w:trPr>
        <w:tc>
          <w:tcPr>
            <w:tcW w:w="1053" w:type="pct"/>
            <w:shd w:val="clear" w:color="auto" w:fill="auto"/>
          </w:tcPr>
          <w:p w14:paraId="242FEB6A" w14:textId="77777777" w:rsidR="00D8138E" w:rsidRPr="00EA746C" w:rsidRDefault="00D8138E">
            <w:pPr>
              <w:pStyle w:val="TableTextLeft"/>
              <w:spacing w:after="60"/>
            </w:pPr>
            <w:r w:rsidRPr="00EA746C">
              <w:t>Commercial tax effect accounting assets and liabilities</w:t>
            </w:r>
          </w:p>
        </w:tc>
        <w:tc>
          <w:tcPr>
            <w:tcW w:w="1579" w:type="pct"/>
            <w:shd w:val="clear" w:color="auto" w:fill="auto"/>
          </w:tcPr>
          <w:p w14:paraId="5D6700BF" w14:textId="77777777" w:rsidR="00D8138E" w:rsidRPr="00EA746C" w:rsidRDefault="00D8138E">
            <w:pPr>
              <w:pStyle w:val="TableTextLeft"/>
              <w:spacing w:after="60"/>
            </w:pPr>
            <w:r w:rsidRPr="00EA746C">
              <w:t>Corporations in the PNFC and PFC sectors record tax expenses on a commercial basis.</w:t>
            </w:r>
          </w:p>
        </w:tc>
        <w:tc>
          <w:tcPr>
            <w:tcW w:w="1579" w:type="pct"/>
            <w:shd w:val="clear" w:color="auto" w:fill="auto"/>
          </w:tcPr>
          <w:p w14:paraId="539484EA" w14:textId="77777777" w:rsidR="00D8138E" w:rsidRPr="00EA746C" w:rsidRDefault="00D8138E">
            <w:pPr>
              <w:pStyle w:val="TableTextLeft"/>
              <w:spacing w:after="60"/>
            </w:pPr>
            <w:r w:rsidRPr="00EA746C">
              <w:t>Deferred tax assets and liabilities are reversed so that corporations record tax expenses on a consistent basis to the Australian Taxation Office.</w:t>
            </w:r>
          </w:p>
        </w:tc>
        <w:tc>
          <w:tcPr>
            <w:tcW w:w="789" w:type="pct"/>
            <w:shd w:val="clear" w:color="auto" w:fill="auto"/>
          </w:tcPr>
          <w:p w14:paraId="03BBE392" w14:textId="77777777" w:rsidR="00D8138E" w:rsidRPr="00EA746C" w:rsidRDefault="00D8138E">
            <w:pPr>
              <w:pStyle w:val="TableTextLeft"/>
              <w:spacing w:after="60"/>
            </w:pPr>
            <w:r w:rsidRPr="00EA746C">
              <w:t>ABS GFS</w:t>
            </w:r>
          </w:p>
        </w:tc>
      </w:tr>
      <w:tr w:rsidR="00D8138E" w:rsidRPr="00EA746C" w14:paraId="2B14652B" w14:textId="77777777">
        <w:trPr>
          <w:trHeight w:val="170"/>
        </w:trPr>
        <w:tc>
          <w:tcPr>
            <w:tcW w:w="1053" w:type="pct"/>
            <w:shd w:val="clear" w:color="auto" w:fill="auto"/>
          </w:tcPr>
          <w:p w14:paraId="1C17C95E" w14:textId="77777777" w:rsidR="00D8138E" w:rsidRPr="00EA746C" w:rsidRDefault="00D8138E">
            <w:pPr>
              <w:pStyle w:val="TableTextLeft"/>
              <w:spacing w:after="60"/>
            </w:pPr>
            <w:r w:rsidRPr="00EA746C">
              <w:t>Timing recognition of vaccine expense</w:t>
            </w:r>
          </w:p>
        </w:tc>
        <w:tc>
          <w:tcPr>
            <w:tcW w:w="1579" w:type="pct"/>
            <w:shd w:val="clear" w:color="auto" w:fill="auto"/>
          </w:tcPr>
          <w:p w14:paraId="5794DA9D" w14:textId="77777777" w:rsidR="00D8138E" w:rsidRPr="00EA746C" w:rsidRDefault="00D8138E">
            <w:pPr>
              <w:pStyle w:val="TableTextLeft"/>
              <w:spacing w:after="60"/>
            </w:pPr>
            <w:r w:rsidRPr="00EA746C">
              <w:t>Recognised when vaccines are delivered to the states and territories.</w:t>
            </w:r>
          </w:p>
        </w:tc>
        <w:tc>
          <w:tcPr>
            <w:tcW w:w="1579" w:type="pct"/>
            <w:shd w:val="clear" w:color="auto" w:fill="auto"/>
          </w:tcPr>
          <w:p w14:paraId="04938D1C" w14:textId="7EF75D6C" w:rsidR="00D8138E" w:rsidRPr="00EA746C" w:rsidRDefault="00D8138E">
            <w:pPr>
              <w:pStyle w:val="TableTextLeft"/>
              <w:spacing w:after="60"/>
            </w:pPr>
            <w:r w:rsidRPr="00EA746C">
              <w:t xml:space="preserve">Recognised when the vaccine doses are administered. Vaccine wastage after distributions are recognised as an </w:t>
            </w:r>
            <w:r w:rsidR="00325E1E">
              <w:t>‘</w:t>
            </w:r>
            <w:r w:rsidRPr="00EA746C">
              <w:t>other economic flow</w:t>
            </w:r>
            <w:r w:rsidR="00325E1E">
              <w:t>’</w:t>
            </w:r>
            <w:r w:rsidRPr="00EA746C">
              <w:t>.</w:t>
            </w:r>
          </w:p>
        </w:tc>
        <w:tc>
          <w:tcPr>
            <w:tcW w:w="789" w:type="pct"/>
            <w:shd w:val="clear" w:color="auto" w:fill="auto"/>
          </w:tcPr>
          <w:p w14:paraId="2B991702" w14:textId="77777777" w:rsidR="00D8138E" w:rsidRPr="00EA746C" w:rsidRDefault="00D8138E">
            <w:pPr>
              <w:pStyle w:val="TableTextLeft"/>
              <w:spacing w:after="60"/>
            </w:pPr>
            <w:r w:rsidRPr="00EA746C">
              <w:t>AAS</w:t>
            </w:r>
          </w:p>
        </w:tc>
      </w:tr>
      <w:tr w:rsidR="00D8138E" w:rsidRPr="00EA746C" w14:paraId="00A756B5" w14:textId="77777777">
        <w:trPr>
          <w:trHeight w:val="170"/>
        </w:trPr>
        <w:tc>
          <w:tcPr>
            <w:tcW w:w="1053" w:type="pct"/>
            <w:shd w:val="clear" w:color="auto" w:fill="auto"/>
          </w:tcPr>
          <w:p w14:paraId="4879FA5D" w14:textId="77777777" w:rsidR="00D8138E" w:rsidRPr="00EA746C" w:rsidRDefault="00D8138E">
            <w:pPr>
              <w:pStyle w:val="TableTextLeft"/>
              <w:spacing w:after="60"/>
            </w:pPr>
            <w:r w:rsidRPr="00AD2B26">
              <w:t>Regional Broadband Scheme</w:t>
            </w:r>
          </w:p>
        </w:tc>
        <w:tc>
          <w:tcPr>
            <w:tcW w:w="1579" w:type="pct"/>
            <w:shd w:val="clear" w:color="auto" w:fill="auto"/>
          </w:tcPr>
          <w:p w14:paraId="0A86902A" w14:textId="77777777" w:rsidR="00D8138E" w:rsidRPr="00EA746C" w:rsidRDefault="00D8138E">
            <w:pPr>
              <w:pStyle w:val="TableTextLeft"/>
              <w:spacing w:after="60"/>
            </w:pPr>
            <w:r w:rsidRPr="00AD2B26">
              <w:t>The revenue from the levy on internet service providers (ISPs) and the associated subsidy expense to NBN Co for the provision of regional broadband services are recorded separately on a gross basis.</w:t>
            </w:r>
          </w:p>
        </w:tc>
        <w:tc>
          <w:tcPr>
            <w:tcW w:w="1579" w:type="pct"/>
            <w:shd w:val="clear" w:color="auto" w:fill="auto"/>
          </w:tcPr>
          <w:p w14:paraId="67554E95" w14:textId="77777777" w:rsidR="00D8138E" w:rsidRPr="00EA746C" w:rsidRDefault="00D8138E">
            <w:pPr>
              <w:pStyle w:val="TableTextLeft"/>
              <w:spacing w:after="60"/>
            </w:pPr>
            <w:r w:rsidRPr="00AD2B26">
              <w:t>The revenue from the levy on ISPs and the associated subsidy expense to NBN Co are recorded on a net basis.</w:t>
            </w:r>
          </w:p>
        </w:tc>
        <w:tc>
          <w:tcPr>
            <w:tcW w:w="789" w:type="pct"/>
            <w:shd w:val="clear" w:color="auto" w:fill="auto"/>
          </w:tcPr>
          <w:p w14:paraId="4EB4943A" w14:textId="77777777" w:rsidR="00D8138E" w:rsidRPr="00EA746C" w:rsidRDefault="00D8138E">
            <w:pPr>
              <w:pStyle w:val="TableTextLeft"/>
              <w:spacing w:after="60"/>
            </w:pPr>
            <w:r w:rsidRPr="00AD2B26">
              <w:t>AAS</w:t>
            </w:r>
          </w:p>
        </w:tc>
      </w:tr>
      <w:tr w:rsidR="00D8138E" w:rsidRPr="00EA746C" w14:paraId="17E58B73" w14:textId="77777777">
        <w:trPr>
          <w:trHeight w:val="170"/>
        </w:trPr>
        <w:tc>
          <w:tcPr>
            <w:tcW w:w="5000" w:type="pct"/>
            <w:gridSpan w:val="4"/>
            <w:shd w:val="clear" w:color="auto" w:fill="E6F2FF"/>
            <w:vAlign w:val="center"/>
          </w:tcPr>
          <w:p w14:paraId="2EB604DE" w14:textId="77777777" w:rsidR="00D8138E" w:rsidRPr="00EA746C" w:rsidRDefault="00D8138E">
            <w:pPr>
              <w:pStyle w:val="TableColumnHeadingLeft"/>
            </w:pPr>
            <w:r w:rsidRPr="00EA746C">
              <w:t>Fiscal aggregates differences</w:t>
            </w:r>
          </w:p>
        </w:tc>
      </w:tr>
      <w:tr w:rsidR="00D8138E" w:rsidRPr="00EA746C" w14:paraId="7D76259B" w14:textId="77777777">
        <w:trPr>
          <w:trHeight w:val="170"/>
        </w:trPr>
        <w:tc>
          <w:tcPr>
            <w:tcW w:w="1053" w:type="pct"/>
            <w:shd w:val="clear" w:color="auto" w:fill="auto"/>
          </w:tcPr>
          <w:p w14:paraId="5C236EBD" w14:textId="77777777" w:rsidR="00D8138E" w:rsidRPr="00EA746C" w:rsidRDefault="00D8138E">
            <w:pPr>
              <w:pStyle w:val="TableTextLeft"/>
              <w:spacing w:after="60"/>
            </w:pPr>
            <w:r w:rsidRPr="00EA746C">
              <w:t>Net worth of PNFC and PFC sectors</w:t>
            </w:r>
          </w:p>
        </w:tc>
        <w:tc>
          <w:tcPr>
            <w:tcW w:w="1579" w:type="pct"/>
            <w:shd w:val="clear" w:color="auto" w:fill="auto"/>
          </w:tcPr>
          <w:p w14:paraId="565C3472" w14:textId="77777777" w:rsidR="00D8138E" w:rsidRPr="00EA746C" w:rsidRDefault="00D8138E">
            <w:pPr>
              <w:pStyle w:val="TableTextLeft"/>
              <w:spacing w:after="60"/>
            </w:pPr>
            <w:r w:rsidRPr="00EA746C">
              <w:t>Calculated as assets less liabilities.</w:t>
            </w:r>
          </w:p>
        </w:tc>
        <w:tc>
          <w:tcPr>
            <w:tcW w:w="1579" w:type="pct"/>
            <w:shd w:val="clear" w:color="auto" w:fill="auto"/>
          </w:tcPr>
          <w:p w14:paraId="2A54CB3D" w14:textId="77777777" w:rsidR="00D8138E" w:rsidRPr="00EA746C" w:rsidRDefault="00D8138E">
            <w:pPr>
              <w:pStyle w:val="TableTextLeft"/>
              <w:spacing w:after="60"/>
            </w:pPr>
            <w:r w:rsidRPr="00EA746C">
              <w:t>Calculated as assets less liabilities less shares and other contributed capital.</w:t>
            </w:r>
          </w:p>
        </w:tc>
        <w:tc>
          <w:tcPr>
            <w:tcW w:w="789" w:type="pct"/>
            <w:shd w:val="clear" w:color="auto" w:fill="auto"/>
          </w:tcPr>
          <w:p w14:paraId="1205A420" w14:textId="77777777" w:rsidR="00D8138E" w:rsidRPr="00EA746C" w:rsidRDefault="00D8138E">
            <w:pPr>
              <w:pStyle w:val="TableTextLeft"/>
              <w:spacing w:after="60"/>
            </w:pPr>
            <w:r w:rsidRPr="00EA746C">
              <w:t>AAS</w:t>
            </w:r>
          </w:p>
        </w:tc>
      </w:tr>
      <w:tr w:rsidR="00D8138E" w:rsidRPr="00EA746C" w14:paraId="2D559A2C" w14:textId="77777777">
        <w:trPr>
          <w:trHeight w:val="170"/>
        </w:trPr>
        <w:tc>
          <w:tcPr>
            <w:tcW w:w="1053" w:type="pct"/>
            <w:shd w:val="clear" w:color="auto" w:fill="auto"/>
          </w:tcPr>
          <w:p w14:paraId="388D9E2D" w14:textId="77777777" w:rsidR="00D8138E" w:rsidRPr="00EA746C" w:rsidRDefault="00D8138E">
            <w:pPr>
              <w:pStyle w:val="TableTextLeft"/>
              <w:spacing w:after="60"/>
            </w:pPr>
            <w:r w:rsidRPr="00EA746C">
              <w:t>Net financial worth of PNFC and PFC sectors</w:t>
            </w:r>
          </w:p>
        </w:tc>
        <w:tc>
          <w:tcPr>
            <w:tcW w:w="1579" w:type="pct"/>
            <w:shd w:val="clear" w:color="auto" w:fill="auto"/>
          </w:tcPr>
          <w:p w14:paraId="2BF9E95C" w14:textId="77777777" w:rsidR="00D8138E" w:rsidRPr="00EA746C" w:rsidRDefault="00D8138E">
            <w:pPr>
              <w:pStyle w:val="TableTextLeft"/>
              <w:spacing w:after="60"/>
            </w:pPr>
            <w:r w:rsidRPr="00EA746C">
              <w:t>Calculated as financial assets less total liabilities.</w:t>
            </w:r>
          </w:p>
        </w:tc>
        <w:tc>
          <w:tcPr>
            <w:tcW w:w="1579" w:type="pct"/>
            <w:shd w:val="clear" w:color="auto" w:fill="auto"/>
          </w:tcPr>
          <w:p w14:paraId="2D7A2D10" w14:textId="77777777" w:rsidR="00D8138E" w:rsidRPr="00EA746C" w:rsidRDefault="00D8138E">
            <w:pPr>
              <w:pStyle w:val="TableTextLeft"/>
              <w:spacing w:after="60"/>
            </w:pPr>
            <w:r w:rsidRPr="00EA746C">
              <w:t>Calculated as financial assets less total liabilities less shares and contributed capital.</w:t>
            </w:r>
          </w:p>
        </w:tc>
        <w:tc>
          <w:tcPr>
            <w:tcW w:w="789" w:type="pct"/>
            <w:shd w:val="clear" w:color="auto" w:fill="auto"/>
          </w:tcPr>
          <w:p w14:paraId="431F92F5" w14:textId="77777777" w:rsidR="00D8138E" w:rsidRPr="00EA746C" w:rsidRDefault="00D8138E">
            <w:pPr>
              <w:pStyle w:val="TableTextLeft"/>
              <w:spacing w:after="60"/>
            </w:pPr>
            <w:r w:rsidRPr="00EA746C">
              <w:t>AAS</w:t>
            </w:r>
          </w:p>
        </w:tc>
      </w:tr>
      <w:tr w:rsidR="00D8138E" w:rsidRPr="00EA746C" w14:paraId="000ADF75" w14:textId="77777777">
        <w:trPr>
          <w:trHeight w:val="170"/>
        </w:trPr>
        <w:tc>
          <w:tcPr>
            <w:tcW w:w="5000" w:type="pct"/>
            <w:gridSpan w:val="4"/>
            <w:shd w:val="clear" w:color="auto" w:fill="E6F2FF"/>
            <w:vAlign w:val="center"/>
          </w:tcPr>
          <w:p w14:paraId="4808434E" w14:textId="77777777" w:rsidR="00D8138E" w:rsidRPr="00EA746C" w:rsidRDefault="00D8138E">
            <w:pPr>
              <w:pStyle w:val="TableColumnHeadingLeft"/>
            </w:pPr>
            <w:r w:rsidRPr="00EA746C">
              <w:t>Classification differences</w:t>
            </w:r>
          </w:p>
        </w:tc>
      </w:tr>
      <w:tr w:rsidR="00D8138E" w:rsidRPr="00EA746C" w14:paraId="4340BCEB" w14:textId="77777777">
        <w:trPr>
          <w:trHeight w:val="170"/>
        </w:trPr>
        <w:tc>
          <w:tcPr>
            <w:tcW w:w="1053" w:type="pct"/>
            <w:shd w:val="clear" w:color="auto" w:fill="auto"/>
          </w:tcPr>
          <w:p w14:paraId="3C2B2FFF" w14:textId="77777777" w:rsidR="00D8138E" w:rsidRPr="00EA746C" w:rsidRDefault="00D8138E">
            <w:pPr>
              <w:pStyle w:val="TableTextLeft"/>
              <w:spacing w:after="60"/>
            </w:pPr>
            <w:r w:rsidRPr="00EA746C">
              <w:t>Prepayments</w:t>
            </w:r>
          </w:p>
        </w:tc>
        <w:tc>
          <w:tcPr>
            <w:tcW w:w="1579" w:type="pct"/>
            <w:shd w:val="clear" w:color="auto" w:fill="auto"/>
          </w:tcPr>
          <w:p w14:paraId="5FDD0EB8" w14:textId="10A9AA82" w:rsidR="00D8138E" w:rsidRPr="00EA746C" w:rsidRDefault="00D8138E">
            <w:pPr>
              <w:pStyle w:val="TableTextLeft"/>
              <w:spacing w:after="60"/>
            </w:pPr>
            <w:r w:rsidRPr="00EA746C">
              <w:t>Treated as a non</w:t>
            </w:r>
            <w:r w:rsidR="00325E1E">
              <w:noBreakHyphen/>
            </w:r>
            <w:r w:rsidRPr="00EA746C">
              <w:t>financial asset.</w:t>
            </w:r>
          </w:p>
        </w:tc>
        <w:tc>
          <w:tcPr>
            <w:tcW w:w="1579" w:type="pct"/>
            <w:shd w:val="clear" w:color="auto" w:fill="auto"/>
          </w:tcPr>
          <w:p w14:paraId="3E8AA274" w14:textId="77777777" w:rsidR="00D8138E" w:rsidRPr="00EA746C" w:rsidRDefault="00D8138E">
            <w:pPr>
              <w:pStyle w:val="TableTextLeft"/>
              <w:spacing w:after="60"/>
            </w:pPr>
            <w:r w:rsidRPr="00EA746C">
              <w:t>Treated as a financial asset.</w:t>
            </w:r>
          </w:p>
        </w:tc>
        <w:tc>
          <w:tcPr>
            <w:tcW w:w="789" w:type="pct"/>
            <w:shd w:val="clear" w:color="auto" w:fill="auto"/>
          </w:tcPr>
          <w:p w14:paraId="67870E69" w14:textId="77777777" w:rsidR="00D8138E" w:rsidRPr="00EA746C" w:rsidRDefault="00D8138E">
            <w:pPr>
              <w:pStyle w:val="TableTextLeft"/>
              <w:spacing w:after="60"/>
            </w:pPr>
            <w:r w:rsidRPr="00EA746C">
              <w:t>ABS GFS</w:t>
            </w:r>
          </w:p>
        </w:tc>
      </w:tr>
    </w:tbl>
    <w:p w14:paraId="79C21D05" w14:textId="77777777" w:rsidR="00D8138E" w:rsidRDefault="00D8138E" w:rsidP="00D8138E">
      <w:pPr>
        <w:spacing w:before="0" w:after="160" w:line="259" w:lineRule="auto"/>
        <w:rPr>
          <w:rFonts w:ascii="Arial Bold" w:hAnsi="Arial Bold"/>
          <w:b/>
          <w:sz w:val="20"/>
        </w:rPr>
      </w:pPr>
      <w:r>
        <w:br w:type="page"/>
      </w:r>
    </w:p>
    <w:p w14:paraId="26E04559" w14:textId="2F9D0C67" w:rsidR="00D8138E" w:rsidRDefault="00A96E0D" w:rsidP="00D8138E">
      <w:pPr>
        <w:pStyle w:val="TableHeadingcontinued"/>
      </w:pPr>
      <w:r>
        <w:lastRenderedPageBreak/>
        <w:t>Table </w:t>
      </w:r>
      <w:r w:rsidR="009A548A">
        <w:t>10.</w:t>
      </w:r>
      <w:r w:rsidR="00D8138E" w:rsidRPr="00EA746C">
        <w:t>13: Major differences between AAS and ABS GFS (continued)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F4FEFE"/>
        <w:tblLayout w:type="fixed"/>
        <w:tblLook w:val="0020" w:firstRow="1" w:lastRow="0" w:firstColumn="0" w:lastColumn="0" w:noHBand="0" w:noVBand="0"/>
        <w:tblCaption w:val="Table"/>
      </w:tblPr>
      <w:tblGrid>
        <w:gridCol w:w="1621"/>
        <w:gridCol w:w="2432"/>
        <w:gridCol w:w="2432"/>
        <w:gridCol w:w="1215"/>
      </w:tblGrid>
      <w:tr w:rsidR="00D8138E" w:rsidRPr="00EA746C" w14:paraId="28B41AF5" w14:textId="77777777">
        <w:trPr>
          <w:trHeight w:val="170"/>
          <w:tblHeader/>
        </w:trPr>
        <w:tc>
          <w:tcPr>
            <w:tcW w:w="1053" w:type="pct"/>
            <w:shd w:val="clear" w:color="auto" w:fill="E6F2FF"/>
          </w:tcPr>
          <w:p w14:paraId="04D13CFB" w14:textId="77777777" w:rsidR="00D8138E" w:rsidRPr="00EA746C" w:rsidRDefault="00D8138E">
            <w:pPr>
              <w:pStyle w:val="TableColumnHeadingLeft"/>
            </w:pPr>
            <w:r w:rsidRPr="00EA746C">
              <w:t>Issue</w:t>
            </w:r>
          </w:p>
        </w:tc>
        <w:tc>
          <w:tcPr>
            <w:tcW w:w="1579" w:type="pct"/>
            <w:shd w:val="clear" w:color="auto" w:fill="E6F2FF"/>
          </w:tcPr>
          <w:p w14:paraId="6A1D0DE5" w14:textId="77777777" w:rsidR="00D8138E" w:rsidRPr="00EA746C" w:rsidRDefault="00D8138E">
            <w:pPr>
              <w:pStyle w:val="TableColumnHeadingLeft"/>
            </w:pPr>
            <w:r w:rsidRPr="00EA746C">
              <w:t>AAS treatment</w:t>
            </w:r>
          </w:p>
        </w:tc>
        <w:tc>
          <w:tcPr>
            <w:tcW w:w="1579" w:type="pct"/>
            <w:shd w:val="clear" w:color="auto" w:fill="E6F2FF"/>
          </w:tcPr>
          <w:p w14:paraId="77AB0A8A" w14:textId="77777777" w:rsidR="00D8138E" w:rsidRPr="00EA746C" w:rsidRDefault="00D8138E">
            <w:pPr>
              <w:pStyle w:val="TableColumnHeadingLeft"/>
            </w:pPr>
            <w:r w:rsidRPr="00EA746C">
              <w:t>ABS GFS treatment</w:t>
            </w:r>
          </w:p>
        </w:tc>
        <w:tc>
          <w:tcPr>
            <w:tcW w:w="789" w:type="pct"/>
            <w:shd w:val="clear" w:color="auto" w:fill="E6F2FF"/>
          </w:tcPr>
          <w:p w14:paraId="77C0561A" w14:textId="77777777" w:rsidR="00D8138E" w:rsidRPr="00EA746C" w:rsidRDefault="00D8138E">
            <w:pPr>
              <w:pStyle w:val="TableColumnHeadingLeft"/>
            </w:pPr>
            <w:r w:rsidRPr="00EA746C">
              <w:t>Treatment adopted</w:t>
            </w:r>
          </w:p>
        </w:tc>
      </w:tr>
      <w:tr w:rsidR="00D8138E" w:rsidRPr="00EA746C" w14:paraId="6F6D63E7" w14:textId="77777777">
        <w:trPr>
          <w:trHeight w:val="170"/>
        </w:trPr>
        <w:tc>
          <w:tcPr>
            <w:tcW w:w="1053" w:type="pct"/>
            <w:shd w:val="clear" w:color="auto" w:fill="auto"/>
          </w:tcPr>
          <w:p w14:paraId="207AF80E" w14:textId="77777777" w:rsidR="00D8138E" w:rsidRPr="00EA746C" w:rsidRDefault="00D8138E">
            <w:pPr>
              <w:pStyle w:val="TableTextLeft"/>
              <w:spacing w:after="60"/>
            </w:pPr>
            <w:r w:rsidRPr="00EA746C">
              <w:t>Spectrum sales</w:t>
            </w:r>
          </w:p>
        </w:tc>
        <w:tc>
          <w:tcPr>
            <w:tcW w:w="1579" w:type="pct"/>
            <w:shd w:val="clear" w:color="auto" w:fill="auto"/>
          </w:tcPr>
          <w:p w14:paraId="288AFCC4" w14:textId="68EF4BDF" w:rsidR="00D8138E" w:rsidRPr="00EA746C" w:rsidRDefault="00D8138E">
            <w:pPr>
              <w:pStyle w:val="TableTextLeft"/>
              <w:spacing w:after="60"/>
            </w:pPr>
            <w:r w:rsidRPr="00EA746C">
              <w:t>Recognise non</w:t>
            </w:r>
            <w:r w:rsidR="00325E1E">
              <w:noBreakHyphen/>
            </w:r>
            <w:r w:rsidRPr="00EA746C">
              <w:t>financial asset sale for fiscal balance when licences take effect, which may be after the auction of licences, as this is regarded as the point at which control is transferred. Recognise cash at the time of receipt.</w:t>
            </w:r>
          </w:p>
        </w:tc>
        <w:tc>
          <w:tcPr>
            <w:tcW w:w="1579" w:type="pct"/>
            <w:shd w:val="clear" w:color="auto" w:fill="auto"/>
          </w:tcPr>
          <w:p w14:paraId="770FB036" w14:textId="61CFD4C1" w:rsidR="00D8138E" w:rsidRPr="00EA746C" w:rsidRDefault="00D8138E">
            <w:pPr>
              <w:pStyle w:val="TableTextLeft"/>
              <w:spacing w:after="60"/>
            </w:pPr>
            <w:r w:rsidRPr="00EA746C">
              <w:t>Recognise non</w:t>
            </w:r>
            <w:r w:rsidR="00325E1E">
              <w:noBreakHyphen/>
            </w:r>
            <w:r w:rsidRPr="00EA746C">
              <w:t>financial asset sale for fiscal balance at time of auction as this is regarded as the point at which control is transferred. Recognise cash at the time of receipt.</w:t>
            </w:r>
          </w:p>
        </w:tc>
        <w:tc>
          <w:tcPr>
            <w:tcW w:w="789" w:type="pct"/>
            <w:shd w:val="clear" w:color="auto" w:fill="auto"/>
          </w:tcPr>
          <w:p w14:paraId="2FE7EC9F" w14:textId="77777777" w:rsidR="00D8138E" w:rsidRPr="00EA746C" w:rsidRDefault="00D8138E">
            <w:pPr>
              <w:pStyle w:val="TableTextLeft"/>
              <w:spacing w:after="60"/>
            </w:pPr>
            <w:r w:rsidRPr="00EA746C">
              <w:t>AAS</w:t>
            </w:r>
          </w:p>
        </w:tc>
      </w:tr>
      <w:tr w:rsidR="00D8138E" w:rsidRPr="00EA746C" w14:paraId="481C9417" w14:textId="77777777">
        <w:trPr>
          <w:trHeight w:val="170"/>
        </w:trPr>
        <w:tc>
          <w:tcPr>
            <w:tcW w:w="1053" w:type="pct"/>
            <w:shd w:val="clear" w:color="auto" w:fill="auto"/>
          </w:tcPr>
          <w:p w14:paraId="529E9472" w14:textId="178F01D0" w:rsidR="00D8138E" w:rsidRPr="00EA746C" w:rsidRDefault="00D8138E">
            <w:pPr>
              <w:pStyle w:val="TableTextLeft"/>
              <w:spacing w:after="60"/>
            </w:pPr>
            <w:r>
              <w:t>Classification of Australian Government funding of non</w:t>
            </w:r>
            <w:r w:rsidR="00325E1E">
              <w:noBreakHyphen/>
            </w:r>
            <w:r>
              <w:t>government schools</w:t>
            </w:r>
          </w:p>
        </w:tc>
        <w:tc>
          <w:tcPr>
            <w:tcW w:w="1579" w:type="pct"/>
            <w:shd w:val="clear" w:color="auto" w:fill="auto"/>
          </w:tcPr>
          <w:p w14:paraId="28B1B940" w14:textId="77777777" w:rsidR="00D8138E" w:rsidRPr="00EA746C" w:rsidRDefault="00D8138E">
            <w:pPr>
              <w:pStyle w:val="TableTextLeft"/>
              <w:spacing w:after="60"/>
            </w:pPr>
            <w:r w:rsidRPr="00EA746C">
              <w:t>Direct grants to states and territories made in accordance with bilateral agreements with the Commonwealth and consistent with section 96 of the Constitution.</w:t>
            </w:r>
          </w:p>
        </w:tc>
        <w:tc>
          <w:tcPr>
            <w:tcW w:w="1579" w:type="pct"/>
            <w:shd w:val="clear" w:color="auto" w:fill="auto"/>
          </w:tcPr>
          <w:p w14:paraId="451C8BF0" w14:textId="77777777" w:rsidR="00D8138E" w:rsidRPr="00EA746C" w:rsidRDefault="00D8138E">
            <w:pPr>
              <w:pStyle w:val="TableTextLeft"/>
              <w:spacing w:after="60"/>
            </w:pPr>
            <w:r w:rsidRPr="00EA746C">
              <w:t>Personal benefit payments – indirect included in goods and services expenses.</w:t>
            </w:r>
          </w:p>
        </w:tc>
        <w:tc>
          <w:tcPr>
            <w:tcW w:w="789" w:type="pct"/>
            <w:shd w:val="clear" w:color="auto" w:fill="auto"/>
          </w:tcPr>
          <w:p w14:paraId="73315F29" w14:textId="77777777" w:rsidR="00D8138E" w:rsidRPr="00EA746C" w:rsidRDefault="00D8138E">
            <w:pPr>
              <w:pStyle w:val="TableTextLeft"/>
              <w:spacing w:after="60"/>
            </w:pPr>
            <w:r w:rsidRPr="00EA746C">
              <w:t>AAS</w:t>
            </w:r>
          </w:p>
        </w:tc>
      </w:tr>
    </w:tbl>
    <w:p w14:paraId="00A58CB3" w14:textId="77777777" w:rsidR="00D8138E" w:rsidRPr="00EA746C" w:rsidRDefault="00D8138E" w:rsidP="00D8138E">
      <w:r w:rsidRPr="00EA746C">
        <w:br w:type="page"/>
      </w:r>
    </w:p>
    <w:tbl>
      <w:tblPr>
        <w:tblpPr w:leftFromText="180" w:rightFromText="180" w:vertAnchor="text" w:horzAnchor="margin" w:tblpY="250"/>
        <w:tblW w:w="7711" w:type="dxa"/>
        <w:tblLook w:val="04A0" w:firstRow="1" w:lastRow="0" w:firstColumn="1" w:lastColumn="0" w:noHBand="0" w:noVBand="1"/>
      </w:tblPr>
      <w:tblGrid>
        <w:gridCol w:w="3411"/>
        <w:gridCol w:w="860"/>
        <w:gridCol w:w="860"/>
        <w:gridCol w:w="860"/>
        <w:gridCol w:w="860"/>
        <w:gridCol w:w="860"/>
      </w:tblGrid>
      <w:tr w:rsidR="00615F38" w:rsidRPr="008C25B0" w14:paraId="2B61C827" w14:textId="77777777" w:rsidTr="00C53EF3">
        <w:trPr>
          <w:trHeight w:hRule="exact" w:val="227"/>
        </w:trPr>
        <w:tc>
          <w:tcPr>
            <w:tcW w:w="0" w:type="auto"/>
            <w:tcBorders>
              <w:top w:val="single" w:sz="4" w:space="0" w:color="293F5B"/>
              <w:left w:val="nil"/>
              <w:bottom w:val="nil"/>
              <w:right w:val="nil"/>
            </w:tcBorders>
            <w:shd w:val="clear" w:color="000000" w:fill="FFFFFF"/>
            <w:noWrap/>
            <w:vAlign w:val="center"/>
            <w:hideMark/>
          </w:tcPr>
          <w:p w14:paraId="27005824" w14:textId="77777777" w:rsidR="00615F38" w:rsidRPr="008C25B0" w:rsidRDefault="00615F38" w:rsidP="00C53EF3">
            <w:pPr>
              <w:rPr>
                <w:rFonts w:ascii="Arial" w:hAnsi="Arial" w:cs="Arial"/>
                <w:color w:val="000000"/>
                <w:sz w:val="16"/>
                <w:szCs w:val="16"/>
              </w:rPr>
            </w:pPr>
          </w:p>
        </w:tc>
        <w:tc>
          <w:tcPr>
            <w:tcW w:w="0" w:type="auto"/>
            <w:gridSpan w:val="5"/>
            <w:tcBorders>
              <w:top w:val="single" w:sz="4" w:space="0" w:color="293F5B"/>
              <w:left w:val="nil"/>
              <w:bottom w:val="single" w:sz="4" w:space="0" w:color="293F5B"/>
              <w:right w:val="nil"/>
            </w:tcBorders>
            <w:shd w:val="clear" w:color="000000" w:fill="FFFFFF"/>
            <w:noWrap/>
            <w:vAlign w:val="center"/>
            <w:hideMark/>
          </w:tcPr>
          <w:p w14:paraId="534223BC" w14:textId="77777777" w:rsidR="00615F38" w:rsidRPr="008C25B0" w:rsidRDefault="00615F38" w:rsidP="00C53EF3">
            <w:pPr>
              <w:spacing w:before="0" w:after="0" w:line="240" w:lineRule="auto"/>
              <w:jc w:val="center"/>
              <w:rPr>
                <w:rFonts w:ascii="Arial" w:hAnsi="Arial" w:cs="Arial"/>
                <w:sz w:val="16"/>
                <w:szCs w:val="16"/>
              </w:rPr>
            </w:pPr>
            <w:r w:rsidRPr="008C25B0">
              <w:rPr>
                <w:rFonts w:ascii="Arial" w:hAnsi="Arial" w:cs="Arial"/>
                <w:sz w:val="16"/>
                <w:szCs w:val="16"/>
              </w:rPr>
              <w:t>Estimates</w:t>
            </w:r>
          </w:p>
        </w:tc>
      </w:tr>
      <w:tr w:rsidR="00615F38" w:rsidRPr="008C25B0" w14:paraId="355F9DC1" w14:textId="77777777" w:rsidTr="00C53EF3">
        <w:trPr>
          <w:trHeight w:val="225"/>
        </w:trPr>
        <w:tc>
          <w:tcPr>
            <w:tcW w:w="0" w:type="auto"/>
            <w:tcBorders>
              <w:top w:val="nil"/>
              <w:left w:val="nil"/>
              <w:bottom w:val="nil"/>
              <w:right w:val="nil"/>
            </w:tcBorders>
            <w:shd w:val="clear" w:color="000000" w:fill="FFFFFF"/>
            <w:noWrap/>
            <w:vAlign w:val="center"/>
            <w:hideMark/>
          </w:tcPr>
          <w:p w14:paraId="61484660"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2CC0B249" w14:textId="4E2BA82B"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2023</w:t>
            </w:r>
            <w:r w:rsidR="00325E1E">
              <w:rPr>
                <w:rFonts w:ascii="Arial" w:hAnsi="Arial" w:cs="Arial"/>
                <w:sz w:val="16"/>
                <w:szCs w:val="16"/>
              </w:rPr>
              <w:noBreakHyphen/>
            </w:r>
            <w:r w:rsidRPr="008C25B0">
              <w:rPr>
                <w:rFonts w:ascii="Arial" w:hAnsi="Arial" w:cs="Arial"/>
                <w:sz w:val="16"/>
                <w:szCs w:val="16"/>
              </w:rPr>
              <w:t>24</w:t>
            </w:r>
          </w:p>
        </w:tc>
        <w:tc>
          <w:tcPr>
            <w:tcW w:w="0" w:type="auto"/>
            <w:tcBorders>
              <w:top w:val="nil"/>
              <w:left w:val="nil"/>
              <w:bottom w:val="nil"/>
              <w:right w:val="nil"/>
            </w:tcBorders>
            <w:shd w:val="clear" w:color="000000" w:fill="E6F2FF"/>
            <w:noWrap/>
            <w:vAlign w:val="center"/>
            <w:hideMark/>
          </w:tcPr>
          <w:p w14:paraId="77845316" w14:textId="41A2E6C3"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2024</w:t>
            </w:r>
            <w:r w:rsidR="00325E1E">
              <w:rPr>
                <w:rFonts w:ascii="Arial" w:hAnsi="Arial" w:cs="Arial"/>
                <w:sz w:val="16"/>
                <w:szCs w:val="16"/>
              </w:rPr>
              <w:noBreakHyphen/>
            </w:r>
            <w:r w:rsidRPr="008C25B0">
              <w:rPr>
                <w:rFonts w:ascii="Arial" w:hAnsi="Arial" w:cs="Arial"/>
                <w:sz w:val="16"/>
                <w:szCs w:val="16"/>
              </w:rPr>
              <w:t>25</w:t>
            </w:r>
          </w:p>
        </w:tc>
        <w:tc>
          <w:tcPr>
            <w:tcW w:w="0" w:type="auto"/>
            <w:tcBorders>
              <w:top w:val="nil"/>
              <w:left w:val="nil"/>
              <w:bottom w:val="nil"/>
              <w:right w:val="nil"/>
            </w:tcBorders>
            <w:shd w:val="clear" w:color="000000" w:fill="FFFFFF"/>
            <w:noWrap/>
            <w:vAlign w:val="center"/>
            <w:hideMark/>
          </w:tcPr>
          <w:p w14:paraId="2A747884" w14:textId="20C9EE20"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2025</w:t>
            </w:r>
            <w:r w:rsidR="00325E1E">
              <w:rPr>
                <w:rFonts w:ascii="Arial" w:hAnsi="Arial" w:cs="Arial"/>
                <w:sz w:val="16"/>
                <w:szCs w:val="16"/>
              </w:rPr>
              <w:noBreakHyphen/>
            </w:r>
            <w:r w:rsidRPr="008C25B0">
              <w:rPr>
                <w:rFonts w:ascii="Arial" w:hAnsi="Arial" w:cs="Arial"/>
                <w:sz w:val="16"/>
                <w:szCs w:val="16"/>
              </w:rPr>
              <w:t>26</w:t>
            </w:r>
          </w:p>
        </w:tc>
        <w:tc>
          <w:tcPr>
            <w:tcW w:w="0" w:type="auto"/>
            <w:tcBorders>
              <w:top w:val="nil"/>
              <w:left w:val="nil"/>
              <w:bottom w:val="nil"/>
              <w:right w:val="nil"/>
            </w:tcBorders>
            <w:shd w:val="clear" w:color="000000" w:fill="FFFFFF"/>
            <w:noWrap/>
            <w:vAlign w:val="center"/>
            <w:hideMark/>
          </w:tcPr>
          <w:p w14:paraId="51402DCE" w14:textId="6F0072AF"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2026</w:t>
            </w:r>
            <w:r w:rsidR="00325E1E">
              <w:rPr>
                <w:rFonts w:ascii="Arial" w:hAnsi="Arial" w:cs="Arial"/>
                <w:sz w:val="16"/>
                <w:szCs w:val="16"/>
              </w:rPr>
              <w:noBreakHyphen/>
            </w:r>
            <w:r w:rsidRPr="008C25B0">
              <w:rPr>
                <w:rFonts w:ascii="Arial" w:hAnsi="Arial" w:cs="Arial"/>
                <w:sz w:val="16"/>
                <w:szCs w:val="16"/>
              </w:rPr>
              <w:t>27</w:t>
            </w:r>
          </w:p>
        </w:tc>
        <w:tc>
          <w:tcPr>
            <w:tcW w:w="0" w:type="auto"/>
            <w:tcBorders>
              <w:top w:val="nil"/>
              <w:left w:val="nil"/>
              <w:bottom w:val="nil"/>
              <w:right w:val="nil"/>
            </w:tcBorders>
            <w:shd w:val="clear" w:color="000000" w:fill="FFFFFF"/>
            <w:noWrap/>
            <w:vAlign w:val="center"/>
            <w:hideMark/>
          </w:tcPr>
          <w:p w14:paraId="262A071D" w14:textId="51617DB3"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2027</w:t>
            </w:r>
            <w:r w:rsidR="00325E1E">
              <w:rPr>
                <w:rFonts w:ascii="Arial" w:hAnsi="Arial" w:cs="Arial"/>
                <w:color w:val="000000"/>
                <w:sz w:val="16"/>
                <w:szCs w:val="16"/>
              </w:rPr>
              <w:noBreakHyphen/>
            </w:r>
            <w:r w:rsidRPr="008C25B0">
              <w:rPr>
                <w:rFonts w:ascii="Arial" w:hAnsi="Arial" w:cs="Arial"/>
                <w:color w:val="000000"/>
                <w:sz w:val="16"/>
                <w:szCs w:val="16"/>
              </w:rPr>
              <w:t>28</w:t>
            </w:r>
          </w:p>
        </w:tc>
      </w:tr>
      <w:tr w:rsidR="00615F38" w:rsidRPr="008C25B0" w14:paraId="1A6448BC" w14:textId="77777777" w:rsidTr="00C53EF3">
        <w:trPr>
          <w:trHeight w:val="225"/>
        </w:trPr>
        <w:tc>
          <w:tcPr>
            <w:tcW w:w="0" w:type="auto"/>
            <w:tcBorders>
              <w:top w:val="nil"/>
              <w:left w:val="nil"/>
              <w:bottom w:val="nil"/>
              <w:right w:val="nil"/>
            </w:tcBorders>
            <w:shd w:val="clear" w:color="000000" w:fill="FFFFFF"/>
            <w:noWrap/>
            <w:vAlign w:val="center"/>
            <w:hideMark/>
          </w:tcPr>
          <w:p w14:paraId="3033D420"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single" w:sz="4" w:space="0" w:color="293F5B"/>
              <w:right w:val="nil"/>
            </w:tcBorders>
            <w:shd w:val="clear" w:color="000000" w:fill="FFFFFF"/>
            <w:noWrap/>
            <w:vAlign w:val="center"/>
            <w:hideMark/>
          </w:tcPr>
          <w:p w14:paraId="4F5D8F6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E6F2FF"/>
            <w:noWrap/>
            <w:vAlign w:val="center"/>
            <w:hideMark/>
          </w:tcPr>
          <w:p w14:paraId="5352B8E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278C845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54BE7C5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2AB5C57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$m</w:t>
            </w:r>
          </w:p>
        </w:tc>
      </w:tr>
      <w:tr w:rsidR="00615F38" w:rsidRPr="008C25B0" w14:paraId="4CE339B8" w14:textId="77777777" w:rsidTr="00C53EF3">
        <w:trPr>
          <w:trHeight w:val="225"/>
        </w:trPr>
        <w:tc>
          <w:tcPr>
            <w:tcW w:w="0" w:type="auto"/>
            <w:tcBorders>
              <w:top w:val="nil"/>
              <w:left w:val="nil"/>
              <w:bottom w:val="nil"/>
              <w:right w:val="nil"/>
            </w:tcBorders>
            <w:shd w:val="clear" w:color="000000" w:fill="FFFFFF"/>
            <w:noWrap/>
            <w:vAlign w:val="center"/>
            <w:hideMark/>
          </w:tcPr>
          <w:p w14:paraId="14470F1E"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Individuals and other withholding taxes</w:t>
            </w:r>
          </w:p>
        </w:tc>
        <w:tc>
          <w:tcPr>
            <w:tcW w:w="0" w:type="auto"/>
            <w:tcBorders>
              <w:top w:val="nil"/>
              <w:left w:val="nil"/>
              <w:bottom w:val="nil"/>
              <w:right w:val="nil"/>
            </w:tcBorders>
            <w:shd w:val="clear" w:color="000000" w:fill="FFFFFF"/>
            <w:noWrap/>
            <w:vAlign w:val="center"/>
            <w:hideMark/>
          </w:tcPr>
          <w:p w14:paraId="051BBBEE" w14:textId="77777777" w:rsidR="00615F38" w:rsidRPr="008C25B0" w:rsidRDefault="00615F38" w:rsidP="00C53EF3">
            <w:pPr>
              <w:spacing w:before="0" w:after="0" w:line="240" w:lineRule="auto"/>
              <w:jc w:val="center"/>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14055E9F" w14:textId="77777777" w:rsidR="00615F38" w:rsidRPr="008C25B0" w:rsidRDefault="00615F38" w:rsidP="00C53EF3">
            <w:pPr>
              <w:spacing w:before="0" w:after="0" w:line="240" w:lineRule="auto"/>
              <w:jc w:val="center"/>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2D0BC657" w14:textId="77777777" w:rsidR="00615F38" w:rsidRPr="008C25B0" w:rsidRDefault="00615F38" w:rsidP="00C53EF3">
            <w:pPr>
              <w:spacing w:before="0" w:after="0" w:line="240" w:lineRule="auto"/>
              <w:jc w:val="center"/>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37C4C382" w14:textId="77777777" w:rsidR="00615F38" w:rsidRPr="008C25B0" w:rsidRDefault="00615F38" w:rsidP="00C53EF3">
            <w:pPr>
              <w:spacing w:before="0" w:after="0" w:line="240" w:lineRule="auto"/>
              <w:jc w:val="center"/>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128D2C25" w14:textId="77777777" w:rsidR="00615F38" w:rsidRPr="008C25B0" w:rsidRDefault="00615F38" w:rsidP="00C53EF3">
            <w:pPr>
              <w:spacing w:before="0" w:after="0" w:line="240" w:lineRule="auto"/>
              <w:jc w:val="center"/>
              <w:rPr>
                <w:rFonts w:ascii="Arial" w:hAnsi="Arial" w:cs="Arial"/>
                <w:color w:val="000000"/>
                <w:sz w:val="16"/>
                <w:szCs w:val="16"/>
              </w:rPr>
            </w:pPr>
            <w:r w:rsidRPr="008C25B0">
              <w:rPr>
                <w:rFonts w:ascii="Arial" w:hAnsi="Arial" w:cs="Arial"/>
                <w:color w:val="000000"/>
                <w:sz w:val="16"/>
                <w:szCs w:val="16"/>
              </w:rPr>
              <w:t> </w:t>
            </w:r>
          </w:p>
        </w:tc>
      </w:tr>
      <w:tr w:rsidR="00615F38" w:rsidRPr="008C25B0" w14:paraId="2F47B8EA" w14:textId="77777777" w:rsidTr="00C53EF3">
        <w:trPr>
          <w:trHeight w:val="225"/>
        </w:trPr>
        <w:tc>
          <w:tcPr>
            <w:tcW w:w="0" w:type="auto"/>
            <w:tcBorders>
              <w:top w:val="nil"/>
              <w:left w:val="nil"/>
              <w:bottom w:val="nil"/>
              <w:right w:val="nil"/>
            </w:tcBorders>
            <w:shd w:val="clear" w:color="000000" w:fill="FFFFFF"/>
            <w:noWrap/>
            <w:vAlign w:val="center"/>
            <w:hideMark/>
          </w:tcPr>
          <w:p w14:paraId="442A1D1D" w14:textId="77777777" w:rsidR="00615F38" w:rsidRPr="008C25B0" w:rsidRDefault="00615F38" w:rsidP="00C53EF3">
            <w:pPr>
              <w:spacing w:before="0" w:after="0" w:line="240" w:lineRule="auto"/>
              <w:ind w:firstLineChars="100" w:firstLine="160"/>
              <w:rPr>
                <w:rFonts w:ascii="Arial" w:hAnsi="Arial" w:cs="Arial"/>
                <w:color w:val="000000"/>
                <w:sz w:val="16"/>
                <w:szCs w:val="16"/>
              </w:rPr>
            </w:pPr>
            <w:r w:rsidRPr="008C25B0">
              <w:rPr>
                <w:rFonts w:ascii="Arial" w:hAnsi="Arial" w:cs="Arial"/>
                <w:color w:val="000000"/>
                <w:sz w:val="16"/>
                <w:szCs w:val="16"/>
              </w:rPr>
              <w:t>Gross income tax withholding</w:t>
            </w:r>
          </w:p>
        </w:tc>
        <w:tc>
          <w:tcPr>
            <w:tcW w:w="0" w:type="auto"/>
            <w:tcBorders>
              <w:top w:val="nil"/>
              <w:left w:val="nil"/>
              <w:bottom w:val="nil"/>
              <w:right w:val="nil"/>
            </w:tcBorders>
            <w:shd w:val="clear" w:color="000000" w:fill="FFFFFF"/>
            <w:noWrap/>
            <w:vAlign w:val="center"/>
            <w:hideMark/>
          </w:tcPr>
          <w:p w14:paraId="1EABB023"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299,400</w:t>
            </w:r>
          </w:p>
        </w:tc>
        <w:tc>
          <w:tcPr>
            <w:tcW w:w="0" w:type="auto"/>
            <w:tcBorders>
              <w:top w:val="nil"/>
              <w:left w:val="nil"/>
              <w:bottom w:val="nil"/>
              <w:right w:val="nil"/>
            </w:tcBorders>
            <w:shd w:val="clear" w:color="000000" w:fill="E6F2FF"/>
            <w:noWrap/>
            <w:vAlign w:val="center"/>
            <w:hideMark/>
          </w:tcPr>
          <w:p w14:paraId="3B90F6F2"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293,700</w:t>
            </w:r>
          </w:p>
        </w:tc>
        <w:tc>
          <w:tcPr>
            <w:tcW w:w="0" w:type="auto"/>
            <w:tcBorders>
              <w:top w:val="nil"/>
              <w:left w:val="nil"/>
              <w:bottom w:val="nil"/>
              <w:right w:val="nil"/>
            </w:tcBorders>
            <w:shd w:val="clear" w:color="000000" w:fill="FFFFFF"/>
            <w:noWrap/>
            <w:vAlign w:val="center"/>
            <w:hideMark/>
          </w:tcPr>
          <w:p w14:paraId="435E7FA6"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308,500</w:t>
            </w:r>
          </w:p>
        </w:tc>
        <w:tc>
          <w:tcPr>
            <w:tcW w:w="0" w:type="auto"/>
            <w:tcBorders>
              <w:top w:val="nil"/>
              <w:left w:val="nil"/>
              <w:bottom w:val="nil"/>
              <w:right w:val="nil"/>
            </w:tcBorders>
            <w:shd w:val="clear" w:color="000000" w:fill="FFFFFF"/>
            <w:noWrap/>
            <w:vAlign w:val="center"/>
            <w:hideMark/>
          </w:tcPr>
          <w:p w14:paraId="1B53E610"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327,100</w:t>
            </w:r>
          </w:p>
        </w:tc>
        <w:tc>
          <w:tcPr>
            <w:tcW w:w="0" w:type="auto"/>
            <w:tcBorders>
              <w:top w:val="nil"/>
              <w:left w:val="nil"/>
              <w:bottom w:val="nil"/>
              <w:right w:val="nil"/>
            </w:tcBorders>
            <w:shd w:val="clear" w:color="000000" w:fill="FFFFFF"/>
            <w:noWrap/>
            <w:vAlign w:val="center"/>
            <w:hideMark/>
          </w:tcPr>
          <w:p w14:paraId="7CADB6B8"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349,900</w:t>
            </w:r>
          </w:p>
        </w:tc>
      </w:tr>
      <w:tr w:rsidR="00615F38" w:rsidRPr="008C25B0" w14:paraId="26705342" w14:textId="77777777" w:rsidTr="00C53EF3">
        <w:trPr>
          <w:trHeight w:val="225"/>
        </w:trPr>
        <w:tc>
          <w:tcPr>
            <w:tcW w:w="0" w:type="auto"/>
            <w:tcBorders>
              <w:top w:val="nil"/>
              <w:left w:val="nil"/>
              <w:bottom w:val="nil"/>
              <w:right w:val="nil"/>
            </w:tcBorders>
            <w:shd w:val="clear" w:color="000000" w:fill="FFFFFF"/>
            <w:noWrap/>
            <w:vAlign w:val="center"/>
            <w:hideMark/>
          </w:tcPr>
          <w:p w14:paraId="6D8DBD73" w14:textId="77777777" w:rsidR="00615F38" w:rsidRPr="008C25B0" w:rsidRDefault="00615F38" w:rsidP="00C53EF3">
            <w:pPr>
              <w:spacing w:before="0" w:after="0" w:line="240" w:lineRule="auto"/>
              <w:ind w:firstLineChars="100" w:firstLine="160"/>
              <w:rPr>
                <w:rFonts w:ascii="Arial" w:hAnsi="Arial" w:cs="Arial"/>
                <w:color w:val="000000"/>
                <w:sz w:val="16"/>
                <w:szCs w:val="16"/>
              </w:rPr>
            </w:pPr>
            <w:r w:rsidRPr="008C25B0">
              <w:rPr>
                <w:rFonts w:ascii="Arial" w:hAnsi="Arial" w:cs="Arial"/>
                <w:color w:val="000000"/>
                <w:sz w:val="16"/>
                <w:szCs w:val="16"/>
              </w:rPr>
              <w:t>Gross other individuals</w:t>
            </w:r>
          </w:p>
        </w:tc>
        <w:tc>
          <w:tcPr>
            <w:tcW w:w="0" w:type="auto"/>
            <w:tcBorders>
              <w:top w:val="nil"/>
              <w:left w:val="nil"/>
              <w:bottom w:val="nil"/>
              <w:right w:val="nil"/>
            </w:tcBorders>
            <w:shd w:val="clear" w:color="000000" w:fill="FFFFFF"/>
            <w:noWrap/>
            <w:vAlign w:val="center"/>
            <w:hideMark/>
          </w:tcPr>
          <w:p w14:paraId="71A9D9D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81,500</w:t>
            </w:r>
          </w:p>
        </w:tc>
        <w:tc>
          <w:tcPr>
            <w:tcW w:w="0" w:type="auto"/>
            <w:tcBorders>
              <w:top w:val="nil"/>
              <w:left w:val="nil"/>
              <w:bottom w:val="nil"/>
              <w:right w:val="nil"/>
            </w:tcBorders>
            <w:shd w:val="clear" w:color="000000" w:fill="E6F2FF"/>
            <w:noWrap/>
            <w:vAlign w:val="center"/>
            <w:hideMark/>
          </w:tcPr>
          <w:p w14:paraId="1C15F64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82,500</w:t>
            </w:r>
          </w:p>
        </w:tc>
        <w:tc>
          <w:tcPr>
            <w:tcW w:w="0" w:type="auto"/>
            <w:tcBorders>
              <w:top w:val="nil"/>
              <w:left w:val="nil"/>
              <w:bottom w:val="nil"/>
              <w:right w:val="nil"/>
            </w:tcBorders>
            <w:shd w:val="clear" w:color="000000" w:fill="FFFFFF"/>
            <w:noWrap/>
            <w:vAlign w:val="center"/>
            <w:hideMark/>
          </w:tcPr>
          <w:p w14:paraId="1195C30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85,900</w:t>
            </w:r>
          </w:p>
        </w:tc>
        <w:tc>
          <w:tcPr>
            <w:tcW w:w="0" w:type="auto"/>
            <w:tcBorders>
              <w:top w:val="nil"/>
              <w:left w:val="nil"/>
              <w:bottom w:val="nil"/>
              <w:right w:val="nil"/>
            </w:tcBorders>
            <w:shd w:val="clear" w:color="000000" w:fill="FFFFFF"/>
            <w:noWrap/>
            <w:vAlign w:val="center"/>
            <w:hideMark/>
          </w:tcPr>
          <w:p w14:paraId="3968D1F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89,900</w:t>
            </w:r>
          </w:p>
        </w:tc>
        <w:tc>
          <w:tcPr>
            <w:tcW w:w="0" w:type="auto"/>
            <w:tcBorders>
              <w:top w:val="nil"/>
              <w:left w:val="nil"/>
              <w:bottom w:val="nil"/>
              <w:right w:val="nil"/>
            </w:tcBorders>
            <w:shd w:val="clear" w:color="000000" w:fill="FFFFFF"/>
            <w:noWrap/>
            <w:vAlign w:val="center"/>
            <w:hideMark/>
          </w:tcPr>
          <w:p w14:paraId="054AECE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98,200</w:t>
            </w:r>
          </w:p>
        </w:tc>
      </w:tr>
      <w:tr w:rsidR="00615F38" w:rsidRPr="008C25B0" w14:paraId="4EFB1C44" w14:textId="77777777" w:rsidTr="00C53EF3">
        <w:trPr>
          <w:trHeight w:val="225"/>
        </w:trPr>
        <w:tc>
          <w:tcPr>
            <w:tcW w:w="0" w:type="auto"/>
            <w:tcBorders>
              <w:top w:val="nil"/>
              <w:left w:val="nil"/>
              <w:bottom w:val="nil"/>
              <w:right w:val="nil"/>
            </w:tcBorders>
            <w:shd w:val="clear" w:color="000000" w:fill="FFFFFF"/>
            <w:noWrap/>
            <w:vAlign w:val="center"/>
            <w:hideMark/>
          </w:tcPr>
          <w:p w14:paraId="3E36DAED" w14:textId="77777777" w:rsidR="00615F38" w:rsidRPr="008C25B0" w:rsidRDefault="00615F38" w:rsidP="00C53EF3">
            <w:pPr>
              <w:spacing w:before="0" w:after="0" w:line="240" w:lineRule="auto"/>
              <w:ind w:firstLineChars="100" w:firstLine="160"/>
              <w:rPr>
                <w:rFonts w:ascii="Arial" w:hAnsi="Arial" w:cs="Arial"/>
                <w:i/>
                <w:iCs/>
                <w:sz w:val="16"/>
                <w:szCs w:val="16"/>
              </w:rPr>
            </w:pPr>
            <w:r w:rsidRPr="008C25B0">
              <w:rPr>
                <w:rFonts w:ascii="Arial" w:hAnsi="Arial" w:cs="Arial"/>
                <w:i/>
                <w:iCs/>
                <w:sz w:val="16"/>
                <w:szCs w:val="16"/>
              </w:rPr>
              <w:t>less:</w:t>
            </w:r>
            <w:r w:rsidRPr="008C25B0">
              <w:rPr>
                <w:rFonts w:ascii="Arial" w:hAnsi="Arial" w:cs="Arial"/>
                <w:sz w:val="16"/>
                <w:szCs w:val="16"/>
              </w:rPr>
              <w:t xml:space="preserve"> Refunds</w:t>
            </w:r>
          </w:p>
        </w:tc>
        <w:tc>
          <w:tcPr>
            <w:tcW w:w="0" w:type="auto"/>
            <w:tcBorders>
              <w:top w:val="nil"/>
              <w:left w:val="nil"/>
              <w:bottom w:val="single" w:sz="4" w:space="0" w:color="293F5B"/>
              <w:right w:val="nil"/>
            </w:tcBorders>
            <w:shd w:val="clear" w:color="000000" w:fill="FFFFFF"/>
            <w:noWrap/>
            <w:vAlign w:val="center"/>
            <w:hideMark/>
          </w:tcPr>
          <w:p w14:paraId="597988A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37,500</w:t>
            </w:r>
          </w:p>
        </w:tc>
        <w:tc>
          <w:tcPr>
            <w:tcW w:w="0" w:type="auto"/>
            <w:tcBorders>
              <w:top w:val="nil"/>
              <w:left w:val="nil"/>
              <w:bottom w:val="single" w:sz="4" w:space="0" w:color="293F5B"/>
              <w:right w:val="nil"/>
            </w:tcBorders>
            <w:shd w:val="clear" w:color="000000" w:fill="E6F2FF"/>
            <w:noWrap/>
            <w:vAlign w:val="center"/>
            <w:hideMark/>
          </w:tcPr>
          <w:p w14:paraId="267CE86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40,600</w:t>
            </w:r>
          </w:p>
        </w:tc>
        <w:tc>
          <w:tcPr>
            <w:tcW w:w="0" w:type="auto"/>
            <w:tcBorders>
              <w:top w:val="nil"/>
              <w:left w:val="nil"/>
              <w:bottom w:val="single" w:sz="4" w:space="0" w:color="293F5B"/>
              <w:right w:val="nil"/>
            </w:tcBorders>
            <w:shd w:val="clear" w:color="000000" w:fill="FFFFFF"/>
            <w:noWrap/>
            <w:vAlign w:val="center"/>
            <w:hideMark/>
          </w:tcPr>
          <w:p w14:paraId="20ECA0E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41,700</w:t>
            </w:r>
          </w:p>
        </w:tc>
        <w:tc>
          <w:tcPr>
            <w:tcW w:w="0" w:type="auto"/>
            <w:tcBorders>
              <w:top w:val="nil"/>
              <w:left w:val="nil"/>
              <w:bottom w:val="single" w:sz="4" w:space="0" w:color="293F5B"/>
              <w:right w:val="nil"/>
            </w:tcBorders>
            <w:shd w:val="clear" w:color="000000" w:fill="FFFFFF"/>
            <w:noWrap/>
            <w:vAlign w:val="center"/>
            <w:hideMark/>
          </w:tcPr>
          <w:p w14:paraId="30E6279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42,800</w:t>
            </w:r>
          </w:p>
        </w:tc>
        <w:tc>
          <w:tcPr>
            <w:tcW w:w="0" w:type="auto"/>
            <w:tcBorders>
              <w:top w:val="nil"/>
              <w:left w:val="nil"/>
              <w:bottom w:val="single" w:sz="4" w:space="0" w:color="293F5B"/>
              <w:right w:val="nil"/>
            </w:tcBorders>
            <w:shd w:val="clear" w:color="000000" w:fill="FFFFFF"/>
            <w:noWrap/>
            <w:vAlign w:val="center"/>
            <w:hideMark/>
          </w:tcPr>
          <w:p w14:paraId="088AC6D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44,300</w:t>
            </w:r>
          </w:p>
        </w:tc>
      </w:tr>
      <w:tr w:rsidR="00615F38" w:rsidRPr="008C25B0" w14:paraId="59A82F30" w14:textId="77777777" w:rsidTr="00C53EF3">
        <w:trPr>
          <w:trHeight w:val="225"/>
        </w:trPr>
        <w:tc>
          <w:tcPr>
            <w:tcW w:w="0" w:type="auto"/>
            <w:tcBorders>
              <w:top w:val="nil"/>
              <w:left w:val="nil"/>
              <w:bottom w:val="nil"/>
              <w:right w:val="nil"/>
            </w:tcBorders>
            <w:shd w:val="clear" w:color="000000" w:fill="FFFFFF"/>
            <w:noWrap/>
            <w:vAlign w:val="center"/>
            <w:hideMark/>
          </w:tcPr>
          <w:p w14:paraId="127847B4"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Total individuals and other withholding tax</w:t>
            </w:r>
          </w:p>
        </w:tc>
        <w:tc>
          <w:tcPr>
            <w:tcW w:w="0" w:type="auto"/>
            <w:tcBorders>
              <w:top w:val="nil"/>
              <w:left w:val="nil"/>
              <w:bottom w:val="nil"/>
              <w:right w:val="nil"/>
            </w:tcBorders>
            <w:shd w:val="clear" w:color="000000" w:fill="FFFFFF"/>
            <w:noWrap/>
            <w:vAlign w:val="center"/>
            <w:hideMark/>
          </w:tcPr>
          <w:p w14:paraId="2B63868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343,400</w:t>
            </w:r>
          </w:p>
        </w:tc>
        <w:tc>
          <w:tcPr>
            <w:tcW w:w="0" w:type="auto"/>
            <w:tcBorders>
              <w:top w:val="nil"/>
              <w:left w:val="nil"/>
              <w:bottom w:val="nil"/>
              <w:right w:val="nil"/>
            </w:tcBorders>
            <w:shd w:val="clear" w:color="000000" w:fill="E6F2FF"/>
            <w:noWrap/>
            <w:vAlign w:val="center"/>
            <w:hideMark/>
          </w:tcPr>
          <w:p w14:paraId="242DB7F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335,600</w:t>
            </w:r>
          </w:p>
        </w:tc>
        <w:tc>
          <w:tcPr>
            <w:tcW w:w="0" w:type="auto"/>
            <w:tcBorders>
              <w:top w:val="nil"/>
              <w:left w:val="nil"/>
              <w:bottom w:val="nil"/>
              <w:right w:val="nil"/>
            </w:tcBorders>
            <w:shd w:val="clear" w:color="000000" w:fill="FFFFFF"/>
            <w:noWrap/>
            <w:vAlign w:val="center"/>
            <w:hideMark/>
          </w:tcPr>
          <w:p w14:paraId="08F7A2C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352,700</w:t>
            </w:r>
          </w:p>
        </w:tc>
        <w:tc>
          <w:tcPr>
            <w:tcW w:w="0" w:type="auto"/>
            <w:tcBorders>
              <w:top w:val="nil"/>
              <w:left w:val="nil"/>
              <w:bottom w:val="nil"/>
              <w:right w:val="nil"/>
            </w:tcBorders>
            <w:shd w:val="clear" w:color="000000" w:fill="FFFFFF"/>
            <w:noWrap/>
            <w:vAlign w:val="center"/>
            <w:hideMark/>
          </w:tcPr>
          <w:p w14:paraId="1F2B6AA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374,200</w:t>
            </w:r>
          </w:p>
        </w:tc>
        <w:tc>
          <w:tcPr>
            <w:tcW w:w="0" w:type="auto"/>
            <w:tcBorders>
              <w:top w:val="nil"/>
              <w:left w:val="nil"/>
              <w:bottom w:val="nil"/>
              <w:right w:val="nil"/>
            </w:tcBorders>
            <w:shd w:val="clear" w:color="000000" w:fill="FFFFFF"/>
            <w:noWrap/>
            <w:vAlign w:val="center"/>
            <w:hideMark/>
          </w:tcPr>
          <w:p w14:paraId="5FA8614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403,800</w:t>
            </w:r>
          </w:p>
        </w:tc>
      </w:tr>
      <w:tr w:rsidR="00615F38" w:rsidRPr="008C25B0" w14:paraId="606B68CC" w14:textId="77777777" w:rsidTr="00C53EF3">
        <w:trPr>
          <w:trHeight w:val="225"/>
        </w:trPr>
        <w:tc>
          <w:tcPr>
            <w:tcW w:w="0" w:type="auto"/>
            <w:tcBorders>
              <w:top w:val="nil"/>
              <w:left w:val="nil"/>
              <w:bottom w:val="nil"/>
              <w:right w:val="nil"/>
            </w:tcBorders>
            <w:shd w:val="clear" w:color="000000" w:fill="FFFFFF"/>
            <w:noWrap/>
            <w:vAlign w:val="center"/>
            <w:hideMark/>
          </w:tcPr>
          <w:p w14:paraId="24273B33"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Fringe benefits tax</w:t>
            </w:r>
          </w:p>
        </w:tc>
        <w:tc>
          <w:tcPr>
            <w:tcW w:w="0" w:type="auto"/>
            <w:tcBorders>
              <w:top w:val="nil"/>
              <w:left w:val="nil"/>
              <w:bottom w:val="nil"/>
              <w:right w:val="nil"/>
            </w:tcBorders>
            <w:shd w:val="clear" w:color="000000" w:fill="FFFFFF"/>
            <w:noWrap/>
            <w:vAlign w:val="center"/>
            <w:hideMark/>
          </w:tcPr>
          <w:p w14:paraId="1016E98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4,280</w:t>
            </w:r>
          </w:p>
        </w:tc>
        <w:tc>
          <w:tcPr>
            <w:tcW w:w="0" w:type="auto"/>
            <w:tcBorders>
              <w:top w:val="nil"/>
              <w:left w:val="nil"/>
              <w:bottom w:val="nil"/>
              <w:right w:val="nil"/>
            </w:tcBorders>
            <w:shd w:val="clear" w:color="000000" w:fill="E6F2FF"/>
            <w:noWrap/>
            <w:vAlign w:val="center"/>
            <w:hideMark/>
          </w:tcPr>
          <w:p w14:paraId="5A0A676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4,130</w:t>
            </w:r>
          </w:p>
        </w:tc>
        <w:tc>
          <w:tcPr>
            <w:tcW w:w="0" w:type="auto"/>
            <w:tcBorders>
              <w:top w:val="nil"/>
              <w:left w:val="nil"/>
              <w:bottom w:val="nil"/>
              <w:right w:val="nil"/>
            </w:tcBorders>
            <w:shd w:val="clear" w:color="000000" w:fill="FFFFFF"/>
            <w:noWrap/>
            <w:vAlign w:val="center"/>
            <w:hideMark/>
          </w:tcPr>
          <w:p w14:paraId="5C2E394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4,040</w:t>
            </w:r>
          </w:p>
        </w:tc>
        <w:tc>
          <w:tcPr>
            <w:tcW w:w="0" w:type="auto"/>
            <w:tcBorders>
              <w:top w:val="nil"/>
              <w:left w:val="nil"/>
              <w:bottom w:val="nil"/>
              <w:right w:val="nil"/>
            </w:tcBorders>
            <w:shd w:val="clear" w:color="000000" w:fill="FFFFFF"/>
            <w:noWrap/>
            <w:vAlign w:val="center"/>
            <w:hideMark/>
          </w:tcPr>
          <w:p w14:paraId="7457541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4,090</w:t>
            </w:r>
          </w:p>
        </w:tc>
        <w:tc>
          <w:tcPr>
            <w:tcW w:w="0" w:type="auto"/>
            <w:tcBorders>
              <w:top w:val="nil"/>
              <w:left w:val="nil"/>
              <w:bottom w:val="nil"/>
              <w:right w:val="nil"/>
            </w:tcBorders>
            <w:shd w:val="clear" w:color="000000" w:fill="FFFFFF"/>
            <w:noWrap/>
            <w:vAlign w:val="center"/>
            <w:hideMark/>
          </w:tcPr>
          <w:p w14:paraId="5542029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4,300</w:t>
            </w:r>
          </w:p>
        </w:tc>
      </w:tr>
      <w:tr w:rsidR="00615F38" w:rsidRPr="008C25B0" w14:paraId="7DF96BB2" w14:textId="77777777" w:rsidTr="00C53EF3">
        <w:trPr>
          <w:trHeight w:val="225"/>
        </w:trPr>
        <w:tc>
          <w:tcPr>
            <w:tcW w:w="0" w:type="auto"/>
            <w:tcBorders>
              <w:top w:val="nil"/>
              <w:left w:val="nil"/>
              <w:bottom w:val="nil"/>
              <w:right w:val="nil"/>
            </w:tcBorders>
            <w:shd w:val="clear" w:color="000000" w:fill="FFFFFF"/>
            <w:noWrap/>
            <w:vAlign w:val="center"/>
            <w:hideMark/>
          </w:tcPr>
          <w:p w14:paraId="13A04E8D"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Company tax</w:t>
            </w:r>
          </w:p>
        </w:tc>
        <w:tc>
          <w:tcPr>
            <w:tcW w:w="0" w:type="auto"/>
            <w:tcBorders>
              <w:top w:val="nil"/>
              <w:left w:val="nil"/>
              <w:bottom w:val="nil"/>
              <w:right w:val="nil"/>
            </w:tcBorders>
            <w:shd w:val="clear" w:color="000000" w:fill="FFFFFF"/>
            <w:noWrap/>
            <w:vAlign w:val="center"/>
            <w:hideMark/>
          </w:tcPr>
          <w:p w14:paraId="07F2350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144,900</w:t>
            </w:r>
          </w:p>
        </w:tc>
        <w:tc>
          <w:tcPr>
            <w:tcW w:w="0" w:type="auto"/>
            <w:tcBorders>
              <w:top w:val="nil"/>
              <w:left w:val="nil"/>
              <w:bottom w:val="nil"/>
              <w:right w:val="nil"/>
            </w:tcBorders>
            <w:shd w:val="clear" w:color="000000" w:fill="E6F2FF"/>
            <w:noWrap/>
            <w:vAlign w:val="center"/>
            <w:hideMark/>
          </w:tcPr>
          <w:p w14:paraId="71E994D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141,200</w:t>
            </w:r>
          </w:p>
        </w:tc>
        <w:tc>
          <w:tcPr>
            <w:tcW w:w="0" w:type="auto"/>
            <w:tcBorders>
              <w:top w:val="nil"/>
              <w:left w:val="nil"/>
              <w:bottom w:val="nil"/>
              <w:right w:val="nil"/>
            </w:tcBorders>
            <w:shd w:val="clear" w:color="000000" w:fill="FFFFFF"/>
            <w:noWrap/>
            <w:vAlign w:val="center"/>
            <w:hideMark/>
          </w:tcPr>
          <w:p w14:paraId="29004F5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136,000</w:t>
            </w:r>
          </w:p>
        </w:tc>
        <w:tc>
          <w:tcPr>
            <w:tcW w:w="0" w:type="auto"/>
            <w:tcBorders>
              <w:top w:val="nil"/>
              <w:left w:val="nil"/>
              <w:bottom w:val="nil"/>
              <w:right w:val="nil"/>
            </w:tcBorders>
            <w:shd w:val="clear" w:color="000000" w:fill="FFFFFF"/>
            <w:noWrap/>
            <w:vAlign w:val="center"/>
            <w:hideMark/>
          </w:tcPr>
          <w:p w14:paraId="0BF0252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146,400</w:t>
            </w:r>
          </w:p>
        </w:tc>
        <w:tc>
          <w:tcPr>
            <w:tcW w:w="0" w:type="auto"/>
            <w:tcBorders>
              <w:top w:val="nil"/>
              <w:left w:val="nil"/>
              <w:bottom w:val="nil"/>
              <w:right w:val="nil"/>
            </w:tcBorders>
            <w:shd w:val="clear" w:color="000000" w:fill="FFFFFF"/>
            <w:noWrap/>
            <w:vAlign w:val="center"/>
            <w:hideMark/>
          </w:tcPr>
          <w:p w14:paraId="16CE28A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153,000</w:t>
            </w:r>
          </w:p>
        </w:tc>
      </w:tr>
      <w:tr w:rsidR="00615F38" w:rsidRPr="008C25B0" w14:paraId="4021CB85" w14:textId="77777777" w:rsidTr="00C53EF3">
        <w:trPr>
          <w:trHeight w:val="225"/>
        </w:trPr>
        <w:tc>
          <w:tcPr>
            <w:tcW w:w="0" w:type="auto"/>
            <w:tcBorders>
              <w:top w:val="nil"/>
              <w:left w:val="nil"/>
              <w:bottom w:val="nil"/>
              <w:right w:val="nil"/>
            </w:tcBorders>
            <w:shd w:val="clear" w:color="000000" w:fill="FFFFFF"/>
            <w:noWrap/>
            <w:vAlign w:val="center"/>
            <w:hideMark/>
          </w:tcPr>
          <w:p w14:paraId="64A5893E"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Superannuation fund taxes</w:t>
            </w:r>
          </w:p>
        </w:tc>
        <w:tc>
          <w:tcPr>
            <w:tcW w:w="0" w:type="auto"/>
            <w:tcBorders>
              <w:top w:val="nil"/>
              <w:left w:val="nil"/>
              <w:bottom w:val="nil"/>
              <w:right w:val="nil"/>
            </w:tcBorders>
            <w:shd w:val="clear" w:color="000000" w:fill="FFFFFF"/>
            <w:noWrap/>
            <w:vAlign w:val="center"/>
            <w:hideMark/>
          </w:tcPr>
          <w:p w14:paraId="3D8EF9D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11,780</w:t>
            </w:r>
          </w:p>
        </w:tc>
        <w:tc>
          <w:tcPr>
            <w:tcW w:w="0" w:type="auto"/>
            <w:tcBorders>
              <w:top w:val="nil"/>
              <w:left w:val="nil"/>
              <w:bottom w:val="nil"/>
              <w:right w:val="nil"/>
            </w:tcBorders>
            <w:shd w:val="clear" w:color="000000" w:fill="E6F2FF"/>
            <w:noWrap/>
            <w:vAlign w:val="center"/>
            <w:hideMark/>
          </w:tcPr>
          <w:p w14:paraId="3113CA02"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19,830</w:t>
            </w:r>
          </w:p>
        </w:tc>
        <w:tc>
          <w:tcPr>
            <w:tcW w:w="0" w:type="auto"/>
            <w:tcBorders>
              <w:top w:val="nil"/>
              <w:left w:val="nil"/>
              <w:bottom w:val="nil"/>
              <w:right w:val="nil"/>
            </w:tcBorders>
            <w:shd w:val="clear" w:color="000000" w:fill="FFFFFF"/>
            <w:noWrap/>
            <w:vAlign w:val="center"/>
            <w:hideMark/>
          </w:tcPr>
          <w:p w14:paraId="5F396FD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21,380</w:t>
            </w:r>
          </w:p>
        </w:tc>
        <w:tc>
          <w:tcPr>
            <w:tcW w:w="0" w:type="auto"/>
            <w:tcBorders>
              <w:top w:val="nil"/>
              <w:left w:val="nil"/>
              <w:bottom w:val="nil"/>
              <w:right w:val="nil"/>
            </w:tcBorders>
            <w:shd w:val="clear" w:color="000000" w:fill="FFFFFF"/>
            <w:noWrap/>
            <w:vAlign w:val="center"/>
            <w:hideMark/>
          </w:tcPr>
          <w:p w14:paraId="39845F0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24,230</w:t>
            </w:r>
          </w:p>
        </w:tc>
        <w:tc>
          <w:tcPr>
            <w:tcW w:w="0" w:type="auto"/>
            <w:tcBorders>
              <w:top w:val="nil"/>
              <w:left w:val="nil"/>
              <w:bottom w:val="nil"/>
              <w:right w:val="nil"/>
            </w:tcBorders>
            <w:shd w:val="clear" w:color="000000" w:fill="FFFFFF"/>
            <w:noWrap/>
            <w:vAlign w:val="center"/>
            <w:hideMark/>
          </w:tcPr>
          <w:p w14:paraId="263E53C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23,080</w:t>
            </w:r>
          </w:p>
        </w:tc>
      </w:tr>
      <w:tr w:rsidR="00615F38" w:rsidRPr="008C25B0" w14:paraId="3CC53548" w14:textId="77777777" w:rsidTr="00C53EF3">
        <w:trPr>
          <w:trHeight w:val="225"/>
        </w:trPr>
        <w:tc>
          <w:tcPr>
            <w:tcW w:w="0" w:type="auto"/>
            <w:tcBorders>
              <w:top w:val="nil"/>
              <w:left w:val="nil"/>
              <w:bottom w:val="nil"/>
              <w:right w:val="nil"/>
            </w:tcBorders>
            <w:shd w:val="clear" w:color="000000" w:fill="FFFFFF"/>
            <w:noWrap/>
            <w:vAlign w:val="center"/>
            <w:hideMark/>
          </w:tcPr>
          <w:p w14:paraId="6B89844E" w14:textId="77777777" w:rsidR="00615F38" w:rsidRPr="008C25B0" w:rsidRDefault="00615F38" w:rsidP="00C53EF3">
            <w:pPr>
              <w:spacing w:before="0" w:after="0" w:line="240" w:lineRule="auto"/>
              <w:rPr>
                <w:rFonts w:ascii="Arial" w:hAnsi="Arial" w:cs="Arial"/>
                <w:sz w:val="16"/>
                <w:szCs w:val="16"/>
              </w:rPr>
            </w:pPr>
            <w:r w:rsidRPr="008C25B0">
              <w:rPr>
                <w:rFonts w:ascii="Arial" w:hAnsi="Arial" w:cs="Arial"/>
                <w:sz w:val="16"/>
                <w:szCs w:val="16"/>
              </w:rPr>
              <w:t>Petroleum resource rent tax</w:t>
            </w:r>
          </w:p>
        </w:tc>
        <w:tc>
          <w:tcPr>
            <w:tcW w:w="0" w:type="auto"/>
            <w:tcBorders>
              <w:top w:val="nil"/>
              <w:left w:val="nil"/>
              <w:bottom w:val="single" w:sz="4" w:space="0" w:color="293F5B"/>
              <w:right w:val="nil"/>
            </w:tcBorders>
            <w:shd w:val="clear" w:color="000000" w:fill="FFFFFF"/>
            <w:noWrap/>
            <w:vAlign w:val="center"/>
            <w:hideMark/>
          </w:tcPr>
          <w:p w14:paraId="15A5A01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1,430</w:t>
            </w:r>
          </w:p>
        </w:tc>
        <w:tc>
          <w:tcPr>
            <w:tcW w:w="0" w:type="auto"/>
            <w:tcBorders>
              <w:top w:val="nil"/>
              <w:left w:val="nil"/>
              <w:bottom w:val="single" w:sz="4" w:space="0" w:color="293F5B"/>
              <w:right w:val="nil"/>
            </w:tcBorders>
            <w:shd w:val="clear" w:color="000000" w:fill="E6F2FF"/>
            <w:noWrap/>
            <w:vAlign w:val="center"/>
            <w:hideMark/>
          </w:tcPr>
          <w:p w14:paraId="0DFC7B7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2,590</w:t>
            </w:r>
          </w:p>
        </w:tc>
        <w:tc>
          <w:tcPr>
            <w:tcW w:w="0" w:type="auto"/>
            <w:tcBorders>
              <w:top w:val="nil"/>
              <w:left w:val="nil"/>
              <w:bottom w:val="single" w:sz="4" w:space="0" w:color="293F5B"/>
              <w:right w:val="nil"/>
            </w:tcBorders>
            <w:shd w:val="clear" w:color="000000" w:fill="FFFFFF"/>
            <w:noWrap/>
            <w:vAlign w:val="center"/>
            <w:hideMark/>
          </w:tcPr>
          <w:p w14:paraId="2A1837A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2,080</w:t>
            </w:r>
          </w:p>
        </w:tc>
        <w:tc>
          <w:tcPr>
            <w:tcW w:w="0" w:type="auto"/>
            <w:tcBorders>
              <w:top w:val="nil"/>
              <w:left w:val="nil"/>
              <w:bottom w:val="single" w:sz="4" w:space="0" w:color="293F5B"/>
              <w:right w:val="nil"/>
            </w:tcBorders>
            <w:shd w:val="clear" w:color="000000" w:fill="FFFFFF"/>
            <w:noWrap/>
            <w:vAlign w:val="center"/>
            <w:hideMark/>
          </w:tcPr>
          <w:p w14:paraId="7E1CC65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1,730</w:t>
            </w:r>
          </w:p>
        </w:tc>
        <w:tc>
          <w:tcPr>
            <w:tcW w:w="0" w:type="auto"/>
            <w:tcBorders>
              <w:top w:val="nil"/>
              <w:left w:val="nil"/>
              <w:bottom w:val="single" w:sz="4" w:space="0" w:color="293F5B"/>
              <w:right w:val="nil"/>
            </w:tcBorders>
            <w:shd w:val="clear" w:color="000000" w:fill="FFFFFF"/>
            <w:noWrap/>
            <w:vAlign w:val="center"/>
            <w:hideMark/>
          </w:tcPr>
          <w:p w14:paraId="30F1869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1,840</w:t>
            </w:r>
          </w:p>
        </w:tc>
      </w:tr>
      <w:tr w:rsidR="00615F38" w:rsidRPr="008C25B0" w14:paraId="5195C475" w14:textId="77777777" w:rsidTr="00C53EF3">
        <w:trPr>
          <w:trHeight w:val="225"/>
        </w:trPr>
        <w:tc>
          <w:tcPr>
            <w:tcW w:w="0" w:type="auto"/>
            <w:tcBorders>
              <w:top w:val="nil"/>
              <w:left w:val="nil"/>
              <w:bottom w:val="nil"/>
              <w:right w:val="nil"/>
            </w:tcBorders>
            <w:shd w:val="clear" w:color="000000" w:fill="FFFFFF"/>
            <w:noWrap/>
            <w:vAlign w:val="center"/>
            <w:hideMark/>
          </w:tcPr>
          <w:p w14:paraId="7499F09B" w14:textId="77777777" w:rsidR="00615F38" w:rsidRPr="008C25B0" w:rsidRDefault="00615F38" w:rsidP="00C53EF3">
            <w:pPr>
              <w:spacing w:before="0" w:after="0" w:line="240" w:lineRule="auto"/>
              <w:rPr>
                <w:rFonts w:ascii="Arial" w:hAnsi="Arial" w:cs="Arial"/>
                <w:b/>
                <w:bCs/>
                <w:color w:val="000000"/>
                <w:sz w:val="16"/>
                <w:szCs w:val="16"/>
              </w:rPr>
            </w:pPr>
            <w:r w:rsidRPr="008C25B0">
              <w:rPr>
                <w:rFonts w:ascii="Arial" w:hAnsi="Arial" w:cs="Arial"/>
                <w:b/>
                <w:bCs/>
                <w:color w:val="000000"/>
                <w:sz w:val="16"/>
                <w:szCs w:val="16"/>
              </w:rPr>
              <w:t>Income taxation revenue</w:t>
            </w:r>
          </w:p>
        </w:tc>
        <w:tc>
          <w:tcPr>
            <w:tcW w:w="0" w:type="auto"/>
            <w:tcBorders>
              <w:top w:val="nil"/>
              <w:left w:val="nil"/>
              <w:bottom w:val="single" w:sz="4" w:space="0" w:color="293F5B"/>
              <w:right w:val="nil"/>
            </w:tcBorders>
            <w:shd w:val="clear" w:color="000000" w:fill="FFFFFF"/>
            <w:noWrap/>
            <w:vAlign w:val="center"/>
            <w:hideMark/>
          </w:tcPr>
          <w:p w14:paraId="50B06843"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505,790</w:t>
            </w:r>
          </w:p>
        </w:tc>
        <w:tc>
          <w:tcPr>
            <w:tcW w:w="0" w:type="auto"/>
            <w:tcBorders>
              <w:top w:val="nil"/>
              <w:left w:val="nil"/>
              <w:bottom w:val="single" w:sz="4" w:space="0" w:color="293F5B"/>
              <w:right w:val="nil"/>
            </w:tcBorders>
            <w:shd w:val="clear" w:color="000000" w:fill="E6F2FF"/>
            <w:noWrap/>
            <w:vAlign w:val="center"/>
            <w:hideMark/>
          </w:tcPr>
          <w:p w14:paraId="1A9CB938"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503,350</w:t>
            </w:r>
          </w:p>
        </w:tc>
        <w:tc>
          <w:tcPr>
            <w:tcW w:w="0" w:type="auto"/>
            <w:tcBorders>
              <w:top w:val="nil"/>
              <w:left w:val="nil"/>
              <w:bottom w:val="single" w:sz="4" w:space="0" w:color="293F5B"/>
              <w:right w:val="nil"/>
            </w:tcBorders>
            <w:shd w:val="clear" w:color="000000" w:fill="FFFFFF"/>
            <w:noWrap/>
            <w:vAlign w:val="center"/>
            <w:hideMark/>
          </w:tcPr>
          <w:p w14:paraId="097A5BE2"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516,200</w:t>
            </w:r>
          </w:p>
        </w:tc>
        <w:tc>
          <w:tcPr>
            <w:tcW w:w="0" w:type="auto"/>
            <w:tcBorders>
              <w:top w:val="nil"/>
              <w:left w:val="nil"/>
              <w:bottom w:val="single" w:sz="4" w:space="0" w:color="293F5B"/>
              <w:right w:val="nil"/>
            </w:tcBorders>
            <w:shd w:val="clear" w:color="000000" w:fill="FFFFFF"/>
            <w:noWrap/>
            <w:vAlign w:val="center"/>
            <w:hideMark/>
          </w:tcPr>
          <w:p w14:paraId="3623ABF8"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550,650</w:t>
            </w:r>
          </w:p>
        </w:tc>
        <w:tc>
          <w:tcPr>
            <w:tcW w:w="0" w:type="auto"/>
            <w:tcBorders>
              <w:top w:val="nil"/>
              <w:left w:val="nil"/>
              <w:bottom w:val="single" w:sz="4" w:space="0" w:color="293F5B"/>
              <w:right w:val="nil"/>
            </w:tcBorders>
            <w:shd w:val="clear" w:color="000000" w:fill="FFFFFF"/>
            <w:noWrap/>
            <w:vAlign w:val="center"/>
            <w:hideMark/>
          </w:tcPr>
          <w:p w14:paraId="11890BC8"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586,020</w:t>
            </w:r>
          </w:p>
        </w:tc>
      </w:tr>
      <w:tr w:rsidR="00615F38" w:rsidRPr="008C25B0" w14:paraId="5F59DC92" w14:textId="77777777" w:rsidTr="00C53EF3">
        <w:trPr>
          <w:trHeight w:val="225"/>
        </w:trPr>
        <w:tc>
          <w:tcPr>
            <w:tcW w:w="0" w:type="auto"/>
            <w:tcBorders>
              <w:top w:val="nil"/>
              <w:left w:val="nil"/>
              <w:bottom w:val="nil"/>
              <w:right w:val="nil"/>
            </w:tcBorders>
            <w:shd w:val="clear" w:color="000000" w:fill="FFFFFF"/>
            <w:noWrap/>
            <w:vAlign w:val="center"/>
            <w:hideMark/>
          </w:tcPr>
          <w:p w14:paraId="799E9D4F"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Goods and services tax</w:t>
            </w:r>
          </w:p>
        </w:tc>
        <w:tc>
          <w:tcPr>
            <w:tcW w:w="0" w:type="auto"/>
            <w:tcBorders>
              <w:top w:val="nil"/>
              <w:left w:val="nil"/>
              <w:bottom w:val="nil"/>
              <w:right w:val="nil"/>
            </w:tcBorders>
            <w:shd w:val="clear" w:color="000000" w:fill="FFFFFF"/>
            <w:noWrap/>
            <w:vAlign w:val="center"/>
            <w:hideMark/>
          </w:tcPr>
          <w:p w14:paraId="5505D39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90,180</w:t>
            </w:r>
          </w:p>
        </w:tc>
        <w:tc>
          <w:tcPr>
            <w:tcW w:w="0" w:type="auto"/>
            <w:tcBorders>
              <w:top w:val="nil"/>
              <w:left w:val="nil"/>
              <w:bottom w:val="nil"/>
              <w:right w:val="nil"/>
            </w:tcBorders>
            <w:shd w:val="clear" w:color="000000" w:fill="E6F2FF"/>
            <w:noWrap/>
            <w:vAlign w:val="center"/>
            <w:hideMark/>
          </w:tcPr>
          <w:p w14:paraId="5B9407D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92,070</w:t>
            </w:r>
          </w:p>
        </w:tc>
        <w:tc>
          <w:tcPr>
            <w:tcW w:w="0" w:type="auto"/>
            <w:tcBorders>
              <w:top w:val="nil"/>
              <w:left w:val="nil"/>
              <w:bottom w:val="nil"/>
              <w:right w:val="nil"/>
            </w:tcBorders>
            <w:shd w:val="clear" w:color="000000" w:fill="FFFFFF"/>
            <w:noWrap/>
            <w:vAlign w:val="center"/>
            <w:hideMark/>
          </w:tcPr>
          <w:p w14:paraId="58FEEE0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97,290</w:t>
            </w:r>
          </w:p>
        </w:tc>
        <w:tc>
          <w:tcPr>
            <w:tcW w:w="0" w:type="auto"/>
            <w:tcBorders>
              <w:top w:val="nil"/>
              <w:left w:val="nil"/>
              <w:bottom w:val="nil"/>
              <w:right w:val="nil"/>
            </w:tcBorders>
            <w:shd w:val="clear" w:color="000000" w:fill="FFFFFF"/>
            <w:noWrap/>
            <w:vAlign w:val="center"/>
            <w:hideMark/>
          </w:tcPr>
          <w:p w14:paraId="46FF1BC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103,050</w:t>
            </w:r>
          </w:p>
        </w:tc>
        <w:tc>
          <w:tcPr>
            <w:tcW w:w="0" w:type="auto"/>
            <w:tcBorders>
              <w:top w:val="nil"/>
              <w:left w:val="nil"/>
              <w:bottom w:val="nil"/>
              <w:right w:val="nil"/>
            </w:tcBorders>
            <w:shd w:val="clear" w:color="000000" w:fill="FFFFFF"/>
            <w:noWrap/>
            <w:vAlign w:val="center"/>
            <w:hideMark/>
          </w:tcPr>
          <w:p w14:paraId="43D862F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109,000</w:t>
            </w:r>
          </w:p>
        </w:tc>
      </w:tr>
      <w:tr w:rsidR="00615F38" w:rsidRPr="008C25B0" w14:paraId="31B796BA" w14:textId="77777777" w:rsidTr="00C53EF3">
        <w:trPr>
          <w:trHeight w:val="225"/>
        </w:trPr>
        <w:tc>
          <w:tcPr>
            <w:tcW w:w="0" w:type="auto"/>
            <w:tcBorders>
              <w:top w:val="nil"/>
              <w:left w:val="nil"/>
              <w:bottom w:val="nil"/>
              <w:right w:val="nil"/>
            </w:tcBorders>
            <w:shd w:val="clear" w:color="000000" w:fill="FFFFFF"/>
            <w:noWrap/>
            <w:vAlign w:val="center"/>
            <w:hideMark/>
          </w:tcPr>
          <w:p w14:paraId="156FBF62"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Wine equalisation tax</w:t>
            </w:r>
          </w:p>
        </w:tc>
        <w:tc>
          <w:tcPr>
            <w:tcW w:w="0" w:type="auto"/>
            <w:tcBorders>
              <w:top w:val="nil"/>
              <w:left w:val="nil"/>
              <w:bottom w:val="nil"/>
              <w:right w:val="nil"/>
            </w:tcBorders>
            <w:shd w:val="clear" w:color="000000" w:fill="FFFFFF"/>
            <w:noWrap/>
            <w:vAlign w:val="center"/>
            <w:hideMark/>
          </w:tcPr>
          <w:p w14:paraId="7B0DCD1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1,090</w:t>
            </w:r>
          </w:p>
        </w:tc>
        <w:tc>
          <w:tcPr>
            <w:tcW w:w="0" w:type="auto"/>
            <w:tcBorders>
              <w:top w:val="nil"/>
              <w:left w:val="nil"/>
              <w:bottom w:val="nil"/>
              <w:right w:val="nil"/>
            </w:tcBorders>
            <w:shd w:val="clear" w:color="000000" w:fill="E6F2FF"/>
            <w:noWrap/>
            <w:vAlign w:val="center"/>
            <w:hideMark/>
          </w:tcPr>
          <w:p w14:paraId="5B82F2C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1,150</w:t>
            </w:r>
          </w:p>
        </w:tc>
        <w:tc>
          <w:tcPr>
            <w:tcW w:w="0" w:type="auto"/>
            <w:tcBorders>
              <w:top w:val="nil"/>
              <w:left w:val="nil"/>
              <w:bottom w:val="nil"/>
              <w:right w:val="nil"/>
            </w:tcBorders>
            <w:shd w:val="clear" w:color="000000" w:fill="FFFFFF"/>
            <w:noWrap/>
            <w:vAlign w:val="center"/>
            <w:hideMark/>
          </w:tcPr>
          <w:p w14:paraId="49A8B84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1,220</w:t>
            </w:r>
          </w:p>
        </w:tc>
        <w:tc>
          <w:tcPr>
            <w:tcW w:w="0" w:type="auto"/>
            <w:tcBorders>
              <w:top w:val="nil"/>
              <w:left w:val="nil"/>
              <w:bottom w:val="nil"/>
              <w:right w:val="nil"/>
            </w:tcBorders>
            <w:shd w:val="clear" w:color="000000" w:fill="FFFFFF"/>
            <w:noWrap/>
            <w:vAlign w:val="center"/>
            <w:hideMark/>
          </w:tcPr>
          <w:p w14:paraId="68B32D0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1,280</w:t>
            </w:r>
          </w:p>
        </w:tc>
        <w:tc>
          <w:tcPr>
            <w:tcW w:w="0" w:type="auto"/>
            <w:tcBorders>
              <w:top w:val="nil"/>
              <w:left w:val="nil"/>
              <w:bottom w:val="nil"/>
              <w:right w:val="nil"/>
            </w:tcBorders>
            <w:shd w:val="clear" w:color="000000" w:fill="FFFFFF"/>
            <w:noWrap/>
            <w:vAlign w:val="center"/>
            <w:hideMark/>
          </w:tcPr>
          <w:p w14:paraId="3CD425B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1,350</w:t>
            </w:r>
          </w:p>
        </w:tc>
      </w:tr>
      <w:tr w:rsidR="00615F38" w:rsidRPr="008C25B0" w14:paraId="6F7FAE85" w14:textId="77777777" w:rsidTr="00C53EF3">
        <w:trPr>
          <w:trHeight w:val="225"/>
        </w:trPr>
        <w:tc>
          <w:tcPr>
            <w:tcW w:w="0" w:type="auto"/>
            <w:tcBorders>
              <w:top w:val="nil"/>
              <w:left w:val="nil"/>
              <w:bottom w:val="nil"/>
              <w:right w:val="nil"/>
            </w:tcBorders>
            <w:shd w:val="clear" w:color="000000" w:fill="FFFFFF"/>
            <w:noWrap/>
            <w:vAlign w:val="center"/>
            <w:hideMark/>
          </w:tcPr>
          <w:p w14:paraId="6B1E2EB7"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Luxury car tax</w:t>
            </w:r>
          </w:p>
        </w:tc>
        <w:tc>
          <w:tcPr>
            <w:tcW w:w="0" w:type="auto"/>
            <w:tcBorders>
              <w:top w:val="nil"/>
              <w:left w:val="nil"/>
              <w:bottom w:val="nil"/>
              <w:right w:val="nil"/>
            </w:tcBorders>
            <w:shd w:val="clear" w:color="000000" w:fill="FFFFFF"/>
            <w:noWrap/>
            <w:vAlign w:val="center"/>
            <w:hideMark/>
          </w:tcPr>
          <w:p w14:paraId="7FF317D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1,290</w:t>
            </w:r>
          </w:p>
        </w:tc>
        <w:tc>
          <w:tcPr>
            <w:tcW w:w="0" w:type="auto"/>
            <w:tcBorders>
              <w:top w:val="nil"/>
              <w:left w:val="nil"/>
              <w:bottom w:val="nil"/>
              <w:right w:val="nil"/>
            </w:tcBorders>
            <w:shd w:val="clear" w:color="000000" w:fill="E6F2FF"/>
            <w:noWrap/>
            <w:vAlign w:val="center"/>
            <w:hideMark/>
          </w:tcPr>
          <w:p w14:paraId="2BE5982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1,110</w:t>
            </w:r>
          </w:p>
        </w:tc>
        <w:tc>
          <w:tcPr>
            <w:tcW w:w="0" w:type="auto"/>
            <w:tcBorders>
              <w:top w:val="nil"/>
              <w:left w:val="nil"/>
              <w:bottom w:val="nil"/>
              <w:right w:val="nil"/>
            </w:tcBorders>
            <w:shd w:val="clear" w:color="000000" w:fill="FFFFFF"/>
            <w:noWrap/>
            <w:vAlign w:val="center"/>
            <w:hideMark/>
          </w:tcPr>
          <w:p w14:paraId="220AC0F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1,200</w:t>
            </w:r>
          </w:p>
        </w:tc>
        <w:tc>
          <w:tcPr>
            <w:tcW w:w="0" w:type="auto"/>
            <w:tcBorders>
              <w:top w:val="nil"/>
              <w:left w:val="nil"/>
              <w:bottom w:val="nil"/>
              <w:right w:val="nil"/>
            </w:tcBorders>
            <w:shd w:val="clear" w:color="000000" w:fill="FFFFFF"/>
            <w:noWrap/>
            <w:vAlign w:val="center"/>
            <w:hideMark/>
          </w:tcPr>
          <w:p w14:paraId="1198E74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1,270</w:t>
            </w:r>
          </w:p>
        </w:tc>
        <w:tc>
          <w:tcPr>
            <w:tcW w:w="0" w:type="auto"/>
            <w:tcBorders>
              <w:top w:val="nil"/>
              <w:left w:val="nil"/>
              <w:bottom w:val="nil"/>
              <w:right w:val="nil"/>
            </w:tcBorders>
            <w:shd w:val="clear" w:color="000000" w:fill="FFFFFF"/>
            <w:noWrap/>
            <w:vAlign w:val="center"/>
            <w:hideMark/>
          </w:tcPr>
          <w:p w14:paraId="31ED165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1,330</w:t>
            </w:r>
          </w:p>
        </w:tc>
      </w:tr>
      <w:tr w:rsidR="00615F38" w:rsidRPr="008C25B0" w14:paraId="7381879A" w14:textId="77777777" w:rsidTr="00C53EF3">
        <w:trPr>
          <w:trHeight w:val="225"/>
        </w:trPr>
        <w:tc>
          <w:tcPr>
            <w:tcW w:w="0" w:type="auto"/>
            <w:tcBorders>
              <w:top w:val="nil"/>
              <w:left w:val="nil"/>
              <w:bottom w:val="nil"/>
              <w:right w:val="nil"/>
            </w:tcBorders>
            <w:shd w:val="clear" w:color="000000" w:fill="FFFFFF"/>
            <w:noWrap/>
            <w:vAlign w:val="center"/>
            <w:hideMark/>
          </w:tcPr>
          <w:p w14:paraId="10572220" w14:textId="77777777" w:rsidR="00615F38" w:rsidRPr="008C25B0" w:rsidRDefault="00615F38" w:rsidP="00C53EF3">
            <w:pPr>
              <w:spacing w:before="0" w:after="0" w:line="240" w:lineRule="auto"/>
              <w:rPr>
                <w:rFonts w:ascii="Arial" w:hAnsi="Arial" w:cs="Arial"/>
                <w:sz w:val="16"/>
                <w:szCs w:val="16"/>
              </w:rPr>
            </w:pPr>
            <w:r w:rsidRPr="008C25B0">
              <w:rPr>
                <w:rFonts w:ascii="Arial" w:hAnsi="Arial" w:cs="Arial"/>
                <w:sz w:val="16"/>
                <w:szCs w:val="16"/>
              </w:rPr>
              <w:t>Excise and Custom duty</w:t>
            </w:r>
          </w:p>
        </w:tc>
        <w:tc>
          <w:tcPr>
            <w:tcW w:w="0" w:type="auto"/>
            <w:tcBorders>
              <w:top w:val="nil"/>
              <w:left w:val="nil"/>
              <w:bottom w:val="nil"/>
              <w:right w:val="nil"/>
            </w:tcBorders>
            <w:shd w:val="clear" w:color="000000" w:fill="FFFFFF"/>
            <w:noWrap/>
            <w:vAlign w:val="center"/>
            <w:hideMark/>
          </w:tcPr>
          <w:p w14:paraId="79C4D83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0FA70DA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16C43DC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181C66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6AA5BE4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r>
      <w:tr w:rsidR="00615F38" w:rsidRPr="008C25B0" w14:paraId="161B0625" w14:textId="77777777" w:rsidTr="00C53EF3">
        <w:trPr>
          <w:trHeight w:val="225"/>
        </w:trPr>
        <w:tc>
          <w:tcPr>
            <w:tcW w:w="0" w:type="auto"/>
            <w:tcBorders>
              <w:top w:val="nil"/>
              <w:left w:val="nil"/>
              <w:bottom w:val="nil"/>
              <w:right w:val="nil"/>
            </w:tcBorders>
            <w:shd w:val="clear" w:color="000000" w:fill="FFFFFF"/>
            <w:noWrap/>
            <w:vAlign w:val="center"/>
            <w:hideMark/>
          </w:tcPr>
          <w:p w14:paraId="4B3C1422"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Petrol</w:t>
            </w:r>
          </w:p>
        </w:tc>
        <w:tc>
          <w:tcPr>
            <w:tcW w:w="0" w:type="auto"/>
            <w:tcBorders>
              <w:top w:val="nil"/>
              <w:left w:val="nil"/>
              <w:bottom w:val="nil"/>
              <w:right w:val="nil"/>
            </w:tcBorders>
            <w:shd w:val="clear" w:color="000000" w:fill="FFFFFF"/>
            <w:noWrap/>
            <w:vAlign w:val="center"/>
            <w:hideMark/>
          </w:tcPr>
          <w:p w14:paraId="5ADD397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6,950</w:t>
            </w:r>
          </w:p>
        </w:tc>
        <w:tc>
          <w:tcPr>
            <w:tcW w:w="0" w:type="auto"/>
            <w:tcBorders>
              <w:top w:val="nil"/>
              <w:left w:val="nil"/>
              <w:bottom w:val="nil"/>
              <w:right w:val="nil"/>
            </w:tcBorders>
            <w:shd w:val="clear" w:color="000000" w:fill="E6F2FF"/>
            <w:noWrap/>
            <w:vAlign w:val="center"/>
            <w:hideMark/>
          </w:tcPr>
          <w:p w14:paraId="73F341C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7,150</w:t>
            </w:r>
          </w:p>
        </w:tc>
        <w:tc>
          <w:tcPr>
            <w:tcW w:w="0" w:type="auto"/>
            <w:tcBorders>
              <w:top w:val="nil"/>
              <w:left w:val="nil"/>
              <w:bottom w:val="nil"/>
              <w:right w:val="nil"/>
            </w:tcBorders>
            <w:shd w:val="clear" w:color="000000" w:fill="FFFFFF"/>
            <w:noWrap/>
            <w:vAlign w:val="center"/>
            <w:hideMark/>
          </w:tcPr>
          <w:p w14:paraId="562F798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7,550</w:t>
            </w:r>
          </w:p>
        </w:tc>
        <w:tc>
          <w:tcPr>
            <w:tcW w:w="0" w:type="auto"/>
            <w:tcBorders>
              <w:top w:val="nil"/>
              <w:left w:val="nil"/>
              <w:bottom w:val="nil"/>
              <w:right w:val="nil"/>
            </w:tcBorders>
            <w:shd w:val="clear" w:color="000000" w:fill="FFFFFF"/>
            <w:noWrap/>
            <w:vAlign w:val="center"/>
            <w:hideMark/>
          </w:tcPr>
          <w:p w14:paraId="76565B8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7,800</w:t>
            </w:r>
          </w:p>
        </w:tc>
        <w:tc>
          <w:tcPr>
            <w:tcW w:w="0" w:type="auto"/>
            <w:tcBorders>
              <w:top w:val="nil"/>
              <w:left w:val="nil"/>
              <w:bottom w:val="nil"/>
              <w:right w:val="nil"/>
            </w:tcBorders>
            <w:shd w:val="clear" w:color="000000" w:fill="FFFFFF"/>
            <w:noWrap/>
            <w:vAlign w:val="center"/>
            <w:hideMark/>
          </w:tcPr>
          <w:p w14:paraId="6A0327C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8,000</w:t>
            </w:r>
          </w:p>
        </w:tc>
      </w:tr>
      <w:tr w:rsidR="00615F38" w:rsidRPr="008C25B0" w14:paraId="505B3FFC" w14:textId="77777777" w:rsidTr="00C53EF3">
        <w:trPr>
          <w:trHeight w:val="225"/>
        </w:trPr>
        <w:tc>
          <w:tcPr>
            <w:tcW w:w="0" w:type="auto"/>
            <w:tcBorders>
              <w:top w:val="nil"/>
              <w:left w:val="nil"/>
              <w:bottom w:val="nil"/>
              <w:right w:val="nil"/>
            </w:tcBorders>
            <w:shd w:val="clear" w:color="000000" w:fill="FFFFFF"/>
            <w:noWrap/>
            <w:vAlign w:val="center"/>
            <w:hideMark/>
          </w:tcPr>
          <w:p w14:paraId="25C77A08"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Diesel</w:t>
            </w:r>
          </w:p>
        </w:tc>
        <w:tc>
          <w:tcPr>
            <w:tcW w:w="0" w:type="auto"/>
            <w:tcBorders>
              <w:top w:val="nil"/>
              <w:left w:val="nil"/>
              <w:bottom w:val="nil"/>
              <w:right w:val="nil"/>
            </w:tcBorders>
            <w:shd w:val="clear" w:color="000000" w:fill="FFFFFF"/>
            <w:noWrap/>
            <w:vAlign w:val="center"/>
            <w:hideMark/>
          </w:tcPr>
          <w:p w14:paraId="70A14E6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16,210</w:t>
            </w:r>
          </w:p>
        </w:tc>
        <w:tc>
          <w:tcPr>
            <w:tcW w:w="0" w:type="auto"/>
            <w:tcBorders>
              <w:top w:val="nil"/>
              <w:left w:val="nil"/>
              <w:bottom w:val="nil"/>
              <w:right w:val="nil"/>
            </w:tcBorders>
            <w:shd w:val="clear" w:color="000000" w:fill="E6F2FF"/>
            <w:noWrap/>
            <w:vAlign w:val="center"/>
            <w:hideMark/>
          </w:tcPr>
          <w:p w14:paraId="7749F34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17,040</w:t>
            </w:r>
          </w:p>
        </w:tc>
        <w:tc>
          <w:tcPr>
            <w:tcW w:w="0" w:type="auto"/>
            <w:tcBorders>
              <w:top w:val="nil"/>
              <w:left w:val="nil"/>
              <w:bottom w:val="nil"/>
              <w:right w:val="nil"/>
            </w:tcBorders>
            <w:shd w:val="clear" w:color="000000" w:fill="FFFFFF"/>
            <w:noWrap/>
            <w:vAlign w:val="center"/>
            <w:hideMark/>
          </w:tcPr>
          <w:p w14:paraId="6B05C7A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17,750</w:t>
            </w:r>
          </w:p>
        </w:tc>
        <w:tc>
          <w:tcPr>
            <w:tcW w:w="0" w:type="auto"/>
            <w:tcBorders>
              <w:top w:val="nil"/>
              <w:left w:val="nil"/>
              <w:bottom w:val="nil"/>
              <w:right w:val="nil"/>
            </w:tcBorders>
            <w:shd w:val="clear" w:color="000000" w:fill="FFFFFF"/>
            <w:noWrap/>
            <w:vAlign w:val="center"/>
            <w:hideMark/>
          </w:tcPr>
          <w:p w14:paraId="57CA013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18,620</w:t>
            </w:r>
          </w:p>
        </w:tc>
        <w:tc>
          <w:tcPr>
            <w:tcW w:w="0" w:type="auto"/>
            <w:tcBorders>
              <w:top w:val="nil"/>
              <w:left w:val="nil"/>
              <w:bottom w:val="nil"/>
              <w:right w:val="nil"/>
            </w:tcBorders>
            <w:shd w:val="clear" w:color="000000" w:fill="FFFFFF"/>
            <w:noWrap/>
            <w:vAlign w:val="center"/>
            <w:hideMark/>
          </w:tcPr>
          <w:p w14:paraId="7B9CFB22"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19,370</w:t>
            </w:r>
          </w:p>
        </w:tc>
      </w:tr>
      <w:tr w:rsidR="00615F38" w:rsidRPr="008C25B0" w14:paraId="7DC87567" w14:textId="77777777" w:rsidTr="00C53EF3">
        <w:trPr>
          <w:trHeight w:val="225"/>
        </w:trPr>
        <w:tc>
          <w:tcPr>
            <w:tcW w:w="0" w:type="auto"/>
            <w:tcBorders>
              <w:top w:val="nil"/>
              <w:left w:val="nil"/>
              <w:bottom w:val="nil"/>
              <w:right w:val="nil"/>
            </w:tcBorders>
            <w:shd w:val="clear" w:color="000000" w:fill="FFFFFF"/>
            <w:noWrap/>
            <w:vAlign w:val="center"/>
            <w:hideMark/>
          </w:tcPr>
          <w:p w14:paraId="57B29178"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Other fuel products</w:t>
            </w:r>
          </w:p>
        </w:tc>
        <w:tc>
          <w:tcPr>
            <w:tcW w:w="0" w:type="auto"/>
            <w:tcBorders>
              <w:top w:val="nil"/>
              <w:left w:val="nil"/>
              <w:bottom w:val="nil"/>
              <w:right w:val="nil"/>
            </w:tcBorders>
            <w:shd w:val="clear" w:color="000000" w:fill="FFFFFF"/>
            <w:noWrap/>
            <w:vAlign w:val="center"/>
            <w:hideMark/>
          </w:tcPr>
          <w:p w14:paraId="78838A2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2,120</w:t>
            </w:r>
          </w:p>
        </w:tc>
        <w:tc>
          <w:tcPr>
            <w:tcW w:w="0" w:type="auto"/>
            <w:tcBorders>
              <w:top w:val="nil"/>
              <w:left w:val="nil"/>
              <w:bottom w:val="nil"/>
              <w:right w:val="nil"/>
            </w:tcBorders>
            <w:shd w:val="clear" w:color="000000" w:fill="E6F2FF"/>
            <w:noWrap/>
            <w:vAlign w:val="center"/>
            <w:hideMark/>
          </w:tcPr>
          <w:p w14:paraId="6957C0A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2,190</w:t>
            </w:r>
          </w:p>
        </w:tc>
        <w:tc>
          <w:tcPr>
            <w:tcW w:w="0" w:type="auto"/>
            <w:tcBorders>
              <w:top w:val="nil"/>
              <w:left w:val="nil"/>
              <w:bottom w:val="nil"/>
              <w:right w:val="nil"/>
            </w:tcBorders>
            <w:shd w:val="clear" w:color="000000" w:fill="FFFFFF"/>
            <w:noWrap/>
            <w:vAlign w:val="center"/>
            <w:hideMark/>
          </w:tcPr>
          <w:p w14:paraId="668783D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2,230</w:t>
            </w:r>
          </w:p>
        </w:tc>
        <w:tc>
          <w:tcPr>
            <w:tcW w:w="0" w:type="auto"/>
            <w:tcBorders>
              <w:top w:val="nil"/>
              <w:left w:val="nil"/>
              <w:bottom w:val="nil"/>
              <w:right w:val="nil"/>
            </w:tcBorders>
            <w:shd w:val="clear" w:color="000000" w:fill="FFFFFF"/>
            <w:noWrap/>
            <w:vAlign w:val="center"/>
            <w:hideMark/>
          </w:tcPr>
          <w:p w14:paraId="77D9A48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2,280</w:t>
            </w:r>
          </w:p>
        </w:tc>
        <w:tc>
          <w:tcPr>
            <w:tcW w:w="0" w:type="auto"/>
            <w:tcBorders>
              <w:top w:val="nil"/>
              <w:left w:val="nil"/>
              <w:bottom w:val="nil"/>
              <w:right w:val="nil"/>
            </w:tcBorders>
            <w:shd w:val="clear" w:color="000000" w:fill="FFFFFF"/>
            <w:noWrap/>
            <w:vAlign w:val="center"/>
            <w:hideMark/>
          </w:tcPr>
          <w:p w14:paraId="7389853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2,340</w:t>
            </w:r>
          </w:p>
        </w:tc>
      </w:tr>
      <w:tr w:rsidR="00615F38" w:rsidRPr="008C25B0" w14:paraId="147E12C7" w14:textId="77777777" w:rsidTr="00C53EF3">
        <w:trPr>
          <w:trHeight w:val="225"/>
        </w:trPr>
        <w:tc>
          <w:tcPr>
            <w:tcW w:w="0" w:type="auto"/>
            <w:tcBorders>
              <w:top w:val="nil"/>
              <w:left w:val="nil"/>
              <w:bottom w:val="nil"/>
              <w:right w:val="nil"/>
            </w:tcBorders>
            <w:shd w:val="clear" w:color="000000" w:fill="FFFFFF"/>
            <w:noWrap/>
            <w:vAlign w:val="center"/>
            <w:hideMark/>
          </w:tcPr>
          <w:p w14:paraId="0E4CFC50"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Tobacco</w:t>
            </w:r>
          </w:p>
        </w:tc>
        <w:tc>
          <w:tcPr>
            <w:tcW w:w="0" w:type="auto"/>
            <w:tcBorders>
              <w:top w:val="nil"/>
              <w:left w:val="nil"/>
              <w:bottom w:val="nil"/>
              <w:right w:val="nil"/>
            </w:tcBorders>
            <w:shd w:val="clear" w:color="000000" w:fill="FFFFFF"/>
            <w:noWrap/>
            <w:vAlign w:val="center"/>
            <w:hideMark/>
          </w:tcPr>
          <w:p w14:paraId="3A78415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10,500</w:t>
            </w:r>
          </w:p>
        </w:tc>
        <w:tc>
          <w:tcPr>
            <w:tcW w:w="0" w:type="auto"/>
            <w:tcBorders>
              <w:top w:val="nil"/>
              <w:left w:val="nil"/>
              <w:bottom w:val="nil"/>
              <w:right w:val="nil"/>
            </w:tcBorders>
            <w:shd w:val="clear" w:color="000000" w:fill="E6F2FF"/>
            <w:noWrap/>
            <w:vAlign w:val="center"/>
            <w:hideMark/>
          </w:tcPr>
          <w:p w14:paraId="326F438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11,550</w:t>
            </w:r>
          </w:p>
        </w:tc>
        <w:tc>
          <w:tcPr>
            <w:tcW w:w="0" w:type="auto"/>
            <w:tcBorders>
              <w:top w:val="nil"/>
              <w:left w:val="nil"/>
              <w:bottom w:val="nil"/>
              <w:right w:val="nil"/>
            </w:tcBorders>
            <w:shd w:val="clear" w:color="000000" w:fill="FFFFFF"/>
            <w:noWrap/>
            <w:vAlign w:val="center"/>
            <w:hideMark/>
          </w:tcPr>
          <w:p w14:paraId="717E703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11,500</w:t>
            </w:r>
          </w:p>
        </w:tc>
        <w:tc>
          <w:tcPr>
            <w:tcW w:w="0" w:type="auto"/>
            <w:tcBorders>
              <w:top w:val="nil"/>
              <w:left w:val="nil"/>
              <w:bottom w:val="nil"/>
              <w:right w:val="nil"/>
            </w:tcBorders>
            <w:shd w:val="clear" w:color="000000" w:fill="FFFFFF"/>
            <w:noWrap/>
            <w:vAlign w:val="center"/>
            <w:hideMark/>
          </w:tcPr>
          <w:p w14:paraId="1AA4474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11,100</w:t>
            </w:r>
          </w:p>
        </w:tc>
        <w:tc>
          <w:tcPr>
            <w:tcW w:w="0" w:type="auto"/>
            <w:tcBorders>
              <w:top w:val="nil"/>
              <w:left w:val="nil"/>
              <w:bottom w:val="nil"/>
              <w:right w:val="nil"/>
            </w:tcBorders>
            <w:shd w:val="clear" w:color="000000" w:fill="FFFFFF"/>
            <w:noWrap/>
            <w:vAlign w:val="center"/>
            <w:hideMark/>
          </w:tcPr>
          <w:p w14:paraId="2B4F18F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10,700</w:t>
            </w:r>
          </w:p>
        </w:tc>
      </w:tr>
      <w:tr w:rsidR="00615F38" w:rsidRPr="008C25B0" w14:paraId="44440EAB" w14:textId="77777777" w:rsidTr="00C53EF3">
        <w:trPr>
          <w:trHeight w:val="225"/>
        </w:trPr>
        <w:tc>
          <w:tcPr>
            <w:tcW w:w="0" w:type="auto"/>
            <w:tcBorders>
              <w:top w:val="nil"/>
              <w:left w:val="nil"/>
              <w:bottom w:val="nil"/>
              <w:right w:val="nil"/>
            </w:tcBorders>
            <w:shd w:val="clear" w:color="000000" w:fill="FFFFFF"/>
            <w:noWrap/>
            <w:vAlign w:val="center"/>
            <w:hideMark/>
          </w:tcPr>
          <w:p w14:paraId="43A31B9C"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Beer</w:t>
            </w:r>
          </w:p>
        </w:tc>
        <w:tc>
          <w:tcPr>
            <w:tcW w:w="0" w:type="auto"/>
            <w:tcBorders>
              <w:top w:val="nil"/>
              <w:left w:val="nil"/>
              <w:bottom w:val="nil"/>
              <w:right w:val="nil"/>
            </w:tcBorders>
            <w:shd w:val="clear" w:color="000000" w:fill="FFFFFF"/>
            <w:noWrap/>
            <w:vAlign w:val="center"/>
            <w:hideMark/>
          </w:tcPr>
          <w:p w14:paraId="6366F5C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2,650</w:t>
            </w:r>
          </w:p>
        </w:tc>
        <w:tc>
          <w:tcPr>
            <w:tcW w:w="0" w:type="auto"/>
            <w:tcBorders>
              <w:top w:val="nil"/>
              <w:left w:val="nil"/>
              <w:bottom w:val="nil"/>
              <w:right w:val="nil"/>
            </w:tcBorders>
            <w:shd w:val="clear" w:color="000000" w:fill="E6F2FF"/>
            <w:noWrap/>
            <w:vAlign w:val="center"/>
            <w:hideMark/>
          </w:tcPr>
          <w:p w14:paraId="7FF0BA4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2,660</w:t>
            </w:r>
          </w:p>
        </w:tc>
        <w:tc>
          <w:tcPr>
            <w:tcW w:w="0" w:type="auto"/>
            <w:tcBorders>
              <w:top w:val="nil"/>
              <w:left w:val="nil"/>
              <w:bottom w:val="nil"/>
              <w:right w:val="nil"/>
            </w:tcBorders>
            <w:shd w:val="clear" w:color="000000" w:fill="FFFFFF"/>
            <w:noWrap/>
            <w:vAlign w:val="center"/>
            <w:hideMark/>
          </w:tcPr>
          <w:p w14:paraId="5126F27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2,870</w:t>
            </w:r>
          </w:p>
        </w:tc>
        <w:tc>
          <w:tcPr>
            <w:tcW w:w="0" w:type="auto"/>
            <w:tcBorders>
              <w:top w:val="nil"/>
              <w:left w:val="nil"/>
              <w:bottom w:val="nil"/>
              <w:right w:val="nil"/>
            </w:tcBorders>
            <w:shd w:val="clear" w:color="000000" w:fill="FFFFFF"/>
            <w:noWrap/>
            <w:vAlign w:val="center"/>
            <w:hideMark/>
          </w:tcPr>
          <w:p w14:paraId="5E315DF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3,020</w:t>
            </w:r>
          </w:p>
        </w:tc>
        <w:tc>
          <w:tcPr>
            <w:tcW w:w="0" w:type="auto"/>
            <w:tcBorders>
              <w:top w:val="nil"/>
              <w:left w:val="nil"/>
              <w:bottom w:val="nil"/>
              <w:right w:val="nil"/>
            </w:tcBorders>
            <w:shd w:val="clear" w:color="000000" w:fill="FFFFFF"/>
            <w:noWrap/>
            <w:vAlign w:val="center"/>
            <w:hideMark/>
          </w:tcPr>
          <w:p w14:paraId="26EF455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3,190</w:t>
            </w:r>
          </w:p>
        </w:tc>
      </w:tr>
      <w:tr w:rsidR="00615F38" w:rsidRPr="008C25B0" w14:paraId="7E31524B" w14:textId="77777777" w:rsidTr="00C53EF3">
        <w:trPr>
          <w:trHeight w:val="225"/>
        </w:trPr>
        <w:tc>
          <w:tcPr>
            <w:tcW w:w="0" w:type="auto"/>
            <w:tcBorders>
              <w:top w:val="nil"/>
              <w:left w:val="nil"/>
              <w:bottom w:val="nil"/>
              <w:right w:val="nil"/>
            </w:tcBorders>
            <w:shd w:val="clear" w:color="000000" w:fill="FFFFFF"/>
            <w:noWrap/>
            <w:vAlign w:val="center"/>
            <w:hideMark/>
          </w:tcPr>
          <w:p w14:paraId="01F39DD3"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Spirits</w:t>
            </w:r>
          </w:p>
        </w:tc>
        <w:tc>
          <w:tcPr>
            <w:tcW w:w="0" w:type="auto"/>
            <w:tcBorders>
              <w:top w:val="nil"/>
              <w:left w:val="nil"/>
              <w:bottom w:val="nil"/>
              <w:right w:val="nil"/>
            </w:tcBorders>
            <w:shd w:val="clear" w:color="000000" w:fill="FFFFFF"/>
            <w:noWrap/>
            <w:vAlign w:val="center"/>
            <w:hideMark/>
          </w:tcPr>
          <w:p w14:paraId="79FA6A1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3,370</w:t>
            </w:r>
          </w:p>
        </w:tc>
        <w:tc>
          <w:tcPr>
            <w:tcW w:w="0" w:type="auto"/>
            <w:tcBorders>
              <w:top w:val="nil"/>
              <w:left w:val="nil"/>
              <w:bottom w:val="nil"/>
              <w:right w:val="nil"/>
            </w:tcBorders>
            <w:shd w:val="clear" w:color="000000" w:fill="E6F2FF"/>
            <w:noWrap/>
            <w:vAlign w:val="center"/>
            <w:hideMark/>
          </w:tcPr>
          <w:p w14:paraId="16C5B8C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3,590</w:t>
            </w:r>
          </w:p>
        </w:tc>
        <w:tc>
          <w:tcPr>
            <w:tcW w:w="0" w:type="auto"/>
            <w:tcBorders>
              <w:top w:val="nil"/>
              <w:left w:val="nil"/>
              <w:bottom w:val="nil"/>
              <w:right w:val="nil"/>
            </w:tcBorders>
            <w:shd w:val="clear" w:color="000000" w:fill="FFFFFF"/>
            <w:noWrap/>
            <w:vAlign w:val="center"/>
            <w:hideMark/>
          </w:tcPr>
          <w:p w14:paraId="3A4F47F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3,770</w:t>
            </w:r>
          </w:p>
        </w:tc>
        <w:tc>
          <w:tcPr>
            <w:tcW w:w="0" w:type="auto"/>
            <w:tcBorders>
              <w:top w:val="nil"/>
              <w:left w:val="nil"/>
              <w:bottom w:val="nil"/>
              <w:right w:val="nil"/>
            </w:tcBorders>
            <w:shd w:val="clear" w:color="000000" w:fill="FFFFFF"/>
            <w:noWrap/>
            <w:vAlign w:val="center"/>
            <w:hideMark/>
          </w:tcPr>
          <w:p w14:paraId="0E89CBF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3,970</w:t>
            </w:r>
          </w:p>
        </w:tc>
        <w:tc>
          <w:tcPr>
            <w:tcW w:w="0" w:type="auto"/>
            <w:tcBorders>
              <w:top w:val="nil"/>
              <w:left w:val="nil"/>
              <w:bottom w:val="nil"/>
              <w:right w:val="nil"/>
            </w:tcBorders>
            <w:shd w:val="clear" w:color="000000" w:fill="FFFFFF"/>
            <w:noWrap/>
            <w:vAlign w:val="center"/>
            <w:hideMark/>
          </w:tcPr>
          <w:p w14:paraId="5762A3C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4,170</w:t>
            </w:r>
          </w:p>
        </w:tc>
      </w:tr>
      <w:tr w:rsidR="00615F38" w:rsidRPr="008C25B0" w14:paraId="1F28DBBF" w14:textId="77777777" w:rsidTr="00C53EF3">
        <w:trPr>
          <w:trHeight w:val="225"/>
        </w:trPr>
        <w:tc>
          <w:tcPr>
            <w:tcW w:w="0" w:type="auto"/>
            <w:tcBorders>
              <w:top w:val="nil"/>
              <w:left w:val="nil"/>
              <w:bottom w:val="nil"/>
              <w:right w:val="nil"/>
            </w:tcBorders>
            <w:shd w:val="clear" w:color="000000" w:fill="FFFFFF"/>
            <w:noWrap/>
            <w:vAlign w:val="center"/>
            <w:hideMark/>
          </w:tcPr>
          <w:p w14:paraId="452EFB03"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Other alcoholic beverages(a)</w:t>
            </w:r>
          </w:p>
        </w:tc>
        <w:tc>
          <w:tcPr>
            <w:tcW w:w="0" w:type="auto"/>
            <w:tcBorders>
              <w:top w:val="nil"/>
              <w:left w:val="nil"/>
              <w:bottom w:val="nil"/>
              <w:right w:val="nil"/>
            </w:tcBorders>
            <w:shd w:val="clear" w:color="000000" w:fill="FFFFFF"/>
            <w:noWrap/>
            <w:vAlign w:val="center"/>
            <w:hideMark/>
          </w:tcPr>
          <w:p w14:paraId="36606DF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1,680</w:t>
            </w:r>
          </w:p>
        </w:tc>
        <w:tc>
          <w:tcPr>
            <w:tcW w:w="0" w:type="auto"/>
            <w:tcBorders>
              <w:top w:val="nil"/>
              <w:left w:val="nil"/>
              <w:bottom w:val="nil"/>
              <w:right w:val="nil"/>
            </w:tcBorders>
            <w:shd w:val="clear" w:color="000000" w:fill="E6F2FF"/>
            <w:noWrap/>
            <w:vAlign w:val="center"/>
            <w:hideMark/>
          </w:tcPr>
          <w:p w14:paraId="2C68833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1,750</w:t>
            </w:r>
          </w:p>
        </w:tc>
        <w:tc>
          <w:tcPr>
            <w:tcW w:w="0" w:type="auto"/>
            <w:tcBorders>
              <w:top w:val="nil"/>
              <w:left w:val="nil"/>
              <w:bottom w:val="nil"/>
              <w:right w:val="nil"/>
            </w:tcBorders>
            <w:shd w:val="clear" w:color="000000" w:fill="FFFFFF"/>
            <w:noWrap/>
            <w:vAlign w:val="center"/>
            <w:hideMark/>
          </w:tcPr>
          <w:p w14:paraId="407DA11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1,810</w:t>
            </w:r>
          </w:p>
        </w:tc>
        <w:tc>
          <w:tcPr>
            <w:tcW w:w="0" w:type="auto"/>
            <w:tcBorders>
              <w:top w:val="nil"/>
              <w:left w:val="nil"/>
              <w:bottom w:val="nil"/>
              <w:right w:val="nil"/>
            </w:tcBorders>
            <w:shd w:val="clear" w:color="000000" w:fill="FFFFFF"/>
            <w:noWrap/>
            <w:vAlign w:val="center"/>
            <w:hideMark/>
          </w:tcPr>
          <w:p w14:paraId="2E99518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1,910</w:t>
            </w:r>
          </w:p>
        </w:tc>
        <w:tc>
          <w:tcPr>
            <w:tcW w:w="0" w:type="auto"/>
            <w:tcBorders>
              <w:top w:val="nil"/>
              <w:left w:val="nil"/>
              <w:bottom w:val="nil"/>
              <w:right w:val="nil"/>
            </w:tcBorders>
            <w:shd w:val="clear" w:color="000000" w:fill="FFFFFF"/>
            <w:noWrap/>
            <w:vAlign w:val="center"/>
            <w:hideMark/>
          </w:tcPr>
          <w:p w14:paraId="4AD9C35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2,010</w:t>
            </w:r>
          </w:p>
        </w:tc>
      </w:tr>
      <w:tr w:rsidR="00615F38" w:rsidRPr="008C25B0" w14:paraId="46685D99" w14:textId="77777777" w:rsidTr="00C53EF3">
        <w:trPr>
          <w:trHeight w:val="225"/>
        </w:trPr>
        <w:tc>
          <w:tcPr>
            <w:tcW w:w="0" w:type="auto"/>
            <w:tcBorders>
              <w:top w:val="nil"/>
              <w:left w:val="nil"/>
              <w:bottom w:val="nil"/>
              <w:right w:val="nil"/>
            </w:tcBorders>
            <w:shd w:val="clear" w:color="000000" w:fill="FFFFFF"/>
            <w:noWrap/>
            <w:vAlign w:val="center"/>
            <w:hideMark/>
          </w:tcPr>
          <w:p w14:paraId="7D82E5C1" w14:textId="77777777" w:rsidR="00615F38" w:rsidRPr="008C25B0" w:rsidRDefault="00615F38" w:rsidP="00C53EF3">
            <w:pPr>
              <w:spacing w:before="0" w:after="0" w:line="240" w:lineRule="auto"/>
              <w:ind w:firstLineChars="100" w:firstLine="160"/>
              <w:rPr>
                <w:rFonts w:ascii="Arial" w:hAnsi="Arial" w:cs="Arial"/>
                <w:sz w:val="16"/>
                <w:szCs w:val="16"/>
              </w:rPr>
            </w:pPr>
            <w:r w:rsidRPr="008C25B0">
              <w:rPr>
                <w:rFonts w:ascii="Arial" w:hAnsi="Arial" w:cs="Arial"/>
                <w:sz w:val="16"/>
                <w:szCs w:val="16"/>
              </w:rPr>
              <w:t>Other customs duty</w:t>
            </w:r>
          </w:p>
        </w:tc>
        <w:tc>
          <w:tcPr>
            <w:tcW w:w="0" w:type="auto"/>
            <w:tcBorders>
              <w:top w:val="nil"/>
              <w:left w:val="nil"/>
              <w:bottom w:val="nil"/>
              <w:right w:val="nil"/>
            </w:tcBorders>
            <w:shd w:val="clear" w:color="000000" w:fill="FFFFFF"/>
            <w:noWrap/>
            <w:vAlign w:val="center"/>
            <w:hideMark/>
          </w:tcPr>
          <w:p w14:paraId="21B5263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3D888ED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3ADD573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5867321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9F9922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 </w:t>
            </w:r>
          </w:p>
        </w:tc>
      </w:tr>
      <w:tr w:rsidR="00615F38" w:rsidRPr="008C25B0" w14:paraId="54651C75" w14:textId="77777777" w:rsidTr="00C53EF3">
        <w:trPr>
          <w:trHeight w:val="225"/>
        </w:trPr>
        <w:tc>
          <w:tcPr>
            <w:tcW w:w="0" w:type="auto"/>
            <w:tcBorders>
              <w:top w:val="nil"/>
              <w:left w:val="nil"/>
              <w:bottom w:val="nil"/>
              <w:right w:val="nil"/>
            </w:tcBorders>
            <w:shd w:val="clear" w:color="000000" w:fill="FFFFFF"/>
            <w:noWrap/>
            <w:vAlign w:val="center"/>
            <w:hideMark/>
          </w:tcPr>
          <w:p w14:paraId="2CDB8D5A" w14:textId="77777777" w:rsidR="00615F38" w:rsidRPr="008C25B0" w:rsidRDefault="00615F38" w:rsidP="00C53EF3">
            <w:pPr>
              <w:spacing w:before="0" w:after="0" w:line="240" w:lineRule="auto"/>
              <w:ind w:firstLineChars="200" w:firstLine="320"/>
              <w:rPr>
                <w:rFonts w:ascii="Arial" w:hAnsi="Arial" w:cs="Arial"/>
                <w:sz w:val="16"/>
                <w:szCs w:val="16"/>
              </w:rPr>
            </w:pPr>
            <w:r w:rsidRPr="008C25B0">
              <w:rPr>
                <w:rFonts w:ascii="Arial" w:hAnsi="Arial" w:cs="Arial"/>
                <w:sz w:val="16"/>
                <w:szCs w:val="16"/>
              </w:rPr>
              <w:t>Textiles, clothing and footwear</w:t>
            </w:r>
          </w:p>
        </w:tc>
        <w:tc>
          <w:tcPr>
            <w:tcW w:w="0" w:type="auto"/>
            <w:tcBorders>
              <w:top w:val="nil"/>
              <w:left w:val="nil"/>
              <w:bottom w:val="nil"/>
              <w:right w:val="nil"/>
            </w:tcBorders>
            <w:shd w:val="clear" w:color="000000" w:fill="FFFFFF"/>
            <w:noWrap/>
            <w:vAlign w:val="center"/>
            <w:hideMark/>
          </w:tcPr>
          <w:p w14:paraId="7DCA763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160</w:t>
            </w:r>
          </w:p>
        </w:tc>
        <w:tc>
          <w:tcPr>
            <w:tcW w:w="0" w:type="auto"/>
            <w:tcBorders>
              <w:top w:val="nil"/>
              <w:left w:val="nil"/>
              <w:bottom w:val="nil"/>
              <w:right w:val="nil"/>
            </w:tcBorders>
            <w:shd w:val="clear" w:color="000000" w:fill="E6F2FF"/>
            <w:noWrap/>
            <w:vAlign w:val="center"/>
            <w:hideMark/>
          </w:tcPr>
          <w:p w14:paraId="5B25B82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170</w:t>
            </w:r>
          </w:p>
        </w:tc>
        <w:tc>
          <w:tcPr>
            <w:tcW w:w="0" w:type="auto"/>
            <w:tcBorders>
              <w:top w:val="nil"/>
              <w:left w:val="nil"/>
              <w:bottom w:val="nil"/>
              <w:right w:val="nil"/>
            </w:tcBorders>
            <w:shd w:val="clear" w:color="000000" w:fill="FFFFFF"/>
            <w:noWrap/>
            <w:vAlign w:val="center"/>
            <w:hideMark/>
          </w:tcPr>
          <w:p w14:paraId="5116956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170</w:t>
            </w:r>
          </w:p>
        </w:tc>
        <w:tc>
          <w:tcPr>
            <w:tcW w:w="0" w:type="auto"/>
            <w:tcBorders>
              <w:top w:val="nil"/>
              <w:left w:val="nil"/>
              <w:bottom w:val="nil"/>
              <w:right w:val="nil"/>
            </w:tcBorders>
            <w:shd w:val="clear" w:color="000000" w:fill="FFFFFF"/>
            <w:noWrap/>
            <w:vAlign w:val="center"/>
            <w:hideMark/>
          </w:tcPr>
          <w:p w14:paraId="6A6E2CB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190</w:t>
            </w:r>
          </w:p>
        </w:tc>
        <w:tc>
          <w:tcPr>
            <w:tcW w:w="0" w:type="auto"/>
            <w:tcBorders>
              <w:top w:val="nil"/>
              <w:left w:val="nil"/>
              <w:bottom w:val="nil"/>
              <w:right w:val="nil"/>
            </w:tcBorders>
            <w:shd w:val="clear" w:color="000000" w:fill="FFFFFF"/>
            <w:noWrap/>
            <w:vAlign w:val="center"/>
            <w:hideMark/>
          </w:tcPr>
          <w:p w14:paraId="1FB741D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150</w:t>
            </w:r>
          </w:p>
        </w:tc>
      </w:tr>
      <w:tr w:rsidR="00615F38" w:rsidRPr="008C25B0" w14:paraId="298EA498" w14:textId="77777777" w:rsidTr="00C53EF3">
        <w:trPr>
          <w:trHeight w:val="225"/>
        </w:trPr>
        <w:tc>
          <w:tcPr>
            <w:tcW w:w="0" w:type="auto"/>
            <w:tcBorders>
              <w:top w:val="nil"/>
              <w:left w:val="nil"/>
              <w:bottom w:val="nil"/>
              <w:right w:val="nil"/>
            </w:tcBorders>
            <w:shd w:val="clear" w:color="000000" w:fill="FFFFFF"/>
            <w:noWrap/>
            <w:vAlign w:val="center"/>
            <w:hideMark/>
          </w:tcPr>
          <w:p w14:paraId="4601A86B" w14:textId="77777777" w:rsidR="00615F38" w:rsidRPr="008C25B0" w:rsidRDefault="00615F38" w:rsidP="00C53EF3">
            <w:pPr>
              <w:spacing w:before="0" w:after="0" w:line="240" w:lineRule="auto"/>
              <w:ind w:firstLineChars="200" w:firstLine="320"/>
              <w:rPr>
                <w:rFonts w:ascii="Arial" w:hAnsi="Arial" w:cs="Arial"/>
                <w:sz w:val="16"/>
                <w:szCs w:val="16"/>
              </w:rPr>
            </w:pPr>
            <w:r w:rsidRPr="008C25B0">
              <w:rPr>
                <w:rFonts w:ascii="Arial" w:hAnsi="Arial" w:cs="Arial"/>
                <w:sz w:val="16"/>
                <w:szCs w:val="16"/>
              </w:rPr>
              <w:t>Passenger motor vehicles</w:t>
            </w:r>
          </w:p>
        </w:tc>
        <w:tc>
          <w:tcPr>
            <w:tcW w:w="0" w:type="auto"/>
            <w:tcBorders>
              <w:top w:val="nil"/>
              <w:left w:val="nil"/>
              <w:bottom w:val="nil"/>
              <w:right w:val="nil"/>
            </w:tcBorders>
            <w:shd w:val="clear" w:color="000000" w:fill="FFFFFF"/>
            <w:noWrap/>
            <w:vAlign w:val="center"/>
            <w:hideMark/>
          </w:tcPr>
          <w:p w14:paraId="48A6EAA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380</w:t>
            </w:r>
          </w:p>
        </w:tc>
        <w:tc>
          <w:tcPr>
            <w:tcW w:w="0" w:type="auto"/>
            <w:tcBorders>
              <w:top w:val="nil"/>
              <w:left w:val="nil"/>
              <w:bottom w:val="nil"/>
              <w:right w:val="nil"/>
            </w:tcBorders>
            <w:shd w:val="clear" w:color="000000" w:fill="E6F2FF"/>
            <w:noWrap/>
            <w:vAlign w:val="center"/>
            <w:hideMark/>
          </w:tcPr>
          <w:p w14:paraId="468439E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380</w:t>
            </w:r>
          </w:p>
        </w:tc>
        <w:tc>
          <w:tcPr>
            <w:tcW w:w="0" w:type="auto"/>
            <w:tcBorders>
              <w:top w:val="nil"/>
              <w:left w:val="nil"/>
              <w:bottom w:val="nil"/>
              <w:right w:val="nil"/>
            </w:tcBorders>
            <w:shd w:val="clear" w:color="000000" w:fill="FFFFFF"/>
            <w:noWrap/>
            <w:vAlign w:val="center"/>
            <w:hideMark/>
          </w:tcPr>
          <w:p w14:paraId="59AEC9E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370</w:t>
            </w:r>
          </w:p>
        </w:tc>
        <w:tc>
          <w:tcPr>
            <w:tcW w:w="0" w:type="auto"/>
            <w:tcBorders>
              <w:top w:val="nil"/>
              <w:left w:val="nil"/>
              <w:bottom w:val="nil"/>
              <w:right w:val="nil"/>
            </w:tcBorders>
            <w:shd w:val="clear" w:color="000000" w:fill="FFFFFF"/>
            <w:noWrap/>
            <w:vAlign w:val="center"/>
            <w:hideMark/>
          </w:tcPr>
          <w:p w14:paraId="2183B0F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330</w:t>
            </w:r>
          </w:p>
        </w:tc>
        <w:tc>
          <w:tcPr>
            <w:tcW w:w="0" w:type="auto"/>
            <w:tcBorders>
              <w:top w:val="nil"/>
              <w:left w:val="nil"/>
              <w:bottom w:val="nil"/>
              <w:right w:val="nil"/>
            </w:tcBorders>
            <w:shd w:val="clear" w:color="000000" w:fill="FFFFFF"/>
            <w:noWrap/>
            <w:vAlign w:val="center"/>
            <w:hideMark/>
          </w:tcPr>
          <w:p w14:paraId="54284FE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110</w:t>
            </w:r>
          </w:p>
        </w:tc>
      </w:tr>
      <w:tr w:rsidR="00615F38" w:rsidRPr="008C25B0" w14:paraId="44A24C2D" w14:textId="77777777" w:rsidTr="00C53EF3">
        <w:trPr>
          <w:trHeight w:val="225"/>
        </w:trPr>
        <w:tc>
          <w:tcPr>
            <w:tcW w:w="0" w:type="auto"/>
            <w:tcBorders>
              <w:top w:val="nil"/>
              <w:left w:val="nil"/>
              <w:bottom w:val="nil"/>
              <w:right w:val="nil"/>
            </w:tcBorders>
            <w:shd w:val="clear" w:color="000000" w:fill="FFFFFF"/>
            <w:noWrap/>
            <w:vAlign w:val="center"/>
            <w:hideMark/>
          </w:tcPr>
          <w:p w14:paraId="604D13DD" w14:textId="77777777" w:rsidR="00615F38" w:rsidRPr="008C25B0" w:rsidRDefault="00615F38" w:rsidP="00C53EF3">
            <w:pPr>
              <w:spacing w:before="0" w:after="0" w:line="240" w:lineRule="auto"/>
              <w:ind w:firstLineChars="200" w:firstLine="320"/>
              <w:rPr>
                <w:rFonts w:ascii="Arial" w:hAnsi="Arial" w:cs="Arial"/>
                <w:sz w:val="16"/>
                <w:szCs w:val="16"/>
              </w:rPr>
            </w:pPr>
            <w:r w:rsidRPr="008C25B0">
              <w:rPr>
                <w:rFonts w:ascii="Arial" w:hAnsi="Arial" w:cs="Arial"/>
                <w:sz w:val="16"/>
                <w:szCs w:val="16"/>
              </w:rPr>
              <w:t>Other imports</w:t>
            </w:r>
          </w:p>
        </w:tc>
        <w:tc>
          <w:tcPr>
            <w:tcW w:w="0" w:type="auto"/>
            <w:tcBorders>
              <w:top w:val="nil"/>
              <w:left w:val="nil"/>
              <w:bottom w:val="nil"/>
              <w:right w:val="nil"/>
            </w:tcBorders>
            <w:shd w:val="clear" w:color="000000" w:fill="FFFFFF"/>
            <w:noWrap/>
            <w:vAlign w:val="center"/>
            <w:hideMark/>
          </w:tcPr>
          <w:p w14:paraId="07FFEB6B"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1,490</w:t>
            </w:r>
          </w:p>
        </w:tc>
        <w:tc>
          <w:tcPr>
            <w:tcW w:w="0" w:type="auto"/>
            <w:tcBorders>
              <w:top w:val="nil"/>
              <w:left w:val="nil"/>
              <w:bottom w:val="nil"/>
              <w:right w:val="nil"/>
            </w:tcBorders>
            <w:shd w:val="clear" w:color="000000" w:fill="E6F2FF"/>
            <w:noWrap/>
            <w:vAlign w:val="center"/>
            <w:hideMark/>
          </w:tcPr>
          <w:p w14:paraId="7FF70B1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1,530</w:t>
            </w:r>
          </w:p>
        </w:tc>
        <w:tc>
          <w:tcPr>
            <w:tcW w:w="0" w:type="auto"/>
            <w:tcBorders>
              <w:top w:val="nil"/>
              <w:left w:val="nil"/>
              <w:bottom w:val="nil"/>
              <w:right w:val="nil"/>
            </w:tcBorders>
            <w:shd w:val="clear" w:color="000000" w:fill="FFFFFF"/>
            <w:noWrap/>
            <w:vAlign w:val="center"/>
            <w:hideMark/>
          </w:tcPr>
          <w:p w14:paraId="4371331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1,590</w:t>
            </w:r>
          </w:p>
        </w:tc>
        <w:tc>
          <w:tcPr>
            <w:tcW w:w="0" w:type="auto"/>
            <w:tcBorders>
              <w:top w:val="nil"/>
              <w:left w:val="nil"/>
              <w:bottom w:val="nil"/>
              <w:right w:val="nil"/>
            </w:tcBorders>
            <w:shd w:val="clear" w:color="000000" w:fill="FFFFFF"/>
            <w:noWrap/>
            <w:vAlign w:val="center"/>
            <w:hideMark/>
          </w:tcPr>
          <w:p w14:paraId="68C0F88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1,650</w:t>
            </w:r>
          </w:p>
        </w:tc>
        <w:tc>
          <w:tcPr>
            <w:tcW w:w="0" w:type="auto"/>
            <w:tcBorders>
              <w:top w:val="nil"/>
              <w:left w:val="nil"/>
              <w:bottom w:val="nil"/>
              <w:right w:val="nil"/>
            </w:tcBorders>
            <w:shd w:val="clear" w:color="000000" w:fill="FFFFFF"/>
            <w:noWrap/>
            <w:vAlign w:val="center"/>
            <w:hideMark/>
          </w:tcPr>
          <w:p w14:paraId="4E0C303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900</w:t>
            </w:r>
          </w:p>
        </w:tc>
      </w:tr>
      <w:tr w:rsidR="00615F38" w:rsidRPr="008C25B0" w14:paraId="497170D8" w14:textId="77777777" w:rsidTr="00C53EF3">
        <w:trPr>
          <w:trHeight w:val="225"/>
        </w:trPr>
        <w:tc>
          <w:tcPr>
            <w:tcW w:w="0" w:type="auto"/>
            <w:tcBorders>
              <w:top w:val="nil"/>
              <w:left w:val="nil"/>
              <w:bottom w:val="nil"/>
              <w:right w:val="nil"/>
            </w:tcBorders>
            <w:shd w:val="clear" w:color="000000" w:fill="FFFFFF"/>
            <w:noWrap/>
            <w:vAlign w:val="center"/>
            <w:hideMark/>
          </w:tcPr>
          <w:p w14:paraId="21513BE8" w14:textId="77777777" w:rsidR="00615F38" w:rsidRPr="008C25B0" w:rsidRDefault="00615F38" w:rsidP="00C53EF3">
            <w:pPr>
              <w:spacing w:before="0" w:after="0" w:line="240" w:lineRule="auto"/>
              <w:ind w:firstLineChars="100" w:firstLine="160"/>
              <w:rPr>
                <w:rFonts w:ascii="Arial" w:hAnsi="Arial" w:cs="Arial"/>
                <w:i/>
                <w:iCs/>
                <w:sz w:val="16"/>
                <w:szCs w:val="16"/>
              </w:rPr>
            </w:pPr>
            <w:r w:rsidRPr="008C25B0">
              <w:rPr>
                <w:rFonts w:ascii="Arial" w:hAnsi="Arial" w:cs="Arial"/>
                <w:i/>
                <w:iCs/>
                <w:sz w:val="16"/>
                <w:szCs w:val="16"/>
              </w:rPr>
              <w:t xml:space="preserve">less: </w:t>
            </w:r>
            <w:r w:rsidRPr="008C25B0">
              <w:rPr>
                <w:rFonts w:ascii="Arial" w:hAnsi="Arial" w:cs="Arial"/>
                <w:sz w:val="16"/>
                <w:szCs w:val="16"/>
              </w:rPr>
              <w:t>Refunds and drawbacks</w:t>
            </w:r>
          </w:p>
        </w:tc>
        <w:tc>
          <w:tcPr>
            <w:tcW w:w="0" w:type="auto"/>
            <w:tcBorders>
              <w:top w:val="nil"/>
              <w:left w:val="nil"/>
              <w:bottom w:val="single" w:sz="4" w:space="0" w:color="293F5B"/>
              <w:right w:val="nil"/>
            </w:tcBorders>
            <w:shd w:val="clear" w:color="000000" w:fill="FFFFFF"/>
            <w:noWrap/>
            <w:vAlign w:val="center"/>
            <w:hideMark/>
          </w:tcPr>
          <w:p w14:paraId="4473F9C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850</w:t>
            </w:r>
          </w:p>
        </w:tc>
        <w:tc>
          <w:tcPr>
            <w:tcW w:w="0" w:type="auto"/>
            <w:tcBorders>
              <w:top w:val="nil"/>
              <w:left w:val="nil"/>
              <w:bottom w:val="single" w:sz="4" w:space="0" w:color="293F5B"/>
              <w:right w:val="nil"/>
            </w:tcBorders>
            <w:shd w:val="clear" w:color="000000" w:fill="E6F2FF"/>
            <w:noWrap/>
            <w:vAlign w:val="center"/>
            <w:hideMark/>
          </w:tcPr>
          <w:p w14:paraId="3042914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730</w:t>
            </w:r>
          </w:p>
        </w:tc>
        <w:tc>
          <w:tcPr>
            <w:tcW w:w="0" w:type="auto"/>
            <w:tcBorders>
              <w:top w:val="nil"/>
              <w:left w:val="nil"/>
              <w:bottom w:val="single" w:sz="4" w:space="0" w:color="293F5B"/>
              <w:right w:val="nil"/>
            </w:tcBorders>
            <w:shd w:val="clear" w:color="000000" w:fill="FFFFFF"/>
            <w:noWrap/>
            <w:vAlign w:val="center"/>
            <w:hideMark/>
          </w:tcPr>
          <w:p w14:paraId="04CD056D"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730</w:t>
            </w:r>
          </w:p>
        </w:tc>
        <w:tc>
          <w:tcPr>
            <w:tcW w:w="0" w:type="auto"/>
            <w:tcBorders>
              <w:top w:val="nil"/>
              <w:left w:val="nil"/>
              <w:bottom w:val="single" w:sz="4" w:space="0" w:color="293F5B"/>
              <w:right w:val="nil"/>
            </w:tcBorders>
            <w:shd w:val="clear" w:color="000000" w:fill="FFFFFF"/>
            <w:noWrap/>
            <w:vAlign w:val="center"/>
            <w:hideMark/>
          </w:tcPr>
          <w:p w14:paraId="4855E0E4"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730</w:t>
            </w:r>
          </w:p>
        </w:tc>
        <w:tc>
          <w:tcPr>
            <w:tcW w:w="0" w:type="auto"/>
            <w:tcBorders>
              <w:top w:val="nil"/>
              <w:left w:val="nil"/>
              <w:bottom w:val="single" w:sz="4" w:space="0" w:color="293F5B"/>
              <w:right w:val="nil"/>
            </w:tcBorders>
            <w:shd w:val="clear" w:color="000000" w:fill="FFFFFF"/>
            <w:noWrap/>
            <w:vAlign w:val="center"/>
            <w:hideMark/>
          </w:tcPr>
          <w:p w14:paraId="21A170C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730</w:t>
            </w:r>
          </w:p>
        </w:tc>
      </w:tr>
      <w:tr w:rsidR="00615F38" w:rsidRPr="008C25B0" w14:paraId="60B7C737" w14:textId="77777777" w:rsidTr="00C53EF3">
        <w:trPr>
          <w:trHeight w:val="225"/>
        </w:trPr>
        <w:tc>
          <w:tcPr>
            <w:tcW w:w="0" w:type="auto"/>
            <w:tcBorders>
              <w:top w:val="nil"/>
              <w:left w:val="nil"/>
              <w:bottom w:val="nil"/>
              <w:right w:val="nil"/>
            </w:tcBorders>
            <w:shd w:val="clear" w:color="000000" w:fill="FFFFFF"/>
            <w:noWrap/>
            <w:vAlign w:val="center"/>
            <w:hideMark/>
          </w:tcPr>
          <w:p w14:paraId="2002D86D" w14:textId="77777777" w:rsidR="00615F38" w:rsidRPr="008C25B0" w:rsidRDefault="00615F38" w:rsidP="00C53EF3">
            <w:pPr>
              <w:spacing w:before="0" w:after="0" w:line="240" w:lineRule="auto"/>
              <w:rPr>
                <w:rFonts w:ascii="Arial" w:hAnsi="Arial" w:cs="Arial"/>
                <w:sz w:val="16"/>
                <w:szCs w:val="16"/>
              </w:rPr>
            </w:pPr>
            <w:r w:rsidRPr="008C25B0">
              <w:rPr>
                <w:rFonts w:ascii="Arial" w:hAnsi="Arial" w:cs="Arial"/>
                <w:sz w:val="16"/>
                <w:szCs w:val="16"/>
              </w:rPr>
              <w:t>Total excise and customs duty</w:t>
            </w:r>
          </w:p>
        </w:tc>
        <w:tc>
          <w:tcPr>
            <w:tcW w:w="0" w:type="auto"/>
            <w:tcBorders>
              <w:top w:val="nil"/>
              <w:left w:val="nil"/>
              <w:bottom w:val="nil"/>
              <w:right w:val="nil"/>
            </w:tcBorders>
            <w:shd w:val="clear" w:color="000000" w:fill="FFFFFF"/>
            <w:noWrap/>
            <w:vAlign w:val="center"/>
            <w:hideMark/>
          </w:tcPr>
          <w:p w14:paraId="28358BC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44,660</w:t>
            </w:r>
          </w:p>
        </w:tc>
        <w:tc>
          <w:tcPr>
            <w:tcW w:w="0" w:type="auto"/>
            <w:tcBorders>
              <w:top w:val="nil"/>
              <w:left w:val="nil"/>
              <w:bottom w:val="nil"/>
              <w:right w:val="nil"/>
            </w:tcBorders>
            <w:shd w:val="clear" w:color="000000" w:fill="E6F2FF"/>
            <w:noWrap/>
            <w:vAlign w:val="center"/>
            <w:hideMark/>
          </w:tcPr>
          <w:p w14:paraId="29409515"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47,280</w:t>
            </w:r>
          </w:p>
        </w:tc>
        <w:tc>
          <w:tcPr>
            <w:tcW w:w="0" w:type="auto"/>
            <w:tcBorders>
              <w:top w:val="nil"/>
              <w:left w:val="nil"/>
              <w:bottom w:val="nil"/>
              <w:right w:val="nil"/>
            </w:tcBorders>
            <w:shd w:val="clear" w:color="000000" w:fill="FFFFFF"/>
            <w:noWrap/>
            <w:vAlign w:val="center"/>
            <w:hideMark/>
          </w:tcPr>
          <w:p w14:paraId="2DA4122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48,880</w:t>
            </w:r>
          </w:p>
        </w:tc>
        <w:tc>
          <w:tcPr>
            <w:tcW w:w="0" w:type="auto"/>
            <w:tcBorders>
              <w:top w:val="nil"/>
              <w:left w:val="nil"/>
              <w:bottom w:val="nil"/>
              <w:right w:val="nil"/>
            </w:tcBorders>
            <w:shd w:val="clear" w:color="000000" w:fill="FFFFFF"/>
            <w:noWrap/>
            <w:vAlign w:val="center"/>
            <w:hideMark/>
          </w:tcPr>
          <w:p w14:paraId="0A5965F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50,140</w:t>
            </w:r>
          </w:p>
        </w:tc>
        <w:tc>
          <w:tcPr>
            <w:tcW w:w="0" w:type="auto"/>
            <w:tcBorders>
              <w:top w:val="nil"/>
              <w:left w:val="nil"/>
              <w:bottom w:val="nil"/>
              <w:right w:val="nil"/>
            </w:tcBorders>
            <w:shd w:val="clear" w:color="000000" w:fill="FFFFFF"/>
            <w:noWrap/>
            <w:vAlign w:val="center"/>
            <w:hideMark/>
          </w:tcPr>
          <w:p w14:paraId="22A9A1F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50,210</w:t>
            </w:r>
          </w:p>
        </w:tc>
      </w:tr>
      <w:tr w:rsidR="00615F38" w:rsidRPr="008C25B0" w14:paraId="2FB71BE2" w14:textId="77777777" w:rsidTr="00C53EF3">
        <w:trPr>
          <w:trHeight w:val="225"/>
        </w:trPr>
        <w:tc>
          <w:tcPr>
            <w:tcW w:w="0" w:type="auto"/>
            <w:tcBorders>
              <w:top w:val="nil"/>
              <w:left w:val="nil"/>
              <w:bottom w:val="nil"/>
              <w:right w:val="nil"/>
            </w:tcBorders>
            <w:shd w:val="clear" w:color="000000" w:fill="FFFFFF"/>
            <w:noWrap/>
            <w:vAlign w:val="center"/>
            <w:hideMark/>
          </w:tcPr>
          <w:p w14:paraId="05626931"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Major bank levy</w:t>
            </w:r>
          </w:p>
        </w:tc>
        <w:tc>
          <w:tcPr>
            <w:tcW w:w="0" w:type="auto"/>
            <w:tcBorders>
              <w:top w:val="nil"/>
              <w:left w:val="nil"/>
              <w:bottom w:val="nil"/>
              <w:right w:val="nil"/>
            </w:tcBorders>
            <w:shd w:val="clear" w:color="000000" w:fill="FFFFFF"/>
            <w:noWrap/>
            <w:vAlign w:val="center"/>
            <w:hideMark/>
          </w:tcPr>
          <w:p w14:paraId="2B6A38F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1,660</w:t>
            </w:r>
          </w:p>
        </w:tc>
        <w:tc>
          <w:tcPr>
            <w:tcW w:w="0" w:type="auto"/>
            <w:tcBorders>
              <w:top w:val="nil"/>
              <w:left w:val="nil"/>
              <w:bottom w:val="nil"/>
              <w:right w:val="nil"/>
            </w:tcBorders>
            <w:shd w:val="clear" w:color="000000" w:fill="E6F2FF"/>
            <w:noWrap/>
            <w:vAlign w:val="center"/>
            <w:hideMark/>
          </w:tcPr>
          <w:p w14:paraId="25185677"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1,740</w:t>
            </w:r>
          </w:p>
        </w:tc>
        <w:tc>
          <w:tcPr>
            <w:tcW w:w="0" w:type="auto"/>
            <w:tcBorders>
              <w:top w:val="nil"/>
              <w:left w:val="nil"/>
              <w:bottom w:val="nil"/>
              <w:right w:val="nil"/>
            </w:tcBorders>
            <w:shd w:val="clear" w:color="000000" w:fill="FFFFFF"/>
            <w:noWrap/>
            <w:vAlign w:val="center"/>
            <w:hideMark/>
          </w:tcPr>
          <w:p w14:paraId="31B9DAF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1,800</w:t>
            </w:r>
          </w:p>
        </w:tc>
        <w:tc>
          <w:tcPr>
            <w:tcW w:w="0" w:type="auto"/>
            <w:tcBorders>
              <w:top w:val="nil"/>
              <w:left w:val="nil"/>
              <w:bottom w:val="nil"/>
              <w:right w:val="nil"/>
            </w:tcBorders>
            <w:shd w:val="clear" w:color="000000" w:fill="FFFFFF"/>
            <w:noWrap/>
            <w:vAlign w:val="center"/>
            <w:hideMark/>
          </w:tcPr>
          <w:p w14:paraId="4210FC82"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1,880</w:t>
            </w:r>
          </w:p>
        </w:tc>
        <w:tc>
          <w:tcPr>
            <w:tcW w:w="0" w:type="auto"/>
            <w:tcBorders>
              <w:top w:val="nil"/>
              <w:left w:val="nil"/>
              <w:bottom w:val="nil"/>
              <w:right w:val="nil"/>
            </w:tcBorders>
            <w:shd w:val="clear" w:color="000000" w:fill="FFFFFF"/>
            <w:noWrap/>
            <w:vAlign w:val="center"/>
            <w:hideMark/>
          </w:tcPr>
          <w:p w14:paraId="20B3E078"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1,980</w:t>
            </w:r>
          </w:p>
        </w:tc>
      </w:tr>
      <w:tr w:rsidR="00615F38" w:rsidRPr="008C25B0" w14:paraId="501379BB" w14:textId="77777777" w:rsidTr="00C53EF3">
        <w:trPr>
          <w:trHeight w:val="225"/>
        </w:trPr>
        <w:tc>
          <w:tcPr>
            <w:tcW w:w="0" w:type="auto"/>
            <w:tcBorders>
              <w:top w:val="nil"/>
              <w:left w:val="nil"/>
              <w:bottom w:val="nil"/>
              <w:right w:val="nil"/>
            </w:tcBorders>
            <w:shd w:val="clear" w:color="000000" w:fill="FFFFFF"/>
            <w:noWrap/>
            <w:vAlign w:val="center"/>
            <w:hideMark/>
          </w:tcPr>
          <w:p w14:paraId="1EB58119"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Agricultural levies</w:t>
            </w:r>
          </w:p>
        </w:tc>
        <w:tc>
          <w:tcPr>
            <w:tcW w:w="0" w:type="auto"/>
            <w:tcBorders>
              <w:top w:val="nil"/>
              <w:left w:val="nil"/>
              <w:bottom w:val="nil"/>
              <w:right w:val="nil"/>
            </w:tcBorders>
            <w:shd w:val="clear" w:color="000000" w:fill="FFFFFF"/>
            <w:noWrap/>
            <w:vAlign w:val="center"/>
            <w:hideMark/>
          </w:tcPr>
          <w:p w14:paraId="3426675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618</w:t>
            </w:r>
          </w:p>
        </w:tc>
        <w:tc>
          <w:tcPr>
            <w:tcW w:w="0" w:type="auto"/>
            <w:tcBorders>
              <w:top w:val="nil"/>
              <w:left w:val="nil"/>
              <w:bottom w:val="nil"/>
              <w:right w:val="nil"/>
            </w:tcBorders>
            <w:shd w:val="clear" w:color="000000" w:fill="E6F2FF"/>
            <w:noWrap/>
            <w:vAlign w:val="center"/>
            <w:hideMark/>
          </w:tcPr>
          <w:p w14:paraId="405629A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627</w:t>
            </w:r>
          </w:p>
        </w:tc>
        <w:tc>
          <w:tcPr>
            <w:tcW w:w="0" w:type="auto"/>
            <w:tcBorders>
              <w:top w:val="nil"/>
              <w:left w:val="nil"/>
              <w:bottom w:val="nil"/>
              <w:right w:val="nil"/>
            </w:tcBorders>
            <w:shd w:val="clear" w:color="000000" w:fill="FFFFFF"/>
            <w:noWrap/>
            <w:vAlign w:val="center"/>
            <w:hideMark/>
          </w:tcPr>
          <w:p w14:paraId="4487B67E"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645</w:t>
            </w:r>
          </w:p>
        </w:tc>
        <w:tc>
          <w:tcPr>
            <w:tcW w:w="0" w:type="auto"/>
            <w:tcBorders>
              <w:top w:val="nil"/>
              <w:left w:val="nil"/>
              <w:bottom w:val="nil"/>
              <w:right w:val="nil"/>
            </w:tcBorders>
            <w:shd w:val="clear" w:color="000000" w:fill="FFFFFF"/>
            <w:noWrap/>
            <w:vAlign w:val="center"/>
            <w:hideMark/>
          </w:tcPr>
          <w:p w14:paraId="2570D1AC"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641</w:t>
            </w:r>
          </w:p>
        </w:tc>
        <w:tc>
          <w:tcPr>
            <w:tcW w:w="0" w:type="auto"/>
            <w:tcBorders>
              <w:top w:val="nil"/>
              <w:left w:val="nil"/>
              <w:bottom w:val="nil"/>
              <w:right w:val="nil"/>
            </w:tcBorders>
            <w:shd w:val="clear" w:color="000000" w:fill="FFFFFF"/>
            <w:noWrap/>
            <w:vAlign w:val="center"/>
            <w:hideMark/>
          </w:tcPr>
          <w:p w14:paraId="74287B6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645</w:t>
            </w:r>
          </w:p>
        </w:tc>
      </w:tr>
      <w:tr w:rsidR="00615F38" w:rsidRPr="008C25B0" w14:paraId="1DFEE419" w14:textId="77777777" w:rsidTr="00C53EF3">
        <w:trPr>
          <w:trHeight w:val="225"/>
        </w:trPr>
        <w:tc>
          <w:tcPr>
            <w:tcW w:w="0" w:type="auto"/>
            <w:tcBorders>
              <w:top w:val="nil"/>
              <w:left w:val="nil"/>
              <w:bottom w:val="nil"/>
              <w:right w:val="nil"/>
            </w:tcBorders>
            <w:shd w:val="clear" w:color="000000" w:fill="FFFFFF"/>
            <w:noWrap/>
            <w:vAlign w:val="center"/>
            <w:hideMark/>
          </w:tcPr>
          <w:p w14:paraId="1631EE40"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Visa application charges</w:t>
            </w:r>
          </w:p>
        </w:tc>
        <w:tc>
          <w:tcPr>
            <w:tcW w:w="0" w:type="auto"/>
            <w:tcBorders>
              <w:top w:val="nil"/>
              <w:left w:val="nil"/>
              <w:bottom w:val="nil"/>
              <w:right w:val="nil"/>
            </w:tcBorders>
            <w:shd w:val="clear" w:color="000000" w:fill="FFFFFF"/>
            <w:noWrap/>
            <w:vAlign w:val="center"/>
            <w:hideMark/>
          </w:tcPr>
          <w:p w14:paraId="148DD5A2"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3,290</w:t>
            </w:r>
          </w:p>
        </w:tc>
        <w:tc>
          <w:tcPr>
            <w:tcW w:w="0" w:type="auto"/>
            <w:tcBorders>
              <w:top w:val="nil"/>
              <w:left w:val="nil"/>
              <w:bottom w:val="nil"/>
              <w:right w:val="nil"/>
            </w:tcBorders>
            <w:shd w:val="clear" w:color="000000" w:fill="E6F2FF"/>
            <w:noWrap/>
            <w:vAlign w:val="center"/>
            <w:hideMark/>
          </w:tcPr>
          <w:p w14:paraId="20496D2A"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3,882</w:t>
            </w:r>
          </w:p>
        </w:tc>
        <w:tc>
          <w:tcPr>
            <w:tcW w:w="0" w:type="auto"/>
            <w:tcBorders>
              <w:top w:val="nil"/>
              <w:left w:val="nil"/>
              <w:bottom w:val="nil"/>
              <w:right w:val="nil"/>
            </w:tcBorders>
            <w:shd w:val="clear" w:color="000000" w:fill="FFFFFF"/>
            <w:noWrap/>
            <w:vAlign w:val="center"/>
            <w:hideMark/>
          </w:tcPr>
          <w:p w14:paraId="3BED9869"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4,096</w:t>
            </w:r>
          </w:p>
        </w:tc>
        <w:tc>
          <w:tcPr>
            <w:tcW w:w="0" w:type="auto"/>
            <w:tcBorders>
              <w:top w:val="nil"/>
              <w:left w:val="nil"/>
              <w:bottom w:val="nil"/>
              <w:right w:val="nil"/>
            </w:tcBorders>
            <w:shd w:val="clear" w:color="000000" w:fill="FFFFFF"/>
            <w:noWrap/>
            <w:vAlign w:val="center"/>
            <w:hideMark/>
          </w:tcPr>
          <w:p w14:paraId="24FCB7CF"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4,315</w:t>
            </w:r>
          </w:p>
        </w:tc>
        <w:tc>
          <w:tcPr>
            <w:tcW w:w="0" w:type="auto"/>
            <w:tcBorders>
              <w:top w:val="nil"/>
              <w:left w:val="nil"/>
              <w:bottom w:val="nil"/>
              <w:right w:val="nil"/>
            </w:tcBorders>
            <w:shd w:val="clear" w:color="000000" w:fill="FFFFFF"/>
            <w:noWrap/>
            <w:vAlign w:val="center"/>
            <w:hideMark/>
          </w:tcPr>
          <w:p w14:paraId="0E243481"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4,484</w:t>
            </w:r>
          </w:p>
        </w:tc>
      </w:tr>
      <w:tr w:rsidR="00615F38" w:rsidRPr="008C25B0" w14:paraId="548C1C13" w14:textId="77777777" w:rsidTr="00C53EF3">
        <w:trPr>
          <w:trHeight w:val="225"/>
        </w:trPr>
        <w:tc>
          <w:tcPr>
            <w:tcW w:w="0" w:type="auto"/>
            <w:tcBorders>
              <w:top w:val="nil"/>
              <w:left w:val="nil"/>
              <w:bottom w:val="nil"/>
              <w:right w:val="nil"/>
            </w:tcBorders>
            <w:shd w:val="clear" w:color="000000" w:fill="FFFFFF"/>
            <w:noWrap/>
            <w:vAlign w:val="center"/>
            <w:hideMark/>
          </w:tcPr>
          <w:p w14:paraId="56816581" w14:textId="77777777" w:rsidR="00615F38" w:rsidRPr="008C25B0" w:rsidRDefault="00615F38" w:rsidP="00C53EF3">
            <w:pPr>
              <w:spacing w:before="0" w:after="0" w:line="240" w:lineRule="auto"/>
              <w:rPr>
                <w:rFonts w:ascii="Arial" w:hAnsi="Arial" w:cs="Arial"/>
                <w:color w:val="000000"/>
                <w:sz w:val="16"/>
                <w:szCs w:val="16"/>
              </w:rPr>
            </w:pPr>
            <w:r w:rsidRPr="008C25B0">
              <w:rPr>
                <w:rFonts w:ascii="Arial" w:hAnsi="Arial" w:cs="Arial"/>
                <w:color w:val="000000"/>
                <w:sz w:val="16"/>
                <w:szCs w:val="16"/>
              </w:rPr>
              <w:t>Other taxes</w:t>
            </w:r>
          </w:p>
        </w:tc>
        <w:tc>
          <w:tcPr>
            <w:tcW w:w="0" w:type="auto"/>
            <w:tcBorders>
              <w:top w:val="nil"/>
              <w:left w:val="nil"/>
              <w:bottom w:val="nil"/>
              <w:right w:val="nil"/>
            </w:tcBorders>
            <w:shd w:val="clear" w:color="000000" w:fill="FFFFFF"/>
            <w:noWrap/>
            <w:vAlign w:val="center"/>
            <w:hideMark/>
          </w:tcPr>
          <w:p w14:paraId="3D1FD83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7,461</w:t>
            </w:r>
          </w:p>
        </w:tc>
        <w:tc>
          <w:tcPr>
            <w:tcW w:w="0" w:type="auto"/>
            <w:tcBorders>
              <w:top w:val="nil"/>
              <w:left w:val="nil"/>
              <w:bottom w:val="nil"/>
              <w:right w:val="nil"/>
            </w:tcBorders>
            <w:shd w:val="clear" w:color="000000" w:fill="E6F2FF"/>
            <w:noWrap/>
            <w:vAlign w:val="center"/>
            <w:hideMark/>
          </w:tcPr>
          <w:p w14:paraId="09B65B0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7,753</w:t>
            </w:r>
          </w:p>
        </w:tc>
        <w:tc>
          <w:tcPr>
            <w:tcW w:w="0" w:type="auto"/>
            <w:tcBorders>
              <w:top w:val="nil"/>
              <w:left w:val="nil"/>
              <w:bottom w:val="nil"/>
              <w:right w:val="nil"/>
            </w:tcBorders>
            <w:shd w:val="clear" w:color="000000" w:fill="FFFFFF"/>
            <w:noWrap/>
            <w:vAlign w:val="center"/>
            <w:hideMark/>
          </w:tcPr>
          <w:p w14:paraId="33CDB823"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8,139</w:t>
            </w:r>
          </w:p>
        </w:tc>
        <w:tc>
          <w:tcPr>
            <w:tcW w:w="0" w:type="auto"/>
            <w:tcBorders>
              <w:top w:val="nil"/>
              <w:left w:val="nil"/>
              <w:bottom w:val="nil"/>
              <w:right w:val="nil"/>
            </w:tcBorders>
            <w:shd w:val="clear" w:color="000000" w:fill="FFFFFF"/>
            <w:noWrap/>
            <w:vAlign w:val="center"/>
            <w:hideMark/>
          </w:tcPr>
          <w:p w14:paraId="761DE5D6"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7,945</w:t>
            </w:r>
          </w:p>
        </w:tc>
        <w:tc>
          <w:tcPr>
            <w:tcW w:w="0" w:type="auto"/>
            <w:tcBorders>
              <w:top w:val="nil"/>
              <w:left w:val="nil"/>
              <w:bottom w:val="nil"/>
              <w:right w:val="nil"/>
            </w:tcBorders>
            <w:shd w:val="clear" w:color="000000" w:fill="FFFFFF"/>
            <w:noWrap/>
            <w:vAlign w:val="center"/>
            <w:hideMark/>
          </w:tcPr>
          <w:p w14:paraId="74073BC0" w14:textId="77777777" w:rsidR="00615F38" w:rsidRPr="008C25B0" w:rsidRDefault="00615F38" w:rsidP="00C53EF3">
            <w:pPr>
              <w:spacing w:before="0" w:after="0" w:line="240" w:lineRule="auto"/>
              <w:jc w:val="right"/>
              <w:rPr>
                <w:rFonts w:ascii="Arial" w:hAnsi="Arial" w:cs="Arial"/>
                <w:color w:val="000000"/>
                <w:sz w:val="16"/>
                <w:szCs w:val="16"/>
              </w:rPr>
            </w:pPr>
            <w:r w:rsidRPr="008C25B0">
              <w:rPr>
                <w:rFonts w:ascii="Arial" w:hAnsi="Arial" w:cs="Arial"/>
                <w:color w:val="000000"/>
                <w:sz w:val="16"/>
                <w:szCs w:val="16"/>
              </w:rPr>
              <w:t>7,970</w:t>
            </w:r>
          </w:p>
        </w:tc>
      </w:tr>
      <w:tr w:rsidR="00615F38" w:rsidRPr="008C25B0" w14:paraId="41D49F4F" w14:textId="77777777" w:rsidTr="00C53EF3">
        <w:trPr>
          <w:trHeight w:val="225"/>
        </w:trPr>
        <w:tc>
          <w:tcPr>
            <w:tcW w:w="0" w:type="auto"/>
            <w:tcBorders>
              <w:top w:val="nil"/>
              <w:left w:val="nil"/>
              <w:bottom w:val="nil"/>
              <w:right w:val="nil"/>
            </w:tcBorders>
            <w:shd w:val="clear" w:color="000000" w:fill="FFFFFF"/>
            <w:noWrap/>
            <w:vAlign w:val="center"/>
            <w:hideMark/>
          </w:tcPr>
          <w:p w14:paraId="1E1DF153" w14:textId="77777777" w:rsidR="00615F38" w:rsidRPr="008C25B0" w:rsidRDefault="00615F38" w:rsidP="00C53EF3">
            <w:pPr>
              <w:spacing w:before="0" w:after="0" w:line="240" w:lineRule="auto"/>
              <w:rPr>
                <w:rFonts w:ascii="Arial" w:hAnsi="Arial" w:cs="Arial"/>
                <w:sz w:val="16"/>
                <w:szCs w:val="16"/>
              </w:rPr>
            </w:pPr>
            <w:r w:rsidRPr="008C25B0">
              <w:rPr>
                <w:rFonts w:ascii="Arial" w:hAnsi="Arial" w:cs="Arial"/>
                <w:sz w:val="16"/>
                <w:szCs w:val="16"/>
              </w:rPr>
              <w:t>Mirror taxes</w:t>
            </w:r>
          </w:p>
        </w:tc>
        <w:tc>
          <w:tcPr>
            <w:tcW w:w="0" w:type="auto"/>
            <w:tcBorders>
              <w:top w:val="nil"/>
              <w:left w:val="nil"/>
              <w:bottom w:val="nil"/>
              <w:right w:val="nil"/>
            </w:tcBorders>
            <w:shd w:val="clear" w:color="000000" w:fill="FFFFFF"/>
            <w:noWrap/>
            <w:vAlign w:val="center"/>
            <w:hideMark/>
          </w:tcPr>
          <w:p w14:paraId="7DBFD09E"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838</w:t>
            </w:r>
          </w:p>
        </w:tc>
        <w:tc>
          <w:tcPr>
            <w:tcW w:w="0" w:type="auto"/>
            <w:tcBorders>
              <w:top w:val="nil"/>
              <w:left w:val="nil"/>
              <w:bottom w:val="nil"/>
              <w:right w:val="nil"/>
            </w:tcBorders>
            <w:shd w:val="clear" w:color="000000" w:fill="E6F2FF"/>
            <w:noWrap/>
            <w:vAlign w:val="center"/>
            <w:hideMark/>
          </w:tcPr>
          <w:p w14:paraId="42B34AF0"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878</w:t>
            </w:r>
          </w:p>
        </w:tc>
        <w:tc>
          <w:tcPr>
            <w:tcW w:w="0" w:type="auto"/>
            <w:tcBorders>
              <w:top w:val="nil"/>
              <w:left w:val="nil"/>
              <w:bottom w:val="nil"/>
              <w:right w:val="nil"/>
            </w:tcBorders>
            <w:shd w:val="clear" w:color="000000" w:fill="FFFFFF"/>
            <w:noWrap/>
            <w:vAlign w:val="center"/>
            <w:hideMark/>
          </w:tcPr>
          <w:p w14:paraId="734EB7AB"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920</w:t>
            </w:r>
          </w:p>
        </w:tc>
        <w:tc>
          <w:tcPr>
            <w:tcW w:w="0" w:type="auto"/>
            <w:tcBorders>
              <w:top w:val="nil"/>
              <w:left w:val="nil"/>
              <w:bottom w:val="nil"/>
              <w:right w:val="nil"/>
            </w:tcBorders>
            <w:shd w:val="clear" w:color="000000" w:fill="FFFFFF"/>
            <w:noWrap/>
            <w:vAlign w:val="center"/>
            <w:hideMark/>
          </w:tcPr>
          <w:p w14:paraId="2DE91D33"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970</w:t>
            </w:r>
          </w:p>
        </w:tc>
        <w:tc>
          <w:tcPr>
            <w:tcW w:w="0" w:type="auto"/>
            <w:tcBorders>
              <w:top w:val="nil"/>
              <w:left w:val="nil"/>
              <w:bottom w:val="nil"/>
              <w:right w:val="nil"/>
            </w:tcBorders>
            <w:shd w:val="clear" w:color="000000" w:fill="FFFFFF"/>
            <w:noWrap/>
            <w:vAlign w:val="center"/>
            <w:hideMark/>
          </w:tcPr>
          <w:p w14:paraId="6311ED97"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1,021</w:t>
            </w:r>
          </w:p>
        </w:tc>
      </w:tr>
      <w:tr w:rsidR="00615F38" w:rsidRPr="008C25B0" w14:paraId="2771EC17" w14:textId="77777777" w:rsidTr="00C53EF3">
        <w:trPr>
          <w:trHeight w:val="225"/>
        </w:trPr>
        <w:tc>
          <w:tcPr>
            <w:tcW w:w="0" w:type="auto"/>
            <w:tcBorders>
              <w:top w:val="nil"/>
              <w:left w:val="nil"/>
              <w:bottom w:val="nil"/>
              <w:right w:val="nil"/>
            </w:tcBorders>
            <w:shd w:val="clear" w:color="000000" w:fill="FFFFFF"/>
            <w:noWrap/>
            <w:vAlign w:val="center"/>
            <w:hideMark/>
          </w:tcPr>
          <w:p w14:paraId="14F0714B" w14:textId="77777777" w:rsidR="00615F38" w:rsidRPr="008C25B0" w:rsidRDefault="00615F38" w:rsidP="00C53EF3">
            <w:pPr>
              <w:spacing w:before="0" w:after="0" w:line="240" w:lineRule="auto"/>
              <w:ind w:firstLineChars="100" w:firstLine="160"/>
              <w:rPr>
                <w:rFonts w:ascii="Arial" w:hAnsi="Arial" w:cs="Arial"/>
                <w:i/>
                <w:iCs/>
                <w:sz w:val="16"/>
                <w:szCs w:val="16"/>
              </w:rPr>
            </w:pPr>
            <w:r w:rsidRPr="008C25B0">
              <w:rPr>
                <w:rFonts w:ascii="Arial" w:hAnsi="Arial" w:cs="Arial"/>
                <w:i/>
                <w:iCs/>
                <w:sz w:val="16"/>
                <w:szCs w:val="16"/>
              </w:rPr>
              <w:t xml:space="preserve">less: </w:t>
            </w:r>
            <w:r w:rsidRPr="008C25B0">
              <w:rPr>
                <w:rFonts w:ascii="Arial" w:hAnsi="Arial" w:cs="Arial"/>
                <w:sz w:val="16"/>
                <w:szCs w:val="16"/>
              </w:rPr>
              <w:t xml:space="preserve">Transfers to states in relation to </w:t>
            </w:r>
          </w:p>
        </w:tc>
        <w:tc>
          <w:tcPr>
            <w:tcW w:w="0" w:type="auto"/>
            <w:tcBorders>
              <w:top w:val="nil"/>
              <w:left w:val="nil"/>
              <w:bottom w:val="nil"/>
              <w:right w:val="nil"/>
            </w:tcBorders>
            <w:shd w:val="clear" w:color="000000" w:fill="FFFFFF"/>
            <w:noWrap/>
            <w:vAlign w:val="center"/>
            <w:hideMark/>
          </w:tcPr>
          <w:p w14:paraId="67370AAF"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45A1BD81"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68EFE736"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5685EB4A"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6AA06C91"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 </w:t>
            </w:r>
          </w:p>
        </w:tc>
      </w:tr>
      <w:tr w:rsidR="00615F38" w:rsidRPr="008C25B0" w14:paraId="6A3CE135" w14:textId="77777777" w:rsidTr="00C53EF3">
        <w:trPr>
          <w:trHeight w:val="225"/>
        </w:trPr>
        <w:tc>
          <w:tcPr>
            <w:tcW w:w="0" w:type="auto"/>
            <w:tcBorders>
              <w:top w:val="nil"/>
              <w:left w:val="nil"/>
              <w:bottom w:val="nil"/>
              <w:right w:val="nil"/>
            </w:tcBorders>
            <w:shd w:val="clear" w:color="000000" w:fill="FFFFFF"/>
            <w:noWrap/>
            <w:vAlign w:val="center"/>
            <w:hideMark/>
          </w:tcPr>
          <w:p w14:paraId="587AFA08" w14:textId="77777777" w:rsidR="00615F38" w:rsidRPr="008C25B0" w:rsidRDefault="00615F38" w:rsidP="00C53EF3">
            <w:pPr>
              <w:spacing w:before="0" w:after="0" w:line="240" w:lineRule="auto"/>
              <w:ind w:firstLineChars="200" w:firstLine="320"/>
              <w:rPr>
                <w:rFonts w:ascii="Arial" w:hAnsi="Arial" w:cs="Arial"/>
                <w:sz w:val="16"/>
                <w:szCs w:val="16"/>
              </w:rPr>
            </w:pPr>
            <w:r w:rsidRPr="008C25B0">
              <w:rPr>
                <w:rFonts w:ascii="Arial" w:hAnsi="Arial" w:cs="Arial"/>
                <w:sz w:val="16"/>
                <w:szCs w:val="16"/>
              </w:rPr>
              <w:t>mirror tax revenue</w:t>
            </w:r>
          </w:p>
        </w:tc>
        <w:tc>
          <w:tcPr>
            <w:tcW w:w="0" w:type="auto"/>
            <w:tcBorders>
              <w:top w:val="nil"/>
              <w:left w:val="nil"/>
              <w:bottom w:val="single" w:sz="4" w:space="0" w:color="293F5B"/>
              <w:right w:val="nil"/>
            </w:tcBorders>
            <w:shd w:val="clear" w:color="000000" w:fill="FFFFFF"/>
            <w:noWrap/>
            <w:vAlign w:val="center"/>
            <w:hideMark/>
          </w:tcPr>
          <w:p w14:paraId="00D6F048"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838</w:t>
            </w:r>
          </w:p>
        </w:tc>
        <w:tc>
          <w:tcPr>
            <w:tcW w:w="0" w:type="auto"/>
            <w:tcBorders>
              <w:top w:val="nil"/>
              <w:left w:val="nil"/>
              <w:bottom w:val="single" w:sz="4" w:space="0" w:color="293F5B"/>
              <w:right w:val="nil"/>
            </w:tcBorders>
            <w:shd w:val="clear" w:color="000000" w:fill="E6F2FF"/>
            <w:noWrap/>
            <w:vAlign w:val="center"/>
            <w:hideMark/>
          </w:tcPr>
          <w:p w14:paraId="50CCB8CC"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878</w:t>
            </w:r>
          </w:p>
        </w:tc>
        <w:tc>
          <w:tcPr>
            <w:tcW w:w="0" w:type="auto"/>
            <w:tcBorders>
              <w:top w:val="nil"/>
              <w:left w:val="nil"/>
              <w:bottom w:val="single" w:sz="4" w:space="0" w:color="293F5B"/>
              <w:right w:val="nil"/>
            </w:tcBorders>
            <w:shd w:val="clear" w:color="000000" w:fill="FFFFFF"/>
            <w:noWrap/>
            <w:vAlign w:val="center"/>
            <w:hideMark/>
          </w:tcPr>
          <w:p w14:paraId="58DA3E41"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920</w:t>
            </w:r>
          </w:p>
        </w:tc>
        <w:tc>
          <w:tcPr>
            <w:tcW w:w="0" w:type="auto"/>
            <w:tcBorders>
              <w:top w:val="nil"/>
              <w:left w:val="nil"/>
              <w:bottom w:val="single" w:sz="4" w:space="0" w:color="293F5B"/>
              <w:right w:val="nil"/>
            </w:tcBorders>
            <w:shd w:val="clear" w:color="000000" w:fill="FFFFFF"/>
            <w:noWrap/>
            <w:vAlign w:val="center"/>
            <w:hideMark/>
          </w:tcPr>
          <w:p w14:paraId="4793283E"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970</w:t>
            </w:r>
          </w:p>
        </w:tc>
        <w:tc>
          <w:tcPr>
            <w:tcW w:w="0" w:type="auto"/>
            <w:tcBorders>
              <w:top w:val="nil"/>
              <w:left w:val="nil"/>
              <w:bottom w:val="single" w:sz="4" w:space="0" w:color="293F5B"/>
              <w:right w:val="nil"/>
            </w:tcBorders>
            <w:shd w:val="clear" w:color="000000" w:fill="FFFFFF"/>
            <w:noWrap/>
            <w:vAlign w:val="center"/>
            <w:hideMark/>
          </w:tcPr>
          <w:p w14:paraId="737BAA30"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1,021</w:t>
            </w:r>
          </w:p>
        </w:tc>
      </w:tr>
      <w:tr w:rsidR="00615F38" w:rsidRPr="008C25B0" w14:paraId="50245AEE" w14:textId="77777777" w:rsidTr="00C53EF3">
        <w:trPr>
          <w:trHeight w:val="225"/>
        </w:trPr>
        <w:tc>
          <w:tcPr>
            <w:tcW w:w="0" w:type="auto"/>
            <w:tcBorders>
              <w:top w:val="nil"/>
              <w:left w:val="nil"/>
              <w:bottom w:val="nil"/>
              <w:right w:val="nil"/>
            </w:tcBorders>
            <w:shd w:val="clear" w:color="000000" w:fill="FFFFFF"/>
            <w:noWrap/>
            <w:vAlign w:val="center"/>
            <w:hideMark/>
          </w:tcPr>
          <w:p w14:paraId="3C988C24" w14:textId="77777777" w:rsidR="00615F38" w:rsidRPr="008C25B0" w:rsidRDefault="00615F38" w:rsidP="00C53EF3">
            <w:pPr>
              <w:spacing w:before="0" w:after="0" w:line="240" w:lineRule="auto"/>
              <w:rPr>
                <w:rFonts w:ascii="Arial" w:hAnsi="Arial" w:cs="Arial"/>
                <w:sz w:val="16"/>
                <w:szCs w:val="16"/>
              </w:rPr>
            </w:pPr>
            <w:r w:rsidRPr="008C25B0">
              <w:rPr>
                <w:rFonts w:ascii="Arial" w:hAnsi="Arial" w:cs="Arial"/>
                <w:sz w:val="16"/>
                <w:szCs w:val="16"/>
              </w:rPr>
              <w:t>Mirror tax revenue</w:t>
            </w:r>
          </w:p>
        </w:tc>
        <w:tc>
          <w:tcPr>
            <w:tcW w:w="0" w:type="auto"/>
            <w:tcBorders>
              <w:top w:val="nil"/>
              <w:left w:val="nil"/>
              <w:bottom w:val="single" w:sz="4" w:space="0" w:color="293F5B"/>
              <w:right w:val="nil"/>
            </w:tcBorders>
            <w:shd w:val="clear" w:color="000000" w:fill="FFFFFF"/>
            <w:noWrap/>
            <w:vAlign w:val="center"/>
            <w:hideMark/>
          </w:tcPr>
          <w:p w14:paraId="43450B68"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0</w:t>
            </w:r>
          </w:p>
        </w:tc>
        <w:tc>
          <w:tcPr>
            <w:tcW w:w="0" w:type="auto"/>
            <w:tcBorders>
              <w:top w:val="nil"/>
              <w:left w:val="nil"/>
              <w:bottom w:val="single" w:sz="4" w:space="0" w:color="293F5B"/>
              <w:right w:val="nil"/>
            </w:tcBorders>
            <w:shd w:val="clear" w:color="000000" w:fill="E6F2FF"/>
            <w:noWrap/>
            <w:vAlign w:val="center"/>
            <w:hideMark/>
          </w:tcPr>
          <w:p w14:paraId="4AD375D0"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0</w:t>
            </w:r>
          </w:p>
        </w:tc>
        <w:tc>
          <w:tcPr>
            <w:tcW w:w="0" w:type="auto"/>
            <w:tcBorders>
              <w:top w:val="nil"/>
              <w:left w:val="nil"/>
              <w:bottom w:val="single" w:sz="4" w:space="0" w:color="293F5B"/>
              <w:right w:val="nil"/>
            </w:tcBorders>
            <w:shd w:val="clear" w:color="000000" w:fill="FFFFFF"/>
            <w:noWrap/>
            <w:vAlign w:val="center"/>
            <w:hideMark/>
          </w:tcPr>
          <w:p w14:paraId="2D5B8F05"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0</w:t>
            </w:r>
          </w:p>
        </w:tc>
        <w:tc>
          <w:tcPr>
            <w:tcW w:w="0" w:type="auto"/>
            <w:tcBorders>
              <w:top w:val="nil"/>
              <w:left w:val="nil"/>
              <w:bottom w:val="single" w:sz="4" w:space="0" w:color="293F5B"/>
              <w:right w:val="nil"/>
            </w:tcBorders>
            <w:shd w:val="clear" w:color="000000" w:fill="FFFFFF"/>
            <w:noWrap/>
            <w:vAlign w:val="center"/>
            <w:hideMark/>
          </w:tcPr>
          <w:p w14:paraId="2C8A8038"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0</w:t>
            </w:r>
          </w:p>
        </w:tc>
        <w:tc>
          <w:tcPr>
            <w:tcW w:w="0" w:type="auto"/>
            <w:tcBorders>
              <w:top w:val="nil"/>
              <w:left w:val="nil"/>
              <w:bottom w:val="single" w:sz="4" w:space="0" w:color="293F5B"/>
              <w:right w:val="nil"/>
            </w:tcBorders>
            <w:shd w:val="clear" w:color="000000" w:fill="FFFFFF"/>
            <w:noWrap/>
            <w:vAlign w:val="center"/>
            <w:hideMark/>
          </w:tcPr>
          <w:p w14:paraId="5865B02C" w14:textId="77777777" w:rsidR="00615F38" w:rsidRPr="008C25B0" w:rsidRDefault="00615F38" w:rsidP="00C53EF3">
            <w:pPr>
              <w:spacing w:before="0" w:after="0" w:line="240" w:lineRule="auto"/>
              <w:jc w:val="right"/>
              <w:rPr>
                <w:rFonts w:ascii="Arial" w:hAnsi="Arial" w:cs="Arial"/>
                <w:sz w:val="16"/>
                <w:szCs w:val="16"/>
              </w:rPr>
            </w:pPr>
            <w:r w:rsidRPr="008C25B0">
              <w:rPr>
                <w:rFonts w:ascii="Arial" w:hAnsi="Arial" w:cs="Arial"/>
                <w:sz w:val="16"/>
                <w:szCs w:val="16"/>
              </w:rPr>
              <w:t>0</w:t>
            </w:r>
          </w:p>
        </w:tc>
      </w:tr>
      <w:tr w:rsidR="00615F38" w:rsidRPr="008C25B0" w14:paraId="61FA2BCA" w14:textId="77777777" w:rsidTr="00C53EF3">
        <w:trPr>
          <w:trHeight w:val="225"/>
        </w:trPr>
        <w:tc>
          <w:tcPr>
            <w:tcW w:w="0" w:type="auto"/>
            <w:tcBorders>
              <w:top w:val="nil"/>
              <w:left w:val="nil"/>
              <w:bottom w:val="nil"/>
              <w:right w:val="nil"/>
            </w:tcBorders>
            <w:shd w:val="clear" w:color="000000" w:fill="FFFFFF"/>
            <w:noWrap/>
            <w:vAlign w:val="center"/>
            <w:hideMark/>
          </w:tcPr>
          <w:p w14:paraId="1DC13939" w14:textId="77777777" w:rsidR="00615F38" w:rsidRPr="008C25B0" w:rsidRDefault="00615F38" w:rsidP="00C53EF3">
            <w:pPr>
              <w:spacing w:before="0" w:after="0" w:line="240" w:lineRule="auto"/>
              <w:rPr>
                <w:rFonts w:ascii="Arial" w:hAnsi="Arial" w:cs="Arial"/>
                <w:b/>
                <w:bCs/>
                <w:color w:val="000000"/>
                <w:sz w:val="16"/>
                <w:szCs w:val="16"/>
              </w:rPr>
            </w:pPr>
            <w:r w:rsidRPr="008C25B0">
              <w:rPr>
                <w:rFonts w:ascii="Arial" w:hAnsi="Arial" w:cs="Arial"/>
                <w:b/>
                <w:bCs/>
                <w:color w:val="000000"/>
                <w:sz w:val="16"/>
                <w:szCs w:val="16"/>
              </w:rPr>
              <w:t>Indirect taxation revenue</w:t>
            </w:r>
          </w:p>
        </w:tc>
        <w:tc>
          <w:tcPr>
            <w:tcW w:w="0" w:type="auto"/>
            <w:tcBorders>
              <w:top w:val="nil"/>
              <w:left w:val="nil"/>
              <w:bottom w:val="single" w:sz="4" w:space="0" w:color="293F5B"/>
              <w:right w:val="nil"/>
            </w:tcBorders>
            <w:shd w:val="clear" w:color="000000" w:fill="FFFFFF"/>
            <w:noWrap/>
            <w:vAlign w:val="center"/>
            <w:hideMark/>
          </w:tcPr>
          <w:p w14:paraId="18BD149A"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150,249</w:t>
            </w:r>
          </w:p>
        </w:tc>
        <w:tc>
          <w:tcPr>
            <w:tcW w:w="0" w:type="auto"/>
            <w:tcBorders>
              <w:top w:val="nil"/>
              <w:left w:val="nil"/>
              <w:bottom w:val="single" w:sz="4" w:space="0" w:color="293F5B"/>
              <w:right w:val="nil"/>
            </w:tcBorders>
            <w:shd w:val="clear" w:color="000000" w:fill="E6F2FF"/>
            <w:noWrap/>
            <w:vAlign w:val="center"/>
            <w:hideMark/>
          </w:tcPr>
          <w:p w14:paraId="28CC2A12"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155,612</w:t>
            </w:r>
          </w:p>
        </w:tc>
        <w:tc>
          <w:tcPr>
            <w:tcW w:w="0" w:type="auto"/>
            <w:tcBorders>
              <w:top w:val="nil"/>
              <w:left w:val="nil"/>
              <w:bottom w:val="single" w:sz="4" w:space="0" w:color="293F5B"/>
              <w:right w:val="nil"/>
            </w:tcBorders>
            <w:shd w:val="clear" w:color="000000" w:fill="FFFFFF"/>
            <w:noWrap/>
            <w:vAlign w:val="center"/>
            <w:hideMark/>
          </w:tcPr>
          <w:p w14:paraId="3B76AB03"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163,269</w:t>
            </w:r>
          </w:p>
        </w:tc>
        <w:tc>
          <w:tcPr>
            <w:tcW w:w="0" w:type="auto"/>
            <w:tcBorders>
              <w:top w:val="nil"/>
              <w:left w:val="nil"/>
              <w:bottom w:val="single" w:sz="4" w:space="0" w:color="293F5B"/>
              <w:right w:val="nil"/>
            </w:tcBorders>
            <w:shd w:val="clear" w:color="000000" w:fill="FFFFFF"/>
            <w:noWrap/>
            <w:vAlign w:val="center"/>
            <w:hideMark/>
          </w:tcPr>
          <w:p w14:paraId="528B6DF3"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170,520</w:t>
            </w:r>
          </w:p>
        </w:tc>
        <w:tc>
          <w:tcPr>
            <w:tcW w:w="0" w:type="auto"/>
            <w:tcBorders>
              <w:top w:val="nil"/>
              <w:left w:val="nil"/>
              <w:bottom w:val="single" w:sz="4" w:space="0" w:color="293F5B"/>
              <w:right w:val="nil"/>
            </w:tcBorders>
            <w:shd w:val="clear" w:color="000000" w:fill="FFFFFF"/>
            <w:noWrap/>
            <w:vAlign w:val="center"/>
            <w:hideMark/>
          </w:tcPr>
          <w:p w14:paraId="4A05F7A4"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176,970</w:t>
            </w:r>
          </w:p>
        </w:tc>
      </w:tr>
      <w:tr w:rsidR="00615F38" w:rsidRPr="008C25B0" w14:paraId="202FE8BA" w14:textId="77777777" w:rsidTr="00C53EF3">
        <w:trPr>
          <w:trHeight w:val="225"/>
        </w:trPr>
        <w:tc>
          <w:tcPr>
            <w:tcW w:w="0" w:type="auto"/>
            <w:tcBorders>
              <w:top w:val="nil"/>
              <w:left w:val="nil"/>
              <w:bottom w:val="single" w:sz="4" w:space="0" w:color="293F5B"/>
              <w:right w:val="nil"/>
            </w:tcBorders>
            <w:shd w:val="clear" w:color="000000" w:fill="FFFFFF"/>
            <w:noWrap/>
            <w:vAlign w:val="center"/>
            <w:hideMark/>
          </w:tcPr>
          <w:p w14:paraId="556EBCB9" w14:textId="77777777" w:rsidR="00615F38" w:rsidRPr="008C25B0" w:rsidRDefault="00615F38" w:rsidP="00C53EF3">
            <w:pPr>
              <w:spacing w:before="0" w:after="0" w:line="240" w:lineRule="auto"/>
              <w:rPr>
                <w:rFonts w:ascii="Arial" w:hAnsi="Arial" w:cs="Arial"/>
                <w:b/>
                <w:bCs/>
                <w:color w:val="000000"/>
                <w:sz w:val="16"/>
                <w:szCs w:val="16"/>
              </w:rPr>
            </w:pPr>
            <w:r w:rsidRPr="008C25B0">
              <w:rPr>
                <w:rFonts w:ascii="Arial" w:hAnsi="Arial" w:cs="Arial"/>
                <w:b/>
                <w:bCs/>
                <w:color w:val="000000"/>
                <w:sz w:val="16"/>
                <w:szCs w:val="16"/>
              </w:rPr>
              <w:t>Taxation revenue</w:t>
            </w:r>
          </w:p>
        </w:tc>
        <w:tc>
          <w:tcPr>
            <w:tcW w:w="0" w:type="auto"/>
            <w:tcBorders>
              <w:top w:val="nil"/>
              <w:left w:val="nil"/>
              <w:bottom w:val="single" w:sz="4" w:space="0" w:color="293F5B"/>
              <w:right w:val="nil"/>
            </w:tcBorders>
            <w:shd w:val="clear" w:color="000000" w:fill="FFFFFF"/>
            <w:noWrap/>
            <w:vAlign w:val="center"/>
            <w:hideMark/>
          </w:tcPr>
          <w:p w14:paraId="144AE4F8"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656,039</w:t>
            </w:r>
          </w:p>
        </w:tc>
        <w:tc>
          <w:tcPr>
            <w:tcW w:w="0" w:type="auto"/>
            <w:tcBorders>
              <w:top w:val="nil"/>
              <w:left w:val="nil"/>
              <w:bottom w:val="single" w:sz="4" w:space="0" w:color="293F5B"/>
              <w:right w:val="nil"/>
            </w:tcBorders>
            <w:shd w:val="clear" w:color="000000" w:fill="E6F2FF"/>
            <w:noWrap/>
            <w:vAlign w:val="center"/>
            <w:hideMark/>
          </w:tcPr>
          <w:p w14:paraId="183EB6D1"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658,962</w:t>
            </w:r>
          </w:p>
        </w:tc>
        <w:tc>
          <w:tcPr>
            <w:tcW w:w="0" w:type="auto"/>
            <w:tcBorders>
              <w:top w:val="nil"/>
              <w:left w:val="nil"/>
              <w:bottom w:val="single" w:sz="4" w:space="0" w:color="293F5B"/>
              <w:right w:val="nil"/>
            </w:tcBorders>
            <w:shd w:val="clear" w:color="000000" w:fill="FFFFFF"/>
            <w:noWrap/>
            <w:vAlign w:val="center"/>
            <w:hideMark/>
          </w:tcPr>
          <w:p w14:paraId="38F836A9"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679,469</w:t>
            </w:r>
          </w:p>
        </w:tc>
        <w:tc>
          <w:tcPr>
            <w:tcW w:w="0" w:type="auto"/>
            <w:tcBorders>
              <w:top w:val="nil"/>
              <w:left w:val="nil"/>
              <w:bottom w:val="single" w:sz="4" w:space="0" w:color="293F5B"/>
              <w:right w:val="nil"/>
            </w:tcBorders>
            <w:shd w:val="clear" w:color="000000" w:fill="FFFFFF"/>
            <w:noWrap/>
            <w:vAlign w:val="center"/>
            <w:hideMark/>
          </w:tcPr>
          <w:p w14:paraId="2555B6DB"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721,170</w:t>
            </w:r>
          </w:p>
        </w:tc>
        <w:tc>
          <w:tcPr>
            <w:tcW w:w="0" w:type="auto"/>
            <w:tcBorders>
              <w:top w:val="nil"/>
              <w:left w:val="nil"/>
              <w:bottom w:val="single" w:sz="4" w:space="0" w:color="293F5B"/>
              <w:right w:val="nil"/>
            </w:tcBorders>
            <w:shd w:val="clear" w:color="000000" w:fill="FFFFFF"/>
            <w:noWrap/>
            <w:vAlign w:val="center"/>
            <w:hideMark/>
          </w:tcPr>
          <w:p w14:paraId="6454B1A5" w14:textId="77777777" w:rsidR="00615F38" w:rsidRPr="008C25B0" w:rsidRDefault="00615F38" w:rsidP="00C53EF3">
            <w:pPr>
              <w:spacing w:before="0" w:after="0" w:line="240" w:lineRule="auto"/>
              <w:jc w:val="right"/>
              <w:rPr>
                <w:rFonts w:ascii="Arial" w:hAnsi="Arial" w:cs="Arial"/>
                <w:b/>
                <w:bCs/>
                <w:color w:val="000000"/>
                <w:sz w:val="16"/>
                <w:szCs w:val="16"/>
              </w:rPr>
            </w:pPr>
            <w:r w:rsidRPr="008C25B0">
              <w:rPr>
                <w:rFonts w:ascii="Arial" w:hAnsi="Arial" w:cs="Arial"/>
                <w:b/>
                <w:bCs/>
                <w:color w:val="000000"/>
                <w:sz w:val="16"/>
                <w:szCs w:val="16"/>
              </w:rPr>
              <w:t>762,990</w:t>
            </w:r>
          </w:p>
        </w:tc>
      </w:tr>
    </w:tbl>
    <w:p w14:paraId="69F7698B" w14:textId="46B97C13" w:rsidR="008C25B0" w:rsidRDefault="000D0B7D" w:rsidP="00580760">
      <w:pPr>
        <w:pStyle w:val="NoteTableHeading"/>
        <w:rPr>
          <w:rFonts w:eastAsiaTheme="minorHAnsi"/>
        </w:rPr>
      </w:pPr>
      <w:r>
        <w:t>Note </w:t>
      </w:r>
      <w:r w:rsidR="00D8138E" w:rsidRPr="00EA746C">
        <w:t>3: Taxation revenue by type</w:t>
      </w:r>
      <w:r w:rsidR="00DD42BB">
        <w:rPr>
          <w:rFonts w:eastAsiaTheme="minorHAnsi"/>
        </w:rPr>
        <w:t xml:space="preserve"> </w:t>
      </w:r>
    </w:p>
    <w:tbl>
      <w:tblPr>
        <w:tblW w:w="7655" w:type="dxa"/>
        <w:tblBorders>
          <w:bottom w:val="single" w:sz="4" w:space="0" w:color="293F5B"/>
        </w:tblBorders>
        <w:tblLook w:val="04A0" w:firstRow="1" w:lastRow="0" w:firstColumn="1" w:lastColumn="0" w:noHBand="0" w:noVBand="1"/>
      </w:tblPr>
      <w:tblGrid>
        <w:gridCol w:w="3402"/>
        <w:gridCol w:w="851"/>
        <w:gridCol w:w="835"/>
        <w:gridCol w:w="866"/>
        <w:gridCol w:w="850"/>
        <w:gridCol w:w="851"/>
      </w:tblGrid>
      <w:tr w:rsidR="00DF7C3A" w:rsidRPr="00DF7C3A" w14:paraId="31EB97D5" w14:textId="77777777" w:rsidTr="00D17BD4">
        <w:trPr>
          <w:trHeight w:val="225"/>
        </w:trPr>
        <w:tc>
          <w:tcPr>
            <w:tcW w:w="3402" w:type="dxa"/>
            <w:shd w:val="clear" w:color="000000" w:fill="FFFFFF"/>
            <w:noWrap/>
            <w:vAlign w:val="center"/>
            <w:hideMark/>
          </w:tcPr>
          <w:p w14:paraId="4807D66C" w14:textId="01360569" w:rsidR="00DF7C3A" w:rsidRPr="00807173" w:rsidRDefault="00DF7C3A" w:rsidP="00D948C8">
            <w:pPr>
              <w:pStyle w:val="TableTextLeft"/>
              <w:rPr>
                <w:rStyle w:val="Emphasis"/>
              </w:rPr>
            </w:pPr>
            <w:r w:rsidRPr="00807173">
              <w:rPr>
                <w:rStyle w:val="Emphasis"/>
              </w:rPr>
              <w:t>Memorandum:</w:t>
            </w:r>
          </w:p>
        </w:tc>
        <w:tc>
          <w:tcPr>
            <w:tcW w:w="851" w:type="dxa"/>
            <w:shd w:val="clear" w:color="000000" w:fill="FFFFFF"/>
            <w:noWrap/>
            <w:vAlign w:val="center"/>
            <w:hideMark/>
          </w:tcPr>
          <w:p w14:paraId="6FB9DA1A" w14:textId="77777777" w:rsidR="00DF7C3A" w:rsidRPr="00DF7C3A" w:rsidRDefault="00DF7C3A" w:rsidP="00F2563B">
            <w:pPr>
              <w:pStyle w:val="TableTextRight"/>
            </w:pPr>
            <w:r w:rsidRPr="00DF7C3A">
              <w:t> </w:t>
            </w:r>
          </w:p>
        </w:tc>
        <w:tc>
          <w:tcPr>
            <w:tcW w:w="835" w:type="dxa"/>
            <w:shd w:val="clear" w:color="000000" w:fill="E6F2FF"/>
            <w:noWrap/>
            <w:vAlign w:val="center"/>
            <w:hideMark/>
          </w:tcPr>
          <w:p w14:paraId="47F114BA" w14:textId="77777777" w:rsidR="00DF7C3A" w:rsidRPr="00DF7C3A" w:rsidRDefault="00DF7C3A" w:rsidP="00F2563B">
            <w:pPr>
              <w:pStyle w:val="TableTextRight"/>
            </w:pPr>
            <w:r w:rsidRPr="00DF7C3A">
              <w:t> </w:t>
            </w:r>
          </w:p>
        </w:tc>
        <w:tc>
          <w:tcPr>
            <w:tcW w:w="866" w:type="dxa"/>
            <w:shd w:val="clear" w:color="000000" w:fill="FFFFFF"/>
            <w:noWrap/>
            <w:vAlign w:val="center"/>
            <w:hideMark/>
          </w:tcPr>
          <w:p w14:paraId="06B4F206" w14:textId="77777777" w:rsidR="00DF7C3A" w:rsidRPr="00DF7C3A" w:rsidRDefault="00DF7C3A" w:rsidP="00F2563B">
            <w:pPr>
              <w:pStyle w:val="TableTextRight"/>
            </w:pPr>
            <w:r w:rsidRPr="00DF7C3A">
              <w:t> </w:t>
            </w:r>
          </w:p>
        </w:tc>
        <w:tc>
          <w:tcPr>
            <w:tcW w:w="850" w:type="dxa"/>
            <w:shd w:val="clear" w:color="000000" w:fill="FFFFFF"/>
            <w:noWrap/>
            <w:vAlign w:val="center"/>
            <w:hideMark/>
          </w:tcPr>
          <w:p w14:paraId="66B58A79" w14:textId="77777777" w:rsidR="00DF7C3A" w:rsidRPr="00DF7C3A" w:rsidRDefault="00DF7C3A" w:rsidP="00F2563B">
            <w:pPr>
              <w:pStyle w:val="TableTextRight"/>
            </w:pPr>
            <w:r w:rsidRPr="00DF7C3A">
              <w:t> </w:t>
            </w:r>
          </w:p>
        </w:tc>
        <w:tc>
          <w:tcPr>
            <w:tcW w:w="851" w:type="dxa"/>
            <w:shd w:val="clear" w:color="000000" w:fill="FFFFFF"/>
            <w:noWrap/>
            <w:vAlign w:val="center"/>
            <w:hideMark/>
          </w:tcPr>
          <w:p w14:paraId="5D8E29EF" w14:textId="77777777" w:rsidR="00DF7C3A" w:rsidRPr="00DF7C3A" w:rsidRDefault="00DF7C3A" w:rsidP="00F2563B">
            <w:pPr>
              <w:pStyle w:val="TableTextRight"/>
            </w:pPr>
            <w:r w:rsidRPr="00DF7C3A">
              <w:t> </w:t>
            </w:r>
          </w:p>
        </w:tc>
      </w:tr>
      <w:tr w:rsidR="006537F9" w:rsidRPr="00DF7C3A" w14:paraId="28450CF9" w14:textId="77777777" w:rsidTr="00D17BD4">
        <w:trPr>
          <w:trHeight w:val="225"/>
        </w:trPr>
        <w:tc>
          <w:tcPr>
            <w:tcW w:w="3402" w:type="dxa"/>
            <w:shd w:val="clear" w:color="000000" w:fill="FFFFFF"/>
            <w:noWrap/>
            <w:vAlign w:val="center"/>
            <w:hideMark/>
          </w:tcPr>
          <w:p w14:paraId="362C9056" w14:textId="77777777" w:rsidR="006537F9" w:rsidRPr="00093367" w:rsidRDefault="006537F9" w:rsidP="00F2563B">
            <w:pPr>
              <w:pStyle w:val="TableTextIndented"/>
              <w:rPr>
                <w:i/>
              </w:rPr>
            </w:pPr>
            <w:r w:rsidRPr="00093367">
              <w:rPr>
                <w:i/>
              </w:rPr>
              <w:t>Total excise</w:t>
            </w:r>
          </w:p>
        </w:tc>
        <w:tc>
          <w:tcPr>
            <w:tcW w:w="851" w:type="dxa"/>
            <w:shd w:val="clear" w:color="000000" w:fill="FFFFFF"/>
            <w:noWrap/>
            <w:vAlign w:val="center"/>
            <w:hideMark/>
          </w:tcPr>
          <w:p w14:paraId="66A9F16E" w14:textId="7D5A9C08" w:rsidR="006537F9" w:rsidRPr="00DF7C3A" w:rsidRDefault="006537F9" w:rsidP="00F2563B">
            <w:pPr>
              <w:pStyle w:val="TableTextRight"/>
              <w:rPr>
                <w:i/>
                <w:color w:val="000000"/>
              </w:rPr>
            </w:pPr>
            <w:r>
              <w:rPr>
                <w:i/>
                <w:color w:val="000000"/>
              </w:rPr>
              <w:t>30,020</w:t>
            </w:r>
          </w:p>
        </w:tc>
        <w:tc>
          <w:tcPr>
            <w:tcW w:w="835" w:type="dxa"/>
            <w:shd w:val="clear" w:color="000000" w:fill="E6F2FF"/>
            <w:noWrap/>
            <w:vAlign w:val="center"/>
            <w:hideMark/>
          </w:tcPr>
          <w:p w14:paraId="20A00006" w14:textId="3FD70A06" w:rsidR="006537F9" w:rsidRPr="00DF7C3A" w:rsidRDefault="006537F9" w:rsidP="00F2563B">
            <w:pPr>
              <w:pStyle w:val="TableTextRight"/>
              <w:rPr>
                <w:i/>
                <w:color w:val="000000"/>
              </w:rPr>
            </w:pPr>
            <w:r>
              <w:rPr>
                <w:i/>
                <w:color w:val="000000"/>
              </w:rPr>
              <w:t>31,250</w:t>
            </w:r>
          </w:p>
        </w:tc>
        <w:tc>
          <w:tcPr>
            <w:tcW w:w="866" w:type="dxa"/>
            <w:shd w:val="clear" w:color="000000" w:fill="FFFFFF"/>
            <w:noWrap/>
            <w:vAlign w:val="center"/>
            <w:hideMark/>
          </w:tcPr>
          <w:p w14:paraId="352DB1B5" w14:textId="50525C2C" w:rsidR="006537F9" w:rsidRPr="00DF7C3A" w:rsidRDefault="006537F9" w:rsidP="00F2563B">
            <w:pPr>
              <w:pStyle w:val="TableTextRight"/>
              <w:rPr>
                <w:i/>
                <w:color w:val="000000"/>
              </w:rPr>
            </w:pPr>
            <w:r>
              <w:rPr>
                <w:i/>
                <w:color w:val="000000"/>
              </w:rPr>
              <w:t>32,670</w:t>
            </w:r>
          </w:p>
        </w:tc>
        <w:tc>
          <w:tcPr>
            <w:tcW w:w="850" w:type="dxa"/>
            <w:shd w:val="clear" w:color="000000" w:fill="FFFFFF"/>
            <w:noWrap/>
            <w:vAlign w:val="center"/>
            <w:hideMark/>
          </w:tcPr>
          <w:p w14:paraId="35074A31" w14:textId="55B5A38A" w:rsidR="006537F9" w:rsidRPr="00DF7C3A" w:rsidRDefault="006537F9" w:rsidP="00F2563B">
            <w:pPr>
              <w:pStyle w:val="TableTextRight"/>
              <w:rPr>
                <w:i/>
                <w:color w:val="000000"/>
              </w:rPr>
            </w:pPr>
            <w:r>
              <w:rPr>
                <w:i/>
                <w:color w:val="000000"/>
              </w:rPr>
              <w:t>34,110</w:t>
            </w:r>
          </w:p>
        </w:tc>
        <w:tc>
          <w:tcPr>
            <w:tcW w:w="851" w:type="dxa"/>
            <w:shd w:val="clear" w:color="000000" w:fill="FFFFFF"/>
            <w:noWrap/>
            <w:vAlign w:val="center"/>
            <w:hideMark/>
          </w:tcPr>
          <w:p w14:paraId="73B600AE" w14:textId="7518BFB4" w:rsidR="006537F9" w:rsidRPr="00DF7C3A" w:rsidRDefault="006537F9" w:rsidP="00F2563B">
            <w:pPr>
              <w:pStyle w:val="TableTextRight"/>
              <w:rPr>
                <w:i/>
                <w:color w:val="000000"/>
              </w:rPr>
            </w:pPr>
            <w:r>
              <w:rPr>
                <w:i/>
                <w:color w:val="000000"/>
              </w:rPr>
              <w:t>35,420</w:t>
            </w:r>
          </w:p>
        </w:tc>
      </w:tr>
      <w:tr w:rsidR="006537F9" w:rsidRPr="00DF7C3A" w14:paraId="6EB57412" w14:textId="77777777" w:rsidTr="00D17BD4">
        <w:trPr>
          <w:trHeight w:val="225"/>
        </w:trPr>
        <w:tc>
          <w:tcPr>
            <w:tcW w:w="3402" w:type="dxa"/>
            <w:shd w:val="clear" w:color="000000" w:fill="FFFFFF"/>
            <w:noWrap/>
            <w:vAlign w:val="center"/>
            <w:hideMark/>
          </w:tcPr>
          <w:p w14:paraId="7C0F6660" w14:textId="77777777" w:rsidR="006537F9" w:rsidRPr="00093367" w:rsidRDefault="006537F9" w:rsidP="00F2563B">
            <w:pPr>
              <w:pStyle w:val="TableTextIndented"/>
              <w:rPr>
                <w:i/>
              </w:rPr>
            </w:pPr>
            <w:r w:rsidRPr="00093367">
              <w:rPr>
                <w:i/>
              </w:rPr>
              <w:t>Total customs duty</w:t>
            </w:r>
          </w:p>
        </w:tc>
        <w:tc>
          <w:tcPr>
            <w:tcW w:w="851" w:type="dxa"/>
            <w:shd w:val="clear" w:color="000000" w:fill="FFFFFF"/>
            <w:noWrap/>
            <w:vAlign w:val="center"/>
            <w:hideMark/>
          </w:tcPr>
          <w:p w14:paraId="75D75A5F" w14:textId="1C0A9C3F" w:rsidR="006537F9" w:rsidRPr="00DF7C3A" w:rsidRDefault="006537F9" w:rsidP="00F2563B">
            <w:pPr>
              <w:pStyle w:val="TableTextRight"/>
              <w:rPr>
                <w:i/>
                <w:color w:val="000000"/>
              </w:rPr>
            </w:pPr>
            <w:r>
              <w:rPr>
                <w:i/>
                <w:color w:val="000000"/>
              </w:rPr>
              <w:t>14,640</w:t>
            </w:r>
          </w:p>
        </w:tc>
        <w:tc>
          <w:tcPr>
            <w:tcW w:w="835" w:type="dxa"/>
            <w:shd w:val="clear" w:color="000000" w:fill="E6F2FF"/>
            <w:noWrap/>
            <w:vAlign w:val="center"/>
            <w:hideMark/>
          </w:tcPr>
          <w:p w14:paraId="61B2E51F" w14:textId="7BE6CFF5" w:rsidR="006537F9" w:rsidRPr="00DF7C3A" w:rsidRDefault="006537F9" w:rsidP="00F2563B">
            <w:pPr>
              <w:pStyle w:val="TableTextRight"/>
              <w:rPr>
                <w:i/>
                <w:color w:val="000000"/>
              </w:rPr>
            </w:pPr>
            <w:r>
              <w:rPr>
                <w:i/>
                <w:color w:val="000000"/>
              </w:rPr>
              <w:t>16,030</w:t>
            </w:r>
          </w:p>
        </w:tc>
        <w:tc>
          <w:tcPr>
            <w:tcW w:w="866" w:type="dxa"/>
            <w:shd w:val="clear" w:color="000000" w:fill="FFFFFF"/>
            <w:noWrap/>
            <w:vAlign w:val="center"/>
            <w:hideMark/>
          </w:tcPr>
          <w:p w14:paraId="270CC4C8" w14:textId="7E4E19EE" w:rsidR="006537F9" w:rsidRPr="00DF7C3A" w:rsidRDefault="006537F9" w:rsidP="00F2563B">
            <w:pPr>
              <w:pStyle w:val="TableTextRight"/>
              <w:rPr>
                <w:i/>
                <w:color w:val="000000"/>
              </w:rPr>
            </w:pPr>
            <w:r>
              <w:rPr>
                <w:i/>
                <w:color w:val="000000"/>
              </w:rPr>
              <w:t>16,210</w:t>
            </w:r>
          </w:p>
        </w:tc>
        <w:tc>
          <w:tcPr>
            <w:tcW w:w="850" w:type="dxa"/>
            <w:shd w:val="clear" w:color="000000" w:fill="FFFFFF"/>
            <w:noWrap/>
            <w:vAlign w:val="center"/>
            <w:hideMark/>
          </w:tcPr>
          <w:p w14:paraId="2FE6036D" w14:textId="2F04D806" w:rsidR="006537F9" w:rsidRPr="00DF7C3A" w:rsidRDefault="006537F9" w:rsidP="00F2563B">
            <w:pPr>
              <w:pStyle w:val="TableTextRight"/>
              <w:rPr>
                <w:i/>
                <w:color w:val="000000"/>
              </w:rPr>
            </w:pPr>
            <w:r>
              <w:rPr>
                <w:i/>
                <w:color w:val="000000"/>
              </w:rPr>
              <w:t>16,030</w:t>
            </w:r>
          </w:p>
        </w:tc>
        <w:tc>
          <w:tcPr>
            <w:tcW w:w="851" w:type="dxa"/>
            <w:shd w:val="clear" w:color="000000" w:fill="FFFFFF"/>
            <w:noWrap/>
            <w:vAlign w:val="center"/>
            <w:hideMark/>
          </w:tcPr>
          <w:p w14:paraId="261E2D1D" w14:textId="1B2EBEE7" w:rsidR="006537F9" w:rsidRPr="00DF7C3A" w:rsidRDefault="006537F9" w:rsidP="00F2563B">
            <w:pPr>
              <w:pStyle w:val="TableTextRight"/>
              <w:rPr>
                <w:i/>
                <w:color w:val="000000"/>
              </w:rPr>
            </w:pPr>
            <w:r>
              <w:rPr>
                <w:i/>
                <w:color w:val="000000"/>
              </w:rPr>
              <w:t>14,790</w:t>
            </w:r>
          </w:p>
        </w:tc>
      </w:tr>
      <w:tr w:rsidR="006537F9" w:rsidRPr="00DF7C3A" w14:paraId="1D326C1B" w14:textId="77777777" w:rsidTr="00D17BD4">
        <w:trPr>
          <w:trHeight w:val="225"/>
        </w:trPr>
        <w:tc>
          <w:tcPr>
            <w:tcW w:w="3402" w:type="dxa"/>
            <w:shd w:val="clear" w:color="000000" w:fill="FFFFFF"/>
            <w:noWrap/>
            <w:vAlign w:val="center"/>
            <w:hideMark/>
          </w:tcPr>
          <w:p w14:paraId="4232BBC4" w14:textId="77777777" w:rsidR="006537F9" w:rsidRPr="00093367" w:rsidRDefault="006537F9" w:rsidP="00F2563B">
            <w:pPr>
              <w:pStyle w:val="TableTextIndented"/>
              <w:rPr>
                <w:i/>
              </w:rPr>
            </w:pPr>
            <w:r w:rsidRPr="00093367">
              <w:rPr>
                <w:i/>
              </w:rPr>
              <w:t>Capital gains tax(b)</w:t>
            </w:r>
          </w:p>
        </w:tc>
        <w:tc>
          <w:tcPr>
            <w:tcW w:w="851" w:type="dxa"/>
            <w:shd w:val="clear" w:color="000000" w:fill="FFFFFF"/>
            <w:noWrap/>
            <w:vAlign w:val="center"/>
            <w:hideMark/>
          </w:tcPr>
          <w:p w14:paraId="2F5A3754" w14:textId="1F53D7F5" w:rsidR="006537F9" w:rsidRPr="00DF7C3A" w:rsidRDefault="006537F9" w:rsidP="00F2563B">
            <w:pPr>
              <w:pStyle w:val="TableTextRight"/>
              <w:rPr>
                <w:i/>
              </w:rPr>
            </w:pPr>
            <w:r>
              <w:rPr>
                <w:i/>
              </w:rPr>
              <w:t>26,400</w:t>
            </w:r>
          </w:p>
        </w:tc>
        <w:tc>
          <w:tcPr>
            <w:tcW w:w="835" w:type="dxa"/>
            <w:shd w:val="clear" w:color="000000" w:fill="E6F2FF"/>
            <w:noWrap/>
            <w:vAlign w:val="center"/>
            <w:hideMark/>
          </w:tcPr>
          <w:p w14:paraId="33096549" w14:textId="3C826D25" w:rsidR="006537F9" w:rsidRPr="00DF7C3A" w:rsidRDefault="006537F9" w:rsidP="00F2563B">
            <w:pPr>
              <w:pStyle w:val="TableTextRight"/>
              <w:rPr>
                <w:i/>
              </w:rPr>
            </w:pPr>
            <w:r>
              <w:rPr>
                <w:i/>
              </w:rPr>
              <w:t>23,600</w:t>
            </w:r>
          </w:p>
        </w:tc>
        <w:tc>
          <w:tcPr>
            <w:tcW w:w="866" w:type="dxa"/>
            <w:shd w:val="clear" w:color="000000" w:fill="FFFFFF"/>
            <w:noWrap/>
            <w:vAlign w:val="center"/>
            <w:hideMark/>
          </w:tcPr>
          <w:p w14:paraId="0A7F7E36" w14:textId="4B266785" w:rsidR="006537F9" w:rsidRPr="00DF7C3A" w:rsidRDefault="006537F9" w:rsidP="00F2563B">
            <w:pPr>
              <w:pStyle w:val="TableTextRight"/>
              <w:rPr>
                <w:i/>
              </w:rPr>
            </w:pPr>
            <w:r>
              <w:rPr>
                <w:i/>
              </w:rPr>
              <w:t>23,800</w:t>
            </w:r>
          </w:p>
        </w:tc>
        <w:tc>
          <w:tcPr>
            <w:tcW w:w="850" w:type="dxa"/>
            <w:shd w:val="clear" w:color="000000" w:fill="FFFFFF"/>
            <w:noWrap/>
            <w:vAlign w:val="center"/>
            <w:hideMark/>
          </w:tcPr>
          <w:p w14:paraId="5819852E" w14:textId="063F69D4" w:rsidR="006537F9" w:rsidRPr="00DF7C3A" w:rsidRDefault="006537F9" w:rsidP="00F2563B">
            <w:pPr>
              <w:pStyle w:val="TableTextRight"/>
              <w:rPr>
                <w:i/>
              </w:rPr>
            </w:pPr>
            <w:r>
              <w:rPr>
                <w:i/>
              </w:rPr>
              <w:t>24,800</w:t>
            </w:r>
          </w:p>
        </w:tc>
        <w:tc>
          <w:tcPr>
            <w:tcW w:w="851" w:type="dxa"/>
            <w:shd w:val="clear" w:color="000000" w:fill="FFFFFF"/>
            <w:noWrap/>
            <w:vAlign w:val="center"/>
            <w:hideMark/>
          </w:tcPr>
          <w:p w14:paraId="66170BF4" w14:textId="26065E2F" w:rsidR="006537F9" w:rsidRPr="00DF7C3A" w:rsidRDefault="006537F9" w:rsidP="00F2563B">
            <w:pPr>
              <w:pStyle w:val="TableTextRight"/>
              <w:rPr>
                <w:i/>
              </w:rPr>
            </w:pPr>
            <w:r>
              <w:rPr>
                <w:i/>
              </w:rPr>
              <w:t>26,100</w:t>
            </w:r>
          </w:p>
        </w:tc>
      </w:tr>
    </w:tbl>
    <w:p w14:paraId="568D5943" w14:textId="4733475E" w:rsidR="00144E88" w:rsidRDefault="00325E1E" w:rsidP="00144E88">
      <w:pPr>
        <w:pStyle w:val="ChartandTableFootnoteAlpha"/>
        <w:numPr>
          <w:ilvl w:val="0"/>
          <w:numId w:val="19"/>
        </w:numPr>
      </w:pPr>
      <w:r>
        <w:t>‘</w:t>
      </w:r>
      <w:r w:rsidR="00144E88" w:rsidRPr="000E0DC4">
        <w:t>Other alcoholic beverages</w:t>
      </w:r>
      <w:r>
        <w:t>’</w:t>
      </w:r>
      <w:r w:rsidR="00144E88" w:rsidRPr="000E0DC4">
        <w:t xml:space="preserve"> are those not exceeding 10</w:t>
      </w:r>
      <w:r w:rsidR="00144E88">
        <w:t> </w:t>
      </w:r>
      <w:r w:rsidR="00144E88" w:rsidRPr="000E0DC4">
        <w:t>per</w:t>
      </w:r>
      <w:r w:rsidR="00144E88">
        <w:t> </w:t>
      </w:r>
      <w:r w:rsidR="00144E88" w:rsidRPr="000E0DC4">
        <w:t>cent by volume of alcohol (excluding beer, brandy and wine).</w:t>
      </w:r>
    </w:p>
    <w:p w14:paraId="07A646F8" w14:textId="641E5DF3" w:rsidR="00144E88" w:rsidRPr="004E3B7A" w:rsidRDefault="00325E1E" w:rsidP="00144E88">
      <w:pPr>
        <w:pStyle w:val="ChartandTableFootnoteAlpha"/>
        <w:numPr>
          <w:ilvl w:val="0"/>
          <w:numId w:val="19"/>
        </w:numPr>
      </w:pPr>
      <w:r>
        <w:t>‘</w:t>
      </w:r>
      <w:r w:rsidR="00144E88" w:rsidRPr="004E3B7A">
        <w:t>Capital gains tax</w:t>
      </w:r>
      <w:r>
        <w:t>’</w:t>
      </w:r>
      <w:r w:rsidR="00144E88" w:rsidRPr="004E3B7A">
        <w:t xml:space="preserve"> is part of gross other individuals, company tax and superannuation fund taxes.</w:t>
      </w:r>
    </w:p>
    <w:p w14:paraId="141316FC" w14:textId="77777777" w:rsidR="00D17BD4" w:rsidRPr="00D17BD4" w:rsidRDefault="00D17BD4" w:rsidP="00D17BD4">
      <w:pPr>
        <w:pStyle w:val="TableLine"/>
      </w:pPr>
    </w:p>
    <w:p w14:paraId="21BB7F81" w14:textId="33DAA859" w:rsidR="00D8138E" w:rsidRPr="00663990" w:rsidRDefault="000D0B7D" w:rsidP="00BF0203">
      <w:pPr>
        <w:pStyle w:val="NoteTableHeading"/>
        <w:rPr>
          <w:rFonts w:eastAsiaTheme="minorHAnsi"/>
        </w:rPr>
      </w:pPr>
      <w:r>
        <w:lastRenderedPageBreak/>
        <w:t>Note </w:t>
      </w:r>
      <w:r w:rsidR="00D8138E" w:rsidRPr="00EA746C">
        <w:t>3(a): Taxation revenue by source</w:t>
      </w:r>
    </w:p>
    <w:tbl>
      <w:tblPr>
        <w:tblpPr w:leftFromText="180" w:rightFromText="180" w:vertAnchor="text" w:horzAnchor="margin" w:tblpY="12"/>
        <w:tblW w:w="7711" w:type="dxa"/>
        <w:tblLook w:val="04A0" w:firstRow="1" w:lastRow="0" w:firstColumn="1" w:lastColumn="0" w:noHBand="0" w:noVBand="1"/>
      </w:tblPr>
      <w:tblGrid>
        <w:gridCol w:w="3791"/>
        <w:gridCol w:w="804"/>
        <w:gridCol w:w="804"/>
        <w:gridCol w:w="804"/>
        <w:gridCol w:w="804"/>
        <w:gridCol w:w="804"/>
      </w:tblGrid>
      <w:tr w:rsidR="0079061B" w:rsidRPr="00EB32C0" w14:paraId="366EF060" w14:textId="77777777" w:rsidTr="00AA543A">
        <w:trPr>
          <w:trHeight w:val="225"/>
        </w:trPr>
        <w:tc>
          <w:tcPr>
            <w:tcW w:w="0" w:type="auto"/>
            <w:tcBorders>
              <w:top w:val="single" w:sz="4" w:space="0" w:color="293F5B"/>
              <w:left w:val="nil"/>
              <w:bottom w:val="nil"/>
              <w:right w:val="nil"/>
            </w:tcBorders>
            <w:shd w:val="clear" w:color="000000" w:fill="FFFFFF"/>
            <w:noWrap/>
            <w:vAlign w:val="center"/>
            <w:hideMark/>
          </w:tcPr>
          <w:p w14:paraId="2FEBFA43" w14:textId="77777777" w:rsidR="00260AF4" w:rsidRPr="00EB32C0" w:rsidRDefault="00260AF4" w:rsidP="00093367">
            <w:pPr>
              <w:pStyle w:val="TableTextLeft"/>
            </w:pPr>
            <w:r w:rsidRPr="00EB32C0">
              <w:t> </w:t>
            </w:r>
          </w:p>
        </w:tc>
        <w:tc>
          <w:tcPr>
            <w:tcW w:w="0" w:type="auto"/>
            <w:gridSpan w:val="5"/>
            <w:tcBorders>
              <w:top w:val="single" w:sz="4" w:space="0" w:color="293F5B"/>
              <w:left w:val="nil"/>
              <w:bottom w:val="single" w:sz="4" w:space="0" w:color="293F5B"/>
              <w:right w:val="nil"/>
            </w:tcBorders>
            <w:shd w:val="clear" w:color="000000" w:fill="FFFFFF"/>
            <w:noWrap/>
            <w:vAlign w:val="center"/>
            <w:hideMark/>
          </w:tcPr>
          <w:p w14:paraId="0AECB881" w14:textId="77777777" w:rsidR="00260AF4" w:rsidRPr="00E37688" w:rsidRDefault="00260AF4" w:rsidP="005C272A">
            <w:pPr>
              <w:pStyle w:val="TableTextCentred"/>
            </w:pPr>
            <w:r w:rsidRPr="00E37688">
              <w:t>Estimates</w:t>
            </w:r>
          </w:p>
        </w:tc>
      </w:tr>
      <w:tr w:rsidR="0079061B" w:rsidRPr="00EB32C0" w14:paraId="61DDFB16" w14:textId="77777777" w:rsidTr="00AA543A">
        <w:trPr>
          <w:trHeight w:val="225"/>
        </w:trPr>
        <w:tc>
          <w:tcPr>
            <w:tcW w:w="0" w:type="auto"/>
            <w:tcBorders>
              <w:top w:val="nil"/>
              <w:left w:val="nil"/>
              <w:bottom w:val="nil"/>
              <w:right w:val="nil"/>
            </w:tcBorders>
            <w:shd w:val="clear" w:color="000000" w:fill="FFFFFF"/>
            <w:noWrap/>
            <w:vAlign w:val="center"/>
            <w:hideMark/>
          </w:tcPr>
          <w:p w14:paraId="59085F9A" w14:textId="77777777" w:rsidR="00260AF4" w:rsidRPr="00E37688" w:rsidRDefault="00260AF4" w:rsidP="00093367">
            <w:pPr>
              <w:pStyle w:val="TableTextLeft"/>
            </w:pPr>
            <w:r w:rsidRPr="00E37688">
              <w:t> </w:t>
            </w:r>
          </w:p>
        </w:tc>
        <w:tc>
          <w:tcPr>
            <w:tcW w:w="0" w:type="auto"/>
            <w:tcBorders>
              <w:top w:val="nil"/>
              <w:left w:val="nil"/>
              <w:bottom w:val="nil"/>
              <w:right w:val="nil"/>
            </w:tcBorders>
            <w:shd w:val="clear" w:color="000000" w:fill="FFFFFF"/>
            <w:noWrap/>
            <w:vAlign w:val="center"/>
            <w:hideMark/>
          </w:tcPr>
          <w:p w14:paraId="314870C9" w14:textId="7DBA39E7" w:rsidR="00260AF4" w:rsidRPr="00E37688" w:rsidRDefault="00260AF4" w:rsidP="005C272A">
            <w:pPr>
              <w:pStyle w:val="TableTextRight"/>
            </w:pPr>
            <w:r w:rsidRPr="00E37688">
              <w:t>2023</w:t>
            </w:r>
            <w:r w:rsidR="00325E1E">
              <w:noBreakHyphen/>
            </w:r>
            <w:r w:rsidRPr="00E37688">
              <w:t>24</w:t>
            </w:r>
          </w:p>
        </w:tc>
        <w:tc>
          <w:tcPr>
            <w:tcW w:w="0" w:type="auto"/>
            <w:tcBorders>
              <w:top w:val="nil"/>
              <w:left w:val="nil"/>
              <w:bottom w:val="nil"/>
              <w:right w:val="nil"/>
            </w:tcBorders>
            <w:shd w:val="clear" w:color="000000" w:fill="E6F2FF"/>
            <w:noWrap/>
            <w:vAlign w:val="center"/>
            <w:hideMark/>
          </w:tcPr>
          <w:p w14:paraId="431BA0B1" w14:textId="47E6D4F5" w:rsidR="00260AF4" w:rsidRPr="00E37688" w:rsidRDefault="00260AF4" w:rsidP="005C272A">
            <w:pPr>
              <w:pStyle w:val="TableTextRight"/>
            </w:pPr>
            <w:r w:rsidRPr="00E37688">
              <w:t>2024</w:t>
            </w:r>
            <w:r w:rsidR="00325E1E">
              <w:noBreakHyphen/>
            </w:r>
            <w:r w:rsidRPr="00E37688">
              <w:t>25</w:t>
            </w:r>
          </w:p>
        </w:tc>
        <w:tc>
          <w:tcPr>
            <w:tcW w:w="0" w:type="auto"/>
            <w:tcBorders>
              <w:top w:val="nil"/>
              <w:left w:val="nil"/>
              <w:bottom w:val="nil"/>
              <w:right w:val="nil"/>
            </w:tcBorders>
            <w:shd w:val="clear" w:color="000000" w:fill="FFFFFF"/>
            <w:noWrap/>
            <w:vAlign w:val="center"/>
            <w:hideMark/>
          </w:tcPr>
          <w:p w14:paraId="15F07FB1" w14:textId="604F4B29" w:rsidR="00260AF4" w:rsidRPr="00E37688" w:rsidRDefault="006425E3" w:rsidP="005C272A">
            <w:pPr>
              <w:pStyle w:val="TableTextRight"/>
            </w:pPr>
            <w:r w:rsidRPr="00E37688">
              <w:t>202</w:t>
            </w:r>
            <w:r>
              <w:t>5</w:t>
            </w:r>
            <w:r w:rsidR="00325E1E">
              <w:noBreakHyphen/>
            </w:r>
            <w:r>
              <w:t xml:space="preserve">26  </w:t>
            </w:r>
          </w:p>
        </w:tc>
        <w:tc>
          <w:tcPr>
            <w:tcW w:w="0" w:type="auto"/>
            <w:tcBorders>
              <w:top w:val="nil"/>
              <w:left w:val="nil"/>
              <w:bottom w:val="nil"/>
              <w:right w:val="nil"/>
            </w:tcBorders>
            <w:shd w:val="clear" w:color="000000" w:fill="FFFFFF"/>
            <w:noWrap/>
            <w:vAlign w:val="center"/>
            <w:hideMark/>
          </w:tcPr>
          <w:p w14:paraId="465F7787" w14:textId="61051FBA" w:rsidR="00260AF4" w:rsidRPr="00E37688" w:rsidRDefault="00260AF4" w:rsidP="005C272A">
            <w:pPr>
              <w:pStyle w:val="TableTextRight"/>
            </w:pPr>
            <w:r w:rsidRPr="00E37688">
              <w:t>2026</w:t>
            </w:r>
            <w:r w:rsidR="00325E1E">
              <w:noBreakHyphen/>
            </w:r>
            <w:r w:rsidRPr="00E37688">
              <w:t>27</w:t>
            </w:r>
          </w:p>
        </w:tc>
        <w:tc>
          <w:tcPr>
            <w:tcW w:w="0" w:type="auto"/>
            <w:tcBorders>
              <w:top w:val="nil"/>
              <w:left w:val="nil"/>
              <w:bottom w:val="nil"/>
              <w:right w:val="nil"/>
            </w:tcBorders>
            <w:shd w:val="clear" w:color="000000" w:fill="FFFFFF"/>
            <w:noWrap/>
            <w:vAlign w:val="center"/>
            <w:hideMark/>
          </w:tcPr>
          <w:p w14:paraId="577941CB" w14:textId="1A1DDBA1" w:rsidR="00260AF4" w:rsidRPr="00E37688" w:rsidRDefault="00260AF4" w:rsidP="005C272A">
            <w:pPr>
              <w:pStyle w:val="TableTextRight"/>
              <w:rPr>
                <w:color w:val="000000"/>
              </w:rPr>
            </w:pPr>
            <w:r w:rsidRPr="00E37688">
              <w:rPr>
                <w:color w:val="000000"/>
              </w:rPr>
              <w:t>2027</w:t>
            </w:r>
            <w:r w:rsidR="00325E1E">
              <w:rPr>
                <w:color w:val="000000"/>
              </w:rPr>
              <w:noBreakHyphen/>
            </w:r>
            <w:r w:rsidRPr="00E37688">
              <w:rPr>
                <w:color w:val="000000"/>
              </w:rPr>
              <w:t>28</w:t>
            </w:r>
          </w:p>
        </w:tc>
      </w:tr>
      <w:tr w:rsidR="0079061B" w:rsidRPr="00EB32C0" w14:paraId="0C18CF84" w14:textId="77777777" w:rsidTr="00AA543A">
        <w:trPr>
          <w:trHeight w:val="225"/>
        </w:trPr>
        <w:tc>
          <w:tcPr>
            <w:tcW w:w="0" w:type="auto"/>
            <w:tcBorders>
              <w:top w:val="nil"/>
              <w:left w:val="nil"/>
              <w:bottom w:val="nil"/>
              <w:right w:val="nil"/>
            </w:tcBorders>
            <w:shd w:val="clear" w:color="000000" w:fill="FFFFFF"/>
            <w:noWrap/>
            <w:vAlign w:val="center"/>
            <w:hideMark/>
          </w:tcPr>
          <w:p w14:paraId="1BF65BE1" w14:textId="77777777" w:rsidR="00260AF4" w:rsidRPr="00E37688" w:rsidRDefault="00260AF4" w:rsidP="00093367">
            <w:pPr>
              <w:pStyle w:val="TableTextLeft"/>
              <w:rPr>
                <w:b/>
              </w:rPr>
            </w:pPr>
            <w:r w:rsidRPr="00E37688">
              <w:rPr>
                <w:b/>
              </w:rPr>
              <w:t> </w:t>
            </w:r>
          </w:p>
        </w:tc>
        <w:tc>
          <w:tcPr>
            <w:tcW w:w="0" w:type="auto"/>
            <w:tcBorders>
              <w:top w:val="nil"/>
              <w:left w:val="nil"/>
              <w:bottom w:val="single" w:sz="4" w:space="0" w:color="293F5B"/>
              <w:right w:val="nil"/>
            </w:tcBorders>
            <w:shd w:val="clear" w:color="000000" w:fill="FFFFFF"/>
            <w:noWrap/>
            <w:vAlign w:val="center"/>
            <w:hideMark/>
          </w:tcPr>
          <w:p w14:paraId="552F74E5" w14:textId="77777777" w:rsidR="00260AF4" w:rsidRPr="00E37688" w:rsidRDefault="00260AF4" w:rsidP="005C272A">
            <w:pPr>
              <w:pStyle w:val="TableTextRight"/>
            </w:pPr>
            <w:r w:rsidRPr="00E37688">
              <w:t>$m</w:t>
            </w:r>
          </w:p>
        </w:tc>
        <w:tc>
          <w:tcPr>
            <w:tcW w:w="0" w:type="auto"/>
            <w:tcBorders>
              <w:top w:val="nil"/>
              <w:left w:val="nil"/>
              <w:bottom w:val="single" w:sz="4" w:space="0" w:color="293F5B"/>
              <w:right w:val="nil"/>
            </w:tcBorders>
            <w:shd w:val="clear" w:color="000000" w:fill="E6F2FF"/>
            <w:noWrap/>
            <w:vAlign w:val="center"/>
            <w:hideMark/>
          </w:tcPr>
          <w:p w14:paraId="18A44AD6" w14:textId="77777777" w:rsidR="00260AF4" w:rsidRPr="00E37688" w:rsidRDefault="00260AF4" w:rsidP="005C272A">
            <w:pPr>
              <w:pStyle w:val="TableTextRight"/>
              <w:rPr>
                <w:color w:val="000000"/>
              </w:rPr>
            </w:pPr>
            <w:r w:rsidRPr="00E37688">
              <w:rPr>
                <w:color w:val="000000"/>
              </w:rPr>
              <w:t>$m</w:t>
            </w:r>
          </w:p>
        </w:tc>
        <w:tc>
          <w:tcPr>
            <w:tcW w:w="0" w:type="auto"/>
            <w:tcBorders>
              <w:top w:val="nil"/>
              <w:left w:val="nil"/>
              <w:bottom w:val="single" w:sz="4" w:space="0" w:color="293F5B"/>
              <w:right w:val="nil"/>
            </w:tcBorders>
            <w:shd w:val="clear" w:color="000000" w:fill="FFFFFF"/>
            <w:noWrap/>
            <w:vAlign w:val="center"/>
            <w:hideMark/>
          </w:tcPr>
          <w:p w14:paraId="71D7BED1" w14:textId="77777777" w:rsidR="00260AF4" w:rsidRPr="00E37688" w:rsidRDefault="00260AF4" w:rsidP="005C272A">
            <w:pPr>
              <w:pStyle w:val="TableTextRight"/>
              <w:rPr>
                <w:color w:val="000000"/>
              </w:rPr>
            </w:pPr>
            <w:r w:rsidRPr="00E37688">
              <w:rPr>
                <w:color w:val="000000"/>
              </w:rPr>
              <w:t>$m</w:t>
            </w:r>
          </w:p>
        </w:tc>
        <w:tc>
          <w:tcPr>
            <w:tcW w:w="0" w:type="auto"/>
            <w:tcBorders>
              <w:top w:val="nil"/>
              <w:left w:val="nil"/>
              <w:bottom w:val="single" w:sz="4" w:space="0" w:color="293F5B"/>
              <w:right w:val="nil"/>
            </w:tcBorders>
            <w:shd w:val="clear" w:color="000000" w:fill="FFFFFF"/>
            <w:noWrap/>
            <w:vAlign w:val="center"/>
            <w:hideMark/>
          </w:tcPr>
          <w:p w14:paraId="7CC05846" w14:textId="77777777" w:rsidR="00260AF4" w:rsidRPr="00E37688" w:rsidRDefault="00260AF4" w:rsidP="005C272A">
            <w:pPr>
              <w:pStyle w:val="TableTextRight"/>
              <w:rPr>
                <w:color w:val="000000"/>
              </w:rPr>
            </w:pPr>
            <w:r w:rsidRPr="00E37688">
              <w:rPr>
                <w:color w:val="000000"/>
              </w:rPr>
              <w:t>$m</w:t>
            </w:r>
          </w:p>
        </w:tc>
        <w:tc>
          <w:tcPr>
            <w:tcW w:w="0" w:type="auto"/>
            <w:tcBorders>
              <w:top w:val="nil"/>
              <w:left w:val="nil"/>
              <w:bottom w:val="single" w:sz="4" w:space="0" w:color="293F5B"/>
              <w:right w:val="nil"/>
            </w:tcBorders>
            <w:shd w:val="clear" w:color="000000" w:fill="FFFFFF"/>
            <w:noWrap/>
            <w:vAlign w:val="center"/>
            <w:hideMark/>
          </w:tcPr>
          <w:p w14:paraId="7A077B79" w14:textId="77777777" w:rsidR="00260AF4" w:rsidRPr="00E37688" w:rsidRDefault="00260AF4" w:rsidP="005C272A">
            <w:pPr>
              <w:pStyle w:val="TableTextRight"/>
              <w:rPr>
                <w:color w:val="000000"/>
              </w:rPr>
            </w:pPr>
            <w:r w:rsidRPr="00E37688">
              <w:rPr>
                <w:color w:val="000000"/>
              </w:rPr>
              <w:t>$m</w:t>
            </w:r>
          </w:p>
        </w:tc>
      </w:tr>
      <w:tr w:rsidR="000C433B" w:rsidRPr="00EB32C0" w14:paraId="0A509445" w14:textId="77777777" w:rsidTr="00AA543A">
        <w:trPr>
          <w:trHeight w:val="225"/>
        </w:trPr>
        <w:tc>
          <w:tcPr>
            <w:tcW w:w="0" w:type="auto"/>
            <w:tcBorders>
              <w:top w:val="nil"/>
              <w:left w:val="nil"/>
              <w:bottom w:val="nil"/>
              <w:right w:val="nil"/>
            </w:tcBorders>
            <w:shd w:val="clear" w:color="000000" w:fill="FFFFFF"/>
            <w:noWrap/>
            <w:vAlign w:val="center"/>
            <w:hideMark/>
          </w:tcPr>
          <w:p w14:paraId="2EDDA67D" w14:textId="3731A23D" w:rsidR="000C433B" w:rsidRPr="00E37688" w:rsidRDefault="000C433B" w:rsidP="00093367">
            <w:pPr>
              <w:pStyle w:val="TableTextLeft"/>
            </w:pPr>
            <w:r>
              <w:t>Taxes on income, profits and capital gains</w:t>
            </w:r>
          </w:p>
        </w:tc>
        <w:tc>
          <w:tcPr>
            <w:tcW w:w="0" w:type="auto"/>
            <w:tcBorders>
              <w:top w:val="nil"/>
              <w:left w:val="nil"/>
              <w:bottom w:val="nil"/>
              <w:right w:val="nil"/>
            </w:tcBorders>
            <w:shd w:val="clear" w:color="000000" w:fill="FFFFFF"/>
            <w:noWrap/>
            <w:vAlign w:val="center"/>
            <w:hideMark/>
          </w:tcPr>
          <w:p w14:paraId="0848D158" w14:textId="0D9E11B2" w:rsidR="000C433B" w:rsidRPr="00E37688" w:rsidRDefault="000C433B" w:rsidP="005C272A">
            <w:pPr>
              <w:pStyle w:val="TableTextRight"/>
            </w:pPr>
            <w:r>
              <w:t> </w:t>
            </w:r>
          </w:p>
        </w:tc>
        <w:tc>
          <w:tcPr>
            <w:tcW w:w="0" w:type="auto"/>
            <w:tcBorders>
              <w:top w:val="nil"/>
              <w:left w:val="nil"/>
              <w:bottom w:val="nil"/>
              <w:right w:val="nil"/>
            </w:tcBorders>
            <w:shd w:val="clear" w:color="000000" w:fill="E6F2FF"/>
            <w:noWrap/>
            <w:vAlign w:val="center"/>
            <w:hideMark/>
          </w:tcPr>
          <w:p w14:paraId="6C93DED4" w14:textId="61430707"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7FD85E40" w14:textId="13F4B8CF"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2AA4CB8A" w14:textId="173B042D"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0F214494" w14:textId="21914734" w:rsidR="000C433B" w:rsidRPr="00E37688" w:rsidRDefault="000C433B" w:rsidP="005C272A">
            <w:pPr>
              <w:pStyle w:val="TableTextRight"/>
              <w:rPr>
                <w:color w:val="000000"/>
              </w:rPr>
            </w:pPr>
            <w:r>
              <w:rPr>
                <w:color w:val="000000"/>
              </w:rPr>
              <w:t> </w:t>
            </w:r>
          </w:p>
        </w:tc>
      </w:tr>
      <w:tr w:rsidR="003C7F9D" w:rsidRPr="00EB32C0" w14:paraId="4DCEC57E" w14:textId="77777777" w:rsidTr="00AA543A">
        <w:trPr>
          <w:trHeight w:val="225"/>
        </w:trPr>
        <w:tc>
          <w:tcPr>
            <w:tcW w:w="0" w:type="auto"/>
            <w:tcBorders>
              <w:top w:val="nil"/>
              <w:left w:val="nil"/>
              <w:bottom w:val="nil"/>
              <w:right w:val="nil"/>
            </w:tcBorders>
            <w:shd w:val="clear" w:color="000000" w:fill="FFFFFF"/>
            <w:noWrap/>
            <w:vAlign w:val="center"/>
            <w:hideMark/>
          </w:tcPr>
          <w:p w14:paraId="5054DEE0" w14:textId="1365D9AF" w:rsidR="003C7F9D" w:rsidRPr="00E37688" w:rsidRDefault="003C7F9D" w:rsidP="008279EB">
            <w:pPr>
              <w:pStyle w:val="TableTextIndented"/>
            </w:pPr>
            <w:r>
              <w:t>Income and capital gains levied on individuals</w:t>
            </w:r>
          </w:p>
        </w:tc>
        <w:tc>
          <w:tcPr>
            <w:tcW w:w="0" w:type="auto"/>
            <w:tcBorders>
              <w:top w:val="nil"/>
              <w:left w:val="nil"/>
              <w:bottom w:val="nil"/>
              <w:right w:val="nil"/>
            </w:tcBorders>
            <w:shd w:val="clear" w:color="000000" w:fill="FFFFFF"/>
            <w:noWrap/>
            <w:vAlign w:val="center"/>
            <w:hideMark/>
          </w:tcPr>
          <w:p w14:paraId="62F71FF9" w14:textId="00626D37" w:rsidR="003C7F9D" w:rsidRPr="00E37688" w:rsidRDefault="003C7F9D" w:rsidP="005C272A">
            <w:pPr>
              <w:pStyle w:val="TableTextRight"/>
            </w:pPr>
            <w:r>
              <w:t>347,680</w:t>
            </w:r>
          </w:p>
        </w:tc>
        <w:tc>
          <w:tcPr>
            <w:tcW w:w="0" w:type="auto"/>
            <w:tcBorders>
              <w:top w:val="nil"/>
              <w:left w:val="nil"/>
              <w:bottom w:val="nil"/>
              <w:right w:val="nil"/>
            </w:tcBorders>
            <w:shd w:val="clear" w:color="000000" w:fill="E6F2FF"/>
            <w:noWrap/>
            <w:vAlign w:val="center"/>
            <w:hideMark/>
          </w:tcPr>
          <w:p w14:paraId="3D92832D" w14:textId="589C780A" w:rsidR="003C7F9D" w:rsidRPr="00E37688" w:rsidRDefault="003C7F9D" w:rsidP="005C272A">
            <w:pPr>
              <w:pStyle w:val="TableTextRight"/>
            </w:pPr>
            <w:r>
              <w:t>339,730</w:t>
            </w:r>
          </w:p>
        </w:tc>
        <w:tc>
          <w:tcPr>
            <w:tcW w:w="0" w:type="auto"/>
            <w:tcBorders>
              <w:top w:val="nil"/>
              <w:left w:val="nil"/>
              <w:bottom w:val="nil"/>
              <w:right w:val="nil"/>
            </w:tcBorders>
            <w:shd w:val="clear" w:color="000000" w:fill="FFFFFF"/>
            <w:noWrap/>
            <w:vAlign w:val="center"/>
            <w:hideMark/>
          </w:tcPr>
          <w:p w14:paraId="38BF2885" w14:textId="2F90458B" w:rsidR="003C7F9D" w:rsidRPr="00E37688" w:rsidRDefault="003C7F9D" w:rsidP="005C272A">
            <w:pPr>
              <w:pStyle w:val="TableTextRight"/>
            </w:pPr>
            <w:r>
              <w:t>356,740</w:t>
            </w:r>
          </w:p>
        </w:tc>
        <w:tc>
          <w:tcPr>
            <w:tcW w:w="0" w:type="auto"/>
            <w:tcBorders>
              <w:top w:val="nil"/>
              <w:left w:val="nil"/>
              <w:bottom w:val="nil"/>
              <w:right w:val="nil"/>
            </w:tcBorders>
            <w:shd w:val="clear" w:color="000000" w:fill="FFFFFF"/>
            <w:noWrap/>
            <w:vAlign w:val="center"/>
            <w:hideMark/>
          </w:tcPr>
          <w:p w14:paraId="1882419F" w14:textId="4CC89342" w:rsidR="003C7F9D" w:rsidRPr="00E37688" w:rsidRDefault="003C7F9D" w:rsidP="005C272A">
            <w:pPr>
              <w:pStyle w:val="TableTextRight"/>
            </w:pPr>
            <w:r>
              <w:t>378,290</w:t>
            </w:r>
          </w:p>
        </w:tc>
        <w:tc>
          <w:tcPr>
            <w:tcW w:w="0" w:type="auto"/>
            <w:tcBorders>
              <w:top w:val="nil"/>
              <w:left w:val="nil"/>
              <w:bottom w:val="nil"/>
              <w:right w:val="nil"/>
            </w:tcBorders>
            <w:shd w:val="clear" w:color="000000" w:fill="FFFFFF"/>
            <w:noWrap/>
            <w:vAlign w:val="center"/>
            <w:hideMark/>
          </w:tcPr>
          <w:p w14:paraId="581C394B" w14:textId="5E316F94" w:rsidR="003C7F9D" w:rsidRPr="00E37688" w:rsidRDefault="003C7F9D" w:rsidP="005C272A">
            <w:pPr>
              <w:pStyle w:val="TableTextRight"/>
            </w:pPr>
            <w:r>
              <w:t>408,100</w:t>
            </w:r>
          </w:p>
        </w:tc>
      </w:tr>
      <w:tr w:rsidR="003C7F9D" w:rsidRPr="00EB32C0" w14:paraId="507E43FA" w14:textId="77777777" w:rsidTr="00AA543A">
        <w:trPr>
          <w:trHeight w:val="225"/>
        </w:trPr>
        <w:tc>
          <w:tcPr>
            <w:tcW w:w="0" w:type="auto"/>
            <w:tcBorders>
              <w:top w:val="nil"/>
              <w:left w:val="nil"/>
              <w:bottom w:val="nil"/>
              <w:right w:val="nil"/>
            </w:tcBorders>
            <w:shd w:val="clear" w:color="000000" w:fill="FFFFFF"/>
            <w:noWrap/>
            <w:vAlign w:val="center"/>
            <w:hideMark/>
          </w:tcPr>
          <w:p w14:paraId="107B450C" w14:textId="670322D2" w:rsidR="003C7F9D" w:rsidRPr="00E37688" w:rsidRDefault="003C7F9D" w:rsidP="008279EB">
            <w:pPr>
              <w:pStyle w:val="TableTextIndented"/>
            </w:pPr>
            <w:r>
              <w:t>Income and capital gains levied on enterprises</w:t>
            </w:r>
          </w:p>
        </w:tc>
        <w:tc>
          <w:tcPr>
            <w:tcW w:w="0" w:type="auto"/>
            <w:tcBorders>
              <w:top w:val="nil"/>
              <w:left w:val="nil"/>
              <w:bottom w:val="single" w:sz="4" w:space="0" w:color="293F5B"/>
              <w:right w:val="nil"/>
            </w:tcBorders>
            <w:shd w:val="clear" w:color="000000" w:fill="FFFFFF"/>
            <w:noWrap/>
            <w:vAlign w:val="center"/>
            <w:hideMark/>
          </w:tcPr>
          <w:p w14:paraId="6414A1C4" w14:textId="708DA840" w:rsidR="003C7F9D" w:rsidRPr="00E37688" w:rsidRDefault="003C7F9D" w:rsidP="005C272A">
            <w:pPr>
              <w:pStyle w:val="TableTextRight"/>
            </w:pPr>
            <w:r>
              <w:t>158,110</w:t>
            </w:r>
          </w:p>
        </w:tc>
        <w:tc>
          <w:tcPr>
            <w:tcW w:w="0" w:type="auto"/>
            <w:tcBorders>
              <w:top w:val="nil"/>
              <w:left w:val="nil"/>
              <w:bottom w:val="single" w:sz="4" w:space="0" w:color="293F5B"/>
              <w:right w:val="nil"/>
            </w:tcBorders>
            <w:shd w:val="clear" w:color="000000" w:fill="E6F2FF"/>
            <w:noWrap/>
            <w:vAlign w:val="center"/>
            <w:hideMark/>
          </w:tcPr>
          <w:p w14:paraId="068ED631" w14:textId="18A7BAC5" w:rsidR="003C7F9D" w:rsidRPr="00E37688" w:rsidRDefault="003C7F9D" w:rsidP="005C272A">
            <w:pPr>
              <w:pStyle w:val="TableTextRight"/>
            </w:pPr>
            <w:r>
              <w:t>163,620</w:t>
            </w:r>
          </w:p>
        </w:tc>
        <w:tc>
          <w:tcPr>
            <w:tcW w:w="0" w:type="auto"/>
            <w:tcBorders>
              <w:top w:val="nil"/>
              <w:left w:val="nil"/>
              <w:bottom w:val="single" w:sz="4" w:space="0" w:color="293F5B"/>
              <w:right w:val="nil"/>
            </w:tcBorders>
            <w:shd w:val="clear" w:color="000000" w:fill="FFFFFF"/>
            <w:noWrap/>
            <w:vAlign w:val="center"/>
            <w:hideMark/>
          </w:tcPr>
          <w:p w14:paraId="30BBBE30" w14:textId="361FFCAD" w:rsidR="003C7F9D" w:rsidRPr="00E37688" w:rsidRDefault="003C7F9D" w:rsidP="005C272A">
            <w:pPr>
              <w:pStyle w:val="TableTextRight"/>
            </w:pPr>
            <w:r>
              <w:t>159,460</w:t>
            </w:r>
          </w:p>
        </w:tc>
        <w:tc>
          <w:tcPr>
            <w:tcW w:w="0" w:type="auto"/>
            <w:tcBorders>
              <w:top w:val="nil"/>
              <w:left w:val="nil"/>
              <w:bottom w:val="single" w:sz="4" w:space="0" w:color="293F5B"/>
              <w:right w:val="nil"/>
            </w:tcBorders>
            <w:shd w:val="clear" w:color="000000" w:fill="FFFFFF"/>
            <w:noWrap/>
            <w:vAlign w:val="center"/>
            <w:hideMark/>
          </w:tcPr>
          <w:p w14:paraId="2D7C0D9B" w14:textId="5654A371" w:rsidR="003C7F9D" w:rsidRPr="00E37688" w:rsidRDefault="003C7F9D" w:rsidP="005C272A">
            <w:pPr>
              <w:pStyle w:val="TableTextRight"/>
            </w:pPr>
            <w:r>
              <w:t>172,360</w:t>
            </w:r>
          </w:p>
        </w:tc>
        <w:tc>
          <w:tcPr>
            <w:tcW w:w="0" w:type="auto"/>
            <w:tcBorders>
              <w:top w:val="nil"/>
              <w:left w:val="nil"/>
              <w:bottom w:val="single" w:sz="4" w:space="0" w:color="293F5B"/>
              <w:right w:val="nil"/>
            </w:tcBorders>
            <w:shd w:val="clear" w:color="000000" w:fill="FFFFFF"/>
            <w:noWrap/>
            <w:vAlign w:val="center"/>
            <w:hideMark/>
          </w:tcPr>
          <w:p w14:paraId="0B22C8CE" w14:textId="42E8DA96" w:rsidR="003C7F9D" w:rsidRPr="00E37688" w:rsidRDefault="003C7F9D" w:rsidP="005C272A">
            <w:pPr>
              <w:pStyle w:val="TableTextRight"/>
            </w:pPr>
            <w:r>
              <w:t>177,920</w:t>
            </w:r>
          </w:p>
        </w:tc>
      </w:tr>
      <w:tr w:rsidR="000C433B" w:rsidRPr="00EB32C0" w14:paraId="332FC90D" w14:textId="77777777" w:rsidTr="00AA543A">
        <w:trPr>
          <w:trHeight w:val="225"/>
        </w:trPr>
        <w:tc>
          <w:tcPr>
            <w:tcW w:w="0" w:type="auto"/>
            <w:tcBorders>
              <w:top w:val="nil"/>
              <w:left w:val="nil"/>
              <w:bottom w:val="nil"/>
              <w:right w:val="nil"/>
            </w:tcBorders>
            <w:shd w:val="clear" w:color="000000" w:fill="FFFFFF"/>
            <w:noWrap/>
            <w:vAlign w:val="center"/>
            <w:hideMark/>
          </w:tcPr>
          <w:p w14:paraId="1702B00E" w14:textId="317091B6" w:rsidR="000C433B" w:rsidRPr="00E37688" w:rsidRDefault="000C433B" w:rsidP="00093367">
            <w:pPr>
              <w:pStyle w:val="TableTextLeft"/>
              <w:rPr>
                <w:b/>
              </w:rPr>
            </w:pPr>
            <w:r>
              <w:rPr>
                <w:b/>
              </w:rPr>
              <w:t xml:space="preserve">Total taxes on income, profits  and </w:t>
            </w:r>
          </w:p>
        </w:tc>
        <w:tc>
          <w:tcPr>
            <w:tcW w:w="0" w:type="auto"/>
            <w:tcBorders>
              <w:top w:val="nil"/>
              <w:left w:val="nil"/>
              <w:bottom w:val="nil"/>
              <w:right w:val="nil"/>
            </w:tcBorders>
            <w:shd w:val="clear" w:color="000000" w:fill="FFFFFF"/>
            <w:noWrap/>
            <w:vAlign w:val="center"/>
            <w:hideMark/>
          </w:tcPr>
          <w:p w14:paraId="5D28C195" w14:textId="05BA081D" w:rsidR="000C433B" w:rsidRPr="00E37688" w:rsidRDefault="000C433B" w:rsidP="005C272A">
            <w:pPr>
              <w:pStyle w:val="TableTextRight"/>
            </w:pPr>
            <w:r>
              <w:t> </w:t>
            </w:r>
          </w:p>
        </w:tc>
        <w:tc>
          <w:tcPr>
            <w:tcW w:w="0" w:type="auto"/>
            <w:tcBorders>
              <w:top w:val="nil"/>
              <w:left w:val="nil"/>
              <w:bottom w:val="nil"/>
              <w:right w:val="nil"/>
            </w:tcBorders>
            <w:shd w:val="clear" w:color="000000" w:fill="E6F2FF"/>
            <w:noWrap/>
            <w:vAlign w:val="center"/>
            <w:hideMark/>
          </w:tcPr>
          <w:p w14:paraId="7F974951" w14:textId="496BCCD4"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69E4A09C" w14:textId="07DA0376"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02F26801" w14:textId="51F38393"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288C8DFC" w14:textId="7F84060A" w:rsidR="000C433B" w:rsidRPr="00E37688" w:rsidRDefault="000C433B" w:rsidP="005C272A">
            <w:pPr>
              <w:pStyle w:val="TableTextRight"/>
              <w:rPr>
                <w:color w:val="000000"/>
              </w:rPr>
            </w:pPr>
            <w:r>
              <w:rPr>
                <w:color w:val="000000"/>
              </w:rPr>
              <w:t> </w:t>
            </w:r>
          </w:p>
        </w:tc>
      </w:tr>
      <w:tr w:rsidR="00526ED0" w:rsidRPr="00EB32C0" w14:paraId="47394FD9" w14:textId="77777777" w:rsidTr="00AA543A">
        <w:trPr>
          <w:trHeight w:val="225"/>
        </w:trPr>
        <w:tc>
          <w:tcPr>
            <w:tcW w:w="0" w:type="auto"/>
            <w:tcBorders>
              <w:top w:val="nil"/>
              <w:left w:val="nil"/>
              <w:bottom w:val="nil"/>
              <w:right w:val="nil"/>
            </w:tcBorders>
            <w:shd w:val="clear" w:color="000000" w:fill="FFFFFF"/>
            <w:noWrap/>
            <w:vAlign w:val="center"/>
            <w:hideMark/>
          </w:tcPr>
          <w:p w14:paraId="4B40D3A9" w14:textId="264DC8E8" w:rsidR="00526ED0" w:rsidRPr="00163CE9" w:rsidRDefault="00526ED0" w:rsidP="008279EB">
            <w:pPr>
              <w:pStyle w:val="TableTextIndented"/>
              <w:rPr>
                <w:b/>
              </w:rPr>
            </w:pPr>
            <w:r w:rsidRPr="00163CE9">
              <w:rPr>
                <w:b/>
              </w:rPr>
              <w:t>capital gains</w:t>
            </w:r>
          </w:p>
        </w:tc>
        <w:tc>
          <w:tcPr>
            <w:tcW w:w="0" w:type="auto"/>
            <w:tcBorders>
              <w:top w:val="nil"/>
              <w:left w:val="nil"/>
              <w:bottom w:val="single" w:sz="4" w:space="0" w:color="293F5B"/>
              <w:right w:val="nil"/>
            </w:tcBorders>
            <w:shd w:val="clear" w:color="000000" w:fill="FFFFFF"/>
            <w:noWrap/>
            <w:vAlign w:val="center"/>
            <w:hideMark/>
          </w:tcPr>
          <w:p w14:paraId="1104CF5E" w14:textId="6F837DDB" w:rsidR="00526ED0" w:rsidRPr="00E37688" w:rsidRDefault="00526ED0" w:rsidP="005C272A">
            <w:pPr>
              <w:pStyle w:val="TableTextRight"/>
              <w:rPr>
                <w:b/>
              </w:rPr>
            </w:pPr>
            <w:r>
              <w:rPr>
                <w:b/>
              </w:rPr>
              <w:t>505,790</w:t>
            </w:r>
          </w:p>
        </w:tc>
        <w:tc>
          <w:tcPr>
            <w:tcW w:w="0" w:type="auto"/>
            <w:tcBorders>
              <w:top w:val="nil"/>
              <w:left w:val="nil"/>
              <w:bottom w:val="single" w:sz="4" w:space="0" w:color="293F5B"/>
              <w:right w:val="nil"/>
            </w:tcBorders>
            <w:shd w:val="clear" w:color="000000" w:fill="E6F2FF"/>
            <w:noWrap/>
            <w:vAlign w:val="center"/>
            <w:hideMark/>
          </w:tcPr>
          <w:p w14:paraId="0093FBE1" w14:textId="287E4914" w:rsidR="00526ED0" w:rsidRPr="00E37688" w:rsidRDefault="00526ED0" w:rsidP="005C272A">
            <w:pPr>
              <w:pStyle w:val="TableTextRight"/>
              <w:rPr>
                <w:b/>
              </w:rPr>
            </w:pPr>
            <w:r>
              <w:rPr>
                <w:b/>
              </w:rPr>
              <w:t>503,350</w:t>
            </w:r>
          </w:p>
        </w:tc>
        <w:tc>
          <w:tcPr>
            <w:tcW w:w="0" w:type="auto"/>
            <w:tcBorders>
              <w:top w:val="nil"/>
              <w:left w:val="nil"/>
              <w:bottom w:val="single" w:sz="4" w:space="0" w:color="293F5B"/>
              <w:right w:val="nil"/>
            </w:tcBorders>
            <w:shd w:val="clear" w:color="000000" w:fill="FFFFFF"/>
            <w:noWrap/>
            <w:vAlign w:val="center"/>
            <w:hideMark/>
          </w:tcPr>
          <w:p w14:paraId="48329917" w14:textId="430A5D8C" w:rsidR="00526ED0" w:rsidRPr="00E37688" w:rsidRDefault="00526ED0" w:rsidP="005C272A">
            <w:pPr>
              <w:pStyle w:val="TableTextRight"/>
              <w:rPr>
                <w:b/>
              </w:rPr>
            </w:pPr>
            <w:r>
              <w:rPr>
                <w:b/>
              </w:rPr>
              <w:t>516,200</w:t>
            </w:r>
          </w:p>
        </w:tc>
        <w:tc>
          <w:tcPr>
            <w:tcW w:w="0" w:type="auto"/>
            <w:tcBorders>
              <w:top w:val="nil"/>
              <w:left w:val="nil"/>
              <w:bottom w:val="single" w:sz="4" w:space="0" w:color="293F5B"/>
              <w:right w:val="nil"/>
            </w:tcBorders>
            <w:shd w:val="clear" w:color="000000" w:fill="FFFFFF"/>
            <w:noWrap/>
            <w:vAlign w:val="center"/>
            <w:hideMark/>
          </w:tcPr>
          <w:p w14:paraId="5827E398" w14:textId="29FA7F16" w:rsidR="00526ED0" w:rsidRPr="00E37688" w:rsidRDefault="00526ED0" w:rsidP="005C272A">
            <w:pPr>
              <w:pStyle w:val="TableTextRight"/>
              <w:rPr>
                <w:b/>
              </w:rPr>
            </w:pPr>
            <w:r>
              <w:rPr>
                <w:b/>
              </w:rPr>
              <w:t>550,650</w:t>
            </w:r>
          </w:p>
        </w:tc>
        <w:tc>
          <w:tcPr>
            <w:tcW w:w="0" w:type="auto"/>
            <w:tcBorders>
              <w:top w:val="nil"/>
              <w:left w:val="nil"/>
              <w:bottom w:val="single" w:sz="4" w:space="0" w:color="293F5B"/>
              <w:right w:val="nil"/>
            </w:tcBorders>
            <w:shd w:val="clear" w:color="000000" w:fill="FFFFFF"/>
            <w:noWrap/>
            <w:vAlign w:val="center"/>
            <w:hideMark/>
          </w:tcPr>
          <w:p w14:paraId="0D53142A" w14:textId="7B1E6EE0" w:rsidR="00526ED0" w:rsidRPr="00E37688" w:rsidRDefault="00526ED0" w:rsidP="005C272A">
            <w:pPr>
              <w:pStyle w:val="TableTextRight"/>
              <w:rPr>
                <w:b/>
              </w:rPr>
            </w:pPr>
            <w:r>
              <w:rPr>
                <w:b/>
              </w:rPr>
              <w:t>586,020</w:t>
            </w:r>
          </w:p>
        </w:tc>
      </w:tr>
      <w:tr w:rsidR="00526ED0" w:rsidRPr="00EB32C0" w14:paraId="4807F0C7" w14:textId="77777777" w:rsidTr="00AA543A">
        <w:trPr>
          <w:trHeight w:val="225"/>
        </w:trPr>
        <w:tc>
          <w:tcPr>
            <w:tcW w:w="0" w:type="auto"/>
            <w:tcBorders>
              <w:top w:val="nil"/>
              <w:left w:val="nil"/>
              <w:bottom w:val="nil"/>
              <w:right w:val="nil"/>
            </w:tcBorders>
            <w:shd w:val="clear" w:color="000000" w:fill="FFFFFF"/>
            <w:noWrap/>
            <w:vAlign w:val="center"/>
            <w:hideMark/>
          </w:tcPr>
          <w:p w14:paraId="28397348" w14:textId="38DF036B" w:rsidR="00526ED0" w:rsidRPr="00E37688" w:rsidRDefault="00526ED0" w:rsidP="00093367">
            <w:pPr>
              <w:pStyle w:val="TableTextLeft"/>
            </w:pPr>
            <w:r>
              <w:t>Taxes on employers</w:t>
            </w:r>
            <w:r w:rsidR="00325E1E">
              <w:t>’</w:t>
            </w:r>
            <w:r>
              <w:t xml:space="preserve"> payroll and labour force</w:t>
            </w:r>
          </w:p>
        </w:tc>
        <w:tc>
          <w:tcPr>
            <w:tcW w:w="0" w:type="auto"/>
            <w:tcBorders>
              <w:top w:val="nil"/>
              <w:left w:val="nil"/>
              <w:bottom w:val="nil"/>
              <w:right w:val="nil"/>
            </w:tcBorders>
            <w:shd w:val="clear" w:color="000000" w:fill="FFFFFF"/>
            <w:noWrap/>
            <w:vAlign w:val="center"/>
            <w:hideMark/>
          </w:tcPr>
          <w:p w14:paraId="3F0851AB" w14:textId="5D5D1F1A" w:rsidR="00526ED0" w:rsidRPr="00E37688" w:rsidRDefault="00526ED0" w:rsidP="005C272A">
            <w:pPr>
              <w:pStyle w:val="TableTextRight"/>
            </w:pPr>
            <w:r>
              <w:t>1,943</w:t>
            </w:r>
          </w:p>
        </w:tc>
        <w:tc>
          <w:tcPr>
            <w:tcW w:w="0" w:type="auto"/>
            <w:tcBorders>
              <w:top w:val="nil"/>
              <w:left w:val="nil"/>
              <w:bottom w:val="nil"/>
              <w:right w:val="nil"/>
            </w:tcBorders>
            <w:shd w:val="clear" w:color="000000" w:fill="E6F2FF"/>
            <w:noWrap/>
            <w:vAlign w:val="center"/>
            <w:hideMark/>
          </w:tcPr>
          <w:p w14:paraId="3D31F605" w14:textId="1E44DCA3" w:rsidR="00526ED0" w:rsidRPr="00E37688" w:rsidRDefault="00526ED0" w:rsidP="005C272A">
            <w:pPr>
              <w:pStyle w:val="TableTextRight"/>
              <w:rPr>
                <w:color w:val="000000"/>
              </w:rPr>
            </w:pPr>
            <w:r>
              <w:rPr>
                <w:color w:val="000000"/>
              </w:rPr>
              <w:t>2,087</w:t>
            </w:r>
          </w:p>
        </w:tc>
        <w:tc>
          <w:tcPr>
            <w:tcW w:w="0" w:type="auto"/>
            <w:tcBorders>
              <w:top w:val="nil"/>
              <w:left w:val="nil"/>
              <w:bottom w:val="nil"/>
              <w:right w:val="nil"/>
            </w:tcBorders>
            <w:shd w:val="clear" w:color="000000" w:fill="FFFFFF"/>
            <w:noWrap/>
            <w:vAlign w:val="center"/>
            <w:hideMark/>
          </w:tcPr>
          <w:p w14:paraId="40B8030B" w14:textId="3D58C080" w:rsidR="00526ED0" w:rsidRPr="00E37688" w:rsidRDefault="00526ED0" w:rsidP="005C272A">
            <w:pPr>
              <w:pStyle w:val="TableTextRight"/>
              <w:rPr>
                <w:color w:val="000000"/>
              </w:rPr>
            </w:pPr>
            <w:r>
              <w:rPr>
                <w:color w:val="000000"/>
              </w:rPr>
              <w:t>2,252</w:t>
            </w:r>
          </w:p>
        </w:tc>
        <w:tc>
          <w:tcPr>
            <w:tcW w:w="0" w:type="auto"/>
            <w:tcBorders>
              <w:top w:val="nil"/>
              <w:left w:val="nil"/>
              <w:bottom w:val="nil"/>
              <w:right w:val="nil"/>
            </w:tcBorders>
            <w:shd w:val="clear" w:color="000000" w:fill="FFFFFF"/>
            <w:noWrap/>
            <w:vAlign w:val="center"/>
            <w:hideMark/>
          </w:tcPr>
          <w:p w14:paraId="6E59A60B" w14:textId="28B473C3" w:rsidR="00526ED0" w:rsidRPr="00E37688" w:rsidRDefault="00526ED0" w:rsidP="005C272A">
            <w:pPr>
              <w:pStyle w:val="TableTextRight"/>
              <w:rPr>
                <w:color w:val="000000"/>
              </w:rPr>
            </w:pPr>
            <w:r>
              <w:rPr>
                <w:color w:val="000000"/>
              </w:rPr>
              <w:t>2,106</w:t>
            </w:r>
          </w:p>
        </w:tc>
        <w:tc>
          <w:tcPr>
            <w:tcW w:w="0" w:type="auto"/>
            <w:tcBorders>
              <w:top w:val="nil"/>
              <w:left w:val="nil"/>
              <w:bottom w:val="nil"/>
              <w:right w:val="nil"/>
            </w:tcBorders>
            <w:shd w:val="clear" w:color="000000" w:fill="FFFFFF"/>
            <w:noWrap/>
            <w:vAlign w:val="center"/>
            <w:hideMark/>
          </w:tcPr>
          <w:p w14:paraId="0043E72A" w14:textId="2E80B5A2" w:rsidR="00526ED0" w:rsidRPr="00E37688" w:rsidRDefault="00526ED0" w:rsidP="005C272A">
            <w:pPr>
              <w:pStyle w:val="TableTextRight"/>
              <w:rPr>
                <w:color w:val="000000"/>
              </w:rPr>
            </w:pPr>
            <w:r>
              <w:rPr>
                <w:color w:val="000000"/>
              </w:rPr>
              <w:t>2,179</w:t>
            </w:r>
          </w:p>
        </w:tc>
      </w:tr>
      <w:tr w:rsidR="000C433B" w:rsidRPr="00EB32C0" w14:paraId="10CEC1F4" w14:textId="77777777" w:rsidTr="00AA543A">
        <w:trPr>
          <w:trHeight w:val="225"/>
        </w:trPr>
        <w:tc>
          <w:tcPr>
            <w:tcW w:w="0" w:type="auto"/>
            <w:tcBorders>
              <w:top w:val="nil"/>
              <w:left w:val="nil"/>
              <w:bottom w:val="nil"/>
              <w:right w:val="nil"/>
            </w:tcBorders>
            <w:shd w:val="clear" w:color="000000" w:fill="FFFFFF"/>
            <w:noWrap/>
            <w:vAlign w:val="center"/>
            <w:hideMark/>
          </w:tcPr>
          <w:p w14:paraId="73ACD6D0" w14:textId="1DD51DB4" w:rsidR="000C433B" w:rsidRPr="00E37688" w:rsidRDefault="000C433B" w:rsidP="00093367">
            <w:pPr>
              <w:pStyle w:val="TableTextLeft"/>
            </w:pPr>
            <w:r>
              <w:t>Taxes on the provision of goods and services</w:t>
            </w:r>
          </w:p>
        </w:tc>
        <w:tc>
          <w:tcPr>
            <w:tcW w:w="0" w:type="auto"/>
            <w:tcBorders>
              <w:top w:val="nil"/>
              <w:left w:val="nil"/>
              <w:bottom w:val="nil"/>
              <w:right w:val="nil"/>
            </w:tcBorders>
            <w:shd w:val="clear" w:color="000000" w:fill="FFFFFF"/>
            <w:noWrap/>
            <w:vAlign w:val="center"/>
            <w:hideMark/>
          </w:tcPr>
          <w:p w14:paraId="48B9CD97" w14:textId="4174DBFA" w:rsidR="000C433B" w:rsidRPr="00E37688" w:rsidRDefault="000C433B" w:rsidP="005C272A">
            <w:pPr>
              <w:pStyle w:val="TableTextRight"/>
            </w:pPr>
            <w:r>
              <w:t> </w:t>
            </w:r>
          </w:p>
        </w:tc>
        <w:tc>
          <w:tcPr>
            <w:tcW w:w="0" w:type="auto"/>
            <w:tcBorders>
              <w:top w:val="nil"/>
              <w:left w:val="nil"/>
              <w:bottom w:val="nil"/>
              <w:right w:val="nil"/>
            </w:tcBorders>
            <w:shd w:val="clear" w:color="000000" w:fill="E6F2FF"/>
            <w:noWrap/>
            <w:vAlign w:val="center"/>
            <w:hideMark/>
          </w:tcPr>
          <w:p w14:paraId="1B110694" w14:textId="02E771A4"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773624BE" w14:textId="74EC72E5"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732C8A13" w14:textId="6D46E5D1" w:rsidR="000C433B" w:rsidRPr="00E37688" w:rsidRDefault="000C433B"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0EBA0141" w14:textId="0C7FC142" w:rsidR="000C433B" w:rsidRPr="00E37688" w:rsidRDefault="000C433B" w:rsidP="005C272A">
            <w:pPr>
              <w:pStyle w:val="TableTextRight"/>
              <w:rPr>
                <w:color w:val="000000"/>
              </w:rPr>
            </w:pPr>
            <w:r>
              <w:rPr>
                <w:color w:val="000000"/>
              </w:rPr>
              <w:t> </w:t>
            </w:r>
          </w:p>
        </w:tc>
      </w:tr>
      <w:tr w:rsidR="00C77669" w:rsidRPr="00EB32C0" w14:paraId="4714C0C0" w14:textId="77777777" w:rsidTr="00AA543A">
        <w:trPr>
          <w:trHeight w:val="225"/>
        </w:trPr>
        <w:tc>
          <w:tcPr>
            <w:tcW w:w="0" w:type="auto"/>
            <w:tcBorders>
              <w:top w:val="nil"/>
              <w:left w:val="nil"/>
              <w:bottom w:val="nil"/>
              <w:right w:val="nil"/>
            </w:tcBorders>
            <w:shd w:val="clear" w:color="000000" w:fill="FFFFFF"/>
            <w:noWrap/>
            <w:vAlign w:val="center"/>
            <w:hideMark/>
          </w:tcPr>
          <w:p w14:paraId="66F36EFA" w14:textId="703798E7" w:rsidR="00C77669" w:rsidRPr="00E37688" w:rsidRDefault="00C77669" w:rsidP="008279EB">
            <w:pPr>
              <w:pStyle w:val="TableTextIndented"/>
            </w:pPr>
            <w:r>
              <w:t>Sales/goods and services tax</w:t>
            </w:r>
          </w:p>
        </w:tc>
        <w:tc>
          <w:tcPr>
            <w:tcW w:w="0" w:type="auto"/>
            <w:tcBorders>
              <w:top w:val="nil"/>
              <w:left w:val="nil"/>
              <w:bottom w:val="nil"/>
              <w:right w:val="nil"/>
            </w:tcBorders>
            <w:shd w:val="clear" w:color="000000" w:fill="FFFFFF"/>
            <w:noWrap/>
            <w:vAlign w:val="center"/>
            <w:hideMark/>
          </w:tcPr>
          <w:p w14:paraId="23F555A6" w14:textId="3F109D69" w:rsidR="00C77669" w:rsidRPr="00E37688" w:rsidRDefault="00C77669" w:rsidP="005C272A">
            <w:pPr>
              <w:pStyle w:val="TableTextRight"/>
            </w:pPr>
            <w:r>
              <w:t>92,560</w:t>
            </w:r>
          </w:p>
        </w:tc>
        <w:tc>
          <w:tcPr>
            <w:tcW w:w="0" w:type="auto"/>
            <w:tcBorders>
              <w:top w:val="nil"/>
              <w:left w:val="nil"/>
              <w:bottom w:val="nil"/>
              <w:right w:val="nil"/>
            </w:tcBorders>
            <w:shd w:val="clear" w:color="000000" w:fill="E6F2FF"/>
            <w:noWrap/>
            <w:vAlign w:val="center"/>
            <w:hideMark/>
          </w:tcPr>
          <w:p w14:paraId="15E37934" w14:textId="1F19CA8A" w:rsidR="00C77669" w:rsidRPr="00E37688" w:rsidRDefault="00C77669" w:rsidP="005C272A">
            <w:pPr>
              <w:pStyle w:val="TableTextRight"/>
              <w:rPr>
                <w:color w:val="000000"/>
              </w:rPr>
            </w:pPr>
            <w:r>
              <w:rPr>
                <w:color w:val="000000"/>
              </w:rPr>
              <w:t>94,330</w:t>
            </w:r>
          </w:p>
        </w:tc>
        <w:tc>
          <w:tcPr>
            <w:tcW w:w="0" w:type="auto"/>
            <w:tcBorders>
              <w:top w:val="nil"/>
              <w:left w:val="nil"/>
              <w:bottom w:val="nil"/>
              <w:right w:val="nil"/>
            </w:tcBorders>
            <w:shd w:val="clear" w:color="000000" w:fill="FFFFFF"/>
            <w:noWrap/>
            <w:vAlign w:val="center"/>
            <w:hideMark/>
          </w:tcPr>
          <w:p w14:paraId="52AD86B2" w14:textId="16CF808D" w:rsidR="00C77669" w:rsidRPr="00E37688" w:rsidRDefault="00C77669" w:rsidP="005C272A">
            <w:pPr>
              <w:pStyle w:val="TableTextRight"/>
              <w:rPr>
                <w:color w:val="000000"/>
              </w:rPr>
            </w:pPr>
            <w:r>
              <w:rPr>
                <w:color w:val="000000"/>
              </w:rPr>
              <w:t>99,710</w:t>
            </w:r>
          </w:p>
        </w:tc>
        <w:tc>
          <w:tcPr>
            <w:tcW w:w="0" w:type="auto"/>
            <w:tcBorders>
              <w:top w:val="nil"/>
              <w:left w:val="nil"/>
              <w:bottom w:val="nil"/>
              <w:right w:val="nil"/>
            </w:tcBorders>
            <w:shd w:val="clear" w:color="000000" w:fill="FFFFFF"/>
            <w:noWrap/>
            <w:vAlign w:val="center"/>
            <w:hideMark/>
          </w:tcPr>
          <w:p w14:paraId="66154D74" w14:textId="1A433B70" w:rsidR="00C77669" w:rsidRPr="00E37688" w:rsidRDefault="00C77669" w:rsidP="005C272A">
            <w:pPr>
              <w:pStyle w:val="TableTextRight"/>
              <w:rPr>
                <w:color w:val="000000"/>
              </w:rPr>
            </w:pPr>
            <w:r>
              <w:rPr>
                <w:color w:val="000000"/>
              </w:rPr>
              <w:t>105,600</w:t>
            </w:r>
          </w:p>
        </w:tc>
        <w:tc>
          <w:tcPr>
            <w:tcW w:w="0" w:type="auto"/>
            <w:tcBorders>
              <w:top w:val="nil"/>
              <w:left w:val="nil"/>
              <w:bottom w:val="nil"/>
              <w:right w:val="nil"/>
            </w:tcBorders>
            <w:shd w:val="clear" w:color="000000" w:fill="FFFFFF"/>
            <w:noWrap/>
            <w:vAlign w:val="center"/>
            <w:hideMark/>
          </w:tcPr>
          <w:p w14:paraId="5A493F78" w14:textId="1DC86211" w:rsidR="00C77669" w:rsidRPr="00E37688" w:rsidRDefault="00C77669" w:rsidP="005C272A">
            <w:pPr>
              <w:pStyle w:val="TableTextRight"/>
              <w:rPr>
                <w:color w:val="000000"/>
              </w:rPr>
            </w:pPr>
            <w:r>
              <w:rPr>
                <w:color w:val="000000"/>
              </w:rPr>
              <w:t>111,680</w:t>
            </w:r>
          </w:p>
        </w:tc>
      </w:tr>
      <w:tr w:rsidR="00C77669" w:rsidRPr="00EB32C0" w14:paraId="4FBCFB66" w14:textId="77777777" w:rsidTr="00AA543A">
        <w:trPr>
          <w:trHeight w:val="225"/>
        </w:trPr>
        <w:tc>
          <w:tcPr>
            <w:tcW w:w="0" w:type="auto"/>
            <w:tcBorders>
              <w:top w:val="nil"/>
              <w:left w:val="nil"/>
              <w:bottom w:val="nil"/>
              <w:right w:val="nil"/>
            </w:tcBorders>
            <w:shd w:val="clear" w:color="000000" w:fill="FFFFFF"/>
            <w:noWrap/>
            <w:vAlign w:val="center"/>
            <w:hideMark/>
          </w:tcPr>
          <w:p w14:paraId="02335DA5" w14:textId="5E0134AC" w:rsidR="00C77669" w:rsidRPr="00E37688" w:rsidRDefault="00C77669" w:rsidP="008279EB">
            <w:pPr>
              <w:pStyle w:val="TableTextIndented"/>
            </w:pPr>
            <w:r>
              <w:t>Excises and levies</w:t>
            </w:r>
          </w:p>
        </w:tc>
        <w:tc>
          <w:tcPr>
            <w:tcW w:w="0" w:type="auto"/>
            <w:tcBorders>
              <w:top w:val="nil"/>
              <w:left w:val="nil"/>
              <w:bottom w:val="nil"/>
              <w:right w:val="nil"/>
            </w:tcBorders>
            <w:shd w:val="clear" w:color="000000" w:fill="FFFFFF"/>
            <w:noWrap/>
            <w:vAlign w:val="center"/>
            <w:hideMark/>
          </w:tcPr>
          <w:p w14:paraId="079C38E5" w14:textId="269E4BFA" w:rsidR="00C77669" w:rsidRPr="00E37688" w:rsidRDefault="00C77669" w:rsidP="005C272A">
            <w:pPr>
              <w:pStyle w:val="TableTextRight"/>
            </w:pPr>
            <w:r>
              <w:t>30,638</w:t>
            </w:r>
          </w:p>
        </w:tc>
        <w:tc>
          <w:tcPr>
            <w:tcW w:w="0" w:type="auto"/>
            <w:tcBorders>
              <w:top w:val="nil"/>
              <w:left w:val="nil"/>
              <w:bottom w:val="nil"/>
              <w:right w:val="nil"/>
            </w:tcBorders>
            <w:shd w:val="clear" w:color="000000" w:fill="E6F2FF"/>
            <w:noWrap/>
            <w:vAlign w:val="center"/>
            <w:hideMark/>
          </w:tcPr>
          <w:p w14:paraId="0F3F5448" w14:textId="14C7C82E" w:rsidR="00C77669" w:rsidRPr="00E37688" w:rsidRDefault="00C77669" w:rsidP="005C272A">
            <w:pPr>
              <w:pStyle w:val="TableTextRight"/>
            </w:pPr>
            <w:r>
              <w:t>31,877</w:t>
            </w:r>
          </w:p>
        </w:tc>
        <w:tc>
          <w:tcPr>
            <w:tcW w:w="0" w:type="auto"/>
            <w:tcBorders>
              <w:top w:val="nil"/>
              <w:left w:val="nil"/>
              <w:bottom w:val="nil"/>
              <w:right w:val="nil"/>
            </w:tcBorders>
            <w:shd w:val="clear" w:color="000000" w:fill="FFFFFF"/>
            <w:noWrap/>
            <w:vAlign w:val="center"/>
            <w:hideMark/>
          </w:tcPr>
          <w:p w14:paraId="0B910346" w14:textId="60FB8678" w:rsidR="00C77669" w:rsidRPr="00E37688" w:rsidRDefault="00C77669" w:rsidP="005C272A">
            <w:pPr>
              <w:pStyle w:val="TableTextRight"/>
            </w:pPr>
            <w:r>
              <w:t>33,315</w:t>
            </w:r>
          </w:p>
        </w:tc>
        <w:tc>
          <w:tcPr>
            <w:tcW w:w="0" w:type="auto"/>
            <w:tcBorders>
              <w:top w:val="nil"/>
              <w:left w:val="nil"/>
              <w:bottom w:val="nil"/>
              <w:right w:val="nil"/>
            </w:tcBorders>
            <w:shd w:val="clear" w:color="000000" w:fill="FFFFFF"/>
            <w:noWrap/>
            <w:vAlign w:val="center"/>
            <w:hideMark/>
          </w:tcPr>
          <w:p w14:paraId="553756B4" w14:textId="5ED6D744" w:rsidR="00C77669" w:rsidRPr="00E37688" w:rsidRDefault="00C77669" w:rsidP="005C272A">
            <w:pPr>
              <w:pStyle w:val="TableTextRight"/>
            </w:pPr>
            <w:r>
              <w:t>34,751</w:t>
            </w:r>
          </w:p>
        </w:tc>
        <w:tc>
          <w:tcPr>
            <w:tcW w:w="0" w:type="auto"/>
            <w:tcBorders>
              <w:top w:val="nil"/>
              <w:left w:val="nil"/>
              <w:bottom w:val="nil"/>
              <w:right w:val="nil"/>
            </w:tcBorders>
            <w:shd w:val="clear" w:color="000000" w:fill="FFFFFF"/>
            <w:noWrap/>
            <w:vAlign w:val="center"/>
            <w:hideMark/>
          </w:tcPr>
          <w:p w14:paraId="47061769" w14:textId="5A82D5E0" w:rsidR="00C77669" w:rsidRPr="00E37688" w:rsidRDefault="00C77669" w:rsidP="005C272A">
            <w:pPr>
              <w:pStyle w:val="TableTextRight"/>
            </w:pPr>
            <w:r>
              <w:t>36,065</w:t>
            </w:r>
          </w:p>
        </w:tc>
      </w:tr>
      <w:tr w:rsidR="00C77669" w:rsidRPr="00EB32C0" w14:paraId="4E509A63" w14:textId="77777777" w:rsidTr="00AA543A">
        <w:trPr>
          <w:trHeight w:val="225"/>
        </w:trPr>
        <w:tc>
          <w:tcPr>
            <w:tcW w:w="0" w:type="auto"/>
            <w:tcBorders>
              <w:top w:val="nil"/>
              <w:left w:val="nil"/>
              <w:bottom w:val="nil"/>
              <w:right w:val="nil"/>
            </w:tcBorders>
            <w:shd w:val="clear" w:color="000000" w:fill="FFFFFF"/>
            <w:noWrap/>
            <w:vAlign w:val="center"/>
            <w:hideMark/>
          </w:tcPr>
          <w:p w14:paraId="2005533F" w14:textId="7DBE18D4" w:rsidR="00C77669" w:rsidRPr="00E37688" w:rsidRDefault="00C77669" w:rsidP="008279EB">
            <w:pPr>
              <w:pStyle w:val="TableTextIndented"/>
            </w:pPr>
            <w:r>
              <w:t>Taxes on international trade</w:t>
            </w:r>
          </w:p>
        </w:tc>
        <w:tc>
          <w:tcPr>
            <w:tcW w:w="0" w:type="auto"/>
            <w:tcBorders>
              <w:top w:val="nil"/>
              <w:left w:val="nil"/>
              <w:bottom w:val="single" w:sz="4" w:space="0" w:color="293F5B"/>
              <w:right w:val="nil"/>
            </w:tcBorders>
            <w:shd w:val="clear" w:color="000000" w:fill="FFFFFF"/>
            <w:noWrap/>
            <w:vAlign w:val="center"/>
            <w:hideMark/>
          </w:tcPr>
          <w:p w14:paraId="07574D8A" w14:textId="714FB157" w:rsidR="00C77669" w:rsidRPr="00E37688" w:rsidRDefault="00C77669" w:rsidP="005C272A">
            <w:pPr>
              <w:pStyle w:val="TableTextRight"/>
            </w:pPr>
            <w:r>
              <w:t>14,640</w:t>
            </w:r>
          </w:p>
        </w:tc>
        <w:tc>
          <w:tcPr>
            <w:tcW w:w="0" w:type="auto"/>
            <w:tcBorders>
              <w:top w:val="nil"/>
              <w:left w:val="nil"/>
              <w:bottom w:val="single" w:sz="4" w:space="0" w:color="293F5B"/>
              <w:right w:val="nil"/>
            </w:tcBorders>
            <w:shd w:val="clear" w:color="000000" w:fill="E6F2FF"/>
            <w:noWrap/>
            <w:vAlign w:val="center"/>
            <w:hideMark/>
          </w:tcPr>
          <w:p w14:paraId="3B465CB5" w14:textId="2B9267D4" w:rsidR="00C77669" w:rsidRPr="00E37688" w:rsidRDefault="00C77669" w:rsidP="005C272A">
            <w:pPr>
              <w:pStyle w:val="TableTextRight"/>
              <w:rPr>
                <w:color w:val="000000"/>
              </w:rPr>
            </w:pPr>
            <w:r>
              <w:rPr>
                <w:color w:val="000000"/>
              </w:rPr>
              <w:t>16,030</w:t>
            </w:r>
          </w:p>
        </w:tc>
        <w:tc>
          <w:tcPr>
            <w:tcW w:w="0" w:type="auto"/>
            <w:tcBorders>
              <w:top w:val="nil"/>
              <w:left w:val="nil"/>
              <w:bottom w:val="single" w:sz="4" w:space="0" w:color="293F5B"/>
              <w:right w:val="nil"/>
            </w:tcBorders>
            <w:shd w:val="clear" w:color="000000" w:fill="FFFFFF"/>
            <w:noWrap/>
            <w:vAlign w:val="center"/>
            <w:hideMark/>
          </w:tcPr>
          <w:p w14:paraId="155F60BA" w14:textId="3DFD51EE" w:rsidR="00C77669" w:rsidRPr="00E37688" w:rsidRDefault="00C77669" w:rsidP="005C272A">
            <w:pPr>
              <w:pStyle w:val="TableTextRight"/>
              <w:rPr>
                <w:color w:val="000000"/>
              </w:rPr>
            </w:pPr>
            <w:r>
              <w:rPr>
                <w:color w:val="000000"/>
              </w:rPr>
              <w:t>16,210</w:t>
            </w:r>
          </w:p>
        </w:tc>
        <w:tc>
          <w:tcPr>
            <w:tcW w:w="0" w:type="auto"/>
            <w:tcBorders>
              <w:top w:val="nil"/>
              <w:left w:val="nil"/>
              <w:bottom w:val="single" w:sz="4" w:space="0" w:color="293F5B"/>
              <w:right w:val="nil"/>
            </w:tcBorders>
            <w:shd w:val="clear" w:color="000000" w:fill="FFFFFF"/>
            <w:noWrap/>
            <w:vAlign w:val="center"/>
            <w:hideMark/>
          </w:tcPr>
          <w:p w14:paraId="070E724D" w14:textId="4F4405AB" w:rsidR="00C77669" w:rsidRPr="00E37688" w:rsidRDefault="00C77669" w:rsidP="005C272A">
            <w:pPr>
              <w:pStyle w:val="TableTextRight"/>
              <w:rPr>
                <w:color w:val="000000"/>
              </w:rPr>
            </w:pPr>
            <w:r>
              <w:rPr>
                <w:color w:val="000000"/>
              </w:rPr>
              <w:t>16,030</w:t>
            </w:r>
          </w:p>
        </w:tc>
        <w:tc>
          <w:tcPr>
            <w:tcW w:w="0" w:type="auto"/>
            <w:tcBorders>
              <w:top w:val="nil"/>
              <w:left w:val="nil"/>
              <w:bottom w:val="single" w:sz="4" w:space="0" w:color="293F5B"/>
              <w:right w:val="nil"/>
            </w:tcBorders>
            <w:shd w:val="clear" w:color="000000" w:fill="FFFFFF"/>
            <w:noWrap/>
            <w:vAlign w:val="center"/>
            <w:hideMark/>
          </w:tcPr>
          <w:p w14:paraId="5043A653" w14:textId="60344EC4" w:rsidR="00C77669" w:rsidRPr="00E37688" w:rsidRDefault="00C77669" w:rsidP="005C272A">
            <w:pPr>
              <w:pStyle w:val="TableTextRight"/>
              <w:rPr>
                <w:color w:val="000000"/>
              </w:rPr>
            </w:pPr>
            <w:r>
              <w:rPr>
                <w:color w:val="000000"/>
              </w:rPr>
              <w:t>14,790</w:t>
            </w:r>
          </w:p>
        </w:tc>
      </w:tr>
      <w:tr w:rsidR="00C77669" w:rsidRPr="00EB32C0" w14:paraId="22B00EAD" w14:textId="77777777" w:rsidTr="00AA543A">
        <w:trPr>
          <w:trHeight w:val="225"/>
        </w:trPr>
        <w:tc>
          <w:tcPr>
            <w:tcW w:w="0" w:type="auto"/>
            <w:tcBorders>
              <w:top w:val="nil"/>
              <w:left w:val="nil"/>
              <w:bottom w:val="nil"/>
              <w:right w:val="nil"/>
            </w:tcBorders>
            <w:shd w:val="clear" w:color="000000" w:fill="FFFFFF"/>
            <w:noWrap/>
            <w:vAlign w:val="center"/>
            <w:hideMark/>
          </w:tcPr>
          <w:p w14:paraId="053FB8D0" w14:textId="3D76B5A2" w:rsidR="00C77669" w:rsidRPr="00E37688" w:rsidRDefault="00C77669" w:rsidP="00093367">
            <w:pPr>
              <w:pStyle w:val="TableTextLeft"/>
              <w:rPr>
                <w:b/>
              </w:rPr>
            </w:pPr>
            <w:r>
              <w:rPr>
                <w:b/>
              </w:rPr>
              <w:t>Total taxes on the provision of</w:t>
            </w:r>
          </w:p>
        </w:tc>
        <w:tc>
          <w:tcPr>
            <w:tcW w:w="0" w:type="auto"/>
            <w:tcBorders>
              <w:top w:val="nil"/>
              <w:left w:val="nil"/>
              <w:bottom w:val="nil"/>
              <w:right w:val="nil"/>
            </w:tcBorders>
            <w:shd w:val="clear" w:color="000000" w:fill="FFFFFF"/>
            <w:noWrap/>
            <w:vAlign w:val="center"/>
            <w:hideMark/>
          </w:tcPr>
          <w:p w14:paraId="78A1A5CD" w14:textId="1984C803" w:rsidR="00C77669" w:rsidRPr="00E37688" w:rsidRDefault="00C77669" w:rsidP="005C272A">
            <w:pPr>
              <w:pStyle w:val="TableTextRight"/>
            </w:pPr>
            <w:r>
              <w:t> </w:t>
            </w:r>
          </w:p>
        </w:tc>
        <w:tc>
          <w:tcPr>
            <w:tcW w:w="0" w:type="auto"/>
            <w:tcBorders>
              <w:top w:val="nil"/>
              <w:left w:val="nil"/>
              <w:bottom w:val="nil"/>
              <w:right w:val="nil"/>
            </w:tcBorders>
            <w:shd w:val="clear" w:color="000000" w:fill="E6F2FF"/>
            <w:noWrap/>
            <w:vAlign w:val="center"/>
            <w:hideMark/>
          </w:tcPr>
          <w:p w14:paraId="6C62AA0C" w14:textId="2C9B9528" w:rsidR="00C77669" w:rsidRPr="00E37688" w:rsidRDefault="00C77669"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202282E0" w14:textId="4B5A811D" w:rsidR="00C77669" w:rsidRPr="00E37688" w:rsidRDefault="00C77669"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6703903B" w14:textId="399F55B3" w:rsidR="00C77669" w:rsidRPr="00E37688" w:rsidRDefault="00C77669" w:rsidP="005C272A">
            <w:pPr>
              <w:pStyle w:val="TableTextRight"/>
              <w:rPr>
                <w:color w:val="000000"/>
              </w:rPr>
            </w:pPr>
            <w:r>
              <w:rPr>
                <w:color w:val="000000"/>
              </w:rPr>
              <w:t> </w:t>
            </w:r>
          </w:p>
        </w:tc>
        <w:tc>
          <w:tcPr>
            <w:tcW w:w="0" w:type="auto"/>
            <w:tcBorders>
              <w:top w:val="nil"/>
              <w:left w:val="nil"/>
              <w:bottom w:val="nil"/>
              <w:right w:val="nil"/>
            </w:tcBorders>
            <w:shd w:val="clear" w:color="000000" w:fill="FFFFFF"/>
            <w:noWrap/>
            <w:vAlign w:val="center"/>
            <w:hideMark/>
          </w:tcPr>
          <w:p w14:paraId="0EC124DE" w14:textId="27EBC475" w:rsidR="00C77669" w:rsidRPr="00E37688" w:rsidRDefault="00C77669" w:rsidP="005C272A">
            <w:pPr>
              <w:pStyle w:val="TableTextRight"/>
              <w:rPr>
                <w:color w:val="000000"/>
              </w:rPr>
            </w:pPr>
            <w:r>
              <w:rPr>
                <w:color w:val="000000"/>
              </w:rPr>
              <w:t> </w:t>
            </w:r>
          </w:p>
        </w:tc>
      </w:tr>
      <w:tr w:rsidR="00C77669" w:rsidRPr="00EB32C0" w14:paraId="1C7A6D4F" w14:textId="77777777" w:rsidTr="00AA543A">
        <w:trPr>
          <w:trHeight w:val="225"/>
        </w:trPr>
        <w:tc>
          <w:tcPr>
            <w:tcW w:w="0" w:type="auto"/>
            <w:tcBorders>
              <w:top w:val="nil"/>
              <w:left w:val="nil"/>
              <w:bottom w:val="nil"/>
              <w:right w:val="nil"/>
            </w:tcBorders>
            <w:shd w:val="clear" w:color="000000" w:fill="FFFFFF"/>
            <w:noWrap/>
            <w:vAlign w:val="center"/>
            <w:hideMark/>
          </w:tcPr>
          <w:p w14:paraId="572FB4E6" w14:textId="562AECD1" w:rsidR="00C77669" w:rsidRPr="008279EB" w:rsidRDefault="00C77669" w:rsidP="008279EB">
            <w:pPr>
              <w:pStyle w:val="TableTextIndented"/>
              <w:rPr>
                <w:b/>
              </w:rPr>
            </w:pPr>
            <w:r w:rsidRPr="008279EB">
              <w:rPr>
                <w:b/>
              </w:rPr>
              <w:t xml:space="preserve"> goods and services</w:t>
            </w:r>
          </w:p>
        </w:tc>
        <w:tc>
          <w:tcPr>
            <w:tcW w:w="0" w:type="auto"/>
            <w:tcBorders>
              <w:top w:val="nil"/>
              <w:left w:val="nil"/>
              <w:bottom w:val="single" w:sz="4" w:space="0" w:color="293F5B"/>
              <w:right w:val="nil"/>
            </w:tcBorders>
            <w:shd w:val="clear" w:color="000000" w:fill="FFFFFF"/>
            <w:noWrap/>
            <w:vAlign w:val="center"/>
            <w:hideMark/>
          </w:tcPr>
          <w:p w14:paraId="5C3BC248" w14:textId="1B4CC1F9" w:rsidR="00C77669" w:rsidRPr="00E37688" w:rsidRDefault="00C77669" w:rsidP="005C272A">
            <w:pPr>
              <w:pStyle w:val="TableTextRight"/>
              <w:rPr>
                <w:b/>
              </w:rPr>
            </w:pPr>
            <w:r>
              <w:rPr>
                <w:b/>
              </w:rPr>
              <w:t>137,838</w:t>
            </w:r>
          </w:p>
        </w:tc>
        <w:tc>
          <w:tcPr>
            <w:tcW w:w="0" w:type="auto"/>
            <w:tcBorders>
              <w:top w:val="nil"/>
              <w:left w:val="nil"/>
              <w:bottom w:val="single" w:sz="4" w:space="0" w:color="293F5B"/>
              <w:right w:val="nil"/>
            </w:tcBorders>
            <w:shd w:val="clear" w:color="000000" w:fill="E6F2FF"/>
            <w:noWrap/>
            <w:vAlign w:val="center"/>
            <w:hideMark/>
          </w:tcPr>
          <w:p w14:paraId="7B991F1E" w14:textId="011B47AC" w:rsidR="00C77669" w:rsidRPr="00E37688" w:rsidRDefault="00C77669" w:rsidP="005C272A">
            <w:pPr>
              <w:pStyle w:val="TableTextRight"/>
              <w:rPr>
                <w:b/>
              </w:rPr>
            </w:pPr>
            <w:r>
              <w:rPr>
                <w:b/>
              </w:rPr>
              <w:t>142,237</w:t>
            </w:r>
          </w:p>
        </w:tc>
        <w:tc>
          <w:tcPr>
            <w:tcW w:w="0" w:type="auto"/>
            <w:tcBorders>
              <w:top w:val="nil"/>
              <w:left w:val="nil"/>
              <w:bottom w:val="single" w:sz="4" w:space="0" w:color="293F5B"/>
              <w:right w:val="nil"/>
            </w:tcBorders>
            <w:shd w:val="clear" w:color="000000" w:fill="FFFFFF"/>
            <w:noWrap/>
            <w:vAlign w:val="center"/>
            <w:hideMark/>
          </w:tcPr>
          <w:p w14:paraId="3C4BAF5F" w14:textId="2A9B1029" w:rsidR="00C77669" w:rsidRPr="00E37688" w:rsidRDefault="00C77669" w:rsidP="005C272A">
            <w:pPr>
              <w:pStyle w:val="TableTextRight"/>
              <w:rPr>
                <w:b/>
              </w:rPr>
            </w:pPr>
            <w:r>
              <w:rPr>
                <w:b/>
              </w:rPr>
              <w:t>149,235</w:t>
            </w:r>
          </w:p>
        </w:tc>
        <w:tc>
          <w:tcPr>
            <w:tcW w:w="0" w:type="auto"/>
            <w:tcBorders>
              <w:top w:val="nil"/>
              <w:left w:val="nil"/>
              <w:bottom w:val="single" w:sz="4" w:space="0" w:color="293F5B"/>
              <w:right w:val="nil"/>
            </w:tcBorders>
            <w:shd w:val="clear" w:color="000000" w:fill="FFFFFF"/>
            <w:noWrap/>
            <w:vAlign w:val="center"/>
            <w:hideMark/>
          </w:tcPr>
          <w:p w14:paraId="3E939186" w14:textId="1F0CBE29" w:rsidR="00C77669" w:rsidRPr="00E37688" w:rsidRDefault="00C77669" w:rsidP="005C272A">
            <w:pPr>
              <w:pStyle w:val="TableTextRight"/>
              <w:rPr>
                <w:b/>
              </w:rPr>
            </w:pPr>
            <w:r>
              <w:rPr>
                <w:b/>
              </w:rPr>
              <w:t>156,381</w:t>
            </w:r>
          </w:p>
        </w:tc>
        <w:tc>
          <w:tcPr>
            <w:tcW w:w="0" w:type="auto"/>
            <w:tcBorders>
              <w:top w:val="nil"/>
              <w:left w:val="nil"/>
              <w:bottom w:val="single" w:sz="4" w:space="0" w:color="293F5B"/>
              <w:right w:val="nil"/>
            </w:tcBorders>
            <w:shd w:val="clear" w:color="000000" w:fill="FFFFFF"/>
            <w:noWrap/>
            <w:vAlign w:val="center"/>
            <w:hideMark/>
          </w:tcPr>
          <w:p w14:paraId="3E429C7E" w14:textId="49ADB436" w:rsidR="00C77669" w:rsidRPr="00E37688" w:rsidRDefault="00C77669" w:rsidP="005C272A">
            <w:pPr>
              <w:pStyle w:val="TableTextRight"/>
              <w:rPr>
                <w:b/>
              </w:rPr>
            </w:pPr>
            <w:r>
              <w:rPr>
                <w:b/>
              </w:rPr>
              <w:t>162,535</w:t>
            </w:r>
          </w:p>
        </w:tc>
      </w:tr>
      <w:tr w:rsidR="00C77669" w:rsidRPr="00EB32C0" w14:paraId="321B7671" w14:textId="77777777" w:rsidTr="00AA543A">
        <w:trPr>
          <w:trHeight w:val="225"/>
        </w:trPr>
        <w:tc>
          <w:tcPr>
            <w:tcW w:w="0" w:type="auto"/>
            <w:tcBorders>
              <w:top w:val="nil"/>
              <w:left w:val="nil"/>
              <w:bottom w:val="nil"/>
              <w:right w:val="nil"/>
            </w:tcBorders>
            <w:shd w:val="clear" w:color="000000" w:fill="FFFFFF"/>
            <w:noWrap/>
            <w:vAlign w:val="center"/>
            <w:hideMark/>
          </w:tcPr>
          <w:p w14:paraId="1FC039E1" w14:textId="2F1B3F85" w:rsidR="00C77669" w:rsidRPr="00E37688" w:rsidRDefault="00C77669" w:rsidP="00093367">
            <w:pPr>
              <w:pStyle w:val="TableTextLeft"/>
            </w:pPr>
            <w:r>
              <w:t xml:space="preserve">Taxes on the use of goods and performance of </w:t>
            </w:r>
          </w:p>
        </w:tc>
        <w:tc>
          <w:tcPr>
            <w:tcW w:w="0" w:type="auto"/>
            <w:tcBorders>
              <w:top w:val="single" w:sz="4" w:space="0" w:color="293F5B"/>
              <w:left w:val="nil"/>
              <w:bottom w:val="nil"/>
              <w:right w:val="nil"/>
            </w:tcBorders>
            <w:shd w:val="clear" w:color="000000" w:fill="FFFFFF"/>
            <w:noWrap/>
            <w:vAlign w:val="center"/>
            <w:hideMark/>
          </w:tcPr>
          <w:p w14:paraId="2C793FD6" w14:textId="720B0C8F" w:rsidR="00C77669" w:rsidRPr="00E37688" w:rsidRDefault="00C77669" w:rsidP="005C272A">
            <w:pPr>
              <w:pStyle w:val="TableTextRight"/>
              <w:rPr>
                <w:i/>
              </w:rPr>
            </w:pPr>
            <w:r>
              <w:rPr>
                <w:i/>
              </w:rPr>
              <w:t> </w:t>
            </w:r>
          </w:p>
        </w:tc>
        <w:tc>
          <w:tcPr>
            <w:tcW w:w="0" w:type="auto"/>
            <w:tcBorders>
              <w:top w:val="single" w:sz="4" w:space="0" w:color="293F5B"/>
              <w:left w:val="nil"/>
              <w:bottom w:val="nil"/>
              <w:right w:val="nil"/>
            </w:tcBorders>
            <w:shd w:val="clear" w:color="000000" w:fill="E6F2FF"/>
            <w:noWrap/>
            <w:vAlign w:val="center"/>
            <w:hideMark/>
          </w:tcPr>
          <w:p w14:paraId="4292B914" w14:textId="3893B5F3" w:rsidR="00C77669" w:rsidRPr="00E37688" w:rsidRDefault="00C77669" w:rsidP="005C272A">
            <w:pPr>
              <w:pStyle w:val="TableTextRight"/>
              <w:rPr>
                <w:i/>
                <w:color w:val="000000"/>
              </w:rPr>
            </w:pPr>
            <w:r>
              <w:rPr>
                <w:i/>
                <w:color w:val="000000"/>
              </w:rPr>
              <w:t> </w:t>
            </w:r>
          </w:p>
        </w:tc>
        <w:tc>
          <w:tcPr>
            <w:tcW w:w="0" w:type="auto"/>
            <w:tcBorders>
              <w:top w:val="single" w:sz="4" w:space="0" w:color="293F5B"/>
              <w:left w:val="nil"/>
              <w:bottom w:val="nil"/>
              <w:right w:val="nil"/>
            </w:tcBorders>
            <w:shd w:val="clear" w:color="000000" w:fill="FFFFFF"/>
            <w:noWrap/>
            <w:vAlign w:val="center"/>
            <w:hideMark/>
          </w:tcPr>
          <w:p w14:paraId="11D300EC" w14:textId="4D7E5A88" w:rsidR="00C77669" w:rsidRPr="00E37688" w:rsidRDefault="00C77669" w:rsidP="005C272A">
            <w:pPr>
              <w:pStyle w:val="TableTextRight"/>
              <w:rPr>
                <w:i/>
                <w:color w:val="000000"/>
              </w:rPr>
            </w:pPr>
            <w:r>
              <w:rPr>
                <w:i/>
                <w:color w:val="000000"/>
              </w:rPr>
              <w:t> </w:t>
            </w:r>
          </w:p>
        </w:tc>
        <w:tc>
          <w:tcPr>
            <w:tcW w:w="0" w:type="auto"/>
            <w:tcBorders>
              <w:top w:val="single" w:sz="4" w:space="0" w:color="293F5B"/>
              <w:left w:val="nil"/>
              <w:bottom w:val="nil"/>
              <w:right w:val="nil"/>
            </w:tcBorders>
            <w:shd w:val="clear" w:color="000000" w:fill="FFFFFF"/>
            <w:noWrap/>
            <w:vAlign w:val="center"/>
            <w:hideMark/>
          </w:tcPr>
          <w:p w14:paraId="66D70A3D" w14:textId="29F64E0E" w:rsidR="00C77669" w:rsidRPr="00E37688" w:rsidRDefault="00C77669" w:rsidP="005C272A">
            <w:pPr>
              <w:pStyle w:val="TableTextRight"/>
              <w:rPr>
                <w:i/>
                <w:color w:val="000000"/>
              </w:rPr>
            </w:pPr>
            <w:r>
              <w:rPr>
                <w:i/>
                <w:color w:val="000000"/>
              </w:rPr>
              <w:t> </w:t>
            </w:r>
          </w:p>
        </w:tc>
        <w:tc>
          <w:tcPr>
            <w:tcW w:w="0" w:type="auto"/>
            <w:tcBorders>
              <w:top w:val="single" w:sz="4" w:space="0" w:color="293F5B"/>
              <w:left w:val="nil"/>
              <w:bottom w:val="nil"/>
              <w:right w:val="nil"/>
            </w:tcBorders>
            <w:shd w:val="clear" w:color="000000" w:fill="FFFFFF"/>
            <w:noWrap/>
            <w:vAlign w:val="center"/>
            <w:hideMark/>
          </w:tcPr>
          <w:p w14:paraId="62B0C251" w14:textId="1FC648D6" w:rsidR="00C77669" w:rsidRPr="00E37688" w:rsidRDefault="00C77669" w:rsidP="005C272A">
            <w:pPr>
              <w:pStyle w:val="TableTextRight"/>
              <w:rPr>
                <w:i/>
                <w:color w:val="000000"/>
              </w:rPr>
            </w:pPr>
            <w:r>
              <w:rPr>
                <w:i/>
                <w:color w:val="000000"/>
              </w:rPr>
              <w:t> </w:t>
            </w:r>
          </w:p>
        </w:tc>
      </w:tr>
      <w:tr w:rsidR="00C77669" w:rsidRPr="00EB32C0" w14:paraId="3C5283D5" w14:textId="77777777" w:rsidTr="00AA543A">
        <w:trPr>
          <w:trHeight w:val="225"/>
        </w:trPr>
        <w:tc>
          <w:tcPr>
            <w:tcW w:w="0" w:type="auto"/>
            <w:tcBorders>
              <w:top w:val="nil"/>
              <w:left w:val="nil"/>
              <w:bottom w:val="nil"/>
              <w:right w:val="nil"/>
            </w:tcBorders>
            <w:shd w:val="clear" w:color="000000" w:fill="FFFFFF"/>
            <w:noWrap/>
            <w:vAlign w:val="center"/>
            <w:hideMark/>
          </w:tcPr>
          <w:p w14:paraId="629B9ECC" w14:textId="3AE0B94E" w:rsidR="00C77669" w:rsidRPr="00E37688" w:rsidRDefault="00C77669" w:rsidP="008279EB">
            <w:pPr>
              <w:pStyle w:val="TableTextIndented"/>
            </w:pPr>
            <w:r>
              <w:t>activities</w:t>
            </w:r>
          </w:p>
        </w:tc>
        <w:tc>
          <w:tcPr>
            <w:tcW w:w="0" w:type="auto"/>
            <w:tcBorders>
              <w:top w:val="nil"/>
              <w:left w:val="nil"/>
              <w:bottom w:val="single" w:sz="4" w:space="0" w:color="293F5B"/>
              <w:right w:val="nil"/>
            </w:tcBorders>
            <w:shd w:val="clear" w:color="000000" w:fill="FFFFFF"/>
            <w:noWrap/>
            <w:vAlign w:val="center"/>
            <w:hideMark/>
          </w:tcPr>
          <w:p w14:paraId="0727D879" w14:textId="31CB7CB6" w:rsidR="00C77669" w:rsidRPr="00E37688" w:rsidRDefault="00C77669" w:rsidP="005C272A">
            <w:pPr>
              <w:pStyle w:val="TableTextRight"/>
            </w:pPr>
            <w:r>
              <w:t>10,468</w:t>
            </w:r>
          </w:p>
        </w:tc>
        <w:tc>
          <w:tcPr>
            <w:tcW w:w="0" w:type="auto"/>
            <w:tcBorders>
              <w:top w:val="nil"/>
              <w:left w:val="nil"/>
              <w:bottom w:val="single" w:sz="4" w:space="0" w:color="293F5B"/>
              <w:right w:val="nil"/>
            </w:tcBorders>
            <w:shd w:val="clear" w:color="000000" w:fill="E6F2FF"/>
            <w:noWrap/>
            <w:vAlign w:val="center"/>
            <w:hideMark/>
          </w:tcPr>
          <w:p w14:paraId="1EA83DB3" w14:textId="40177C92" w:rsidR="00C77669" w:rsidRPr="00E37688" w:rsidRDefault="00C77669" w:rsidP="005C272A">
            <w:pPr>
              <w:pStyle w:val="TableTextRight"/>
            </w:pPr>
            <w:r>
              <w:t>11,288</w:t>
            </w:r>
          </w:p>
        </w:tc>
        <w:tc>
          <w:tcPr>
            <w:tcW w:w="0" w:type="auto"/>
            <w:tcBorders>
              <w:top w:val="nil"/>
              <w:left w:val="nil"/>
              <w:bottom w:val="single" w:sz="4" w:space="0" w:color="293F5B"/>
              <w:right w:val="nil"/>
            </w:tcBorders>
            <w:shd w:val="clear" w:color="000000" w:fill="FFFFFF"/>
            <w:noWrap/>
            <w:vAlign w:val="center"/>
            <w:hideMark/>
          </w:tcPr>
          <w:p w14:paraId="3753C828" w14:textId="4AF45C74" w:rsidR="00C77669" w:rsidRPr="00E37688" w:rsidRDefault="00C77669" w:rsidP="005C272A">
            <w:pPr>
              <w:pStyle w:val="TableTextRight"/>
            </w:pPr>
            <w:r>
              <w:t>11,782</w:t>
            </w:r>
          </w:p>
        </w:tc>
        <w:tc>
          <w:tcPr>
            <w:tcW w:w="0" w:type="auto"/>
            <w:tcBorders>
              <w:top w:val="nil"/>
              <w:left w:val="nil"/>
              <w:bottom w:val="single" w:sz="4" w:space="0" w:color="293F5B"/>
              <w:right w:val="nil"/>
            </w:tcBorders>
            <w:shd w:val="clear" w:color="000000" w:fill="FFFFFF"/>
            <w:noWrap/>
            <w:vAlign w:val="center"/>
            <w:hideMark/>
          </w:tcPr>
          <w:p w14:paraId="24326EFD" w14:textId="58BDAE16" w:rsidR="00C77669" w:rsidRPr="00E37688" w:rsidRDefault="00C77669" w:rsidP="005C272A">
            <w:pPr>
              <w:pStyle w:val="TableTextRight"/>
            </w:pPr>
            <w:r>
              <w:t>12,033</w:t>
            </w:r>
          </w:p>
        </w:tc>
        <w:tc>
          <w:tcPr>
            <w:tcW w:w="0" w:type="auto"/>
            <w:tcBorders>
              <w:top w:val="nil"/>
              <w:left w:val="nil"/>
              <w:bottom w:val="single" w:sz="4" w:space="0" w:color="293F5B"/>
              <w:right w:val="nil"/>
            </w:tcBorders>
            <w:shd w:val="clear" w:color="000000" w:fill="FFFFFF"/>
            <w:noWrap/>
            <w:vAlign w:val="center"/>
            <w:hideMark/>
          </w:tcPr>
          <w:p w14:paraId="3DD8AC30" w14:textId="5F251DF4" w:rsidR="00C77669" w:rsidRPr="00E37688" w:rsidRDefault="00C77669" w:rsidP="005C272A">
            <w:pPr>
              <w:pStyle w:val="TableTextRight"/>
            </w:pPr>
            <w:r>
              <w:t>12,255</w:t>
            </w:r>
          </w:p>
        </w:tc>
      </w:tr>
      <w:tr w:rsidR="00C77669" w:rsidRPr="00EB32C0" w14:paraId="4A231CC4" w14:textId="77777777" w:rsidTr="00AA543A">
        <w:trPr>
          <w:trHeight w:val="225"/>
        </w:trPr>
        <w:tc>
          <w:tcPr>
            <w:tcW w:w="0" w:type="auto"/>
            <w:tcBorders>
              <w:top w:val="nil"/>
              <w:left w:val="nil"/>
              <w:bottom w:val="single" w:sz="4" w:space="0" w:color="293F5B"/>
              <w:right w:val="nil"/>
            </w:tcBorders>
            <w:shd w:val="clear" w:color="000000" w:fill="FFFFFF"/>
            <w:noWrap/>
            <w:vAlign w:val="center"/>
            <w:hideMark/>
          </w:tcPr>
          <w:p w14:paraId="4498466A" w14:textId="2E5C1C28" w:rsidR="00C77669" w:rsidRPr="00E37688" w:rsidRDefault="00C77669" w:rsidP="00093367">
            <w:pPr>
              <w:pStyle w:val="TableTextLeft"/>
              <w:rPr>
                <w:b/>
              </w:rPr>
            </w:pPr>
            <w:r>
              <w:rPr>
                <w:b/>
              </w:rPr>
              <w:t>Total taxation revenue</w:t>
            </w:r>
          </w:p>
        </w:tc>
        <w:tc>
          <w:tcPr>
            <w:tcW w:w="0" w:type="auto"/>
            <w:tcBorders>
              <w:top w:val="nil"/>
              <w:left w:val="nil"/>
              <w:bottom w:val="single" w:sz="4" w:space="0" w:color="293F5B"/>
              <w:right w:val="nil"/>
            </w:tcBorders>
            <w:shd w:val="clear" w:color="000000" w:fill="FFFFFF"/>
            <w:noWrap/>
            <w:vAlign w:val="center"/>
            <w:hideMark/>
          </w:tcPr>
          <w:p w14:paraId="20D227A7" w14:textId="10F974BC" w:rsidR="00C77669" w:rsidRPr="00E37688" w:rsidRDefault="00C77669" w:rsidP="005C272A">
            <w:pPr>
              <w:pStyle w:val="TableTextRight"/>
              <w:rPr>
                <w:b/>
              </w:rPr>
            </w:pPr>
            <w:r>
              <w:rPr>
                <w:b/>
              </w:rPr>
              <w:t>656,039</w:t>
            </w:r>
          </w:p>
        </w:tc>
        <w:tc>
          <w:tcPr>
            <w:tcW w:w="0" w:type="auto"/>
            <w:tcBorders>
              <w:top w:val="nil"/>
              <w:left w:val="nil"/>
              <w:bottom w:val="single" w:sz="4" w:space="0" w:color="293F5B"/>
              <w:right w:val="nil"/>
            </w:tcBorders>
            <w:shd w:val="clear" w:color="000000" w:fill="E6F2FF"/>
            <w:noWrap/>
            <w:vAlign w:val="center"/>
            <w:hideMark/>
          </w:tcPr>
          <w:p w14:paraId="3947EEA9" w14:textId="179A3234" w:rsidR="00C77669" w:rsidRPr="00E37688" w:rsidRDefault="00C77669" w:rsidP="005C272A">
            <w:pPr>
              <w:pStyle w:val="TableTextRight"/>
              <w:rPr>
                <w:b/>
              </w:rPr>
            </w:pPr>
            <w:r>
              <w:rPr>
                <w:b/>
              </w:rPr>
              <w:t>658,962</w:t>
            </w:r>
          </w:p>
        </w:tc>
        <w:tc>
          <w:tcPr>
            <w:tcW w:w="0" w:type="auto"/>
            <w:tcBorders>
              <w:top w:val="nil"/>
              <w:left w:val="nil"/>
              <w:bottom w:val="single" w:sz="4" w:space="0" w:color="293F5B"/>
              <w:right w:val="nil"/>
            </w:tcBorders>
            <w:shd w:val="clear" w:color="000000" w:fill="FFFFFF"/>
            <w:noWrap/>
            <w:vAlign w:val="center"/>
            <w:hideMark/>
          </w:tcPr>
          <w:p w14:paraId="179B9DB1" w14:textId="2B9D5468" w:rsidR="00C77669" w:rsidRPr="00E37688" w:rsidRDefault="00C77669" w:rsidP="005C272A">
            <w:pPr>
              <w:pStyle w:val="TableTextRight"/>
              <w:rPr>
                <w:b/>
              </w:rPr>
            </w:pPr>
            <w:r>
              <w:rPr>
                <w:b/>
              </w:rPr>
              <w:t>679,469</w:t>
            </w:r>
          </w:p>
        </w:tc>
        <w:tc>
          <w:tcPr>
            <w:tcW w:w="0" w:type="auto"/>
            <w:tcBorders>
              <w:top w:val="nil"/>
              <w:left w:val="nil"/>
              <w:bottom w:val="single" w:sz="4" w:space="0" w:color="293F5B"/>
              <w:right w:val="nil"/>
            </w:tcBorders>
            <w:shd w:val="clear" w:color="000000" w:fill="FFFFFF"/>
            <w:noWrap/>
            <w:vAlign w:val="center"/>
            <w:hideMark/>
          </w:tcPr>
          <w:p w14:paraId="47FD500A" w14:textId="39FA606C" w:rsidR="00C77669" w:rsidRPr="00E37688" w:rsidRDefault="00C77669" w:rsidP="005C272A">
            <w:pPr>
              <w:pStyle w:val="TableTextRight"/>
              <w:rPr>
                <w:b/>
              </w:rPr>
            </w:pPr>
            <w:r>
              <w:rPr>
                <w:b/>
              </w:rPr>
              <w:t>721,170</w:t>
            </w:r>
          </w:p>
        </w:tc>
        <w:tc>
          <w:tcPr>
            <w:tcW w:w="0" w:type="auto"/>
            <w:tcBorders>
              <w:top w:val="nil"/>
              <w:left w:val="nil"/>
              <w:bottom w:val="single" w:sz="4" w:space="0" w:color="293F5B"/>
              <w:right w:val="nil"/>
            </w:tcBorders>
            <w:shd w:val="clear" w:color="000000" w:fill="FFFFFF"/>
            <w:noWrap/>
            <w:vAlign w:val="center"/>
            <w:hideMark/>
          </w:tcPr>
          <w:p w14:paraId="5BF46713" w14:textId="43644432" w:rsidR="00C77669" w:rsidRPr="00E37688" w:rsidRDefault="00C77669" w:rsidP="005C272A">
            <w:pPr>
              <w:pStyle w:val="TableTextRight"/>
              <w:rPr>
                <w:b/>
              </w:rPr>
            </w:pPr>
            <w:r>
              <w:rPr>
                <w:b/>
              </w:rPr>
              <w:t>762,990</w:t>
            </w:r>
          </w:p>
        </w:tc>
      </w:tr>
    </w:tbl>
    <w:p w14:paraId="358332D2" w14:textId="77777777" w:rsidR="00BA0D27" w:rsidRDefault="00BA0D27" w:rsidP="00D17BD4">
      <w:pPr>
        <w:pStyle w:val="SingleParagraph"/>
      </w:pPr>
    </w:p>
    <w:tbl>
      <w:tblPr>
        <w:tblpPr w:leftFromText="180" w:rightFromText="180" w:vertAnchor="text" w:horzAnchor="margin" w:tblpY="479"/>
        <w:tblW w:w="7711" w:type="dxa"/>
        <w:tblLook w:val="04A0" w:firstRow="1" w:lastRow="0" w:firstColumn="1" w:lastColumn="0" w:noHBand="0" w:noVBand="1"/>
      </w:tblPr>
      <w:tblGrid>
        <w:gridCol w:w="3552"/>
        <w:gridCol w:w="831"/>
        <w:gridCol w:w="832"/>
        <w:gridCol w:w="832"/>
        <w:gridCol w:w="832"/>
        <w:gridCol w:w="832"/>
      </w:tblGrid>
      <w:tr w:rsidR="0054390B" w:rsidRPr="0049073F" w14:paraId="4D5F744E" w14:textId="77777777" w:rsidTr="00AA543A">
        <w:trPr>
          <w:trHeight w:val="225"/>
        </w:trPr>
        <w:tc>
          <w:tcPr>
            <w:tcW w:w="0" w:type="auto"/>
            <w:tcBorders>
              <w:top w:val="single" w:sz="4" w:space="0" w:color="293F5B"/>
              <w:left w:val="nil"/>
              <w:bottom w:val="nil"/>
              <w:right w:val="nil"/>
            </w:tcBorders>
            <w:shd w:val="clear" w:color="000000" w:fill="FFFFFF"/>
            <w:noWrap/>
            <w:vAlign w:val="center"/>
            <w:hideMark/>
          </w:tcPr>
          <w:p w14:paraId="67C8C259" w14:textId="77777777" w:rsidR="0054390B" w:rsidRPr="0049073F" w:rsidRDefault="0054390B" w:rsidP="00A24F55">
            <w:pPr>
              <w:pStyle w:val="TableTextLeft"/>
            </w:pPr>
            <w:r w:rsidRPr="0049073F">
              <w:t> </w:t>
            </w:r>
          </w:p>
        </w:tc>
        <w:tc>
          <w:tcPr>
            <w:tcW w:w="0" w:type="auto"/>
            <w:gridSpan w:val="5"/>
            <w:tcBorders>
              <w:top w:val="single" w:sz="4" w:space="0" w:color="293F5B"/>
              <w:left w:val="nil"/>
              <w:bottom w:val="single" w:sz="4" w:space="0" w:color="293F5B"/>
              <w:right w:val="nil"/>
            </w:tcBorders>
            <w:shd w:val="clear" w:color="auto" w:fill="auto"/>
            <w:noWrap/>
            <w:vAlign w:val="center"/>
            <w:hideMark/>
          </w:tcPr>
          <w:p w14:paraId="1BD4CA3E" w14:textId="77777777" w:rsidR="0054390B" w:rsidRPr="00CB28DC" w:rsidRDefault="0054390B" w:rsidP="00BA0D27">
            <w:pPr>
              <w:pStyle w:val="TableTextCentred"/>
            </w:pPr>
            <w:r w:rsidRPr="00CB28DC">
              <w:t>Estimates</w:t>
            </w:r>
          </w:p>
        </w:tc>
      </w:tr>
      <w:tr w:rsidR="0054390B" w:rsidRPr="0049073F" w14:paraId="7387EF7F" w14:textId="77777777" w:rsidTr="00AA543A">
        <w:trPr>
          <w:trHeight w:val="225"/>
        </w:trPr>
        <w:tc>
          <w:tcPr>
            <w:tcW w:w="0" w:type="auto"/>
            <w:tcBorders>
              <w:top w:val="nil"/>
              <w:left w:val="nil"/>
              <w:bottom w:val="nil"/>
              <w:right w:val="nil"/>
            </w:tcBorders>
            <w:shd w:val="clear" w:color="000000" w:fill="FFFFFF"/>
            <w:noWrap/>
            <w:vAlign w:val="center"/>
            <w:hideMark/>
          </w:tcPr>
          <w:p w14:paraId="61FDAE9F" w14:textId="77777777" w:rsidR="0054390B" w:rsidRPr="00CB28DC" w:rsidRDefault="0054390B" w:rsidP="00A24F55">
            <w:pPr>
              <w:pStyle w:val="TableTextLeft"/>
            </w:pPr>
            <w:r w:rsidRPr="00CB28DC">
              <w:t> </w:t>
            </w:r>
          </w:p>
        </w:tc>
        <w:tc>
          <w:tcPr>
            <w:tcW w:w="0" w:type="auto"/>
            <w:tcBorders>
              <w:top w:val="nil"/>
              <w:left w:val="nil"/>
              <w:bottom w:val="nil"/>
              <w:right w:val="nil"/>
            </w:tcBorders>
            <w:shd w:val="clear" w:color="000000" w:fill="FFFFFF"/>
            <w:noWrap/>
            <w:vAlign w:val="center"/>
            <w:hideMark/>
          </w:tcPr>
          <w:p w14:paraId="5C21053E" w14:textId="62D8CECF" w:rsidR="0054390B" w:rsidRPr="00CB28DC" w:rsidRDefault="0054390B" w:rsidP="00BA0D27">
            <w:pPr>
              <w:pStyle w:val="TableTextRight"/>
            </w:pPr>
            <w:r w:rsidRPr="00CB28DC">
              <w:t>2023</w:t>
            </w:r>
            <w:r w:rsidR="00325E1E">
              <w:noBreakHyphen/>
            </w:r>
            <w:r w:rsidRPr="00CB28DC">
              <w:t>24</w:t>
            </w:r>
          </w:p>
        </w:tc>
        <w:tc>
          <w:tcPr>
            <w:tcW w:w="0" w:type="auto"/>
            <w:tcBorders>
              <w:top w:val="nil"/>
              <w:left w:val="nil"/>
              <w:bottom w:val="nil"/>
              <w:right w:val="nil"/>
            </w:tcBorders>
            <w:shd w:val="clear" w:color="000000" w:fill="E6F2FF"/>
            <w:noWrap/>
            <w:vAlign w:val="center"/>
            <w:hideMark/>
          </w:tcPr>
          <w:p w14:paraId="79D3028C" w14:textId="60AF1585" w:rsidR="0054390B" w:rsidRPr="00CB28DC" w:rsidRDefault="0054390B" w:rsidP="00BA0D27">
            <w:pPr>
              <w:pStyle w:val="TableTextRight"/>
            </w:pPr>
            <w:r w:rsidRPr="00CB28DC">
              <w:t>2024</w:t>
            </w:r>
            <w:r w:rsidR="00325E1E">
              <w:noBreakHyphen/>
            </w:r>
            <w:r w:rsidRPr="00CB28DC">
              <w:t>25</w:t>
            </w:r>
          </w:p>
        </w:tc>
        <w:tc>
          <w:tcPr>
            <w:tcW w:w="0" w:type="auto"/>
            <w:tcBorders>
              <w:top w:val="nil"/>
              <w:left w:val="nil"/>
              <w:bottom w:val="nil"/>
              <w:right w:val="nil"/>
            </w:tcBorders>
            <w:shd w:val="clear" w:color="000000" w:fill="FFFFFF"/>
            <w:noWrap/>
            <w:vAlign w:val="center"/>
            <w:hideMark/>
          </w:tcPr>
          <w:p w14:paraId="2F15ABB2" w14:textId="2D83D419" w:rsidR="0054390B" w:rsidRPr="00CB28DC" w:rsidRDefault="0054390B" w:rsidP="00BA0D27">
            <w:pPr>
              <w:pStyle w:val="TableTextRight"/>
            </w:pPr>
            <w:r w:rsidRPr="00CB28DC">
              <w:t>2025</w:t>
            </w:r>
            <w:r w:rsidR="00325E1E">
              <w:noBreakHyphen/>
            </w:r>
            <w:r w:rsidRPr="00CB28DC">
              <w:t>26</w:t>
            </w:r>
          </w:p>
        </w:tc>
        <w:tc>
          <w:tcPr>
            <w:tcW w:w="0" w:type="auto"/>
            <w:tcBorders>
              <w:top w:val="nil"/>
              <w:left w:val="nil"/>
              <w:bottom w:val="nil"/>
              <w:right w:val="nil"/>
            </w:tcBorders>
            <w:shd w:val="clear" w:color="000000" w:fill="FFFFFF"/>
            <w:noWrap/>
            <w:vAlign w:val="center"/>
            <w:hideMark/>
          </w:tcPr>
          <w:p w14:paraId="6D68A8CC" w14:textId="1FDBBD4B" w:rsidR="0054390B" w:rsidRPr="00CB28DC" w:rsidRDefault="0054390B" w:rsidP="00BA0D27">
            <w:pPr>
              <w:pStyle w:val="TableTextRight"/>
            </w:pPr>
            <w:r w:rsidRPr="00CB28DC">
              <w:t>2026</w:t>
            </w:r>
            <w:r w:rsidR="00325E1E">
              <w:noBreakHyphen/>
            </w:r>
            <w:r w:rsidRPr="00CB28DC">
              <w:t>27</w:t>
            </w:r>
          </w:p>
        </w:tc>
        <w:tc>
          <w:tcPr>
            <w:tcW w:w="0" w:type="auto"/>
            <w:tcBorders>
              <w:top w:val="nil"/>
              <w:left w:val="nil"/>
              <w:bottom w:val="nil"/>
              <w:right w:val="nil"/>
            </w:tcBorders>
            <w:shd w:val="clear" w:color="000000" w:fill="FFFFFF"/>
            <w:noWrap/>
            <w:vAlign w:val="center"/>
            <w:hideMark/>
          </w:tcPr>
          <w:p w14:paraId="632091D8" w14:textId="424E9716" w:rsidR="0054390B" w:rsidRPr="00CB28DC" w:rsidRDefault="0054390B" w:rsidP="00BA0D27">
            <w:pPr>
              <w:pStyle w:val="TableTextRight"/>
              <w:rPr>
                <w:color w:val="000000"/>
              </w:rPr>
            </w:pPr>
            <w:r w:rsidRPr="00CB28DC">
              <w:rPr>
                <w:color w:val="000000"/>
              </w:rPr>
              <w:t>2027</w:t>
            </w:r>
            <w:r w:rsidR="00325E1E">
              <w:rPr>
                <w:color w:val="000000"/>
              </w:rPr>
              <w:noBreakHyphen/>
            </w:r>
            <w:r w:rsidRPr="00CB28DC">
              <w:rPr>
                <w:color w:val="000000"/>
              </w:rPr>
              <w:t>28</w:t>
            </w:r>
          </w:p>
        </w:tc>
      </w:tr>
      <w:tr w:rsidR="0054390B" w:rsidRPr="0049073F" w14:paraId="0379C13F" w14:textId="77777777" w:rsidTr="00AA543A">
        <w:trPr>
          <w:trHeight w:val="225"/>
        </w:trPr>
        <w:tc>
          <w:tcPr>
            <w:tcW w:w="0" w:type="auto"/>
            <w:tcBorders>
              <w:top w:val="nil"/>
              <w:left w:val="nil"/>
              <w:bottom w:val="nil"/>
              <w:right w:val="nil"/>
            </w:tcBorders>
            <w:shd w:val="clear" w:color="000000" w:fill="FFFFFF"/>
            <w:noWrap/>
            <w:vAlign w:val="center"/>
            <w:hideMark/>
          </w:tcPr>
          <w:p w14:paraId="40FBC7C8" w14:textId="77777777" w:rsidR="0054390B" w:rsidRPr="00CB28DC" w:rsidRDefault="0054390B" w:rsidP="00A24F55">
            <w:pPr>
              <w:pStyle w:val="TableTextLeft"/>
            </w:pPr>
            <w:r w:rsidRPr="00CB28DC">
              <w:t> </w:t>
            </w:r>
          </w:p>
        </w:tc>
        <w:tc>
          <w:tcPr>
            <w:tcW w:w="0" w:type="auto"/>
            <w:tcBorders>
              <w:top w:val="nil"/>
              <w:left w:val="nil"/>
              <w:bottom w:val="single" w:sz="4" w:space="0" w:color="293F5B"/>
              <w:right w:val="nil"/>
            </w:tcBorders>
            <w:shd w:val="clear" w:color="000000" w:fill="FFFFFF"/>
            <w:noWrap/>
            <w:vAlign w:val="center"/>
            <w:hideMark/>
          </w:tcPr>
          <w:p w14:paraId="162C2C2F" w14:textId="77777777" w:rsidR="0054390B" w:rsidRPr="00CB28DC" w:rsidRDefault="0054390B" w:rsidP="00BA0D27">
            <w:pPr>
              <w:pStyle w:val="TableTextRight"/>
              <w:rPr>
                <w:color w:val="000000"/>
              </w:rPr>
            </w:pPr>
            <w:r w:rsidRPr="00CB28DC">
              <w:rPr>
                <w:color w:val="000000"/>
              </w:rPr>
              <w:t>$m</w:t>
            </w:r>
          </w:p>
        </w:tc>
        <w:tc>
          <w:tcPr>
            <w:tcW w:w="0" w:type="auto"/>
            <w:tcBorders>
              <w:top w:val="nil"/>
              <w:left w:val="nil"/>
              <w:bottom w:val="single" w:sz="4" w:space="0" w:color="293F5B"/>
              <w:right w:val="nil"/>
            </w:tcBorders>
            <w:shd w:val="clear" w:color="000000" w:fill="E6F2FF"/>
            <w:noWrap/>
            <w:vAlign w:val="center"/>
            <w:hideMark/>
          </w:tcPr>
          <w:p w14:paraId="37A7C976" w14:textId="77777777" w:rsidR="0054390B" w:rsidRPr="00CB28DC" w:rsidRDefault="0054390B" w:rsidP="00BA0D27">
            <w:pPr>
              <w:pStyle w:val="TableTextRight"/>
              <w:rPr>
                <w:color w:val="000000"/>
              </w:rPr>
            </w:pPr>
            <w:r w:rsidRPr="00CB28DC">
              <w:rPr>
                <w:color w:val="000000"/>
              </w:rPr>
              <w:t>$m</w:t>
            </w:r>
          </w:p>
        </w:tc>
        <w:tc>
          <w:tcPr>
            <w:tcW w:w="0" w:type="auto"/>
            <w:tcBorders>
              <w:top w:val="nil"/>
              <w:left w:val="nil"/>
              <w:bottom w:val="single" w:sz="4" w:space="0" w:color="293F5B"/>
              <w:right w:val="nil"/>
            </w:tcBorders>
            <w:shd w:val="clear" w:color="000000" w:fill="FFFFFF"/>
            <w:noWrap/>
            <w:vAlign w:val="center"/>
            <w:hideMark/>
          </w:tcPr>
          <w:p w14:paraId="3AE88B29" w14:textId="77777777" w:rsidR="0054390B" w:rsidRPr="00CB28DC" w:rsidRDefault="0054390B" w:rsidP="00BA0D27">
            <w:pPr>
              <w:pStyle w:val="TableTextRight"/>
              <w:rPr>
                <w:color w:val="000000"/>
              </w:rPr>
            </w:pPr>
            <w:r w:rsidRPr="00CB28DC">
              <w:rPr>
                <w:color w:val="000000"/>
              </w:rPr>
              <w:t>$m</w:t>
            </w:r>
          </w:p>
        </w:tc>
        <w:tc>
          <w:tcPr>
            <w:tcW w:w="0" w:type="auto"/>
            <w:tcBorders>
              <w:top w:val="nil"/>
              <w:left w:val="nil"/>
              <w:bottom w:val="single" w:sz="4" w:space="0" w:color="293F5B"/>
              <w:right w:val="nil"/>
            </w:tcBorders>
            <w:shd w:val="clear" w:color="000000" w:fill="FFFFFF"/>
            <w:noWrap/>
            <w:vAlign w:val="center"/>
            <w:hideMark/>
          </w:tcPr>
          <w:p w14:paraId="062F6ED4" w14:textId="77777777" w:rsidR="0054390B" w:rsidRPr="00CB28DC" w:rsidRDefault="0054390B" w:rsidP="00BA0D27">
            <w:pPr>
              <w:pStyle w:val="TableTextRight"/>
              <w:rPr>
                <w:color w:val="000000"/>
              </w:rPr>
            </w:pPr>
            <w:r w:rsidRPr="00CB28DC">
              <w:rPr>
                <w:color w:val="000000"/>
              </w:rPr>
              <w:t>$m</w:t>
            </w:r>
          </w:p>
        </w:tc>
        <w:tc>
          <w:tcPr>
            <w:tcW w:w="0" w:type="auto"/>
            <w:tcBorders>
              <w:top w:val="nil"/>
              <w:left w:val="nil"/>
              <w:bottom w:val="single" w:sz="4" w:space="0" w:color="293F5B"/>
              <w:right w:val="nil"/>
            </w:tcBorders>
            <w:shd w:val="clear" w:color="000000" w:fill="FFFFFF"/>
            <w:noWrap/>
            <w:vAlign w:val="center"/>
            <w:hideMark/>
          </w:tcPr>
          <w:p w14:paraId="64BB60B4" w14:textId="77777777" w:rsidR="0054390B" w:rsidRPr="00CB28DC" w:rsidRDefault="0054390B" w:rsidP="00BA0D27">
            <w:pPr>
              <w:pStyle w:val="TableTextRight"/>
              <w:rPr>
                <w:color w:val="000000"/>
              </w:rPr>
            </w:pPr>
            <w:r w:rsidRPr="00CB28DC">
              <w:rPr>
                <w:color w:val="000000"/>
              </w:rPr>
              <w:t>$m</w:t>
            </w:r>
          </w:p>
        </w:tc>
      </w:tr>
      <w:tr w:rsidR="00C77669" w:rsidRPr="0049073F" w14:paraId="162E66DE" w14:textId="77777777" w:rsidTr="00AA543A">
        <w:trPr>
          <w:trHeight w:val="225"/>
        </w:trPr>
        <w:tc>
          <w:tcPr>
            <w:tcW w:w="0" w:type="auto"/>
            <w:tcBorders>
              <w:top w:val="nil"/>
              <w:left w:val="nil"/>
              <w:bottom w:val="nil"/>
              <w:right w:val="nil"/>
            </w:tcBorders>
            <w:shd w:val="clear" w:color="000000" w:fill="FFFFFF"/>
            <w:noWrap/>
            <w:vAlign w:val="center"/>
            <w:hideMark/>
          </w:tcPr>
          <w:p w14:paraId="70F737EB" w14:textId="0AF0F93C" w:rsidR="00C77669" w:rsidRPr="00CB28DC" w:rsidRDefault="00C77669" w:rsidP="00A24F55">
            <w:pPr>
              <w:pStyle w:val="TableTextLeft"/>
            </w:pPr>
            <w:r>
              <w:t>Sales of goods</w:t>
            </w:r>
          </w:p>
        </w:tc>
        <w:tc>
          <w:tcPr>
            <w:tcW w:w="0" w:type="auto"/>
            <w:tcBorders>
              <w:top w:val="nil"/>
              <w:left w:val="nil"/>
              <w:bottom w:val="nil"/>
              <w:right w:val="nil"/>
            </w:tcBorders>
            <w:shd w:val="clear" w:color="000000" w:fill="FFFFFF"/>
            <w:noWrap/>
            <w:vAlign w:val="center"/>
            <w:hideMark/>
          </w:tcPr>
          <w:p w14:paraId="57292EC0" w14:textId="5AEA43B8" w:rsidR="00C77669" w:rsidRPr="00CB28DC" w:rsidRDefault="00C77669" w:rsidP="00BA0D27">
            <w:pPr>
              <w:pStyle w:val="TableTextRight"/>
              <w:rPr>
                <w:color w:val="000000"/>
              </w:rPr>
            </w:pPr>
            <w:r>
              <w:rPr>
                <w:color w:val="000000"/>
              </w:rPr>
              <w:t>1,487</w:t>
            </w:r>
          </w:p>
        </w:tc>
        <w:tc>
          <w:tcPr>
            <w:tcW w:w="0" w:type="auto"/>
            <w:tcBorders>
              <w:top w:val="nil"/>
              <w:left w:val="nil"/>
              <w:bottom w:val="nil"/>
              <w:right w:val="nil"/>
            </w:tcBorders>
            <w:shd w:val="clear" w:color="000000" w:fill="E6F2FF"/>
            <w:noWrap/>
            <w:vAlign w:val="center"/>
            <w:hideMark/>
          </w:tcPr>
          <w:p w14:paraId="61F369AB" w14:textId="4E07026E" w:rsidR="00C77669" w:rsidRPr="00CB28DC" w:rsidRDefault="00C77669" w:rsidP="00BA0D27">
            <w:pPr>
              <w:pStyle w:val="TableTextRight"/>
              <w:rPr>
                <w:color w:val="000000"/>
              </w:rPr>
            </w:pPr>
            <w:r>
              <w:rPr>
                <w:color w:val="000000"/>
              </w:rPr>
              <w:t>1,508</w:t>
            </w:r>
          </w:p>
        </w:tc>
        <w:tc>
          <w:tcPr>
            <w:tcW w:w="0" w:type="auto"/>
            <w:tcBorders>
              <w:top w:val="nil"/>
              <w:left w:val="nil"/>
              <w:bottom w:val="nil"/>
              <w:right w:val="nil"/>
            </w:tcBorders>
            <w:shd w:val="clear" w:color="000000" w:fill="FFFFFF"/>
            <w:noWrap/>
            <w:vAlign w:val="center"/>
            <w:hideMark/>
          </w:tcPr>
          <w:p w14:paraId="5229B0DE" w14:textId="40A7D7E6" w:rsidR="00C77669" w:rsidRPr="00CB28DC" w:rsidRDefault="00C77669" w:rsidP="00BA0D27">
            <w:pPr>
              <w:pStyle w:val="TableTextRight"/>
              <w:rPr>
                <w:color w:val="000000"/>
              </w:rPr>
            </w:pPr>
            <w:r>
              <w:rPr>
                <w:color w:val="000000"/>
              </w:rPr>
              <w:t>1,568</w:t>
            </w:r>
          </w:p>
        </w:tc>
        <w:tc>
          <w:tcPr>
            <w:tcW w:w="0" w:type="auto"/>
            <w:tcBorders>
              <w:top w:val="nil"/>
              <w:left w:val="nil"/>
              <w:bottom w:val="nil"/>
              <w:right w:val="nil"/>
            </w:tcBorders>
            <w:shd w:val="clear" w:color="000000" w:fill="FFFFFF"/>
            <w:noWrap/>
            <w:vAlign w:val="center"/>
            <w:hideMark/>
          </w:tcPr>
          <w:p w14:paraId="24731622" w14:textId="1825ACBF" w:rsidR="00C77669" w:rsidRPr="00CB28DC" w:rsidRDefault="00C77669" w:rsidP="00BA0D27">
            <w:pPr>
              <w:pStyle w:val="TableTextRight"/>
              <w:rPr>
                <w:color w:val="000000"/>
              </w:rPr>
            </w:pPr>
            <w:r>
              <w:rPr>
                <w:color w:val="000000"/>
              </w:rPr>
              <w:t>1,653</w:t>
            </w:r>
          </w:p>
        </w:tc>
        <w:tc>
          <w:tcPr>
            <w:tcW w:w="0" w:type="auto"/>
            <w:tcBorders>
              <w:top w:val="nil"/>
              <w:left w:val="nil"/>
              <w:bottom w:val="nil"/>
              <w:right w:val="nil"/>
            </w:tcBorders>
            <w:shd w:val="clear" w:color="000000" w:fill="FFFFFF"/>
            <w:noWrap/>
            <w:vAlign w:val="center"/>
            <w:hideMark/>
          </w:tcPr>
          <w:p w14:paraId="6E24D5E3" w14:textId="34D01E41" w:rsidR="00C77669" w:rsidRPr="00CB28DC" w:rsidRDefault="00C77669" w:rsidP="00BA0D27">
            <w:pPr>
              <w:pStyle w:val="TableTextRight"/>
              <w:rPr>
                <w:color w:val="000000"/>
              </w:rPr>
            </w:pPr>
            <w:r>
              <w:rPr>
                <w:color w:val="000000"/>
              </w:rPr>
              <w:t>1,687</w:t>
            </w:r>
          </w:p>
        </w:tc>
      </w:tr>
      <w:tr w:rsidR="00C77669" w:rsidRPr="0049073F" w14:paraId="61ADD85B" w14:textId="77777777" w:rsidTr="00AA543A">
        <w:trPr>
          <w:trHeight w:val="225"/>
        </w:trPr>
        <w:tc>
          <w:tcPr>
            <w:tcW w:w="0" w:type="auto"/>
            <w:tcBorders>
              <w:top w:val="nil"/>
              <w:left w:val="nil"/>
              <w:bottom w:val="nil"/>
              <w:right w:val="nil"/>
            </w:tcBorders>
            <w:shd w:val="clear" w:color="000000" w:fill="FFFFFF"/>
            <w:noWrap/>
            <w:vAlign w:val="center"/>
            <w:hideMark/>
          </w:tcPr>
          <w:p w14:paraId="0D2D20CD" w14:textId="48839BC9" w:rsidR="00C77669" w:rsidRPr="00CB28DC" w:rsidRDefault="00C77669" w:rsidP="00A24F55">
            <w:pPr>
              <w:pStyle w:val="TableTextLeft"/>
            </w:pPr>
            <w:r>
              <w:t>Rendering of services</w:t>
            </w:r>
          </w:p>
        </w:tc>
        <w:tc>
          <w:tcPr>
            <w:tcW w:w="0" w:type="auto"/>
            <w:tcBorders>
              <w:top w:val="nil"/>
              <w:left w:val="nil"/>
              <w:bottom w:val="nil"/>
              <w:right w:val="nil"/>
            </w:tcBorders>
            <w:shd w:val="clear" w:color="000000" w:fill="FFFFFF"/>
            <w:noWrap/>
            <w:vAlign w:val="center"/>
            <w:hideMark/>
          </w:tcPr>
          <w:p w14:paraId="17501D42" w14:textId="4B4DA831" w:rsidR="00C77669" w:rsidRPr="00CB28DC" w:rsidRDefault="00C77669" w:rsidP="00BA0D27">
            <w:pPr>
              <w:pStyle w:val="TableTextRight"/>
              <w:rPr>
                <w:color w:val="000000"/>
              </w:rPr>
            </w:pPr>
            <w:r>
              <w:rPr>
                <w:color w:val="000000"/>
              </w:rPr>
              <w:t>15,596</w:t>
            </w:r>
          </w:p>
        </w:tc>
        <w:tc>
          <w:tcPr>
            <w:tcW w:w="0" w:type="auto"/>
            <w:tcBorders>
              <w:top w:val="nil"/>
              <w:left w:val="nil"/>
              <w:bottom w:val="nil"/>
              <w:right w:val="nil"/>
            </w:tcBorders>
            <w:shd w:val="clear" w:color="000000" w:fill="E6F2FF"/>
            <w:noWrap/>
            <w:vAlign w:val="center"/>
            <w:hideMark/>
          </w:tcPr>
          <w:p w14:paraId="777F3D12" w14:textId="404BBD06" w:rsidR="00C77669" w:rsidRPr="00CB28DC" w:rsidRDefault="00C77669" w:rsidP="00BA0D27">
            <w:pPr>
              <w:pStyle w:val="TableTextRight"/>
              <w:rPr>
                <w:color w:val="000000"/>
              </w:rPr>
            </w:pPr>
            <w:r>
              <w:rPr>
                <w:color w:val="000000"/>
              </w:rPr>
              <w:t>16,818</w:t>
            </w:r>
          </w:p>
        </w:tc>
        <w:tc>
          <w:tcPr>
            <w:tcW w:w="0" w:type="auto"/>
            <w:tcBorders>
              <w:top w:val="nil"/>
              <w:left w:val="nil"/>
              <w:bottom w:val="nil"/>
              <w:right w:val="nil"/>
            </w:tcBorders>
            <w:shd w:val="clear" w:color="000000" w:fill="FFFFFF"/>
            <w:noWrap/>
            <w:vAlign w:val="center"/>
            <w:hideMark/>
          </w:tcPr>
          <w:p w14:paraId="6756E268" w14:textId="60E349A0" w:rsidR="00C77669" w:rsidRPr="00CB28DC" w:rsidRDefault="00C77669" w:rsidP="00BA0D27">
            <w:pPr>
              <w:pStyle w:val="TableTextRight"/>
              <w:rPr>
                <w:color w:val="000000"/>
              </w:rPr>
            </w:pPr>
            <w:r>
              <w:rPr>
                <w:color w:val="000000"/>
              </w:rPr>
              <w:t>17,751</w:t>
            </w:r>
          </w:p>
        </w:tc>
        <w:tc>
          <w:tcPr>
            <w:tcW w:w="0" w:type="auto"/>
            <w:tcBorders>
              <w:top w:val="nil"/>
              <w:left w:val="nil"/>
              <w:bottom w:val="nil"/>
              <w:right w:val="nil"/>
            </w:tcBorders>
            <w:shd w:val="clear" w:color="000000" w:fill="FFFFFF"/>
            <w:noWrap/>
            <w:vAlign w:val="center"/>
            <w:hideMark/>
          </w:tcPr>
          <w:p w14:paraId="0B38AE30" w14:textId="4A56D2B0" w:rsidR="00C77669" w:rsidRPr="00CB28DC" w:rsidRDefault="00C77669" w:rsidP="00BA0D27">
            <w:pPr>
              <w:pStyle w:val="TableTextRight"/>
              <w:rPr>
                <w:color w:val="000000"/>
              </w:rPr>
            </w:pPr>
            <w:r>
              <w:rPr>
                <w:color w:val="000000"/>
              </w:rPr>
              <w:t>18,367</w:t>
            </w:r>
          </w:p>
        </w:tc>
        <w:tc>
          <w:tcPr>
            <w:tcW w:w="0" w:type="auto"/>
            <w:tcBorders>
              <w:top w:val="nil"/>
              <w:left w:val="nil"/>
              <w:bottom w:val="nil"/>
              <w:right w:val="nil"/>
            </w:tcBorders>
            <w:shd w:val="clear" w:color="000000" w:fill="FFFFFF"/>
            <w:noWrap/>
            <w:vAlign w:val="center"/>
            <w:hideMark/>
          </w:tcPr>
          <w:p w14:paraId="187F2B53" w14:textId="71572C7A" w:rsidR="00C77669" w:rsidRPr="00CB28DC" w:rsidRDefault="00C77669" w:rsidP="00BA0D27">
            <w:pPr>
              <w:pStyle w:val="TableTextRight"/>
              <w:rPr>
                <w:color w:val="000000"/>
              </w:rPr>
            </w:pPr>
            <w:r>
              <w:rPr>
                <w:color w:val="000000"/>
              </w:rPr>
              <w:t>18,877</w:t>
            </w:r>
          </w:p>
        </w:tc>
      </w:tr>
      <w:tr w:rsidR="00C77669" w:rsidRPr="0049073F" w14:paraId="1D82B751" w14:textId="77777777" w:rsidTr="00AA543A">
        <w:trPr>
          <w:trHeight w:val="225"/>
        </w:trPr>
        <w:tc>
          <w:tcPr>
            <w:tcW w:w="0" w:type="auto"/>
            <w:tcBorders>
              <w:top w:val="nil"/>
              <w:left w:val="nil"/>
              <w:bottom w:val="nil"/>
              <w:right w:val="nil"/>
            </w:tcBorders>
            <w:shd w:val="clear" w:color="000000" w:fill="FFFFFF"/>
            <w:noWrap/>
            <w:vAlign w:val="center"/>
            <w:hideMark/>
          </w:tcPr>
          <w:p w14:paraId="655206A7" w14:textId="60D3E22C" w:rsidR="00C77669" w:rsidRPr="00CB28DC" w:rsidRDefault="00C77669" w:rsidP="00A24F55">
            <w:pPr>
              <w:pStyle w:val="TableTextLeft"/>
            </w:pPr>
            <w:r>
              <w:t>Lease rental</w:t>
            </w:r>
          </w:p>
        </w:tc>
        <w:tc>
          <w:tcPr>
            <w:tcW w:w="0" w:type="auto"/>
            <w:tcBorders>
              <w:top w:val="nil"/>
              <w:left w:val="nil"/>
              <w:bottom w:val="nil"/>
              <w:right w:val="nil"/>
            </w:tcBorders>
            <w:shd w:val="clear" w:color="000000" w:fill="FFFFFF"/>
            <w:noWrap/>
            <w:vAlign w:val="center"/>
            <w:hideMark/>
          </w:tcPr>
          <w:p w14:paraId="16D62E94" w14:textId="46E21D03" w:rsidR="00C77669" w:rsidRPr="00CB28DC" w:rsidRDefault="00C77669" w:rsidP="00BA0D27">
            <w:pPr>
              <w:pStyle w:val="TableTextRight"/>
              <w:rPr>
                <w:color w:val="000000"/>
              </w:rPr>
            </w:pPr>
            <w:r>
              <w:rPr>
                <w:color w:val="000000"/>
              </w:rPr>
              <w:t>397</w:t>
            </w:r>
          </w:p>
        </w:tc>
        <w:tc>
          <w:tcPr>
            <w:tcW w:w="0" w:type="auto"/>
            <w:tcBorders>
              <w:top w:val="nil"/>
              <w:left w:val="nil"/>
              <w:bottom w:val="nil"/>
              <w:right w:val="nil"/>
            </w:tcBorders>
            <w:shd w:val="clear" w:color="000000" w:fill="E6F2FF"/>
            <w:noWrap/>
            <w:vAlign w:val="center"/>
            <w:hideMark/>
          </w:tcPr>
          <w:p w14:paraId="31C5AB8C" w14:textId="2413680E" w:rsidR="00C77669" w:rsidRPr="00CB28DC" w:rsidRDefault="00C77669" w:rsidP="00BA0D27">
            <w:pPr>
              <w:pStyle w:val="TableTextRight"/>
              <w:rPr>
                <w:color w:val="000000"/>
              </w:rPr>
            </w:pPr>
            <w:r>
              <w:rPr>
                <w:color w:val="000000"/>
              </w:rPr>
              <w:t>368</w:t>
            </w:r>
          </w:p>
        </w:tc>
        <w:tc>
          <w:tcPr>
            <w:tcW w:w="0" w:type="auto"/>
            <w:tcBorders>
              <w:top w:val="nil"/>
              <w:left w:val="nil"/>
              <w:bottom w:val="nil"/>
              <w:right w:val="nil"/>
            </w:tcBorders>
            <w:shd w:val="clear" w:color="000000" w:fill="FFFFFF"/>
            <w:noWrap/>
            <w:vAlign w:val="center"/>
            <w:hideMark/>
          </w:tcPr>
          <w:p w14:paraId="0752F427" w14:textId="63924A2B" w:rsidR="00C77669" w:rsidRPr="00CB28DC" w:rsidRDefault="00C77669" w:rsidP="00BA0D27">
            <w:pPr>
              <w:pStyle w:val="TableTextRight"/>
              <w:rPr>
                <w:color w:val="000000"/>
              </w:rPr>
            </w:pPr>
            <w:r>
              <w:rPr>
                <w:color w:val="000000"/>
              </w:rPr>
              <w:t>443</w:t>
            </w:r>
          </w:p>
        </w:tc>
        <w:tc>
          <w:tcPr>
            <w:tcW w:w="0" w:type="auto"/>
            <w:tcBorders>
              <w:top w:val="nil"/>
              <w:left w:val="nil"/>
              <w:bottom w:val="nil"/>
              <w:right w:val="nil"/>
            </w:tcBorders>
            <w:shd w:val="clear" w:color="000000" w:fill="FFFFFF"/>
            <w:noWrap/>
            <w:vAlign w:val="center"/>
            <w:hideMark/>
          </w:tcPr>
          <w:p w14:paraId="146D2AED" w14:textId="35FCB44B" w:rsidR="00C77669" w:rsidRPr="00CB28DC" w:rsidRDefault="00C77669" w:rsidP="00BA0D27">
            <w:pPr>
              <w:pStyle w:val="TableTextRight"/>
              <w:rPr>
                <w:color w:val="000000"/>
              </w:rPr>
            </w:pPr>
            <w:r>
              <w:rPr>
                <w:color w:val="000000"/>
              </w:rPr>
              <w:t>458</w:t>
            </w:r>
          </w:p>
        </w:tc>
        <w:tc>
          <w:tcPr>
            <w:tcW w:w="0" w:type="auto"/>
            <w:tcBorders>
              <w:top w:val="nil"/>
              <w:left w:val="nil"/>
              <w:bottom w:val="nil"/>
              <w:right w:val="nil"/>
            </w:tcBorders>
            <w:shd w:val="clear" w:color="000000" w:fill="FFFFFF"/>
            <w:noWrap/>
            <w:vAlign w:val="center"/>
            <w:hideMark/>
          </w:tcPr>
          <w:p w14:paraId="3B1486C3" w14:textId="46D8490B" w:rsidR="00C77669" w:rsidRPr="00CB28DC" w:rsidRDefault="00C77669" w:rsidP="00BA0D27">
            <w:pPr>
              <w:pStyle w:val="TableTextRight"/>
              <w:rPr>
                <w:color w:val="000000"/>
              </w:rPr>
            </w:pPr>
            <w:r>
              <w:rPr>
                <w:color w:val="000000"/>
              </w:rPr>
              <w:t>492</w:t>
            </w:r>
          </w:p>
        </w:tc>
      </w:tr>
      <w:tr w:rsidR="00C77669" w:rsidRPr="0049073F" w14:paraId="0A05123A" w14:textId="77777777" w:rsidTr="00AA543A">
        <w:trPr>
          <w:trHeight w:val="225"/>
        </w:trPr>
        <w:tc>
          <w:tcPr>
            <w:tcW w:w="0" w:type="auto"/>
            <w:tcBorders>
              <w:top w:val="nil"/>
              <w:left w:val="nil"/>
              <w:bottom w:val="nil"/>
              <w:right w:val="nil"/>
            </w:tcBorders>
            <w:shd w:val="clear" w:color="000000" w:fill="FFFFFF"/>
            <w:noWrap/>
            <w:vAlign w:val="center"/>
            <w:hideMark/>
          </w:tcPr>
          <w:p w14:paraId="3ABF550D" w14:textId="7EB996FF" w:rsidR="00C77669" w:rsidRPr="00CB28DC" w:rsidRDefault="00C77669" w:rsidP="00A24F55">
            <w:pPr>
              <w:pStyle w:val="TableTextLeft"/>
            </w:pPr>
            <w:r>
              <w:t>Fees from regulatory services</w:t>
            </w:r>
          </w:p>
        </w:tc>
        <w:tc>
          <w:tcPr>
            <w:tcW w:w="0" w:type="auto"/>
            <w:tcBorders>
              <w:top w:val="nil"/>
              <w:left w:val="nil"/>
              <w:bottom w:val="single" w:sz="4" w:space="0" w:color="293F5B"/>
              <w:right w:val="nil"/>
            </w:tcBorders>
            <w:shd w:val="clear" w:color="000000" w:fill="FFFFFF"/>
            <w:noWrap/>
            <w:vAlign w:val="center"/>
            <w:hideMark/>
          </w:tcPr>
          <w:p w14:paraId="592E9728" w14:textId="5AE498B5" w:rsidR="00C77669" w:rsidRPr="00CB28DC" w:rsidRDefault="00C77669" w:rsidP="00BA0D27">
            <w:pPr>
              <w:pStyle w:val="TableTextRight"/>
            </w:pPr>
            <w:r>
              <w:t>2,793</w:t>
            </w:r>
          </w:p>
        </w:tc>
        <w:tc>
          <w:tcPr>
            <w:tcW w:w="0" w:type="auto"/>
            <w:tcBorders>
              <w:top w:val="nil"/>
              <w:left w:val="nil"/>
              <w:bottom w:val="single" w:sz="4" w:space="0" w:color="293F5B"/>
              <w:right w:val="nil"/>
            </w:tcBorders>
            <w:shd w:val="clear" w:color="000000" w:fill="E6F2FF"/>
            <w:noWrap/>
            <w:vAlign w:val="center"/>
            <w:hideMark/>
          </w:tcPr>
          <w:p w14:paraId="6B69C5A7" w14:textId="71AE61C0" w:rsidR="00C77669" w:rsidRPr="00CB28DC" w:rsidRDefault="00C77669" w:rsidP="00BA0D27">
            <w:pPr>
              <w:pStyle w:val="TableTextRight"/>
              <w:rPr>
                <w:color w:val="000000"/>
              </w:rPr>
            </w:pPr>
            <w:r>
              <w:rPr>
                <w:color w:val="000000"/>
              </w:rPr>
              <w:t>2,942</w:t>
            </w:r>
          </w:p>
        </w:tc>
        <w:tc>
          <w:tcPr>
            <w:tcW w:w="0" w:type="auto"/>
            <w:tcBorders>
              <w:top w:val="nil"/>
              <w:left w:val="nil"/>
              <w:bottom w:val="single" w:sz="4" w:space="0" w:color="293F5B"/>
              <w:right w:val="nil"/>
            </w:tcBorders>
            <w:shd w:val="clear" w:color="000000" w:fill="FFFFFF"/>
            <w:noWrap/>
            <w:vAlign w:val="center"/>
            <w:hideMark/>
          </w:tcPr>
          <w:p w14:paraId="53D075A1" w14:textId="088DFA23" w:rsidR="00C77669" w:rsidRPr="00CB28DC" w:rsidRDefault="00C77669" w:rsidP="00BA0D27">
            <w:pPr>
              <w:pStyle w:val="TableTextRight"/>
            </w:pPr>
            <w:r>
              <w:t>2,793</w:t>
            </w:r>
          </w:p>
        </w:tc>
        <w:tc>
          <w:tcPr>
            <w:tcW w:w="0" w:type="auto"/>
            <w:tcBorders>
              <w:top w:val="nil"/>
              <w:left w:val="nil"/>
              <w:bottom w:val="single" w:sz="4" w:space="0" w:color="293F5B"/>
              <w:right w:val="nil"/>
            </w:tcBorders>
            <w:shd w:val="clear" w:color="000000" w:fill="FFFFFF"/>
            <w:noWrap/>
            <w:vAlign w:val="center"/>
            <w:hideMark/>
          </w:tcPr>
          <w:p w14:paraId="7F3D72EF" w14:textId="28DB459F" w:rsidR="00C77669" w:rsidRPr="00CB28DC" w:rsidRDefault="00C77669" w:rsidP="00BA0D27">
            <w:pPr>
              <w:pStyle w:val="TableTextRight"/>
            </w:pPr>
            <w:r>
              <w:t>3,047</w:t>
            </w:r>
          </w:p>
        </w:tc>
        <w:tc>
          <w:tcPr>
            <w:tcW w:w="0" w:type="auto"/>
            <w:tcBorders>
              <w:top w:val="nil"/>
              <w:left w:val="nil"/>
              <w:bottom w:val="single" w:sz="4" w:space="0" w:color="293F5B"/>
              <w:right w:val="nil"/>
            </w:tcBorders>
            <w:shd w:val="clear" w:color="000000" w:fill="FFFFFF"/>
            <w:noWrap/>
            <w:vAlign w:val="center"/>
            <w:hideMark/>
          </w:tcPr>
          <w:p w14:paraId="736F25AB" w14:textId="58D79BC8" w:rsidR="00C77669" w:rsidRPr="00CB28DC" w:rsidRDefault="00C77669" w:rsidP="00BA0D27">
            <w:pPr>
              <w:pStyle w:val="TableTextRight"/>
            </w:pPr>
            <w:r>
              <w:t>2,812</w:t>
            </w:r>
          </w:p>
        </w:tc>
      </w:tr>
      <w:tr w:rsidR="00C77669" w:rsidRPr="0049073F" w14:paraId="3E45C02F" w14:textId="77777777" w:rsidTr="00AA543A">
        <w:trPr>
          <w:trHeight w:val="225"/>
        </w:trPr>
        <w:tc>
          <w:tcPr>
            <w:tcW w:w="0" w:type="auto"/>
            <w:tcBorders>
              <w:top w:val="nil"/>
              <w:left w:val="nil"/>
              <w:bottom w:val="single" w:sz="4" w:space="0" w:color="293F5B"/>
              <w:right w:val="nil"/>
            </w:tcBorders>
            <w:shd w:val="clear" w:color="000000" w:fill="FFFFFF"/>
            <w:noWrap/>
            <w:vAlign w:val="center"/>
            <w:hideMark/>
          </w:tcPr>
          <w:p w14:paraId="7F98ED58" w14:textId="2AB8E424" w:rsidR="00C77669" w:rsidRPr="00CB28DC" w:rsidRDefault="00C77669" w:rsidP="00A24F55">
            <w:pPr>
              <w:pStyle w:val="TableTextLeft"/>
              <w:rPr>
                <w:b/>
              </w:rPr>
            </w:pPr>
            <w:r>
              <w:rPr>
                <w:b/>
              </w:rPr>
              <w:t>Total sales of goods and services revenue</w:t>
            </w:r>
          </w:p>
        </w:tc>
        <w:tc>
          <w:tcPr>
            <w:tcW w:w="0" w:type="auto"/>
            <w:tcBorders>
              <w:top w:val="nil"/>
              <w:left w:val="nil"/>
              <w:bottom w:val="single" w:sz="4" w:space="0" w:color="293F5B"/>
              <w:right w:val="nil"/>
            </w:tcBorders>
            <w:shd w:val="clear" w:color="000000" w:fill="FFFFFF"/>
            <w:noWrap/>
            <w:vAlign w:val="center"/>
            <w:hideMark/>
          </w:tcPr>
          <w:p w14:paraId="28D6449A" w14:textId="6AF8FB21" w:rsidR="00C77669" w:rsidRPr="00CB28DC" w:rsidRDefault="00C77669" w:rsidP="00BA0D27">
            <w:pPr>
              <w:pStyle w:val="TableTextRight"/>
              <w:rPr>
                <w:b/>
                <w:color w:val="000000"/>
              </w:rPr>
            </w:pPr>
            <w:r>
              <w:rPr>
                <w:b/>
                <w:color w:val="000000"/>
              </w:rPr>
              <w:t>20,274</w:t>
            </w:r>
          </w:p>
        </w:tc>
        <w:tc>
          <w:tcPr>
            <w:tcW w:w="0" w:type="auto"/>
            <w:tcBorders>
              <w:top w:val="nil"/>
              <w:left w:val="nil"/>
              <w:bottom w:val="single" w:sz="4" w:space="0" w:color="293F5B"/>
              <w:right w:val="nil"/>
            </w:tcBorders>
            <w:shd w:val="clear" w:color="000000" w:fill="E6F2FF"/>
            <w:noWrap/>
            <w:vAlign w:val="center"/>
            <w:hideMark/>
          </w:tcPr>
          <w:p w14:paraId="3F1296B2" w14:textId="2E51268D" w:rsidR="00C77669" w:rsidRPr="00CB28DC" w:rsidRDefault="00C77669" w:rsidP="00BA0D27">
            <w:pPr>
              <w:pStyle w:val="TableTextRight"/>
              <w:rPr>
                <w:b/>
                <w:color w:val="000000"/>
              </w:rPr>
            </w:pPr>
            <w:r>
              <w:rPr>
                <w:b/>
                <w:color w:val="000000"/>
              </w:rPr>
              <w:t>21,636</w:t>
            </w:r>
          </w:p>
        </w:tc>
        <w:tc>
          <w:tcPr>
            <w:tcW w:w="0" w:type="auto"/>
            <w:tcBorders>
              <w:top w:val="nil"/>
              <w:left w:val="nil"/>
              <w:bottom w:val="single" w:sz="4" w:space="0" w:color="293F5B"/>
              <w:right w:val="nil"/>
            </w:tcBorders>
            <w:shd w:val="clear" w:color="000000" w:fill="FFFFFF"/>
            <w:noWrap/>
            <w:vAlign w:val="center"/>
            <w:hideMark/>
          </w:tcPr>
          <w:p w14:paraId="472C00D5" w14:textId="1DAB7352" w:rsidR="00C77669" w:rsidRPr="00CB28DC" w:rsidRDefault="00C77669" w:rsidP="00BA0D27">
            <w:pPr>
              <w:pStyle w:val="TableTextRight"/>
              <w:rPr>
                <w:b/>
                <w:color w:val="000000"/>
              </w:rPr>
            </w:pPr>
            <w:r>
              <w:rPr>
                <w:b/>
                <w:color w:val="000000"/>
              </w:rPr>
              <w:t>22,555</w:t>
            </w:r>
          </w:p>
        </w:tc>
        <w:tc>
          <w:tcPr>
            <w:tcW w:w="0" w:type="auto"/>
            <w:tcBorders>
              <w:top w:val="nil"/>
              <w:left w:val="nil"/>
              <w:bottom w:val="single" w:sz="4" w:space="0" w:color="293F5B"/>
              <w:right w:val="nil"/>
            </w:tcBorders>
            <w:shd w:val="clear" w:color="000000" w:fill="FFFFFF"/>
            <w:noWrap/>
            <w:vAlign w:val="center"/>
            <w:hideMark/>
          </w:tcPr>
          <w:p w14:paraId="7E28C0DE" w14:textId="585692AE" w:rsidR="00C77669" w:rsidRPr="00CB28DC" w:rsidRDefault="00C77669" w:rsidP="00BA0D27">
            <w:pPr>
              <w:pStyle w:val="TableTextRight"/>
              <w:rPr>
                <w:b/>
                <w:color w:val="000000"/>
              </w:rPr>
            </w:pPr>
            <w:r>
              <w:rPr>
                <w:b/>
                <w:color w:val="000000"/>
              </w:rPr>
              <w:t>23,525</w:t>
            </w:r>
          </w:p>
        </w:tc>
        <w:tc>
          <w:tcPr>
            <w:tcW w:w="0" w:type="auto"/>
            <w:tcBorders>
              <w:top w:val="nil"/>
              <w:left w:val="nil"/>
              <w:bottom w:val="single" w:sz="4" w:space="0" w:color="293F5B"/>
              <w:right w:val="nil"/>
            </w:tcBorders>
            <w:shd w:val="clear" w:color="000000" w:fill="FFFFFF"/>
            <w:noWrap/>
            <w:vAlign w:val="center"/>
            <w:hideMark/>
          </w:tcPr>
          <w:p w14:paraId="7C7C0E83" w14:textId="7517A8E4" w:rsidR="00C77669" w:rsidRPr="00CB28DC" w:rsidRDefault="00C77669" w:rsidP="00BA0D27">
            <w:pPr>
              <w:pStyle w:val="TableTextRight"/>
              <w:rPr>
                <w:b/>
                <w:color w:val="000000"/>
              </w:rPr>
            </w:pPr>
            <w:r>
              <w:rPr>
                <w:b/>
                <w:color w:val="000000"/>
              </w:rPr>
              <w:t>23,869</w:t>
            </w:r>
          </w:p>
        </w:tc>
      </w:tr>
    </w:tbl>
    <w:p w14:paraId="15778191" w14:textId="4FA9CCFB" w:rsidR="00D8138E" w:rsidRPr="00663990" w:rsidRDefault="000D0B7D" w:rsidP="00BF0203">
      <w:pPr>
        <w:pStyle w:val="NoteTableHeading"/>
        <w:rPr>
          <w:rFonts w:eastAsiaTheme="minorHAnsi"/>
        </w:rPr>
      </w:pPr>
      <w:r>
        <w:t>Note </w:t>
      </w:r>
      <w:r w:rsidR="00D8138E" w:rsidRPr="00EA746C">
        <w:t>4: Sales of goods and services revenue</w:t>
      </w:r>
    </w:p>
    <w:p w14:paraId="0D7F3B11" w14:textId="75AA5493" w:rsidR="00D8138E" w:rsidRPr="00BF0203" w:rsidRDefault="00D8138E" w:rsidP="00CB355E">
      <w:r w:rsidDel="0049073F">
        <w:br w:type="page"/>
      </w:r>
    </w:p>
    <w:p w14:paraId="6509A9B4" w14:textId="15D4C089" w:rsidR="00D8138E" w:rsidRPr="00663990" w:rsidRDefault="000D0B7D" w:rsidP="00BF0203">
      <w:pPr>
        <w:pStyle w:val="NoteTableHeading"/>
        <w:rPr>
          <w:rFonts w:eastAsiaTheme="minorHAnsi"/>
        </w:rPr>
      </w:pPr>
      <w:r w:rsidRPr="008B505A">
        <w:lastRenderedPageBreak/>
        <w:t>Note </w:t>
      </w:r>
      <w:r w:rsidR="00D8138E" w:rsidRPr="008B505A">
        <w:t>5: Interest and dividend and distribution revenue</w:t>
      </w:r>
    </w:p>
    <w:tbl>
      <w:tblPr>
        <w:tblW w:w="5000" w:type="pct"/>
        <w:tblLayout w:type="fixed"/>
        <w:tblCellMar>
          <w:left w:w="0" w:type="dxa"/>
          <w:right w:w="28" w:type="dxa"/>
        </w:tblCellMar>
        <w:tblLook w:val="04A0" w:firstRow="1" w:lastRow="0" w:firstColumn="1" w:lastColumn="0" w:noHBand="0" w:noVBand="1"/>
      </w:tblPr>
      <w:tblGrid>
        <w:gridCol w:w="3363"/>
        <w:gridCol w:w="842"/>
        <w:gridCol w:w="981"/>
        <w:gridCol w:w="842"/>
        <w:gridCol w:w="280"/>
        <w:gridCol w:w="560"/>
        <w:gridCol w:w="842"/>
      </w:tblGrid>
      <w:tr w:rsidR="009766E9" w:rsidRPr="001D2C8E" w14:paraId="61623672" w14:textId="77777777" w:rsidTr="00B80D97">
        <w:trPr>
          <w:trHeight w:val="225"/>
        </w:trPr>
        <w:tc>
          <w:tcPr>
            <w:tcW w:w="3402" w:type="dxa"/>
            <w:tcBorders>
              <w:top w:val="single" w:sz="4" w:space="0" w:color="293F5B"/>
              <w:left w:val="nil"/>
              <w:bottom w:val="nil"/>
              <w:right w:val="nil"/>
            </w:tcBorders>
            <w:shd w:val="clear" w:color="000000" w:fill="FFFFFF"/>
            <w:noWrap/>
            <w:vAlign w:val="center"/>
            <w:hideMark/>
          </w:tcPr>
          <w:p w14:paraId="7936EEE9" w14:textId="77777777" w:rsidR="001D2C8E" w:rsidRPr="001D2C8E" w:rsidRDefault="001D2C8E" w:rsidP="00107CA0">
            <w:pPr>
              <w:pStyle w:val="TableTextLeft"/>
            </w:pPr>
            <w:r w:rsidRPr="001D2C8E">
              <w:t> </w:t>
            </w:r>
          </w:p>
        </w:tc>
        <w:tc>
          <w:tcPr>
            <w:tcW w:w="4395" w:type="dxa"/>
            <w:gridSpan w:val="6"/>
            <w:tcBorders>
              <w:top w:val="single" w:sz="4" w:space="0" w:color="293F5B"/>
              <w:left w:val="nil"/>
              <w:bottom w:val="single" w:sz="4" w:space="0" w:color="293F5B"/>
              <w:right w:val="nil"/>
            </w:tcBorders>
            <w:shd w:val="clear" w:color="auto" w:fill="auto"/>
            <w:noWrap/>
            <w:vAlign w:val="center"/>
            <w:hideMark/>
          </w:tcPr>
          <w:p w14:paraId="4B784E57" w14:textId="77777777" w:rsidR="001D2C8E" w:rsidRPr="001D2C8E" w:rsidRDefault="001D2C8E" w:rsidP="008F6363">
            <w:pPr>
              <w:pStyle w:val="TableTextCentred"/>
            </w:pPr>
            <w:r w:rsidRPr="001D2C8E">
              <w:t>Estimates</w:t>
            </w:r>
          </w:p>
        </w:tc>
      </w:tr>
      <w:tr w:rsidR="003B41A7" w:rsidRPr="001D2C8E" w14:paraId="67460CD5" w14:textId="77777777" w:rsidTr="00B80D97">
        <w:trPr>
          <w:trHeight w:val="225"/>
        </w:trPr>
        <w:tc>
          <w:tcPr>
            <w:tcW w:w="3402" w:type="dxa"/>
            <w:tcBorders>
              <w:top w:val="nil"/>
              <w:left w:val="nil"/>
              <w:bottom w:val="nil"/>
              <w:right w:val="nil"/>
            </w:tcBorders>
            <w:shd w:val="clear" w:color="000000" w:fill="FFFFFF"/>
            <w:noWrap/>
            <w:vAlign w:val="center"/>
            <w:hideMark/>
          </w:tcPr>
          <w:p w14:paraId="0FCFA143" w14:textId="77777777" w:rsidR="001D2C8E" w:rsidRPr="001D2C8E" w:rsidRDefault="001D2C8E" w:rsidP="00107CA0">
            <w:pPr>
              <w:pStyle w:val="TableTextLeft"/>
            </w:pPr>
            <w:r w:rsidRPr="001D2C8E">
              <w:t> </w:t>
            </w:r>
          </w:p>
        </w:tc>
        <w:tc>
          <w:tcPr>
            <w:tcW w:w="851" w:type="dxa"/>
            <w:tcBorders>
              <w:top w:val="nil"/>
              <w:left w:val="nil"/>
              <w:bottom w:val="nil"/>
              <w:right w:val="nil"/>
            </w:tcBorders>
            <w:shd w:val="clear" w:color="000000" w:fill="FFFFFF"/>
            <w:noWrap/>
            <w:vAlign w:val="center"/>
            <w:hideMark/>
          </w:tcPr>
          <w:p w14:paraId="2B6A45C2" w14:textId="11E61201" w:rsidR="001D2C8E" w:rsidRPr="001D2C8E" w:rsidRDefault="001D2C8E" w:rsidP="008F6363">
            <w:pPr>
              <w:pStyle w:val="TableTextRight"/>
            </w:pPr>
            <w:r w:rsidRPr="001D2C8E">
              <w:t>2023</w:t>
            </w:r>
            <w:r w:rsidR="00325E1E">
              <w:noBreakHyphen/>
            </w:r>
            <w:r w:rsidRPr="001D2C8E">
              <w:t>24</w:t>
            </w:r>
          </w:p>
        </w:tc>
        <w:tc>
          <w:tcPr>
            <w:tcW w:w="992" w:type="dxa"/>
            <w:tcBorders>
              <w:top w:val="nil"/>
              <w:left w:val="nil"/>
              <w:bottom w:val="nil"/>
              <w:right w:val="nil"/>
            </w:tcBorders>
            <w:shd w:val="clear" w:color="000000" w:fill="E6F2FF"/>
            <w:noWrap/>
            <w:vAlign w:val="center"/>
            <w:hideMark/>
          </w:tcPr>
          <w:p w14:paraId="2702E2B8" w14:textId="303AE6EA" w:rsidR="001D2C8E" w:rsidRPr="001D2C8E" w:rsidRDefault="001D2C8E" w:rsidP="008F6363">
            <w:pPr>
              <w:pStyle w:val="TableTextRight"/>
            </w:pPr>
            <w:r w:rsidRPr="001D2C8E">
              <w:t>2024</w:t>
            </w:r>
            <w:r w:rsidR="00325E1E">
              <w:noBreakHyphen/>
            </w:r>
            <w:r w:rsidRPr="001D2C8E">
              <w:t>25</w:t>
            </w:r>
          </w:p>
        </w:tc>
        <w:tc>
          <w:tcPr>
            <w:tcW w:w="851" w:type="dxa"/>
            <w:tcBorders>
              <w:top w:val="nil"/>
              <w:left w:val="nil"/>
              <w:bottom w:val="nil"/>
              <w:right w:val="nil"/>
            </w:tcBorders>
            <w:shd w:val="clear" w:color="000000" w:fill="FFFFFF"/>
            <w:noWrap/>
            <w:vAlign w:val="center"/>
            <w:hideMark/>
          </w:tcPr>
          <w:p w14:paraId="34C06C02" w14:textId="0983CF5B" w:rsidR="001D2C8E" w:rsidRPr="001D2C8E" w:rsidRDefault="001D2C8E" w:rsidP="008F6363">
            <w:pPr>
              <w:pStyle w:val="TableTextRight"/>
            </w:pPr>
            <w:r w:rsidRPr="001D2C8E">
              <w:t>2025</w:t>
            </w:r>
            <w:r w:rsidR="00325E1E">
              <w:noBreakHyphen/>
            </w:r>
            <w:r w:rsidRPr="001D2C8E">
              <w:t>26</w:t>
            </w:r>
          </w:p>
        </w:tc>
        <w:tc>
          <w:tcPr>
            <w:tcW w:w="850" w:type="dxa"/>
            <w:gridSpan w:val="2"/>
            <w:tcBorders>
              <w:top w:val="nil"/>
              <w:left w:val="nil"/>
              <w:bottom w:val="nil"/>
              <w:right w:val="nil"/>
            </w:tcBorders>
            <w:shd w:val="clear" w:color="000000" w:fill="FFFFFF"/>
            <w:noWrap/>
            <w:vAlign w:val="center"/>
            <w:hideMark/>
          </w:tcPr>
          <w:p w14:paraId="54FC6749" w14:textId="17598C57" w:rsidR="001D2C8E" w:rsidRPr="001D2C8E" w:rsidRDefault="001D2C8E" w:rsidP="008F6363">
            <w:pPr>
              <w:pStyle w:val="TableTextRight"/>
            </w:pPr>
            <w:r w:rsidRPr="001D2C8E">
              <w:t>2026</w:t>
            </w:r>
            <w:r w:rsidR="00325E1E">
              <w:noBreakHyphen/>
            </w:r>
            <w:r w:rsidRPr="001D2C8E">
              <w:t>27</w:t>
            </w:r>
          </w:p>
        </w:tc>
        <w:tc>
          <w:tcPr>
            <w:tcW w:w="851" w:type="dxa"/>
            <w:tcBorders>
              <w:top w:val="nil"/>
              <w:left w:val="nil"/>
              <w:bottom w:val="nil"/>
              <w:right w:val="nil"/>
            </w:tcBorders>
            <w:shd w:val="clear" w:color="000000" w:fill="FFFFFF"/>
            <w:noWrap/>
            <w:vAlign w:val="center"/>
            <w:hideMark/>
          </w:tcPr>
          <w:p w14:paraId="72133E33" w14:textId="2AD7CFAA" w:rsidR="001D2C8E" w:rsidRPr="001D2C8E" w:rsidRDefault="001D2C8E" w:rsidP="008F6363">
            <w:pPr>
              <w:pStyle w:val="TableTextRight"/>
              <w:rPr>
                <w:color w:val="000000"/>
              </w:rPr>
            </w:pPr>
            <w:r w:rsidRPr="001D2C8E">
              <w:rPr>
                <w:color w:val="000000"/>
              </w:rPr>
              <w:t>2027</w:t>
            </w:r>
            <w:r w:rsidR="00325E1E">
              <w:rPr>
                <w:color w:val="000000"/>
              </w:rPr>
              <w:noBreakHyphen/>
            </w:r>
            <w:r w:rsidRPr="001D2C8E">
              <w:rPr>
                <w:color w:val="000000"/>
              </w:rPr>
              <w:t>28</w:t>
            </w:r>
          </w:p>
        </w:tc>
      </w:tr>
      <w:tr w:rsidR="003B41A7" w:rsidRPr="001D2C8E" w14:paraId="4CF2DF6D" w14:textId="77777777" w:rsidTr="00B80D97">
        <w:trPr>
          <w:trHeight w:val="225"/>
        </w:trPr>
        <w:tc>
          <w:tcPr>
            <w:tcW w:w="3402" w:type="dxa"/>
            <w:tcBorders>
              <w:top w:val="nil"/>
              <w:left w:val="nil"/>
              <w:bottom w:val="nil"/>
              <w:right w:val="nil"/>
            </w:tcBorders>
            <w:shd w:val="clear" w:color="000000" w:fill="FFFFFF"/>
            <w:noWrap/>
            <w:vAlign w:val="center"/>
            <w:hideMark/>
          </w:tcPr>
          <w:p w14:paraId="05672D36" w14:textId="77777777" w:rsidR="001D2C8E" w:rsidRPr="001D2C8E" w:rsidRDefault="001D2C8E" w:rsidP="00107CA0">
            <w:pPr>
              <w:pStyle w:val="TableTextLeft"/>
            </w:pPr>
            <w:r w:rsidRPr="001D2C8E">
              <w:t> </w:t>
            </w:r>
          </w:p>
        </w:tc>
        <w:tc>
          <w:tcPr>
            <w:tcW w:w="851" w:type="dxa"/>
            <w:tcBorders>
              <w:top w:val="nil"/>
              <w:left w:val="nil"/>
              <w:bottom w:val="single" w:sz="4" w:space="0" w:color="293F5B"/>
              <w:right w:val="nil"/>
            </w:tcBorders>
            <w:shd w:val="clear" w:color="000000" w:fill="FFFFFF"/>
            <w:noWrap/>
            <w:vAlign w:val="center"/>
            <w:hideMark/>
          </w:tcPr>
          <w:p w14:paraId="623E1E52" w14:textId="77777777" w:rsidR="001D2C8E" w:rsidRPr="001D2C8E" w:rsidRDefault="001D2C8E" w:rsidP="008F6363">
            <w:pPr>
              <w:pStyle w:val="TableTextRight"/>
              <w:rPr>
                <w:color w:val="000000"/>
              </w:rPr>
            </w:pPr>
            <w:r w:rsidRPr="001D2C8E">
              <w:rPr>
                <w:color w:val="000000"/>
              </w:rPr>
              <w:t>$m</w:t>
            </w:r>
          </w:p>
        </w:tc>
        <w:tc>
          <w:tcPr>
            <w:tcW w:w="992" w:type="dxa"/>
            <w:tcBorders>
              <w:top w:val="nil"/>
              <w:left w:val="nil"/>
              <w:bottom w:val="single" w:sz="4" w:space="0" w:color="293F5B"/>
              <w:right w:val="nil"/>
            </w:tcBorders>
            <w:shd w:val="clear" w:color="000000" w:fill="E6F2FF"/>
            <w:noWrap/>
            <w:vAlign w:val="center"/>
            <w:hideMark/>
          </w:tcPr>
          <w:p w14:paraId="041E285A" w14:textId="77777777" w:rsidR="001D2C8E" w:rsidRPr="001D2C8E" w:rsidRDefault="001D2C8E" w:rsidP="008F6363">
            <w:pPr>
              <w:pStyle w:val="TableTextRight"/>
              <w:rPr>
                <w:color w:val="000000"/>
              </w:rPr>
            </w:pPr>
            <w:r w:rsidRPr="001D2C8E">
              <w:rPr>
                <w:color w:val="000000"/>
              </w:rPr>
              <w:t>$m</w:t>
            </w:r>
          </w:p>
        </w:tc>
        <w:tc>
          <w:tcPr>
            <w:tcW w:w="851" w:type="dxa"/>
            <w:tcBorders>
              <w:top w:val="nil"/>
              <w:left w:val="nil"/>
              <w:bottom w:val="single" w:sz="4" w:space="0" w:color="293F5B"/>
              <w:right w:val="nil"/>
            </w:tcBorders>
            <w:shd w:val="clear" w:color="000000" w:fill="FFFFFF"/>
            <w:noWrap/>
            <w:vAlign w:val="center"/>
            <w:hideMark/>
          </w:tcPr>
          <w:p w14:paraId="13FEC224" w14:textId="77777777" w:rsidR="001D2C8E" w:rsidRPr="001D2C8E" w:rsidRDefault="001D2C8E" w:rsidP="008F6363">
            <w:pPr>
              <w:pStyle w:val="TableTextRight"/>
              <w:rPr>
                <w:color w:val="000000"/>
              </w:rPr>
            </w:pPr>
            <w:r w:rsidRPr="001D2C8E">
              <w:rPr>
                <w:color w:val="000000"/>
              </w:rPr>
              <w:t>$m</w:t>
            </w:r>
          </w:p>
        </w:tc>
        <w:tc>
          <w:tcPr>
            <w:tcW w:w="850" w:type="dxa"/>
            <w:gridSpan w:val="2"/>
            <w:tcBorders>
              <w:top w:val="nil"/>
              <w:left w:val="nil"/>
              <w:bottom w:val="single" w:sz="4" w:space="0" w:color="293F5B"/>
              <w:right w:val="nil"/>
            </w:tcBorders>
            <w:shd w:val="clear" w:color="000000" w:fill="FFFFFF"/>
            <w:noWrap/>
            <w:vAlign w:val="center"/>
            <w:hideMark/>
          </w:tcPr>
          <w:p w14:paraId="2F6A9075" w14:textId="77777777" w:rsidR="001D2C8E" w:rsidRPr="001D2C8E" w:rsidRDefault="001D2C8E" w:rsidP="008F6363">
            <w:pPr>
              <w:pStyle w:val="TableTextRight"/>
              <w:rPr>
                <w:color w:val="000000"/>
              </w:rPr>
            </w:pPr>
            <w:r w:rsidRPr="001D2C8E">
              <w:rPr>
                <w:color w:val="000000"/>
              </w:rPr>
              <w:t>$m</w:t>
            </w:r>
          </w:p>
        </w:tc>
        <w:tc>
          <w:tcPr>
            <w:tcW w:w="851" w:type="dxa"/>
            <w:tcBorders>
              <w:top w:val="nil"/>
              <w:left w:val="nil"/>
              <w:bottom w:val="single" w:sz="4" w:space="0" w:color="293F5B"/>
              <w:right w:val="nil"/>
            </w:tcBorders>
            <w:shd w:val="clear" w:color="000000" w:fill="FFFFFF"/>
            <w:noWrap/>
            <w:vAlign w:val="center"/>
            <w:hideMark/>
          </w:tcPr>
          <w:p w14:paraId="2634A6E1" w14:textId="77777777" w:rsidR="001D2C8E" w:rsidRPr="001D2C8E" w:rsidRDefault="001D2C8E" w:rsidP="008F6363">
            <w:pPr>
              <w:pStyle w:val="TableTextRight"/>
              <w:rPr>
                <w:color w:val="000000"/>
              </w:rPr>
            </w:pPr>
            <w:r w:rsidRPr="001D2C8E">
              <w:rPr>
                <w:color w:val="000000"/>
              </w:rPr>
              <w:t>$m</w:t>
            </w:r>
          </w:p>
        </w:tc>
      </w:tr>
      <w:tr w:rsidR="003B41A7" w:rsidRPr="001D2C8E" w14:paraId="04BBD6C7" w14:textId="77777777" w:rsidTr="00B80D97">
        <w:trPr>
          <w:trHeight w:val="225"/>
        </w:trPr>
        <w:tc>
          <w:tcPr>
            <w:tcW w:w="3402" w:type="dxa"/>
            <w:tcBorders>
              <w:top w:val="nil"/>
              <w:left w:val="nil"/>
              <w:bottom w:val="nil"/>
              <w:right w:val="nil"/>
            </w:tcBorders>
            <w:shd w:val="clear" w:color="000000" w:fill="FFFFFF"/>
            <w:noWrap/>
            <w:vAlign w:val="center"/>
            <w:hideMark/>
          </w:tcPr>
          <w:p w14:paraId="1C7242B3" w14:textId="77BB6F30" w:rsidR="001D2C8E" w:rsidRPr="001D2C8E" w:rsidRDefault="001D2C8E" w:rsidP="00107CA0">
            <w:pPr>
              <w:pStyle w:val="TableTextLeft"/>
              <w:rPr>
                <w:b/>
              </w:rPr>
            </w:pPr>
            <w:r w:rsidRPr="001D2C8E">
              <w:rPr>
                <w:b/>
              </w:rPr>
              <w:t>Interest from other governments</w:t>
            </w:r>
          </w:p>
        </w:tc>
        <w:tc>
          <w:tcPr>
            <w:tcW w:w="851" w:type="dxa"/>
            <w:tcBorders>
              <w:top w:val="nil"/>
              <w:left w:val="nil"/>
              <w:bottom w:val="nil"/>
              <w:right w:val="nil"/>
            </w:tcBorders>
            <w:shd w:val="clear" w:color="000000" w:fill="FFFFFF"/>
            <w:noWrap/>
            <w:vAlign w:val="center"/>
            <w:hideMark/>
          </w:tcPr>
          <w:p w14:paraId="6675884B" w14:textId="77777777" w:rsidR="001D2C8E" w:rsidRPr="001D2C8E" w:rsidRDefault="001D2C8E" w:rsidP="008F6363">
            <w:pPr>
              <w:pStyle w:val="TableTextRight"/>
              <w:rPr>
                <w:color w:val="000000"/>
              </w:rPr>
            </w:pPr>
            <w:r w:rsidRPr="001D2C8E">
              <w:rPr>
                <w:color w:val="000000"/>
              </w:rPr>
              <w:t> </w:t>
            </w:r>
          </w:p>
        </w:tc>
        <w:tc>
          <w:tcPr>
            <w:tcW w:w="992" w:type="dxa"/>
            <w:tcBorders>
              <w:top w:val="nil"/>
              <w:left w:val="nil"/>
              <w:bottom w:val="nil"/>
              <w:right w:val="nil"/>
            </w:tcBorders>
            <w:shd w:val="clear" w:color="000000" w:fill="E6F2FF"/>
            <w:noWrap/>
            <w:vAlign w:val="center"/>
            <w:hideMark/>
          </w:tcPr>
          <w:p w14:paraId="45FA9916"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39CFB3CA" w14:textId="77777777" w:rsidR="001D2C8E" w:rsidRPr="001D2C8E" w:rsidRDefault="001D2C8E" w:rsidP="008F6363">
            <w:pPr>
              <w:pStyle w:val="TableTextRight"/>
              <w:rPr>
                <w:color w:val="000000"/>
              </w:rPr>
            </w:pPr>
            <w:r w:rsidRPr="001D2C8E">
              <w:rPr>
                <w:color w:val="000000"/>
              </w:rPr>
              <w:t> </w:t>
            </w:r>
          </w:p>
        </w:tc>
        <w:tc>
          <w:tcPr>
            <w:tcW w:w="283" w:type="dxa"/>
            <w:tcBorders>
              <w:top w:val="nil"/>
              <w:left w:val="nil"/>
              <w:bottom w:val="nil"/>
              <w:right w:val="nil"/>
            </w:tcBorders>
            <w:shd w:val="clear" w:color="000000" w:fill="FFFFFF"/>
            <w:noWrap/>
            <w:vAlign w:val="center"/>
            <w:hideMark/>
          </w:tcPr>
          <w:p w14:paraId="70311B34" w14:textId="77777777" w:rsidR="001D2C8E" w:rsidRPr="001D2C8E" w:rsidRDefault="001D2C8E" w:rsidP="008F6363">
            <w:pPr>
              <w:pStyle w:val="TableTextRight"/>
              <w:rPr>
                <w:color w:val="000000"/>
              </w:rPr>
            </w:pPr>
            <w:r w:rsidRPr="001D2C8E">
              <w:rPr>
                <w:color w:val="000000"/>
              </w:rPr>
              <w:t> </w:t>
            </w:r>
          </w:p>
        </w:tc>
        <w:tc>
          <w:tcPr>
            <w:tcW w:w="1418" w:type="dxa"/>
            <w:gridSpan w:val="2"/>
            <w:tcBorders>
              <w:top w:val="nil"/>
              <w:left w:val="nil"/>
              <w:bottom w:val="nil"/>
              <w:right w:val="nil"/>
            </w:tcBorders>
            <w:shd w:val="clear" w:color="000000" w:fill="FFFFFF"/>
            <w:noWrap/>
            <w:vAlign w:val="center"/>
            <w:hideMark/>
          </w:tcPr>
          <w:p w14:paraId="26ED9D64" w14:textId="77777777" w:rsidR="001D2C8E" w:rsidRPr="001D2C8E" w:rsidRDefault="001D2C8E" w:rsidP="008F6363">
            <w:pPr>
              <w:pStyle w:val="TableTextRight"/>
              <w:rPr>
                <w:color w:val="000000"/>
              </w:rPr>
            </w:pPr>
            <w:r w:rsidRPr="001D2C8E">
              <w:rPr>
                <w:color w:val="000000"/>
              </w:rPr>
              <w:t> </w:t>
            </w:r>
          </w:p>
        </w:tc>
      </w:tr>
      <w:tr w:rsidR="006474F6" w:rsidRPr="001D2C8E" w14:paraId="58DC198B" w14:textId="77777777" w:rsidTr="00B80D97">
        <w:trPr>
          <w:trHeight w:val="225"/>
        </w:trPr>
        <w:tc>
          <w:tcPr>
            <w:tcW w:w="3402" w:type="dxa"/>
            <w:tcBorders>
              <w:top w:val="nil"/>
              <w:left w:val="nil"/>
              <w:bottom w:val="nil"/>
              <w:right w:val="nil"/>
            </w:tcBorders>
            <w:shd w:val="clear" w:color="000000" w:fill="FFFFFF"/>
            <w:noWrap/>
            <w:vAlign w:val="center"/>
            <w:hideMark/>
          </w:tcPr>
          <w:p w14:paraId="352B54C7" w14:textId="77777777" w:rsidR="006474F6" w:rsidRPr="001D2C8E" w:rsidRDefault="006474F6" w:rsidP="00107CA0">
            <w:pPr>
              <w:pStyle w:val="TableTextIndented"/>
            </w:pPr>
            <w:r w:rsidRPr="001D2C8E">
              <w:t>State and territory debt</w:t>
            </w:r>
          </w:p>
        </w:tc>
        <w:tc>
          <w:tcPr>
            <w:tcW w:w="851" w:type="dxa"/>
            <w:tcBorders>
              <w:top w:val="nil"/>
              <w:left w:val="nil"/>
              <w:bottom w:val="nil"/>
              <w:right w:val="nil"/>
            </w:tcBorders>
            <w:shd w:val="clear" w:color="000000" w:fill="FFFFFF"/>
            <w:noWrap/>
            <w:vAlign w:val="center"/>
            <w:hideMark/>
          </w:tcPr>
          <w:p w14:paraId="5A6030E1" w14:textId="06D9BF7A" w:rsidR="006474F6" w:rsidRPr="001D2C8E" w:rsidRDefault="006474F6" w:rsidP="008F6363">
            <w:pPr>
              <w:pStyle w:val="TableTextRight"/>
              <w:rPr>
                <w:color w:val="000000"/>
              </w:rPr>
            </w:pPr>
            <w:r>
              <w:rPr>
                <w:color w:val="000000"/>
              </w:rPr>
              <w:t>15</w:t>
            </w:r>
          </w:p>
        </w:tc>
        <w:tc>
          <w:tcPr>
            <w:tcW w:w="992" w:type="dxa"/>
            <w:tcBorders>
              <w:top w:val="nil"/>
              <w:left w:val="nil"/>
              <w:bottom w:val="nil"/>
              <w:right w:val="nil"/>
            </w:tcBorders>
            <w:shd w:val="clear" w:color="000000" w:fill="E6F2FF"/>
            <w:noWrap/>
            <w:vAlign w:val="center"/>
            <w:hideMark/>
          </w:tcPr>
          <w:p w14:paraId="374018BB" w14:textId="346EB559" w:rsidR="006474F6" w:rsidRPr="001D2C8E" w:rsidRDefault="006474F6" w:rsidP="008F6363">
            <w:pPr>
              <w:pStyle w:val="TableTextRight"/>
              <w:rPr>
                <w:color w:val="000000"/>
              </w:rPr>
            </w:pPr>
            <w:r>
              <w:rPr>
                <w:color w:val="000000"/>
              </w:rPr>
              <w:t>11</w:t>
            </w:r>
          </w:p>
        </w:tc>
        <w:tc>
          <w:tcPr>
            <w:tcW w:w="851" w:type="dxa"/>
            <w:tcBorders>
              <w:top w:val="nil"/>
              <w:left w:val="nil"/>
              <w:bottom w:val="nil"/>
              <w:right w:val="nil"/>
            </w:tcBorders>
            <w:shd w:val="clear" w:color="000000" w:fill="FFFFFF"/>
            <w:noWrap/>
            <w:vAlign w:val="center"/>
            <w:hideMark/>
          </w:tcPr>
          <w:p w14:paraId="3101947A" w14:textId="485AF59F" w:rsidR="006474F6" w:rsidRPr="001D2C8E" w:rsidRDefault="006474F6" w:rsidP="008F6363">
            <w:pPr>
              <w:pStyle w:val="TableTextRight"/>
              <w:rPr>
                <w:color w:val="000000"/>
              </w:rPr>
            </w:pPr>
            <w:r>
              <w:rPr>
                <w:color w:val="000000"/>
              </w:rPr>
              <w:t>10</w:t>
            </w:r>
          </w:p>
        </w:tc>
        <w:tc>
          <w:tcPr>
            <w:tcW w:w="850" w:type="dxa"/>
            <w:gridSpan w:val="2"/>
            <w:tcBorders>
              <w:top w:val="nil"/>
              <w:left w:val="nil"/>
              <w:bottom w:val="nil"/>
              <w:right w:val="nil"/>
            </w:tcBorders>
            <w:shd w:val="clear" w:color="000000" w:fill="FFFFFF"/>
            <w:noWrap/>
            <w:vAlign w:val="center"/>
            <w:hideMark/>
          </w:tcPr>
          <w:p w14:paraId="24A9DE4B" w14:textId="2B2DD315" w:rsidR="006474F6" w:rsidRPr="001D2C8E" w:rsidRDefault="006474F6" w:rsidP="008F6363">
            <w:pPr>
              <w:pStyle w:val="TableTextRight"/>
              <w:rPr>
                <w:color w:val="000000"/>
              </w:rPr>
            </w:pPr>
            <w:r>
              <w:rPr>
                <w:color w:val="000000"/>
              </w:rPr>
              <w:t>8</w:t>
            </w:r>
          </w:p>
        </w:tc>
        <w:tc>
          <w:tcPr>
            <w:tcW w:w="851" w:type="dxa"/>
            <w:tcBorders>
              <w:top w:val="nil"/>
              <w:left w:val="nil"/>
              <w:bottom w:val="nil"/>
              <w:right w:val="nil"/>
            </w:tcBorders>
            <w:shd w:val="clear" w:color="000000" w:fill="FFFFFF"/>
            <w:noWrap/>
            <w:vAlign w:val="center"/>
            <w:hideMark/>
          </w:tcPr>
          <w:p w14:paraId="23C1B226" w14:textId="77F4A1FD" w:rsidR="006474F6" w:rsidRPr="001D2C8E" w:rsidRDefault="006474F6" w:rsidP="008F6363">
            <w:pPr>
              <w:pStyle w:val="TableTextRight"/>
              <w:rPr>
                <w:color w:val="000000"/>
              </w:rPr>
            </w:pPr>
            <w:r>
              <w:rPr>
                <w:color w:val="000000"/>
              </w:rPr>
              <w:t>4</w:t>
            </w:r>
          </w:p>
        </w:tc>
      </w:tr>
      <w:tr w:rsidR="006474F6" w:rsidRPr="001D2C8E" w14:paraId="641830C6" w14:textId="77777777" w:rsidTr="00B80D97">
        <w:trPr>
          <w:trHeight w:val="225"/>
        </w:trPr>
        <w:tc>
          <w:tcPr>
            <w:tcW w:w="3402" w:type="dxa"/>
            <w:tcBorders>
              <w:top w:val="nil"/>
              <w:left w:val="nil"/>
              <w:bottom w:val="nil"/>
              <w:right w:val="nil"/>
            </w:tcBorders>
            <w:shd w:val="clear" w:color="000000" w:fill="FFFFFF"/>
            <w:noWrap/>
            <w:vAlign w:val="center"/>
            <w:hideMark/>
          </w:tcPr>
          <w:p w14:paraId="0ECCDD1D" w14:textId="77777777" w:rsidR="006474F6" w:rsidRPr="001D2C8E" w:rsidRDefault="006474F6" w:rsidP="00107CA0">
            <w:pPr>
              <w:pStyle w:val="TableTextIndented"/>
            </w:pPr>
            <w:r w:rsidRPr="001D2C8E">
              <w:t>Housing agreements</w:t>
            </w:r>
          </w:p>
        </w:tc>
        <w:tc>
          <w:tcPr>
            <w:tcW w:w="851" w:type="dxa"/>
            <w:tcBorders>
              <w:top w:val="nil"/>
              <w:left w:val="nil"/>
              <w:bottom w:val="nil"/>
              <w:right w:val="nil"/>
            </w:tcBorders>
            <w:shd w:val="clear" w:color="000000" w:fill="FFFFFF"/>
            <w:noWrap/>
            <w:vAlign w:val="center"/>
            <w:hideMark/>
          </w:tcPr>
          <w:p w14:paraId="644B5F6D" w14:textId="71C8F179" w:rsidR="006474F6" w:rsidRPr="001D2C8E" w:rsidRDefault="006474F6" w:rsidP="008F6363">
            <w:pPr>
              <w:pStyle w:val="TableTextRight"/>
              <w:rPr>
                <w:color w:val="000000"/>
              </w:rPr>
            </w:pPr>
            <w:r>
              <w:rPr>
                <w:color w:val="000000"/>
              </w:rPr>
              <w:t>67</w:t>
            </w:r>
          </w:p>
        </w:tc>
        <w:tc>
          <w:tcPr>
            <w:tcW w:w="992" w:type="dxa"/>
            <w:tcBorders>
              <w:top w:val="nil"/>
              <w:left w:val="nil"/>
              <w:bottom w:val="nil"/>
              <w:right w:val="nil"/>
            </w:tcBorders>
            <w:shd w:val="clear" w:color="000000" w:fill="E6F2FF"/>
            <w:noWrap/>
            <w:vAlign w:val="center"/>
            <w:hideMark/>
          </w:tcPr>
          <w:p w14:paraId="3A98B3C9" w14:textId="11C4E4CE" w:rsidR="006474F6" w:rsidRPr="001D2C8E" w:rsidRDefault="006474F6" w:rsidP="008F6363">
            <w:pPr>
              <w:pStyle w:val="TableTextRight"/>
              <w:rPr>
                <w:color w:val="000000"/>
              </w:rPr>
            </w:pPr>
            <w:r>
              <w:rPr>
                <w:color w:val="000000"/>
              </w:rPr>
              <w:t>62</w:t>
            </w:r>
          </w:p>
        </w:tc>
        <w:tc>
          <w:tcPr>
            <w:tcW w:w="851" w:type="dxa"/>
            <w:tcBorders>
              <w:top w:val="nil"/>
              <w:left w:val="nil"/>
              <w:bottom w:val="nil"/>
              <w:right w:val="nil"/>
            </w:tcBorders>
            <w:shd w:val="clear" w:color="000000" w:fill="FFFFFF"/>
            <w:noWrap/>
            <w:vAlign w:val="center"/>
            <w:hideMark/>
          </w:tcPr>
          <w:p w14:paraId="0F360209" w14:textId="5BF44EB6" w:rsidR="006474F6" w:rsidRPr="001D2C8E" w:rsidRDefault="006474F6" w:rsidP="008F6363">
            <w:pPr>
              <w:pStyle w:val="TableTextRight"/>
              <w:rPr>
                <w:color w:val="000000"/>
              </w:rPr>
            </w:pPr>
            <w:r>
              <w:rPr>
                <w:color w:val="000000"/>
              </w:rPr>
              <w:t>57</w:t>
            </w:r>
          </w:p>
        </w:tc>
        <w:tc>
          <w:tcPr>
            <w:tcW w:w="850" w:type="dxa"/>
            <w:gridSpan w:val="2"/>
            <w:tcBorders>
              <w:top w:val="nil"/>
              <w:left w:val="nil"/>
              <w:bottom w:val="nil"/>
              <w:right w:val="nil"/>
            </w:tcBorders>
            <w:shd w:val="clear" w:color="000000" w:fill="FFFFFF"/>
            <w:noWrap/>
            <w:vAlign w:val="center"/>
            <w:hideMark/>
          </w:tcPr>
          <w:p w14:paraId="25F8C8D8" w14:textId="2F502EFB" w:rsidR="006474F6" w:rsidRPr="001D2C8E" w:rsidRDefault="006474F6" w:rsidP="008F6363">
            <w:pPr>
              <w:pStyle w:val="TableTextRight"/>
              <w:rPr>
                <w:color w:val="000000"/>
              </w:rPr>
            </w:pPr>
            <w:r>
              <w:rPr>
                <w:color w:val="000000"/>
              </w:rPr>
              <w:t>53</w:t>
            </w:r>
          </w:p>
        </w:tc>
        <w:tc>
          <w:tcPr>
            <w:tcW w:w="851" w:type="dxa"/>
            <w:tcBorders>
              <w:top w:val="nil"/>
              <w:left w:val="nil"/>
              <w:bottom w:val="nil"/>
              <w:right w:val="nil"/>
            </w:tcBorders>
            <w:shd w:val="clear" w:color="000000" w:fill="FFFFFF"/>
            <w:noWrap/>
            <w:vAlign w:val="center"/>
            <w:hideMark/>
          </w:tcPr>
          <w:p w14:paraId="543DDB70" w14:textId="20791913" w:rsidR="006474F6" w:rsidRPr="001D2C8E" w:rsidRDefault="006474F6" w:rsidP="008F6363">
            <w:pPr>
              <w:pStyle w:val="TableTextRight"/>
              <w:rPr>
                <w:color w:val="000000"/>
              </w:rPr>
            </w:pPr>
            <w:r>
              <w:rPr>
                <w:color w:val="000000"/>
              </w:rPr>
              <w:t>48</w:t>
            </w:r>
          </w:p>
        </w:tc>
      </w:tr>
      <w:tr w:rsidR="006474F6" w:rsidRPr="001D2C8E" w14:paraId="7B18253F" w14:textId="77777777" w:rsidTr="00B80D97">
        <w:trPr>
          <w:trHeight w:val="225"/>
        </w:trPr>
        <w:tc>
          <w:tcPr>
            <w:tcW w:w="3402" w:type="dxa"/>
            <w:tcBorders>
              <w:top w:val="nil"/>
              <w:left w:val="nil"/>
              <w:bottom w:val="nil"/>
              <w:right w:val="nil"/>
            </w:tcBorders>
            <w:shd w:val="clear" w:color="000000" w:fill="FFFFFF"/>
            <w:noWrap/>
            <w:vAlign w:val="center"/>
            <w:hideMark/>
          </w:tcPr>
          <w:p w14:paraId="0F141B03" w14:textId="77777777" w:rsidR="006474F6" w:rsidRPr="001D2C8E" w:rsidRDefault="006474F6" w:rsidP="00107CA0">
            <w:pPr>
              <w:pStyle w:val="TableTextLeft"/>
              <w:rPr>
                <w:b/>
              </w:rPr>
            </w:pPr>
            <w:r w:rsidRPr="001D2C8E">
              <w:rPr>
                <w:b/>
              </w:rPr>
              <w:t>Total interest from other governments</w:t>
            </w:r>
          </w:p>
        </w:tc>
        <w:tc>
          <w:tcPr>
            <w:tcW w:w="851" w:type="dxa"/>
            <w:tcBorders>
              <w:top w:val="nil"/>
              <w:left w:val="nil"/>
              <w:bottom w:val="nil"/>
              <w:right w:val="nil"/>
            </w:tcBorders>
            <w:shd w:val="clear" w:color="000000" w:fill="FFFFFF"/>
            <w:noWrap/>
            <w:vAlign w:val="center"/>
            <w:hideMark/>
          </w:tcPr>
          <w:p w14:paraId="115CF7F7" w14:textId="4E5A5DA8" w:rsidR="006474F6" w:rsidRPr="001D2C8E" w:rsidRDefault="006474F6" w:rsidP="008F6363">
            <w:pPr>
              <w:pStyle w:val="TableTextRight"/>
              <w:rPr>
                <w:b/>
                <w:color w:val="000000"/>
              </w:rPr>
            </w:pPr>
            <w:r>
              <w:rPr>
                <w:b/>
                <w:color w:val="000000"/>
              </w:rPr>
              <w:t>82</w:t>
            </w:r>
          </w:p>
        </w:tc>
        <w:tc>
          <w:tcPr>
            <w:tcW w:w="992" w:type="dxa"/>
            <w:tcBorders>
              <w:top w:val="nil"/>
              <w:left w:val="nil"/>
              <w:bottom w:val="nil"/>
              <w:right w:val="nil"/>
            </w:tcBorders>
            <w:shd w:val="clear" w:color="000000" w:fill="E6F2FF"/>
            <w:noWrap/>
            <w:vAlign w:val="center"/>
            <w:hideMark/>
          </w:tcPr>
          <w:p w14:paraId="36A18936" w14:textId="3C89C3A8" w:rsidR="006474F6" w:rsidRPr="001D2C8E" w:rsidRDefault="006474F6" w:rsidP="008F6363">
            <w:pPr>
              <w:pStyle w:val="TableTextRight"/>
              <w:rPr>
                <w:b/>
                <w:color w:val="000000"/>
              </w:rPr>
            </w:pPr>
            <w:r>
              <w:rPr>
                <w:b/>
                <w:color w:val="000000"/>
              </w:rPr>
              <w:t>73</w:t>
            </w:r>
          </w:p>
        </w:tc>
        <w:tc>
          <w:tcPr>
            <w:tcW w:w="851" w:type="dxa"/>
            <w:tcBorders>
              <w:top w:val="nil"/>
              <w:left w:val="nil"/>
              <w:bottom w:val="nil"/>
              <w:right w:val="nil"/>
            </w:tcBorders>
            <w:shd w:val="clear" w:color="000000" w:fill="FFFFFF"/>
            <w:noWrap/>
            <w:vAlign w:val="center"/>
            <w:hideMark/>
          </w:tcPr>
          <w:p w14:paraId="6E19A538" w14:textId="570385AF" w:rsidR="006474F6" w:rsidRPr="001D2C8E" w:rsidRDefault="006474F6" w:rsidP="008F6363">
            <w:pPr>
              <w:pStyle w:val="TableTextRight"/>
              <w:rPr>
                <w:b/>
                <w:color w:val="000000"/>
              </w:rPr>
            </w:pPr>
            <w:r>
              <w:rPr>
                <w:b/>
                <w:color w:val="000000"/>
              </w:rPr>
              <w:t>67</w:t>
            </w:r>
          </w:p>
        </w:tc>
        <w:tc>
          <w:tcPr>
            <w:tcW w:w="850" w:type="dxa"/>
            <w:gridSpan w:val="2"/>
            <w:tcBorders>
              <w:top w:val="nil"/>
              <w:left w:val="nil"/>
              <w:bottom w:val="nil"/>
              <w:right w:val="nil"/>
            </w:tcBorders>
            <w:shd w:val="clear" w:color="000000" w:fill="FFFFFF"/>
            <w:noWrap/>
            <w:vAlign w:val="center"/>
            <w:hideMark/>
          </w:tcPr>
          <w:p w14:paraId="68E455EB" w14:textId="6B03C8F4" w:rsidR="006474F6" w:rsidRPr="001D2C8E" w:rsidRDefault="006474F6" w:rsidP="008F6363">
            <w:pPr>
              <w:pStyle w:val="TableTextRight"/>
              <w:rPr>
                <w:b/>
                <w:color w:val="000000"/>
              </w:rPr>
            </w:pPr>
            <w:r>
              <w:rPr>
                <w:b/>
                <w:color w:val="000000"/>
              </w:rPr>
              <w:t>60</w:t>
            </w:r>
          </w:p>
        </w:tc>
        <w:tc>
          <w:tcPr>
            <w:tcW w:w="851" w:type="dxa"/>
            <w:tcBorders>
              <w:top w:val="nil"/>
              <w:left w:val="nil"/>
              <w:bottom w:val="nil"/>
              <w:right w:val="nil"/>
            </w:tcBorders>
            <w:shd w:val="clear" w:color="000000" w:fill="FFFFFF"/>
            <w:noWrap/>
            <w:vAlign w:val="center"/>
            <w:hideMark/>
          </w:tcPr>
          <w:p w14:paraId="1AC10CE3" w14:textId="5E122087" w:rsidR="006474F6" w:rsidRPr="001D2C8E" w:rsidRDefault="006474F6" w:rsidP="008F6363">
            <w:pPr>
              <w:pStyle w:val="TableTextRight"/>
              <w:rPr>
                <w:b/>
                <w:color w:val="000000"/>
              </w:rPr>
            </w:pPr>
            <w:r>
              <w:rPr>
                <w:b/>
                <w:color w:val="000000"/>
              </w:rPr>
              <w:t>52</w:t>
            </w:r>
          </w:p>
        </w:tc>
      </w:tr>
      <w:tr w:rsidR="003B41A7" w:rsidRPr="001D2C8E" w14:paraId="760E8B83" w14:textId="77777777" w:rsidTr="00B80D97">
        <w:trPr>
          <w:trHeight w:val="225"/>
        </w:trPr>
        <w:tc>
          <w:tcPr>
            <w:tcW w:w="3402" w:type="dxa"/>
            <w:tcBorders>
              <w:top w:val="nil"/>
              <w:left w:val="nil"/>
              <w:bottom w:val="nil"/>
              <w:right w:val="nil"/>
            </w:tcBorders>
            <w:shd w:val="clear" w:color="000000" w:fill="FFFFFF"/>
            <w:noWrap/>
            <w:vAlign w:val="center"/>
            <w:hideMark/>
          </w:tcPr>
          <w:p w14:paraId="3DB3C272" w14:textId="77777777" w:rsidR="001D2C8E" w:rsidRPr="001D2C8E" w:rsidRDefault="001D2C8E" w:rsidP="00107CA0">
            <w:pPr>
              <w:pStyle w:val="TableTextLeft"/>
              <w:rPr>
                <w:b/>
              </w:rPr>
            </w:pPr>
            <w:r w:rsidRPr="001D2C8E">
              <w:rPr>
                <w:b/>
              </w:rPr>
              <w:t>Interest from other sources</w:t>
            </w:r>
          </w:p>
        </w:tc>
        <w:tc>
          <w:tcPr>
            <w:tcW w:w="851" w:type="dxa"/>
            <w:tcBorders>
              <w:top w:val="nil"/>
              <w:left w:val="nil"/>
              <w:bottom w:val="nil"/>
              <w:right w:val="nil"/>
            </w:tcBorders>
            <w:shd w:val="clear" w:color="000000" w:fill="FFFFFF"/>
            <w:noWrap/>
            <w:vAlign w:val="center"/>
            <w:hideMark/>
          </w:tcPr>
          <w:p w14:paraId="3437582C" w14:textId="77777777" w:rsidR="001D2C8E" w:rsidRPr="001D2C8E" w:rsidRDefault="001D2C8E" w:rsidP="008F6363">
            <w:pPr>
              <w:pStyle w:val="TableTextRight"/>
              <w:rPr>
                <w:color w:val="000000"/>
              </w:rPr>
            </w:pPr>
            <w:r w:rsidRPr="001D2C8E">
              <w:rPr>
                <w:color w:val="000000"/>
              </w:rPr>
              <w:t> </w:t>
            </w:r>
          </w:p>
        </w:tc>
        <w:tc>
          <w:tcPr>
            <w:tcW w:w="992" w:type="dxa"/>
            <w:tcBorders>
              <w:top w:val="nil"/>
              <w:left w:val="nil"/>
              <w:bottom w:val="nil"/>
              <w:right w:val="nil"/>
            </w:tcBorders>
            <w:shd w:val="clear" w:color="000000" w:fill="E6F2FF"/>
            <w:noWrap/>
            <w:vAlign w:val="center"/>
            <w:hideMark/>
          </w:tcPr>
          <w:p w14:paraId="4A3E51C5"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53D3DED6" w14:textId="77777777" w:rsidR="001D2C8E" w:rsidRPr="001D2C8E" w:rsidRDefault="001D2C8E" w:rsidP="008F6363">
            <w:pPr>
              <w:pStyle w:val="TableTextRight"/>
              <w:rPr>
                <w:color w:val="000000"/>
              </w:rPr>
            </w:pPr>
            <w:r w:rsidRPr="001D2C8E">
              <w:rPr>
                <w:color w:val="000000"/>
              </w:rPr>
              <w:t> </w:t>
            </w:r>
          </w:p>
        </w:tc>
        <w:tc>
          <w:tcPr>
            <w:tcW w:w="850" w:type="dxa"/>
            <w:gridSpan w:val="2"/>
            <w:tcBorders>
              <w:top w:val="nil"/>
              <w:left w:val="nil"/>
              <w:bottom w:val="nil"/>
              <w:right w:val="nil"/>
            </w:tcBorders>
            <w:shd w:val="clear" w:color="000000" w:fill="FFFFFF"/>
            <w:noWrap/>
            <w:vAlign w:val="center"/>
            <w:hideMark/>
          </w:tcPr>
          <w:p w14:paraId="0218A3A5"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064A93A3" w14:textId="77777777" w:rsidR="001D2C8E" w:rsidRPr="001D2C8E" w:rsidRDefault="001D2C8E" w:rsidP="008F6363">
            <w:pPr>
              <w:pStyle w:val="TableTextRight"/>
              <w:rPr>
                <w:color w:val="000000"/>
              </w:rPr>
            </w:pPr>
            <w:r w:rsidRPr="001D2C8E">
              <w:rPr>
                <w:color w:val="000000"/>
              </w:rPr>
              <w:t> </w:t>
            </w:r>
          </w:p>
        </w:tc>
      </w:tr>
      <w:tr w:rsidR="00D402B4" w:rsidRPr="001D2C8E" w14:paraId="790CCF03" w14:textId="77777777" w:rsidTr="00B80D97">
        <w:trPr>
          <w:trHeight w:val="225"/>
        </w:trPr>
        <w:tc>
          <w:tcPr>
            <w:tcW w:w="3402" w:type="dxa"/>
            <w:tcBorders>
              <w:top w:val="nil"/>
              <w:left w:val="nil"/>
              <w:bottom w:val="nil"/>
              <w:right w:val="nil"/>
            </w:tcBorders>
            <w:shd w:val="clear" w:color="000000" w:fill="FFFFFF"/>
            <w:noWrap/>
            <w:vAlign w:val="center"/>
            <w:hideMark/>
          </w:tcPr>
          <w:p w14:paraId="270B135F" w14:textId="77777777" w:rsidR="00D402B4" w:rsidRPr="001D2C8E" w:rsidRDefault="00D402B4" w:rsidP="00107CA0">
            <w:pPr>
              <w:pStyle w:val="TableTextIndented"/>
            </w:pPr>
            <w:r w:rsidRPr="001D2C8E">
              <w:t>Advances</w:t>
            </w:r>
          </w:p>
        </w:tc>
        <w:tc>
          <w:tcPr>
            <w:tcW w:w="851" w:type="dxa"/>
            <w:tcBorders>
              <w:top w:val="nil"/>
              <w:left w:val="nil"/>
              <w:bottom w:val="nil"/>
              <w:right w:val="nil"/>
            </w:tcBorders>
            <w:shd w:val="clear" w:color="000000" w:fill="FFFFFF"/>
            <w:noWrap/>
            <w:vAlign w:val="center"/>
            <w:hideMark/>
          </w:tcPr>
          <w:p w14:paraId="6EF2F8B4" w14:textId="73D4771F" w:rsidR="00D402B4" w:rsidRPr="001D2C8E" w:rsidRDefault="00D402B4" w:rsidP="008F6363">
            <w:pPr>
              <w:pStyle w:val="TableTextRight"/>
              <w:rPr>
                <w:color w:val="000000"/>
              </w:rPr>
            </w:pPr>
            <w:r>
              <w:rPr>
                <w:color w:val="000000"/>
              </w:rPr>
              <w:t>821</w:t>
            </w:r>
          </w:p>
        </w:tc>
        <w:tc>
          <w:tcPr>
            <w:tcW w:w="992" w:type="dxa"/>
            <w:tcBorders>
              <w:top w:val="nil"/>
              <w:left w:val="nil"/>
              <w:bottom w:val="nil"/>
              <w:right w:val="nil"/>
            </w:tcBorders>
            <w:shd w:val="clear" w:color="000000" w:fill="E6F2FF"/>
            <w:noWrap/>
            <w:vAlign w:val="center"/>
            <w:hideMark/>
          </w:tcPr>
          <w:p w14:paraId="7A3BFF62" w14:textId="24FCEF0D" w:rsidR="00D402B4" w:rsidRPr="001D2C8E" w:rsidRDefault="00D402B4" w:rsidP="008F6363">
            <w:pPr>
              <w:pStyle w:val="TableTextRight"/>
              <w:rPr>
                <w:color w:val="000000"/>
              </w:rPr>
            </w:pPr>
            <w:r>
              <w:rPr>
                <w:color w:val="000000"/>
              </w:rPr>
              <w:t>807</w:t>
            </w:r>
          </w:p>
        </w:tc>
        <w:tc>
          <w:tcPr>
            <w:tcW w:w="851" w:type="dxa"/>
            <w:tcBorders>
              <w:top w:val="nil"/>
              <w:left w:val="nil"/>
              <w:bottom w:val="nil"/>
              <w:right w:val="nil"/>
            </w:tcBorders>
            <w:shd w:val="clear" w:color="000000" w:fill="FFFFFF"/>
            <w:noWrap/>
            <w:vAlign w:val="center"/>
            <w:hideMark/>
          </w:tcPr>
          <w:p w14:paraId="6AC14551" w14:textId="386DD927" w:rsidR="00D402B4" w:rsidRPr="001D2C8E" w:rsidRDefault="00D402B4" w:rsidP="008F6363">
            <w:pPr>
              <w:pStyle w:val="TableTextRight"/>
              <w:rPr>
                <w:color w:val="000000"/>
              </w:rPr>
            </w:pPr>
            <w:r>
              <w:rPr>
                <w:color w:val="000000"/>
              </w:rPr>
              <w:t>1,177</w:t>
            </w:r>
          </w:p>
        </w:tc>
        <w:tc>
          <w:tcPr>
            <w:tcW w:w="850" w:type="dxa"/>
            <w:gridSpan w:val="2"/>
            <w:tcBorders>
              <w:top w:val="nil"/>
              <w:left w:val="nil"/>
              <w:bottom w:val="nil"/>
              <w:right w:val="nil"/>
            </w:tcBorders>
            <w:shd w:val="clear" w:color="000000" w:fill="FFFFFF"/>
            <w:noWrap/>
            <w:vAlign w:val="center"/>
            <w:hideMark/>
          </w:tcPr>
          <w:p w14:paraId="138D11DD" w14:textId="025CB012" w:rsidR="00D402B4" w:rsidRPr="001D2C8E" w:rsidRDefault="00D402B4" w:rsidP="008F6363">
            <w:pPr>
              <w:pStyle w:val="TableTextRight"/>
              <w:rPr>
                <w:color w:val="000000"/>
              </w:rPr>
            </w:pPr>
            <w:r>
              <w:rPr>
                <w:color w:val="000000"/>
              </w:rPr>
              <w:t>1,620</w:t>
            </w:r>
          </w:p>
        </w:tc>
        <w:tc>
          <w:tcPr>
            <w:tcW w:w="851" w:type="dxa"/>
            <w:tcBorders>
              <w:top w:val="nil"/>
              <w:left w:val="nil"/>
              <w:bottom w:val="nil"/>
              <w:right w:val="nil"/>
            </w:tcBorders>
            <w:shd w:val="clear" w:color="000000" w:fill="FFFFFF"/>
            <w:noWrap/>
            <w:vAlign w:val="center"/>
            <w:hideMark/>
          </w:tcPr>
          <w:p w14:paraId="25F3122B" w14:textId="521DC203" w:rsidR="00D402B4" w:rsidRPr="001D2C8E" w:rsidRDefault="00D402B4" w:rsidP="008F6363">
            <w:pPr>
              <w:pStyle w:val="TableTextRight"/>
              <w:rPr>
                <w:color w:val="000000"/>
              </w:rPr>
            </w:pPr>
            <w:r>
              <w:rPr>
                <w:color w:val="000000"/>
              </w:rPr>
              <w:t>1,968</w:t>
            </w:r>
          </w:p>
        </w:tc>
      </w:tr>
      <w:tr w:rsidR="00D402B4" w:rsidRPr="001D2C8E" w14:paraId="2E39DA12" w14:textId="77777777" w:rsidTr="00B80D97">
        <w:trPr>
          <w:trHeight w:val="225"/>
        </w:trPr>
        <w:tc>
          <w:tcPr>
            <w:tcW w:w="3402" w:type="dxa"/>
            <w:tcBorders>
              <w:top w:val="nil"/>
              <w:left w:val="nil"/>
              <w:bottom w:val="nil"/>
              <w:right w:val="nil"/>
            </w:tcBorders>
            <w:shd w:val="clear" w:color="000000" w:fill="FFFFFF"/>
            <w:noWrap/>
            <w:vAlign w:val="center"/>
            <w:hideMark/>
          </w:tcPr>
          <w:p w14:paraId="7B6EACA8" w14:textId="77777777" w:rsidR="00D402B4" w:rsidRPr="001D2C8E" w:rsidRDefault="00D402B4" w:rsidP="00107CA0">
            <w:pPr>
              <w:pStyle w:val="TableTextIndented"/>
            </w:pPr>
            <w:r w:rsidRPr="001D2C8E">
              <w:t>Deposits</w:t>
            </w:r>
          </w:p>
        </w:tc>
        <w:tc>
          <w:tcPr>
            <w:tcW w:w="851" w:type="dxa"/>
            <w:tcBorders>
              <w:top w:val="nil"/>
              <w:left w:val="nil"/>
              <w:bottom w:val="nil"/>
              <w:right w:val="nil"/>
            </w:tcBorders>
            <w:shd w:val="clear" w:color="000000" w:fill="FFFFFF"/>
            <w:noWrap/>
            <w:vAlign w:val="center"/>
            <w:hideMark/>
          </w:tcPr>
          <w:p w14:paraId="5FE2B1EC" w14:textId="1BCCBD21" w:rsidR="00D402B4" w:rsidRPr="001D2C8E" w:rsidRDefault="00D402B4" w:rsidP="008F6363">
            <w:pPr>
              <w:pStyle w:val="TableTextRight"/>
              <w:rPr>
                <w:color w:val="000000"/>
              </w:rPr>
            </w:pPr>
            <w:r>
              <w:rPr>
                <w:color w:val="000000"/>
              </w:rPr>
              <w:t>3,654</w:t>
            </w:r>
          </w:p>
        </w:tc>
        <w:tc>
          <w:tcPr>
            <w:tcW w:w="992" w:type="dxa"/>
            <w:tcBorders>
              <w:top w:val="nil"/>
              <w:left w:val="nil"/>
              <w:bottom w:val="nil"/>
              <w:right w:val="nil"/>
            </w:tcBorders>
            <w:shd w:val="clear" w:color="000000" w:fill="E6F2FF"/>
            <w:noWrap/>
            <w:vAlign w:val="center"/>
            <w:hideMark/>
          </w:tcPr>
          <w:p w14:paraId="16D0A58B" w14:textId="10CA14D1" w:rsidR="00D402B4" w:rsidRPr="001D2C8E" w:rsidRDefault="00D402B4" w:rsidP="008F6363">
            <w:pPr>
              <w:pStyle w:val="TableTextRight"/>
              <w:rPr>
                <w:color w:val="000000"/>
              </w:rPr>
            </w:pPr>
            <w:r>
              <w:rPr>
                <w:color w:val="000000"/>
              </w:rPr>
              <w:t>2,974</w:t>
            </w:r>
          </w:p>
        </w:tc>
        <w:tc>
          <w:tcPr>
            <w:tcW w:w="851" w:type="dxa"/>
            <w:tcBorders>
              <w:top w:val="nil"/>
              <w:left w:val="nil"/>
              <w:bottom w:val="nil"/>
              <w:right w:val="nil"/>
            </w:tcBorders>
            <w:shd w:val="clear" w:color="000000" w:fill="FFFFFF"/>
            <w:noWrap/>
            <w:vAlign w:val="center"/>
            <w:hideMark/>
          </w:tcPr>
          <w:p w14:paraId="5D6B942B" w14:textId="4C79DAC8" w:rsidR="00D402B4" w:rsidRPr="001D2C8E" w:rsidRDefault="00D402B4" w:rsidP="008F6363">
            <w:pPr>
              <w:pStyle w:val="TableTextRight"/>
              <w:rPr>
                <w:color w:val="000000"/>
              </w:rPr>
            </w:pPr>
            <w:r>
              <w:rPr>
                <w:color w:val="000000"/>
              </w:rPr>
              <w:t>2,141</w:t>
            </w:r>
          </w:p>
        </w:tc>
        <w:tc>
          <w:tcPr>
            <w:tcW w:w="850" w:type="dxa"/>
            <w:gridSpan w:val="2"/>
            <w:tcBorders>
              <w:top w:val="nil"/>
              <w:left w:val="nil"/>
              <w:bottom w:val="nil"/>
              <w:right w:val="nil"/>
            </w:tcBorders>
            <w:shd w:val="clear" w:color="000000" w:fill="FFFFFF"/>
            <w:noWrap/>
            <w:vAlign w:val="center"/>
            <w:hideMark/>
          </w:tcPr>
          <w:p w14:paraId="03202B30" w14:textId="7D7B022A" w:rsidR="00D402B4" w:rsidRPr="001D2C8E" w:rsidRDefault="00D402B4" w:rsidP="008F6363">
            <w:pPr>
              <w:pStyle w:val="TableTextRight"/>
              <w:rPr>
                <w:color w:val="000000"/>
              </w:rPr>
            </w:pPr>
            <w:r>
              <w:rPr>
                <w:color w:val="000000"/>
              </w:rPr>
              <w:t>2,079</w:t>
            </w:r>
          </w:p>
        </w:tc>
        <w:tc>
          <w:tcPr>
            <w:tcW w:w="851" w:type="dxa"/>
            <w:tcBorders>
              <w:top w:val="nil"/>
              <w:left w:val="nil"/>
              <w:bottom w:val="nil"/>
              <w:right w:val="nil"/>
            </w:tcBorders>
            <w:shd w:val="clear" w:color="000000" w:fill="FFFFFF"/>
            <w:noWrap/>
            <w:vAlign w:val="center"/>
            <w:hideMark/>
          </w:tcPr>
          <w:p w14:paraId="042583B1" w14:textId="2428BC68" w:rsidR="00D402B4" w:rsidRPr="001D2C8E" w:rsidRDefault="00D402B4" w:rsidP="008F6363">
            <w:pPr>
              <w:pStyle w:val="TableTextRight"/>
              <w:rPr>
                <w:color w:val="000000"/>
              </w:rPr>
            </w:pPr>
            <w:r>
              <w:rPr>
                <w:color w:val="000000"/>
              </w:rPr>
              <w:t>2,168</w:t>
            </w:r>
          </w:p>
        </w:tc>
      </w:tr>
      <w:tr w:rsidR="003B41A7" w:rsidRPr="001D2C8E" w14:paraId="17B15C03" w14:textId="77777777" w:rsidTr="00B80D97">
        <w:trPr>
          <w:trHeight w:val="225"/>
        </w:trPr>
        <w:tc>
          <w:tcPr>
            <w:tcW w:w="3402" w:type="dxa"/>
            <w:tcBorders>
              <w:top w:val="nil"/>
              <w:left w:val="nil"/>
              <w:bottom w:val="nil"/>
              <w:right w:val="nil"/>
            </w:tcBorders>
            <w:shd w:val="clear" w:color="000000" w:fill="FFFFFF"/>
            <w:noWrap/>
            <w:vAlign w:val="center"/>
            <w:hideMark/>
          </w:tcPr>
          <w:p w14:paraId="7C6FBAEB" w14:textId="77777777" w:rsidR="001D2C8E" w:rsidRPr="001D2C8E" w:rsidRDefault="001D2C8E" w:rsidP="00107CA0">
            <w:pPr>
              <w:pStyle w:val="TableTextIndented"/>
            </w:pPr>
            <w:r w:rsidRPr="001D2C8E">
              <w:t xml:space="preserve">Indexation of HELP receivable and other </w:t>
            </w:r>
          </w:p>
        </w:tc>
        <w:tc>
          <w:tcPr>
            <w:tcW w:w="851" w:type="dxa"/>
            <w:tcBorders>
              <w:top w:val="nil"/>
              <w:left w:val="nil"/>
              <w:bottom w:val="nil"/>
              <w:right w:val="nil"/>
            </w:tcBorders>
            <w:shd w:val="clear" w:color="000000" w:fill="FFFFFF"/>
            <w:noWrap/>
            <w:vAlign w:val="center"/>
            <w:hideMark/>
          </w:tcPr>
          <w:p w14:paraId="6562CAE2" w14:textId="77777777" w:rsidR="001D2C8E" w:rsidRPr="001D2C8E" w:rsidRDefault="001D2C8E" w:rsidP="008F6363">
            <w:pPr>
              <w:pStyle w:val="TableTextRight"/>
              <w:rPr>
                <w:color w:val="000000"/>
              </w:rPr>
            </w:pPr>
            <w:r w:rsidRPr="001D2C8E">
              <w:rPr>
                <w:color w:val="000000"/>
              </w:rPr>
              <w:t> </w:t>
            </w:r>
          </w:p>
        </w:tc>
        <w:tc>
          <w:tcPr>
            <w:tcW w:w="992" w:type="dxa"/>
            <w:tcBorders>
              <w:top w:val="nil"/>
              <w:left w:val="nil"/>
              <w:bottom w:val="nil"/>
              <w:right w:val="nil"/>
            </w:tcBorders>
            <w:shd w:val="clear" w:color="000000" w:fill="E6F2FF"/>
            <w:noWrap/>
            <w:vAlign w:val="center"/>
            <w:hideMark/>
          </w:tcPr>
          <w:p w14:paraId="1A0E2BED"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2CB7E530" w14:textId="77777777" w:rsidR="001D2C8E" w:rsidRPr="001D2C8E" w:rsidRDefault="001D2C8E" w:rsidP="008F6363">
            <w:pPr>
              <w:pStyle w:val="TableTextRight"/>
              <w:rPr>
                <w:color w:val="000000"/>
              </w:rPr>
            </w:pPr>
            <w:r w:rsidRPr="001D2C8E">
              <w:rPr>
                <w:color w:val="000000"/>
              </w:rPr>
              <w:t> </w:t>
            </w:r>
          </w:p>
        </w:tc>
        <w:tc>
          <w:tcPr>
            <w:tcW w:w="850" w:type="dxa"/>
            <w:gridSpan w:val="2"/>
            <w:tcBorders>
              <w:top w:val="nil"/>
              <w:left w:val="nil"/>
              <w:bottom w:val="nil"/>
              <w:right w:val="nil"/>
            </w:tcBorders>
            <w:shd w:val="clear" w:color="000000" w:fill="FFFFFF"/>
            <w:noWrap/>
            <w:vAlign w:val="center"/>
            <w:hideMark/>
          </w:tcPr>
          <w:p w14:paraId="25E01DDC"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21E635F9" w14:textId="77777777" w:rsidR="001D2C8E" w:rsidRPr="001D2C8E" w:rsidRDefault="001D2C8E" w:rsidP="008F6363">
            <w:pPr>
              <w:pStyle w:val="TableTextRight"/>
              <w:rPr>
                <w:color w:val="000000"/>
              </w:rPr>
            </w:pPr>
            <w:r w:rsidRPr="001D2C8E">
              <w:rPr>
                <w:color w:val="000000"/>
              </w:rPr>
              <w:t> </w:t>
            </w:r>
          </w:p>
        </w:tc>
      </w:tr>
      <w:tr w:rsidR="00D402B4" w:rsidRPr="001D2C8E" w14:paraId="0D1CA255" w14:textId="77777777" w:rsidTr="00B80D97">
        <w:trPr>
          <w:trHeight w:val="225"/>
        </w:trPr>
        <w:tc>
          <w:tcPr>
            <w:tcW w:w="3402" w:type="dxa"/>
            <w:tcBorders>
              <w:top w:val="nil"/>
              <w:left w:val="nil"/>
              <w:bottom w:val="nil"/>
              <w:right w:val="nil"/>
            </w:tcBorders>
            <w:shd w:val="clear" w:color="000000" w:fill="FFFFFF"/>
            <w:noWrap/>
            <w:vAlign w:val="center"/>
            <w:hideMark/>
          </w:tcPr>
          <w:p w14:paraId="0A23AEAB" w14:textId="5F30EB16" w:rsidR="00D402B4" w:rsidRPr="00107CA0" w:rsidRDefault="00F86B2F" w:rsidP="00F86B2F">
            <w:pPr>
              <w:pStyle w:val="TableTextIndented"/>
              <w:ind w:left="0"/>
            </w:pPr>
            <w:r>
              <w:t xml:space="preserve">           </w:t>
            </w:r>
            <w:r w:rsidR="00D402B4" w:rsidRPr="00107CA0">
              <w:t>student loans</w:t>
            </w:r>
          </w:p>
        </w:tc>
        <w:tc>
          <w:tcPr>
            <w:tcW w:w="851" w:type="dxa"/>
            <w:tcBorders>
              <w:top w:val="nil"/>
              <w:left w:val="nil"/>
              <w:bottom w:val="nil"/>
              <w:right w:val="nil"/>
            </w:tcBorders>
            <w:shd w:val="clear" w:color="000000" w:fill="FFFFFF"/>
            <w:noWrap/>
            <w:vAlign w:val="center"/>
            <w:hideMark/>
          </w:tcPr>
          <w:p w14:paraId="15F085DA" w14:textId="1AACE8FC" w:rsidR="00D402B4" w:rsidRPr="001D2C8E" w:rsidRDefault="00D402B4" w:rsidP="008F6363">
            <w:pPr>
              <w:pStyle w:val="TableTextRight"/>
              <w:rPr>
                <w:color w:val="000000"/>
              </w:rPr>
            </w:pPr>
            <w:r>
              <w:rPr>
                <w:color w:val="000000"/>
              </w:rPr>
              <w:t>2,139</w:t>
            </w:r>
          </w:p>
        </w:tc>
        <w:tc>
          <w:tcPr>
            <w:tcW w:w="992" w:type="dxa"/>
            <w:tcBorders>
              <w:top w:val="nil"/>
              <w:left w:val="nil"/>
              <w:bottom w:val="nil"/>
              <w:right w:val="nil"/>
            </w:tcBorders>
            <w:shd w:val="clear" w:color="000000" w:fill="E6F2FF"/>
            <w:noWrap/>
            <w:vAlign w:val="center"/>
            <w:hideMark/>
          </w:tcPr>
          <w:p w14:paraId="474BCAB8" w14:textId="2B4AD886" w:rsidR="00D402B4" w:rsidRPr="001D2C8E" w:rsidRDefault="00D402B4" w:rsidP="008F6363">
            <w:pPr>
              <w:pStyle w:val="TableTextRight"/>
              <w:rPr>
                <w:color w:val="000000"/>
              </w:rPr>
            </w:pPr>
            <w:r>
              <w:rPr>
                <w:color w:val="000000"/>
              </w:rPr>
              <w:t>1,335</w:t>
            </w:r>
          </w:p>
        </w:tc>
        <w:tc>
          <w:tcPr>
            <w:tcW w:w="851" w:type="dxa"/>
            <w:tcBorders>
              <w:top w:val="nil"/>
              <w:left w:val="nil"/>
              <w:bottom w:val="nil"/>
              <w:right w:val="nil"/>
            </w:tcBorders>
            <w:shd w:val="clear" w:color="000000" w:fill="FFFFFF"/>
            <w:noWrap/>
            <w:vAlign w:val="center"/>
            <w:hideMark/>
          </w:tcPr>
          <w:p w14:paraId="41ACDC78" w14:textId="40F74A5E" w:rsidR="00D402B4" w:rsidRPr="001D2C8E" w:rsidRDefault="00D402B4" w:rsidP="008F6363">
            <w:pPr>
              <w:pStyle w:val="TableTextRight"/>
              <w:rPr>
                <w:color w:val="000000"/>
              </w:rPr>
            </w:pPr>
            <w:r>
              <w:rPr>
                <w:color w:val="000000"/>
              </w:rPr>
              <w:t>1,273</w:t>
            </w:r>
          </w:p>
        </w:tc>
        <w:tc>
          <w:tcPr>
            <w:tcW w:w="850" w:type="dxa"/>
            <w:gridSpan w:val="2"/>
            <w:tcBorders>
              <w:top w:val="nil"/>
              <w:left w:val="nil"/>
              <w:bottom w:val="nil"/>
              <w:right w:val="nil"/>
            </w:tcBorders>
            <w:shd w:val="clear" w:color="000000" w:fill="FFFFFF"/>
            <w:noWrap/>
            <w:vAlign w:val="center"/>
            <w:hideMark/>
          </w:tcPr>
          <w:p w14:paraId="1F92C974" w14:textId="3D29A99E" w:rsidR="00D402B4" w:rsidRPr="001D2C8E" w:rsidRDefault="00D402B4" w:rsidP="008F6363">
            <w:pPr>
              <w:pStyle w:val="TableTextRight"/>
              <w:rPr>
                <w:color w:val="000000"/>
              </w:rPr>
            </w:pPr>
            <w:r>
              <w:rPr>
                <w:color w:val="000000"/>
              </w:rPr>
              <w:t>1,226</w:t>
            </w:r>
          </w:p>
        </w:tc>
        <w:tc>
          <w:tcPr>
            <w:tcW w:w="851" w:type="dxa"/>
            <w:tcBorders>
              <w:top w:val="nil"/>
              <w:left w:val="nil"/>
              <w:bottom w:val="nil"/>
              <w:right w:val="nil"/>
            </w:tcBorders>
            <w:shd w:val="clear" w:color="000000" w:fill="FFFFFF"/>
            <w:noWrap/>
            <w:vAlign w:val="center"/>
            <w:hideMark/>
          </w:tcPr>
          <w:p w14:paraId="5D472328" w14:textId="40FF7BEB" w:rsidR="00D402B4" w:rsidRPr="001D2C8E" w:rsidRDefault="00D402B4" w:rsidP="008F6363">
            <w:pPr>
              <w:pStyle w:val="TableTextRight"/>
              <w:rPr>
                <w:color w:val="000000"/>
              </w:rPr>
            </w:pPr>
            <w:r>
              <w:rPr>
                <w:color w:val="000000"/>
              </w:rPr>
              <w:t>1,230</w:t>
            </w:r>
          </w:p>
        </w:tc>
      </w:tr>
      <w:tr w:rsidR="00D402B4" w:rsidRPr="001D2C8E" w14:paraId="528426BE" w14:textId="77777777" w:rsidTr="00B80D97">
        <w:trPr>
          <w:trHeight w:val="225"/>
        </w:trPr>
        <w:tc>
          <w:tcPr>
            <w:tcW w:w="3402" w:type="dxa"/>
            <w:tcBorders>
              <w:top w:val="nil"/>
              <w:left w:val="nil"/>
              <w:bottom w:val="nil"/>
              <w:right w:val="nil"/>
            </w:tcBorders>
            <w:shd w:val="clear" w:color="000000" w:fill="FFFFFF"/>
            <w:noWrap/>
            <w:vAlign w:val="center"/>
            <w:hideMark/>
          </w:tcPr>
          <w:p w14:paraId="1E8C4077" w14:textId="77777777" w:rsidR="00D402B4" w:rsidRPr="001D2C8E" w:rsidRDefault="00D402B4" w:rsidP="007D0EF7">
            <w:pPr>
              <w:pStyle w:val="TableTextIndented"/>
            </w:pPr>
            <w:r w:rsidRPr="001D2C8E">
              <w:t>Other</w:t>
            </w:r>
          </w:p>
        </w:tc>
        <w:tc>
          <w:tcPr>
            <w:tcW w:w="851" w:type="dxa"/>
            <w:tcBorders>
              <w:top w:val="nil"/>
              <w:left w:val="nil"/>
              <w:bottom w:val="nil"/>
              <w:right w:val="nil"/>
            </w:tcBorders>
            <w:shd w:val="clear" w:color="000000" w:fill="FFFFFF"/>
            <w:noWrap/>
            <w:vAlign w:val="center"/>
            <w:hideMark/>
          </w:tcPr>
          <w:p w14:paraId="0591E7CE" w14:textId="0B9427FB" w:rsidR="00D402B4" w:rsidRPr="001D2C8E" w:rsidRDefault="00D402B4" w:rsidP="008F6363">
            <w:pPr>
              <w:pStyle w:val="TableTextRight"/>
              <w:rPr>
                <w:color w:val="000000"/>
              </w:rPr>
            </w:pPr>
            <w:r>
              <w:rPr>
                <w:color w:val="000000"/>
              </w:rPr>
              <w:t>4,435</w:t>
            </w:r>
          </w:p>
        </w:tc>
        <w:tc>
          <w:tcPr>
            <w:tcW w:w="992" w:type="dxa"/>
            <w:tcBorders>
              <w:top w:val="nil"/>
              <w:left w:val="nil"/>
              <w:bottom w:val="nil"/>
              <w:right w:val="nil"/>
            </w:tcBorders>
            <w:shd w:val="clear" w:color="000000" w:fill="E6F2FF"/>
            <w:noWrap/>
            <w:vAlign w:val="center"/>
            <w:hideMark/>
          </w:tcPr>
          <w:p w14:paraId="497683C1" w14:textId="089E0F36" w:rsidR="00D402B4" w:rsidRPr="001D2C8E" w:rsidRDefault="00D402B4" w:rsidP="008F6363">
            <w:pPr>
              <w:pStyle w:val="TableTextRight"/>
              <w:rPr>
                <w:color w:val="000000"/>
              </w:rPr>
            </w:pPr>
            <w:r>
              <w:rPr>
                <w:color w:val="000000"/>
              </w:rPr>
              <w:t>5,088</w:t>
            </w:r>
          </w:p>
        </w:tc>
        <w:tc>
          <w:tcPr>
            <w:tcW w:w="851" w:type="dxa"/>
            <w:tcBorders>
              <w:top w:val="nil"/>
              <w:left w:val="nil"/>
              <w:bottom w:val="nil"/>
              <w:right w:val="nil"/>
            </w:tcBorders>
            <w:shd w:val="clear" w:color="000000" w:fill="FFFFFF"/>
            <w:noWrap/>
            <w:vAlign w:val="center"/>
            <w:hideMark/>
          </w:tcPr>
          <w:p w14:paraId="62A96C9C" w14:textId="3011F7B1" w:rsidR="00D402B4" w:rsidRPr="001D2C8E" w:rsidRDefault="00D402B4" w:rsidP="008F6363">
            <w:pPr>
              <w:pStyle w:val="TableTextRight"/>
              <w:rPr>
                <w:color w:val="000000"/>
              </w:rPr>
            </w:pPr>
            <w:r>
              <w:rPr>
                <w:color w:val="000000"/>
              </w:rPr>
              <w:t>5,339</w:t>
            </w:r>
          </w:p>
        </w:tc>
        <w:tc>
          <w:tcPr>
            <w:tcW w:w="850" w:type="dxa"/>
            <w:gridSpan w:val="2"/>
            <w:tcBorders>
              <w:top w:val="nil"/>
              <w:left w:val="nil"/>
              <w:bottom w:val="nil"/>
              <w:right w:val="nil"/>
            </w:tcBorders>
            <w:shd w:val="clear" w:color="000000" w:fill="FFFFFF"/>
            <w:noWrap/>
            <w:vAlign w:val="center"/>
            <w:hideMark/>
          </w:tcPr>
          <w:p w14:paraId="18B89349" w14:textId="180B08CD" w:rsidR="00D402B4" w:rsidRPr="001D2C8E" w:rsidRDefault="00D402B4" w:rsidP="008F6363">
            <w:pPr>
              <w:pStyle w:val="TableTextRight"/>
              <w:rPr>
                <w:color w:val="000000"/>
              </w:rPr>
            </w:pPr>
            <w:r>
              <w:rPr>
                <w:color w:val="000000"/>
              </w:rPr>
              <w:t>5,588</w:t>
            </w:r>
          </w:p>
        </w:tc>
        <w:tc>
          <w:tcPr>
            <w:tcW w:w="851" w:type="dxa"/>
            <w:tcBorders>
              <w:top w:val="nil"/>
              <w:left w:val="nil"/>
              <w:bottom w:val="nil"/>
              <w:right w:val="nil"/>
            </w:tcBorders>
            <w:shd w:val="clear" w:color="000000" w:fill="FFFFFF"/>
            <w:noWrap/>
            <w:vAlign w:val="center"/>
            <w:hideMark/>
          </w:tcPr>
          <w:p w14:paraId="7BF71F99" w14:textId="69FCFC5A" w:rsidR="00D402B4" w:rsidRPr="001D2C8E" w:rsidRDefault="00D402B4" w:rsidP="008F6363">
            <w:pPr>
              <w:pStyle w:val="TableTextRight"/>
              <w:rPr>
                <w:color w:val="000000"/>
              </w:rPr>
            </w:pPr>
            <w:r>
              <w:rPr>
                <w:color w:val="000000"/>
              </w:rPr>
              <w:t>5,919</w:t>
            </w:r>
          </w:p>
        </w:tc>
      </w:tr>
      <w:tr w:rsidR="00D402B4" w:rsidRPr="001D2C8E" w14:paraId="3036715B" w14:textId="77777777" w:rsidTr="00B80D97">
        <w:trPr>
          <w:trHeight w:val="225"/>
        </w:trPr>
        <w:tc>
          <w:tcPr>
            <w:tcW w:w="3402" w:type="dxa"/>
            <w:tcBorders>
              <w:top w:val="nil"/>
              <w:left w:val="nil"/>
              <w:bottom w:val="nil"/>
              <w:right w:val="nil"/>
            </w:tcBorders>
            <w:shd w:val="clear" w:color="000000" w:fill="FFFFFF"/>
            <w:noWrap/>
            <w:vAlign w:val="center"/>
            <w:hideMark/>
          </w:tcPr>
          <w:p w14:paraId="32CF3219" w14:textId="77777777" w:rsidR="00D402B4" w:rsidRPr="001D2C8E" w:rsidRDefault="00D402B4" w:rsidP="00107CA0">
            <w:pPr>
              <w:pStyle w:val="TableTextLeft"/>
              <w:rPr>
                <w:b/>
              </w:rPr>
            </w:pPr>
            <w:r w:rsidRPr="001D2C8E">
              <w:rPr>
                <w:b/>
              </w:rPr>
              <w:t>Total interest from other sources</w:t>
            </w:r>
          </w:p>
        </w:tc>
        <w:tc>
          <w:tcPr>
            <w:tcW w:w="851" w:type="dxa"/>
            <w:tcBorders>
              <w:top w:val="nil"/>
              <w:left w:val="nil"/>
              <w:bottom w:val="single" w:sz="4" w:space="0" w:color="auto"/>
              <w:right w:val="nil"/>
            </w:tcBorders>
            <w:shd w:val="clear" w:color="000000" w:fill="FFFFFF"/>
            <w:noWrap/>
            <w:vAlign w:val="center"/>
            <w:hideMark/>
          </w:tcPr>
          <w:p w14:paraId="51C1B236" w14:textId="6115918E" w:rsidR="00D402B4" w:rsidRPr="001D2C8E" w:rsidRDefault="00D402B4" w:rsidP="008F6363">
            <w:pPr>
              <w:pStyle w:val="TableTextRight"/>
              <w:rPr>
                <w:b/>
                <w:color w:val="000000"/>
              </w:rPr>
            </w:pPr>
            <w:r>
              <w:rPr>
                <w:b/>
                <w:color w:val="000000"/>
              </w:rPr>
              <w:t>11,049</w:t>
            </w:r>
          </w:p>
        </w:tc>
        <w:tc>
          <w:tcPr>
            <w:tcW w:w="992" w:type="dxa"/>
            <w:tcBorders>
              <w:top w:val="nil"/>
              <w:left w:val="nil"/>
              <w:bottom w:val="single" w:sz="4" w:space="0" w:color="auto"/>
              <w:right w:val="nil"/>
            </w:tcBorders>
            <w:shd w:val="clear" w:color="000000" w:fill="E6F2FF"/>
            <w:noWrap/>
            <w:vAlign w:val="center"/>
            <w:hideMark/>
          </w:tcPr>
          <w:p w14:paraId="0EDEA640" w14:textId="613EC566" w:rsidR="00D402B4" w:rsidRPr="001D2C8E" w:rsidRDefault="00D402B4" w:rsidP="008F6363">
            <w:pPr>
              <w:pStyle w:val="TableTextRight"/>
              <w:rPr>
                <w:b/>
                <w:color w:val="000000"/>
              </w:rPr>
            </w:pPr>
            <w:r>
              <w:rPr>
                <w:b/>
                <w:color w:val="000000"/>
              </w:rPr>
              <w:t>10,203</w:t>
            </w:r>
          </w:p>
        </w:tc>
        <w:tc>
          <w:tcPr>
            <w:tcW w:w="851" w:type="dxa"/>
            <w:tcBorders>
              <w:top w:val="nil"/>
              <w:left w:val="nil"/>
              <w:bottom w:val="single" w:sz="4" w:space="0" w:color="auto"/>
              <w:right w:val="nil"/>
            </w:tcBorders>
            <w:shd w:val="clear" w:color="000000" w:fill="FFFFFF"/>
            <w:noWrap/>
            <w:vAlign w:val="center"/>
            <w:hideMark/>
          </w:tcPr>
          <w:p w14:paraId="0E9C968E" w14:textId="5185C353" w:rsidR="00D402B4" w:rsidRPr="001D2C8E" w:rsidRDefault="00D402B4" w:rsidP="008F6363">
            <w:pPr>
              <w:pStyle w:val="TableTextRight"/>
              <w:rPr>
                <w:b/>
                <w:color w:val="000000"/>
              </w:rPr>
            </w:pPr>
            <w:r>
              <w:rPr>
                <w:b/>
                <w:color w:val="000000"/>
              </w:rPr>
              <w:t>9,930</w:t>
            </w:r>
          </w:p>
        </w:tc>
        <w:tc>
          <w:tcPr>
            <w:tcW w:w="850" w:type="dxa"/>
            <w:gridSpan w:val="2"/>
            <w:tcBorders>
              <w:top w:val="nil"/>
              <w:left w:val="nil"/>
              <w:bottom w:val="single" w:sz="4" w:space="0" w:color="auto"/>
              <w:right w:val="nil"/>
            </w:tcBorders>
            <w:shd w:val="clear" w:color="000000" w:fill="FFFFFF"/>
            <w:noWrap/>
            <w:vAlign w:val="center"/>
            <w:hideMark/>
          </w:tcPr>
          <w:p w14:paraId="28488CFF" w14:textId="7413037F" w:rsidR="00D402B4" w:rsidRPr="001D2C8E" w:rsidRDefault="00D402B4" w:rsidP="008F6363">
            <w:pPr>
              <w:pStyle w:val="TableTextRight"/>
              <w:rPr>
                <w:b/>
                <w:color w:val="000000"/>
              </w:rPr>
            </w:pPr>
            <w:r>
              <w:rPr>
                <w:b/>
                <w:color w:val="000000"/>
              </w:rPr>
              <w:t>10,513</w:t>
            </w:r>
          </w:p>
        </w:tc>
        <w:tc>
          <w:tcPr>
            <w:tcW w:w="851" w:type="dxa"/>
            <w:tcBorders>
              <w:top w:val="nil"/>
              <w:left w:val="nil"/>
              <w:bottom w:val="single" w:sz="4" w:space="0" w:color="auto"/>
              <w:right w:val="nil"/>
            </w:tcBorders>
            <w:shd w:val="clear" w:color="000000" w:fill="FFFFFF"/>
            <w:noWrap/>
            <w:vAlign w:val="center"/>
            <w:hideMark/>
          </w:tcPr>
          <w:p w14:paraId="0255CA16" w14:textId="1BE98E35" w:rsidR="00D402B4" w:rsidRPr="001D2C8E" w:rsidRDefault="00D402B4" w:rsidP="008F6363">
            <w:pPr>
              <w:pStyle w:val="TableTextRight"/>
              <w:rPr>
                <w:b/>
                <w:color w:val="000000"/>
              </w:rPr>
            </w:pPr>
            <w:r>
              <w:rPr>
                <w:b/>
                <w:color w:val="000000"/>
              </w:rPr>
              <w:t>11,286</w:t>
            </w:r>
          </w:p>
        </w:tc>
      </w:tr>
      <w:tr w:rsidR="00D402B4" w:rsidRPr="001D2C8E" w14:paraId="363911F6" w14:textId="77777777" w:rsidTr="00B80D97">
        <w:trPr>
          <w:trHeight w:val="225"/>
        </w:trPr>
        <w:tc>
          <w:tcPr>
            <w:tcW w:w="3402" w:type="dxa"/>
            <w:tcBorders>
              <w:top w:val="nil"/>
              <w:left w:val="nil"/>
              <w:bottom w:val="nil"/>
              <w:right w:val="nil"/>
            </w:tcBorders>
            <w:shd w:val="clear" w:color="000000" w:fill="FFFFFF"/>
            <w:noWrap/>
            <w:vAlign w:val="center"/>
            <w:hideMark/>
          </w:tcPr>
          <w:p w14:paraId="5A9CADDB" w14:textId="77777777" w:rsidR="00D402B4" w:rsidRPr="001D2C8E" w:rsidRDefault="00D402B4" w:rsidP="00107CA0">
            <w:pPr>
              <w:pStyle w:val="TableTextLeft"/>
              <w:rPr>
                <w:b/>
              </w:rPr>
            </w:pPr>
            <w:r w:rsidRPr="001D2C8E">
              <w:rPr>
                <w:b/>
              </w:rPr>
              <w:t>Total interest</w:t>
            </w:r>
          </w:p>
        </w:tc>
        <w:tc>
          <w:tcPr>
            <w:tcW w:w="851" w:type="dxa"/>
            <w:tcBorders>
              <w:top w:val="single" w:sz="4" w:space="0" w:color="auto"/>
              <w:left w:val="nil"/>
              <w:bottom w:val="single" w:sz="4" w:space="0" w:color="293F5B"/>
              <w:right w:val="nil"/>
            </w:tcBorders>
            <w:shd w:val="clear" w:color="000000" w:fill="FFFFFF"/>
            <w:noWrap/>
            <w:vAlign w:val="center"/>
            <w:hideMark/>
          </w:tcPr>
          <w:p w14:paraId="47C68F30" w14:textId="43F0DF02" w:rsidR="00D402B4" w:rsidRPr="001D2C8E" w:rsidRDefault="00D402B4" w:rsidP="008F6363">
            <w:pPr>
              <w:pStyle w:val="TableTextRight"/>
              <w:rPr>
                <w:b/>
                <w:color w:val="000000"/>
              </w:rPr>
            </w:pPr>
            <w:r>
              <w:rPr>
                <w:b/>
                <w:color w:val="000000"/>
              </w:rPr>
              <w:t>11,131</w:t>
            </w:r>
          </w:p>
        </w:tc>
        <w:tc>
          <w:tcPr>
            <w:tcW w:w="992" w:type="dxa"/>
            <w:tcBorders>
              <w:top w:val="single" w:sz="4" w:space="0" w:color="auto"/>
              <w:left w:val="nil"/>
              <w:bottom w:val="single" w:sz="4" w:space="0" w:color="293F5B"/>
              <w:right w:val="nil"/>
            </w:tcBorders>
            <w:shd w:val="clear" w:color="000000" w:fill="E6F2FF"/>
            <w:noWrap/>
            <w:vAlign w:val="center"/>
            <w:hideMark/>
          </w:tcPr>
          <w:p w14:paraId="276FFC1B" w14:textId="6D783211" w:rsidR="00D402B4" w:rsidRPr="001D2C8E" w:rsidRDefault="00D402B4" w:rsidP="008F6363">
            <w:pPr>
              <w:pStyle w:val="TableTextRight"/>
              <w:rPr>
                <w:b/>
                <w:color w:val="000000"/>
              </w:rPr>
            </w:pPr>
            <w:r>
              <w:rPr>
                <w:b/>
                <w:color w:val="000000"/>
              </w:rPr>
              <w:t>10,276</w:t>
            </w:r>
          </w:p>
        </w:tc>
        <w:tc>
          <w:tcPr>
            <w:tcW w:w="851" w:type="dxa"/>
            <w:tcBorders>
              <w:top w:val="single" w:sz="4" w:space="0" w:color="auto"/>
              <w:left w:val="nil"/>
              <w:bottom w:val="single" w:sz="4" w:space="0" w:color="293F5B"/>
              <w:right w:val="nil"/>
            </w:tcBorders>
            <w:shd w:val="clear" w:color="000000" w:fill="FFFFFF"/>
            <w:noWrap/>
            <w:vAlign w:val="center"/>
            <w:hideMark/>
          </w:tcPr>
          <w:p w14:paraId="0E275F38" w14:textId="38071022" w:rsidR="00D402B4" w:rsidRPr="001D2C8E" w:rsidRDefault="00D402B4" w:rsidP="008F6363">
            <w:pPr>
              <w:pStyle w:val="TableTextRight"/>
              <w:rPr>
                <w:b/>
                <w:color w:val="000000"/>
              </w:rPr>
            </w:pPr>
            <w:r>
              <w:rPr>
                <w:b/>
                <w:color w:val="000000"/>
              </w:rPr>
              <w:t>9,998</w:t>
            </w:r>
          </w:p>
        </w:tc>
        <w:tc>
          <w:tcPr>
            <w:tcW w:w="850" w:type="dxa"/>
            <w:gridSpan w:val="2"/>
            <w:tcBorders>
              <w:top w:val="single" w:sz="4" w:space="0" w:color="auto"/>
              <w:left w:val="nil"/>
              <w:bottom w:val="single" w:sz="4" w:space="0" w:color="293F5B"/>
              <w:right w:val="nil"/>
            </w:tcBorders>
            <w:shd w:val="clear" w:color="000000" w:fill="FFFFFF"/>
            <w:noWrap/>
            <w:vAlign w:val="center"/>
            <w:hideMark/>
          </w:tcPr>
          <w:p w14:paraId="177C9ECB" w14:textId="3E0ECCEA" w:rsidR="00D402B4" w:rsidRPr="001D2C8E" w:rsidRDefault="00D402B4" w:rsidP="008F6363">
            <w:pPr>
              <w:pStyle w:val="TableTextRight"/>
              <w:rPr>
                <w:b/>
                <w:color w:val="000000"/>
              </w:rPr>
            </w:pPr>
            <w:r>
              <w:rPr>
                <w:b/>
                <w:color w:val="000000"/>
              </w:rPr>
              <w:t>10,573</w:t>
            </w:r>
          </w:p>
        </w:tc>
        <w:tc>
          <w:tcPr>
            <w:tcW w:w="851" w:type="dxa"/>
            <w:tcBorders>
              <w:top w:val="single" w:sz="4" w:space="0" w:color="auto"/>
              <w:left w:val="nil"/>
              <w:bottom w:val="single" w:sz="4" w:space="0" w:color="293F5B"/>
              <w:right w:val="nil"/>
            </w:tcBorders>
            <w:shd w:val="clear" w:color="000000" w:fill="FFFFFF"/>
            <w:noWrap/>
            <w:vAlign w:val="center"/>
            <w:hideMark/>
          </w:tcPr>
          <w:p w14:paraId="22E4951C" w14:textId="719186C1" w:rsidR="00D402B4" w:rsidRPr="001D2C8E" w:rsidRDefault="00D402B4" w:rsidP="008F6363">
            <w:pPr>
              <w:pStyle w:val="TableTextRight"/>
              <w:rPr>
                <w:b/>
                <w:color w:val="000000"/>
              </w:rPr>
            </w:pPr>
            <w:r>
              <w:rPr>
                <w:b/>
                <w:color w:val="000000"/>
              </w:rPr>
              <w:t>11,338</w:t>
            </w:r>
          </w:p>
        </w:tc>
      </w:tr>
      <w:tr w:rsidR="003B41A7" w:rsidRPr="001D2C8E" w14:paraId="1D1D8B28" w14:textId="77777777" w:rsidTr="00B80D97">
        <w:trPr>
          <w:trHeight w:val="225"/>
        </w:trPr>
        <w:tc>
          <w:tcPr>
            <w:tcW w:w="3402" w:type="dxa"/>
            <w:tcBorders>
              <w:top w:val="nil"/>
              <w:left w:val="nil"/>
              <w:bottom w:val="nil"/>
              <w:right w:val="nil"/>
            </w:tcBorders>
            <w:shd w:val="clear" w:color="000000" w:fill="FFFFFF"/>
            <w:noWrap/>
            <w:vAlign w:val="center"/>
            <w:hideMark/>
          </w:tcPr>
          <w:p w14:paraId="5C4BF82F" w14:textId="77777777" w:rsidR="001D2C8E" w:rsidRPr="001D2C8E" w:rsidRDefault="001D2C8E" w:rsidP="00107CA0">
            <w:pPr>
              <w:pStyle w:val="TableTextLeft"/>
              <w:rPr>
                <w:b/>
              </w:rPr>
            </w:pPr>
            <w:r w:rsidRPr="001D2C8E">
              <w:rPr>
                <w:b/>
              </w:rPr>
              <w:t>Dividends and distributions</w:t>
            </w:r>
          </w:p>
        </w:tc>
        <w:tc>
          <w:tcPr>
            <w:tcW w:w="851" w:type="dxa"/>
            <w:tcBorders>
              <w:top w:val="nil"/>
              <w:left w:val="nil"/>
              <w:bottom w:val="nil"/>
              <w:right w:val="nil"/>
            </w:tcBorders>
            <w:shd w:val="clear" w:color="000000" w:fill="FFFFFF"/>
            <w:noWrap/>
            <w:vAlign w:val="center"/>
            <w:hideMark/>
          </w:tcPr>
          <w:p w14:paraId="697D0FB8" w14:textId="77777777" w:rsidR="001D2C8E" w:rsidRPr="001D2C8E" w:rsidRDefault="001D2C8E" w:rsidP="008F6363">
            <w:pPr>
              <w:pStyle w:val="TableTextRight"/>
              <w:rPr>
                <w:color w:val="000000"/>
              </w:rPr>
            </w:pPr>
            <w:r w:rsidRPr="001D2C8E">
              <w:rPr>
                <w:color w:val="000000"/>
              </w:rPr>
              <w:t> </w:t>
            </w:r>
          </w:p>
        </w:tc>
        <w:tc>
          <w:tcPr>
            <w:tcW w:w="992" w:type="dxa"/>
            <w:tcBorders>
              <w:top w:val="nil"/>
              <w:left w:val="nil"/>
              <w:bottom w:val="nil"/>
              <w:right w:val="nil"/>
            </w:tcBorders>
            <w:shd w:val="clear" w:color="000000" w:fill="E6F2FF"/>
            <w:noWrap/>
            <w:vAlign w:val="center"/>
            <w:hideMark/>
          </w:tcPr>
          <w:p w14:paraId="7DD0EE37"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534FB528" w14:textId="77777777" w:rsidR="001D2C8E" w:rsidRPr="001D2C8E" w:rsidRDefault="001D2C8E" w:rsidP="008F6363">
            <w:pPr>
              <w:pStyle w:val="TableTextRight"/>
              <w:rPr>
                <w:color w:val="000000"/>
              </w:rPr>
            </w:pPr>
            <w:r w:rsidRPr="001D2C8E">
              <w:rPr>
                <w:color w:val="000000"/>
              </w:rPr>
              <w:t> </w:t>
            </w:r>
          </w:p>
        </w:tc>
        <w:tc>
          <w:tcPr>
            <w:tcW w:w="850" w:type="dxa"/>
            <w:gridSpan w:val="2"/>
            <w:tcBorders>
              <w:top w:val="nil"/>
              <w:left w:val="nil"/>
              <w:bottom w:val="nil"/>
              <w:right w:val="nil"/>
            </w:tcBorders>
            <w:shd w:val="clear" w:color="000000" w:fill="FFFFFF"/>
            <w:noWrap/>
            <w:vAlign w:val="center"/>
            <w:hideMark/>
          </w:tcPr>
          <w:p w14:paraId="33E59F11" w14:textId="77777777" w:rsidR="001D2C8E" w:rsidRPr="001D2C8E" w:rsidRDefault="001D2C8E" w:rsidP="008F6363">
            <w:pPr>
              <w:pStyle w:val="TableTextRight"/>
              <w:rPr>
                <w:color w:val="000000"/>
              </w:rPr>
            </w:pPr>
            <w:r w:rsidRPr="001D2C8E">
              <w:rPr>
                <w:color w:val="000000"/>
              </w:rPr>
              <w:t> </w:t>
            </w:r>
          </w:p>
        </w:tc>
        <w:tc>
          <w:tcPr>
            <w:tcW w:w="851" w:type="dxa"/>
            <w:tcBorders>
              <w:top w:val="nil"/>
              <w:left w:val="nil"/>
              <w:bottom w:val="nil"/>
              <w:right w:val="nil"/>
            </w:tcBorders>
            <w:shd w:val="clear" w:color="000000" w:fill="FFFFFF"/>
            <w:noWrap/>
            <w:vAlign w:val="center"/>
            <w:hideMark/>
          </w:tcPr>
          <w:p w14:paraId="0B14195C" w14:textId="77777777" w:rsidR="001D2C8E" w:rsidRPr="001D2C8E" w:rsidRDefault="001D2C8E" w:rsidP="008F6363">
            <w:pPr>
              <w:pStyle w:val="TableTextRight"/>
              <w:rPr>
                <w:color w:val="000000"/>
              </w:rPr>
            </w:pPr>
            <w:r w:rsidRPr="001D2C8E">
              <w:rPr>
                <w:color w:val="000000"/>
              </w:rPr>
              <w:t> </w:t>
            </w:r>
          </w:p>
        </w:tc>
      </w:tr>
      <w:tr w:rsidR="005B43BF" w:rsidRPr="001D2C8E" w14:paraId="42E05432" w14:textId="77777777" w:rsidTr="00B80D97">
        <w:trPr>
          <w:trHeight w:val="225"/>
        </w:trPr>
        <w:tc>
          <w:tcPr>
            <w:tcW w:w="3402" w:type="dxa"/>
            <w:tcBorders>
              <w:top w:val="nil"/>
              <w:left w:val="nil"/>
              <w:bottom w:val="nil"/>
              <w:right w:val="nil"/>
            </w:tcBorders>
            <w:shd w:val="clear" w:color="000000" w:fill="FFFFFF"/>
            <w:noWrap/>
            <w:vAlign w:val="center"/>
            <w:hideMark/>
          </w:tcPr>
          <w:p w14:paraId="117041DE" w14:textId="77777777" w:rsidR="005B43BF" w:rsidRPr="001D2C8E" w:rsidRDefault="005B43BF" w:rsidP="006C1120">
            <w:pPr>
              <w:pStyle w:val="TableTextIndented"/>
            </w:pPr>
            <w:r w:rsidRPr="001D2C8E">
              <w:t>Dividends from other public sector entities</w:t>
            </w:r>
          </w:p>
        </w:tc>
        <w:tc>
          <w:tcPr>
            <w:tcW w:w="851" w:type="dxa"/>
            <w:tcBorders>
              <w:top w:val="nil"/>
              <w:left w:val="nil"/>
              <w:bottom w:val="nil"/>
              <w:right w:val="nil"/>
            </w:tcBorders>
            <w:shd w:val="clear" w:color="000000" w:fill="FFFFFF"/>
            <w:noWrap/>
            <w:vAlign w:val="center"/>
            <w:hideMark/>
          </w:tcPr>
          <w:p w14:paraId="1A9BAE4D" w14:textId="69312891" w:rsidR="005B43BF" w:rsidRPr="001D2C8E" w:rsidRDefault="005B43BF" w:rsidP="008F6363">
            <w:pPr>
              <w:pStyle w:val="TableTextRight"/>
              <w:rPr>
                <w:color w:val="000000"/>
              </w:rPr>
            </w:pPr>
            <w:r>
              <w:rPr>
                <w:color w:val="000000"/>
              </w:rPr>
              <w:t>266</w:t>
            </w:r>
          </w:p>
        </w:tc>
        <w:tc>
          <w:tcPr>
            <w:tcW w:w="992" w:type="dxa"/>
            <w:tcBorders>
              <w:top w:val="nil"/>
              <w:left w:val="nil"/>
              <w:bottom w:val="nil"/>
              <w:right w:val="nil"/>
            </w:tcBorders>
            <w:shd w:val="clear" w:color="000000" w:fill="E6F2FF"/>
            <w:noWrap/>
            <w:vAlign w:val="center"/>
            <w:hideMark/>
          </w:tcPr>
          <w:p w14:paraId="617A92D7" w14:textId="54D9ADD4" w:rsidR="005B43BF" w:rsidRPr="001D2C8E" w:rsidRDefault="005B43BF" w:rsidP="008F6363">
            <w:pPr>
              <w:pStyle w:val="TableTextRight"/>
              <w:rPr>
                <w:color w:val="000000"/>
              </w:rPr>
            </w:pPr>
            <w:r>
              <w:rPr>
                <w:color w:val="000000"/>
              </w:rPr>
              <w:t>258</w:t>
            </w:r>
          </w:p>
        </w:tc>
        <w:tc>
          <w:tcPr>
            <w:tcW w:w="851" w:type="dxa"/>
            <w:tcBorders>
              <w:top w:val="nil"/>
              <w:left w:val="nil"/>
              <w:bottom w:val="nil"/>
              <w:right w:val="nil"/>
            </w:tcBorders>
            <w:shd w:val="clear" w:color="000000" w:fill="FFFFFF"/>
            <w:noWrap/>
            <w:vAlign w:val="center"/>
            <w:hideMark/>
          </w:tcPr>
          <w:p w14:paraId="36603E43" w14:textId="01C08F7E" w:rsidR="005B43BF" w:rsidRPr="001D2C8E" w:rsidRDefault="005B43BF" w:rsidP="008F6363">
            <w:pPr>
              <w:pStyle w:val="TableTextRight"/>
              <w:rPr>
                <w:color w:val="000000"/>
              </w:rPr>
            </w:pPr>
            <w:r>
              <w:rPr>
                <w:color w:val="000000"/>
              </w:rPr>
              <w:t>255</w:t>
            </w:r>
          </w:p>
        </w:tc>
        <w:tc>
          <w:tcPr>
            <w:tcW w:w="850" w:type="dxa"/>
            <w:gridSpan w:val="2"/>
            <w:tcBorders>
              <w:top w:val="nil"/>
              <w:left w:val="nil"/>
              <w:bottom w:val="nil"/>
              <w:right w:val="nil"/>
            </w:tcBorders>
            <w:shd w:val="clear" w:color="000000" w:fill="FFFFFF"/>
            <w:noWrap/>
            <w:vAlign w:val="center"/>
            <w:hideMark/>
          </w:tcPr>
          <w:p w14:paraId="2541695B" w14:textId="5EF561FE" w:rsidR="005B43BF" w:rsidRPr="001D2C8E" w:rsidRDefault="005B43BF" w:rsidP="008F6363">
            <w:pPr>
              <w:pStyle w:val="TableTextRight"/>
              <w:rPr>
                <w:color w:val="000000"/>
              </w:rPr>
            </w:pPr>
            <w:r>
              <w:rPr>
                <w:color w:val="000000"/>
              </w:rPr>
              <w:t>243</w:t>
            </w:r>
          </w:p>
        </w:tc>
        <w:tc>
          <w:tcPr>
            <w:tcW w:w="851" w:type="dxa"/>
            <w:tcBorders>
              <w:top w:val="nil"/>
              <w:left w:val="nil"/>
              <w:bottom w:val="nil"/>
              <w:right w:val="nil"/>
            </w:tcBorders>
            <w:shd w:val="clear" w:color="000000" w:fill="FFFFFF"/>
            <w:noWrap/>
            <w:vAlign w:val="center"/>
            <w:hideMark/>
          </w:tcPr>
          <w:p w14:paraId="597399CE" w14:textId="25FC0262" w:rsidR="005B43BF" w:rsidRPr="001D2C8E" w:rsidRDefault="005B43BF" w:rsidP="008F6363">
            <w:pPr>
              <w:pStyle w:val="TableTextRight"/>
              <w:rPr>
                <w:color w:val="000000"/>
              </w:rPr>
            </w:pPr>
            <w:r>
              <w:rPr>
                <w:color w:val="000000"/>
              </w:rPr>
              <w:t>273</w:t>
            </w:r>
          </w:p>
        </w:tc>
      </w:tr>
      <w:tr w:rsidR="005B43BF" w:rsidRPr="001D2C8E" w14:paraId="1C2593C8" w14:textId="77777777" w:rsidTr="00B80D97">
        <w:trPr>
          <w:trHeight w:val="225"/>
        </w:trPr>
        <w:tc>
          <w:tcPr>
            <w:tcW w:w="3402" w:type="dxa"/>
            <w:tcBorders>
              <w:top w:val="nil"/>
              <w:left w:val="nil"/>
              <w:bottom w:val="nil"/>
              <w:right w:val="nil"/>
            </w:tcBorders>
            <w:shd w:val="clear" w:color="000000" w:fill="FFFFFF"/>
            <w:noWrap/>
            <w:vAlign w:val="center"/>
            <w:hideMark/>
          </w:tcPr>
          <w:p w14:paraId="330ACC45" w14:textId="77777777" w:rsidR="005B43BF" w:rsidRPr="001D2C8E" w:rsidRDefault="005B43BF" w:rsidP="006C1120">
            <w:pPr>
              <w:pStyle w:val="TableTextIndented"/>
            </w:pPr>
            <w:r w:rsidRPr="001D2C8E">
              <w:t>Other dividends and distributions</w:t>
            </w:r>
          </w:p>
        </w:tc>
        <w:tc>
          <w:tcPr>
            <w:tcW w:w="851" w:type="dxa"/>
            <w:tcBorders>
              <w:top w:val="nil"/>
              <w:left w:val="nil"/>
              <w:bottom w:val="single" w:sz="4" w:space="0" w:color="293F5B"/>
              <w:right w:val="nil"/>
            </w:tcBorders>
            <w:shd w:val="clear" w:color="000000" w:fill="FFFFFF"/>
            <w:noWrap/>
            <w:vAlign w:val="center"/>
            <w:hideMark/>
          </w:tcPr>
          <w:p w14:paraId="404B3F32" w14:textId="61E18113" w:rsidR="005B43BF" w:rsidRPr="001D2C8E" w:rsidRDefault="005B43BF" w:rsidP="008F6363">
            <w:pPr>
              <w:pStyle w:val="TableTextRight"/>
              <w:rPr>
                <w:color w:val="000000"/>
              </w:rPr>
            </w:pPr>
            <w:r>
              <w:rPr>
                <w:color w:val="000000"/>
              </w:rPr>
              <w:t>5,532</w:t>
            </w:r>
          </w:p>
        </w:tc>
        <w:tc>
          <w:tcPr>
            <w:tcW w:w="992" w:type="dxa"/>
            <w:tcBorders>
              <w:top w:val="nil"/>
              <w:left w:val="nil"/>
              <w:bottom w:val="single" w:sz="4" w:space="0" w:color="293F5B"/>
              <w:right w:val="nil"/>
            </w:tcBorders>
            <w:shd w:val="clear" w:color="000000" w:fill="E6F2FF"/>
            <w:noWrap/>
            <w:vAlign w:val="center"/>
            <w:hideMark/>
          </w:tcPr>
          <w:p w14:paraId="21C4299F" w14:textId="5C0401A1" w:rsidR="005B43BF" w:rsidRPr="001D2C8E" w:rsidRDefault="005B43BF" w:rsidP="008F6363">
            <w:pPr>
              <w:pStyle w:val="TableTextRight"/>
              <w:rPr>
                <w:color w:val="000000"/>
              </w:rPr>
            </w:pPr>
            <w:r>
              <w:rPr>
                <w:color w:val="000000"/>
              </w:rPr>
              <w:t>6,557</w:t>
            </w:r>
          </w:p>
        </w:tc>
        <w:tc>
          <w:tcPr>
            <w:tcW w:w="851" w:type="dxa"/>
            <w:tcBorders>
              <w:top w:val="nil"/>
              <w:left w:val="nil"/>
              <w:bottom w:val="single" w:sz="4" w:space="0" w:color="293F5B"/>
              <w:right w:val="nil"/>
            </w:tcBorders>
            <w:shd w:val="clear" w:color="000000" w:fill="FFFFFF"/>
            <w:noWrap/>
            <w:vAlign w:val="center"/>
            <w:hideMark/>
          </w:tcPr>
          <w:p w14:paraId="7D7D8509" w14:textId="6B6B764F" w:rsidR="005B43BF" w:rsidRPr="001D2C8E" w:rsidRDefault="005B43BF" w:rsidP="008F6363">
            <w:pPr>
              <w:pStyle w:val="TableTextRight"/>
              <w:rPr>
                <w:color w:val="000000"/>
              </w:rPr>
            </w:pPr>
            <w:r>
              <w:rPr>
                <w:color w:val="000000"/>
              </w:rPr>
              <w:t>6,933</w:t>
            </w:r>
          </w:p>
        </w:tc>
        <w:tc>
          <w:tcPr>
            <w:tcW w:w="850" w:type="dxa"/>
            <w:gridSpan w:val="2"/>
            <w:tcBorders>
              <w:top w:val="nil"/>
              <w:left w:val="nil"/>
              <w:bottom w:val="single" w:sz="4" w:space="0" w:color="293F5B"/>
              <w:right w:val="nil"/>
            </w:tcBorders>
            <w:shd w:val="clear" w:color="000000" w:fill="FFFFFF"/>
            <w:noWrap/>
            <w:vAlign w:val="center"/>
            <w:hideMark/>
          </w:tcPr>
          <w:p w14:paraId="5365A706" w14:textId="58D04699" w:rsidR="005B43BF" w:rsidRPr="001D2C8E" w:rsidRDefault="005B43BF" w:rsidP="008F6363">
            <w:pPr>
              <w:pStyle w:val="TableTextRight"/>
              <w:rPr>
                <w:color w:val="000000"/>
              </w:rPr>
            </w:pPr>
            <w:r>
              <w:rPr>
                <w:color w:val="000000"/>
              </w:rPr>
              <w:t>7,309</w:t>
            </w:r>
          </w:p>
        </w:tc>
        <w:tc>
          <w:tcPr>
            <w:tcW w:w="851" w:type="dxa"/>
            <w:tcBorders>
              <w:top w:val="nil"/>
              <w:left w:val="nil"/>
              <w:bottom w:val="single" w:sz="4" w:space="0" w:color="293F5B"/>
              <w:right w:val="nil"/>
            </w:tcBorders>
            <w:shd w:val="clear" w:color="000000" w:fill="FFFFFF"/>
            <w:noWrap/>
            <w:vAlign w:val="center"/>
            <w:hideMark/>
          </w:tcPr>
          <w:p w14:paraId="7DC57BA6" w14:textId="04562E4F" w:rsidR="005B43BF" w:rsidRPr="001D2C8E" w:rsidRDefault="005B43BF" w:rsidP="008F6363">
            <w:pPr>
              <w:pStyle w:val="TableTextRight"/>
              <w:rPr>
                <w:color w:val="000000"/>
              </w:rPr>
            </w:pPr>
            <w:r>
              <w:rPr>
                <w:color w:val="000000"/>
              </w:rPr>
              <w:t>7,755</w:t>
            </w:r>
          </w:p>
        </w:tc>
      </w:tr>
      <w:tr w:rsidR="005B43BF" w:rsidRPr="001D2C8E" w14:paraId="09CB91B1" w14:textId="77777777" w:rsidTr="00B80D97">
        <w:trPr>
          <w:trHeight w:val="225"/>
        </w:trPr>
        <w:tc>
          <w:tcPr>
            <w:tcW w:w="3402" w:type="dxa"/>
            <w:tcBorders>
              <w:top w:val="nil"/>
              <w:left w:val="nil"/>
              <w:bottom w:val="nil"/>
              <w:right w:val="nil"/>
            </w:tcBorders>
            <w:shd w:val="clear" w:color="000000" w:fill="FFFFFF"/>
            <w:noWrap/>
            <w:vAlign w:val="center"/>
            <w:hideMark/>
          </w:tcPr>
          <w:p w14:paraId="68A31886" w14:textId="77777777" w:rsidR="005B43BF" w:rsidRPr="001D2C8E" w:rsidRDefault="005B43BF" w:rsidP="00107CA0">
            <w:pPr>
              <w:pStyle w:val="TableTextLeft"/>
              <w:rPr>
                <w:b/>
              </w:rPr>
            </w:pPr>
            <w:r w:rsidRPr="001D2C8E">
              <w:rPr>
                <w:b/>
              </w:rPr>
              <w:t>Total dividends and distributions</w:t>
            </w:r>
          </w:p>
        </w:tc>
        <w:tc>
          <w:tcPr>
            <w:tcW w:w="851" w:type="dxa"/>
            <w:tcBorders>
              <w:top w:val="nil"/>
              <w:left w:val="nil"/>
              <w:bottom w:val="single" w:sz="4" w:space="0" w:color="293F5B"/>
              <w:right w:val="nil"/>
            </w:tcBorders>
            <w:shd w:val="clear" w:color="000000" w:fill="FFFFFF"/>
            <w:noWrap/>
            <w:vAlign w:val="center"/>
            <w:hideMark/>
          </w:tcPr>
          <w:p w14:paraId="53F0C7B6" w14:textId="71D4A79C" w:rsidR="005B43BF" w:rsidRPr="001D2C8E" w:rsidRDefault="005B43BF" w:rsidP="008F6363">
            <w:pPr>
              <w:pStyle w:val="TableTextRight"/>
              <w:rPr>
                <w:b/>
                <w:color w:val="000000"/>
              </w:rPr>
            </w:pPr>
            <w:r>
              <w:rPr>
                <w:b/>
                <w:color w:val="000000"/>
              </w:rPr>
              <w:t>5,798</w:t>
            </w:r>
          </w:p>
        </w:tc>
        <w:tc>
          <w:tcPr>
            <w:tcW w:w="992" w:type="dxa"/>
            <w:tcBorders>
              <w:top w:val="nil"/>
              <w:left w:val="nil"/>
              <w:bottom w:val="single" w:sz="4" w:space="0" w:color="293F5B"/>
              <w:right w:val="nil"/>
            </w:tcBorders>
            <w:shd w:val="clear" w:color="000000" w:fill="E6F2FF"/>
            <w:noWrap/>
            <w:vAlign w:val="center"/>
            <w:hideMark/>
          </w:tcPr>
          <w:p w14:paraId="572A74B2" w14:textId="55F2E19A" w:rsidR="005B43BF" w:rsidRPr="001D2C8E" w:rsidRDefault="005B43BF" w:rsidP="008F6363">
            <w:pPr>
              <w:pStyle w:val="TableTextRight"/>
              <w:rPr>
                <w:b/>
                <w:color w:val="000000"/>
              </w:rPr>
            </w:pPr>
            <w:r>
              <w:rPr>
                <w:b/>
                <w:color w:val="000000"/>
              </w:rPr>
              <w:t>6,815</w:t>
            </w:r>
          </w:p>
        </w:tc>
        <w:tc>
          <w:tcPr>
            <w:tcW w:w="851" w:type="dxa"/>
            <w:tcBorders>
              <w:top w:val="nil"/>
              <w:left w:val="nil"/>
              <w:bottom w:val="single" w:sz="4" w:space="0" w:color="293F5B"/>
              <w:right w:val="nil"/>
            </w:tcBorders>
            <w:shd w:val="clear" w:color="000000" w:fill="FFFFFF"/>
            <w:noWrap/>
            <w:vAlign w:val="center"/>
            <w:hideMark/>
          </w:tcPr>
          <w:p w14:paraId="12CBB9DE" w14:textId="7B7721AC" w:rsidR="005B43BF" w:rsidRPr="001D2C8E" w:rsidRDefault="005B43BF" w:rsidP="008F6363">
            <w:pPr>
              <w:pStyle w:val="TableTextRight"/>
              <w:rPr>
                <w:b/>
                <w:color w:val="000000"/>
              </w:rPr>
            </w:pPr>
            <w:r>
              <w:rPr>
                <w:b/>
                <w:color w:val="000000"/>
              </w:rPr>
              <w:t>7,188</w:t>
            </w:r>
          </w:p>
        </w:tc>
        <w:tc>
          <w:tcPr>
            <w:tcW w:w="850" w:type="dxa"/>
            <w:gridSpan w:val="2"/>
            <w:tcBorders>
              <w:top w:val="nil"/>
              <w:left w:val="nil"/>
              <w:bottom w:val="single" w:sz="4" w:space="0" w:color="293F5B"/>
              <w:right w:val="nil"/>
            </w:tcBorders>
            <w:shd w:val="clear" w:color="000000" w:fill="FFFFFF"/>
            <w:noWrap/>
            <w:vAlign w:val="center"/>
            <w:hideMark/>
          </w:tcPr>
          <w:p w14:paraId="2CA62E06" w14:textId="3E1C5660" w:rsidR="005B43BF" w:rsidRPr="001D2C8E" w:rsidRDefault="005B43BF" w:rsidP="008F6363">
            <w:pPr>
              <w:pStyle w:val="TableTextRight"/>
              <w:rPr>
                <w:b/>
                <w:color w:val="000000"/>
              </w:rPr>
            </w:pPr>
            <w:r>
              <w:rPr>
                <w:b/>
                <w:color w:val="000000"/>
              </w:rPr>
              <w:t>7,552</w:t>
            </w:r>
          </w:p>
        </w:tc>
        <w:tc>
          <w:tcPr>
            <w:tcW w:w="851" w:type="dxa"/>
            <w:tcBorders>
              <w:top w:val="nil"/>
              <w:left w:val="nil"/>
              <w:bottom w:val="single" w:sz="4" w:space="0" w:color="293F5B"/>
              <w:right w:val="nil"/>
            </w:tcBorders>
            <w:shd w:val="clear" w:color="000000" w:fill="FFFFFF"/>
            <w:noWrap/>
            <w:vAlign w:val="center"/>
            <w:hideMark/>
          </w:tcPr>
          <w:p w14:paraId="7E4074BE" w14:textId="57C9BAA0" w:rsidR="005B43BF" w:rsidRPr="001D2C8E" w:rsidRDefault="005B43BF" w:rsidP="008F6363">
            <w:pPr>
              <w:pStyle w:val="TableTextRight"/>
              <w:rPr>
                <w:b/>
                <w:color w:val="000000"/>
              </w:rPr>
            </w:pPr>
            <w:r>
              <w:rPr>
                <w:b/>
                <w:color w:val="000000"/>
              </w:rPr>
              <w:t>8,029</w:t>
            </w:r>
          </w:p>
        </w:tc>
      </w:tr>
      <w:tr w:rsidR="005B43BF" w:rsidRPr="001D2C8E" w14:paraId="2F7D695F" w14:textId="77777777" w:rsidTr="00B80D97">
        <w:trPr>
          <w:trHeight w:val="157"/>
        </w:trPr>
        <w:tc>
          <w:tcPr>
            <w:tcW w:w="3402" w:type="dxa"/>
            <w:tcBorders>
              <w:top w:val="nil"/>
              <w:left w:val="nil"/>
              <w:bottom w:val="nil"/>
              <w:right w:val="nil"/>
            </w:tcBorders>
            <w:shd w:val="clear" w:color="000000" w:fill="FFFFFF"/>
            <w:noWrap/>
            <w:vAlign w:val="center"/>
            <w:hideMark/>
          </w:tcPr>
          <w:p w14:paraId="3CB9DD54" w14:textId="5294212D" w:rsidR="005B43BF" w:rsidRPr="001D2C8E" w:rsidRDefault="005B43BF" w:rsidP="00107CA0">
            <w:pPr>
              <w:pStyle w:val="TableTextLeft"/>
              <w:rPr>
                <w:b/>
              </w:rPr>
            </w:pPr>
            <w:r w:rsidRPr="001D2C8E">
              <w:rPr>
                <w:b/>
              </w:rPr>
              <w:t xml:space="preserve">Total interest and dividend and </w:t>
            </w:r>
          </w:p>
        </w:tc>
        <w:tc>
          <w:tcPr>
            <w:tcW w:w="851" w:type="dxa"/>
            <w:vMerge w:val="restart"/>
            <w:tcBorders>
              <w:top w:val="nil"/>
              <w:left w:val="nil"/>
              <w:right w:val="nil"/>
            </w:tcBorders>
            <w:shd w:val="clear" w:color="000000" w:fill="FFFFFF"/>
            <w:noWrap/>
            <w:vAlign w:val="center"/>
            <w:hideMark/>
          </w:tcPr>
          <w:p w14:paraId="416CB17D" w14:textId="216A7C12" w:rsidR="005B43BF" w:rsidRPr="001D2C8E" w:rsidRDefault="005B43BF" w:rsidP="008F6363">
            <w:pPr>
              <w:pStyle w:val="TableTextRight"/>
              <w:rPr>
                <w:b/>
                <w:color w:val="000000"/>
              </w:rPr>
            </w:pPr>
            <w:r>
              <w:rPr>
                <w:b/>
                <w:color w:val="000000"/>
              </w:rPr>
              <w:t>16,929</w:t>
            </w:r>
          </w:p>
        </w:tc>
        <w:tc>
          <w:tcPr>
            <w:tcW w:w="992" w:type="dxa"/>
            <w:vMerge w:val="restart"/>
            <w:tcBorders>
              <w:top w:val="nil"/>
              <w:left w:val="nil"/>
              <w:right w:val="nil"/>
            </w:tcBorders>
            <w:shd w:val="clear" w:color="000000" w:fill="E6F2FF"/>
            <w:noWrap/>
            <w:vAlign w:val="center"/>
            <w:hideMark/>
          </w:tcPr>
          <w:p w14:paraId="01E1D750" w14:textId="1B2F643E" w:rsidR="005B43BF" w:rsidRPr="001D2C8E" w:rsidRDefault="005B43BF" w:rsidP="008F6363">
            <w:pPr>
              <w:pStyle w:val="TableTextRight"/>
              <w:rPr>
                <w:b/>
                <w:color w:val="000000"/>
              </w:rPr>
            </w:pPr>
            <w:r>
              <w:rPr>
                <w:b/>
                <w:color w:val="000000"/>
              </w:rPr>
              <w:t>17,091</w:t>
            </w:r>
          </w:p>
        </w:tc>
        <w:tc>
          <w:tcPr>
            <w:tcW w:w="851" w:type="dxa"/>
            <w:vMerge w:val="restart"/>
            <w:tcBorders>
              <w:top w:val="nil"/>
              <w:left w:val="nil"/>
              <w:right w:val="nil"/>
            </w:tcBorders>
            <w:shd w:val="clear" w:color="000000" w:fill="FFFFFF"/>
            <w:noWrap/>
            <w:vAlign w:val="center"/>
            <w:hideMark/>
          </w:tcPr>
          <w:p w14:paraId="500DD5CE" w14:textId="28FB0253" w:rsidR="005B43BF" w:rsidRPr="001D2C8E" w:rsidRDefault="005B43BF" w:rsidP="008F6363">
            <w:pPr>
              <w:pStyle w:val="TableTextRight"/>
              <w:rPr>
                <w:b/>
                <w:color w:val="000000"/>
              </w:rPr>
            </w:pPr>
            <w:r>
              <w:rPr>
                <w:b/>
                <w:color w:val="000000"/>
              </w:rPr>
              <w:t>17,185</w:t>
            </w:r>
          </w:p>
        </w:tc>
        <w:tc>
          <w:tcPr>
            <w:tcW w:w="850" w:type="dxa"/>
            <w:gridSpan w:val="2"/>
            <w:vMerge w:val="restart"/>
            <w:tcBorders>
              <w:top w:val="nil"/>
              <w:left w:val="nil"/>
              <w:right w:val="nil"/>
            </w:tcBorders>
            <w:shd w:val="clear" w:color="000000" w:fill="FFFFFF"/>
            <w:noWrap/>
            <w:vAlign w:val="center"/>
            <w:hideMark/>
          </w:tcPr>
          <w:p w14:paraId="3DD00D17" w14:textId="2F653D58" w:rsidR="005B43BF" w:rsidRPr="001D2C8E" w:rsidRDefault="005B43BF" w:rsidP="008F6363">
            <w:pPr>
              <w:pStyle w:val="TableTextRight"/>
              <w:rPr>
                <w:b/>
                <w:color w:val="000000"/>
              </w:rPr>
            </w:pPr>
            <w:r>
              <w:rPr>
                <w:b/>
                <w:color w:val="000000"/>
              </w:rPr>
              <w:t>18,125</w:t>
            </w:r>
          </w:p>
        </w:tc>
        <w:tc>
          <w:tcPr>
            <w:tcW w:w="851" w:type="dxa"/>
            <w:vMerge w:val="restart"/>
            <w:tcBorders>
              <w:top w:val="nil"/>
              <w:left w:val="nil"/>
              <w:right w:val="nil"/>
            </w:tcBorders>
            <w:shd w:val="clear" w:color="000000" w:fill="FFFFFF"/>
            <w:noWrap/>
            <w:vAlign w:val="center"/>
            <w:hideMark/>
          </w:tcPr>
          <w:p w14:paraId="7193003F" w14:textId="466C18AB" w:rsidR="005B43BF" w:rsidRPr="001D2C8E" w:rsidRDefault="005B43BF" w:rsidP="008F6363">
            <w:pPr>
              <w:pStyle w:val="TableTextRight"/>
              <w:rPr>
                <w:b/>
                <w:color w:val="000000"/>
              </w:rPr>
            </w:pPr>
            <w:r>
              <w:rPr>
                <w:b/>
                <w:color w:val="000000"/>
              </w:rPr>
              <w:t>19,366</w:t>
            </w:r>
          </w:p>
        </w:tc>
      </w:tr>
      <w:tr w:rsidR="009766E9" w:rsidRPr="001D2C8E" w14:paraId="12DBC1B7" w14:textId="77777777" w:rsidTr="00B80D97">
        <w:trPr>
          <w:trHeight w:val="156"/>
        </w:trPr>
        <w:tc>
          <w:tcPr>
            <w:tcW w:w="3402" w:type="dxa"/>
            <w:tcBorders>
              <w:top w:val="nil"/>
              <w:left w:val="nil"/>
              <w:bottom w:val="single" w:sz="4" w:space="0" w:color="293F5B"/>
              <w:right w:val="nil"/>
            </w:tcBorders>
            <w:shd w:val="clear" w:color="000000" w:fill="FFFFFF"/>
            <w:noWrap/>
            <w:vAlign w:val="center"/>
          </w:tcPr>
          <w:p w14:paraId="4F5FBFBE" w14:textId="18AF258B" w:rsidR="009766E9" w:rsidRPr="00EE2475" w:rsidRDefault="009766E9" w:rsidP="00EE2475">
            <w:pPr>
              <w:pStyle w:val="TableTextIndented"/>
              <w:rPr>
                <w:b/>
              </w:rPr>
            </w:pPr>
            <w:r w:rsidRPr="00EE2475">
              <w:rPr>
                <w:b/>
              </w:rPr>
              <w:t>distribution revenue</w:t>
            </w:r>
          </w:p>
        </w:tc>
        <w:tc>
          <w:tcPr>
            <w:tcW w:w="851" w:type="dxa"/>
            <w:vMerge/>
            <w:tcBorders>
              <w:left w:val="nil"/>
              <w:bottom w:val="single" w:sz="4" w:space="0" w:color="293F5B"/>
              <w:right w:val="nil"/>
            </w:tcBorders>
            <w:shd w:val="clear" w:color="000000" w:fill="FFFFFF"/>
            <w:noWrap/>
            <w:vAlign w:val="center"/>
          </w:tcPr>
          <w:p w14:paraId="274BB02B" w14:textId="77777777" w:rsidR="009766E9" w:rsidRPr="001D2C8E" w:rsidRDefault="009766E9" w:rsidP="001D2C8E">
            <w:pPr>
              <w:spacing w:before="0" w:after="0" w:line="240" w:lineRule="auto"/>
              <w:jc w:val="right"/>
              <w:rPr>
                <w:rFonts w:ascii="Arial" w:hAnsi="Arial" w:cs="Arial"/>
                <w:b/>
                <w:bCs/>
                <w:color w:val="000000"/>
                <w:sz w:val="16"/>
                <w:szCs w:val="16"/>
              </w:rPr>
            </w:pPr>
          </w:p>
        </w:tc>
        <w:tc>
          <w:tcPr>
            <w:tcW w:w="992" w:type="dxa"/>
            <w:vMerge/>
            <w:tcBorders>
              <w:left w:val="nil"/>
              <w:bottom w:val="single" w:sz="4" w:space="0" w:color="293F5B"/>
              <w:right w:val="nil"/>
            </w:tcBorders>
            <w:shd w:val="clear" w:color="000000" w:fill="E6F2FF"/>
            <w:noWrap/>
            <w:vAlign w:val="center"/>
          </w:tcPr>
          <w:p w14:paraId="1DB23ACA" w14:textId="77777777" w:rsidR="009766E9" w:rsidRPr="001D2C8E" w:rsidRDefault="009766E9" w:rsidP="001D2C8E">
            <w:pPr>
              <w:spacing w:before="0" w:after="0" w:line="240" w:lineRule="auto"/>
              <w:jc w:val="right"/>
              <w:rPr>
                <w:rFonts w:ascii="Arial" w:hAnsi="Arial" w:cs="Arial"/>
                <w:b/>
                <w:bCs/>
                <w:color w:val="000000"/>
                <w:sz w:val="16"/>
                <w:szCs w:val="16"/>
              </w:rPr>
            </w:pPr>
          </w:p>
        </w:tc>
        <w:tc>
          <w:tcPr>
            <w:tcW w:w="851" w:type="dxa"/>
            <w:vMerge/>
            <w:tcBorders>
              <w:left w:val="nil"/>
              <w:bottom w:val="single" w:sz="4" w:space="0" w:color="293F5B"/>
              <w:right w:val="nil"/>
            </w:tcBorders>
            <w:shd w:val="clear" w:color="000000" w:fill="FFFFFF"/>
            <w:noWrap/>
            <w:vAlign w:val="center"/>
          </w:tcPr>
          <w:p w14:paraId="598610B4" w14:textId="77777777" w:rsidR="009766E9" w:rsidRPr="001D2C8E" w:rsidRDefault="009766E9" w:rsidP="001D2C8E">
            <w:pPr>
              <w:spacing w:before="0" w:after="0" w:line="240" w:lineRule="auto"/>
              <w:jc w:val="right"/>
              <w:rPr>
                <w:rFonts w:ascii="Arial" w:hAnsi="Arial" w:cs="Arial"/>
                <w:b/>
                <w:bCs/>
                <w:color w:val="000000"/>
                <w:sz w:val="16"/>
                <w:szCs w:val="16"/>
              </w:rPr>
            </w:pPr>
          </w:p>
        </w:tc>
        <w:tc>
          <w:tcPr>
            <w:tcW w:w="850" w:type="dxa"/>
            <w:gridSpan w:val="2"/>
            <w:vMerge/>
            <w:tcBorders>
              <w:left w:val="nil"/>
              <w:bottom w:val="single" w:sz="4" w:space="0" w:color="293F5B"/>
              <w:right w:val="nil"/>
            </w:tcBorders>
            <w:shd w:val="clear" w:color="000000" w:fill="FFFFFF"/>
            <w:noWrap/>
            <w:vAlign w:val="center"/>
          </w:tcPr>
          <w:p w14:paraId="073BA183" w14:textId="77777777" w:rsidR="009766E9" w:rsidRPr="001D2C8E" w:rsidRDefault="009766E9" w:rsidP="001D2C8E">
            <w:pPr>
              <w:spacing w:before="0" w:after="0" w:line="240" w:lineRule="auto"/>
              <w:jc w:val="right"/>
              <w:rPr>
                <w:rFonts w:ascii="Arial" w:hAnsi="Arial" w:cs="Arial"/>
                <w:b/>
                <w:bCs/>
                <w:color w:val="000000"/>
                <w:sz w:val="16"/>
                <w:szCs w:val="16"/>
              </w:rPr>
            </w:pPr>
          </w:p>
        </w:tc>
        <w:tc>
          <w:tcPr>
            <w:tcW w:w="851" w:type="dxa"/>
            <w:vMerge/>
            <w:tcBorders>
              <w:left w:val="nil"/>
              <w:bottom w:val="single" w:sz="4" w:space="0" w:color="293F5B"/>
              <w:right w:val="nil"/>
            </w:tcBorders>
            <w:shd w:val="clear" w:color="000000" w:fill="FFFFFF"/>
            <w:noWrap/>
            <w:vAlign w:val="center"/>
          </w:tcPr>
          <w:p w14:paraId="15AFC315" w14:textId="77777777" w:rsidR="009766E9" w:rsidRPr="001D2C8E" w:rsidRDefault="009766E9" w:rsidP="001D2C8E">
            <w:pPr>
              <w:spacing w:before="0" w:after="0" w:line="240" w:lineRule="auto"/>
              <w:jc w:val="right"/>
              <w:rPr>
                <w:rFonts w:ascii="Arial" w:hAnsi="Arial" w:cs="Arial"/>
                <w:b/>
                <w:bCs/>
                <w:color w:val="000000"/>
                <w:sz w:val="16"/>
                <w:szCs w:val="16"/>
              </w:rPr>
            </w:pPr>
          </w:p>
        </w:tc>
      </w:tr>
    </w:tbl>
    <w:p w14:paraId="2394EC45" w14:textId="4C7EB018" w:rsidR="00D8138E" w:rsidRPr="00EA746C" w:rsidRDefault="00D8138E" w:rsidP="00D8138E">
      <w:pPr>
        <w:pStyle w:val="SingleParagraph"/>
      </w:pPr>
    </w:p>
    <w:tbl>
      <w:tblPr>
        <w:tblpPr w:leftFromText="180" w:rightFromText="180" w:vertAnchor="text" w:horzAnchor="margin" w:tblpY="501"/>
        <w:tblW w:w="7938" w:type="dxa"/>
        <w:tblLook w:val="04A0" w:firstRow="1" w:lastRow="0" w:firstColumn="1" w:lastColumn="0" w:noHBand="0" w:noVBand="1"/>
      </w:tblPr>
      <w:tblGrid>
        <w:gridCol w:w="3559"/>
        <w:gridCol w:w="814"/>
        <w:gridCol w:w="891"/>
        <w:gridCol w:w="891"/>
        <w:gridCol w:w="891"/>
        <w:gridCol w:w="892"/>
      </w:tblGrid>
      <w:tr w:rsidR="006E64A5" w:rsidRPr="006C7A8B" w14:paraId="3204F5E5" w14:textId="77777777" w:rsidTr="000E443D">
        <w:trPr>
          <w:trHeight w:val="225"/>
        </w:trPr>
        <w:tc>
          <w:tcPr>
            <w:tcW w:w="2242" w:type="pct"/>
            <w:tcBorders>
              <w:top w:val="single" w:sz="4" w:space="0" w:color="293F5B"/>
              <w:left w:val="nil"/>
              <w:bottom w:val="nil"/>
              <w:right w:val="nil"/>
            </w:tcBorders>
            <w:shd w:val="clear" w:color="000000" w:fill="FFFFFF"/>
            <w:noWrap/>
            <w:vAlign w:val="center"/>
            <w:hideMark/>
          </w:tcPr>
          <w:p w14:paraId="79E0BD4C" w14:textId="77777777" w:rsidR="006E64A5" w:rsidRPr="006C7A8B" w:rsidRDefault="006E64A5" w:rsidP="00BC5846">
            <w:pPr>
              <w:pStyle w:val="TableTextLeft"/>
            </w:pPr>
            <w:bookmarkStart w:id="20" w:name="_Hlk130215187"/>
            <w:r w:rsidRPr="006C7A8B">
              <w:t> </w:t>
            </w:r>
          </w:p>
        </w:tc>
        <w:tc>
          <w:tcPr>
            <w:tcW w:w="2758" w:type="pct"/>
            <w:gridSpan w:val="5"/>
            <w:tcBorders>
              <w:top w:val="single" w:sz="4" w:space="0" w:color="293F5B"/>
              <w:left w:val="nil"/>
              <w:bottom w:val="single" w:sz="4" w:space="0" w:color="293F5B"/>
              <w:right w:val="nil"/>
            </w:tcBorders>
            <w:shd w:val="clear" w:color="000000" w:fill="FFFFFF"/>
            <w:noWrap/>
            <w:vAlign w:val="center"/>
            <w:hideMark/>
          </w:tcPr>
          <w:p w14:paraId="3DCB0ED6" w14:textId="77777777" w:rsidR="006E64A5" w:rsidRPr="00202CDF" w:rsidRDefault="006E64A5" w:rsidP="00E0409A">
            <w:pPr>
              <w:pStyle w:val="TableTextCentred"/>
            </w:pPr>
            <w:r w:rsidRPr="00202CDF">
              <w:t>Estimates</w:t>
            </w:r>
          </w:p>
        </w:tc>
      </w:tr>
      <w:tr w:rsidR="00BE4617" w:rsidRPr="006C7A8B" w14:paraId="6B80B5D6" w14:textId="77777777" w:rsidTr="004B7B76">
        <w:trPr>
          <w:trHeight w:val="225"/>
        </w:trPr>
        <w:tc>
          <w:tcPr>
            <w:tcW w:w="2242" w:type="pct"/>
            <w:tcBorders>
              <w:top w:val="nil"/>
              <w:left w:val="nil"/>
              <w:bottom w:val="nil"/>
              <w:right w:val="nil"/>
            </w:tcBorders>
            <w:shd w:val="clear" w:color="000000" w:fill="FFFFFF"/>
            <w:noWrap/>
            <w:vAlign w:val="center"/>
            <w:hideMark/>
          </w:tcPr>
          <w:p w14:paraId="035A16FB" w14:textId="77777777" w:rsidR="006E64A5" w:rsidRPr="00202CDF" w:rsidRDefault="006E64A5" w:rsidP="00BC5846">
            <w:pPr>
              <w:pStyle w:val="TableTextLeft"/>
            </w:pPr>
            <w:r w:rsidRPr="00202CDF">
              <w:t> </w:t>
            </w:r>
          </w:p>
        </w:tc>
        <w:tc>
          <w:tcPr>
            <w:tcW w:w="513" w:type="pct"/>
            <w:tcBorders>
              <w:top w:val="nil"/>
              <w:left w:val="nil"/>
              <w:bottom w:val="nil"/>
              <w:right w:val="nil"/>
            </w:tcBorders>
            <w:shd w:val="clear" w:color="000000" w:fill="FFFFFF"/>
            <w:noWrap/>
            <w:vAlign w:val="center"/>
            <w:hideMark/>
          </w:tcPr>
          <w:p w14:paraId="323044EB" w14:textId="0F647BBE" w:rsidR="006E64A5" w:rsidRPr="00202CDF" w:rsidRDefault="006E64A5" w:rsidP="00E0409A">
            <w:pPr>
              <w:pStyle w:val="TableTextRight"/>
            </w:pPr>
            <w:r w:rsidRPr="00202CDF">
              <w:t>2023</w:t>
            </w:r>
            <w:r w:rsidR="00325E1E">
              <w:noBreakHyphen/>
            </w:r>
            <w:r w:rsidRPr="00202CDF">
              <w:t>24</w:t>
            </w:r>
          </w:p>
        </w:tc>
        <w:tc>
          <w:tcPr>
            <w:tcW w:w="561" w:type="pct"/>
            <w:tcBorders>
              <w:top w:val="nil"/>
              <w:left w:val="nil"/>
              <w:bottom w:val="nil"/>
              <w:right w:val="nil"/>
            </w:tcBorders>
            <w:shd w:val="clear" w:color="000000" w:fill="E6F2FF"/>
            <w:noWrap/>
            <w:vAlign w:val="center"/>
            <w:hideMark/>
          </w:tcPr>
          <w:p w14:paraId="00D0CBE2" w14:textId="1F6D4DE2" w:rsidR="006E64A5" w:rsidRPr="00202CDF" w:rsidRDefault="006E64A5" w:rsidP="00E0409A">
            <w:pPr>
              <w:pStyle w:val="TableTextRight"/>
            </w:pPr>
            <w:r w:rsidRPr="00202CDF">
              <w:t>2024</w:t>
            </w:r>
            <w:r w:rsidR="00325E1E">
              <w:noBreakHyphen/>
            </w:r>
            <w:r w:rsidRPr="00202CDF">
              <w:t>25</w:t>
            </w:r>
          </w:p>
        </w:tc>
        <w:tc>
          <w:tcPr>
            <w:tcW w:w="561" w:type="pct"/>
            <w:tcBorders>
              <w:top w:val="nil"/>
              <w:left w:val="nil"/>
              <w:bottom w:val="nil"/>
              <w:right w:val="nil"/>
            </w:tcBorders>
            <w:shd w:val="clear" w:color="000000" w:fill="FFFFFF"/>
            <w:noWrap/>
            <w:vAlign w:val="center"/>
            <w:hideMark/>
          </w:tcPr>
          <w:p w14:paraId="652A4EC7" w14:textId="35BFA721" w:rsidR="006E64A5" w:rsidRPr="00202CDF" w:rsidRDefault="006E64A5" w:rsidP="00E0409A">
            <w:pPr>
              <w:pStyle w:val="TableTextRight"/>
            </w:pPr>
            <w:r w:rsidRPr="00202CDF">
              <w:t>2025</w:t>
            </w:r>
            <w:r w:rsidR="00325E1E">
              <w:noBreakHyphen/>
            </w:r>
            <w:r w:rsidRPr="00202CDF">
              <w:t>26</w:t>
            </w:r>
          </w:p>
        </w:tc>
        <w:tc>
          <w:tcPr>
            <w:tcW w:w="561" w:type="pct"/>
            <w:tcBorders>
              <w:top w:val="nil"/>
              <w:left w:val="nil"/>
              <w:bottom w:val="nil"/>
              <w:right w:val="nil"/>
            </w:tcBorders>
            <w:shd w:val="clear" w:color="000000" w:fill="FFFFFF"/>
            <w:noWrap/>
            <w:vAlign w:val="center"/>
            <w:hideMark/>
          </w:tcPr>
          <w:p w14:paraId="231D128B" w14:textId="5DE6C791" w:rsidR="006E64A5" w:rsidRPr="00202CDF" w:rsidRDefault="006E64A5" w:rsidP="00E0409A">
            <w:pPr>
              <w:pStyle w:val="TableTextRight"/>
            </w:pPr>
            <w:r w:rsidRPr="00202CDF">
              <w:t>2026</w:t>
            </w:r>
            <w:r w:rsidR="00325E1E">
              <w:noBreakHyphen/>
            </w:r>
            <w:r w:rsidRPr="00202CDF">
              <w:t>27</w:t>
            </w:r>
          </w:p>
        </w:tc>
        <w:tc>
          <w:tcPr>
            <w:tcW w:w="562" w:type="pct"/>
            <w:tcBorders>
              <w:top w:val="nil"/>
              <w:left w:val="nil"/>
              <w:bottom w:val="nil"/>
              <w:right w:val="nil"/>
            </w:tcBorders>
            <w:shd w:val="clear" w:color="000000" w:fill="FFFFFF"/>
            <w:noWrap/>
            <w:vAlign w:val="center"/>
            <w:hideMark/>
          </w:tcPr>
          <w:p w14:paraId="2D5D332B" w14:textId="30A27023" w:rsidR="006E64A5" w:rsidRPr="00202CDF" w:rsidRDefault="006E64A5" w:rsidP="00E0409A">
            <w:pPr>
              <w:pStyle w:val="TableTextRight"/>
              <w:rPr>
                <w:color w:val="000000"/>
              </w:rPr>
            </w:pPr>
            <w:r w:rsidRPr="00202CDF">
              <w:rPr>
                <w:color w:val="000000"/>
              </w:rPr>
              <w:t>2027</w:t>
            </w:r>
            <w:r w:rsidR="00325E1E">
              <w:rPr>
                <w:color w:val="000000"/>
              </w:rPr>
              <w:noBreakHyphen/>
            </w:r>
            <w:r w:rsidRPr="00202CDF">
              <w:rPr>
                <w:color w:val="000000"/>
              </w:rPr>
              <w:t>28</w:t>
            </w:r>
          </w:p>
        </w:tc>
      </w:tr>
      <w:tr w:rsidR="00BE4617" w:rsidRPr="006C7A8B" w14:paraId="0C0FD28A" w14:textId="77777777" w:rsidTr="004B7B76">
        <w:trPr>
          <w:trHeight w:val="225"/>
        </w:trPr>
        <w:tc>
          <w:tcPr>
            <w:tcW w:w="2242" w:type="pct"/>
            <w:tcBorders>
              <w:top w:val="nil"/>
              <w:left w:val="nil"/>
              <w:bottom w:val="nil"/>
              <w:right w:val="nil"/>
            </w:tcBorders>
            <w:shd w:val="clear" w:color="000000" w:fill="FFFFFF"/>
            <w:noWrap/>
            <w:vAlign w:val="center"/>
            <w:hideMark/>
          </w:tcPr>
          <w:p w14:paraId="43CCBBF1" w14:textId="77777777" w:rsidR="006E64A5" w:rsidRPr="00202CDF" w:rsidRDefault="006E64A5" w:rsidP="00BC5846">
            <w:pPr>
              <w:pStyle w:val="TableTextLeft"/>
            </w:pPr>
            <w:r w:rsidRPr="00202CDF">
              <w:t> </w:t>
            </w:r>
          </w:p>
        </w:tc>
        <w:tc>
          <w:tcPr>
            <w:tcW w:w="513" w:type="pct"/>
            <w:tcBorders>
              <w:top w:val="nil"/>
              <w:left w:val="nil"/>
              <w:bottom w:val="single" w:sz="4" w:space="0" w:color="293F5B"/>
              <w:right w:val="nil"/>
            </w:tcBorders>
            <w:shd w:val="clear" w:color="000000" w:fill="FFFFFF"/>
            <w:noWrap/>
            <w:vAlign w:val="center"/>
            <w:hideMark/>
          </w:tcPr>
          <w:p w14:paraId="2052E74B" w14:textId="77777777" w:rsidR="006E64A5" w:rsidRPr="00202CDF" w:rsidRDefault="006E64A5" w:rsidP="00E0409A">
            <w:pPr>
              <w:pStyle w:val="TableTextRight"/>
              <w:rPr>
                <w:color w:val="000000"/>
              </w:rPr>
            </w:pPr>
            <w:r w:rsidRPr="00202CDF">
              <w:rPr>
                <w:color w:val="000000"/>
              </w:rPr>
              <w:t>$m</w:t>
            </w:r>
          </w:p>
        </w:tc>
        <w:tc>
          <w:tcPr>
            <w:tcW w:w="561" w:type="pct"/>
            <w:tcBorders>
              <w:top w:val="nil"/>
              <w:left w:val="nil"/>
              <w:bottom w:val="single" w:sz="4" w:space="0" w:color="293F5B"/>
              <w:right w:val="nil"/>
            </w:tcBorders>
            <w:shd w:val="clear" w:color="000000" w:fill="E6F2FF"/>
            <w:noWrap/>
            <w:vAlign w:val="center"/>
            <w:hideMark/>
          </w:tcPr>
          <w:p w14:paraId="277FDA73" w14:textId="77777777" w:rsidR="006E64A5" w:rsidRPr="00202CDF" w:rsidRDefault="006E64A5" w:rsidP="00E0409A">
            <w:pPr>
              <w:pStyle w:val="TableTextRight"/>
              <w:rPr>
                <w:color w:val="000000"/>
              </w:rPr>
            </w:pPr>
            <w:r w:rsidRPr="00202CDF">
              <w:rPr>
                <w:color w:val="000000"/>
              </w:rPr>
              <w:t>$m</w:t>
            </w:r>
          </w:p>
        </w:tc>
        <w:tc>
          <w:tcPr>
            <w:tcW w:w="561" w:type="pct"/>
            <w:tcBorders>
              <w:top w:val="nil"/>
              <w:left w:val="nil"/>
              <w:bottom w:val="single" w:sz="4" w:space="0" w:color="293F5B"/>
              <w:right w:val="nil"/>
            </w:tcBorders>
            <w:shd w:val="clear" w:color="000000" w:fill="FFFFFF"/>
            <w:noWrap/>
            <w:vAlign w:val="center"/>
            <w:hideMark/>
          </w:tcPr>
          <w:p w14:paraId="6EEC3C13" w14:textId="77777777" w:rsidR="006E64A5" w:rsidRPr="00202CDF" w:rsidRDefault="006E64A5" w:rsidP="00E0409A">
            <w:pPr>
              <w:pStyle w:val="TableTextRight"/>
              <w:rPr>
                <w:color w:val="000000"/>
              </w:rPr>
            </w:pPr>
            <w:r w:rsidRPr="00202CDF">
              <w:rPr>
                <w:color w:val="000000"/>
              </w:rPr>
              <w:t>$m</w:t>
            </w:r>
          </w:p>
        </w:tc>
        <w:tc>
          <w:tcPr>
            <w:tcW w:w="561" w:type="pct"/>
            <w:tcBorders>
              <w:top w:val="nil"/>
              <w:left w:val="nil"/>
              <w:bottom w:val="single" w:sz="4" w:space="0" w:color="293F5B"/>
              <w:right w:val="nil"/>
            </w:tcBorders>
            <w:shd w:val="clear" w:color="000000" w:fill="FFFFFF"/>
            <w:noWrap/>
            <w:vAlign w:val="center"/>
            <w:hideMark/>
          </w:tcPr>
          <w:p w14:paraId="77C99DFC" w14:textId="77777777" w:rsidR="006E64A5" w:rsidRPr="00202CDF" w:rsidRDefault="006E64A5" w:rsidP="00E0409A">
            <w:pPr>
              <w:pStyle w:val="TableTextRight"/>
              <w:rPr>
                <w:color w:val="000000"/>
              </w:rPr>
            </w:pPr>
            <w:r w:rsidRPr="00202CDF">
              <w:rPr>
                <w:color w:val="000000"/>
              </w:rPr>
              <w:t>$m</w:t>
            </w:r>
          </w:p>
        </w:tc>
        <w:tc>
          <w:tcPr>
            <w:tcW w:w="562" w:type="pct"/>
            <w:tcBorders>
              <w:top w:val="nil"/>
              <w:left w:val="nil"/>
              <w:bottom w:val="single" w:sz="4" w:space="0" w:color="293F5B"/>
              <w:right w:val="nil"/>
            </w:tcBorders>
            <w:shd w:val="clear" w:color="000000" w:fill="FFFFFF"/>
            <w:noWrap/>
            <w:vAlign w:val="center"/>
            <w:hideMark/>
          </w:tcPr>
          <w:p w14:paraId="0CBEBAC5" w14:textId="77777777" w:rsidR="006E64A5" w:rsidRPr="00202CDF" w:rsidRDefault="006E64A5" w:rsidP="00E0409A">
            <w:pPr>
              <w:pStyle w:val="TableTextRight"/>
              <w:rPr>
                <w:color w:val="000000"/>
              </w:rPr>
            </w:pPr>
            <w:r w:rsidRPr="00202CDF">
              <w:rPr>
                <w:color w:val="000000"/>
              </w:rPr>
              <w:t>$m</w:t>
            </w:r>
          </w:p>
        </w:tc>
      </w:tr>
      <w:tr w:rsidR="004B7B76" w:rsidRPr="006C7A8B" w14:paraId="5183C69E" w14:textId="77777777" w:rsidTr="004B7B76">
        <w:trPr>
          <w:trHeight w:val="225"/>
        </w:trPr>
        <w:tc>
          <w:tcPr>
            <w:tcW w:w="2242" w:type="pct"/>
            <w:tcBorders>
              <w:top w:val="nil"/>
              <w:left w:val="nil"/>
              <w:bottom w:val="nil"/>
              <w:right w:val="nil"/>
            </w:tcBorders>
            <w:shd w:val="clear" w:color="000000" w:fill="FFFFFF"/>
            <w:noWrap/>
            <w:vAlign w:val="center"/>
            <w:hideMark/>
          </w:tcPr>
          <w:p w14:paraId="560CA9BC" w14:textId="45249C00" w:rsidR="004B7B76" w:rsidRPr="00202CDF" w:rsidRDefault="004B7B76" w:rsidP="00BC5846">
            <w:pPr>
              <w:pStyle w:val="TableTextLeft"/>
            </w:pPr>
            <w:r>
              <w:t>Industry contributions</w:t>
            </w:r>
          </w:p>
        </w:tc>
        <w:tc>
          <w:tcPr>
            <w:tcW w:w="513" w:type="pct"/>
            <w:tcBorders>
              <w:top w:val="nil"/>
              <w:left w:val="nil"/>
              <w:bottom w:val="nil"/>
              <w:right w:val="nil"/>
            </w:tcBorders>
            <w:shd w:val="clear" w:color="000000" w:fill="FFFFFF"/>
            <w:noWrap/>
            <w:vAlign w:val="center"/>
            <w:hideMark/>
          </w:tcPr>
          <w:p w14:paraId="3ED87494" w14:textId="58403DFD" w:rsidR="004B7B76" w:rsidRPr="00202CDF" w:rsidRDefault="004B7B76" w:rsidP="00E0409A">
            <w:pPr>
              <w:pStyle w:val="TableTextRight"/>
              <w:rPr>
                <w:color w:val="000000"/>
              </w:rPr>
            </w:pPr>
            <w:r>
              <w:rPr>
                <w:color w:val="000000"/>
              </w:rPr>
              <w:t>84</w:t>
            </w:r>
          </w:p>
        </w:tc>
        <w:tc>
          <w:tcPr>
            <w:tcW w:w="561" w:type="pct"/>
            <w:tcBorders>
              <w:top w:val="nil"/>
              <w:left w:val="nil"/>
              <w:bottom w:val="nil"/>
              <w:right w:val="nil"/>
            </w:tcBorders>
            <w:shd w:val="clear" w:color="000000" w:fill="E6F2FF"/>
            <w:noWrap/>
            <w:vAlign w:val="center"/>
            <w:hideMark/>
          </w:tcPr>
          <w:p w14:paraId="10FD1F18" w14:textId="431BCFDB" w:rsidR="004B7B76" w:rsidRPr="00202CDF" w:rsidRDefault="004B7B76" w:rsidP="00E0409A">
            <w:pPr>
              <w:pStyle w:val="TableTextRight"/>
              <w:rPr>
                <w:color w:val="000000"/>
              </w:rPr>
            </w:pPr>
            <w:r>
              <w:rPr>
                <w:color w:val="000000"/>
              </w:rPr>
              <w:t>90</w:t>
            </w:r>
          </w:p>
        </w:tc>
        <w:tc>
          <w:tcPr>
            <w:tcW w:w="561" w:type="pct"/>
            <w:tcBorders>
              <w:top w:val="nil"/>
              <w:left w:val="nil"/>
              <w:bottom w:val="nil"/>
              <w:right w:val="nil"/>
            </w:tcBorders>
            <w:shd w:val="clear" w:color="000000" w:fill="FFFFFF"/>
            <w:noWrap/>
            <w:vAlign w:val="center"/>
            <w:hideMark/>
          </w:tcPr>
          <w:p w14:paraId="599EA094" w14:textId="6E50031C" w:rsidR="004B7B76" w:rsidRPr="00202CDF" w:rsidRDefault="004B7B76" w:rsidP="00E0409A">
            <w:pPr>
              <w:pStyle w:val="TableTextRight"/>
              <w:rPr>
                <w:color w:val="000000"/>
              </w:rPr>
            </w:pPr>
            <w:r>
              <w:rPr>
                <w:color w:val="000000"/>
              </w:rPr>
              <w:t>110</w:t>
            </w:r>
          </w:p>
        </w:tc>
        <w:tc>
          <w:tcPr>
            <w:tcW w:w="561" w:type="pct"/>
            <w:tcBorders>
              <w:top w:val="nil"/>
              <w:left w:val="nil"/>
              <w:bottom w:val="nil"/>
              <w:right w:val="nil"/>
            </w:tcBorders>
            <w:shd w:val="clear" w:color="000000" w:fill="FFFFFF"/>
            <w:noWrap/>
            <w:vAlign w:val="center"/>
            <w:hideMark/>
          </w:tcPr>
          <w:p w14:paraId="358324D5" w14:textId="664C022C" w:rsidR="004B7B76" w:rsidRPr="00202CDF" w:rsidRDefault="004B7B76" w:rsidP="00E0409A">
            <w:pPr>
              <w:pStyle w:val="TableTextRight"/>
              <w:rPr>
                <w:color w:val="000000"/>
              </w:rPr>
            </w:pPr>
            <w:r>
              <w:rPr>
                <w:color w:val="000000"/>
              </w:rPr>
              <w:t>115</w:t>
            </w:r>
          </w:p>
        </w:tc>
        <w:tc>
          <w:tcPr>
            <w:tcW w:w="562" w:type="pct"/>
            <w:tcBorders>
              <w:top w:val="nil"/>
              <w:left w:val="nil"/>
              <w:bottom w:val="nil"/>
              <w:right w:val="nil"/>
            </w:tcBorders>
            <w:shd w:val="clear" w:color="000000" w:fill="FFFFFF"/>
            <w:noWrap/>
            <w:vAlign w:val="center"/>
            <w:hideMark/>
          </w:tcPr>
          <w:p w14:paraId="0328DBC5" w14:textId="46C46ECA" w:rsidR="004B7B76" w:rsidRPr="00202CDF" w:rsidRDefault="004B7B76" w:rsidP="00E0409A">
            <w:pPr>
              <w:pStyle w:val="TableTextRight"/>
              <w:rPr>
                <w:color w:val="000000"/>
              </w:rPr>
            </w:pPr>
            <w:r>
              <w:rPr>
                <w:color w:val="000000"/>
              </w:rPr>
              <w:t>120</w:t>
            </w:r>
          </w:p>
        </w:tc>
      </w:tr>
      <w:tr w:rsidR="004B7B76" w:rsidRPr="006C7A8B" w14:paraId="3D73790D" w14:textId="77777777" w:rsidTr="004B7B76">
        <w:trPr>
          <w:trHeight w:val="225"/>
        </w:trPr>
        <w:tc>
          <w:tcPr>
            <w:tcW w:w="2242" w:type="pct"/>
            <w:tcBorders>
              <w:top w:val="nil"/>
              <w:left w:val="nil"/>
              <w:bottom w:val="nil"/>
              <w:right w:val="nil"/>
            </w:tcBorders>
            <w:shd w:val="clear" w:color="000000" w:fill="FFFFFF"/>
            <w:noWrap/>
            <w:vAlign w:val="center"/>
            <w:hideMark/>
          </w:tcPr>
          <w:p w14:paraId="47678221" w14:textId="4A8D8E87" w:rsidR="004B7B76" w:rsidRPr="00202CDF" w:rsidRDefault="004B7B76" w:rsidP="00BC5846">
            <w:pPr>
              <w:pStyle w:val="TableTextLeft"/>
            </w:pPr>
            <w:r>
              <w:t>Royalties</w:t>
            </w:r>
          </w:p>
        </w:tc>
        <w:tc>
          <w:tcPr>
            <w:tcW w:w="513" w:type="pct"/>
            <w:tcBorders>
              <w:top w:val="nil"/>
              <w:left w:val="nil"/>
              <w:bottom w:val="nil"/>
              <w:right w:val="nil"/>
            </w:tcBorders>
            <w:shd w:val="clear" w:color="000000" w:fill="FFFFFF"/>
            <w:noWrap/>
            <w:vAlign w:val="center"/>
            <w:hideMark/>
          </w:tcPr>
          <w:p w14:paraId="68F7F797" w14:textId="0A0043E8" w:rsidR="004B7B76" w:rsidRPr="00202CDF" w:rsidRDefault="004B7B76" w:rsidP="00E0409A">
            <w:pPr>
              <w:pStyle w:val="TableTextRight"/>
              <w:rPr>
                <w:color w:val="000000"/>
              </w:rPr>
            </w:pPr>
            <w:r>
              <w:rPr>
                <w:color w:val="000000"/>
              </w:rPr>
              <w:t>1,056</w:t>
            </w:r>
          </w:p>
        </w:tc>
        <w:tc>
          <w:tcPr>
            <w:tcW w:w="561" w:type="pct"/>
            <w:tcBorders>
              <w:top w:val="nil"/>
              <w:left w:val="nil"/>
              <w:bottom w:val="nil"/>
              <w:right w:val="nil"/>
            </w:tcBorders>
            <w:shd w:val="clear" w:color="000000" w:fill="E6F2FF"/>
            <w:noWrap/>
            <w:vAlign w:val="center"/>
            <w:hideMark/>
          </w:tcPr>
          <w:p w14:paraId="0BE24043" w14:textId="0EC0C588" w:rsidR="004B7B76" w:rsidRPr="00202CDF" w:rsidRDefault="004B7B76" w:rsidP="00E0409A">
            <w:pPr>
              <w:pStyle w:val="TableTextRight"/>
              <w:rPr>
                <w:color w:val="000000"/>
              </w:rPr>
            </w:pPr>
            <w:r>
              <w:rPr>
                <w:color w:val="000000"/>
              </w:rPr>
              <w:t>958</w:t>
            </w:r>
          </w:p>
        </w:tc>
        <w:tc>
          <w:tcPr>
            <w:tcW w:w="561" w:type="pct"/>
            <w:tcBorders>
              <w:top w:val="nil"/>
              <w:left w:val="nil"/>
              <w:bottom w:val="nil"/>
              <w:right w:val="nil"/>
            </w:tcBorders>
            <w:shd w:val="clear" w:color="000000" w:fill="FFFFFF"/>
            <w:noWrap/>
            <w:vAlign w:val="center"/>
            <w:hideMark/>
          </w:tcPr>
          <w:p w14:paraId="01C80D1B" w14:textId="4380438C" w:rsidR="004B7B76" w:rsidRPr="00202CDF" w:rsidRDefault="004B7B76" w:rsidP="00E0409A">
            <w:pPr>
              <w:pStyle w:val="TableTextRight"/>
              <w:rPr>
                <w:color w:val="000000"/>
              </w:rPr>
            </w:pPr>
            <w:r>
              <w:rPr>
                <w:color w:val="000000"/>
              </w:rPr>
              <w:t>756</w:t>
            </w:r>
          </w:p>
        </w:tc>
        <w:tc>
          <w:tcPr>
            <w:tcW w:w="561" w:type="pct"/>
            <w:tcBorders>
              <w:top w:val="nil"/>
              <w:left w:val="nil"/>
              <w:bottom w:val="nil"/>
              <w:right w:val="nil"/>
            </w:tcBorders>
            <w:shd w:val="clear" w:color="000000" w:fill="FFFFFF"/>
            <w:noWrap/>
            <w:vAlign w:val="center"/>
            <w:hideMark/>
          </w:tcPr>
          <w:p w14:paraId="72AB7236" w14:textId="286BD6D7" w:rsidR="004B7B76" w:rsidRPr="00202CDF" w:rsidRDefault="004B7B76" w:rsidP="00E0409A">
            <w:pPr>
              <w:pStyle w:val="TableTextRight"/>
              <w:rPr>
                <w:color w:val="000000"/>
              </w:rPr>
            </w:pPr>
            <w:r>
              <w:rPr>
                <w:color w:val="000000"/>
              </w:rPr>
              <w:t>596</w:t>
            </w:r>
          </w:p>
        </w:tc>
        <w:tc>
          <w:tcPr>
            <w:tcW w:w="562" w:type="pct"/>
            <w:tcBorders>
              <w:top w:val="nil"/>
              <w:left w:val="nil"/>
              <w:bottom w:val="nil"/>
              <w:right w:val="nil"/>
            </w:tcBorders>
            <w:shd w:val="clear" w:color="000000" w:fill="FFFFFF"/>
            <w:noWrap/>
            <w:vAlign w:val="center"/>
            <w:hideMark/>
          </w:tcPr>
          <w:p w14:paraId="364984AC" w14:textId="2E189017" w:rsidR="004B7B76" w:rsidRPr="00202CDF" w:rsidRDefault="004B7B76" w:rsidP="00E0409A">
            <w:pPr>
              <w:pStyle w:val="TableTextRight"/>
              <w:rPr>
                <w:color w:val="000000"/>
              </w:rPr>
            </w:pPr>
            <w:r>
              <w:rPr>
                <w:color w:val="000000"/>
              </w:rPr>
              <w:t>568</w:t>
            </w:r>
          </w:p>
        </w:tc>
      </w:tr>
      <w:tr w:rsidR="004B7B76" w:rsidRPr="006C7A8B" w14:paraId="49671534" w14:textId="77777777" w:rsidTr="004B7B76">
        <w:trPr>
          <w:trHeight w:val="225"/>
        </w:trPr>
        <w:tc>
          <w:tcPr>
            <w:tcW w:w="2242" w:type="pct"/>
            <w:tcBorders>
              <w:top w:val="nil"/>
              <w:left w:val="nil"/>
              <w:bottom w:val="nil"/>
              <w:right w:val="nil"/>
            </w:tcBorders>
            <w:shd w:val="clear" w:color="000000" w:fill="FFFFFF"/>
            <w:noWrap/>
            <w:vAlign w:val="center"/>
            <w:hideMark/>
          </w:tcPr>
          <w:p w14:paraId="11F7B4E7" w14:textId="265B030D" w:rsidR="004B7B76" w:rsidRPr="00202CDF" w:rsidRDefault="004B7B76" w:rsidP="00BC5846">
            <w:pPr>
              <w:pStyle w:val="TableTextLeft"/>
            </w:pPr>
            <w:r>
              <w:t>Seigniorage</w:t>
            </w:r>
          </w:p>
        </w:tc>
        <w:tc>
          <w:tcPr>
            <w:tcW w:w="513" w:type="pct"/>
            <w:tcBorders>
              <w:top w:val="nil"/>
              <w:left w:val="nil"/>
              <w:bottom w:val="nil"/>
              <w:right w:val="nil"/>
            </w:tcBorders>
            <w:shd w:val="clear" w:color="000000" w:fill="FFFFFF"/>
            <w:noWrap/>
            <w:vAlign w:val="center"/>
            <w:hideMark/>
          </w:tcPr>
          <w:p w14:paraId="66E3B8D7" w14:textId="1A632F92" w:rsidR="004B7B76" w:rsidRPr="00202CDF" w:rsidRDefault="004B7B76" w:rsidP="00E0409A">
            <w:pPr>
              <w:pStyle w:val="TableTextRight"/>
              <w:rPr>
                <w:color w:val="000000"/>
              </w:rPr>
            </w:pPr>
            <w:r>
              <w:rPr>
                <w:color w:val="000000"/>
              </w:rPr>
              <w:t>62</w:t>
            </w:r>
          </w:p>
        </w:tc>
        <w:tc>
          <w:tcPr>
            <w:tcW w:w="561" w:type="pct"/>
            <w:tcBorders>
              <w:top w:val="nil"/>
              <w:left w:val="nil"/>
              <w:bottom w:val="nil"/>
              <w:right w:val="nil"/>
            </w:tcBorders>
            <w:shd w:val="clear" w:color="000000" w:fill="E6F2FF"/>
            <w:noWrap/>
            <w:vAlign w:val="center"/>
            <w:hideMark/>
          </w:tcPr>
          <w:p w14:paraId="4936EF6A" w14:textId="1B01C737" w:rsidR="004B7B76" w:rsidRPr="00202CDF" w:rsidRDefault="004B7B76" w:rsidP="00E0409A">
            <w:pPr>
              <w:pStyle w:val="TableTextRight"/>
              <w:rPr>
                <w:color w:val="000000"/>
              </w:rPr>
            </w:pPr>
            <w:r>
              <w:rPr>
                <w:color w:val="000000"/>
              </w:rPr>
              <w:t>52</w:t>
            </w:r>
          </w:p>
        </w:tc>
        <w:tc>
          <w:tcPr>
            <w:tcW w:w="561" w:type="pct"/>
            <w:tcBorders>
              <w:top w:val="nil"/>
              <w:left w:val="nil"/>
              <w:bottom w:val="nil"/>
              <w:right w:val="nil"/>
            </w:tcBorders>
            <w:shd w:val="clear" w:color="000000" w:fill="FFFFFF"/>
            <w:noWrap/>
            <w:vAlign w:val="center"/>
            <w:hideMark/>
          </w:tcPr>
          <w:p w14:paraId="5B8B9125" w14:textId="0B995D20" w:rsidR="004B7B76" w:rsidRPr="00202CDF" w:rsidRDefault="004B7B76" w:rsidP="00E0409A">
            <w:pPr>
              <w:pStyle w:val="TableTextRight"/>
              <w:rPr>
                <w:color w:val="000000"/>
              </w:rPr>
            </w:pPr>
            <w:r>
              <w:rPr>
                <w:color w:val="000000"/>
              </w:rPr>
              <w:t>47</w:t>
            </w:r>
          </w:p>
        </w:tc>
        <w:tc>
          <w:tcPr>
            <w:tcW w:w="561" w:type="pct"/>
            <w:tcBorders>
              <w:top w:val="nil"/>
              <w:left w:val="nil"/>
              <w:bottom w:val="nil"/>
              <w:right w:val="nil"/>
            </w:tcBorders>
            <w:shd w:val="clear" w:color="000000" w:fill="FFFFFF"/>
            <w:noWrap/>
            <w:vAlign w:val="center"/>
            <w:hideMark/>
          </w:tcPr>
          <w:p w14:paraId="144C17E7" w14:textId="440AC014" w:rsidR="004B7B76" w:rsidRPr="00202CDF" w:rsidRDefault="004B7B76" w:rsidP="00E0409A">
            <w:pPr>
              <w:pStyle w:val="TableTextRight"/>
              <w:rPr>
                <w:color w:val="000000"/>
              </w:rPr>
            </w:pPr>
            <w:r>
              <w:rPr>
                <w:color w:val="000000"/>
              </w:rPr>
              <w:t>44</w:t>
            </w:r>
          </w:p>
        </w:tc>
        <w:tc>
          <w:tcPr>
            <w:tcW w:w="562" w:type="pct"/>
            <w:tcBorders>
              <w:top w:val="nil"/>
              <w:left w:val="nil"/>
              <w:bottom w:val="nil"/>
              <w:right w:val="nil"/>
            </w:tcBorders>
            <w:shd w:val="clear" w:color="000000" w:fill="FFFFFF"/>
            <w:noWrap/>
            <w:vAlign w:val="center"/>
            <w:hideMark/>
          </w:tcPr>
          <w:p w14:paraId="463DBC21" w14:textId="676A24C5" w:rsidR="004B7B76" w:rsidRPr="00202CDF" w:rsidRDefault="004B7B76" w:rsidP="00E0409A">
            <w:pPr>
              <w:pStyle w:val="TableTextRight"/>
              <w:rPr>
                <w:color w:val="000000"/>
              </w:rPr>
            </w:pPr>
            <w:r>
              <w:rPr>
                <w:color w:val="000000"/>
              </w:rPr>
              <w:t>44</w:t>
            </w:r>
          </w:p>
        </w:tc>
      </w:tr>
      <w:tr w:rsidR="004B7B76" w:rsidRPr="006C7A8B" w14:paraId="3C2DA395" w14:textId="77777777" w:rsidTr="004B7B76">
        <w:trPr>
          <w:trHeight w:val="225"/>
        </w:trPr>
        <w:tc>
          <w:tcPr>
            <w:tcW w:w="2242" w:type="pct"/>
            <w:tcBorders>
              <w:top w:val="nil"/>
              <w:left w:val="nil"/>
              <w:bottom w:val="nil"/>
              <w:right w:val="nil"/>
            </w:tcBorders>
            <w:shd w:val="clear" w:color="000000" w:fill="FFFFFF"/>
            <w:noWrap/>
            <w:vAlign w:val="center"/>
            <w:hideMark/>
          </w:tcPr>
          <w:p w14:paraId="12A55638" w14:textId="26273E68" w:rsidR="004B7B76" w:rsidRPr="00202CDF" w:rsidRDefault="004B7B76" w:rsidP="00BC5846">
            <w:pPr>
              <w:pStyle w:val="TableTextLeft"/>
            </w:pPr>
            <w:r>
              <w:t>Other</w:t>
            </w:r>
          </w:p>
        </w:tc>
        <w:tc>
          <w:tcPr>
            <w:tcW w:w="513" w:type="pct"/>
            <w:tcBorders>
              <w:top w:val="nil"/>
              <w:left w:val="nil"/>
              <w:bottom w:val="single" w:sz="4" w:space="0" w:color="293F5B"/>
              <w:right w:val="nil"/>
            </w:tcBorders>
            <w:shd w:val="clear" w:color="000000" w:fill="FFFFFF"/>
            <w:noWrap/>
            <w:vAlign w:val="center"/>
            <w:hideMark/>
          </w:tcPr>
          <w:p w14:paraId="6BE94C27" w14:textId="31FA869F" w:rsidR="004B7B76" w:rsidRPr="00202CDF" w:rsidRDefault="004B7B76" w:rsidP="00E0409A">
            <w:pPr>
              <w:pStyle w:val="TableTextRight"/>
              <w:rPr>
                <w:color w:val="000000"/>
              </w:rPr>
            </w:pPr>
            <w:r>
              <w:rPr>
                <w:color w:val="000000"/>
              </w:rPr>
              <w:t>12,433</w:t>
            </w:r>
          </w:p>
        </w:tc>
        <w:tc>
          <w:tcPr>
            <w:tcW w:w="561" w:type="pct"/>
            <w:tcBorders>
              <w:top w:val="nil"/>
              <w:left w:val="nil"/>
              <w:bottom w:val="single" w:sz="4" w:space="0" w:color="293F5B"/>
              <w:right w:val="nil"/>
            </w:tcBorders>
            <w:shd w:val="clear" w:color="000000" w:fill="E6F2FF"/>
            <w:noWrap/>
            <w:vAlign w:val="center"/>
            <w:hideMark/>
          </w:tcPr>
          <w:p w14:paraId="701B5BA4" w14:textId="153BFAD4" w:rsidR="004B7B76" w:rsidRPr="00202CDF" w:rsidRDefault="004B7B76" w:rsidP="00E0409A">
            <w:pPr>
              <w:pStyle w:val="TableTextRight"/>
              <w:rPr>
                <w:color w:val="000000"/>
              </w:rPr>
            </w:pPr>
            <w:r>
              <w:rPr>
                <w:color w:val="000000"/>
              </w:rPr>
              <w:t>12,715</w:t>
            </w:r>
          </w:p>
        </w:tc>
        <w:tc>
          <w:tcPr>
            <w:tcW w:w="561" w:type="pct"/>
            <w:tcBorders>
              <w:top w:val="nil"/>
              <w:left w:val="nil"/>
              <w:bottom w:val="single" w:sz="4" w:space="0" w:color="293F5B"/>
              <w:right w:val="nil"/>
            </w:tcBorders>
            <w:shd w:val="clear" w:color="000000" w:fill="FFFFFF"/>
            <w:noWrap/>
            <w:vAlign w:val="center"/>
            <w:hideMark/>
          </w:tcPr>
          <w:p w14:paraId="64979CEF" w14:textId="0E9B0B9F" w:rsidR="004B7B76" w:rsidRPr="00202CDF" w:rsidRDefault="004B7B76" w:rsidP="00E0409A">
            <w:pPr>
              <w:pStyle w:val="TableTextRight"/>
              <w:rPr>
                <w:color w:val="000000"/>
              </w:rPr>
            </w:pPr>
            <w:r>
              <w:rPr>
                <w:color w:val="000000"/>
              </w:rPr>
              <w:t>12,617</w:t>
            </w:r>
          </w:p>
        </w:tc>
        <w:tc>
          <w:tcPr>
            <w:tcW w:w="561" w:type="pct"/>
            <w:tcBorders>
              <w:top w:val="nil"/>
              <w:left w:val="nil"/>
              <w:bottom w:val="single" w:sz="4" w:space="0" w:color="293F5B"/>
              <w:right w:val="nil"/>
            </w:tcBorders>
            <w:shd w:val="clear" w:color="000000" w:fill="FFFFFF"/>
            <w:noWrap/>
            <w:vAlign w:val="center"/>
            <w:hideMark/>
          </w:tcPr>
          <w:p w14:paraId="276C6E7E" w14:textId="063CEF7A" w:rsidR="004B7B76" w:rsidRPr="00202CDF" w:rsidRDefault="004B7B76" w:rsidP="00E0409A">
            <w:pPr>
              <w:pStyle w:val="TableTextRight"/>
              <w:rPr>
                <w:color w:val="000000"/>
              </w:rPr>
            </w:pPr>
            <w:r>
              <w:rPr>
                <w:color w:val="000000"/>
              </w:rPr>
              <w:t>12,663</w:t>
            </w:r>
          </w:p>
        </w:tc>
        <w:tc>
          <w:tcPr>
            <w:tcW w:w="562" w:type="pct"/>
            <w:tcBorders>
              <w:top w:val="nil"/>
              <w:left w:val="nil"/>
              <w:bottom w:val="single" w:sz="4" w:space="0" w:color="293F5B"/>
              <w:right w:val="nil"/>
            </w:tcBorders>
            <w:shd w:val="clear" w:color="000000" w:fill="FFFFFF"/>
            <w:noWrap/>
            <w:vAlign w:val="center"/>
            <w:hideMark/>
          </w:tcPr>
          <w:p w14:paraId="05D7A04F" w14:textId="3FFF508B" w:rsidR="004B7B76" w:rsidRPr="00202CDF" w:rsidRDefault="004B7B76" w:rsidP="00E0409A">
            <w:pPr>
              <w:pStyle w:val="TableTextRight"/>
              <w:rPr>
                <w:color w:val="000000"/>
              </w:rPr>
            </w:pPr>
            <w:r>
              <w:rPr>
                <w:color w:val="000000"/>
              </w:rPr>
              <w:t>12,671</w:t>
            </w:r>
          </w:p>
        </w:tc>
      </w:tr>
      <w:tr w:rsidR="004B7B76" w:rsidRPr="006C7A8B" w14:paraId="4D98DEA0" w14:textId="77777777" w:rsidTr="004B7B76">
        <w:trPr>
          <w:trHeight w:val="225"/>
        </w:trPr>
        <w:tc>
          <w:tcPr>
            <w:tcW w:w="2242" w:type="pct"/>
            <w:tcBorders>
              <w:top w:val="nil"/>
              <w:left w:val="nil"/>
              <w:bottom w:val="single" w:sz="4" w:space="0" w:color="293F5B"/>
              <w:right w:val="nil"/>
            </w:tcBorders>
            <w:shd w:val="clear" w:color="000000" w:fill="FFFFFF"/>
            <w:noWrap/>
            <w:vAlign w:val="center"/>
            <w:hideMark/>
          </w:tcPr>
          <w:p w14:paraId="3DE95D67" w14:textId="4CB83EAC" w:rsidR="004B7B76" w:rsidRPr="00202CDF" w:rsidRDefault="004B7B76" w:rsidP="00BC5846">
            <w:pPr>
              <w:pStyle w:val="TableTextLeft"/>
              <w:rPr>
                <w:b/>
              </w:rPr>
            </w:pPr>
            <w:r>
              <w:rPr>
                <w:b/>
              </w:rPr>
              <w:t>Total other sources of non</w:t>
            </w:r>
            <w:r w:rsidR="00325E1E">
              <w:rPr>
                <w:b/>
                <w:bCs/>
              </w:rPr>
              <w:noBreakHyphen/>
            </w:r>
            <w:r>
              <w:rPr>
                <w:b/>
              </w:rPr>
              <w:t>taxation revenue</w:t>
            </w:r>
          </w:p>
        </w:tc>
        <w:tc>
          <w:tcPr>
            <w:tcW w:w="513" w:type="pct"/>
            <w:tcBorders>
              <w:top w:val="single" w:sz="4" w:space="0" w:color="293F5B"/>
              <w:left w:val="nil"/>
              <w:bottom w:val="single" w:sz="4" w:space="0" w:color="293F5B"/>
              <w:right w:val="nil"/>
            </w:tcBorders>
            <w:shd w:val="clear" w:color="000000" w:fill="FFFFFF"/>
            <w:noWrap/>
            <w:vAlign w:val="center"/>
            <w:hideMark/>
          </w:tcPr>
          <w:p w14:paraId="3CB0FCD4" w14:textId="631481E5" w:rsidR="004B7B76" w:rsidRPr="00202CDF" w:rsidRDefault="004B7B76" w:rsidP="00E0409A">
            <w:pPr>
              <w:pStyle w:val="TableTextRight"/>
              <w:rPr>
                <w:b/>
                <w:color w:val="000000"/>
              </w:rPr>
            </w:pPr>
            <w:r>
              <w:rPr>
                <w:b/>
                <w:color w:val="000000"/>
              </w:rPr>
              <w:t>13,635</w:t>
            </w:r>
          </w:p>
        </w:tc>
        <w:tc>
          <w:tcPr>
            <w:tcW w:w="561" w:type="pct"/>
            <w:tcBorders>
              <w:top w:val="single" w:sz="4" w:space="0" w:color="293F5B"/>
              <w:left w:val="nil"/>
              <w:bottom w:val="single" w:sz="4" w:space="0" w:color="293F5B"/>
              <w:right w:val="nil"/>
            </w:tcBorders>
            <w:shd w:val="clear" w:color="000000" w:fill="E6F2FF"/>
            <w:noWrap/>
            <w:vAlign w:val="center"/>
            <w:hideMark/>
          </w:tcPr>
          <w:p w14:paraId="6CE024A2" w14:textId="2D723855" w:rsidR="004B7B76" w:rsidRPr="00202CDF" w:rsidRDefault="004B7B76" w:rsidP="00E0409A">
            <w:pPr>
              <w:pStyle w:val="TableTextRight"/>
              <w:rPr>
                <w:b/>
                <w:color w:val="000000"/>
              </w:rPr>
            </w:pPr>
            <w:r>
              <w:rPr>
                <w:b/>
                <w:color w:val="000000"/>
              </w:rPr>
              <w:t>13,815</w:t>
            </w:r>
          </w:p>
        </w:tc>
        <w:tc>
          <w:tcPr>
            <w:tcW w:w="561" w:type="pct"/>
            <w:tcBorders>
              <w:top w:val="single" w:sz="4" w:space="0" w:color="293F5B"/>
              <w:left w:val="nil"/>
              <w:bottom w:val="single" w:sz="4" w:space="0" w:color="293F5B"/>
              <w:right w:val="nil"/>
            </w:tcBorders>
            <w:shd w:val="clear" w:color="000000" w:fill="FFFFFF"/>
            <w:noWrap/>
            <w:vAlign w:val="center"/>
            <w:hideMark/>
          </w:tcPr>
          <w:p w14:paraId="6DEA4FF6" w14:textId="076235AE" w:rsidR="004B7B76" w:rsidRPr="00202CDF" w:rsidRDefault="004B7B76" w:rsidP="00E0409A">
            <w:pPr>
              <w:pStyle w:val="TableTextRight"/>
              <w:rPr>
                <w:b/>
                <w:color w:val="000000"/>
              </w:rPr>
            </w:pPr>
            <w:r>
              <w:rPr>
                <w:b/>
                <w:color w:val="000000"/>
              </w:rPr>
              <w:t>13,531</w:t>
            </w:r>
          </w:p>
        </w:tc>
        <w:tc>
          <w:tcPr>
            <w:tcW w:w="561" w:type="pct"/>
            <w:tcBorders>
              <w:top w:val="single" w:sz="4" w:space="0" w:color="293F5B"/>
              <w:left w:val="nil"/>
              <w:bottom w:val="single" w:sz="4" w:space="0" w:color="293F5B"/>
              <w:right w:val="nil"/>
            </w:tcBorders>
            <w:shd w:val="clear" w:color="000000" w:fill="FFFFFF"/>
            <w:noWrap/>
            <w:vAlign w:val="center"/>
            <w:hideMark/>
          </w:tcPr>
          <w:p w14:paraId="510A8CF9" w14:textId="0F42DA9E" w:rsidR="004B7B76" w:rsidRPr="00202CDF" w:rsidRDefault="004B7B76" w:rsidP="00E0409A">
            <w:pPr>
              <w:pStyle w:val="TableTextRight"/>
              <w:rPr>
                <w:b/>
                <w:color w:val="000000"/>
              </w:rPr>
            </w:pPr>
            <w:r>
              <w:rPr>
                <w:b/>
                <w:color w:val="000000"/>
              </w:rPr>
              <w:t>13,418</w:t>
            </w:r>
          </w:p>
        </w:tc>
        <w:tc>
          <w:tcPr>
            <w:tcW w:w="562" w:type="pct"/>
            <w:tcBorders>
              <w:top w:val="single" w:sz="4" w:space="0" w:color="293F5B"/>
              <w:left w:val="nil"/>
              <w:bottom w:val="single" w:sz="4" w:space="0" w:color="293F5B"/>
              <w:right w:val="nil"/>
            </w:tcBorders>
            <w:shd w:val="clear" w:color="000000" w:fill="FFFFFF"/>
            <w:noWrap/>
            <w:vAlign w:val="center"/>
            <w:hideMark/>
          </w:tcPr>
          <w:p w14:paraId="1CCF08FF" w14:textId="599032FF" w:rsidR="004B7B76" w:rsidRPr="00202CDF" w:rsidRDefault="004B7B76" w:rsidP="00E0409A">
            <w:pPr>
              <w:pStyle w:val="TableTextRight"/>
              <w:rPr>
                <w:b/>
                <w:color w:val="000000"/>
              </w:rPr>
            </w:pPr>
            <w:r>
              <w:rPr>
                <w:b/>
                <w:color w:val="000000"/>
              </w:rPr>
              <w:t>13,403</w:t>
            </w:r>
          </w:p>
        </w:tc>
      </w:tr>
    </w:tbl>
    <w:p w14:paraId="2338CA24" w14:textId="37645A6E" w:rsidR="00D8138E" w:rsidRPr="00663990" w:rsidRDefault="000D0B7D" w:rsidP="00BF0203">
      <w:pPr>
        <w:pStyle w:val="NoteTableHeading"/>
        <w:rPr>
          <w:rFonts w:eastAsiaTheme="minorHAnsi"/>
        </w:rPr>
      </w:pPr>
      <w:r>
        <w:t>Note </w:t>
      </w:r>
      <w:r w:rsidR="00D8138E" w:rsidRPr="00EA746C">
        <w:t>6: Other sources of non</w:t>
      </w:r>
      <w:r w:rsidR="00325E1E">
        <w:noBreakHyphen/>
      </w:r>
      <w:r w:rsidR="00D8138E" w:rsidRPr="00EA746C">
        <w:t>taxation revenue</w:t>
      </w:r>
      <w:bookmarkEnd w:id="20"/>
    </w:p>
    <w:p w14:paraId="7E125BE6" w14:textId="77777777" w:rsidR="00D1559E" w:rsidRDefault="00D1559E" w:rsidP="00D1559E"/>
    <w:p w14:paraId="4257B3E5" w14:textId="215C942C" w:rsidR="00D8138E" w:rsidRPr="002264CB" w:rsidRDefault="00D8138E" w:rsidP="00D1559E">
      <w:r w:rsidRPr="002264CB">
        <w:br w:type="page"/>
      </w:r>
    </w:p>
    <w:tbl>
      <w:tblPr>
        <w:tblpPr w:leftFromText="180" w:rightFromText="180" w:vertAnchor="text" w:horzAnchor="margin" w:tblpY="250"/>
        <w:tblW w:w="0" w:type="auto"/>
        <w:tblLook w:val="04A0" w:firstRow="1" w:lastRow="0" w:firstColumn="1" w:lastColumn="0" w:noHBand="0" w:noVBand="1"/>
      </w:tblPr>
      <w:tblGrid>
        <w:gridCol w:w="3640"/>
        <w:gridCol w:w="804"/>
        <w:gridCol w:w="804"/>
        <w:gridCol w:w="804"/>
        <w:gridCol w:w="804"/>
        <w:gridCol w:w="804"/>
      </w:tblGrid>
      <w:tr w:rsidR="00C53EF3" w:rsidRPr="00CB334A" w14:paraId="135F8E65" w14:textId="77777777" w:rsidTr="00C53EF3">
        <w:trPr>
          <w:trHeight w:hRule="exact" w:val="227"/>
        </w:trPr>
        <w:tc>
          <w:tcPr>
            <w:tcW w:w="0" w:type="auto"/>
            <w:tcBorders>
              <w:top w:val="single" w:sz="4" w:space="0" w:color="293F5B"/>
              <w:left w:val="nil"/>
              <w:bottom w:val="nil"/>
              <w:right w:val="nil"/>
            </w:tcBorders>
            <w:shd w:val="clear" w:color="000000" w:fill="FFFFFF"/>
            <w:noWrap/>
            <w:vAlign w:val="center"/>
            <w:hideMark/>
          </w:tcPr>
          <w:p w14:paraId="50645775" w14:textId="77777777" w:rsidR="00C53EF3" w:rsidRPr="00CB334A" w:rsidRDefault="00C53EF3" w:rsidP="00C53EF3">
            <w:pPr>
              <w:spacing w:before="0"/>
              <w:rPr>
                <w:rFonts w:ascii="Arial" w:hAnsi="Arial" w:cs="Arial"/>
                <w:color w:val="000000"/>
                <w:sz w:val="16"/>
                <w:szCs w:val="16"/>
              </w:rPr>
            </w:pPr>
          </w:p>
        </w:tc>
        <w:tc>
          <w:tcPr>
            <w:tcW w:w="0" w:type="auto"/>
            <w:gridSpan w:val="5"/>
            <w:tcBorders>
              <w:top w:val="single" w:sz="4" w:space="0" w:color="293F5B"/>
              <w:left w:val="nil"/>
              <w:bottom w:val="single" w:sz="4" w:space="0" w:color="293F5B"/>
              <w:right w:val="nil"/>
            </w:tcBorders>
            <w:shd w:val="clear" w:color="000000" w:fill="FFFFFF"/>
            <w:noWrap/>
            <w:vAlign w:val="center"/>
            <w:hideMark/>
          </w:tcPr>
          <w:p w14:paraId="347BFB2C" w14:textId="77777777" w:rsidR="00C53EF3" w:rsidRPr="00CB334A" w:rsidRDefault="00C53EF3" w:rsidP="00C53EF3">
            <w:pPr>
              <w:spacing w:before="0" w:after="0" w:line="240" w:lineRule="auto"/>
              <w:jc w:val="center"/>
              <w:rPr>
                <w:rFonts w:ascii="Arial" w:hAnsi="Arial" w:cs="Arial"/>
                <w:sz w:val="16"/>
                <w:szCs w:val="16"/>
              </w:rPr>
            </w:pPr>
            <w:r w:rsidRPr="00CB334A">
              <w:rPr>
                <w:rFonts w:ascii="Arial" w:hAnsi="Arial" w:cs="Arial"/>
                <w:sz w:val="16"/>
                <w:szCs w:val="16"/>
              </w:rPr>
              <w:t>Estimates</w:t>
            </w:r>
          </w:p>
        </w:tc>
      </w:tr>
      <w:tr w:rsidR="00C53EF3" w:rsidRPr="00CB334A" w14:paraId="06D950A3" w14:textId="77777777" w:rsidTr="00C53EF3">
        <w:trPr>
          <w:trHeight w:val="225"/>
        </w:trPr>
        <w:tc>
          <w:tcPr>
            <w:tcW w:w="0" w:type="auto"/>
            <w:tcBorders>
              <w:top w:val="nil"/>
              <w:left w:val="nil"/>
              <w:bottom w:val="nil"/>
              <w:right w:val="nil"/>
            </w:tcBorders>
            <w:shd w:val="clear" w:color="000000" w:fill="FFFFFF"/>
            <w:noWrap/>
            <w:vAlign w:val="center"/>
            <w:hideMark/>
          </w:tcPr>
          <w:p w14:paraId="53E67023" w14:textId="77777777" w:rsidR="00C53EF3" w:rsidRPr="00CB334A" w:rsidRDefault="00C53EF3" w:rsidP="00C53EF3">
            <w:pPr>
              <w:spacing w:before="0" w:after="0" w:line="240" w:lineRule="auto"/>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4A68D870" w14:textId="2B3E8B86" w:rsidR="00C53EF3" w:rsidRPr="00CB334A" w:rsidRDefault="00C53EF3" w:rsidP="00C53EF3">
            <w:pPr>
              <w:spacing w:before="0" w:after="0" w:line="240" w:lineRule="auto"/>
              <w:jc w:val="right"/>
              <w:rPr>
                <w:rFonts w:ascii="Arial" w:hAnsi="Arial" w:cs="Arial"/>
                <w:sz w:val="16"/>
                <w:szCs w:val="16"/>
              </w:rPr>
            </w:pPr>
            <w:r w:rsidRPr="00CB334A">
              <w:rPr>
                <w:rFonts w:ascii="Arial" w:hAnsi="Arial" w:cs="Arial"/>
                <w:sz w:val="16"/>
                <w:szCs w:val="16"/>
              </w:rPr>
              <w:t>2023</w:t>
            </w:r>
            <w:r w:rsidR="00325E1E">
              <w:rPr>
                <w:rFonts w:ascii="Arial" w:hAnsi="Arial" w:cs="Arial"/>
                <w:sz w:val="16"/>
                <w:szCs w:val="16"/>
              </w:rPr>
              <w:noBreakHyphen/>
            </w:r>
            <w:r w:rsidRPr="00CB334A">
              <w:rPr>
                <w:rFonts w:ascii="Arial" w:hAnsi="Arial" w:cs="Arial"/>
                <w:sz w:val="16"/>
                <w:szCs w:val="16"/>
              </w:rPr>
              <w:t>24</w:t>
            </w:r>
          </w:p>
        </w:tc>
        <w:tc>
          <w:tcPr>
            <w:tcW w:w="0" w:type="auto"/>
            <w:tcBorders>
              <w:top w:val="nil"/>
              <w:left w:val="nil"/>
              <w:bottom w:val="nil"/>
              <w:right w:val="nil"/>
            </w:tcBorders>
            <w:shd w:val="clear" w:color="000000" w:fill="E6F2FF"/>
            <w:noWrap/>
            <w:vAlign w:val="center"/>
            <w:hideMark/>
          </w:tcPr>
          <w:p w14:paraId="334425D7" w14:textId="2A00D439" w:rsidR="00C53EF3" w:rsidRPr="00CB334A" w:rsidRDefault="00C53EF3" w:rsidP="00C53EF3">
            <w:pPr>
              <w:spacing w:before="0" w:after="0" w:line="240" w:lineRule="auto"/>
              <w:jc w:val="right"/>
              <w:rPr>
                <w:rFonts w:ascii="Arial" w:hAnsi="Arial" w:cs="Arial"/>
                <w:sz w:val="16"/>
                <w:szCs w:val="16"/>
              </w:rPr>
            </w:pPr>
            <w:r w:rsidRPr="00CB334A">
              <w:rPr>
                <w:rFonts w:ascii="Arial" w:hAnsi="Arial" w:cs="Arial"/>
                <w:sz w:val="16"/>
                <w:szCs w:val="16"/>
              </w:rPr>
              <w:t>2024</w:t>
            </w:r>
            <w:r w:rsidR="00325E1E">
              <w:rPr>
                <w:rFonts w:ascii="Arial" w:hAnsi="Arial" w:cs="Arial"/>
                <w:sz w:val="16"/>
                <w:szCs w:val="16"/>
              </w:rPr>
              <w:noBreakHyphen/>
            </w:r>
            <w:r w:rsidRPr="00CB334A">
              <w:rPr>
                <w:rFonts w:ascii="Arial" w:hAnsi="Arial" w:cs="Arial"/>
                <w:sz w:val="16"/>
                <w:szCs w:val="16"/>
              </w:rPr>
              <w:t>25</w:t>
            </w:r>
          </w:p>
        </w:tc>
        <w:tc>
          <w:tcPr>
            <w:tcW w:w="0" w:type="auto"/>
            <w:tcBorders>
              <w:top w:val="nil"/>
              <w:left w:val="nil"/>
              <w:bottom w:val="nil"/>
              <w:right w:val="nil"/>
            </w:tcBorders>
            <w:shd w:val="clear" w:color="000000" w:fill="FFFFFF"/>
            <w:noWrap/>
            <w:vAlign w:val="center"/>
            <w:hideMark/>
          </w:tcPr>
          <w:p w14:paraId="586C8B2F" w14:textId="5D3DCA54" w:rsidR="00C53EF3" w:rsidRPr="00CB334A" w:rsidRDefault="00C53EF3" w:rsidP="00C53EF3">
            <w:pPr>
              <w:spacing w:before="0" w:after="0" w:line="240" w:lineRule="auto"/>
              <w:jc w:val="right"/>
              <w:rPr>
                <w:rFonts w:ascii="Arial" w:hAnsi="Arial" w:cs="Arial"/>
                <w:sz w:val="16"/>
                <w:szCs w:val="16"/>
              </w:rPr>
            </w:pPr>
            <w:r w:rsidRPr="00CB334A">
              <w:rPr>
                <w:rFonts w:ascii="Arial" w:hAnsi="Arial" w:cs="Arial"/>
                <w:sz w:val="16"/>
                <w:szCs w:val="16"/>
              </w:rPr>
              <w:t>2025</w:t>
            </w:r>
            <w:r w:rsidR="00325E1E">
              <w:rPr>
                <w:rFonts w:ascii="Arial" w:hAnsi="Arial" w:cs="Arial"/>
                <w:sz w:val="16"/>
                <w:szCs w:val="16"/>
              </w:rPr>
              <w:noBreakHyphen/>
            </w:r>
            <w:r w:rsidRPr="00CB334A">
              <w:rPr>
                <w:rFonts w:ascii="Arial" w:hAnsi="Arial" w:cs="Arial"/>
                <w:sz w:val="16"/>
                <w:szCs w:val="16"/>
              </w:rPr>
              <w:t>26</w:t>
            </w:r>
          </w:p>
        </w:tc>
        <w:tc>
          <w:tcPr>
            <w:tcW w:w="0" w:type="auto"/>
            <w:tcBorders>
              <w:top w:val="nil"/>
              <w:left w:val="nil"/>
              <w:bottom w:val="nil"/>
              <w:right w:val="nil"/>
            </w:tcBorders>
            <w:shd w:val="clear" w:color="000000" w:fill="FFFFFF"/>
            <w:noWrap/>
            <w:vAlign w:val="center"/>
            <w:hideMark/>
          </w:tcPr>
          <w:p w14:paraId="5724815C" w14:textId="478611BA" w:rsidR="00C53EF3" w:rsidRPr="00CB334A" w:rsidRDefault="00C53EF3" w:rsidP="00C53EF3">
            <w:pPr>
              <w:spacing w:before="0" w:after="0" w:line="240" w:lineRule="auto"/>
              <w:jc w:val="right"/>
              <w:rPr>
                <w:rFonts w:ascii="Arial" w:hAnsi="Arial" w:cs="Arial"/>
                <w:sz w:val="16"/>
                <w:szCs w:val="16"/>
              </w:rPr>
            </w:pPr>
            <w:r w:rsidRPr="00CB334A">
              <w:rPr>
                <w:rFonts w:ascii="Arial" w:hAnsi="Arial" w:cs="Arial"/>
                <w:sz w:val="16"/>
                <w:szCs w:val="16"/>
              </w:rPr>
              <w:t>2026</w:t>
            </w:r>
            <w:r w:rsidR="00325E1E">
              <w:rPr>
                <w:rFonts w:ascii="Arial" w:hAnsi="Arial" w:cs="Arial"/>
                <w:sz w:val="16"/>
                <w:szCs w:val="16"/>
              </w:rPr>
              <w:noBreakHyphen/>
            </w:r>
            <w:r w:rsidRPr="00CB334A">
              <w:rPr>
                <w:rFonts w:ascii="Arial" w:hAnsi="Arial" w:cs="Arial"/>
                <w:sz w:val="16"/>
                <w:szCs w:val="16"/>
              </w:rPr>
              <w:t>27</w:t>
            </w:r>
          </w:p>
        </w:tc>
        <w:tc>
          <w:tcPr>
            <w:tcW w:w="0" w:type="auto"/>
            <w:tcBorders>
              <w:top w:val="nil"/>
              <w:left w:val="nil"/>
              <w:bottom w:val="nil"/>
              <w:right w:val="nil"/>
            </w:tcBorders>
            <w:shd w:val="clear" w:color="000000" w:fill="FFFFFF"/>
            <w:noWrap/>
            <w:vAlign w:val="center"/>
            <w:hideMark/>
          </w:tcPr>
          <w:p w14:paraId="2E8386DB" w14:textId="53E975F0"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2027</w:t>
            </w:r>
            <w:r w:rsidR="00325E1E">
              <w:rPr>
                <w:rFonts w:ascii="Arial" w:hAnsi="Arial" w:cs="Arial"/>
                <w:color w:val="000000"/>
                <w:sz w:val="16"/>
                <w:szCs w:val="16"/>
              </w:rPr>
              <w:noBreakHyphen/>
            </w:r>
            <w:r w:rsidRPr="00CB334A">
              <w:rPr>
                <w:rFonts w:ascii="Arial" w:hAnsi="Arial" w:cs="Arial"/>
                <w:color w:val="000000"/>
                <w:sz w:val="16"/>
                <w:szCs w:val="16"/>
              </w:rPr>
              <w:t>28</w:t>
            </w:r>
          </w:p>
        </w:tc>
      </w:tr>
      <w:tr w:rsidR="00C53EF3" w:rsidRPr="00CB334A" w14:paraId="3A7D44F9" w14:textId="77777777" w:rsidTr="00C53EF3">
        <w:trPr>
          <w:trHeight w:val="225"/>
        </w:trPr>
        <w:tc>
          <w:tcPr>
            <w:tcW w:w="0" w:type="auto"/>
            <w:tcBorders>
              <w:top w:val="nil"/>
              <w:left w:val="nil"/>
              <w:bottom w:val="nil"/>
              <w:right w:val="nil"/>
            </w:tcBorders>
            <w:shd w:val="clear" w:color="000000" w:fill="FFFFFF"/>
            <w:noWrap/>
            <w:vAlign w:val="center"/>
            <w:hideMark/>
          </w:tcPr>
          <w:p w14:paraId="59F71EDB" w14:textId="77777777" w:rsidR="00C53EF3" w:rsidRPr="00CB334A" w:rsidRDefault="00C53EF3" w:rsidP="00C53EF3">
            <w:pPr>
              <w:spacing w:before="0" w:after="0" w:line="240" w:lineRule="auto"/>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single" w:sz="4" w:space="0" w:color="293F5B"/>
              <w:right w:val="nil"/>
            </w:tcBorders>
            <w:shd w:val="clear" w:color="000000" w:fill="FFFFFF"/>
            <w:noWrap/>
            <w:vAlign w:val="center"/>
            <w:hideMark/>
          </w:tcPr>
          <w:p w14:paraId="7867A6C0"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E6F2FF"/>
            <w:noWrap/>
            <w:vAlign w:val="center"/>
            <w:hideMark/>
          </w:tcPr>
          <w:p w14:paraId="3B7502D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12FBE6E0"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64D4EC40"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57783B06"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$m</w:t>
            </w:r>
          </w:p>
        </w:tc>
      </w:tr>
      <w:tr w:rsidR="00C53EF3" w:rsidRPr="00CB334A" w14:paraId="0D6A2D07" w14:textId="77777777" w:rsidTr="00C53EF3">
        <w:trPr>
          <w:trHeight w:val="225"/>
        </w:trPr>
        <w:tc>
          <w:tcPr>
            <w:tcW w:w="0" w:type="auto"/>
            <w:tcBorders>
              <w:top w:val="nil"/>
              <w:left w:val="nil"/>
              <w:bottom w:val="nil"/>
              <w:right w:val="nil"/>
            </w:tcBorders>
            <w:shd w:val="clear" w:color="000000" w:fill="FFFFFF"/>
            <w:noWrap/>
            <w:vAlign w:val="center"/>
            <w:hideMark/>
          </w:tcPr>
          <w:p w14:paraId="72CBDE98"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Wages and salaries expenses</w:t>
            </w:r>
          </w:p>
        </w:tc>
        <w:tc>
          <w:tcPr>
            <w:tcW w:w="0" w:type="auto"/>
            <w:tcBorders>
              <w:top w:val="nil"/>
              <w:left w:val="nil"/>
              <w:bottom w:val="single" w:sz="4" w:space="0" w:color="293F5B"/>
              <w:right w:val="nil"/>
            </w:tcBorders>
            <w:shd w:val="clear" w:color="000000" w:fill="FFFFFF"/>
            <w:noWrap/>
            <w:vAlign w:val="center"/>
            <w:hideMark/>
          </w:tcPr>
          <w:p w14:paraId="12275AC4"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27,326</w:t>
            </w:r>
          </w:p>
        </w:tc>
        <w:tc>
          <w:tcPr>
            <w:tcW w:w="0" w:type="auto"/>
            <w:tcBorders>
              <w:top w:val="nil"/>
              <w:left w:val="nil"/>
              <w:bottom w:val="single" w:sz="4" w:space="0" w:color="293F5B"/>
              <w:right w:val="nil"/>
            </w:tcBorders>
            <w:shd w:val="clear" w:color="000000" w:fill="E6F2FF"/>
            <w:noWrap/>
            <w:vAlign w:val="center"/>
            <w:hideMark/>
          </w:tcPr>
          <w:p w14:paraId="0AD1DA43"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29,440</w:t>
            </w:r>
          </w:p>
        </w:tc>
        <w:tc>
          <w:tcPr>
            <w:tcW w:w="0" w:type="auto"/>
            <w:tcBorders>
              <w:top w:val="nil"/>
              <w:left w:val="nil"/>
              <w:bottom w:val="single" w:sz="4" w:space="0" w:color="293F5B"/>
              <w:right w:val="nil"/>
            </w:tcBorders>
            <w:shd w:val="clear" w:color="000000" w:fill="FFFFFF"/>
            <w:noWrap/>
            <w:vAlign w:val="center"/>
            <w:hideMark/>
          </w:tcPr>
          <w:p w14:paraId="2FAEF3A3"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29,282</w:t>
            </w:r>
          </w:p>
        </w:tc>
        <w:tc>
          <w:tcPr>
            <w:tcW w:w="0" w:type="auto"/>
            <w:tcBorders>
              <w:top w:val="nil"/>
              <w:left w:val="nil"/>
              <w:bottom w:val="single" w:sz="4" w:space="0" w:color="293F5B"/>
              <w:right w:val="nil"/>
            </w:tcBorders>
            <w:shd w:val="clear" w:color="000000" w:fill="FFFFFF"/>
            <w:noWrap/>
            <w:vAlign w:val="center"/>
            <w:hideMark/>
          </w:tcPr>
          <w:p w14:paraId="65C59000"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29,256</w:t>
            </w:r>
          </w:p>
        </w:tc>
        <w:tc>
          <w:tcPr>
            <w:tcW w:w="0" w:type="auto"/>
            <w:tcBorders>
              <w:top w:val="nil"/>
              <w:left w:val="nil"/>
              <w:bottom w:val="single" w:sz="4" w:space="0" w:color="293F5B"/>
              <w:right w:val="nil"/>
            </w:tcBorders>
            <w:shd w:val="clear" w:color="000000" w:fill="FFFFFF"/>
            <w:noWrap/>
            <w:vAlign w:val="center"/>
            <w:hideMark/>
          </w:tcPr>
          <w:p w14:paraId="67323D65"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29,659</w:t>
            </w:r>
          </w:p>
        </w:tc>
      </w:tr>
      <w:tr w:rsidR="00C53EF3" w:rsidRPr="00CB334A" w14:paraId="1359C5E0" w14:textId="77777777" w:rsidTr="00C53EF3">
        <w:trPr>
          <w:trHeight w:val="60"/>
        </w:trPr>
        <w:tc>
          <w:tcPr>
            <w:tcW w:w="0" w:type="auto"/>
            <w:tcBorders>
              <w:top w:val="nil"/>
              <w:left w:val="nil"/>
              <w:bottom w:val="nil"/>
              <w:right w:val="nil"/>
            </w:tcBorders>
            <w:shd w:val="clear" w:color="000000" w:fill="FFFFFF"/>
            <w:noWrap/>
            <w:vAlign w:val="center"/>
            <w:hideMark/>
          </w:tcPr>
          <w:p w14:paraId="3D4E1725"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14:paraId="77DAC9B8"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1F798B8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14EACBA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E92B68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2D7241F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r>
      <w:tr w:rsidR="00C53EF3" w:rsidRPr="00CB334A" w14:paraId="4E72A7C5" w14:textId="77777777" w:rsidTr="00C53EF3">
        <w:trPr>
          <w:trHeight w:val="225"/>
        </w:trPr>
        <w:tc>
          <w:tcPr>
            <w:tcW w:w="0" w:type="auto"/>
            <w:tcBorders>
              <w:top w:val="nil"/>
              <w:left w:val="nil"/>
              <w:bottom w:val="nil"/>
              <w:right w:val="nil"/>
            </w:tcBorders>
            <w:shd w:val="clear" w:color="000000" w:fill="FFFFFF"/>
            <w:noWrap/>
            <w:vAlign w:val="center"/>
            <w:hideMark/>
          </w:tcPr>
          <w:p w14:paraId="7608E2BC"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Other operating expenses</w:t>
            </w:r>
          </w:p>
        </w:tc>
        <w:tc>
          <w:tcPr>
            <w:tcW w:w="0" w:type="auto"/>
            <w:tcBorders>
              <w:top w:val="nil"/>
              <w:left w:val="nil"/>
              <w:bottom w:val="nil"/>
              <w:right w:val="nil"/>
            </w:tcBorders>
            <w:shd w:val="clear" w:color="000000" w:fill="FFFFFF"/>
            <w:noWrap/>
            <w:vAlign w:val="center"/>
            <w:hideMark/>
          </w:tcPr>
          <w:p w14:paraId="4DEF479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6F9B8C61"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3D655B7A"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7473231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0155BE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r>
      <w:tr w:rsidR="00C53EF3" w:rsidRPr="00CB334A" w14:paraId="33BFD907" w14:textId="77777777" w:rsidTr="00C53EF3">
        <w:trPr>
          <w:trHeight w:val="225"/>
        </w:trPr>
        <w:tc>
          <w:tcPr>
            <w:tcW w:w="0" w:type="auto"/>
            <w:tcBorders>
              <w:top w:val="nil"/>
              <w:left w:val="nil"/>
              <w:bottom w:val="nil"/>
              <w:right w:val="nil"/>
            </w:tcBorders>
            <w:shd w:val="clear" w:color="000000" w:fill="FFFFFF"/>
            <w:noWrap/>
            <w:vAlign w:val="center"/>
            <w:hideMark/>
          </w:tcPr>
          <w:p w14:paraId="1F9B1307"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Leave and other entitlements</w:t>
            </w:r>
          </w:p>
        </w:tc>
        <w:tc>
          <w:tcPr>
            <w:tcW w:w="0" w:type="auto"/>
            <w:tcBorders>
              <w:top w:val="nil"/>
              <w:left w:val="nil"/>
              <w:bottom w:val="nil"/>
              <w:right w:val="nil"/>
            </w:tcBorders>
            <w:shd w:val="clear" w:color="000000" w:fill="FFFFFF"/>
            <w:noWrap/>
            <w:vAlign w:val="center"/>
            <w:hideMark/>
          </w:tcPr>
          <w:p w14:paraId="1B35A838"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3,362</w:t>
            </w:r>
          </w:p>
        </w:tc>
        <w:tc>
          <w:tcPr>
            <w:tcW w:w="0" w:type="auto"/>
            <w:tcBorders>
              <w:top w:val="nil"/>
              <w:left w:val="nil"/>
              <w:bottom w:val="nil"/>
              <w:right w:val="nil"/>
            </w:tcBorders>
            <w:shd w:val="clear" w:color="000000" w:fill="E6F2FF"/>
            <w:noWrap/>
            <w:vAlign w:val="center"/>
            <w:hideMark/>
          </w:tcPr>
          <w:p w14:paraId="74833A6B"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3,580</w:t>
            </w:r>
          </w:p>
        </w:tc>
        <w:tc>
          <w:tcPr>
            <w:tcW w:w="0" w:type="auto"/>
            <w:tcBorders>
              <w:top w:val="nil"/>
              <w:left w:val="nil"/>
              <w:bottom w:val="nil"/>
              <w:right w:val="nil"/>
            </w:tcBorders>
            <w:shd w:val="clear" w:color="000000" w:fill="FFFFFF"/>
            <w:noWrap/>
            <w:vAlign w:val="center"/>
            <w:hideMark/>
          </w:tcPr>
          <w:p w14:paraId="6964FF0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3,583</w:t>
            </w:r>
          </w:p>
        </w:tc>
        <w:tc>
          <w:tcPr>
            <w:tcW w:w="0" w:type="auto"/>
            <w:tcBorders>
              <w:top w:val="nil"/>
              <w:left w:val="nil"/>
              <w:bottom w:val="nil"/>
              <w:right w:val="nil"/>
            </w:tcBorders>
            <w:shd w:val="clear" w:color="000000" w:fill="FFFFFF"/>
            <w:noWrap/>
            <w:vAlign w:val="center"/>
            <w:hideMark/>
          </w:tcPr>
          <w:p w14:paraId="62996A04"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3,643</w:t>
            </w:r>
          </w:p>
        </w:tc>
        <w:tc>
          <w:tcPr>
            <w:tcW w:w="0" w:type="auto"/>
            <w:tcBorders>
              <w:top w:val="nil"/>
              <w:left w:val="nil"/>
              <w:bottom w:val="nil"/>
              <w:right w:val="nil"/>
            </w:tcBorders>
            <w:shd w:val="clear" w:color="000000" w:fill="FFFFFF"/>
            <w:noWrap/>
            <w:vAlign w:val="center"/>
            <w:hideMark/>
          </w:tcPr>
          <w:p w14:paraId="3285028E"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3,738</w:t>
            </w:r>
          </w:p>
        </w:tc>
      </w:tr>
      <w:tr w:rsidR="00C53EF3" w:rsidRPr="00CB334A" w14:paraId="16EE32E3" w14:textId="77777777" w:rsidTr="00C53EF3">
        <w:trPr>
          <w:trHeight w:val="225"/>
        </w:trPr>
        <w:tc>
          <w:tcPr>
            <w:tcW w:w="0" w:type="auto"/>
            <w:tcBorders>
              <w:top w:val="nil"/>
              <w:left w:val="nil"/>
              <w:bottom w:val="nil"/>
              <w:right w:val="nil"/>
            </w:tcBorders>
            <w:shd w:val="clear" w:color="000000" w:fill="FFFFFF"/>
            <w:noWrap/>
            <w:vAlign w:val="center"/>
            <w:hideMark/>
          </w:tcPr>
          <w:p w14:paraId="61F5BA68"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Separations and redundancies</w:t>
            </w:r>
          </w:p>
        </w:tc>
        <w:tc>
          <w:tcPr>
            <w:tcW w:w="0" w:type="auto"/>
            <w:tcBorders>
              <w:top w:val="nil"/>
              <w:left w:val="nil"/>
              <w:bottom w:val="nil"/>
              <w:right w:val="nil"/>
            </w:tcBorders>
            <w:shd w:val="clear" w:color="000000" w:fill="FFFFFF"/>
            <w:noWrap/>
            <w:vAlign w:val="center"/>
            <w:hideMark/>
          </w:tcPr>
          <w:p w14:paraId="2AFD11F5"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58</w:t>
            </w:r>
          </w:p>
        </w:tc>
        <w:tc>
          <w:tcPr>
            <w:tcW w:w="0" w:type="auto"/>
            <w:tcBorders>
              <w:top w:val="nil"/>
              <w:left w:val="nil"/>
              <w:bottom w:val="nil"/>
              <w:right w:val="nil"/>
            </w:tcBorders>
            <w:shd w:val="clear" w:color="000000" w:fill="E6F2FF"/>
            <w:noWrap/>
            <w:vAlign w:val="center"/>
            <w:hideMark/>
          </w:tcPr>
          <w:p w14:paraId="49A6A63E"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105</w:t>
            </w:r>
          </w:p>
        </w:tc>
        <w:tc>
          <w:tcPr>
            <w:tcW w:w="0" w:type="auto"/>
            <w:tcBorders>
              <w:top w:val="nil"/>
              <w:left w:val="nil"/>
              <w:bottom w:val="nil"/>
              <w:right w:val="nil"/>
            </w:tcBorders>
            <w:shd w:val="clear" w:color="000000" w:fill="FFFFFF"/>
            <w:noWrap/>
            <w:vAlign w:val="center"/>
            <w:hideMark/>
          </w:tcPr>
          <w:p w14:paraId="194461E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85</w:t>
            </w:r>
          </w:p>
        </w:tc>
        <w:tc>
          <w:tcPr>
            <w:tcW w:w="0" w:type="auto"/>
            <w:tcBorders>
              <w:top w:val="nil"/>
              <w:left w:val="nil"/>
              <w:bottom w:val="nil"/>
              <w:right w:val="nil"/>
            </w:tcBorders>
            <w:shd w:val="clear" w:color="000000" w:fill="FFFFFF"/>
            <w:noWrap/>
            <w:vAlign w:val="center"/>
            <w:hideMark/>
          </w:tcPr>
          <w:p w14:paraId="6F6BC7E8"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87</w:t>
            </w:r>
          </w:p>
        </w:tc>
        <w:tc>
          <w:tcPr>
            <w:tcW w:w="0" w:type="auto"/>
            <w:tcBorders>
              <w:top w:val="nil"/>
              <w:left w:val="nil"/>
              <w:bottom w:val="nil"/>
              <w:right w:val="nil"/>
            </w:tcBorders>
            <w:shd w:val="clear" w:color="000000" w:fill="FFFFFF"/>
            <w:noWrap/>
            <w:vAlign w:val="center"/>
            <w:hideMark/>
          </w:tcPr>
          <w:p w14:paraId="14E100F3"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87</w:t>
            </w:r>
          </w:p>
        </w:tc>
      </w:tr>
      <w:tr w:rsidR="00C53EF3" w:rsidRPr="00CB334A" w14:paraId="2F6BA9A1" w14:textId="77777777" w:rsidTr="00C53EF3">
        <w:trPr>
          <w:trHeight w:val="225"/>
        </w:trPr>
        <w:tc>
          <w:tcPr>
            <w:tcW w:w="0" w:type="auto"/>
            <w:tcBorders>
              <w:top w:val="nil"/>
              <w:left w:val="nil"/>
              <w:bottom w:val="nil"/>
              <w:right w:val="nil"/>
            </w:tcBorders>
            <w:shd w:val="clear" w:color="000000" w:fill="FFFFFF"/>
            <w:noWrap/>
            <w:vAlign w:val="center"/>
            <w:hideMark/>
          </w:tcPr>
          <w:p w14:paraId="4B22E251"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Workers compensation premiums and claims</w:t>
            </w:r>
          </w:p>
        </w:tc>
        <w:tc>
          <w:tcPr>
            <w:tcW w:w="0" w:type="auto"/>
            <w:tcBorders>
              <w:top w:val="nil"/>
              <w:left w:val="nil"/>
              <w:bottom w:val="nil"/>
              <w:right w:val="nil"/>
            </w:tcBorders>
            <w:shd w:val="clear" w:color="000000" w:fill="FFFFFF"/>
            <w:noWrap/>
            <w:vAlign w:val="center"/>
            <w:hideMark/>
          </w:tcPr>
          <w:p w14:paraId="14510B94"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2,765</w:t>
            </w:r>
          </w:p>
        </w:tc>
        <w:tc>
          <w:tcPr>
            <w:tcW w:w="0" w:type="auto"/>
            <w:tcBorders>
              <w:top w:val="nil"/>
              <w:left w:val="nil"/>
              <w:bottom w:val="nil"/>
              <w:right w:val="nil"/>
            </w:tcBorders>
            <w:shd w:val="clear" w:color="000000" w:fill="E6F2FF"/>
            <w:noWrap/>
            <w:vAlign w:val="center"/>
            <w:hideMark/>
          </w:tcPr>
          <w:p w14:paraId="0435F18E"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3,238</w:t>
            </w:r>
          </w:p>
        </w:tc>
        <w:tc>
          <w:tcPr>
            <w:tcW w:w="0" w:type="auto"/>
            <w:tcBorders>
              <w:top w:val="nil"/>
              <w:left w:val="nil"/>
              <w:bottom w:val="nil"/>
              <w:right w:val="nil"/>
            </w:tcBorders>
            <w:shd w:val="clear" w:color="000000" w:fill="FFFFFF"/>
            <w:noWrap/>
            <w:vAlign w:val="center"/>
            <w:hideMark/>
          </w:tcPr>
          <w:p w14:paraId="24807E53"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7,682</w:t>
            </w:r>
          </w:p>
        </w:tc>
        <w:tc>
          <w:tcPr>
            <w:tcW w:w="0" w:type="auto"/>
            <w:tcBorders>
              <w:top w:val="nil"/>
              <w:left w:val="nil"/>
              <w:bottom w:val="nil"/>
              <w:right w:val="nil"/>
            </w:tcBorders>
            <w:shd w:val="clear" w:color="000000" w:fill="FFFFFF"/>
            <w:noWrap/>
            <w:vAlign w:val="center"/>
            <w:hideMark/>
          </w:tcPr>
          <w:p w14:paraId="707AF04B"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5,136</w:t>
            </w:r>
          </w:p>
        </w:tc>
        <w:tc>
          <w:tcPr>
            <w:tcW w:w="0" w:type="auto"/>
            <w:tcBorders>
              <w:top w:val="nil"/>
              <w:left w:val="nil"/>
              <w:bottom w:val="nil"/>
              <w:right w:val="nil"/>
            </w:tcBorders>
            <w:shd w:val="clear" w:color="000000" w:fill="FFFFFF"/>
            <w:noWrap/>
            <w:vAlign w:val="center"/>
            <w:hideMark/>
          </w:tcPr>
          <w:p w14:paraId="37616BA7"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5,261</w:t>
            </w:r>
          </w:p>
        </w:tc>
      </w:tr>
      <w:tr w:rsidR="00C53EF3" w:rsidRPr="00CB334A" w14:paraId="72FEDA86" w14:textId="77777777" w:rsidTr="00C53EF3">
        <w:trPr>
          <w:trHeight w:val="225"/>
        </w:trPr>
        <w:tc>
          <w:tcPr>
            <w:tcW w:w="0" w:type="auto"/>
            <w:tcBorders>
              <w:top w:val="nil"/>
              <w:left w:val="nil"/>
              <w:bottom w:val="nil"/>
              <w:right w:val="nil"/>
            </w:tcBorders>
            <w:shd w:val="clear" w:color="000000" w:fill="FFFFFF"/>
            <w:noWrap/>
            <w:vAlign w:val="center"/>
            <w:hideMark/>
          </w:tcPr>
          <w:p w14:paraId="505755A9"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Other</w:t>
            </w:r>
          </w:p>
        </w:tc>
        <w:tc>
          <w:tcPr>
            <w:tcW w:w="0" w:type="auto"/>
            <w:tcBorders>
              <w:top w:val="nil"/>
              <w:left w:val="nil"/>
              <w:bottom w:val="single" w:sz="4" w:space="0" w:color="293F5B"/>
              <w:right w:val="nil"/>
            </w:tcBorders>
            <w:shd w:val="clear" w:color="000000" w:fill="FFFFFF"/>
            <w:noWrap/>
            <w:vAlign w:val="center"/>
            <w:hideMark/>
          </w:tcPr>
          <w:p w14:paraId="417E1BD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3,063</w:t>
            </w:r>
          </w:p>
        </w:tc>
        <w:tc>
          <w:tcPr>
            <w:tcW w:w="0" w:type="auto"/>
            <w:tcBorders>
              <w:top w:val="nil"/>
              <w:left w:val="nil"/>
              <w:bottom w:val="single" w:sz="4" w:space="0" w:color="293F5B"/>
              <w:right w:val="nil"/>
            </w:tcBorders>
            <w:shd w:val="clear" w:color="000000" w:fill="E6F2FF"/>
            <w:noWrap/>
            <w:vAlign w:val="center"/>
            <w:hideMark/>
          </w:tcPr>
          <w:p w14:paraId="1E000DE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3,003</w:t>
            </w:r>
          </w:p>
        </w:tc>
        <w:tc>
          <w:tcPr>
            <w:tcW w:w="0" w:type="auto"/>
            <w:tcBorders>
              <w:top w:val="nil"/>
              <w:left w:val="nil"/>
              <w:bottom w:val="single" w:sz="4" w:space="0" w:color="293F5B"/>
              <w:right w:val="nil"/>
            </w:tcBorders>
            <w:shd w:val="clear" w:color="000000" w:fill="FFFFFF"/>
            <w:noWrap/>
            <w:vAlign w:val="center"/>
            <w:hideMark/>
          </w:tcPr>
          <w:p w14:paraId="03234E17"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3,091</w:t>
            </w:r>
          </w:p>
        </w:tc>
        <w:tc>
          <w:tcPr>
            <w:tcW w:w="0" w:type="auto"/>
            <w:tcBorders>
              <w:top w:val="nil"/>
              <w:left w:val="nil"/>
              <w:bottom w:val="single" w:sz="4" w:space="0" w:color="293F5B"/>
              <w:right w:val="nil"/>
            </w:tcBorders>
            <w:shd w:val="clear" w:color="000000" w:fill="FFFFFF"/>
            <w:noWrap/>
            <w:vAlign w:val="center"/>
            <w:hideMark/>
          </w:tcPr>
          <w:p w14:paraId="7C7767A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3,318</w:t>
            </w:r>
          </w:p>
        </w:tc>
        <w:tc>
          <w:tcPr>
            <w:tcW w:w="0" w:type="auto"/>
            <w:tcBorders>
              <w:top w:val="nil"/>
              <w:left w:val="nil"/>
              <w:bottom w:val="single" w:sz="4" w:space="0" w:color="293F5B"/>
              <w:right w:val="nil"/>
            </w:tcBorders>
            <w:shd w:val="clear" w:color="000000" w:fill="FFFFFF"/>
            <w:noWrap/>
            <w:vAlign w:val="center"/>
            <w:hideMark/>
          </w:tcPr>
          <w:p w14:paraId="0BD12ED8"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3,328</w:t>
            </w:r>
          </w:p>
        </w:tc>
      </w:tr>
      <w:tr w:rsidR="00C53EF3" w:rsidRPr="00CB334A" w14:paraId="6068373D" w14:textId="77777777" w:rsidTr="00C53EF3">
        <w:trPr>
          <w:trHeight w:val="225"/>
        </w:trPr>
        <w:tc>
          <w:tcPr>
            <w:tcW w:w="0" w:type="auto"/>
            <w:tcBorders>
              <w:top w:val="nil"/>
              <w:left w:val="nil"/>
              <w:bottom w:val="nil"/>
              <w:right w:val="nil"/>
            </w:tcBorders>
            <w:shd w:val="clear" w:color="000000" w:fill="FFFFFF"/>
            <w:noWrap/>
            <w:vAlign w:val="center"/>
            <w:hideMark/>
          </w:tcPr>
          <w:p w14:paraId="36124084"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Total other operating expenses</w:t>
            </w:r>
          </w:p>
        </w:tc>
        <w:tc>
          <w:tcPr>
            <w:tcW w:w="0" w:type="auto"/>
            <w:tcBorders>
              <w:top w:val="nil"/>
              <w:left w:val="nil"/>
              <w:bottom w:val="single" w:sz="4" w:space="0" w:color="293F5B"/>
              <w:right w:val="nil"/>
            </w:tcBorders>
            <w:shd w:val="clear" w:color="000000" w:fill="FFFFFF"/>
            <w:noWrap/>
            <w:vAlign w:val="center"/>
            <w:hideMark/>
          </w:tcPr>
          <w:p w14:paraId="7541C8EA"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9,248</w:t>
            </w:r>
          </w:p>
        </w:tc>
        <w:tc>
          <w:tcPr>
            <w:tcW w:w="0" w:type="auto"/>
            <w:tcBorders>
              <w:top w:val="nil"/>
              <w:left w:val="nil"/>
              <w:bottom w:val="single" w:sz="4" w:space="0" w:color="293F5B"/>
              <w:right w:val="nil"/>
            </w:tcBorders>
            <w:shd w:val="clear" w:color="000000" w:fill="E6F2FF"/>
            <w:noWrap/>
            <w:vAlign w:val="center"/>
            <w:hideMark/>
          </w:tcPr>
          <w:p w14:paraId="77C5A55A"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9,925</w:t>
            </w:r>
          </w:p>
        </w:tc>
        <w:tc>
          <w:tcPr>
            <w:tcW w:w="0" w:type="auto"/>
            <w:tcBorders>
              <w:top w:val="nil"/>
              <w:left w:val="nil"/>
              <w:bottom w:val="single" w:sz="4" w:space="0" w:color="293F5B"/>
              <w:right w:val="nil"/>
            </w:tcBorders>
            <w:shd w:val="clear" w:color="000000" w:fill="FFFFFF"/>
            <w:noWrap/>
            <w:vAlign w:val="center"/>
            <w:hideMark/>
          </w:tcPr>
          <w:p w14:paraId="746560B5"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14,442</w:t>
            </w:r>
          </w:p>
        </w:tc>
        <w:tc>
          <w:tcPr>
            <w:tcW w:w="0" w:type="auto"/>
            <w:tcBorders>
              <w:top w:val="nil"/>
              <w:left w:val="nil"/>
              <w:bottom w:val="single" w:sz="4" w:space="0" w:color="293F5B"/>
              <w:right w:val="nil"/>
            </w:tcBorders>
            <w:shd w:val="clear" w:color="000000" w:fill="FFFFFF"/>
            <w:noWrap/>
            <w:vAlign w:val="center"/>
            <w:hideMark/>
          </w:tcPr>
          <w:p w14:paraId="703BF90F"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12,184</w:t>
            </w:r>
          </w:p>
        </w:tc>
        <w:tc>
          <w:tcPr>
            <w:tcW w:w="0" w:type="auto"/>
            <w:tcBorders>
              <w:top w:val="nil"/>
              <w:left w:val="nil"/>
              <w:bottom w:val="single" w:sz="4" w:space="0" w:color="293F5B"/>
              <w:right w:val="nil"/>
            </w:tcBorders>
            <w:shd w:val="clear" w:color="000000" w:fill="FFFFFF"/>
            <w:noWrap/>
            <w:vAlign w:val="center"/>
            <w:hideMark/>
          </w:tcPr>
          <w:p w14:paraId="47CEB7A6"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12,414</w:t>
            </w:r>
          </w:p>
        </w:tc>
      </w:tr>
      <w:tr w:rsidR="00C53EF3" w:rsidRPr="00CB334A" w14:paraId="2019DE4A" w14:textId="77777777" w:rsidTr="00C53EF3">
        <w:trPr>
          <w:trHeight w:val="60"/>
        </w:trPr>
        <w:tc>
          <w:tcPr>
            <w:tcW w:w="0" w:type="auto"/>
            <w:tcBorders>
              <w:top w:val="nil"/>
              <w:left w:val="nil"/>
              <w:bottom w:val="nil"/>
              <w:right w:val="nil"/>
            </w:tcBorders>
            <w:shd w:val="clear" w:color="000000" w:fill="FFFFFF"/>
            <w:noWrap/>
            <w:vAlign w:val="center"/>
            <w:hideMark/>
          </w:tcPr>
          <w:p w14:paraId="191C1A7F"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14:paraId="66312CD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0792F301"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2B81233D"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1431A5A4"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4FAC4D2F"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r>
      <w:tr w:rsidR="00C53EF3" w:rsidRPr="00CB334A" w14:paraId="612553E2" w14:textId="77777777" w:rsidTr="00C53EF3">
        <w:trPr>
          <w:trHeight w:val="225"/>
        </w:trPr>
        <w:tc>
          <w:tcPr>
            <w:tcW w:w="0" w:type="auto"/>
            <w:tcBorders>
              <w:top w:val="nil"/>
              <w:left w:val="nil"/>
              <w:bottom w:val="nil"/>
              <w:right w:val="nil"/>
            </w:tcBorders>
            <w:shd w:val="clear" w:color="000000" w:fill="FFFFFF"/>
            <w:noWrap/>
            <w:vAlign w:val="center"/>
            <w:hideMark/>
          </w:tcPr>
          <w:p w14:paraId="1B718B09"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Superannuation expenses</w:t>
            </w:r>
          </w:p>
        </w:tc>
        <w:tc>
          <w:tcPr>
            <w:tcW w:w="0" w:type="auto"/>
            <w:tcBorders>
              <w:top w:val="nil"/>
              <w:left w:val="nil"/>
              <w:bottom w:val="nil"/>
              <w:right w:val="nil"/>
            </w:tcBorders>
            <w:shd w:val="clear" w:color="000000" w:fill="FFFFFF"/>
            <w:noWrap/>
            <w:vAlign w:val="center"/>
            <w:hideMark/>
          </w:tcPr>
          <w:p w14:paraId="6DEF9D0D"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1C68F230"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11FD5A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3D546D0A"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6AE7FEC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r>
      <w:tr w:rsidR="00C53EF3" w:rsidRPr="00CB334A" w14:paraId="51C9597E" w14:textId="77777777" w:rsidTr="00C53EF3">
        <w:trPr>
          <w:trHeight w:val="225"/>
        </w:trPr>
        <w:tc>
          <w:tcPr>
            <w:tcW w:w="0" w:type="auto"/>
            <w:tcBorders>
              <w:top w:val="nil"/>
              <w:left w:val="nil"/>
              <w:bottom w:val="nil"/>
              <w:right w:val="nil"/>
            </w:tcBorders>
            <w:shd w:val="clear" w:color="000000" w:fill="FFFFFF"/>
            <w:noWrap/>
            <w:vAlign w:val="center"/>
            <w:hideMark/>
          </w:tcPr>
          <w:p w14:paraId="700FE53B"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Superannuation</w:t>
            </w:r>
          </w:p>
        </w:tc>
        <w:tc>
          <w:tcPr>
            <w:tcW w:w="0" w:type="auto"/>
            <w:tcBorders>
              <w:top w:val="nil"/>
              <w:left w:val="nil"/>
              <w:bottom w:val="nil"/>
              <w:right w:val="nil"/>
            </w:tcBorders>
            <w:shd w:val="clear" w:color="000000" w:fill="FFFFFF"/>
            <w:noWrap/>
            <w:vAlign w:val="center"/>
            <w:hideMark/>
          </w:tcPr>
          <w:p w14:paraId="2CDA0A5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9,042</w:t>
            </w:r>
          </w:p>
        </w:tc>
        <w:tc>
          <w:tcPr>
            <w:tcW w:w="0" w:type="auto"/>
            <w:tcBorders>
              <w:top w:val="nil"/>
              <w:left w:val="nil"/>
              <w:bottom w:val="nil"/>
              <w:right w:val="nil"/>
            </w:tcBorders>
            <w:shd w:val="clear" w:color="000000" w:fill="E6F2FF"/>
            <w:noWrap/>
            <w:vAlign w:val="center"/>
            <w:hideMark/>
          </w:tcPr>
          <w:p w14:paraId="43CC4410"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8,301</w:t>
            </w:r>
          </w:p>
        </w:tc>
        <w:tc>
          <w:tcPr>
            <w:tcW w:w="0" w:type="auto"/>
            <w:tcBorders>
              <w:top w:val="nil"/>
              <w:left w:val="nil"/>
              <w:bottom w:val="nil"/>
              <w:right w:val="nil"/>
            </w:tcBorders>
            <w:shd w:val="clear" w:color="000000" w:fill="FFFFFF"/>
            <w:noWrap/>
            <w:vAlign w:val="center"/>
            <w:hideMark/>
          </w:tcPr>
          <w:p w14:paraId="0E5BEF16"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8,560</w:t>
            </w:r>
          </w:p>
        </w:tc>
        <w:tc>
          <w:tcPr>
            <w:tcW w:w="0" w:type="auto"/>
            <w:tcBorders>
              <w:top w:val="nil"/>
              <w:left w:val="nil"/>
              <w:bottom w:val="nil"/>
              <w:right w:val="nil"/>
            </w:tcBorders>
            <w:shd w:val="clear" w:color="000000" w:fill="FFFFFF"/>
            <w:noWrap/>
            <w:vAlign w:val="center"/>
            <w:hideMark/>
          </w:tcPr>
          <w:p w14:paraId="77EFC73A"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8,989</w:t>
            </w:r>
          </w:p>
        </w:tc>
        <w:tc>
          <w:tcPr>
            <w:tcW w:w="0" w:type="auto"/>
            <w:tcBorders>
              <w:top w:val="nil"/>
              <w:left w:val="nil"/>
              <w:bottom w:val="nil"/>
              <w:right w:val="nil"/>
            </w:tcBorders>
            <w:shd w:val="clear" w:color="000000" w:fill="FFFFFF"/>
            <w:noWrap/>
            <w:vAlign w:val="center"/>
            <w:hideMark/>
          </w:tcPr>
          <w:p w14:paraId="44BAEAAA"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9,315</w:t>
            </w:r>
          </w:p>
        </w:tc>
      </w:tr>
      <w:tr w:rsidR="00C53EF3" w:rsidRPr="00CB334A" w14:paraId="3D8D89F5" w14:textId="77777777" w:rsidTr="00C53EF3">
        <w:trPr>
          <w:trHeight w:val="225"/>
        </w:trPr>
        <w:tc>
          <w:tcPr>
            <w:tcW w:w="0" w:type="auto"/>
            <w:tcBorders>
              <w:top w:val="nil"/>
              <w:left w:val="nil"/>
              <w:bottom w:val="nil"/>
              <w:right w:val="nil"/>
            </w:tcBorders>
            <w:shd w:val="clear" w:color="000000" w:fill="FFFFFF"/>
            <w:noWrap/>
            <w:vAlign w:val="center"/>
            <w:hideMark/>
          </w:tcPr>
          <w:p w14:paraId="347B1988"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Superannuation interest cost</w:t>
            </w:r>
          </w:p>
        </w:tc>
        <w:tc>
          <w:tcPr>
            <w:tcW w:w="0" w:type="auto"/>
            <w:tcBorders>
              <w:top w:val="nil"/>
              <w:left w:val="nil"/>
              <w:bottom w:val="single" w:sz="4" w:space="0" w:color="293F5B"/>
              <w:right w:val="nil"/>
            </w:tcBorders>
            <w:shd w:val="clear" w:color="000000" w:fill="FFFFFF"/>
            <w:noWrap/>
            <w:vAlign w:val="center"/>
            <w:hideMark/>
          </w:tcPr>
          <w:p w14:paraId="718F3951"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13,374</w:t>
            </w:r>
          </w:p>
        </w:tc>
        <w:tc>
          <w:tcPr>
            <w:tcW w:w="0" w:type="auto"/>
            <w:tcBorders>
              <w:top w:val="nil"/>
              <w:left w:val="nil"/>
              <w:bottom w:val="single" w:sz="4" w:space="0" w:color="293F5B"/>
              <w:right w:val="nil"/>
            </w:tcBorders>
            <w:shd w:val="clear" w:color="000000" w:fill="E6F2FF"/>
            <w:noWrap/>
            <w:vAlign w:val="center"/>
            <w:hideMark/>
          </w:tcPr>
          <w:p w14:paraId="1E96BA22"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14,620</w:t>
            </w:r>
          </w:p>
        </w:tc>
        <w:tc>
          <w:tcPr>
            <w:tcW w:w="0" w:type="auto"/>
            <w:tcBorders>
              <w:top w:val="nil"/>
              <w:left w:val="nil"/>
              <w:bottom w:val="single" w:sz="4" w:space="0" w:color="293F5B"/>
              <w:right w:val="nil"/>
            </w:tcBorders>
            <w:shd w:val="clear" w:color="000000" w:fill="FFFFFF"/>
            <w:noWrap/>
            <w:vAlign w:val="center"/>
            <w:hideMark/>
          </w:tcPr>
          <w:p w14:paraId="176F7EC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15,126</w:t>
            </w:r>
          </w:p>
        </w:tc>
        <w:tc>
          <w:tcPr>
            <w:tcW w:w="0" w:type="auto"/>
            <w:tcBorders>
              <w:top w:val="nil"/>
              <w:left w:val="nil"/>
              <w:bottom w:val="single" w:sz="4" w:space="0" w:color="293F5B"/>
              <w:right w:val="nil"/>
            </w:tcBorders>
            <w:shd w:val="clear" w:color="000000" w:fill="FFFFFF"/>
            <w:noWrap/>
            <w:vAlign w:val="center"/>
            <w:hideMark/>
          </w:tcPr>
          <w:p w14:paraId="2B6026C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15,610</w:t>
            </w:r>
          </w:p>
        </w:tc>
        <w:tc>
          <w:tcPr>
            <w:tcW w:w="0" w:type="auto"/>
            <w:tcBorders>
              <w:top w:val="nil"/>
              <w:left w:val="nil"/>
              <w:bottom w:val="single" w:sz="4" w:space="0" w:color="293F5B"/>
              <w:right w:val="nil"/>
            </w:tcBorders>
            <w:shd w:val="clear" w:color="000000" w:fill="FFFFFF"/>
            <w:noWrap/>
            <w:vAlign w:val="center"/>
            <w:hideMark/>
          </w:tcPr>
          <w:p w14:paraId="22BCBC3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16,054</w:t>
            </w:r>
          </w:p>
        </w:tc>
      </w:tr>
      <w:tr w:rsidR="00C53EF3" w:rsidRPr="00CB334A" w14:paraId="5EC3AC3A" w14:textId="77777777" w:rsidTr="00C53EF3">
        <w:trPr>
          <w:trHeight w:val="225"/>
        </w:trPr>
        <w:tc>
          <w:tcPr>
            <w:tcW w:w="0" w:type="auto"/>
            <w:tcBorders>
              <w:top w:val="nil"/>
              <w:left w:val="nil"/>
              <w:bottom w:val="nil"/>
              <w:right w:val="nil"/>
            </w:tcBorders>
            <w:shd w:val="clear" w:color="000000" w:fill="FFFFFF"/>
            <w:noWrap/>
            <w:vAlign w:val="center"/>
            <w:hideMark/>
          </w:tcPr>
          <w:p w14:paraId="79F25F21"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Total superannuation expenses</w:t>
            </w:r>
          </w:p>
        </w:tc>
        <w:tc>
          <w:tcPr>
            <w:tcW w:w="0" w:type="auto"/>
            <w:tcBorders>
              <w:top w:val="nil"/>
              <w:left w:val="nil"/>
              <w:bottom w:val="single" w:sz="4" w:space="0" w:color="293F5B"/>
              <w:right w:val="nil"/>
            </w:tcBorders>
            <w:shd w:val="clear" w:color="000000" w:fill="FFFFFF"/>
            <w:noWrap/>
            <w:vAlign w:val="center"/>
            <w:hideMark/>
          </w:tcPr>
          <w:p w14:paraId="6238811A"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22,416</w:t>
            </w:r>
          </w:p>
        </w:tc>
        <w:tc>
          <w:tcPr>
            <w:tcW w:w="0" w:type="auto"/>
            <w:tcBorders>
              <w:top w:val="nil"/>
              <w:left w:val="nil"/>
              <w:bottom w:val="single" w:sz="4" w:space="0" w:color="293F5B"/>
              <w:right w:val="nil"/>
            </w:tcBorders>
            <w:shd w:val="clear" w:color="000000" w:fill="E6F2FF"/>
            <w:noWrap/>
            <w:vAlign w:val="center"/>
            <w:hideMark/>
          </w:tcPr>
          <w:p w14:paraId="2CBDB610"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22,921</w:t>
            </w:r>
          </w:p>
        </w:tc>
        <w:tc>
          <w:tcPr>
            <w:tcW w:w="0" w:type="auto"/>
            <w:tcBorders>
              <w:top w:val="nil"/>
              <w:left w:val="nil"/>
              <w:bottom w:val="single" w:sz="4" w:space="0" w:color="293F5B"/>
              <w:right w:val="nil"/>
            </w:tcBorders>
            <w:shd w:val="clear" w:color="000000" w:fill="FFFFFF"/>
            <w:noWrap/>
            <w:vAlign w:val="center"/>
            <w:hideMark/>
          </w:tcPr>
          <w:p w14:paraId="04FE41B5"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23,687</w:t>
            </w:r>
          </w:p>
        </w:tc>
        <w:tc>
          <w:tcPr>
            <w:tcW w:w="0" w:type="auto"/>
            <w:tcBorders>
              <w:top w:val="nil"/>
              <w:left w:val="nil"/>
              <w:bottom w:val="single" w:sz="4" w:space="0" w:color="293F5B"/>
              <w:right w:val="nil"/>
            </w:tcBorders>
            <w:shd w:val="clear" w:color="000000" w:fill="FFFFFF"/>
            <w:noWrap/>
            <w:vAlign w:val="center"/>
            <w:hideMark/>
          </w:tcPr>
          <w:p w14:paraId="292B7194"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24,599</w:t>
            </w:r>
          </w:p>
        </w:tc>
        <w:tc>
          <w:tcPr>
            <w:tcW w:w="0" w:type="auto"/>
            <w:tcBorders>
              <w:top w:val="nil"/>
              <w:left w:val="nil"/>
              <w:bottom w:val="single" w:sz="4" w:space="0" w:color="293F5B"/>
              <w:right w:val="nil"/>
            </w:tcBorders>
            <w:shd w:val="clear" w:color="000000" w:fill="FFFFFF"/>
            <w:noWrap/>
            <w:vAlign w:val="center"/>
            <w:hideMark/>
          </w:tcPr>
          <w:p w14:paraId="02B116C8"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25,369</w:t>
            </w:r>
          </w:p>
        </w:tc>
      </w:tr>
      <w:tr w:rsidR="00C53EF3" w:rsidRPr="00CB334A" w14:paraId="0CD6C653" w14:textId="77777777" w:rsidTr="00C53EF3">
        <w:trPr>
          <w:trHeight w:val="60"/>
        </w:trPr>
        <w:tc>
          <w:tcPr>
            <w:tcW w:w="0" w:type="auto"/>
            <w:tcBorders>
              <w:top w:val="nil"/>
              <w:left w:val="nil"/>
              <w:bottom w:val="nil"/>
              <w:right w:val="nil"/>
            </w:tcBorders>
            <w:shd w:val="clear" w:color="000000" w:fill="FFFFFF"/>
            <w:noWrap/>
            <w:vAlign w:val="center"/>
            <w:hideMark/>
          </w:tcPr>
          <w:p w14:paraId="13B32868" w14:textId="77777777" w:rsidR="00C53EF3" w:rsidRPr="00CB334A" w:rsidRDefault="00C53EF3" w:rsidP="00C53EF3">
            <w:pPr>
              <w:spacing w:before="0" w:after="0" w:line="240" w:lineRule="auto"/>
              <w:ind w:firstLineChars="100" w:firstLine="160"/>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5B21E782"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 </w:t>
            </w:r>
          </w:p>
        </w:tc>
        <w:tc>
          <w:tcPr>
            <w:tcW w:w="0" w:type="auto"/>
            <w:tcBorders>
              <w:top w:val="nil"/>
              <w:left w:val="nil"/>
              <w:bottom w:val="nil"/>
              <w:right w:val="nil"/>
            </w:tcBorders>
            <w:shd w:val="clear" w:color="000000" w:fill="E6F2FF"/>
            <w:noWrap/>
            <w:vAlign w:val="center"/>
            <w:hideMark/>
          </w:tcPr>
          <w:p w14:paraId="3EBB5C3D"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34CE6D39"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6E40EE1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4BFB902C" w14:textId="77777777" w:rsidR="00C53EF3" w:rsidRPr="00CB334A" w:rsidRDefault="00C53EF3" w:rsidP="00C53EF3">
            <w:pPr>
              <w:spacing w:before="0" w:after="0" w:line="240" w:lineRule="auto"/>
              <w:jc w:val="right"/>
              <w:rPr>
                <w:rFonts w:ascii="Arial" w:hAnsi="Arial" w:cs="Arial"/>
                <w:color w:val="000000"/>
                <w:sz w:val="16"/>
                <w:szCs w:val="16"/>
              </w:rPr>
            </w:pPr>
            <w:r w:rsidRPr="00CB334A">
              <w:rPr>
                <w:rFonts w:ascii="Arial" w:hAnsi="Arial" w:cs="Arial"/>
                <w:color w:val="000000"/>
                <w:sz w:val="16"/>
                <w:szCs w:val="16"/>
              </w:rPr>
              <w:t> </w:t>
            </w:r>
          </w:p>
        </w:tc>
      </w:tr>
      <w:tr w:rsidR="00C53EF3" w:rsidRPr="00CB334A" w14:paraId="799077D7" w14:textId="77777777" w:rsidTr="00C53EF3">
        <w:trPr>
          <w:trHeight w:val="225"/>
        </w:trPr>
        <w:tc>
          <w:tcPr>
            <w:tcW w:w="0" w:type="auto"/>
            <w:tcBorders>
              <w:top w:val="nil"/>
              <w:left w:val="nil"/>
              <w:bottom w:val="single" w:sz="4" w:space="0" w:color="293F5B"/>
              <w:right w:val="nil"/>
            </w:tcBorders>
            <w:shd w:val="clear" w:color="000000" w:fill="FFFFFF"/>
            <w:noWrap/>
            <w:vAlign w:val="center"/>
            <w:hideMark/>
          </w:tcPr>
          <w:p w14:paraId="26830591" w14:textId="77777777" w:rsidR="00C53EF3" w:rsidRPr="00CB334A" w:rsidRDefault="00C53EF3" w:rsidP="00C53EF3">
            <w:pPr>
              <w:spacing w:before="0" w:after="0" w:line="240" w:lineRule="auto"/>
              <w:rPr>
                <w:rFonts w:ascii="Arial" w:hAnsi="Arial" w:cs="Arial"/>
                <w:b/>
                <w:bCs/>
                <w:color w:val="000000"/>
                <w:sz w:val="16"/>
                <w:szCs w:val="16"/>
              </w:rPr>
            </w:pPr>
            <w:r w:rsidRPr="00CB334A">
              <w:rPr>
                <w:rFonts w:ascii="Arial" w:hAnsi="Arial" w:cs="Arial"/>
                <w:b/>
                <w:bCs/>
                <w:color w:val="000000"/>
                <w:sz w:val="16"/>
                <w:szCs w:val="16"/>
              </w:rPr>
              <w:t>Total employee and superannuation expense</w:t>
            </w:r>
          </w:p>
        </w:tc>
        <w:tc>
          <w:tcPr>
            <w:tcW w:w="0" w:type="auto"/>
            <w:tcBorders>
              <w:top w:val="nil"/>
              <w:left w:val="nil"/>
              <w:bottom w:val="single" w:sz="4" w:space="0" w:color="293F5B"/>
              <w:right w:val="nil"/>
            </w:tcBorders>
            <w:shd w:val="clear" w:color="000000" w:fill="FFFFFF"/>
            <w:noWrap/>
            <w:vAlign w:val="center"/>
            <w:hideMark/>
          </w:tcPr>
          <w:p w14:paraId="0B7953FC"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58,989</w:t>
            </w:r>
          </w:p>
        </w:tc>
        <w:tc>
          <w:tcPr>
            <w:tcW w:w="0" w:type="auto"/>
            <w:tcBorders>
              <w:top w:val="nil"/>
              <w:left w:val="nil"/>
              <w:bottom w:val="single" w:sz="4" w:space="0" w:color="293F5B"/>
              <w:right w:val="nil"/>
            </w:tcBorders>
            <w:shd w:val="clear" w:color="000000" w:fill="E6F2FF"/>
            <w:noWrap/>
            <w:vAlign w:val="center"/>
            <w:hideMark/>
          </w:tcPr>
          <w:p w14:paraId="4897A8E3"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62,286</w:t>
            </w:r>
          </w:p>
        </w:tc>
        <w:tc>
          <w:tcPr>
            <w:tcW w:w="0" w:type="auto"/>
            <w:tcBorders>
              <w:top w:val="nil"/>
              <w:left w:val="nil"/>
              <w:bottom w:val="single" w:sz="4" w:space="0" w:color="293F5B"/>
              <w:right w:val="nil"/>
            </w:tcBorders>
            <w:shd w:val="clear" w:color="000000" w:fill="FFFFFF"/>
            <w:noWrap/>
            <w:vAlign w:val="center"/>
            <w:hideMark/>
          </w:tcPr>
          <w:p w14:paraId="7D36EB19"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67,411</w:t>
            </w:r>
          </w:p>
        </w:tc>
        <w:tc>
          <w:tcPr>
            <w:tcW w:w="0" w:type="auto"/>
            <w:tcBorders>
              <w:top w:val="nil"/>
              <w:left w:val="nil"/>
              <w:bottom w:val="single" w:sz="4" w:space="0" w:color="293F5B"/>
              <w:right w:val="nil"/>
            </w:tcBorders>
            <w:shd w:val="clear" w:color="000000" w:fill="FFFFFF"/>
            <w:noWrap/>
            <w:vAlign w:val="center"/>
            <w:hideMark/>
          </w:tcPr>
          <w:p w14:paraId="3EE607BB"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66,039</w:t>
            </w:r>
          </w:p>
        </w:tc>
        <w:tc>
          <w:tcPr>
            <w:tcW w:w="0" w:type="auto"/>
            <w:tcBorders>
              <w:top w:val="nil"/>
              <w:left w:val="nil"/>
              <w:bottom w:val="single" w:sz="4" w:space="0" w:color="293F5B"/>
              <w:right w:val="nil"/>
            </w:tcBorders>
            <w:shd w:val="clear" w:color="000000" w:fill="FFFFFF"/>
            <w:noWrap/>
            <w:vAlign w:val="center"/>
            <w:hideMark/>
          </w:tcPr>
          <w:p w14:paraId="19C36F45" w14:textId="77777777" w:rsidR="00C53EF3" w:rsidRPr="00CB334A" w:rsidRDefault="00C53EF3" w:rsidP="00C53EF3">
            <w:pPr>
              <w:spacing w:before="0" w:after="0" w:line="240" w:lineRule="auto"/>
              <w:jc w:val="right"/>
              <w:rPr>
                <w:rFonts w:ascii="Arial" w:hAnsi="Arial" w:cs="Arial"/>
                <w:b/>
                <w:bCs/>
                <w:color w:val="000000"/>
                <w:sz w:val="16"/>
                <w:szCs w:val="16"/>
              </w:rPr>
            </w:pPr>
            <w:r w:rsidRPr="00CB334A">
              <w:rPr>
                <w:rFonts w:ascii="Arial" w:hAnsi="Arial" w:cs="Arial"/>
                <w:b/>
                <w:bCs/>
                <w:color w:val="000000"/>
                <w:sz w:val="16"/>
                <w:szCs w:val="16"/>
              </w:rPr>
              <w:t>67,442</w:t>
            </w:r>
          </w:p>
        </w:tc>
      </w:tr>
    </w:tbl>
    <w:p w14:paraId="6E7D532C" w14:textId="291E8AB1" w:rsidR="00646714" w:rsidRPr="00646714" w:rsidRDefault="000D0B7D" w:rsidP="00646714">
      <w:pPr>
        <w:pStyle w:val="NoteTableHeading"/>
      </w:pPr>
      <w:r>
        <w:t>Note </w:t>
      </w:r>
      <w:r w:rsidR="00D8138E" w:rsidRPr="00EA746C">
        <w:t xml:space="preserve">7: Employee and </w:t>
      </w:r>
      <w:r w:rsidR="00D8138E" w:rsidRPr="00D1559E">
        <w:t>superannuation</w:t>
      </w:r>
      <w:r w:rsidR="00D8138E" w:rsidRPr="00EA746C">
        <w:t xml:space="preserve"> expense</w:t>
      </w:r>
    </w:p>
    <w:p w14:paraId="3C77D4A4" w14:textId="77777777" w:rsidR="00D97EF6" w:rsidRPr="00EA746C" w:rsidRDefault="00D97EF6" w:rsidP="00D97EF6">
      <w:pPr>
        <w:pStyle w:val="SingleParagraph"/>
      </w:pPr>
    </w:p>
    <w:p w14:paraId="18E1C653" w14:textId="3BB9FE50" w:rsidR="00223969" w:rsidRDefault="000D0B7D" w:rsidP="00DE0EE4">
      <w:pPr>
        <w:pStyle w:val="NoteTableHeading"/>
        <w:rPr>
          <w:rFonts w:asciiTheme="minorHAnsi" w:eastAsiaTheme="minorHAnsi" w:hAnsiTheme="minorHAnsi" w:cstheme="minorBidi"/>
          <w:b w:val="0"/>
          <w:sz w:val="22"/>
          <w:szCs w:val="22"/>
          <w:lang w:eastAsia="en-US"/>
        </w:rPr>
      </w:pPr>
      <w:r>
        <w:t>Note </w:t>
      </w:r>
      <w:r w:rsidR="00D8138E" w:rsidRPr="00EA746C">
        <w:t>8: Depreciation and amortisation expense</w:t>
      </w:r>
    </w:p>
    <w:tbl>
      <w:tblPr>
        <w:tblW w:w="5000" w:type="pct"/>
        <w:tblCellMar>
          <w:left w:w="0" w:type="dxa"/>
          <w:right w:w="28" w:type="dxa"/>
        </w:tblCellMar>
        <w:tblLook w:val="04A0" w:firstRow="1" w:lastRow="0" w:firstColumn="1" w:lastColumn="0" w:noHBand="0" w:noVBand="1"/>
      </w:tblPr>
      <w:tblGrid>
        <w:gridCol w:w="4115"/>
        <w:gridCol w:w="719"/>
        <w:gridCol w:w="719"/>
        <w:gridCol w:w="719"/>
        <w:gridCol w:w="719"/>
        <w:gridCol w:w="719"/>
      </w:tblGrid>
      <w:tr w:rsidR="00223969" w:rsidRPr="00223969" w14:paraId="1EA67957" w14:textId="77777777" w:rsidTr="00223969">
        <w:trPr>
          <w:trHeight w:hRule="exact" w:val="225"/>
        </w:trPr>
        <w:tc>
          <w:tcPr>
            <w:tcW w:w="2669" w:type="pct"/>
            <w:tcBorders>
              <w:top w:val="single" w:sz="4" w:space="0" w:color="293F5B"/>
              <w:left w:val="nil"/>
              <w:bottom w:val="nil"/>
              <w:right w:val="nil"/>
            </w:tcBorders>
            <w:shd w:val="clear" w:color="000000" w:fill="FFFFFF"/>
            <w:noWrap/>
            <w:vAlign w:val="center"/>
            <w:hideMark/>
          </w:tcPr>
          <w:p w14:paraId="622281C8" w14:textId="5153DA12"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2331" w:type="pct"/>
            <w:gridSpan w:val="5"/>
            <w:tcBorders>
              <w:top w:val="single" w:sz="4" w:space="0" w:color="293F5B"/>
              <w:left w:val="nil"/>
              <w:bottom w:val="single" w:sz="4" w:space="0" w:color="293F5B"/>
              <w:right w:val="nil"/>
            </w:tcBorders>
            <w:shd w:val="clear" w:color="auto" w:fill="auto"/>
            <w:noWrap/>
            <w:vAlign w:val="center"/>
            <w:hideMark/>
          </w:tcPr>
          <w:p w14:paraId="60D9CD51" w14:textId="77777777" w:rsidR="00223969" w:rsidRPr="00223969" w:rsidRDefault="00223969" w:rsidP="00223969">
            <w:pPr>
              <w:spacing w:before="0" w:after="0" w:line="240" w:lineRule="auto"/>
              <w:jc w:val="center"/>
              <w:rPr>
                <w:rFonts w:ascii="Arial" w:hAnsi="Arial" w:cs="Arial"/>
                <w:sz w:val="16"/>
                <w:szCs w:val="16"/>
              </w:rPr>
            </w:pPr>
            <w:r w:rsidRPr="00223969">
              <w:rPr>
                <w:rFonts w:ascii="Arial" w:hAnsi="Arial" w:cs="Arial"/>
                <w:sz w:val="16"/>
                <w:szCs w:val="16"/>
              </w:rPr>
              <w:t>Estimates</w:t>
            </w:r>
          </w:p>
        </w:tc>
      </w:tr>
      <w:tr w:rsidR="00223969" w:rsidRPr="00223969" w14:paraId="54DE1D70"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7389BB12"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7" w:type="pct"/>
            <w:tcBorders>
              <w:top w:val="nil"/>
              <w:left w:val="nil"/>
              <w:bottom w:val="nil"/>
              <w:right w:val="nil"/>
            </w:tcBorders>
            <w:shd w:val="clear" w:color="000000" w:fill="FFFFFF"/>
            <w:noWrap/>
            <w:vAlign w:val="center"/>
            <w:hideMark/>
          </w:tcPr>
          <w:p w14:paraId="05DA91C9" w14:textId="47717AB1" w:rsidR="00223969" w:rsidRPr="00223969" w:rsidRDefault="00223969" w:rsidP="00223969">
            <w:pPr>
              <w:spacing w:before="0" w:after="0" w:line="240" w:lineRule="auto"/>
              <w:jc w:val="right"/>
              <w:rPr>
                <w:rFonts w:ascii="Arial" w:hAnsi="Arial" w:cs="Arial"/>
                <w:sz w:val="16"/>
                <w:szCs w:val="16"/>
              </w:rPr>
            </w:pPr>
            <w:r w:rsidRPr="00223969">
              <w:rPr>
                <w:rFonts w:ascii="Arial" w:hAnsi="Arial" w:cs="Arial"/>
                <w:sz w:val="16"/>
                <w:szCs w:val="16"/>
              </w:rPr>
              <w:t>2023</w:t>
            </w:r>
            <w:r w:rsidR="00325E1E">
              <w:rPr>
                <w:rFonts w:ascii="Arial" w:hAnsi="Arial" w:cs="Arial"/>
                <w:sz w:val="16"/>
                <w:szCs w:val="16"/>
              </w:rPr>
              <w:noBreakHyphen/>
            </w:r>
            <w:r w:rsidRPr="00223969">
              <w:rPr>
                <w:rFonts w:ascii="Arial" w:hAnsi="Arial" w:cs="Arial"/>
                <w:sz w:val="16"/>
                <w:szCs w:val="16"/>
              </w:rPr>
              <w:t>24</w:t>
            </w:r>
          </w:p>
        </w:tc>
        <w:tc>
          <w:tcPr>
            <w:tcW w:w="466" w:type="pct"/>
            <w:tcBorders>
              <w:top w:val="nil"/>
              <w:left w:val="nil"/>
              <w:bottom w:val="nil"/>
              <w:right w:val="nil"/>
            </w:tcBorders>
            <w:shd w:val="clear" w:color="000000" w:fill="E6F2FF"/>
            <w:noWrap/>
            <w:vAlign w:val="center"/>
            <w:hideMark/>
          </w:tcPr>
          <w:p w14:paraId="2D178365" w14:textId="36CD951D" w:rsidR="00223969" w:rsidRPr="00223969" w:rsidRDefault="00223969" w:rsidP="00223969">
            <w:pPr>
              <w:spacing w:before="0" w:after="0" w:line="240" w:lineRule="auto"/>
              <w:jc w:val="right"/>
              <w:rPr>
                <w:rFonts w:ascii="Arial" w:hAnsi="Arial" w:cs="Arial"/>
                <w:sz w:val="16"/>
                <w:szCs w:val="16"/>
              </w:rPr>
            </w:pPr>
            <w:r w:rsidRPr="00223969">
              <w:rPr>
                <w:rFonts w:ascii="Arial" w:hAnsi="Arial" w:cs="Arial"/>
                <w:sz w:val="16"/>
                <w:szCs w:val="16"/>
              </w:rPr>
              <w:t>2024</w:t>
            </w:r>
            <w:r w:rsidR="00325E1E">
              <w:rPr>
                <w:rFonts w:ascii="Arial" w:hAnsi="Arial" w:cs="Arial"/>
                <w:sz w:val="16"/>
                <w:szCs w:val="16"/>
              </w:rPr>
              <w:noBreakHyphen/>
            </w:r>
            <w:r w:rsidRPr="00223969">
              <w:rPr>
                <w:rFonts w:ascii="Arial" w:hAnsi="Arial" w:cs="Arial"/>
                <w:sz w:val="16"/>
                <w:szCs w:val="16"/>
              </w:rPr>
              <w:t>25</w:t>
            </w:r>
          </w:p>
        </w:tc>
        <w:tc>
          <w:tcPr>
            <w:tcW w:w="466" w:type="pct"/>
            <w:tcBorders>
              <w:top w:val="nil"/>
              <w:left w:val="nil"/>
              <w:bottom w:val="nil"/>
              <w:right w:val="nil"/>
            </w:tcBorders>
            <w:shd w:val="clear" w:color="000000" w:fill="FFFFFF"/>
            <w:noWrap/>
            <w:vAlign w:val="center"/>
            <w:hideMark/>
          </w:tcPr>
          <w:p w14:paraId="7A187615" w14:textId="7349088D" w:rsidR="00223969" w:rsidRPr="00223969" w:rsidRDefault="00223969" w:rsidP="00223969">
            <w:pPr>
              <w:spacing w:before="0" w:after="0" w:line="240" w:lineRule="auto"/>
              <w:jc w:val="right"/>
              <w:rPr>
                <w:rFonts w:ascii="Arial" w:hAnsi="Arial" w:cs="Arial"/>
                <w:sz w:val="16"/>
                <w:szCs w:val="16"/>
              </w:rPr>
            </w:pPr>
            <w:r w:rsidRPr="00223969">
              <w:rPr>
                <w:rFonts w:ascii="Arial" w:hAnsi="Arial" w:cs="Arial"/>
                <w:sz w:val="16"/>
                <w:szCs w:val="16"/>
              </w:rPr>
              <w:t>2025</w:t>
            </w:r>
            <w:r w:rsidR="00325E1E">
              <w:rPr>
                <w:rFonts w:ascii="Arial" w:hAnsi="Arial" w:cs="Arial"/>
                <w:sz w:val="16"/>
                <w:szCs w:val="16"/>
              </w:rPr>
              <w:noBreakHyphen/>
            </w:r>
            <w:r w:rsidRPr="00223969">
              <w:rPr>
                <w:rFonts w:ascii="Arial" w:hAnsi="Arial" w:cs="Arial"/>
                <w:sz w:val="16"/>
                <w:szCs w:val="16"/>
              </w:rPr>
              <w:t>26</w:t>
            </w:r>
          </w:p>
        </w:tc>
        <w:tc>
          <w:tcPr>
            <w:tcW w:w="466" w:type="pct"/>
            <w:tcBorders>
              <w:top w:val="nil"/>
              <w:left w:val="nil"/>
              <w:bottom w:val="nil"/>
              <w:right w:val="nil"/>
            </w:tcBorders>
            <w:shd w:val="clear" w:color="000000" w:fill="FFFFFF"/>
            <w:noWrap/>
            <w:vAlign w:val="center"/>
            <w:hideMark/>
          </w:tcPr>
          <w:p w14:paraId="1776ECE8" w14:textId="6B0AD5FC" w:rsidR="00223969" w:rsidRPr="00223969" w:rsidRDefault="00223969" w:rsidP="00223969">
            <w:pPr>
              <w:spacing w:before="0" w:after="0" w:line="240" w:lineRule="auto"/>
              <w:jc w:val="right"/>
              <w:rPr>
                <w:rFonts w:ascii="Arial" w:hAnsi="Arial" w:cs="Arial"/>
                <w:sz w:val="16"/>
                <w:szCs w:val="16"/>
              </w:rPr>
            </w:pPr>
            <w:r w:rsidRPr="00223969">
              <w:rPr>
                <w:rFonts w:ascii="Arial" w:hAnsi="Arial" w:cs="Arial"/>
                <w:sz w:val="16"/>
                <w:szCs w:val="16"/>
              </w:rPr>
              <w:t>2026</w:t>
            </w:r>
            <w:r w:rsidR="00325E1E">
              <w:rPr>
                <w:rFonts w:ascii="Arial" w:hAnsi="Arial" w:cs="Arial"/>
                <w:sz w:val="16"/>
                <w:szCs w:val="16"/>
              </w:rPr>
              <w:noBreakHyphen/>
            </w:r>
            <w:r w:rsidRPr="00223969">
              <w:rPr>
                <w:rFonts w:ascii="Arial" w:hAnsi="Arial" w:cs="Arial"/>
                <w:sz w:val="16"/>
                <w:szCs w:val="16"/>
              </w:rPr>
              <w:t>27</w:t>
            </w:r>
          </w:p>
        </w:tc>
        <w:tc>
          <w:tcPr>
            <w:tcW w:w="466" w:type="pct"/>
            <w:tcBorders>
              <w:top w:val="nil"/>
              <w:left w:val="nil"/>
              <w:bottom w:val="nil"/>
              <w:right w:val="nil"/>
            </w:tcBorders>
            <w:shd w:val="clear" w:color="000000" w:fill="FFFFFF"/>
            <w:noWrap/>
            <w:vAlign w:val="center"/>
            <w:hideMark/>
          </w:tcPr>
          <w:p w14:paraId="486B3BB3" w14:textId="79ED1B53"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2027</w:t>
            </w:r>
            <w:r w:rsidR="00325E1E">
              <w:rPr>
                <w:rFonts w:ascii="Arial" w:hAnsi="Arial" w:cs="Arial"/>
                <w:color w:val="000000"/>
                <w:sz w:val="16"/>
                <w:szCs w:val="16"/>
              </w:rPr>
              <w:noBreakHyphen/>
            </w:r>
            <w:r w:rsidRPr="00223969">
              <w:rPr>
                <w:rFonts w:ascii="Arial" w:hAnsi="Arial" w:cs="Arial"/>
                <w:color w:val="000000"/>
                <w:sz w:val="16"/>
                <w:szCs w:val="16"/>
              </w:rPr>
              <w:t>28</w:t>
            </w:r>
          </w:p>
        </w:tc>
      </w:tr>
      <w:tr w:rsidR="00223969" w:rsidRPr="00223969" w14:paraId="000B2802"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681C429A"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7" w:type="pct"/>
            <w:tcBorders>
              <w:top w:val="nil"/>
              <w:left w:val="nil"/>
              <w:bottom w:val="single" w:sz="4" w:space="0" w:color="293F5B"/>
              <w:right w:val="nil"/>
            </w:tcBorders>
            <w:shd w:val="clear" w:color="000000" w:fill="FFFFFF"/>
            <w:noWrap/>
            <w:vAlign w:val="center"/>
            <w:hideMark/>
          </w:tcPr>
          <w:p w14:paraId="1F3403E3"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$m</w:t>
            </w:r>
          </w:p>
        </w:tc>
        <w:tc>
          <w:tcPr>
            <w:tcW w:w="466" w:type="pct"/>
            <w:tcBorders>
              <w:top w:val="nil"/>
              <w:left w:val="nil"/>
              <w:bottom w:val="single" w:sz="4" w:space="0" w:color="293F5B"/>
              <w:right w:val="nil"/>
            </w:tcBorders>
            <w:shd w:val="clear" w:color="000000" w:fill="E6F2FF"/>
            <w:noWrap/>
            <w:vAlign w:val="center"/>
            <w:hideMark/>
          </w:tcPr>
          <w:p w14:paraId="2985CB32"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$m</w:t>
            </w:r>
          </w:p>
        </w:tc>
        <w:tc>
          <w:tcPr>
            <w:tcW w:w="466" w:type="pct"/>
            <w:tcBorders>
              <w:top w:val="nil"/>
              <w:left w:val="nil"/>
              <w:bottom w:val="single" w:sz="4" w:space="0" w:color="293F5B"/>
              <w:right w:val="nil"/>
            </w:tcBorders>
            <w:shd w:val="clear" w:color="000000" w:fill="FFFFFF"/>
            <w:noWrap/>
            <w:vAlign w:val="center"/>
            <w:hideMark/>
          </w:tcPr>
          <w:p w14:paraId="0CD10BB1"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$m</w:t>
            </w:r>
          </w:p>
        </w:tc>
        <w:tc>
          <w:tcPr>
            <w:tcW w:w="466" w:type="pct"/>
            <w:tcBorders>
              <w:top w:val="nil"/>
              <w:left w:val="nil"/>
              <w:bottom w:val="single" w:sz="4" w:space="0" w:color="293F5B"/>
              <w:right w:val="nil"/>
            </w:tcBorders>
            <w:shd w:val="clear" w:color="000000" w:fill="FFFFFF"/>
            <w:noWrap/>
            <w:vAlign w:val="center"/>
            <w:hideMark/>
          </w:tcPr>
          <w:p w14:paraId="4ABA4690"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$m</w:t>
            </w:r>
          </w:p>
        </w:tc>
        <w:tc>
          <w:tcPr>
            <w:tcW w:w="466" w:type="pct"/>
            <w:tcBorders>
              <w:top w:val="nil"/>
              <w:left w:val="nil"/>
              <w:bottom w:val="single" w:sz="4" w:space="0" w:color="293F5B"/>
              <w:right w:val="nil"/>
            </w:tcBorders>
            <w:shd w:val="clear" w:color="000000" w:fill="FFFFFF"/>
            <w:noWrap/>
            <w:vAlign w:val="center"/>
            <w:hideMark/>
          </w:tcPr>
          <w:p w14:paraId="6731E42B"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$m</w:t>
            </w:r>
          </w:p>
        </w:tc>
      </w:tr>
      <w:tr w:rsidR="00223969" w:rsidRPr="00223969" w14:paraId="7C29B45D"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470A74CC" w14:textId="77777777" w:rsidR="00223969" w:rsidRPr="00223969" w:rsidRDefault="00223969" w:rsidP="00223969">
            <w:pPr>
              <w:spacing w:before="0" w:after="0" w:line="240" w:lineRule="auto"/>
              <w:rPr>
                <w:rFonts w:ascii="Arial" w:hAnsi="Arial" w:cs="Arial"/>
                <w:b/>
                <w:bCs/>
                <w:color w:val="000000"/>
                <w:sz w:val="16"/>
                <w:szCs w:val="16"/>
              </w:rPr>
            </w:pPr>
            <w:r w:rsidRPr="00223969">
              <w:rPr>
                <w:rFonts w:ascii="Arial" w:hAnsi="Arial" w:cs="Arial"/>
                <w:b/>
                <w:bCs/>
                <w:color w:val="000000"/>
                <w:sz w:val="16"/>
                <w:szCs w:val="16"/>
              </w:rPr>
              <w:t>Depreciation</w:t>
            </w:r>
          </w:p>
        </w:tc>
        <w:tc>
          <w:tcPr>
            <w:tcW w:w="467" w:type="pct"/>
            <w:tcBorders>
              <w:top w:val="nil"/>
              <w:left w:val="nil"/>
              <w:bottom w:val="nil"/>
              <w:right w:val="nil"/>
            </w:tcBorders>
            <w:shd w:val="clear" w:color="000000" w:fill="FFFFFF"/>
            <w:noWrap/>
            <w:vAlign w:val="center"/>
            <w:hideMark/>
          </w:tcPr>
          <w:p w14:paraId="772F860E"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E6F2FF"/>
            <w:noWrap/>
            <w:vAlign w:val="center"/>
            <w:hideMark/>
          </w:tcPr>
          <w:p w14:paraId="7536CDA7"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527C8890"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0E8FD0C3"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3E487127"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r>
      <w:tr w:rsidR="00223969" w:rsidRPr="00223969" w14:paraId="1B9C8B7E"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66F953C3" w14:textId="77777777" w:rsidR="00223969" w:rsidRPr="00223969" w:rsidRDefault="00223969" w:rsidP="00223969">
            <w:pPr>
              <w:spacing w:before="0" w:after="0" w:line="240" w:lineRule="auto"/>
              <w:ind w:left="170"/>
              <w:rPr>
                <w:rFonts w:ascii="Arial" w:hAnsi="Arial" w:cs="Arial"/>
                <w:color w:val="000000"/>
                <w:sz w:val="16"/>
                <w:szCs w:val="16"/>
              </w:rPr>
            </w:pPr>
            <w:r w:rsidRPr="00223969">
              <w:rPr>
                <w:rFonts w:ascii="Arial" w:hAnsi="Arial" w:cs="Arial"/>
                <w:color w:val="000000"/>
                <w:sz w:val="16"/>
                <w:szCs w:val="16"/>
              </w:rPr>
              <w:t>Specialist military equipment</w:t>
            </w:r>
          </w:p>
        </w:tc>
        <w:tc>
          <w:tcPr>
            <w:tcW w:w="467" w:type="pct"/>
            <w:tcBorders>
              <w:top w:val="nil"/>
              <w:left w:val="nil"/>
              <w:bottom w:val="nil"/>
              <w:right w:val="nil"/>
            </w:tcBorders>
            <w:shd w:val="clear" w:color="000000" w:fill="FFFFFF"/>
            <w:noWrap/>
            <w:vAlign w:val="center"/>
            <w:hideMark/>
          </w:tcPr>
          <w:p w14:paraId="060F42F9"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5,020</w:t>
            </w:r>
          </w:p>
        </w:tc>
        <w:tc>
          <w:tcPr>
            <w:tcW w:w="466" w:type="pct"/>
            <w:tcBorders>
              <w:top w:val="nil"/>
              <w:left w:val="nil"/>
              <w:bottom w:val="nil"/>
              <w:right w:val="nil"/>
            </w:tcBorders>
            <w:shd w:val="clear" w:color="000000" w:fill="E6F2FF"/>
            <w:noWrap/>
            <w:vAlign w:val="center"/>
            <w:hideMark/>
          </w:tcPr>
          <w:p w14:paraId="128909D9"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4,887</w:t>
            </w:r>
          </w:p>
        </w:tc>
        <w:tc>
          <w:tcPr>
            <w:tcW w:w="466" w:type="pct"/>
            <w:tcBorders>
              <w:top w:val="nil"/>
              <w:left w:val="nil"/>
              <w:bottom w:val="nil"/>
              <w:right w:val="nil"/>
            </w:tcBorders>
            <w:shd w:val="clear" w:color="000000" w:fill="FFFFFF"/>
            <w:noWrap/>
            <w:vAlign w:val="center"/>
            <w:hideMark/>
          </w:tcPr>
          <w:p w14:paraId="2E4B96EF"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5,002</w:t>
            </w:r>
          </w:p>
        </w:tc>
        <w:tc>
          <w:tcPr>
            <w:tcW w:w="466" w:type="pct"/>
            <w:tcBorders>
              <w:top w:val="nil"/>
              <w:left w:val="nil"/>
              <w:bottom w:val="nil"/>
              <w:right w:val="nil"/>
            </w:tcBorders>
            <w:shd w:val="clear" w:color="000000" w:fill="FFFFFF"/>
            <w:noWrap/>
            <w:vAlign w:val="center"/>
            <w:hideMark/>
          </w:tcPr>
          <w:p w14:paraId="24EA2525"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5,119</w:t>
            </w:r>
          </w:p>
        </w:tc>
        <w:tc>
          <w:tcPr>
            <w:tcW w:w="466" w:type="pct"/>
            <w:tcBorders>
              <w:top w:val="nil"/>
              <w:left w:val="nil"/>
              <w:bottom w:val="nil"/>
              <w:right w:val="nil"/>
            </w:tcBorders>
            <w:shd w:val="clear" w:color="000000" w:fill="FFFFFF"/>
            <w:noWrap/>
            <w:vAlign w:val="center"/>
            <w:hideMark/>
          </w:tcPr>
          <w:p w14:paraId="459FB982"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5,238</w:t>
            </w:r>
          </w:p>
        </w:tc>
      </w:tr>
      <w:tr w:rsidR="00223969" w:rsidRPr="00223969" w14:paraId="437EB1B3"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5FA01D64" w14:textId="77777777" w:rsidR="00223969" w:rsidRPr="00223969" w:rsidRDefault="00223969" w:rsidP="00223969">
            <w:pPr>
              <w:spacing w:before="0" w:after="0" w:line="240" w:lineRule="auto"/>
              <w:ind w:left="170"/>
              <w:rPr>
                <w:rFonts w:ascii="Arial" w:hAnsi="Arial" w:cs="Arial"/>
                <w:color w:val="000000"/>
                <w:sz w:val="16"/>
                <w:szCs w:val="16"/>
              </w:rPr>
            </w:pPr>
            <w:r w:rsidRPr="00223969">
              <w:rPr>
                <w:rFonts w:ascii="Arial" w:hAnsi="Arial" w:cs="Arial"/>
                <w:color w:val="000000"/>
                <w:sz w:val="16"/>
                <w:szCs w:val="16"/>
              </w:rPr>
              <w:t>Buildings</w:t>
            </w:r>
          </w:p>
        </w:tc>
        <w:tc>
          <w:tcPr>
            <w:tcW w:w="467" w:type="pct"/>
            <w:tcBorders>
              <w:top w:val="nil"/>
              <w:left w:val="nil"/>
              <w:bottom w:val="nil"/>
              <w:right w:val="nil"/>
            </w:tcBorders>
            <w:shd w:val="clear" w:color="000000" w:fill="FFFFFF"/>
            <w:noWrap/>
            <w:vAlign w:val="center"/>
            <w:hideMark/>
          </w:tcPr>
          <w:p w14:paraId="1C945D26"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4,011</w:t>
            </w:r>
          </w:p>
        </w:tc>
        <w:tc>
          <w:tcPr>
            <w:tcW w:w="466" w:type="pct"/>
            <w:tcBorders>
              <w:top w:val="nil"/>
              <w:left w:val="nil"/>
              <w:bottom w:val="nil"/>
              <w:right w:val="nil"/>
            </w:tcBorders>
            <w:shd w:val="clear" w:color="000000" w:fill="E6F2FF"/>
            <w:noWrap/>
            <w:vAlign w:val="center"/>
            <w:hideMark/>
          </w:tcPr>
          <w:p w14:paraId="02C629CA"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4,021</w:t>
            </w:r>
          </w:p>
        </w:tc>
        <w:tc>
          <w:tcPr>
            <w:tcW w:w="466" w:type="pct"/>
            <w:tcBorders>
              <w:top w:val="nil"/>
              <w:left w:val="nil"/>
              <w:bottom w:val="nil"/>
              <w:right w:val="nil"/>
            </w:tcBorders>
            <w:shd w:val="clear" w:color="000000" w:fill="FFFFFF"/>
            <w:noWrap/>
            <w:vAlign w:val="center"/>
            <w:hideMark/>
          </w:tcPr>
          <w:p w14:paraId="073DD997"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4,050</w:t>
            </w:r>
          </w:p>
        </w:tc>
        <w:tc>
          <w:tcPr>
            <w:tcW w:w="466" w:type="pct"/>
            <w:tcBorders>
              <w:top w:val="nil"/>
              <w:left w:val="nil"/>
              <w:bottom w:val="nil"/>
              <w:right w:val="nil"/>
            </w:tcBorders>
            <w:shd w:val="clear" w:color="000000" w:fill="FFFFFF"/>
            <w:noWrap/>
            <w:vAlign w:val="center"/>
            <w:hideMark/>
          </w:tcPr>
          <w:p w14:paraId="6AD139F7"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4,056</w:t>
            </w:r>
          </w:p>
        </w:tc>
        <w:tc>
          <w:tcPr>
            <w:tcW w:w="466" w:type="pct"/>
            <w:tcBorders>
              <w:top w:val="nil"/>
              <w:left w:val="nil"/>
              <w:bottom w:val="nil"/>
              <w:right w:val="nil"/>
            </w:tcBorders>
            <w:shd w:val="clear" w:color="000000" w:fill="FFFFFF"/>
            <w:noWrap/>
            <w:vAlign w:val="center"/>
            <w:hideMark/>
          </w:tcPr>
          <w:p w14:paraId="77A9ADD5"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4,070</w:t>
            </w:r>
          </w:p>
        </w:tc>
      </w:tr>
      <w:tr w:rsidR="00223969" w:rsidRPr="00223969" w14:paraId="51B4CF1A"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6E73FA77" w14:textId="77777777" w:rsidR="00223969" w:rsidRPr="00223969" w:rsidRDefault="00223969" w:rsidP="00223969">
            <w:pPr>
              <w:spacing w:before="0" w:after="0" w:line="240" w:lineRule="auto"/>
              <w:ind w:left="170"/>
              <w:rPr>
                <w:rFonts w:ascii="Arial" w:hAnsi="Arial" w:cs="Arial"/>
                <w:color w:val="000000"/>
                <w:sz w:val="16"/>
                <w:szCs w:val="16"/>
              </w:rPr>
            </w:pPr>
            <w:r w:rsidRPr="00223969">
              <w:rPr>
                <w:rFonts w:ascii="Arial" w:hAnsi="Arial" w:cs="Arial"/>
                <w:color w:val="000000"/>
                <w:sz w:val="16"/>
                <w:szCs w:val="16"/>
              </w:rPr>
              <w:t>Other infrastructure, plant and equipment</w:t>
            </w:r>
          </w:p>
        </w:tc>
        <w:tc>
          <w:tcPr>
            <w:tcW w:w="467" w:type="pct"/>
            <w:tcBorders>
              <w:top w:val="nil"/>
              <w:left w:val="nil"/>
              <w:bottom w:val="nil"/>
              <w:right w:val="nil"/>
            </w:tcBorders>
            <w:shd w:val="clear" w:color="000000" w:fill="FFFFFF"/>
            <w:noWrap/>
            <w:vAlign w:val="center"/>
            <w:hideMark/>
          </w:tcPr>
          <w:p w14:paraId="725C8A48"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2,622</w:t>
            </w:r>
          </w:p>
        </w:tc>
        <w:tc>
          <w:tcPr>
            <w:tcW w:w="466" w:type="pct"/>
            <w:tcBorders>
              <w:top w:val="nil"/>
              <w:left w:val="nil"/>
              <w:bottom w:val="nil"/>
              <w:right w:val="nil"/>
            </w:tcBorders>
            <w:shd w:val="clear" w:color="000000" w:fill="E6F2FF"/>
            <w:noWrap/>
            <w:vAlign w:val="center"/>
            <w:hideMark/>
          </w:tcPr>
          <w:p w14:paraId="6331F174"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2,798</w:t>
            </w:r>
          </w:p>
        </w:tc>
        <w:tc>
          <w:tcPr>
            <w:tcW w:w="466" w:type="pct"/>
            <w:tcBorders>
              <w:top w:val="nil"/>
              <w:left w:val="nil"/>
              <w:bottom w:val="nil"/>
              <w:right w:val="nil"/>
            </w:tcBorders>
            <w:shd w:val="clear" w:color="000000" w:fill="FFFFFF"/>
            <w:noWrap/>
            <w:vAlign w:val="center"/>
            <w:hideMark/>
          </w:tcPr>
          <w:p w14:paraId="0E08CE61"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2,872</w:t>
            </w:r>
          </w:p>
        </w:tc>
        <w:tc>
          <w:tcPr>
            <w:tcW w:w="466" w:type="pct"/>
            <w:tcBorders>
              <w:top w:val="nil"/>
              <w:left w:val="nil"/>
              <w:bottom w:val="nil"/>
              <w:right w:val="nil"/>
            </w:tcBorders>
            <w:shd w:val="clear" w:color="000000" w:fill="FFFFFF"/>
            <w:noWrap/>
            <w:vAlign w:val="center"/>
            <w:hideMark/>
          </w:tcPr>
          <w:p w14:paraId="02E20D8C"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2,952</w:t>
            </w:r>
          </w:p>
        </w:tc>
        <w:tc>
          <w:tcPr>
            <w:tcW w:w="466" w:type="pct"/>
            <w:tcBorders>
              <w:top w:val="nil"/>
              <w:left w:val="nil"/>
              <w:bottom w:val="nil"/>
              <w:right w:val="nil"/>
            </w:tcBorders>
            <w:shd w:val="clear" w:color="000000" w:fill="FFFFFF"/>
            <w:noWrap/>
            <w:vAlign w:val="center"/>
            <w:hideMark/>
          </w:tcPr>
          <w:p w14:paraId="352E7114"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2,951</w:t>
            </w:r>
          </w:p>
        </w:tc>
      </w:tr>
      <w:tr w:rsidR="00223969" w:rsidRPr="00223969" w14:paraId="45A8BC68"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207A0A30" w14:textId="77777777" w:rsidR="00223969" w:rsidRPr="00223969" w:rsidRDefault="00223969" w:rsidP="00223969">
            <w:pPr>
              <w:spacing w:before="0" w:after="0" w:line="240" w:lineRule="auto"/>
              <w:ind w:left="170"/>
              <w:rPr>
                <w:rFonts w:ascii="Arial" w:hAnsi="Arial" w:cs="Arial"/>
                <w:color w:val="000000"/>
                <w:sz w:val="16"/>
                <w:szCs w:val="16"/>
              </w:rPr>
            </w:pPr>
            <w:r w:rsidRPr="00223969">
              <w:rPr>
                <w:rFonts w:ascii="Arial" w:hAnsi="Arial" w:cs="Arial"/>
                <w:color w:val="000000"/>
                <w:sz w:val="16"/>
                <w:szCs w:val="16"/>
              </w:rPr>
              <w:t>Heritage and cultural assets</w:t>
            </w:r>
          </w:p>
        </w:tc>
        <w:tc>
          <w:tcPr>
            <w:tcW w:w="467" w:type="pct"/>
            <w:tcBorders>
              <w:top w:val="nil"/>
              <w:left w:val="nil"/>
              <w:bottom w:val="nil"/>
              <w:right w:val="nil"/>
            </w:tcBorders>
            <w:shd w:val="clear" w:color="000000" w:fill="FFFFFF"/>
            <w:noWrap/>
            <w:vAlign w:val="center"/>
            <w:hideMark/>
          </w:tcPr>
          <w:p w14:paraId="04E5A2F1"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65</w:t>
            </w:r>
          </w:p>
        </w:tc>
        <w:tc>
          <w:tcPr>
            <w:tcW w:w="466" w:type="pct"/>
            <w:tcBorders>
              <w:top w:val="nil"/>
              <w:left w:val="nil"/>
              <w:bottom w:val="nil"/>
              <w:right w:val="nil"/>
            </w:tcBorders>
            <w:shd w:val="clear" w:color="000000" w:fill="E6F2FF"/>
            <w:noWrap/>
            <w:vAlign w:val="center"/>
            <w:hideMark/>
          </w:tcPr>
          <w:p w14:paraId="78A8A04F"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66</w:t>
            </w:r>
          </w:p>
        </w:tc>
        <w:tc>
          <w:tcPr>
            <w:tcW w:w="466" w:type="pct"/>
            <w:tcBorders>
              <w:top w:val="nil"/>
              <w:left w:val="nil"/>
              <w:bottom w:val="nil"/>
              <w:right w:val="nil"/>
            </w:tcBorders>
            <w:shd w:val="clear" w:color="000000" w:fill="FFFFFF"/>
            <w:noWrap/>
            <w:vAlign w:val="center"/>
            <w:hideMark/>
          </w:tcPr>
          <w:p w14:paraId="781AEFB5"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67</w:t>
            </w:r>
          </w:p>
        </w:tc>
        <w:tc>
          <w:tcPr>
            <w:tcW w:w="466" w:type="pct"/>
            <w:tcBorders>
              <w:top w:val="nil"/>
              <w:left w:val="nil"/>
              <w:bottom w:val="nil"/>
              <w:right w:val="nil"/>
            </w:tcBorders>
            <w:shd w:val="clear" w:color="000000" w:fill="FFFFFF"/>
            <w:noWrap/>
            <w:vAlign w:val="center"/>
            <w:hideMark/>
          </w:tcPr>
          <w:p w14:paraId="3C6ADA15"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67</w:t>
            </w:r>
          </w:p>
        </w:tc>
        <w:tc>
          <w:tcPr>
            <w:tcW w:w="466" w:type="pct"/>
            <w:tcBorders>
              <w:top w:val="nil"/>
              <w:left w:val="nil"/>
              <w:bottom w:val="nil"/>
              <w:right w:val="nil"/>
            </w:tcBorders>
            <w:shd w:val="clear" w:color="000000" w:fill="FFFFFF"/>
            <w:noWrap/>
            <w:vAlign w:val="center"/>
            <w:hideMark/>
          </w:tcPr>
          <w:p w14:paraId="6A3D1DAF"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67</w:t>
            </w:r>
          </w:p>
        </w:tc>
      </w:tr>
      <w:tr w:rsidR="00223969" w:rsidRPr="00223969" w14:paraId="7B2F2643"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7550C8F4" w14:textId="77777777" w:rsidR="00223969" w:rsidRPr="00223969" w:rsidRDefault="00223969" w:rsidP="00223969">
            <w:pPr>
              <w:spacing w:before="0" w:after="0" w:line="240" w:lineRule="auto"/>
              <w:ind w:left="170"/>
              <w:rPr>
                <w:rFonts w:ascii="Arial" w:hAnsi="Arial" w:cs="Arial"/>
                <w:color w:val="000000"/>
                <w:sz w:val="16"/>
                <w:szCs w:val="16"/>
              </w:rPr>
            </w:pPr>
            <w:r w:rsidRPr="00223969">
              <w:rPr>
                <w:rFonts w:ascii="Arial" w:hAnsi="Arial" w:cs="Arial"/>
                <w:color w:val="000000"/>
                <w:sz w:val="16"/>
                <w:szCs w:val="16"/>
              </w:rPr>
              <w:t>Other</w:t>
            </w:r>
          </w:p>
        </w:tc>
        <w:tc>
          <w:tcPr>
            <w:tcW w:w="467" w:type="pct"/>
            <w:tcBorders>
              <w:top w:val="nil"/>
              <w:left w:val="nil"/>
              <w:bottom w:val="single" w:sz="4" w:space="0" w:color="293F5B"/>
              <w:right w:val="nil"/>
            </w:tcBorders>
            <w:shd w:val="clear" w:color="000000" w:fill="FFFFFF"/>
            <w:noWrap/>
            <w:vAlign w:val="center"/>
            <w:hideMark/>
          </w:tcPr>
          <w:p w14:paraId="373A3D6A"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w:t>
            </w:r>
          </w:p>
        </w:tc>
        <w:tc>
          <w:tcPr>
            <w:tcW w:w="466" w:type="pct"/>
            <w:tcBorders>
              <w:top w:val="nil"/>
              <w:left w:val="nil"/>
              <w:bottom w:val="single" w:sz="4" w:space="0" w:color="293F5B"/>
              <w:right w:val="nil"/>
            </w:tcBorders>
            <w:shd w:val="clear" w:color="000000" w:fill="E6F2FF"/>
            <w:noWrap/>
            <w:vAlign w:val="center"/>
            <w:hideMark/>
          </w:tcPr>
          <w:p w14:paraId="5052E040"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w:t>
            </w:r>
          </w:p>
        </w:tc>
        <w:tc>
          <w:tcPr>
            <w:tcW w:w="466" w:type="pct"/>
            <w:tcBorders>
              <w:top w:val="nil"/>
              <w:left w:val="nil"/>
              <w:bottom w:val="single" w:sz="4" w:space="0" w:color="293F5B"/>
              <w:right w:val="nil"/>
            </w:tcBorders>
            <w:shd w:val="clear" w:color="000000" w:fill="FFFFFF"/>
            <w:noWrap/>
            <w:vAlign w:val="center"/>
            <w:hideMark/>
          </w:tcPr>
          <w:p w14:paraId="1671E1CD"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w:t>
            </w:r>
          </w:p>
        </w:tc>
        <w:tc>
          <w:tcPr>
            <w:tcW w:w="466" w:type="pct"/>
            <w:tcBorders>
              <w:top w:val="nil"/>
              <w:left w:val="nil"/>
              <w:bottom w:val="single" w:sz="4" w:space="0" w:color="293F5B"/>
              <w:right w:val="nil"/>
            </w:tcBorders>
            <w:shd w:val="clear" w:color="000000" w:fill="FFFFFF"/>
            <w:noWrap/>
            <w:vAlign w:val="center"/>
            <w:hideMark/>
          </w:tcPr>
          <w:p w14:paraId="29F03430"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5</w:t>
            </w:r>
          </w:p>
        </w:tc>
        <w:tc>
          <w:tcPr>
            <w:tcW w:w="466" w:type="pct"/>
            <w:tcBorders>
              <w:top w:val="nil"/>
              <w:left w:val="nil"/>
              <w:bottom w:val="single" w:sz="4" w:space="0" w:color="293F5B"/>
              <w:right w:val="nil"/>
            </w:tcBorders>
            <w:shd w:val="clear" w:color="000000" w:fill="FFFFFF"/>
            <w:noWrap/>
            <w:vAlign w:val="center"/>
            <w:hideMark/>
          </w:tcPr>
          <w:p w14:paraId="7F0EF08C"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4</w:t>
            </w:r>
          </w:p>
        </w:tc>
      </w:tr>
      <w:tr w:rsidR="00223969" w:rsidRPr="00223969" w14:paraId="08EED798"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5ADBDED6" w14:textId="77777777" w:rsidR="00223969" w:rsidRPr="00223969" w:rsidRDefault="00223969" w:rsidP="00223969">
            <w:pPr>
              <w:spacing w:before="0" w:after="0" w:line="240" w:lineRule="auto"/>
              <w:rPr>
                <w:rFonts w:ascii="Arial" w:hAnsi="Arial" w:cs="Arial"/>
                <w:b/>
                <w:bCs/>
                <w:color w:val="000000"/>
                <w:sz w:val="16"/>
                <w:szCs w:val="16"/>
              </w:rPr>
            </w:pPr>
            <w:r w:rsidRPr="00223969">
              <w:rPr>
                <w:rFonts w:ascii="Arial" w:hAnsi="Arial" w:cs="Arial"/>
                <w:b/>
                <w:bCs/>
                <w:color w:val="000000"/>
                <w:sz w:val="16"/>
                <w:szCs w:val="16"/>
              </w:rPr>
              <w:t>Total depreciation(a)</w:t>
            </w:r>
          </w:p>
        </w:tc>
        <w:tc>
          <w:tcPr>
            <w:tcW w:w="467" w:type="pct"/>
            <w:tcBorders>
              <w:top w:val="nil"/>
              <w:left w:val="nil"/>
              <w:bottom w:val="single" w:sz="4" w:space="0" w:color="293F5B"/>
              <w:right w:val="nil"/>
            </w:tcBorders>
            <w:shd w:val="clear" w:color="000000" w:fill="FFFFFF"/>
            <w:noWrap/>
            <w:vAlign w:val="center"/>
            <w:hideMark/>
          </w:tcPr>
          <w:p w14:paraId="40009361"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11,725</w:t>
            </w:r>
          </w:p>
        </w:tc>
        <w:tc>
          <w:tcPr>
            <w:tcW w:w="466" w:type="pct"/>
            <w:tcBorders>
              <w:top w:val="nil"/>
              <w:left w:val="nil"/>
              <w:bottom w:val="single" w:sz="4" w:space="0" w:color="293F5B"/>
              <w:right w:val="nil"/>
            </w:tcBorders>
            <w:shd w:val="clear" w:color="000000" w:fill="E6F2FF"/>
            <w:noWrap/>
            <w:vAlign w:val="center"/>
            <w:hideMark/>
          </w:tcPr>
          <w:p w14:paraId="7122CFB2"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11,777</w:t>
            </w:r>
          </w:p>
        </w:tc>
        <w:tc>
          <w:tcPr>
            <w:tcW w:w="466" w:type="pct"/>
            <w:tcBorders>
              <w:top w:val="nil"/>
              <w:left w:val="nil"/>
              <w:bottom w:val="single" w:sz="4" w:space="0" w:color="293F5B"/>
              <w:right w:val="nil"/>
            </w:tcBorders>
            <w:shd w:val="clear" w:color="000000" w:fill="FFFFFF"/>
            <w:noWrap/>
            <w:vAlign w:val="center"/>
            <w:hideMark/>
          </w:tcPr>
          <w:p w14:paraId="5F86C93D"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11,996</w:t>
            </w:r>
          </w:p>
        </w:tc>
        <w:tc>
          <w:tcPr>
            <w:tcW w:w="466" w:type="pct"/>
            <w:tcBorders>
              <w:top w:val="nil"/>
              <w:left w:val="nil"/>
              <w:bottom w:val="single" w:sz="4" w:space="0" w:color="293F5B"/>
              <w:right w:val="nil"/>
            </w:tcBorders>
            <w:shd w:val="clear" w:color="000000" w:fill="FFFFFF"/>
            <w:noWrap/>
            <w:vAlign w:val="center"/>
            <w:hideMark/>
          </w:tcPr>
          <w:p w14:paraId="50E30073"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12,198</w:t>
            </w:r>
          </w:p>
        </w:tc>
        <w:tc>
          <w:tcPr>
            <w:tcW w:w="466" w:type="pct"/>
            <w:tcBorders>
              <w:top w:val="nil"/>
              <w:left w:val="nil"/>
              <w:bottom w:val="single" w:sz="4" w:space="0" w:color="293F5B"/>
              <w:right w:val="nil"/>
            </w:tcBorders>
            <w:shd w:val="clear" w:color="000000" w:fill="FFFFFF"/>
            <w:noWrap/>
            <w:vAlign w:val="center"/>
            <w:hideMark/>
          </w:tcPr>
          <w:p w14:paraId="2F952D12"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12,331</w:t>
            </w:r>
          </w:p>
        </w:tc>
      </w:tr>
      <w:tr w:rsidR="00223969" w:rsidRPr="00223969" w14:paraId="148DA384"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4DD1A3B5" w14:textId="77777777" w:rsidR="00223969" w:rsidRPr="00223969" w:rsidRDefault="00223969" w:rsidP="00223969">
            <w:pPr>
              <w:spacing w:before="0" w:after="0" w:line="240" w:lineRule="auto"/>
              <w:rPr>
                <w:rFonts w:ascii="Arial" w:hAnsi="Arial" w:cs="Arial"/>
                <w:b/>
                <w:bCs/>
                <w:color w:val="000000"/>
                <w:sz w:val="16"/>
                <w:szCs w:val="16"/>
              </w:rPr>
            </w:pPr>
            <w:r w:rsidRPr="00223969">
              <w:rPr>
                <w:rFonts w:ascii="Arial" w:hAnsi="Arial" w:cs="Arial"/>
                <w:b/>
                <w:bCs/>
                <w:color w:val="000000"/>
                <w:sz w:val="16"/>
                <w:szCs w:val="16"/>
              </w:rPr>
              <w:t>Total amortisation</w:t>
            </w:r>
          </w:p>
        </w:tc>
        <w:tc>
          <w:tcPr>
            <w:tcW w:w="467" w:type="pct"/>
            <w:tcBorders>
              <w:top w:val="nil"/>
              <w:left w:val="nil"/>
              <w:bottom w:val="single" w:sz="4" w:space="0" w:color="293F5B"/>
              <w:right w:val="nil"/>
            </w:tcBorders>
            <w:shd w:val="clear" w:color="000000" w:fill="FFFFFF"/>
            <w:noWrap/>
            <w:vAlign w:val="center"/>
            <w:hideMark/>
          </w:tcPr>
          <w:p w14:paraId="7E822726"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1,165</w:t>
            </w:r>
          </w:p>
        </w:tc>
        <w:tc>
          <w:tcPr>
            <w:tcW w:w="466" w:type="pct"/>
            <w:tcBorders>
              <w:top w:val="nil"/>
              <w:left w:val="nil"/>
              <w:bottom w:val="single" w:sz="4" w:space="0" w:color="293F5B"/>
              <w:right w:val="nil"/>
            </w:tcBorders>
            <w:shd w:val="clear" w:color="000000" w:fill="E6F2FF"/>
            <w:noWrap/>
            <w:vAlign w:val="center"/>
            <w:hideMark/>
          </w:tcPr>
          <w:p w14:paraId="6224D92F"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1,227</w:t>
            </w:r>
          </w:p>
        </w:tc>
        <w:tc>
          <w:tcPr>
            <w:tcW w:w="466" w:type="pct"/>
            <w:tcBorders>
              <w:top w:val="nil"/>
              <w:left w:val="nil"/>
              <w:bottom w:val="single" w:sz="4" w:space="0" w:color="293F5B"/>
              <w:right w:val="nil"/>
            </w:tcBorders>
            <w:shd w:val="clear" w:color="000000" w:fill="FFFFFF"/>
            <w:noWrap/>
            <w:vAlign w:val="center"/>
            <w:hideMark/>
          </w:tcPr>
          <w:p w14:paraId="3AACCDFF"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1,205</w:t>
            </w:r>
          </w:p>
        </w:tc>
        <w:tc>
          <w:tcPr>
            <w:tcW w:w="466" w:type="pct"/>
            <w:tcBorders>
              <w:top w:val="nil"/>
              <w:left w:val="nil"/>
              <w:bottom w:val="single" w:sz="4" w:space="0" w:color="293F5B"/>
              <w:right w:val="nil"/>
            </w:tcBorders>
            <w:shd w:val="clear" w:color="000000" w:fill="FFFFFF"/>
            <w:noWrap/>
            <w:vAlign w:val="center"/>
            <w:hideMark/>
          </w:tcPr>
          <w:p w14:paraId="12677506"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1,182</w:t>
            </w:r>
          </w:p>
        </w:tc>
        <w:tc>
          <w:tcPr>
            <w:tcW w:w="466" w:type="pct"/>
            <w:tcBorders>
              <w:top w:val="nil"/>
              <w:left w:val="nil"/>
              <w:bottom w:val="single" w:sz="4" w:space="0" w:color="293F5B"/>
              <w:right w:val="nil"/>
            </w:tcBorders>
            <w:shd w:val="clear" w:color="000000" w:fill="FFFFFF"/>
            <w:noWrap/>
            <w:vAlign w:val="center"/>
            <w:hideMark/>
          </w:tcPr>
          <w:p w14:paraId="2601224D"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1,170</w:t>
            </w:r>
          </w:p>
        </w:tc>
      </w:tr>
      <w:tr w:rsidR="00223969" w:rsidRPr="00223969" w14:paraId="14A8B755" w14:textId="77777777" w:rsidTr="00223969">
        <w:trPr>
          <w:trHeight w:hRule="exact" w:val="60"/>
        </w:trPr>
        <w:tc>
          <w:tcPr>
            <w:tcW w:w="2669" w:type="pct"/>
            <w:tcBorders>
              <w:top w:val="nil"/>
              <w:left w:val="nil"/>
              <w:bottom w:val="nil"/>
              <w:right w:val="nil"/>
            </w:tcBorders>
            <w:shd w:val="clear" w:color="000000" w:fill="FFFFFF"/>
            <w:noWrap/>
            <w:vAlign w:val="center"/>
            <w:hideMark/>
          </w:tcPr>
          <w:p w14:paraId="18C6B3A1" w14:textId="77777777" w:rsidR="00223969" w:rsidRPr="00223969" w:rsidRDefault="00223969" w:rsidP="00223969">
            <w:pPr>
              <w:spacing w:before="0" w:after="0" w:line="240" w:lineRule="auto"/>
              <w:rPr>
                <w:rFonts w:ascii="Arial" w:hAnsi="Arial" w:cs="Arial"/>
                <w:color w:val="000000"/>
                <w:sz w:val="16"/>
                <w:szCs w:val="16"/>
              </w:rPr>
            </w:pPr>
            <w:r w:rsidRPr="00223969">
              <w:rPr>
                <w:rFonts w:ascii="Arial" w:hAnsi="Arial" w:cs="Arial"/>
                <w:color w:val="000000"/>
                <w:sz w:val="16"/>
                <w:szCs w:val="16"/>
              </w:rPr>
              <w:t> </w:t>
            </w:r>
          </w:p>
        </w:tc>
        <w:tc>
          <w:tcPr>
            <w:tcW w:w="467" w:type="pct"/>
            <w:tcBorders>
              <w:top w:val="nil"/>
              <w:left w:val="nil"/>
              <w:bottom w:val="nil"/>
              <w:right w:val="nil"/>
            </w:tcBorders>
            <w:shd w:val="clear" w:color="000000" w:fill="FFFFFF"/>
            <w:noWrap/>
            <w:vAlign w:val="center"/>
            <w:hideMark/>
          </w:tcPr>
          <w:p w14:paraId="19E5F591"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E6F2FF"/>
            <w:noWrap/>
            <w:vAlign w:val="center"/>
            <w:hideMark/>
          </w:tcPr>
          <w:p w14:paraId="260A797E"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7AE3AAFD"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0B23B269"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 </w:t>
            </w:r>
          </w:p>
        </w:tc>
        <w:tc>
          <w:tcPr>
            <w:tcW w:w="466" w:type="pct"/>
            <w:tcBorders>
              <w:top w:val="nil"/>
              <w:left w:val="nil"/>
              <w:bottom w:val="nil"/>
              <w:right w:val="nil"/>
            </w:tcBorders>
            <w:shd w:val="clear" w:color="000000" w:fill="FFFFFF"/>
            <w:noWrap/>
            <w:vAlign w:val="center"/>
            <w:hideMark/>
          </w:tcPr>
          <w:p w14:paraId="73801B6A" w14:textId="77777777" w:rsidR="00223969" w:rsidRPr="00223969" w:rsidRDefault="00223969" w:rsidP="00223969">
            <w:pPr>
              <w:spacing w:before="0" w:after="0" w:line="240" w:lineRule="auto"/>
              <w:jc w:val="right"/>
              <w:rPr>
                <w:rFonts w:ascii="Arial" w:hAnsi="Arial" w:cs="Arial"/>
                <w:color w:val="000000"/>
                <w:sz w:val="16"/>
                <w:szCs w:val="16"/>
              </w:rPr>
            </w:pPr>
            <w:r w:rsidRPr="00223969">
              <w:rPr>
                <w:rFonts w:ascii="Arial" w:hAnsi="Arial" w:cs="Arial"/>
                <w:color w:val="000000"/>
                <w:sz w:val="16"/>
                <w:szCs w:val="16"/>
              </w:rPr>
              <w:t> </w:t>
            </w:r>
          </w:p>
        </w:tc>
      </w:tr>
      <w:tr w:rsidR="00223969" w:rsidRPr="00223969" w14:paraId="0F61F4C0" w14:textId="77777777" w:rsidTr="00223969">
        <w:trPr>
          <w:trHeight w:hRule="exact" w:val="225"/>
        </w:trPr>
        <w:tc>
          <w:tcPr>
            <w:tcW w:w="2669" w:type="pct"/>
            <w:tcBorders>
              <w:top w:val="nil"/>
              <w:left w:val="nil"/>
              <w:bottom w:val="single" w:sz="4" w:space="0" w:color="293F5B"/>
              <w:right w:val="nil"/>
            </w:tcBorders>
            <w:shd w:val="clear" w:color="000000" w:fill="FFFFFF"/>
            <w:noWrap/>
            <w:vAlign w:val="center"/>
            <w:hideMark/>
          </w:tcPr>
          <w:p w14:paraId="278DFB3E" w14:textId="77777777" w:rsidR="00223969" w:rsidRPr="00223969" w:rsidRDefault="00223969" w:rsidP="00223969">
            <w:pPr>
              <w:spacing w:before="0" w:after="0" w:line="240" w:lineRule="auto"/>
              <w:rPr>
                <w:rFonts w:ascii="Arial" w:hAnsi="Arial" w:cs="Arial"/>
                <w:b/>
                <w:bCs/>
                <w:color w:val="000000"/>
                <w:sz w:val="16"/>
                <w:szCs w:val="16"/>
              </w:rPr>
            </w:pPr>
            <w:r w:rsidRPr="00223969">
              <w:rPr>
                <w:rFonts w:ascii="Arial" w:hAnsi="Arial" w:cs="Arial"/>
                <w:b/>
                <w:bCs/>
                <w:color w:val="000000"/>
                <w:sz w:val="16"/>
                <w:szCs w:val="16"/>
              </w:rPr>
              <w:t>Total depreciation and amortisation expense</w:t>
            </w:r>
          </w:p>
        </w:tc>
        <w:tc>
          <w:tcPr>
            <w:tcW w:w="467" w:type="pct"/>
            <w:tcBorders>
              <w:top w:val="nil"/>
              <w:left w:val="nil"/>
              <w:bottom w:val="single" w:sz="4" w:space="0" w:color="293F5B"/>
              <w:right w:val="nil"/>
            </w:tcBorders>
            <w:shd w:val="clear" w:color="000000" w:fill="FFFFFF"/>
            <w:noWrap/>
            <w:vAlign w:val="center"/>
            <w:hideMark/>
          </w:tcPr>
          <w:p w14:paraId="0CEC3851"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12,889</w:t>
            </w:r>
          </w:p>
        </w:tc>
        <w:tc>
          <w:tcPr>
            <w:tcW w:w="466" w:type="pct"/>
            <w:tcBorders>
              <w:top w:val="nil"/>
              <w:left w:val="nil"/>
              <w:bottom w:val="single" w:sz="4" w:space="0" w:color="293F5B"/>
              <w:right w:val="nil"/>
            </w:tcBorders>
            <w:shd w:val="clear" w:color="000000" w:fill="E6F2FF"/>
            <w:noWrap/>
            <w:vAlign w:val="center"/>
            <w:hideMark/>
          </w:tcPr>
          <w:p w14:paraId="5D393724"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13,003</w:t>
            </w:r>
          </w:p>
        </w:tc>
        <w:tc>
          <w:tcPr>
            <w:tcW w:w="466" w:type="pct"/>
            <w:tcBorders>
              <w:top w:val="nil"/>
              <w:left w:val="nil"/>
              <w:bottom w:val="single" w:sz="4" w:space="0" w:color="293F5B"/>
              <w:right w:val="nil"/>
            </w:tcBorders>
            <w:shd w:val="clear" w:color="000000" w:fill="FFFFFF"/>
            <w:noWrap/>
            <w:vAlign w:val="center"/>
            <w:hideMark/>
          </w:tcPr>
          <w:p w14:paraId="7705575C"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13,200</w:t>
            </w:r>
          </w:p>
        </w:tc>
        <w:tc>
          <w:tcPr>
            <w:tcW w:w="466" w:type="pct"/>
            <w:tcBorders>
              <w:top w:val="nil"/>
              <w:left w:val="nil"/>
              <w:bottom w:val="single" w:sz="4" w:space="0" w:color="293F5B"/>
              <w:right w:val="nil"/>
            </w:tcBorders>
            <w:shd w:val="clear" w:color="000000" w:fill="FFFFFF"/>
            <w:noWrap/>
            <w:vAlign w:val="center"/>
            <w:hideMark/>
          </w:tcPr>
          <w:p w14:paraId="22F56B38"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13,380</w:t>
            </w:r>
          </w:p>
        </w:tc>
        <w:tc>
          <w:tcPr>
            <w:tcW w:w="466" w:type="pct"/>
            <w:tcBorders>
              <w:top w:val="nil"/>
              <w:left w:val="nil"/>
              <w:bottom w:val="single" w:sz="4" w:space="0" w:color="293F5B"/>
              <w:right w:val="nil"/>
            </w:tcBorders>
            <w:shd w:val="clear" w:color="000000" w:fill="FFFFFF"/>
            <w:noWrap/>
            <w:vAlign w:val="center"/>
            <w:hideMark/>
          </w:tcPr>
          <w:p w14:paraId="3C1F147E" w14:textId="77777777" w:rsidR="00223969" w:rsidRPr="00223969" w:rsidRDefault="00223969" w:rsidP="00223969">
            <w:pPr>
              <w:spacing w:before="0" w:after="0" w:line="240" w:lineRule="auto"/>
              <w:jc w:val="right"/>
              <w:rPr>
                <w:rFonts w:ascii="Arial" w:hAnsi="Arial" w:cs="Arial"/>
                <w:b/>
                <w:bCs/>
                <w:color w:val="000000"/>
                <w:sz w:val="16"/>
                <w:szCs w:val="16"/>
              </w:rPr>
            </w:pPr>
            <w:r w:rsidRPr="00223969">
              <w:rPr>
                <w:rFonts w:ascii="Arial" w:hAnsi="Arial" w:cs="Arial"/>
                <w:b/>
                <w:bCs/>
                <w:color w:val="000000"/>
                <w:sz w:val="16"/>
                <w:szCs w:val="16"/>
              </w:rPr>
              <w:t>13,501</w:t>
            </w:r>
          </w:p>
        </w:tc>
      </w:tr>
      <w:tr w:rsidR="00223969" w:rsidRPr="00223969" w14:paraId="4A7AA66F"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3BF72E76" w14:textId="77777777" w:rsidR="00223969" w:rsidRPr="00223969" w:rsidRDefault="00223969" w:rsidP="00223969">
            <w:pPr>
              <w:spacing w:before="0" w:after="0" w:line="240" w:lineRule="auto"/>
              <w:rPr>
                <w:rFonts w:ascii="Arial" w:hAnsi="Arial" w:cs="Arial"/>
                <w:i/>
                <w:iCs/>
                <w:sz w:val="16"/>
                <w:szCs w:val="16"/>
              </w:rPr>
            </w:pPr>
            <w:r w:rsidRPr="00223969">
              <w:rPr>
                <w:rFonts w:ascii="Arial" w:hAnsi="Arial" w:cs="Arial"/>
                <w:i/>
                <w:iCs/>
                <w:sz w:val="16"/>
                <w:szCs w:val="16"/>
              </w:rPr>
              <w:t>Memorandum:</w:t>
            </w:r>
          </w:p>
        </w:tc>
        <w:tc>
          <w:tcPr>
            <w:tcW w:w="467" w:type="pct"/>
            <w:tcBorders>
              <w:top w:val="nil"/>
              <w:left w:val="nil"/>
              <w:bottom w:val="nil"/>
              <w:right w:val="nil"/>
            </w:tcBorders>
            <w:shd w:val="clear" w:color="000000" w:fill="FFFFFF"/>
            <w:noWrap/>
            <w:vAlign w:val="center"/>
            <w:hideMark/>
          </w:tcPr>
          <w:p w14:paraId="14BE2E00"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E6F2FF"/>
            <w:noWrap/>
            <w:vAlign w:val="center"/>
            <w:hideMark/>
          </w:tcPr>
          <w:p w14:paraId="5EF77444"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56342C5E"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2A96FFEC"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7DE4B82E"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r>
      <w:tr w:rsidR="00223969" w:rsidRPr="00223969" w14:paraId="4A03FDF9"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5E4FD58D" w14:textId="77777777" w:rsidR="00223969" w:rsidRPr="00223969" w:rsidRDefault="00223969" w:rsidP="00223969">
            <w:pPr>
              <w:spacing w:before="0" w:after="0" w:line="240" w:lineRule="auto"/>
              <w:rPr>
                <w:rFonts w:ascii="Arial" w:hAnsi="Arial" w:cs="Arial"/>
                <w:b/>
                <w:bCs/>
                <w:i/>
                <w:iCs/>
                <w:sz w:val="16"/>
                <w:szCs w:val="16"/>
              </w:rPr>
            </w:pPr>
            <w:r w:rsidRPr="00223969">
              <w:rPr>
                <w:rFonts w:ascii="Arial" w:hAnsi="Arial" w:cs="Arial"/>
                <w:b/>
                <w:bCs/>
                <w:i/>
                <w:iCs/>
                <w:sz w:val="16"/>
                <w:szCs w:val="16"/>
              </w:rPr>
              <w:t>Depreciation relating to right of use assets</w:t>
            </w:r>
          </w:p>
        </w:tc>
        <w:tc>
          <w:tcPr>
            <w:tcW w:w="467" w:type="pct"/>
            <w:tcBorders>
              <w:top w:val="nil"/>
              <w:left w:val="nil"/>
              <w:bottom w:val="nil"/>
              <w:right w:val="nil"/>
            </w:tcBorders>
            <w:shd w:val="clear" w:color="000000" w:fill="FFFFFF"/>
            <w:noWrap/>
            <w:vAlign w:val="center"/>
            <w:hideMark/>
          </w:tcPr>
          <w:p w14:paraId="37C06B46"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E6F2FF"/>
            <w:noWrap/>
            <w:vAlign w:val="center"/>
            <w:hideMark/>
          </w:tcPr>
          <w:p w14:paraId="6BE0293B"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119A9D3E"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738F2112"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54F4AFAA" w14:textId="77777777" w:rsidR="00223969" w:rsidRPr="00223969" w:rsidRDefault="00223969" w:rsidP="00223969">
            <w:pPr>
              <w:spacing w:before="0" w:after="0" w:line="240" w:lineRule="auto"/>
              <w:jc w:val="right"/>
              <w:rPr>
                <w:rFonts w:ascii="Arial" w:hAnsi="Arial" w:cs="Arial"/>
                <w:b/>
                <w:bCs/>
                <w:sz w:val="16"/>
                <w:szCs w:val="16"/>
              </w:rPr>
            </w:pPr>
            <w:r w:rsidRPr="00223969">
              <w:rPr>
                <w:rFonts w:ascii="Arial" w:hAnsi="Arial" w:cs="Arial"/>
                <w:b/>
                <w:bCs/>
                <w:sz w:val="16"/>
                <w:szCs w:val="16"/>
              </w:rPr>
              <w:t> </w:t>
            </w:r>
          </w:p>
        </w:tc>
      </w:tr>
      <w:tr w:rsidR="00223969" w:rsidRPr="00223969" w14:paraId="69060EF6"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163324E8" w14:textId="77777777" w:rsidR="00223969" w:rsidRPr="00223969" w:rsidRDefault="00223969" w:rsidP="00223969">
            <w:pPr>
              <w:spacing w:before="0" w:after="0" w:line="240" w:lineRule="auto"/>
              <w:ind w:left="170"/>
              <w:rPr>
                <w:rFonts w:ascii="Arial" w:hAnsi="Arial" w:cs="Arial"/>
                <w:i/>
                <w:iCs/>
                <w:sz w:val="16"/>
                <w:szCs w:val="16"/>
              </w:rPr>
            </w:pPr>
            <w:r w:rsidRPr="00223969">
              <w:rPr>
                <w:rFonts w:ascii="Arial" w:hAnsi="Arial" w:cs="Arial"/>
                <w:i/>
                <w:iCs/>
                <w:sz w:val="16"/>
                <w:szCs w:val="16"/>
              </w:rPr>
              <w:t>Specialist military equipment</w:t>
            </w:r>
          </w:p>
        </w:tc>
        <w:tc>
          <w:tcPr>
            <w:tcW w:w="467" w:type="pct"/>
            <w:tcBorders>
              <w:top w:val="nil"/>
              <w:left w:val="nil"/>
              <w:bottom w:val="nil"/>
              <w:right w:val="nil"/>
            </w:tcBorders>
            <w:shd w:val="clear" w:color="000000" w:fill="FFFFFF"/>
            <w:noWrap/>
            <w:vAlign w:val="center"/>
            <w:hideMark/>
          </w:tcPr>
          <w:p w14:paraId="431B9DE4"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31</w:t>
            </w:r>
          </w:p>
        </w:tc>
        <w:tc>
          <w:tcPr>
            <w:tcW w:w="466" w:type="pct"/>
            <w:tcBorders>
              <w:top w:val="nil"/>
              <w:left w:val="nil"/>
              <w:bottom w:val="nil"/>
              <w:right w:val="nil"/>
            </w:tcBorders>
            <w:shd w:val="clear" w:color="000000" w:fill="E6F2FF"/>
            <w:noWrap/>
            <w:vAlign w:val="center"/>
            <w:hideMark/>
          </w:tcPr>
          <w:p w14:paraId="158503D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31</w:t>
            </w:r>
          </w:p>
        </w:tc>
        <w:tc>
          <w:tcPr>
            <w:tcW w:w="466" w:type="pct"/>
            <w:tcBorders>
              <w:top w:val="nil"/>
              <w:left w:val="nil"/>
              <w:bottom w:val="nil"/>
              <w:right w:val="nil"/>
            </w:tcBorders>
            <w:shd w:val="clear" w:color="000000" w:fill="FFFFFF"/>
            <w:noWrap/>
            <w:vAlign w:val="center"/>
            <w:hideMark/>
          </w:tcPr>
          <w:p w14:paraId="2AF19BBC"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31</w:t>
            </w:r>
          </w:p>
        </w:tc>
        <w:tc>
          <w:tcPr>
            <w:tcW w:w="466" w:type="pct"/>
            <w:tcBorders>
              <w:top w:val="nil"/>
              <w:left w:val="nil"/>
              <w:bottom w:val="nil"/>
              <w:right w:val="nil"/>
            </w:tcBorders>
            <w:shd w:val="clear" w:color="000000" w:fill="FFFFFF"/>
            <w:noWrap/>
            <w:vAlign w:val="center"/>
            <w:hideMark/>
          </w:tcPr>
          <w:p w14:paraId="11F05776"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31</w:t>
            </w:r>
          </w:p>
        </w:tc>
        <w:tc>
          <w:tcPr>
            <w:tcW w:w="466" w:type="pct"/>
            <w:tcBorders>
              <w:top w:val="nil"/>
              <w:left w:val="nil"/>
              <w:bottom w:val="nil"/>
              <w:right w:val="nil"/>
            </w:tcBorders>
            <w:shd w:val="clear" w:color="000000" w:fill="FFFFFF"/>
            <w:noWrap/>
            <w:vAlign w:val="center"/>
            <w:hideMark/>
          </w:tcPr>
          <w:p w14:paraId="4C580D61"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31</w:t>
            </w:r>
          </w:p>
        </w:tc>
      </w:tr>
      <w:tr w:rsidR="00223969" w:rsidRPr="00223969" w14:paraId="48637181"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2878F392" w14:textId="77777777" w:rsidR="00223969" w:rsidRPr="00223969" w:rsidRDefault="00223969" w:rsidP="00223969">
            <w:pPr>
              <w:spacing w:before="0" w:after="0" w:line="240" w:lineRule="auto"/>
              <w:ind w:left="170"/>
              <w:rPr>
                <w:rFonts w:ascii="Arial" w:hAnsi="Arial" w:cs="Arial"/>
                <w:i/>
                <w:iCs/>
                <w:sz w:val="16"/>
                <w:szCs w:val="16"/>
              </w:rPr>
            </w:pPr>
            <w:r w:rsidRPr="00223969">
              <w:rPr>
                <w:rFonts w:ascii="Arial" w:hAnsi="Arial" w:cs="Arial"/>
                <w:i/>
                <w:iCs/>
                <w:sz w:val="16"/>
                <w:szCs w:val="16"/>
              </w:rPr>
              <w:t>Buildings</w:t>
            </w:r>
          </w:p>
        </w:tc>
        <w:tc>
          <w:tcPr>
            <w:tcW w:w="467" w:type="pct"/>
            <w:tcBorders>
              <w:top w:val="nil"/>
              <w:left w:val="nil"/>
              <w:bottom w:val="nil"/>
              <w:right w:val="nil"/>
            </w:tcBorders>
            <w:shd w:val="clear" w:color="000000" w:fill="FFFFFF"/>
            <w:noWrap/>
            <w:vAlign w:val="center"/>
            <w:hideMark/>
          </w:tcPr>
          <w:p w14:paraId="4324F9B6"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2,354</w:t>
            </w:r>
          </w:p>
        </w:tc>
        <w:tc>
          <w:tcPr>
            <w:tcW w:w="466" w:type="pct"/>
            <w:tcBorders>
              <w:top w:val="nil"/>
              <w:left w:val="nil"/>
              <w:bottom w:val="nil"/>
              <w:right w:val="nil"/>
            </w:tcBorders>
            <w:shd w:val="clear" w:color="000000" w:fill="E6F2FF"/>
            <w:noWrap/>
            <w:vAlign w:val="center"/>
            <w:hideMark/>
          </w:tcPr>
          <w:p w14:paraId="7C8C9481"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2,347</w:t>
            </w:r>
          </w:p>
        </w:tc>
        <w:tc>
          <w:tcPr>
            <w:tcW w:w="466" w:type="pct"/>
            <w:tcBorders>
              <w:top w:val="nil"/>
              <w:left w:val="nil"/>
              <w:bottom w:val="nil"/>
              <w:right w:val="nil"/>
            </w:tcBorders>
            <w:shd w:val="clear" w:color="000000" w:fill="FFFFFF"/>
            <w:noWrap/>
            <w:vAlign w:val="center"/>
            <w:hideMark/>
          </w:tcPr>
          <w:p w14:paraId="382A0D74"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2,244</w:t>
            </w:r>
          </w:p>
        </w:tc>
        <w:tc>
          <w:tcPr>
            <w:tcW w:w="466" w:type="pct"/>
            <w:tcBorders>
              <w:top w:val="nil"/>
              <w:left w:val="nil"/>
              <w:bottom w:val="nil"/>
              <w:right w:val="nil"/>
            </w:tcBorders>
            <w:shd w:val="clear" w:color="000000" w:fill="FFFFFF"/>
            <w:noWrap/>
            <w:vAlign w:val="center"/>
            <w:hideMark/>
          </w:tcPr>
          <w:p w14:paraId="4052E6E5"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2,213</w:t>
            </w:r>
          </w:p>
        </w:tc>
        <w:tc>
          <w:tcPr>
            <w:tcW w:w="466" w:type="pct"/>
            <w:tcBorders>
              <w:top w:val="nil"/>
              <w:left w:val="nil"/>
              <w:bottom w:val="nil"/>
              <w:right w:val="nil"/>
            </w:tcBorders>
            <w:shd w:val="clear" w:color="000000" w:fill="FFFFFF"/>
            <w:noWrap/>
            <w:vAlign w:val="center"/>
            <w:hideMark/>
          </w:tcPr>
          <w:p w14:paraId="4770AB2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2,166</w:t>
            </w:r>
          </w:p>
        </w:tc>
      </w:tr>
      <w:tr w:rsidR="00223969" w:rsidRPr="00223969" w14:paraId="28B3D1DC"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2A063662" w14:textId="77777777" w:rsidR="00223969" w:rsidRPr="00223969" w:rsidRDefault="00223969" w:rsidP="00223969">
            <w:pPr>
              <w:spacing w:before="0" w:after="0" w:line="240" w:lineRule="auto"/>
              <w:ind w:left="170"/>
              <w:rPr>
                <w:rFonts w:ascii="Arial" w:hAnsi="Arial" w:cs="Arial"/>
                <w:i/>
                <w:iCs/>
                <w:sz w:val="16"/>
                <w:szCs w:val="16"/>
              </w:rPr>
            </w:pPr>
            <w:r w:rsidRPr="00223969">
              <w:rPr>
                <w:rFonts w:ascii="Arial" w:hAnsi="Arial" w:cs="Arial"/>
                <w:i/>
                <w:iCs/>
                <w:sz w:val="16"/>
                <w:szCs w:val="16"/>
              </w:rPr>
              <w:t>Other infrastructure, plant and equipment</w:t>
            </w:r>
          </w:p>
        </w:tc>
        <w:tc>
          <w:tcPr>
            <w:tcW w:w="467" w:type="pct"/>
            <w:tcBorders>
              <w:top w:val="nil"/>
              <w:left w:val="nil"/>
              <w:bottom w:val="nil"/>
              <w:right w:val="nil"/>
            </w:tcBorders>
            <w:shd w:val="clear" w:color="000000" w:fill="FFFFFF"/>
            <w:noWrap/>
            <w:vAlign w:val="center"/>
            <w:hideMark/>
          </w:tcPr>
          <w:p w14:paraId="4B61233F"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279</w:t>
            </w:r>
          </w:p>
        </w:tc>
        <w:tc>
          <w:tcPr>
            <w:tcW w:w="466" w:type="pct"/>
            <w:tcBorders>
              <w:top w:val="nil"/>
              <w:left w:val="nil"/>
              <w:bottom w:val="nil"/>
              <w:right w:val="nil"/>
            </w:tcBorders>
            <w:shd w:val="clear" w:color="000000" w:fill="E6F2FF"/>
            <w:noWrap/>
            <w:vAlign w:val="center"/>
            <w:hideMark/>
          </w:tcPr>
          <w:p w14:paraId="6891F2F6"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291</w:t>
            </w:r>
          </w:p>
        </w:tc>
        <w:tc>
          <w:tcPr>
            <w:tcW w:w="466" w:type="pct"/>
            <w:tcBorders>
              <w:top w:val="nil"/>
              <w:left w:val="nil"/>
              <w:bottom w:val="nil"/>
              <w:right w:val="nil"/>
            </w:tcBorders>
            <w:shd w:val="clear" w:color="000000" w:fill="FFFFFF"/>
            <w:noWrap/>
            <w:vAlign w:val="center"/>
            <w:hideMark/>
          </w:tcPr>
          <w:p w14:paraId="4222C7B8"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291</w:t>
            </w:r>
          </w:p>
        </w:tc>
        <w:tc>
          <w:tcPr>
            <w:tcW w:w="466" w:type="pct"/>
            <w:tcBorders>
              <w:top w:val="nil"/>
              <w:left w:val="nil"/>
              <w:bottom w:val="nil"/>
              <w:right w:val="nil"/>
            </w:tcBorders>
            <w:shd w:val="clear" w:color="000000" w:fill="FFFFFF"/>
            <w:noWrap/>
            <w:vAlign w:val="center"/>
            <w:hideMark/>
          </w:tcPr>
          <w:p w14:paraId="4B54BD74"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288</w:t>
            </w:r>
          </w:p>
        </w:tc>
        <w:tc>
          <w:tcPr>
            <w:tcW w:w="466" w:type="pct"/>
            <w:tcBorders>
              <w:top w:val="nil"/>
              <w:left w:val="nil"/>
              <w:bottom w:val="nil"/>
              <w:right w:val="nil"/>
            </w:tcBorders>
            <w:shd w:val="clear" w:color="000000" w:fill="FFFFFF"/>
            <w:noWrap/>
            <w:vAlign w:val="center"/>
            <w:hideMark/>
          </w:tcPr>
          <w:p w14:paraId="0CF4DC4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281</w:t>
            </w:r>
          </w:p>
        </w:tc>
      </w:tr>
      <w:tr w:rsidR="00223969" w:rsidRPr="00223969" w14:paraId="2B6D6DBC" w14:textId="77777777" w:rsidTr="00223969">
        <w:trPr>
          <w:trHeight w:hRule="exact" w:val="225"/>
        </w:trPr>
        <w:tc>
          <w:tcPr>
            <w:tcW w:w="2669" w:type="pct"/>
            <w:tcBorders>
              <w:top w:val="nil"/>
              <w:left w:val="nil"/>
              <w:bottom w:val="nil"/>
              <w:right w:val="nil"/>
            </w:tcBorders>
            <w:shd w:val="clear" w:color="000000" w:fill="FFFFFF"/>
            <w:noWrap/>
            <w:vAlign w:val="center"/>
            <w:hideMark/>
          </w:tcPr>
          <w:p w14:paraId="1586A9A2" w14:textId="77777777" w:rsidR="00223969" w:rsidRPr="00223969" w:rsidRDefault="00223969" w:rsidP="00223969">
            <w:pPr>
              <w:spacing w:before="0" w:after="0" w:line="240" w:lineRule="auto"/>
              <w:ind w:left="170"/>
              <w:rPr>
                <w:rFonts w:ascii="Arial" w:hAnsi="Arial" w:cs="Arial"/>
                <w:i/>
                <w:iCs/>
                <w:sz w:val="16"/>
                <w:szCs w:val="16"/>
              </w:rPr>
            </w:pPr>
            <w:r w:rsidRPr="00223969">
              <w:rPr>
                <w:rFonts w:ascii="Arial" w:hAnsi="Arial" w:cs="Arial"/>
                <w:i/>
                <w:iCs/>
                <w:sz w:val="16"/>
                <w:szCs w:val="16"/>
              </w:rPr>
              <w:t xml:space="preserve">Other  </w:t>
            </w:r>
          </w:p>
        </w:tc>
        <w:tc>
          <w:tcPr>
            <w:tcW w:w="467" w:type="pct"/>
            <w:tcBorders>
              <w:top w:val="nil"/>
              <w:left w:val="nil"/>
              <w:bottom w:val="nil"/>
              <w:right w:val="nil"/>
            </w:tcBorders>
            <w:shd w:val="clear" w:color="000000" w:fill="FFFFFF"/>
            <w:noWrap/>
            <w:vAlign w:val="center"/>
            <w:hideMark/>
          </w:tcPr>
          <w:p w14:paraId="6A2674F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5</w:t>
            </w:r>
          </w:p>
        </w:tc>
        <w:tc>
          <w:tcPr>
            <w:tcW w:w="466" w:type="pct"/>
            <w:tcBorders>
              <w:top w:val="nil"/>
              <w:left w:val="nil"/>
              <w:bottom w:val="nil"/>
              <w:right w:val="nil"/>
            </w:tcBorders>
            <w:shd w:val="clear" w:color="000000" w:fill="E6F2FF"/>
            <w:noWrap/>
            <w:vAlign w:val="center"/>
            <w:hideMark/>
          </w:tcPr>
          <w:p w14:paraId="6062A5D0"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5</w:t>
            </w:r>
          </w:p>
        </w:tc>
        <w:tc>
          <w:tcPr>
            <w:tcW w:w="466" w:type="pct"/>
            <w:tcBorders>
              <w:top w:val="nil"/>
              <w:left w:val="nil"/>
              <w:bottom w:val="nil"/>
              <w:right w:val="nil"/>
            </w:tcBorders>
            <w:shd w:val="clear" w:color="000000" w:fill="FFFFFF"/>
            <w:noWrap/>
            <w:vAlign w:val="center"/>
            <w:hideMark/>
          </w:tcPr>
          <w:p w14:paraId="437FF43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5</w:t>
            </w:r>
          </w:p>
        </w:tc>
        <w:tc>
          <w:tcPr>
            <w:tcW w:w="466" w:type="pct"/>
            <w:tcBorders>
              <w:top w:val="nil"/>
              <w:left w:val="nil"/>
              <w:bottom w:val="nil"/>
              <w:right w:val="nil"/>
            </w:tcBorders>
            <w:shd w:val="clear" w:color="000000" w:fill="FFFFFF"/>
            <w:noWrap/>
            <w:vAlign w:val="center"/>
            <w:hideMark/>
          </w:tcPr>
          <w:p w14:paraId="1EC942D8"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5</w:t>
            </w:r>
          </w:p>
        </w:tc>
        <w:tc>
          <w:tcPr>
            <w:tcW w:w="466" w:type="pct"/>
            <w:tcBorders>
              <w:top w:val="nil"/>
              <w:left w:val="nil"/>
              <w:bottom w:val="nil"/>
              <w:right w:val="nil"/>
            </w:tcBorders>
            <w:shd w:val="clear" w:color="000000" w:fill="FFFFFF"/>
            <w:noWrap/>
            <w:vAlign w:val="center"/>
            <w:hideMark/>
          </w:tcPr>
          <w:p w14:paraId="2A160FEB" w14:textId="77777777" w:rsidR="00223969" w:rsidRPr="00223969" w:rsidRDefault="00223969" w:rsidP="00223969">
            <w:pPr>
              <w:spacing w:before="0" w:after="0" w:line="240" w:lineRule="auto"/>
              <w:jc w:val="right"/>
              <w:rPr>
                <w:rFonts w:ascii="Arial" w:hAnsi="Arial" w:cs="Arial"/>
                <w:i/>
                <w:iCs/>
                <w:sz w:val="16"/>
                <w:szCs w:val="16"/>
              </w:rPr>
            </w:pPr>
            <w:r w:rsidRPr="00223969">
              <w:rPr>
                <w:rFonts w:ascii="Arial" w:hAnsi="Arial" w:cs="Arial"/>
                <w:i/>
                <w:iCs/>
                <w:sz w:val="16"/>
                <w:szCs w:val="16"/>
              </w:rPr>
              <w:t>4</w:t>
            </w:r>
          </w:p>
        </w:tc>
      </w:tr>
      <w:tr w:rsidR="00223969" w:rsidRPr="00223969" w14:paraId="005A0AE9" w14:textId="77777777" w:rsidTr="00223969">
        <w:trPr>
          <w:trHeight w:hRule="exact" w:val="225"/>
        </w:trPr>
        <w:tc>
          <w:tcPr>
            <w:tcW w:w="2669" w:type="pct"/>
            <w:tcBorders>
              <w:top w:val="nil"/>
              <w:left w:val="nil"/>
              <w:bottom w:val="single" w:sz="4" w:space="0" w:color="293F5B"/>
              <w:right w:val="nil"/>
            </w:tcBorders>
            <w:shd w:val="clear" w:color="000000" w:fill="FFFFFF"/>
            <w:noWrap/>
            <w:vAlign w:val="center"/>
            <w:hideMark/>
          </w:tcPr>
          <w:p w14:paraId="20178417" w14:textId="77777777" w:rsidR="00223969" w:rsidRPr="00223969" w:rsidRDefault="00223969" w:rsidP="00223969">
            <w:pPr>
              <w:spacing w:before="0" w:after="0" w:line="240" w:lineRule="auto"/>
              <w:rPr>
                <w:rFonts w:ascii="Arial" w:hAnsi="Arial" w:cs="Arial"/>
                <w:b/>
                <w:bCs/>
                <w:i/>
                <w:iCs/>
                <w:sz w:val="16"/>
                <w:szCs w:val="16"/>
              </w:rPr>
            </w:pPr>
            <w:r w:rsidRPr="00223969">
              <w:rPr>
                <w:rFonts w:ascii="Arial" w:hAnsi="Arial" w:cs="Arial"/>
                <w:b/>
                <w:bCs/>
                <w:i/>
                <w:iCs/>
                <w:sz w:val="16"/>
                <w:szCs w:val="16"/>
              </w:rPr>
              <w:t>Total depreciation of right of use assets</w:t>
            </w:r>
          </w:p>
        </w:tc>
        <w:tc>
          <w:tcPr>
            <w:tcW w:w="467" w:type="pct"/>
            <w:tcBorders>
              <w:top w:val="nil"/>
              <w:left w:val="nil"/>
              <w:bottom w:val="single" w:sz="4" w:space="0" w:color="293F5B"/>
              <w:right w:val="nil"/>
            </w:tcBorders>
            <w:shd w:val="clear" w:color="000000" w:fill="FFFFFF"/>
            <w:noWrap/>
            <w:vAlign w:val="center"/>
            <w:hideMark/>
          </w:tcPr>
          <w:p w14:paraId="41332213" w14:textId="77777777" w:rsidR="00223969" w:rsidRPr="00223969" w:rsidRDefault="00223969" w:rsidP="00223969">
            <w:pPr>
              <w:spacing w:before="0" w:after="0" w:line="240" w:lineRule="auto"/>
              <w:jc w:val="right"/>
              <w:rPr>
                <w:rFonts w:ascii="Arial" w:hAnsi="Arial" w:cs="Arial"/>
                <w:b/>
                <w:bCs/>
                <w:i/>
                <w:iCs/>
                <w:sz w:val="16"/>
                <w:szCs w:val="16"/>
              </w:rPr>
            </w:pPr>
            <w:r w:rsidRPr="00223969">
              <w:rPr>
                <w:rFonts w:ascii="Arial" w:hAnsi="Arial" w:cs="Arial"/>
                <w:b/>
                <w:bCs/>
                <w:i/>
                <w:iCs/>
                <w:sz w:val="16"/>
                <w:szCs w:val="16"/>
              </w:rPr>
              <w:t>2,670</w:t>
            </w:r>
          </w:p>
        </w:tc>
        <w:tc>
          <w:tcPr>
            <w:tcW w:w="466" w:type="pct"/>
            <w:tcBorders>
              <w:top w:val="nil"/>
              <w:left w:val="nil"/>
              <w:bottom w:val="single" w:sz="4" w:space="0" w:color="293F5B"/>
              <w:right w:val="nil"/>
            </w:tcBorders>
            <w:shd w:val="clear" w:color="000000" w:fill="E6F2FF"/>
            <w:noWrap/>
            <w:vAlign w:val="center"/>
            <w:hideMark/>
          </w:tcPr>
          <w:p w14:paraId="61AF03D3" w14:textId="77777777" w:rsidR="00223969" w:rsidRPr="00223969" w:rsidRDefault="00223969" w:rsidP="00223969">
            <w:pPr>
              <w:spacing w:before="0" w:after="0" w:line="240" w:lineRule="auto"/>
              <w:jc w:val="right"/>
              <w:rPr>
                <w:rFonts w:ascii="Arial" w:hAnsi="Arial" w:cs="Arial"/>
                <w:b/>
                <w:bCs/>
                <w:i/>
                <w:iCs/>
                <w:sz w:val="16"/>
                <w:szCs w:val="16"/>
              </w:rPr>
            </w:pPr>
            <w:r w:rsidRPr="00223969">
              <w:rPr>
                <w:rFonts w:ascii="Arial" w:hAnsi="Arial" w:cs="Arial"/>
                <w:b/>
                <w:bCs/>
                <w:i/>
                <w:iCs/>
                <w:sz w:val="16"/>
                <w:szCs w:val="16"/>
              </w:rPr>
              <w:t>2,675</w:t>
            </w:r>
          </w:p>
        </w:tc>
        <w:tc>
          <w:tcPr>
            <w:tcW w:w="466" w:type="pct"/>
            <w:tcBorders>
              <w:top w:val="nil"/>
              <w:left w:val="nil"/>
              <w:bottom w:val="single" w:sz="4" w:space="0" w:color="293F5B"/>
              <w:right w:val="nil"/>
            </w:tcBorders>
            <w:shd w:val="clear" w:color="000000" w:fill="FFFFFF"/>
            <w:noWrap/>
            <w:vAlign w:val="center"/>
            <w:hideMark/>
          </w:tcPr>
          <w:p w14:paraId="12329617" w14:textId="77777777" w:rsidR="00223969" w:rsidRPr="00223969" w:rsidRDefault="00223969" w:rsidP="00223969">
            <w:pPr>
              <w:spacing w:before="0" w:after="0" w:line="240" w:lineRule="auto"/>
              <w:jc w:val="right"/>
              <w:rPr>
                <w:rFonts w:ascii="Arial" w:hAnsi="Arial" w:cs="Arial"/>
                <w:b/>
                <w:bCs/>
                <w:i/>
                <w:iCs/>
                <w:sz w:val="16"/>
                <w:szCs w:val="16"/>
              </w:rPr>
            </w:pPr>
            <w:r w:rsidRPr="00223969">
              <w:rPr>
                <w:rFonts w:ascii="Arial" w:hAnsi="Arial" w:cs="Arial"/>
                <w:b/>
                <w:bCs/>
                <w:i/>
                <w:iCs/>
                <w:sz w:val="16"/>
                <w:szCs w:val="16"/>
              </w:rPr>
              <w:t>2,571</w:t>
            </w:r>
          </w:p>
        </w:tc>
        <w:tc>
          <w:tcPr>
            <w:tcW w:w="466" w:type="pct"/>
            <w:tcBorders>
              <w:top w:val="nil"/>
              <w:left w:val="nil"/>
              <w:bottom w:val="single" w:sz="4" w:space="0" w:color="293F5B"/>
              <w:right w:val="nil"/>
            </w:tcBorders>
            <w:shd w:val="clear" w:color="000000" w:fill="FFFFFF"/>
            <w:noWrap/>
            <w:vAlign w:val="center"/>
            <w:hideMark/>
          </w:tcPr>
          <w:p w14:paraId="39B49B11" w14:textId="77777777" w:rsidR="00223969" w:rsidRPr="00223969" w:rsidRDefault="00223969" w:rsidP="00223969">
            <w:pPr>
              <w:spacing w:before="0" w:after="0" w:line="240" w:lineRule="auto"/>
              <w:jc w:val="right"/>
              <w:rPr>
                <w:rFonts w:ascii="Arial" w:hAnsi="Arial" w:cs="Arial"/>
                <w:b/>
                <w:bCs/>
                <w:i/>
                <w:iCs/>
                <w:sz w:val="16"/>
                <w:szCs w:val="16"/>
              </w:rPr>
            </w:pPr>
            <w:r w:rsidRPr="00223969">
              <w:rPr>
                <w:rFonts w:ascii="Arial" w:hAnsi="Arial" w:cs="Arial"/>
                <w:b/>
                <w:bCs/>
                <w:i/>
                <w:iCs/>
                <w:sz w:val="16"/>
                <w:szCs w:val="16"/>
              </w:rPr>
              <w:t>2,536</w:t>
            </w:r>
          </w:p>
        </w:tc>
        <w:tc>
          <w:tcPr>
            <w:tcW w:w="466" w:type="pct"/>
            <w:tcBorders>
              <w:top w:val="nil"/>
              <w:left w:val="nil"/>
              <w:bottom w:val="single" w:sz="4" w:space="0" w:color="293F5B"/>
              <w:right w:val="nil"/>
            </w:tcBorders>
            <w:shd w:val="clear" w:color="000000" w:fill="FFFFFF"/>
            <w:noWrap/>
            <w:vAlign w:val="center"/>
            <w:hideMark/>
          </w:tcPr>
          <w:p w14:paraId="60ADA32E" w14:textId="77777777" w:rsidR="00223969" w:rsidRPr="00223969" w:rsidRDefault="00223969" w:rsidP="00223969">
            <w:pPr>
              <w:spacing w:before="0" w:after="0" w:line="240" w:lineRule="auto"/>
              <w:jc w:val="right"/>
              <w:rPr>
                <w:rFonts w:ascii="Arial" w:hAnsi="Arial" w:cs="Arial"/>
                <w:b/>
                <w:bCs/>
                <w:i/>
                <w:iCs/>
                <w:sz w:val="16"/>
                <w:szCs w:val="16"/>
              </w:rPr>
            </w:pPr>
            <w:r w:rsidRPr="00223969">
              <w:rPr>
                <w:rFonts w:ascii="Arial" w:hAnsi="Arial" w:cs="Arial"/>
                <w:b/>
                <w:bCs/>
                <w:i/>
                <w:iCs/>
                <w:sz w:val="16"/>
                <w:szCs w:val="16"/>
              </w:rPr>
              <w:t>2,483</w:t>
            </w:r>
          </w:p>
        </w:tc>
      </w:tr>
    </w:tbl>
    <w:p w14:paraId="0D33D58B" w14:textId="68B67BD8" w:rsidR="00CD20B1" w:rsidRDefault="00D8138E" w:rsidP="00C53EF3">
      <w:pPr>
        <w:pStyle w:val="ChartandTableFootnoteAlpha"/>
        <w:numPr>
          <w:ilvl w:val="0"/>
          <w:numId w:val="48"/>
        </w:numPr>
      </w:pPr>
      <w:r w:rsidRPr="00EA746C">
        <w:t xml:space="preserve">Includes </w:t>
      </w:r>
      <w:r w:rsidRPr="00CD20B1">
        <w:t>depreciation</w:t>
      </w:r>
      <w:r w:rsidRPr="00EA746C">
        <w:t xml:space="preserve"> of right of use (leased) assets, resulting from implementation of </w:t>
      </w:r>
      <w:r w:rsidR="00A96E0D">
        <w:t>AASB </w:t>
      </w:r>
      <w:r w:rsidRPr="00EA746C">
        <w:t>16</w:t>
      </w:r>
      <w:r w:rsidR="005A190B">
        <w:t>.</w:t>
      </w:r>
    </w:p>
    <w:p w14:paraId="5C227F50" w14:textId="62DB2C00" w:rsidR="00D8138E" w:rsidRPr="00EA746C" w:rsidRDefault="00D8138E" w:rsidP="00CD20B1">
      <w:pPr>
        <w:pStyle w:val="TableLine"/>
      </w:pPr>
      <w:r w:rsidRPr="00EA746C">
        <w:t>.</w:t>
      </w:r>
    </w:p>
    <w:p w14:paraId="3AF47677" w14:textId="660E0414" w:rsidR="00CD20B1" w:rsidRDefault="00CD20B1">
      <w:pPr>
        <w:spacing w:before="0" w:after="160" w:line="259" w:lineRule="auto"/>
      </w:pPr>
      <w:r>
        <w:br w:type="page"/>
      </w:r>
    </w:p>
    <w:p w14:paraId="327B025F" w14:textId="567AAABA" w:rsidR="00D8138E" w:rsidRPr="00663990" w:rsidRDefault="000D0B7D" w:rsidP="00BF0203">
      <w:pPr>
        <w:pStyle w:val="NoteTableHeading"/>
        <w:rPr>
          <w:rFonts w:eastAsiaTheme="minorHAnsi"/>
        </w:rPr>
      </w:pPr>
      <w:r>
        <w:lastRenderedPageBreak/>
        <w:t>Note </w:t>
      </w:r>
      <w:r w:rsidR="00D8138E" w:rsidRPr="00EA746C">
        <w:t>9: Supply of goods and services expense</w:t>
      </w:r>
    </w:p>
    <w:tbl>
      <w:tblPr>
        <w:tblpPr w:leftFromText="180" w:rightFromText="180" w:vertAnchor="text" w:horzAnchor="margin" w:tblpY="17"/>
        <w:tblW w:w="7711" w:type="dxa"/>
        <w:tblLook w:val="04A0" w:firstRow="1" w:lastRow="0" w:firstColumn="1" w:lastColumn="0" w:noHBand="0" w:noVBand="1"/>
      </w:tblPr>
      <w:tblGrid>
        <w:gridCol w:w="3627"/>
        <w:gridCol w:w="816"/>
        <w:gridCol w:w="816"/>
        <w:gridCol w:w="816"/>
        <w:gridCol w:w="816"/>
        <w:gridCol w:w="820"/>
      </w:tblGrid>
      <w:tr w:rsidR="00010F4D" w:rsidRPr="00E96C80" w14:paraId="50859EF1" w14:textId="77777777" w:rsidTr="002764DA">
        <w:trPr>
          <w:trHeight w:val="225"/>
        </w:trPr>
        <w:tc>
          <w:tcPr>
            <w:tcW w:w="2352" w:type="pct"/>
            <w:tcBorders>
              <w:top w:val="single" w:sz="4" w:space="0" w:color="293F5B"/>
              <w:left w:val="nil"/>
              <w:bottom w:val="nil"/>
              <w:right w:val="nil"/>
            </w:tcBorders>
            <w:shd w:val="clear" w:color="000000" w:fill="FFFFFF"/>
            <w:noWrap/>
            <w:vAlign w:val="center"/>
            <w:hideMark/>
          </w:tcPr>
          <w:p w14:paraId="63200EE0" w14:textId="77777777" w:rsidR="00010F4D" w:rsidRPr="00E96C80" w:rsidRDefault="00010F4D" w:rsidP="00B4115E">
            <w:pPr>
              <w:pStyle w:val="TableTextLeft"/>
            </w:pPr>
            <w:r w:rsidRPr="00E96C80">
              <w:t> </w:t>
            </w:r>
          </w:p>
        </w:tc>
        <w:tc>
          <w:tcPr>
            <w:tcW w:w="2648" w:type="pct"/>
            <w:gridSpan w:val="5"/>
            <w:tcBorders>
              <w:top w:val="single" w:sz="4" w:space="0" w:color="293F5B"/>
              <w:left w:val="nil"/>
              <w:bottom w:val="single" w:sz="4" w:space="0" w:color="293F5B"/>
              <w:right w:val="nil"/>
            </w:tcBorders>
            <w:shd w:val="clear" w:color="000000" w:fill="FFFFFF"/>
            <w:noWrap/>
            <w:vAlign w:val="center"/>
            <w:hideMark/>
          </w:tcPr>
          <w:p w14:paraId="5FE78928" w14:textId="77777777" w:rsidR="00010F4D" w:rsidRPr="00E96C80" w:rsidRDefault="00010F4D" w:rsidP="00B4115E">
            <w:pPr>
              <w:pStyle w:val="TableTextCentred"/>
            </w:pPr>
            <w:r w:rsidRPr="00E96C80">
              <w:t>Estimates</w:t>
            </w:r>
          </w:p>
        </w:tc>
      </w:tr>
      <w:tr w:rsidR="00010F4D" w:rsidRPr="00E96C80" w14:paraId="3F427674" w14:textId="77777777" w:rsidTr="00C63A3A">
        <w:trPr>
          <w:trHeight w:val="225"/>
        </w:trPr>
        <w:tc>
          <w:tcPr>
            <w:tcW w:w="2352" w:type="pct"/>
            <w:tcBorders>
              <w:top w:val="nil"/>
              <w:left w:val="nil"/>
              <w:bottom w:val="nil"/>
              <w:right w:val="nil"/>
            </w:tcBorders>
            <w:shd w:val="clear" w:color="000000" w:fill="FFFFFF"/>
            <w:noWrap/>
            <w:vAlign w:val="center"/>
            <w:hideMark/>
          </w:tcPr>
          <w:p w14:paraId="312F7478" w14:textId="77777777" w:rsidR="00010F4D" w:rsidRPr="00E96C80" w:rsidRDefault="00010F4D" w:rsidP="00B4115E">
            <w:pPr>
              <w:pStyle w:val="TableTextLeft"/>
            </w:pPr>
            <w:r w:rsidRPr="00E96C80">
              <w:t> </w:t>
            </w:r>
          </w:p>
        </w:tc>
        <w:tc>
          <w:tcPr>
            <w:tcW w:w="529" w:type="pct"/>
            <w:tcBorders>
              <w:top w:val="nil"/>
              <w:left w:val="nil"/>
              <w:bottom w:val="nil"/>
              <w:right w:val="nil"/>
            </w:tcBorders>
            <w:shd w:val="clear" w:color="000000" w:fill="FFFFFF"/>
            <w:noWrap/>
            <w:vAlign w:val="center"/>
            <w:hideMark/>
          </w:tcPr>
          <w:p w14:paraId="0493EF2C" w14:textId="28396A90" w:rsidR="00010F4D" w:rsidRPr="00E96C80" w:rsidRDefault="00010F4D" w:rsidP="00B4115E">
            <w:pPr>
              <w:pStyle w:val="TableTextRight"/>
            </w:pPr>
            <w:r w:rsidRPr="00E96C80">
              <w:t>2023</w:t>
            </w:r>
            <w:r w:rsidR="00325E1E">
              <w:noBreakHyphen/>
            </w:r>
            <w:r w:rsidRPr="00E96C80">
              <w:t>24</w:t>
            </w:r>
          </w:p>
        </w:tc>
        <w:tc>
          <w:tcPr>
            <w:tcW w:w="529" w:type="pct"/>
            <w:tcBorders>
              <w:top w:val="nil"/>
              <w:left w:val="nil"/>
              <w:bottom w:val="nil"/>
              <w:right w:val="nil"/>
            </w:tcBorders>
            <w:shd w:val="clear" w:color="000000" w:fill="E6F2FF"/>
            <w:noWrap/>
            <w:vAlign w:val="center"/>
            <w:hideMark/>
          </w:tcPr>
          <w:p w14:paraId="3A4B1AB7" w14:textId="1D25A90C" w:rsidR="00010F4D" w:rsidRPr="00E96C80" w:rsidRDefault="00010F4D" w:rsidP="00B4115E">
            <w:pPr>
              <w:pStyle w:val="TableTextRight"/>
            </w:pPr>
            <w:r w:rsidRPr="00E96C80">
              <w:t>2024</w:t>
            </w:r>
            <w:r w:rsidR="00325E1E">
              <w:noBreakHyphen/>
            </w:r>
            <w:r w:rsidRPr="00E96C80">
              <w:t>25</w:t>
            </w:r>
          </w:p>
        </w:tc>
        <w:tc>
          <w:tcPr>
            <w:tcW w:w="529" w:type="pct"/>
            <w:tcBorders>
              <w:top w:val="nil"/>
              <w:left w:val="nil"/>
              <w:bottom w:val="nil"/>
              <w:right w:val="nil"/>
            </w:tcBorders>
            <w:shd w:val="clear" w:color="000000" w:fill="FFFFFF"/>
            <w:noWrap/>
            <w:vAlign w:val="center"/>
            <w:hideMark/>
          </w:tcPr>
          <w:p w14:paraId="6E4CAD01" w14:textId="5EC40A5A" w:rsidR="00010F4D" w:rsidRPr="00E96C80" w:rsidRDefault="00010F4D" w:rsidP="00B4115E">
            <w:pPr>
              <w:pStyle w:val="TableTextRight"/>
            </w:pPr>
            <w:r w:rsidRPr="00E96C80">
              <w:t>2025</w:t>
            </w:r>
            <w:r w:rsidR="00325E1E">
              <w:noBreakHyphen/>
            </w:r>
            <w:r w:rsidRPr="00E96C80">
              <w:t>26</w:t>
            </w:r>
          </w:p>
        </w:tc>
        <w:tc>
          <w:tcPr>
            <w:tcW w:w="529" w:type="pct"/>
            <w:tcBorders>
              <w:top w:val="nil"/>
              <w:left w:val="nil"/>
              <w:bottom w:val="nil"/>
              <w:right w:val="nil"/>
            </w:tcBorders>
            <w:shd w:val="clear" w:color="000000" w:fill="FFFFFF"/>
            <w:noWrap/>
            <w:vAlign w:val="center"/>
            <w:hideMark/>
          </w:tcPr>
          <w:p w14:paraId="0E95E6FE" w14:textId="76908842" w:rsidR="00010F4D" w:rsidRPr="00E96C80" w:rsidRDefault="00010F4D" w:rsidP="00B4115E">
            <w:pPr>
              <w:pStyle w:val="TableTextRight"/>
            </w:pPr>
            <w:r w:rsidRPr="00E96C80">
              <w:t>2026</w:t>
            </w:r>
            <w:r w:rsidR="00325E1E">
              <w:noBreakHyphen/>
            </w:r>
            <w:r w:rsidRPr="00E96C80">
              <w:t>27</w:t>
            </w:r>
          </w:p>
        </w:tc>
        <w:tc>
          <w:tcPr>
            <w:tcW w:w="532" w:type="pct"/>
            <w:tcBorders>
              <w:top w:val="nil"/>
              <w:left w:val="nil"/>
              <w:bottom w:val="nil"/>
              <w:right w:val="nil"/>
            </w:tcBorders>
            <w:shd w:val="clear" w:color="000000" w:fill="FFFFFF"/>
            <w:noWrap/>
            <w:vAlign w:val="center"/>
            <w:hideMark/>
          </w:tcPr>
          <w:p w14:paraId="27CB59D8" w14:textId="18735CAD" w:rsidR="00010F4D" w:rsidRPr="00E96C80" w:rsidRDefault="00010F4D" w:rsidP="00B4115E">
            <w:pPr>
              <w:pStyle w:val="TableTextRight"/>
              <w:rPr>
                <w:color w:val="000000"/>
              </w:rPr>
            </w:pPr>
            <w:r w:rsidRPr="00E96C80">
              <w:rPr>
                <w:color w:val="000000"/>
              </w:rPr>
              <w:t>2027</w:t>
            </w:r>
            <w:r w:rsidR="00325E1E">
              <w:rPr>
                <w:color w:val="000000"/>
              </w:rPr>
              <w:noBreakHyphen/>
            </w:r>
            <w:r w:rsidRPr="00E96C80">
              <w:rPr>
                <w:color w:val="000000"/>
              </w:rPr>
              <w:t>28</w:t>
            </w:r>
          </w:p>
        </w:tc>
      </w:tr>
      <w:tr w:rsidR="00010F4D" w:rsidRPr="00E96C80" w14:paraId="74D42056" w14:textId="77777777" w:rsidTr="00C63A3A">
        <w:trPr>
          <w:trHeight w:val="225"/>
        </w:trPr>
        <w:tc>
          <w:tcPr>
            <w:tcW w:w="2352" w:type="pct"/>
            <w:tcBorders>
              <w:top w:val="nil"/>
              <w:left w:val="nil"/>
              <w:bottom w:val="nil"/>
              <w:right w:val="nil"/>
            </w:tcBorders>
            <w:shd w:val="clear" w:color="000000" w:fill="FFFFFF"/>
            <w:noWrap/>
            <w:vAlign w:val="center"/>
            <w:hideMark/>
          </w:tcPr>
          <w:p w14:paraId="73C728D0" w14:textId="77777777" w:rsidR="00010F4D" w:rsidRPr="00E96C80" w:rsidRDefault="00010F4D" w:rsidP="00B4115E">
            <w:pPr>
              <w:pStyle w:val="TableTextLeft"/>
            </w:pPr>
            <w:r w:rsidRPr="00E96C80">
              <w:t> </w:t>
            </w:r>
          </w:p>
        </w:tc>
        <w:tc>
          <w:tcPr>
            <w:tcW w:w="529" w:type="pct"/>
            <w:tcBorders>
              <w:top w:val="nil"/>
              <w:left w:val="nil"/>
              <w:bottom w:val="single" w:sz="4" w:space="0" w:color="293F5B"/>
              <w:right w:val="nil"/>
            </w:tcBorders>
            <w:shd w:val="clear" w:color="000000" w:fill="FFFFFF"/>
            <w:noWrap/>
            <w:vAlign w:val="center"/>
            <w:hideMark/>
          </w:tcPr>
          <w:p w14:paraId="3A75AA40" w14:textId="77777777" w:rsidR="00010F4D" w:rsidRPr="00E96C80" w:rsidRDefault="00010F4D" w:rsidP="00B4115E">
            <w:pPr>
              <w:pStyle w:val="TableTextRight"/>
              <w:rPr>
                <w:color w:val="000000"/>
              </w:rPr>
            </w:pPr>
            <w:r w:rsidRPr="00E96C80">
              <w:rPr>
                <w:color w:val="000000"/>
              </w:rPr>
              <w:t>$m</w:t>
            </w:r>
          </w:p>
        </w:tc>
        <w:tc>
          <w:tcPr>
            <w:tcW w:w="529" w:type="pct"/>
            <w:tcBorders>
              <w:top w:val="nil"/>
              <w:left w:val="nil"/>
              <w:bottom w:val="single" w:sz="4" w:space="0" w:color="293F5B"/>
              <w:right w:val="nil"/>
            </w:tcBorders>
            <w:shd w:val="clear" w:color="000000" w:fill="E6F2FF"/>
            <w:noWrap/>
            <w:vAlign w:val="center"/>
            <w:hideMark/>
          </w:tcPr>
          <w:p w14:paraId="4F11284C" w14:textId="77777777" w:rsidR="00010F4D" w:rsidRPr="00E96C80" w:rsidRDefault="00010F4D" w:rsidP="00B4115E">
            <w:pPr>
              <w:pStyle w:val="TableTextRight"/>
              <w:rPr>
                <w:color w:val="000000"/>
              </w:rPr>
            </w:pPr>
            <w:r w:rsidRPr="00E96C80">
              <w:rPr>
                <w:color w:val="000000"/>
              </w:rPr>
              <w:t>$m</w:t>
            </w:r>
          </w:p>
        </w:tc>
        <w:tc>
          <w:tcPr>
            <w:tcW w:w="529" w:type="pct"/>
            <w:tcBorders>
              <w:top w:val="nil"/>
              <w:left w:val="nil"/>
              <w:bottom w:val="single" w:sz="4" w:space="0" w:color="293F5B"/>
              <w:right w:val="nil"/>
            </w:tcBorders>
            <w:shd w:val="clear" w:color="000000" w:fill="FFFFFF"/>
            <w:noWrap/>
            <w:vAlign w:val="center"/>
            <w:hideMark/>
          </w:tcPr>
          <w:p w14:paraId="6043DDA6" w14:textId="77777777" w:rsidR="00010F4D" w:rsidRPr="00E96C80" w:rsidRDefault="00010F4D" w:rsidP="00B4115E">
            <w:pPr>
              <w:pStyle w:val="TableTextRight"/>
              <w:rPr>
                <w:color w:val="000000"/>
              </w:rPr>
            </w:pPr>
            <w:r w:rsidRPr="00E96C80">
              <w:rPr>
                <w:color w:val="000000"/>
              </w:rPr>
              <w:t>$m</w:t>
            </w:r>
          </w:p>
        </w:tc>
        <w:tc>
          <w:tcPr>
            <w:tcW w:w="529" w:type="pct"/>
            <w:tcBorders>
              <w:top w:val="nil"/>
              <w:left w:val="nil"/>
              <w:bottom w:val="single" w:sz="4" w:space="0" w:color="293F5B"/>
              <w:right w:val="nil"/>
            </w:tcBorders>
            <w:shd w:val="clear" w:color="000000" w:fill="FFFFFF"/>
            <w:noWrap/>
            <w:vAlign w:val="center"/>
            <w:hideMark/>
          </w:tcPr>
          <w:p w14:paraId="269B14AE" w14:textId="77777777" w:rsidR="00010F4D" w:rsidRPr="00E96C80" w:rsidRDefault="00010F4D" w:rsidP="00B4115E">
            <w:pPr>
              <w:pStyle w:val="TableTextRight"/>
              <w:rPr>
                <w:color w:val="000000"/>
              </w:rPr>
            </w:pPr>
            <w:r w:rsidRPr="00E96C80">
              <w:rPr>
                <w:color w:val="000000"/>
              </w:rPr>
              <w:t>$m</w:t>
            </w:r>
          </w:p>
        </w:tc>
        <w:tc>
          <w:tcPr>
            <w:tcW w:w="532" w:type="pct"/>
            <w:tcBorders>
              <w:top w:val="nil"/>
              <w:left w:val="nil"/>
              <w:bottom w:val="single" w:sz="4" w:space="0" w:color="293F5B"/>
              <w:right w:val="nil"/>
            </w:tcBorders>
            <w:shd w:val="clear" w:color="000000" w:fill="FFFFFF"/>
            <w:noWrap/>
            <w:vAlign w:val="center"/>
            <w:hideMark/>
          </w:tcPr>
          <w:p w14:paraId="267515DA" w14:textId="77777777" w:rsidR="00010F4D" w:rsidRPr="00E96C80" w:rsidRDefault="00010F4D" w:rsidP="00B4115E">
            <w:pPr>
              <w:pStyle w:val="TableTextRight"/>
              <w:rPr>
                <w:color w:val="000000"/>
              </w:rPr>
            </w:pPr>
            <w:r w:rsidRPr="00E96C80">
              <w:rPr>
                <w:color w:val="000000"/>
              </w:rPr>
              <w:t>$m</w:t>
            </w:r>
          </w:p>
        </w:tc>
      </w:tr>
      <w:tr w:rsidR="00C63A3A" w:rsidRPr="00E96C80" w14:paraId="43F0513C" w14:textId="77777777" w:rsidTr="00C63A3A">
        <w:trPr>
          <w:trHeight w:val="225"/>
        </w:trPr>
        <w:tc>
          <w:tcPr>
            <w:tcW w:w="2352" w:type="pct"/>
            <w:tcBorders>
              <w:top w:val="nil"/>
              <w:left w:val="nil"/>
              <w:bottom w:val="nil"/>
              <w:right w:val="nil"/>
            </w:tcBorders>
            <w:shd w:val="clear" w:color="000000" w:fill="FFFFFF"/>
            <w:noWrap/>
            <w:vAlign w:val="center"/>
            <w:hideMark/>
          </w:tcPr>
          <w:p w14:paraId="08E982C6" w14:textId="3AF1FA0D" w:rsidR="00C63A3A" w:rsidRPr="00E96C80" w:rsidRDefault="00C63A3A" w:rsidP="00B4115E">
            <w:pPr>
              <w:pStyle w:val="TableTextLeft"/>
            </w:pPr>
            <w:r>
              <w:t>Supply of goods and services</w:t>
            </w:r>
          </w:p>
        </w:tc>
        <w:tc>
          <w:tcPr>
            <w:tcW w:w="529" w:type="pct"/>
            <w:tcBorders>
              <w:top w:val="single" w:sz="4" w:space="0" w:color="293F5B"/>
              <w:left w:val="nil"/>
              <w:bottom w:val="nil"/>
              <w:right w:val="nil"/>
            </w:tcBorders>
            <w:shd w:val="clear" w:color="000000" w:fill="FFFFFF"/>
            <w:noWrap/>
            <w:vAlign w:val="center"/>
            <w:hideMark/>
          </w:tcPr>
          <w:p w14:paraId="014A9F67" w14:textId="19203480" w:rsidR="00C63A3A" w:rsidRPr="00E96C80" w:rsidRDefault="00C63A3A" w:rsidP="00B4115E">
            <w:pPr>
              <w:pStyle w:val="TableTextRight"/>
              <w:rPr>
                <w:color w:val="000000"/>
              </w:rPr>
            </w:pPr>
            <w:r>
              <w:rPr>
                <w:color w:val="000000"/>
              </w:rPr>
              <w:t>50,641</w:t>
            </w:r>
          </w:p>
        </w:tc>
        <w:tc>
          <w:tcPr>
            <w:tcW w:w="529" w:type="pct"/>
            <w:tcBorders>
              <w:top w:val="single" w:sz="4" w:space="0" w:color="293F5B"/>
              <w:left w:val="nil"/>
              <w:bottom w:val="nil"/>
              <w:right w:val="nil"/>
            </w:tcBorders>
            <w:shd w:val="clear" w:color="000000" w:fill="E6F2FF"/>
            <w:noWrap/>
            <w:vAlign w:val="center"/>
            <w:hideMark/>
          </w:tcPr>
          <w:p w14:paraId="26D1F21C" w14:textId="7F49C8EF" w:rsidR="00C63A3A" w:rsidRPr="00E96C80" w:rsidRDefault="00C63A3A" w:rsidP="00B4115E">
            <w:pPr>
              <w:pStyle w:val="TableTextRight"/>
              <w:rPr>
                <w:color w:val="000000"/>
              </w:rPr>
            </w:pPr>
            <w:r>
              <w:rPr>
                <w:color w:val="000000"/>
              </w:rPr>
              <w:t>56,804</w:t>
            </w:r>
          </w:p>
        </w:tc>
        <w:tc>
          <w:tcPr>
            <w:tcW w:w="529" w:type="pct"/>
            <w:tcBorders>
              <w:top w:val="single" w:sz="4" w:space="0" w:color="293F5B"/>
              <w:left w:val="nil"/>
              <w:bottom w:val="nil"/>
              <w:right w:val="nil"/>
            </w:tcBorders>
            <w:shd w:val="clear" w:color="000000" w:fill="FFFFFF"/>
            <w:noWrap/>
            <w:vAlign w:val="center"/>
            <w:hideMark/>
          </w:tcPr>
          <w:p w14:paraId="5F41DEC8" w14:textId="5DC48383" w:rsidR="00C63A3A" w:rsidRPr="00E96C80" w:rsidRDefault="00C63A3A" w:rsidP="00B4115E">
            <w:pPr>
              <w:pStyle w:val="TableTextRight"/>
              <w:rPr>
                <w:color w:val="000000"/>
              </w:rPr>
            </w:pPr>
            <w:r>
              <w:rPr>
                <w:color w:val="000000"/>
              </w:rPr>
              <w:t>57,637</w:t>
            </w:r>
          </w:p>
        </w:tc>
        <w:tc>
          <w:tcPr>
            <w:tcW w:w="529" w:type="pct"/>
            <w:tcBorders>
              <w:top w:val="single" w:sz="4" w:space="0" w:color="293F5B"/>
              <w:left w:val="nil"/>
              <w:bottom w:val="nil"/>
              <w:right w:val="nil"/>
            </w:tcBorders>
            <w:shd w:val="clear" w:color="000000" w:fill="FFFFFF"/>
            <w:noWrap/>
            <w:vAlign w:val="center"/>
            <w:hideMark/>
          </w:tcPr>
          <w:p w14:paraId="7D0C965A" w14:textId="398CB35E" w:rsidR="00C63A3A" w:rsidRPr="00E96C80" w:rsidRDefault="00C63A3A" w:rsidP="00B4115E">
            <w:pPr>
              <w:pStyle w:val="TableTextRight"/>
              <w:rPr>
                <w:color w:val="000000"/>
              </w:rPr>
            </w:pPr>
            <w:r>
              <w:rPr>
                <w:color w:val="000000"/>
              </w:rPr>
              <w:t>56,145</w:t>
            </w:r>
          </w:p>
        </w:tc>
        <w:tc>
          <w:tcPr>
            <w:tcW w:w="532" w:type="pct"/>
            <w:tcBorders>
              <w:top w:val="single" w:sz="4" w:space="0" w:color="293F5B"/>
              <w:left w:val="nil"/>
              <w:bottom w:val="nil"/>
              <w:right w:val="nil"/>
            </w:tcBorders>
            <w:shd w:val="clear" w:color="000000" w:fill="FFFFFF"/>
            <w:noWrap/>
            <w:vAlign w:val="center"/>
            <w:hideMark/>
          </w:tcPr>
          <w:p w14:paraId="66F0EE3C" w14:textId="0CE1DE71" w:rsidR="00C63A3A" w:rsidRPr="00E96C80" w:rsidRDefault="00C63A3A" w:rsidP="00B4115E">
            <w:pPr>
              <w:pStyle w:val="TableTextRight"/>
              <w:rPr>
                <w:color w:val="000000"/>
              </w:rPr>
            </w:pPr>
            <w:r>
              <w:rPr>
                <w:color w:val="000000"/>
              </w:rPr>
              <w:t>58,674</w:t>
            </w:r>
          </w:p>
        </w:tc>
      </w:tr>
      <w:tr w:rsidR="00C63A3A" w:rsidRPr="00E96C80" w14:paraId="1AAD1C75" w14:textId="77777777" w:rsidTr="00C63A3A">
        <w:trPr>
          <w:trHeight w:val="225"/>
        </w:trPr>
        <w:tc>
          <w:tcPr>
            <w:tcW w:w="2352" w:type="pct"/>
            <w:tcBorders>
              <w:top w:val="nil"/>
              <w:left w:val="nil"/>
              <w:bottom w:val="nil"/>
              <w:right w:val="nil"/>
            </w:tcBorders>
            <w:shd w:val="clear" w:color="000000" w:fill="FFFFFF"/>
            <w:noWrap/>
            <w:vAlign w:val="center"/>
            <w:hideMark/>
          </w:tcPr>
          <w:p w14:paraId="756931AD" w14:textId="0A98E599" w:rsidR="00C63A3A" w:rsidRPr="00E96C80" w:rsidRDefault="00C63A3A" w:rsidP="00B4115E">
            <w:pPr>
              <w:pStyle w:val="TableTextLeft"/>
            </w:pPr>
            <w:r>
              <w:t>Lease expenses</w:t>
            </w:r>
          </w:p>
        </w:tc>
        <w:tc>
          <w:tcPr>
            <w:tcW w:w="529" w:type="pct"/>
            <w:tcBorders>
              <w:top w:val="nil"/>
              <w:left w:val="nil"/>
              <w:bottom w:val="nil"/>
              <w:right w:val="nil"/>
            </w:tcBorders>
            <w:shd w:val="clear" w:color="000000" w:fill="FFFFFF"/>
            <w:noWrap/>
            <w:vAlign w:val="center"/>
            <w:hideMark/>
          </w:tcPr>
          <w:p w14:paraId="5FA3B39B" w14:textId="5EA66CC0" w:rsidR="00C63A3A" w:rsidRPr="00E96C80" w:rsidRDefault="00C63A3A" w:rsidP="00B4115E">
            <w:pPr>
              <w:pStyle w:val="TableTextRight"/>
              <w:rPr>
                <w:color w:val="000000"/>
              </w:rPr>
            </w:pPr>
            <w:r>
              <w:rPr>
                <w:color w:val="000000"/>
              </w:rPr>
              <w:t>196</w:t>
            </w:r>
          </w:p>
        </w:tc>
        <w:tc>
          <w:tcPr>
            <w:tcW w:w="529" w:type="pct"/>
            <w:tcBorders>
              <w:top w:val="nil"/>
              <w:left w:val="nil"/>
              <w:bottom w:val="nil"/>
              <w:right w:val="nil"/>
            </w:tcBorders>
            <w:shd w:val="clear" w:color="000000" w:fill="E6F2FF"/>
            <w:noWrap/>
            <w:vAlign w:val="center"/>
            <w:hideMark/>
          </w:tcPr>
          <w:p w14:paraId="262E2198" w14:textId="6DD4ECE4" w:rsidR="00C63A3A" w:rsidRPr="00E96C80" w:rsidRDefault="00C63A3A" w:rsidP="00B4115E">
            <w:pPr>
              <w:pStyle w:val="TableTextRight"/>
              <w:rPr>
                <w:color w:val="000000"/>
              </w:rPr>
            </w:pPr>
            <w:r>
              <w:rPr>
                <w:color w:val="000000"/>
              </w:rPr>
              <w:t>229</w:t>
            </w:r>
          </w:p>
        </w:tc>
        <w:tc>
          <w:tcPr>
            <w:tcW w:w="529" w:type="pct"/>
            <w:tcBorders>
              <w:top w:val="nil"/>
              <w:left w:val="nil"/>
              <w:bottom w:val="nil"/>
              <w:right w:val="nil"/>
            </w:tcBorders>
            <w:shd w:val="clear" w:color="000000" w:fill="FFFFFF"/>
            <w:noWrap/>
            <w:vAlign w:val="center"/>
            <w:hideMark/>
          </w:tcPr>
          <w:p w14:paraId="52CB875B" w14:textId="79C60012" w:rsidR="00C63A3A" w:rsidRPr="00E96C80" w:rsidRDefault="00C63A3A" w:rsidP="00B4115E">
            <w:pPr>
              <w:pStyle w:val="TableTextRight"/>
              <w:rPr>
                <w:color w:val="000000"/>
              </w:rPr>
            </w:pPr>
            <w:r>
              <w:rPr>
                <w:color w:val="000000"/>
              </w:rPr>
              <w:t>191</w:t>
            </w:r>
          </w:p>
        </w:tc>
        <w:tc>
          <w:tcPr>
            <w:tcW w:w="529" w:type="pct"/>
            <w:tcBorders>
              <w:top w:val="nil"/>
              <w:left w:val="nil"/>
              <w:bottom w:val="nil"/>
              <w:right w:val="nil"/>
            </w:tcBorders>
            <w:shd w:val="clear" w:color="000000" w:fill="FFFFFF"/>
            <w:noWrap/>
            <w:vAlign w:val="center"/>
            <w:hideMark/>
          </w:tcPr>
          <w:p w14:paraId="65147E4E" w14:textId="104E82DF" w:rsidR="00C63A3A" w:rsidRPr="00E96C80" w:rsidRDefault="00C63A3A" w:rsidP="00B4115E">
            <w:pPr>
              <w:pStyle w:val="TableTextRight"/>
              <w:rPr>
                <w:color w:val="000000"/>
              </w:rPr>
            </w:pPr>
            <w:r>
              <w:rPr>
                <w:color w:val="000000"/>
              </w:rPr>
              <w:t>212</w:t>
            </w:r>
          </w:p>
        </w:tc>
        <w:tc>
          <w:tcPr>
            <w:tcW w:w="532" w:type="pct"/>
            <w:tcBorders>
              <w:top w:val="nil"/>
              <w:left w:val="nil"/>
              <w:bottom w:val="nil"/>
              <w:right w:val="nil"/>
            </w:tcBorders>
            <w:shd w:val="clear" w:color="000000" w:fill="FFFFFF"/>
            <w:noWrap/>
            <w:vAlign w:val="center"/>
            <w:hideMark/>
          </w:tcPr>
          <w:p w14:paraId="5E3E64C7" w14:textId="175C8948" w:rsidR="00C63A3A" w:rsidRPr="00E96C80" w:rsidRDefault="00C63A3A" w:rsidP="00B4115E">
            <w:pPr>
              <w:pStyle w:val="TableTextRight"/>
              <w:rPr>
                <w:color w:val="000000"/>
              </w:rPr>
            </w:pPr>
            <w:r>
              <w:rPr>
                <w:color w:val="000000"/>
              </w:rPr>
              <w:t>316</w:t>
            </w:r>
          </w:p>
        </w:tc>
      </w:tr>
      <w:tr w:rsidR="00C63A3A" w:rsidRPr="00E96C80" w14:paraId="4BF1DA7F" w14:textId="77777777" w:rsidTr="00C63A3A">
        <w:trPr>
          <w:trHeight w:val="225"/>
        </w:trPr>
        <w:tc>
          <w:tcPr>
            <w:tcW w:w="2352" w:type="pct"/>
            <w:tcBorders>
              <w:top w:val="nil"/>
              <w:left w:val="nil"/>
              <w:bottom w:val="nil"/>
              <w:right w:val="nil"/>
            </w:tcBorders>
            <w:shd w:val="clear" w:color="000000" w:fill="FFFFFF"/>
            <w:noWrap/>
            <w:vAlign w:val="center"/>
            <w:hideMark/>
          </w:tcPr>
          <w:p w14:paraId="7E297922" w14:textId="66B644DD" w:rsidR="00C63A3A" w:rsidRPr="00E96C80" w:rsidRDefault="00C63A3A" w:rsidP="00B4115E">
            <w:pPr>
              <w:pStyle w:val="TableTextLeft"/>
            </w:pPr>
            <w:r>
              <w:t>Personal benefits – indirect</w:t>
            </w:r>
          </w:p>
        </w:tc>
        <w:tc>
          <w:tcPr>
            <w:tcW w:w="529" w:type="pct"/>
            <w:tcBorders>
              <w:top w:val="nil"/>
              <w:left w:val="nil"/>
              <w:bottom w:val="nil"/>
              <w:right w:val="nil"/>
            </w:tcBorders>
            <w:shd w:val="clear" w:color="000000" w:fill="FFFFFF"/>
            <w:noWrap/>
            <w:vAlign w:val="center"/>
            <w:hideMark/>
          </w:tcPr>
          <w:p w14:paraId="18191C3E" w14:textId="4E69F9A3" w:rsidR="00C63A3A" w:rsidRPr="00E96C80" w:rsidRDefault="00C63A3A" w:rsidP="00B4115E">
            <w:pPr>
              <w:pStyle w:val="TableTextRight"/>
            </w:pPr>
            <w:r>
              <w:t>135,652</w:t>
            </w:r>
          </w:p>
        </w:tc>
        <w:tc>
          <w:tcPr>
            <w:tcW w:w="529" w:type="pct"/>
            <w:tcBorders>
              <w:top w:val="nil"/>
              <w:left w:val="nil"/>
              <w:bottom w:val="nil"/>
              <w:right w:val="nil"/>
            </w:tcBorders>
            <w:shd w:val="clear" w:color="000000" w:fill="E6F2FF"/>
            <w:noWrap/>
            <w:vAlign w:val="center"/>
            <w:hideMark/>
          </w:tcPr>
          <w:p w14:paraId="165D38FD" w14:textId="1494DD9D" w:rsidR="00C63A3A" w:rsidRPr="00E96C80" w:rsidRDefault="00C63A3A" w:rsidP="00B4115E">
            <w:pPr>
              <w:pStyle w:val="TableTextRight"/>
            </w:pPr>
            <w:r>
              <w:t>146,289</w:t>
            </w:r>
          </w:p>
        </w:tc>
        <w:tc>
          <w:tcPr>
            <w:tcW w:w="529" w:type="pct"/>
            <w:tcBorders>
              <w:top w:val="nil"/>
              <w:left w:val="nil"/>
              <w:bottom w:val="nil"/>
              <w:right w:val="nil"/>
            </w:tcBorders>
            <w:shd w:val="clear" w:color="000000" w:fill="FFFFFF"/>
            <w:noWrap/>
            <w:vAlign w:val="center"/>
            <w:hideMark/>
          </w:tcPr>
          <w:p w14:paraId="115FF9CF" w14:textId="4EDB3D20" w:rsidR="00C63A3A" w:rsidRPr="00E96C80" w:rsidRDefault="00C63A3A" w:rsidP="00B4115E">
            <w:pPr>
              <w:pStyle w:val="TableTextRight"/>
            </w:pPr>
            <w:r>
              <w:t>157,575</w:t>
            </w:r>
          </w:p>
        </w:tc>
        <w:tc>
          <w:tcPr>
            <w:tcW w:w="529" w:type="pct"/>
            <w:tcBorders>
              <w:top w:val="nil"/>
              <w:left w:val="nil"/>
              <w:bottom w:val="nil"/>
              <w:right w:val="nil"/>
            </w:tcBorders>
            <w:shd w:val="clear" w:color="000000" w:fill="FFFFFF"/>
            <w:noWrap/>
            <w:vAlign w:val="center"/>
            <w:hideMark/>
          </w:tcPr>
          <w:p w14:paraId="29FF4102" w14:textId="5B0E7BEC" w:rsidR="00C63A3A" w:rsidRPr="00E96C80" w:rsidRDefault="00C63A3A" w:rsidP="00B4115E">
            <w:pPr>
              <w:pStyle w:val="TableTextRight"/>
            </w:pPr>
            <w:r>
              <w:t>165,933</w:t>
            </w:r>
          </w:p>
        </w:tc>
        <w:tc>
          <w:tcPr>
            <w:tcW w:w="532" w:type="pct"/>
            <w:tcBorders>
              <w:top w:val="nil"/>
              <w:left w:val="nil"/>
              <w:bottom w:val="nil"/>
              <w:right w:val="nil"/>
            </w:tcBorders>
            <w:shd w:val="clear" w:color="000000" w:fill="FFFFFF"/>
            <w:noWrap/>
            <w:vAlign w:val="center"/>
            <w:hideMark/>
          </w:tcPr>
          <w:p w14:paraId="406DB627" w14:textId="1B6B1FA2" w:rsidR="00C63A3A" w:rsidRPr="00E96C80" w:rsidRDefault="00C63A3A" w:rsidP="00B4115E">
            <w:pPr>
              <w:pStyle w:val="TableTextRight"/>
            </w:pPr>
            <w:r>
              <w:t>174,536</w:t>
            </w:r>
          </w:p>
        </w:tc>
      </w:tr>
      <w:tr w:rsidR="00C63A3A" w:rsidRPr="00E96C80" w14:paraId="13896CCF" w14:textId="77777777" w:rsidTr="00C63A3A">
        <w:trPr>
          <w:trHeight w:val="225"/>
        </w:trPr>
        <w:tc>
          <w:tcPr>
            <w:tcW w:w="2352" w:type="pct"/>
            <w:tcBorders>
              <w:top w:val="nil"/>
              <w:left w:val="nil"/>
              <w:bottom w:val="nil"/>
              <w:right w:val="nil"/>
            </w:tcBorders>
            <w:shd w:val="clear" w:color="000000" w:fill="FFFFFF"/>
            <w:noWrap/>
            <w:vAlign w:val="center"/>
            <w:hideMark/>
          </w:tcPr>
          <w:p w14:paraId="18581C4C" w14:textId="4F0D6906" w:rsidR="00C63A3A" w:rsidRPr="00E96C80" w:rsidRDefault="00C63A3A" w:rsidP="00B4115E">
            <w:pPr>
              <w:pStyle w:val="TableTextLeft"/>
            </w:pPr>
            <w:r>
              <w:t>Health care payments</w:t>
            </w:r>
          </w:p>
        </w:tc>
        <w:tc>
          <w:tcPr>
            <w:tcW w:w="529" w:type="pct"/>
            <w:tcBorders>
              <w:top w:val="nil"/>
              <w:left w:val="nil"/>
              <w:bottom w:val="nil"/>
              <w:right w:val="nil"/>
            </w:tcBorders>
            <w:shd w:val="clear" w:color="000000" w:fill="FFFFFF"/>
            <w:noWrap/>
            <w:vAlign w:val="center"/>
            <w:hideMark/>
          </w:tcPr>
          <w:p w14:paraId="07424124" w14:textId="33ED2251" w:rsidR="00C63A3A" w:rsidRPr="00E96C80" w:rsidRDefault="00C63A3A" w:rsidP="00B4115E">
            <w:pPr>
              <w:pStyle w:val="TableTextRight"/>
              <w:rPr>
                <w:color w:val="000000"/>
              </w:rPr>
            </w:pPr>
            <w:r>
              <w:rPr>
                <w:color w:val="000000"/>
              </w:rPr>
              <w:t>5,506</w:t>
            </w:r>
          </w:p>
        </w:tc>
        <w:tc>
          <w:tcPr>
            <w:tcW w:w="529" w:type="pct"/>
            <w:tcBorders>
              <w:top w:val="nil"/>
              <w:left w:val="nil"/>
              <w:bottom w:val="nil"/>
              <w:right w:val="nil"/>
            </w:tcBorders>
            <w:shd w:val="clear" w:color="000000" w:fill="E6F2FF"/>
            <w:noWrap/>
            <w:vAlign w:val="center"/>
            <w:hideMark/>
          </w:tcPr>
          <w:p w14:paraId="13C9B808" w14:textId="5BEBF56E" w:rsidR="00C63A3A" w:rsidRPr="00E96C80" w:rsidRDefault="00C63A3A" w:rsidP="00B4115E">
            <w:pPr>
              <w:pStyle w:val="TableTextRight"/>
              <w:rPr>
                <w:color w:val="000000"/>
              </w:rPr>
            </w:pPr>
            <w:r>
              <w:rPr>
                <w:color w:val="000000"/>
              </w:rPr>
              <w:t>5,492</w:t>
            </w:r>
          </w:p>
        </w:tc>
        <w:tc>
          <w:tcPr>
            <w:tcW w:w="529" w:type="pct"/>
            <w:tcBorders>
              <w:top w:val="nil"/>
              <w:left w:val="nil"/>
              <w:bottom w:val="nil"/>
              <w:right w:val="nil"/>
            </w:tcBorders>
            <w:shd w:val="clear" w:color="000000" w:fill="FFFFFF"/>
            <w:noWrap/>
            <w:vAlign w:val="center"/>
            <w:hideMark/>
          </w:tcPr>
          <w:p w14:paraId="3CA5B5FE" w14:textId="7A67CA36" w:rsidR="00C63A3A" w:rsidRPr="00E96C80" w:rsidRDefault="00C63A3A" w:rsidP="00B4115E">
            <w:pPr>
              <w:pStyle w:val="TableTextRight"/>
              <w:rPr>
                <w:color w:val="000000"/>
              </w:rPr>
            </w:pPr>
            <w:r>
              <w:rPr>
                <w:color w:val="000000"/>
              </w:rPr>
              <w:t>5,585</w:t>
            </w:r>
          </w:p>
        </w:tc>
        <w:tc>
          <w:tcPr>
            <w:tcW w:w="529" w:type="pct"/>
            <w:tcBorders>
              <w:top w:val="nil"/>
              <w:left w:val="nil"/>
              <w:bottom w:val="nil"/>
              <w:right w:val="nil"/>
            </w:tcBorders>
            <w:shd w:val="clear" w:color="000000" w:fill="FFFFFF"/>
            <w:noWrap/>
            <w:vAlign w:val="center"/>
            <w:hideMark/>
          </w:tcPr>
          <w:p w14:paraId="3C4395C2" w14:textId="03301270" w:rsidR="00C63A3A" w:rsidRPr="00E96C80" w:rsidRDefault="00C63A3A" w:rsidP="00B4115E">
            <w:pPr>
              <w:pStyle w:val="TableTextRight"/>
              <w:rPr>
                <w:color w:val="000000"/>
              </w:rPr>
            </w:pPr>
            <w:r>
              <w:rPr>
                <w:color w:val="000000"/>
              </w:rPr>
              <w:t>5,689</w:t>
            </w:r>
          </w:p>
        </w:tc>
        <w:tc>
          <w:tcPr>
            <w:tcW w:w="532" w:type="pct"/>
            <w:tcBorders>
              <w:top w:val="nil"/>
              <w:left w:val="nil"/>
              <w:bottom w:val="nil"/>
              <w:right w:val="nil"/>
            </w:tcBorders>
            <w:shd w:val="clear" w:color="000000" w:fill="FFFFFF"/>
            <w:noWrap/>
            <w:vAlign w:val="center"/>
            <w:hideMark/>
          </w:tcPr>
          <w:p w14:paraId="07D50E12" w14:textId="42DCF80D" w:rsidR="00C63A3A" w:rsidRPr="00E96C80" w:rsidRDefault="00C63A3A" w:rsidP="00B4115E">
            <w:pPr>
              <w:pStyle w:val="TableTextRight"/>
              <w:rPr>
                <w:color w:val="000000"/>
              </w:rPr>
            </w:pPr>
            <w:r>
              <w:rPr>
                <w:color w:val="000000"/>
              </w:rPr>
              <w:t>5,826</w:t>
            </w:r>
          </w:p>
        </w:tc>
      </w:tr>
      <w:tr w:rsidR="00C63A3A" w:rsidRPr="00E96C80" w14:paraId="020E7659" w14:textId="77777777" w:rsidTr="00C63A3A">
        <w:trPr>
          <w:trHeight w:val="225"/>
        </w:trPr>
        <w:tc>
          <w:tcPr>
            <w:tcW w:w="2352" w:type="pct"/>
            <w:tcBorders>
              <w:top w:val="nil"/>
              <w:left w:val="nil"/>
              <w:bottom w:val="nil"/>
              <w:right w:val="nil"/>
            </w:tcBorders>
            <w:shd w:val="clear" w:color="000000" w:fill="FFFFFF"/>
            <w:noWrap/>
            <w:vAlign w:val="center"/>
            <w:hideMark/>
          </w:tcPr>
          <w:p w14:paraId="1A1FF161" w14:textId="31B7E6DA" w:rsidR="00C63A3A" w:rsidRPr="00E96C80" w:rsidRDefault="00C63A3A" w:rsidP="00B4115E">
            <w:pPr>
              <w:pStyle w:val="TableTextLeft"/>
            </w:pPr>
            <w:r>
              <w:t>Other</w:t>
            </w:r>
          </w:p>
        </w:tc>
        <w:tc>
          <w:tcPr>
            <w:tcW w:w="529" w:type="pct"/>
            <w:tcBorders>
              <w:top w:val="nil"/>
              <w:left w:val="nil"/>
              <w:bottom w:val="single" w:sz="4" w:space="0" w:color="293F5B"/>
              <w:right w:val="nil"/>
            </w:tcBorders>
            <w:shd w:val="clear" w:color="000000" w:fill="FFFFFF"/>
            <w:noWrap/>
            <w:vAlign w:val="center"/>
            <w:hideMark/>
          </w:tcPr>
          <w:p w14:paraId="567BE835" w14:textId="4BD46052" w:rsidR="00C63A3A" w:rsidRPr="00E96C80" w:rsidRDefault="00C63A3A" w:rsidP="00B4115E">
            <w:pPr>
              <w:pStyle w:val="TableTextRight"/>
              <w:rPr>
                <w:color w:val="000000"/>
              </w:rPr>
            </w:pPr>
            <w:r>
              <w:rPr>
                <w:color w:val="000000"/>
              </w:rPr>
              <w:t>2,978</w:t>
            </w:r>
          </w:p>
        </w:tc>
        <w:tc>
          <w:tcPr>
            <w:tcW w:w="529" w:type="pct"/>
            <w:tcBorders>
              <w:top w:val="nil"/>
              <w:left w:val="nil"/>
              <w:bottom w:val="single" w:sz="4" w:space="0" w:color="293F5B"/>
              <w:right w:val="nil"/>
            </w:tcBorders>
            <w:shd w:val="clear" w:color="000000" w:fill="E6F2FF"/>
            <w:noWrap/>
            <w:vAlign w:val="center"/>
            <w:hideMark/>
          </w:tcPr>
          <w:p w14:paraId="6A882E84" w14:textId="248AD87B" w:rsidR="00C63A3A" w:rsidRPr="00E96C80" w:rsidRDefault="00C63A3A" w:rsidP="00B4115E">
            <w:pPr>
              <w:pStyle w:val="TableTextRight"/>
              <w:rPr>
                <w:color w:val="000000"/>
              </w:rPr>
            </w:pPr>
            <w:r>
              <w:rPr>
                <w:color w:val="000000"/>
              </w:rPr>
              <w:t>2,880</w:t>
            </w:r>
          </w:p>
        </w:tc>
        <w:tc>
          <w:tcPr>
            <w:tcW w:w="529" w:type="pct"/>
            <w:tcBorders>
              <w:top w:val="nil"/>
              <w:left w:val="nil"/>
              <w:bottom w:val="single" w:sz="4" w:space="0" w:color="293F5B"/>
              <w:right w:val="nil"/>
            </w:tcBorders>
            <w:shd w:val="clear" w:color="000000" w:fill="FFFFFF"/>
            <w:noWrap/>
            <w:vAlign w:val="center"/>
            <w:hideMark/>
          </w:tcPr>
          <w:p w14:paraId="056D6210" w14:textId="6FAA7FE6" w:rsidR="00C63A3A" w:rsidRPr="00E96C80" w:rsidRDefault="00C63A3A" w:rsidP="00B4115E">
            <w:pPr>
              <w:pStyle w:val="TableTextRight"/>
              <w:rPr>
                <w:color w:val="000000"/>
              </w:rPr>
            </w:pPr>
            <w:r>
              <w:rPr>
                <w:color w:val="000000"/>
              </w:rPr>
              <w:t>2,806</w:t>
            </w:r>
          </w:p>
        </w:tc>
        <w:tc>
          <w:tcPr>
            <w:tcW w:w="529" w:type="pct"/>
            <w:tcBorders>
              <w:top w:val="nil"/>
              <w:left w:val="nil"/>
              <w:bottom w:val="single" w:sz="4" w:space="0" w:color="293F5B"/>
              <w:right w:val="nil"/>
            </w:tcBorders>
            <w:shd w:val="clear" w:color="000000" w:fill="FFFFFF"/>
            <w:noWrap/>
            <w:vAlign w:val="center"/>
            <w:hideMark/>
          </w:tcPr>
          <w:p w14:paraId="5057A6B3" w14:textId="538223EE" w:rsidR="00C63A3A" w:rsidRPr="00E96C80" w:rsidRDefault="00C63A3A" w:rsidP="00B4115E">
            <w:pPr>
              <w:pStyle w:val="TableTextRight"/>
              <w:rPr>
                <w:color w:val="000000"/>
              </w:rPr>
            </w:pPr>
            <w:r>
              <w:rPr>
                <w:color w:val="000000"/>
              </w:rPr>
              <w:t>2,968</w:t>
            </w:r>
          </w:p>
        </w:tc>
        <w:tc>
          <w:tcPr>
            <w:tcW w:w="532" w:type="pct"/>
            <w:tcBorders>
              <w:top w:val="nil"/>
              <w:left w:val="nil"/>
              <w:bottom w:val="single" w:sz="4" w:space="0" w:color="293F5B"/>
              <w:right w:val="nil"/>
            </w:tcBorders>
            <w:shd w:val="clear" w:color="000000" w:fill="FFFFFF"/>
            <w:noWrap/>
            <w:vAlign w:val="center"/>
            <w:hideMark/>
          </w:tcPr>
          <w:p w14:paraId="4DA30548" w14:textId="748AE5A8" w:rsidR="00C63A3A" w:rsidRPr="00E96C80" w:rsidRDefault="00C63A3A" w:rsidP="00B4115E">
            <w:pPr>
              <w:pStyle w:val="TableTextRight"/>
              <w:rPr>
                <w:color w:val="000000"/>
              </w:rPr>
            </w:pPr>
            <w:r>
              <w:rPr>
                <w:color w:val="000000"/>
              </w:rPr>
              <w:t>4,236</w:t>
            </w:r>
          </w:p>
        </w:tc>
      </w:tr>
      <w:tr w:rsidR="00C63A3A" w:rsidRPr="00E96C80" w14:paraId="0BB6E660" w14:textId="77777777" w:rsidTr="00C63A3A">
        <w:trPr>
          <w:trHeight w:val="225"/>
        </w:trPr>
        <w:tc>
          <w:tcPr>
            <w:tcW w:w="2352" w:type="pct"/>
            <w:tcBorders>
              <w:top w:val="nil"/>
              <w:left w:val="nil"/>
              <w:bottom w:val="single" w:sz="4" w:space="0" w:color="293F5B"/>
              <w:right w:val="nil"/>
            </w:tcBorders>
            <w:shd w:val="clear" w:color="000000" w:fill="FFFFFF"/>
            <w:noWrap/>
            <w:vAlign w:val="center"/>
            <w:hideMark/>
          </w:tcPr>
          <w:p w14:paraId="7FDEE9FA" w14:textId="360B8945" w:rsidR="00C63A3A" w:rsidRPr="00E96C80" w:rsidRDefault="00C63A3A" w:rsidP="00B4115E">
            <w:pPr>
              <w:pStyle w:val="TableTextLeft"/>
              <w:rPr>
                <w:b/>
              </w:rPr>
            </w:pPr>
            <w:r>
              <w:rPr>
                <w:b/>
              </w:rPr>
              <w:t>Total supply of goods and services expense</w:t>
            </w:r>
          </w:p>
        </w:tc>
        <w:tc>
          <w:tcPr>
            <w:tcW w:w="529" w:type="pct"/>
            <w:tcBorders>
              <w:top w:val="single" w:sz="4" w:space="0" w:color="293F5B"/>
              <w:left w:val="nil"/>
              <w:bottom w:val="single" w:sz="4" w:space="0" w:color="293F5B"/>
              <w:right w:val="nil"/>
            </w:tcBorders>
            <w:shd w:val="clear" w:color="000000" w:fill="FFFFFF"/>
            <w:noWrap/>
            <w:vAlign w:val="center"/>
            <w:hideMark/>
          </w:tcPr>
          <w:p w14:paraId="25C31E20" w14:textId="0588262D" w:rsidR="00C63A3A" w:rsidRPr="00E96C80" w:rsidRDefault="00C63A3A" w:rsidP="00B4115E">
            <w:pPr>
              <w:pStyle w:val="TableTextRight"/>
              <w:rPr>
                <w:b/>
                <w:color w:val="000000"/>
              </w:rPr>
            </w:pPr>
            <w:r>
              <w:rPr>
                <w:b/>
                <w:color w:val="000000"/>
              </w:rPr>
              <w:t>194,974</w:t>
            </w:r>
          </w:p>
        </w:tc>
        <w:tc>
          <w:tcPr>
            <w:tcW w:w="529" w:type="pct"/>
            <w:tcBorders>
              <w:top w:val="single" w:sz="4" w:space="0" w:color="293F5B"/>
              <w:left w:val="nil"/>
              <w:bottom w:val="single" w:sz="4" w:space="0" w:color="293F5B"/>
              <w:right w:val="nil"/>
            </w:tcBorders>
            <w:shd w:val="clear" w:color="000000" w:fill="E6F2FF"/>
            <w:noWrap/>
            <w:vAlign w:val="center"/>
            <w:hideMark/>
          </w:tcPr>
          <w:p w14:paraId="4967773C" w14:textId="076F906D" w:rsidR="00C63A3A" w:rsidRPr="00E96C80" w:rsidRDefault="00C63A3A" w:rsidP="00B4115E">
            <w:pPr>
              <w:pStyle w:val="TableTextRight"/>
              <w:rPr>
                <w:b/>
                <w:color w:val="000000"/>
              </w:rPr>
            </w:pPr>
            <w:r>
              <w:rPr>
                <w:b/>
                <w:color w:val="000000"/>
              </w:rPr>
              <w:t>211,694</w:t>
            </w:r>
          </w:p>
        </w:tc>
        <w:tc>
          <w:tcPr>
            <w:tcW w:w="529" w:type="pct"/>
            <w:tcBorders>
              <w:top w:val="single" w:sz="4" w:space="0" w:color="293F5B"/>
              <w:left w:val="nil"/>
              <w:bottom w:val="single" w:sz="4" w:space="0" w:color="293F5B"/>
              <w:right w:val="nil"/>
            </w:tcBorders>
            <w:shd w:val="clear" w:color="000000" w:fill="FFFFFF"/>
            <w:noWrap/>
            <w:vAlign w:val="center"/>
            <w:hideMark/>
          </w:tcPr>
          <w:p w14:paraId="215608D3" w14:textId="68C2D519" w:rsidR="00C63A3A" w:rsidRPr="00E96C80" w:rsidRDefault="00C63A3A" w:rsidP="00B4115E">
            <w:pPr>
              <w:pStyle w:val="TableTextRight"/>
              <w:rPr>
                <w:b/>
                <w:color w:val="000000"/>
              </w:rPr>
            </w:pPr>
            <w:r>
              <w:rPr>
                <w:b/>
                <w:color w:val="000000"/>
              </w:rPr>
              <w:t>223,794</w:t>
            </w:r>
          </w:p>
        </w:tc>
        <w:tc>
          <w:tcPr>
            <w:tcW w:w="529" w:type="pct"/>
            <w:tcBorders>
              <w:top w:val="single" w:sz="4" w:space="0" w:color="293F5B"/>
              <w:left w:val="nil"/>
              <w:bottom w:val="single" w:sz="4" w:space="0" w:color="293F5B"/>
              <w:right w:val="nil"/>
            </w:tcBorders>
            <w:shd w:val="clear" w:color="000000" w:fill="FFFFFF"/>
            <w:noWrap/>
            <w:vAlign w:val="center"/>
            <w:hideMark/>
          </w:tcPr>
          <w:p w14:paraId="7C9D39D3" w14:textId="6BA83165" w:rsidR="00C63A3A" w:rsidRPr="00E96C80" w:rsidRDefault="00C63A3A" w:rsidP="00B4115E">
            <w:pPr>
              <w:pStyle w:val="TableTextRight"/>
              <w:rPr>
                <w:b/>
                <w:color w:val="000000"/>
              </w:rPr>
            </w:pPr>
            <w:r>
              <w:rPr>
                <w:b/>
                <w:color w:val="000000"/>
              </w:rPr>
              <w:t>230,947</w:t>
            </w:r>
          </w:p>
        </w:tc>
        <w:tc>
          <w:tcPr>
            <w:tcW w:w="532" w:type="pct"/>
            <w:tcBorders>
              <w:top w:val="single" w:sz="4" w:space="0" w:color="293F5B"/>
              <w:left w:val="nil"/>
              <w:bottom w:val="single" w:sz="4" w:space="0" w:color="293F5B"/>
              <w:right w:val="nil"/>
            </w:tcBorders>
            <w:shd w:val="clear" w:color="000000" w:fill="FFFFFF"/>
            <w:noWrap/>
            <w:vAlign w:val="center"/>
            <w:hideMark/>
          </w:tcPr>
          <w:p w14:paraId="36C0562E" w14:textId="5F118B04" w:rsidR="00C63A3A" w:rsidRPr="00E96C80" w:rsidRDefault="00C63A3A" w:rsidP="00B4115E">
            <w:pPr>
              <w:pStyle w:val="TableTextRight"/>
              <w:rPr>
                <w:b/>
                <w:color w:val="000000"/>
              </w:rPr>
            </w:pPr>
            <w:r>
              <w:rPr>
                <w:b/>
                <w:color w:val="000000"/>
              </w:rPr>
              <w:t>243,589</w:t>
            </w:r>
          </w:p>
        </w:tc>
      </w:tr>
    </w:tbl>
    <w:p w14:paraId="347ABE87" w14:textId="77777777" w:rsidR="00C91195" w:rsidRPr="00EA746C" w:rsidRDefault="00C91195" w:rsidP="00C91195">
      <w:pPr>
        <w:pStyle w:val="SingleParagraph"/>
      </w:pPr>
    </w:p>
    <w:p w14:paraId="7001B904" w14:textId="23F27908" w:rsidR="00D8138E" w:rsidRDefault="000D0B7D" w:rsidP="00BF0203">
      <w:pPr>
        <w:pStyle w:val="NoteTableHeading"/>
        <w:rPr>
          <w:rFonts w:eastAsiaTheme="minorHAnsi"/>
        </w:rPr>
      </w:pPr>
      <w:r>
        <w:t>Note </w:t>
      </w:r>
      <w:r w:rsidR="00D8138E" w:rsidRPr="00EA746C">
        <w:t>10: Interest expense</w:t>
      </w:r>
    </w:p>
    <w:tbl>
      <w:tblPr>
        <w:tblW w:w="5000" w:type="pct"/>
        <w:tblLook w:val="04A0" w:firstRow="1" w:lastRow="0" w:firstColumn="1" w:lastColumn="0" w:noHBand="0" w:noVBand="1"/>
      </w:tblPr>
      <w:tblGrid>
        <w:gridCol w:w="3679"/>
        <w:gridCol w:w="804"/>
        <w:gridCol w:w="804"/>
        <w:gridCol w:w="804"/>
        <w:gridCol w:w="804"/>
        <w:gridCol w:w="815"/>
      </w:tblGrid>
      <w:tr w:rsidR="00CE12FE" w:rsidRPr="00CE12FE" w14:paraId="373D26A6" w14:textId="77777777" w:rsidTr="00EE488E">
        <w:trPr>
          <w:trHeight w:val="225"/>
        </w:trPr>
        <w:tc>
          <w:tcPr>
            <w:tcW w:w="2387" w:type="pct"/>
            <w:tcBorders>
              <w:top w:val="single" w:sz="4" w:space="0" w:color="293F5B"/>
              <w:left w:val="nil"/>
              <w:bottom w:val="nil"/>
              <w:right w:val="nil"/>
            </w:tcBorders>
            <w:shd w:val="clear" w:color="000000" w:fill="FFFFFF"/>
            <w:noWrap/>
            <w:vAlign w:val="center"/>
            <w:hideMark/>
          </w:tcPr>
          <w:p w14:paraId="254F0D87" w14:textId="77777777" w:rsidR="00CE12FE" w:rsidRPr="00CE12FE" w:rsidRDefault="00CE12FE" w:rsidP="00A637A4">
            <w:pPr>
              <w:pStyle w:val="TableTextLeft"/>
            </w:pPr>
            <w:r w:rsidRPr="00CE12FE">
              <w:t> </w:t>
            </w:r>
          </w:p>
        </w:tc>
        <w:tc>
          <w:tcPr>
            <w:tcW w:w="2613" w:type="pct"/>
            <w:gridSpan w:val="5"/>
            <w:tcBorders>
              <w:top w:val="single" w:sz="4" w:space="0" w:color="293F5B"/>
              <w:left w:val="nil"/>
              <w:bottom w:val="single" w:sz="4" w:space="0" w:color="293F5B"/>
              <w:right w:val="nil"/>
            </w:tcBorders>
            <w:shd w:val="clear" w:color="000000" w:fill="FFFFFF"/>
            <w:noWrap/>
            <w:vAlign w:val="center"/>
            <w:hideMark/>
          </w:tcPr>
          <w:p w14:paraId="64C6BC92" w14:textId="77777777" w:rsidR="00CE12FE" w:rsidRPr="00CE12FE" w:rsidRDefault="00CE12FE" w:rsidP="00B4115E">
            <w:pPr>
              <w:pStyle w:val="TableTextCentred"/>
            </w:pPr>
            <w:r w:rsidRPr="00CE12FE">
              <w:t>Estimates</w:t>
            </w:r>
          </w:p>
        </w:tc>
      </w:tr>
      <w:tr w:rsidR="00CE12FE" w:rsidRPr="00CE12FE" w14:paraId="02879443" w14:textId="77777777" w:rsidTr="00EE488E">
        <w:trPr>
          <w:trHeight w:val="225"/>
        </w:trPr>
        <w:tc>
          <w:tcPr>
            <w:tcW w:w="2387" w:type="pct"/>
            <w:tcBorders>
              <w:top w:val="nil"/>
              <w:left w:val="nil"/>
              <w:bottom w:val="nil"/>
              <w:right w:val="nil"/>
            </w:tcBorders>
            <w:shd w:val="clear" w:color="000000" w:fill="FFFFFF"/>
            <w:noWrap/>
            <w:vAlign w:val="center"/>
            <w:hideMark/>
          </w:tcPr>
          <w:p w14:paraId="40008094" w14:textId="77777777" w:rsidR="00CE12FE" w:rsidRPr="00CE12FE" w:rsidRDefault="00CE12FE" w:rsidP="00A637A4">
            <w:pPr>
              <w:pStyle w:val="TableTextLeft"/>
            </w:pPr>
            <w:r w:rsidRPr="00CE12FE">
              <w:t> </w:t>
            </w:r>
          </w:p>
        </w:tc>
        <w:tc>
          <w:tcPr>
            <w:tcW w:w="521" w:type="pct"/>
            <w:tcBorders>
              <w:top w:val="nil"/>
              <w:left w:val="nil"/>
              <w:bottom w:val="nil"/>
              <w:right w:val="nil"/>
            </w:tcBorders>
            <w:shd w:val="clear" w:color="000000" w:fill="FFFFFF"/>
            <w:noWrap/>
            <w:vAlign w:val="center"/>
            <w:hideMark/>
          </w:tcPr>
          <w:p w14:paraId="6E51722C" w14:textId="360A3632" w:rsidR="00CE12FE" w:rsidRPr="00CE12FE" w:rsidRDefault="00CE12FE" w:rsidP="00B4115E">
            <w:pPr>
              <w:pStyle w:val="TableTextRight"/>
            </w:pPr>
            <w:r w:rsidRPr="00CE12FE">
              <w:t>2023</w:t>
            </w:r>
            <w:r w:rsidR="00325E1E">
              <w:noBreakHyphen/>
            </w:r>
            <w:r w:rsidRPr="00CE12FE">
              <w:t>24</w:t>
            </w:r>
          </w:p>
        </w:tc>
        <w:tc>
          <w:tcPr>
            <w:tcW w:w="521" w:type="pct"/>
            <w:tcBorders>
              <w:top w:val="nil"/>
              <w:left w:val="nil"/>
              <w:bottom w:val="nil"/>
              <w:right w:val="nil"/>
            </w:tcBorders>
            <w:shd w:val="clear" w:color="000000" w:fill="E6F2FF"/>
            <w:noWrap/>
            <w:vAlign w:val="center"/>
            <w:hideMark/>
          </w:tcPr>
          <w:p w14:paraId="4595FBF8" w14:textId="3660CD2F" w:rsidR="00CE12FE" w:rsidRPr="00CE12FE" w:rsidRDefault="00CE12FE" w:rsidP="00B4115E">
            <w:pPr>
              <w:pStyle w:val="TableTextRight"/>
            </w:pPr>
            <w:r w:rsidRPr="00CE12FE">
              <w:t>2024</w:t>
            </w:r>
            <w:r w:rsidR="00325E1E">
              <w:noBreakHyphen/>
            </w:r>
            <w:r w:rsidRPr="00CE12FE">
              <w:t>25</w:t>
            </w:r>
          </w:p>
        </w:tc>
        <w:tc>
          <w:tcPr>
            <w:tcW w:w="521" w:type="pct"/>
            <w:tcBorders>
              <w:top w:val="nil"/>
              <w:left w:val="nil"/>
              <w:bottom w:val="nil"/>
              <w:right w:val="nil"/>
            </w:tcBorders>
            <w:shd w:val="clear" w:color="000000" w:fill="FFFFFF"/>
            <w:noWrap/>
            <w:vAlign w:val="center"/>
            <w:hideMark/>
          </w:tcPr>
          <w:p w14:paraId="25F027D8" w14:textId="02DABD54" w:rsidR="00CE12FE" w:rsidRPr="00CE12FE" w:rsidRDefault="00CE12FE" w:rsidP="00B4115E">
            <w:pPr>
              <w:pStyle w:val="TableTextRight"/>
            </w:pPr>
            <w:r w:rsidRPr="00CE12FE">
              <w:t>2025</w:t>
            </w:r>
            <w:r w:rsidR="00325E1E">
              <w:noBreakHyphen/>
            </w:r>
            <w:r w:rsidRPr="00CE12FE">
              <w:t>26</w:t>
            </w:r>
          </w:p>
        </w:tc>
        <w:tc>
          <w:tcPr>
            <w:tcW w:w="521" w:type="pct"/>
            <w:tcBorders>
              <w:top w:val="nil"/>
              <w:left w:val="nil"/>
              <w:bottom w:val="nil"/>
              <w:right w:val="nil"/>
            </w:tcBorders>
            <w:shd w:val="clear" w:color="000000" w:fill="FFFFFF"/>
            <w:noWrap/>
            <w:vAlign w:val="center"/>
            <w:hideMark/>
          </w:tcPr>
          <w:p w14:paraId="09355FA4" w14:textId="72DEA7AD" w:rsidR="00CE12FE" w:rsidRPr="00CE12FE" w:rsidRDefault="00CE12FE" w:rsidP="00B4115E">
            <w:pPr>
              <w:pStyle w:val="TableTextRight"/>
            </w:pPr>
            <w:r w:rsidRPr="00CE12FE">
              <w:t>2026</w:t>
            </w:r>
            <w:r w:rsidR="00325E1E">
              <w:noBreakHyphen/>
            </w:r>
            <w:r w:rsidRPr="00CE12FE">
              <w:t>27</w:t>
            </w:r>
          </w:p>
        </w:tc>
        <w:tc>
          <w:tcPr>
            <w:tcW w:w="527" w:type="pct"/>
            <w:tcBorders>
              <w:top w:val="nil"/>
              <w:left w:val="nil"/>
              <w:bottom w:val="nil"/>
              <w:right w:val="nil"/>
            </w:tcBorders>
            <w:shd w:val="clear" w:color="000000" w:fill="FFFFFF"/>
            <w:noWrap/>
            <w:vAlign w:val="center"/>
            <w:hideMark/>
          </w:tcPr>
          <w:p w14:paraId="5FA2C5B5" w14:textId="6ABC399F" w:rsidR="00CE12FE" w:rsidRPr="00CE12FE" w:rsidRDefault="00CE12FE" w:rsidP="00B4115E">
            <w:pPr>
              <w:pStyle w:val="TableTextRight"/>
              <w:rPr>
                <w:color w:val="000000"/>
              </w:rPr>
            </w:pPr>
            <w:r w:rsidRPr="00CE12FE">
              <w:rPr>
                <w:color w:val="000000"/>
              </w:rPr>
              <w:t>2027</w:t>
            </w:r>
            <w:r w:rsidR="00325E1E">
              <w:rPr>
                <w:color w:val="000000"/>
              </w:rPr>
              <w:noBreakHyphen/>
            </w:r>
            <w:r w:rsidRPr="00CE12FE">
              <w:rPr>
                <w:color w:val="000000"/>
              </w:rPr>
              <w:t>28</w:t>
            </w:r>
          </w:p>
        </w:tc>
      </w:tr>
      <w:tr w:rsidR="00CE12FE" w:rsidRPr="00CE12FE" w14:paraId="4CA19CFA" w14:textId="77777777" w:rsidTr="00EE488E">
        <w:trPr>
          <w:trHeight w:val="225"/>
        </w:trPr>
        <w:tc>
          <w:tcPr>
            <w:tcW w:w="2387" w:type="pct"/>
            <w:tcBorders>
              <w:top w:val="nil"/>
              <w:left w:val="nil"/>
              <w:bottom w:val="nil"/>
              <w:right w:val="nil"/>
            </w:tcBorders>
            <w:shd w:val="clear" w:color="000000" w:fill="FFFFFF"/>
            <w:noWrap/>
            <w:vAlign w:val="center"/>
            <w:hideMark/>
          </w:tcPr>
          <w:p w14:paraId="264F8A36" w14:textId="77777777" w:rsidR="00CE12FE" w:rsidRPr="00CE12FE" w:rsidRDefault="00CE12FE" w:rsidP="00A637A4">
            <w:pPr>
              <w:pStyle w:val="TableTextLeft"/>
            </w:pPr>
            <w:r w:rsidRPr="00CE12FE">
              <w:t> </w:t>
            </w:r>
          </w:p>
        </w:tc>
        <w:tc>
          <w:tcPr>
            <w:tcW w:w="521" w:type="pct"/>
            <w:tcBorders>
              <w:top w:val="nil"/>
              <w:left w:val="nil"/>
              <w:bottom w:val="single" w:sz="4" w:space="0" w:color="293F5B"/>
              <w:right w:val="nil"/>
            </w:tcBorders>
            <w:shd w:val="clear" w:color="000000" w:fill="FFFFFF"/>
            <w:noWrap/>
            <w:vAlign w:val="center"/>
            <w:hideMark/>
          </w:tcPr>
          <w:p w14:paraId="5475F21D" w14:textId="77777777" w:rsidR="00CE12FE" w:rsidRPr="00CE12FE" w:rsidRDefault="00CE12FE" w:rsidP="00B4115E">
            <w:pPr>
              <w:pStyle w:val="TableTextRight"/>
              <w:rPr>
                <w:color w:val="000000"/>
              </w:rPr>
            </w:pPr>
            <w:r w:rsidRPr="00CE12FE">
              <w:rPr>
                <w:color w:val="000000"/>
              </w:rPr>
              <w:t>$m</w:t>
            </w:r>
          </w:p>
        </w:tc>
        <w:tc>
          <w:tcPr>
            <w:tcW w:w="521" w:type="pct"/>
            <w:tcBorders>
              <w:top w:val="nil"/>
              <w:left w:val="nil"/>
              <w:bottom w:val="single" w:sz="4" w:space="0" w:color="293F5B"/>
              <w:right w:val="nil"/>
            </w:tcBorders>
            <w:shd w:val="clear" w:color="000000" w:fill="E6F2FF"/>
            <w:noWrap/>
            <w:vAlign w:val="center"/>
            <w:hideMark/>
          </w:tcPr>
          <w:p w14:paraId="4BD631BA" w14:textId="77777777" w:rsidR="00CE12FE" w:rsidRPr="00CE12FE" w:rsidRDefault="00CE12FE" w:rsidP="00B4115E">
            <w:pPr>
              <w:pStyle w:val="TableTextRight"/>
              <w:rPr>
                <w:color w:val="000000"/>
              </w:rPr>
            </w:pPr>
            <w:r w:rsidRPr="00CE12FE">
              <w:rPr>
                <w:color w:val="000000"/>
              </w:rPr>
              <w:t>$m</w:t>
            </w:r>
          </w:p>
        </w:tc>
        <w:tc>
          <w:tcPr>
            <w:tcW w:w="521" w:type="pct"/>
            <w:tcBorders>
              <w:top w:val="nil"/>
              <w:left w:val="nil"/>
              <w:bottom w:val="single" w:sz="4" w:space="0" w:color="293F5B"/>
              <w:right w:val="nil"/>
            </w:tcBorders>
            <w:shd w:val="clear" w:color="000000" w:fill="FFFFFF"/>
            <w:noWrap/>
            <w:vAlign w:val="center"/>
            <w:hideMark/>
          </w:tcPr>
          <w:p w14:paraId="733E9BB0" w14:textId="77777777" w:rsidR="00CE12FE" w:rsidRPr="00CE12FE" w:rsidRDefault="00CE12FE" w:rsidP="00B4115E">
            <w:pPr>
              <w:pStyle w:val="TableTextRight"/>
              <w:rPr>
                <w:color w:val="000000"/>
              </w:rPr>
            </w:pPr>
            <w:r w:rsidRPr="00CE12FE">
              <w:rPr>
                <w:color w:val="000000"/>
              </w:rPr>
              <w:t>$m</w:t>
            </w:r>
          </w:p>
        </w:tc>
        <w:tc>
          <w:tcPr>
            <w:tcW w:w="521" w:type="pct"/>
            <w:tcBorders>
              <w:top w:val="nil"/>
              <w:left w:val="nil"/>
              <w:bottom w:val="single" w:sz="4" w:space="0" w:color="293F5B"/>
              <w:right w:val="nil"/>
            </w:tcBorders>
            <w:shd w:val="clear" w:color="000000" w:fill="FFFFFF"/>
            <w:noWrap/>
            <w:vAlign w:val="center"/>
            <w:hideMark/>
          </w:tcPr>
          <w:p w14:paraId="43E79717" w14:textId="77777777" w:rsidR="00CE12FE" w:rsidRPr="00CE12FE" w:rsidRDefault="00CE12FE" w:rsidP="00B4115E">
            <w:pPr>
              <w:pStyle w:val="TableTextRight"/>
              <w:rPr>
                <w:color w:val="000000"/>
              </w:rPr>
            </w:pPr>
            <w:r w:rsidRPr="00CE12FE">
              <w:rPr>
                <w:color w:val="000000"/>
              </w:rPr>
              <w:t>$m</w:t>
            </w:r>
          </w:p>
        </w:tc>
        <w:tc>
          <w:tcPr>
            <w:tcW w:w="527" w:type="pct"/>
            <w:tcBorders>
              <w:top w:val="nil"/>
              <w:left w:val="nil"/>
              <w:bottom w:val="single" w:sz="4" w:space="0" w:color="293F5B"/>
              <w:right w:val="nil"/>
            </w:tcBorders>
            <w:shd w:val="clear" w:color="000000" w:fill="FFFFFF"/>
            <w:noWrap/>
            <w:vAlign w:val="center"/>
            <w:hideMark/>
          </w:tcPr>
          <w:p w14:paraId="269C136A" w14:textId="77777777" w:rsidR="00CE12FE" w:rsidRPr="00CE12FE" w:rsidRDefault="00CE12FE" w:rsidP="00B4115E">
            <w:pPr>
              <w:pStyle w:val="TableTextRight"/>
              <w:rPr>
                <w:color w:val="000000"/>
              </w:rPr>
            </w:pPr>
            <w:r w:rsidRPr="00CE12FE">
              <w:rPr>
                <w:color w:val="000000"/>
              </w:rPr>
              <w:t>$m</w:t>
            </w:r>
          </w:p>
        </w:tc>
      </w:tr>
      <w:tr w:rsidR="00CE12FE" w:rsidRPr="00CE12FE" w14:paraId="05E9801E" w14:textId="77777777" w:rsidTr="00EE488E">
        <w:trPr>
          <w:trHeight w:val="225"/>
        </w:trPr>
        <w:tc>
          <w:tcPr>
            <w:tcW w:w="2387" w:type="pct"/>
            <w:tcBorders>
              <w:top w:val="nil"/>
              <w:left w:val="nil"/>
              <w:bottom w:val="nil"/>
              <w:right w:val="nil"/>
            </w:tcBorders>
            <w:shd w:val="clear" w:color="000000" w:fill="FFFFFF"/>
            <w:noWrap/>
            <w:vAlign w:val="center"/>
            <w:hideMark/>
          </w:tcPr>
          <w:p w14:paraId="6F1009FE" w14:textId="77777777" w:rsidR="00CE12FE" w:rsidRPr="00CE12FE" w:rsidRDefault="00CE12FE" w:rsidP="00A637A4">
            <w:pPr>
              <w:pStyle w:val="TableTextLeft"/>
              <w:rPr>
                <w:b/>
              </w:rPr>
            </w:pPr>
            <w:r w:rsidRPr="00CE12FE">
              <w:rPr>
                <w:b/>
              </w:rPr>
              <w:t>Interest on debt</w:t>
            </w:r>
          </w:p>
        </w:tc>
        <w:tc>
          <w:tcPr>
            <w:tcW w:w="521" w:type="pct"/>
            <w:tcBorders>
              <w:top w:val="nil"/>
              <w:left w:val="nil"/>
              <w:bottom w:val="nil"/>
              <w:right w:val="nil"/>
            </w:tcBorders>
            <w:shd w:val="clear" w:color="000000" w:fill="FFFFFF"/>
            <w:noWrap/>
            <w:vAlign w:val="center"/>
            <w:hideMark/>
          </w:tcPr>
          <w:p w14:paraId="555C5A0C" w14:textId="77777777" w:rsidR="00CE12FE" w:rsidRPr="00CE12FE" w:rsidRDefault="00CE12FE" w:rsidP="00B4115E">
            <w:pPr>
              <w:pStyle w:val="TableTextRight"/>
              <w:rPr>
                <w:color w:val="000000"/>
              </w:rPr>
            </w:pPr>
            <w:r w:rsidRPr="00CE12FE">
              <w:rPr>
                <w:color w:val="000000"/>
              </w:rPr>
              <w:t> </w:t>
            </w:r>
          </w:p>
        </w:tc>
        <w:tc>
          <w:tcPr>
            <w:tcW w:w="521" w:type="pct"/>
            <w:tcBorders>
              <w:top w:val="nil"/>
              <w:left w:val="nil"/>
              <w:bottom w:val="nil"/>
              <w:right w:val="nil"/>
            </w:tcBorders>
            <w:shd w:val="clear" w:color="000000" w:fill="E6F2FF"/>
            <w:noWrap/>
            <w:vAlign w:val="center"/>
            <w:hideMark/>
          </w:tcPr>
          <w:p w14:paraId="52F7531A" w14:textId="77777777" w:rsidR="00CE12FE" w:rsidRPr="00CE12FE" w:rsidRDefault="00CE12FE" w:rsidP="00B4115E">
            <w:pPr>
              <w:pStyle w:val="TableTextRight"/>
              <w:rPr>
                <w:color w:val="000000"/>
              </w:rPr>
            </w:pPr>
            <w:r w:rsidRPr="00CE12FE">
              <w:rPr>
                <w:color w:val="000000"/>
              </w:rPr>
              <w:t> </w:t>
            </w:r>
          </w:p>
        </w:tc>
        <w:tc>
          <w:tcPr>
            <w:tcW w:w="521" w:type="pct"/>
            <w:tcBorders>
              <w:top w:val="nil"/>
              <w:left w:val="nil"/>
              <w:bottom w:val="nil"/>
              <w:right w:val="nil"/>
            </w:tcBorders>
            <w:shd w:val="clear" w:color="000000" w:fill="FFFFFF"/>
            <w:noWrap/>
            <w:vAlign w:val="center"/>
            <w:hideMark/>
          </w:tcPr>
          <w:p w14:paraId="753BF6FE" w14:textId="77777777" w:rsidR="00CE12FE" w:rsidRPr="00CE12FE" w:rsidRDefault="00CE12FE" w:rsidP="00B4115E">
            <w:pPr>
              <w:pStyle w:val="TableTextRight"/>
              <w:rPr>
                <w:color w:val="000000"/>
              </w:rPr>
            </w:pPr>
            <w:r w:rsidRPr="00CE12FE">
              <w:rPr>
                <w:color w:val="000000"/>
              </w:rPr>
              <w:t> </w:t>
            </w:r>
          </w:p>
        </w:tc>
        <w:tc>
          <w:tcPr>
            <w:tcW w:w="521" w:type="pct"/>
            <w:tcBorders>
              <w:top w:val="nil"/>
              <w:left w:val="nil"/>
              <w:bottom w:val="nil"/>
              <w:right w:val="nil"/>
            </w:tcBorders>
            <w:shd w:val="clear" w:color="000000" w:fill="FFFFFF"/>
            <w:noWrap/>
            <w:vAlign w:val="center"/>
            <w:hideMark/>
          </w:tcPr>
          <w:p w14:paraId="187F535B" w14:textId="77777777" w:rsidR="00CE12FE" w:rsidRPr="00CE12FE" w:rsidRDefault="00CE12FE" w:rsidP="00B4115E">
            <w:pPr>
              <w:pStyle w:val="TableTextRight"/>
              <w:rPr>
                <w:color w:val="000000"/>
              </w:rPr>
            </w:pPr>
            <w:r w:rsidRPr="00CE12FE">
              <w:rPr>
                <w:color w:val="000000"/>
              </w:rPr>
              <w:t> </w:t>
            </w:r>
          </w:p>
        </w:tc>
        <w:tc>
          <w:tcPr>
            <w:tcW w:w="527" w:type="pct"/>
            <w:tcBorders>
              <w:top w:val="nil"/>
              <w:left w:val="nil"/>
              <w:bottom w:val="nil"/>
              <w:right w:val="nil"/>
            </w:tcBorders>
            <w:shd w:val="clear" w:color="000000" w:fill="FFFFFF"/>
            <w:noWrap/>
            <w:vAlign w:val="center"/>
            <w:hideMark/>
          </w:tcPr>
          <w:p w14:paraId="67AD7EE2" w14:textId="77777777" w:rsidR="00CE12FE" w:rsidRPr="00CE12FE" w:rsidRDefault="00CE12FE" w:rsidP="00B4115E">
            <w:pPr>
              <w:pStyle w:val="TableTextRight"/>
              <w:rPr>
                <w:color w:val="000000"/>
              </w:rPr>
            </w:pPr>
            <w:r w:rsidRPr="00CE12FE">
              <w:rPr>
                <w:color w:val="000000"/>
              </w:rPr>
              <w:t> </w:t>
            </w:r>
          </w:p>
        </w:tc>
      </w:tr>
      <w:tr w:rsidR="004822C4" w:rsidRPr="00CE12FE" w14:paraId="763E57D0" w14:textId="77777777" w:rsidTr="00EE488E">
        <w:trPr>
          <w:trHeight w:val="225"/>
        </w:trPr>
        <w:tc>
          <w:tcPr>
            <w:tcW w:w="2387" w:type="pct"/>
            <w:tcBorders>
              <w:top w:val="nil"/>
              <w:left w:val="nil"/>
              <w:bottom w:val="nil"/>
              <w:right w:val="nil"/>
            </w:tcBorders>
            <w:shd w:val="clear" w:color="000000" w:fill="FFFFFF"/>
            <w:noWrap/>
            <w:vAlign w:val="center"/>
            <w:hideMark/>
          </w:tcPr>
          <w:p w14:paraId="69E4B478" w14:textId="77777777" w:rsidR="004822C4" w:rsidRPr="00CE12FE" w:rsidRDefault="004822C4" w:rsidP="00A637A4">
            <w:pPr>
              <w:pStyle w:val="TableTextIndented"/>
            </w:pPr>
            <w:r w:rsidRPr="00CE12FE">
              <w:t>Government securities(a)</w:t>
            </w:r>
          </w:p>
        </w:tc>
        <w:tc>
          <w:tcPr>
            <w:tcW w:w="521" w:type="pct"/>
            <w:tcBorders>
              <w:top w:val="nil"/>
              <w:left w:val="nil"/>
              <w:bottom w:val="nil"/>
              <w:right w:val="nil"/>
            </w:tcBorders>
            <w:shd w:val="clear" w:color="000000" w:fill="FFFFFF"/>
            <w:noWrap/>
            <w:vAlign w:val="center"/>
            <w:hideMark/>
          </w:tcPr>
          <w:p w14:paraId="05EC5AEE" w14:textId="73360E29" w:rsidR="004822C4" w:rsidRPr="00CE12FE" w:rsidRDefault="004822C4" w:rsidP="00B4115E">
            <w:pPr>
              <w:pStyle w:val="TableTextRight"/>
              <w:rPr>
                <w:color w:val="000000"/>
              </w:rPr>
            </w:pPr>
            <w:r>
              <w:rPr>
                <w:color w:val="000000"/>
              </w:rPr>
              <w:t>22,533</w:t>
            </w:r>
          </w:p>
        </w:tc>
        <w:tc>
          <w:tcPr>
            <w:tcW w:w="521" w:type="pct"/>
            <w:tcBorders>
              <w:top w:val="nil"/>
              <w:left w:val="nil"/>
              <w:bottom w:val="nil"/>
              <w:right w:val="nil"/>
            </w:tcBorders>
            <w:shd w:val="clear" w:color="000000" w:fill="E6F2FF"/>
            <w:noWrap/>
            <w:vAlign w:val="center"/>
            <w:hideMark/>
          </w:tcPr>
          <w:p w14:paraId="57690F30" w14:textId="15811FE8" w:rsidR="004822C4" w:rsidRPr="00CE12FE" w:rsidRDefault="004822C4" w:rsidP="00B4115E">
            <w:pPr>
              <w:pStyle w:val="TableTextRight"/>
              <w:rPr>
                <w:color w:val="000000"/>
              </w:rPr>
            </w:pPr>
            <w:r>
              <w:rPr>
                <w:color w:val="000000"/>
              </w:rPr>
              <w:t>24,083</w:t>
            </w:r>
          </w:p>
        </w:tc>
        <w:tc>
          <w:tcPr>
            <w:tcW w:w="521" w:type="pct"/>
            <w:tcBorders>
              <w:top w:val="nil"/>
              <w:left w:val="nil"/>
              <w:bottom w:val="nil"/>
              <w:right w:val="nil"/>
            </w:tcBorders>
            <w:shd w:val="clear" w:color="000000" w:fill="FFFFFF"/>
            <w:noWrap/>
            <w:vAlign w:val="center"/>
            <w:hideMark/>
          </w:tcPr>
          <w:p w14:paraId="74787D26" w14:textId="5D428290" w:rsidR="004822C4" w:rsidRPr="00CE12FE" w:rsidRDefault="004822C4" w:rsidP="00B4115E">
            <w:pPr>
              <w:pStyle w:val="TableTextRight"/>
              <w:rPr>
                <w:color w:val="000000"/>
              </w:rPr>
            </w:pPr>
            <w:r>
              <w:rPr>
                <w:color w:val="000000"/>
              </w:rPr>
              <w:t>28,259</w:t>
            </w:r>
          </w:p>
        </w:tc>
        <w:tc>
          <w:tcPr>
            <w:tcW w:w="521" w:type="pct"/>
            <w:tcBorders>
              <w:top w:val="nil"/>
              <w:left w:val="nil"/>
              <w:bottom w:val="nil"/>
              <w:right w:val="nil"/>
            </w:tcBorders>
            <w:shd w:val="clear" w:color="000000" w:fill="FFFFFF"/>
            <w:noWrap/>
            <w:vAlign w:val="center"/>
            <w:hideMark/>
          </w:tcPr>
          <w:p w14:paraId="4D661D67" w14:textId="65D55DEC" w:rsidR="004822C4" w:rsidRPr="00CE12FE" w:rsidRDefault="004822C4" w:rsidP="00B4115E">
            <w:pPr>
              <w:pStyle w:val="TableTextRight"/>
              <w:rPr>
                <w:color w:val="000000"/>
              </w:rPr>
            </w:pPr>
            <w:r>
              <w:rPr>
                <w:color w:val="000000"/>
              </w:rPr>
              <w:t>32,422</w:t>
            </w:r>
          </w:p>
        </w:tc>
        <w:tc>
          <w:tcPr>
            <w:tcW w:w="527" w:type="pct"/>
            <w:tcBorders>
              <w:top w:val="nil"/>
              <w:left w:val="nil"/>
              <w:bottom w:val="nil"/>
              <w:right w:val="nil"/>
            </w:tcBorders>
            <w:shd w:val="clear" w:color="000000" w:fill="FFFFFF"/>
            <w:noWrap/>
            <w:vAlign w:val="center"/>
            <w:hideMark/>
          </w:tcPr>
          <w:p w14:paraId="6182E955" w14:textId="038F3B98" w:rsidR="004822C4" w:rsidRPr="00CE12FE" w:rsidRDefault="004822C4" w:rsidP="00B4115E">
            <w:pPr>
              <w:pStyle w:val="TableTextRight"/>
              <w:rPr>
                <w:color w:val="000000"/>
              </w:rPr>
            </w:pPr>
            <w:r>
              <w:rPr>
                <w:color w:val="000000"/>
              </w:rPr>
              <w:t>35,733</w:t>
            </w:r>
          </w:p>
        </w:tc>
      </w:tr>
      <w:tr w:rsidR="004822C4" w:rsidRPr="00CE12FE" w14:paraId="401BD676" w14:textId="77777777" w:rsidTr="00EE488E">
        <w:trPr>
          <w:trHeight w:val="225"/>
        </w:trPr>
        <w:tc>
          <w:tcPr>
            <w:tcW w:w="2387" w:type="pct"/>
            <w:tcBorders>
              <w:top w:val="nil"/>
              <w:left w:val="nil"/>
              <w:bottom w:val="nil"/>
              <w:right w:val="nil"/>
            </w:tcBorders>
            <w:shd w:val="clear" w:color="000000" w:fill="FFFFFF"/>
            <w:noWrap/>
            <w:vAlign w:val="center"/>
            <w:hideMark/>
          </w:tcPr>
          <w:p w14:paraId="50BBC305" w14:textId="77777777" w:rsidR="004822C4" w:rsidRPr="00CE12FE" w:rsidRDefault="004822C4" w:rsidP="00A637A4">
            <w:pPr>
              <w:pStyle w:val="TableTextIndented"/>
            </w:pPr>
            <w:r w:rsidRPr="00CE12FE">
              <w:t>Loans</w:t>
            </w:r>
          </w:p>
        </w:tc>
        <w:tc>
          <w:tcPr>
            <w:tcW w:w="521" w:type="pct"/>
            <w:tcBorders>
              <w:top w:val="nil"/>
              <w:left w:val="nil"/>
              <w:bottom w:val="nil"/>
              <w:right w:val="nil"/>
            </w:tcBorders>
            <w:shd w:val="clear" w:color="000000" w:fill="FFFFFF"/>
            <w:noWrap/>
            <w:vAlign w:val="center"/>
            <w:hideMark/>
          </w:tcPr>
          <w:p w14:paraId="4E35656A" w14:textId="474584B4" w:rsidR="004822C4" w:rsidRPr="00CE12FE" w:rsidRDefault="004822C4" w:rsidP="00B4115E">
            <w:pPr>
              <w:pStyle w:val="TableTextRight"/>
              <w:rPr>
                <w:color w:val="000000"/>
              </w:rPr>
            </w:pPr>
            <w:r>
              <w:rPr>
                <w:color w:val="000000"/>
              </w:rPr>
              <w:t>146</w:t>
            </w:r>
          </w:p>
        </w:tc>
        <w:tc>
          <w:tcPr>
            <w:tcW w:w="521" w:type="pct"/>
            <w:tcBorders>
              <w:top w:val="nil"/>
              <w:left w:val="nil"/>
              <w:bottom w:val="nil"/>
              <w:right w:val="nil"/>
            </w:tcBorders>
            <w:shd w:val="clear" w:color="000000" w:fill="E6F2FF"/>
            <w:noWrap/>
            <w:vAlign w:val="center"/>
            <w:hideMark/>
          </w:tcPr>
          <w:p w14:paraId="71808219" w14:textId="243307C4" w:rsidR="004822C4" w:rsidRPr="00CE12FE" w:rsidRDefault="004822C4" w:rsidP="00B4115E">
            <w:pPr>
              <w:pStyle w:val="TableTextRight"/>
              <w:rPr>
                <w:color w:val="000000"/>
              </w:rPr>
            </w:pPr>
            <w:r>
              <w:rPr>
                <w:color w:val="000000"/>
              </w:rPr>
              <w:t>165</w:t>
            </w:r>
          </w:p>
        </w:tc>
        <w:tc>
          <w:tcPr>
            <w:tcW w:w="521" w:type="pct"/>
            <w:tcBorders>
              <w:top w:val="nil"/>
              <w:left w:val="nil"/>
              <w:bottom w:val="nil"/>
              <w:right w:val="nil"/>
            </w:tcBorders>
            <w:shd w:val="clear" w:color="000000" w:fill="FFFFFF"/>
            <w:noWrap/>
            <w:vAlign w:val="center"/>
            <w:hideMark/>
          </w:tcPr>
          <w:p w14:paraId="6A0BFD2E" w14:textId="0B2898EF" w:rsidR="004822C4" w:rsidRPr="00CE12FE" w:rsidRDefault="004822C4" w:rsidP="00B4115E">
            <w:pPr>
              <w:pStyle w:val="TableTextRight"/>
              <w:rPr>
                <w:color w:val="000000"/>
              </w:rPr>
            </w:pPr>
            <w:r>
              <w:rPr>
                <w:color w:val="000000"/>
              </w:rPr>
              <w:t>202</w:t>
            </w:r>
          </w:p>
        </w:tc>
        <w:tc>
          <w:tcPr>
            <w:tcW w:w="521" w:type="pct"/>
            <w:tcBorders>
              <w:top w:val="nil"/>
              <w:left w:val="nil"/>
              <w:bottom w:val="nil"/>
              <w:right w:val="nil"/>
            </w:tcBorders>
            <w:shd w:val="clear" w:color="000000" w:fill="FFFFFF"/>
            <w:noWrap/>
            <w:vAlign w:val="center"/>
            <w:hideMark/>
          </w:tcPr>
          <w:p w14:paraId="68FCB08A" w14:textId="55C600D9" w:rsidR="004822C4" w:rsidRPr="00CE12FE" w:rsidRDefault="004822C4" w:rsidP="00B4115E">
            <w:pPr>
              <w:pStyle w:val="TableTextRight"/>
              <w:rPr>
                <w:color w:val="000000"/>
              </w:rPr>
            </w:pPr>
            <w:r>
              <w:rPr>
                <w:color w:val="000000"/>
              </w:rPr>
              <w:t>262</w:t>
            </w:r>
          </w:p>
        </w:tc>
        <w:tc>
          <w:tcPr>
            <w:tcW w:w="527" w:type="pct"/>
            <w:tcBorders>
              <w:top w:val="nil"/>
              <w:left w:val="nil"/>
              <w:bottom w:val="nil"/>
              <w:right w:val="nil"/>
            </w:tcBorders>
            <w:shd w:val="clear" w:color="000000" w:fill="FFFFFF"/>
            <w:noWrap/>
            <w:vAlign w:val="center"/>
            <w:hideMark/>
          </w:tcPr>
          <w:p w14:paraId="410D8E60" w14:textId="3BAD0DEF" w:rsidR="004822C4" w:rsidRPr="00CE12FE" w:rsidRDefault="004822C4" w:rsidP="00B4115E">
            <w:pPr>
              <w:pStyle w:val="TableTextRight"/>
              <w:rPr>
                <w:color w:val="000000"/>
              </w:rPr>
            </w:pPr>
            <w:r>
              <w:rPr>
                <w:color w:val="000000"/>
              </w:rPr>
              <w:t>249</w:t>
            </w:r>
          </w:p>
        </w:tc>
      </w:tr>
      <w:tr w:rsidR="004822C4" w:rsidRPr="00CE12FE" w14:paraId="05CEB5A7" w14:textId="77777777" w:rsidTr="00EE488E">
        <w:trPr>
          <w:trHeight w:val="225"/>
        </w:trPr>
        <w:tc>
          <w:tcPr>
            <w:tcW w:w="2387" w:type="pct"/>
            <w:tcBorders>
              <w:top w:val="nil"/>
              <w:left w:val="nil"/>
              <w:bottom w:val="nil"/>
              <w:right w:val="nil"/>
            </w:tcBorders>
            <w:shd w:val="clear" w:color="000000" w:fill="FFFFFF"/>
            <w:noWrap/>
            <w:vAlign w:val="center"/>
            <w:hideMark/>
          </w:tcPr>
          <w:p w14:paraId="06FF41B1" w14:textId="77777777" w:rsidR="004822C4" w:rsidRPr="00CE12FE" w:rsidRDefault="004822C4" w:rsidP="00A637A4">
            <w:pPr>
              <w:pStyle w:val="TableTextIndented"/>
            </w:pPr>
            <w:r w:rsidRPr="00CE12FE">
              <w:t>Other</w:t>
            </w:r>
          </w:p>
        </w:tc>
        <w:tc>
          <w:tcPr>
            <w:tcW w:w="521" w:type="pct"/>
            <w:tcBorders>
              <w:top w:val="nil"/>
              <w:left w:val="nil"/>
              <w:bottom w:val="single" w:sz="4" w:space="0" w:color="293F5B"/>
              <w:right w:val="nil"/>
            </w:tcBorders>
            <w:shd w:val="clear" w:color="000000" w:fill="FFFFFF"/>
            <w:noWrap/>
            <w:vAlign w:val="center"/>
            <w:hideMark/>
          </w:tcPr>
          <w:p w14:paraId="0987C818" w14:textId="06123C3A" w:rsidR="004822C4" w:rsidRPr="00CE12FE" w:rsidRDefault="004822C4" w:rsidP="00B4115E">
            <w:pPr>
              <w:pStyle w:val="TableTextRight"/>
              <w:rPr>
                <w:color w:val="000000"/>
              </w:rPr>
            </w:pPr>
            <w:r>
              <w:rPr>
                <w:color w:val="000000"/>
              </w:rPr>
              <w:t>1,133</w:t>
            </w:r>
          </w:p>
        </w:tc>
        <w:tc>
          <w:tcPr>
            <w:tcW w:w="521" w:type="pct"/>
            <w:tcBorders>
              <w:top w:val="nil"/>
              <w:left w:val="nil"/>
              <w:bottom w:val="single" w:sz="4" w:space="0" w:color="293F5B"/>
              <w:right w:val="nil"/>
            </w:tcBorders>
            <w:shd w:val="clear" w:color="000000" w:fill="E6F2FF"/>
            <w:noWrap/>
            <w:vAlign w:val="center"/>
            <w:hideMark/>
          </w:tcPr>
          <w:p w14:paraId="3913FB50" w14:textId="1C6AC766" w:rsidR="004822C4" w:rsidRPr="00CE12FE" w:rsidRDefault="004822C4" w:rsidP="00B4115E">
            <w:pPr>
              <w:pStyle w:val="TableTextRight"/>
              <w:rPr>
                <w:color w:val="000000"/>
              </w:rPr>
            </w:pPr>
            <w:r>
              <w:rPr>
                <w:color w:val="000000"/>
              </w:rPr>
              <w:t>873</w:t>
            </w:r>
          </w:p>
        </w:tc>
        <w:tc>
          <w:tcPr>
            <w:tcW w:w="521" w:type="pct"/>
            <w:tcBorders>
              <w:top w:val="nil"/>
              <w:left w:val="nil"/>
              <w:bottom w:val="single" w:sz="4" w:space="0" w:color="293F5B"/>
              <w:right w:val="nil"/>
            </w:tcBorders>
            <w:shd w:val="clear" w:color="000000" w:fill="FFFFFF"/>
            <w:noWrap/>
            <w:vAlign w:val="center"/>
            <w:hideMark/>
          </w:tcPr>
          <w:p w14:paraId="4E9D078D" w14:textId="39863D4E" w:rsidR="004822C4" w:rsidRPr="00CE12FE" w:rsidRDefault="004822C4" w:rsidP="00B4115E">
            <w:pPr>
              <w:pStyle w:val="TableTextRight"/>
              <w:rPr>
                <w:color w:val="000000"/>
              </w:rPr>
            </w:pPr>
            <w:r>
              <w:rPr>
                <w:color w:val="000000"/>
              </w:rPr>
              <w:t>847</w:t>
            </w:r>
          </w:p>
        </w:tc>
        <w:tc>
          <w:tcPr>
            <w:tcW w:w="521" w:type="pct"/>
            <w:tcBorders>
              <w:top w:val="nil"/>
              <w:left w:val="nil"/>
              <w:bottom w:val="single" w:sz="4" w:space="0" w:color="293F5B"/>
              <w:right w:val="nil"/>
            </w:tcBorders>
            <w:shd w:val="clear" w:color="000000" w:fill="FFFFFF"/>
            <w:noWrap/>
            <w:vAlign w:val="center"/>
            <w:hideMark/>
          </w:tcPr>
          <w:p w14:paraId="79377DBE" w14:textId="5C22C279" w:rsidR="004822C4" w:rsidRPr="00CE12FE" w:rsidRDefault="004822C4" w:rsidP="00B4115E">
            <w:pPr>
              <w:pStyle w:val="TableTextRight"/>
              <w:rPr>
                <w:color w:val="000000"/>
              </w:rPr>
            </w:pPr>
            <w:r>
              <w:rPr>
                <w:color w:val="000000"/>
              </w:rPr>
              <w:t>850</w:t>
            </w:r>
          </w:p>
        </w:tc>
        <w:tc>
          <w:tcPr>
            <w:tcW w:w="527" w:type="pct"/>
            <w:tcBorders>
              <w:top w:val="nil"/>
              <w:left w:val="nil"/>
              <w:bottom w:val="single" w:sz="4" w:space="0" w:color="293F5B"/>
              <w:right w:val="nil"/>
            </w:tcBorders>
            <w:shd w:val="clear" w:color="000000" w:fill="FFFFFF"/>
            <w:noWrap/>
            <w:vAlign w:val="center"/>
            <w:hideMark/>
          </w:tcPr>
          <w:p w14:paraId="60DFD3D6" w14:textId="4DB15F17" w:rsidR="004822C4" w:rsidRPr="00CE12FE" w:rsidRDefault="004822C4" w:rsidP="00B4115E">
            <w:pPr>
              <w:pStyle w:val="TableTextRight"/>
              <w:rPr>
                <w:color w:val="000000"/>
              </w:rPr>
            </w:pPr>
            <w:r>
              <w:rPr>
                <w:color w:val="000000"/>
              </w:rPr>
              <w:t>866</w:t>
            </w:r>
          </w:p>
        </w:tc>
      </w:tr>
      <w:tr w:rsidR="004822C4" w:rsidRPr="00CE12FE" w14:paraId="73464EA3" w14:textId="77777777" w:rsidTr="00EE488E">
        <w:trPr>
          <w:trHeight w:val="76"/>
        </w:trPr>
        <w:tc>
          <w:tcPr>
            <w:tcW w:w="2387" w:type="pct"/>
            <w:tcBorders>
              <w:top w:val="nil"/>
              <w:left w:val="nil"/>
              <w:bottom w:val="nil"/>
              <w:right w:val="nil"/>
            </w:tcBorders>
            <w:shd w:val="clear" w:color="000000" w:fill="FFFFFF"/>
            <w:noWrap/>
            <w:vAlign w:val="center"/>
            <w:hideMark/>
          </w:tcPr>
          <w:p w14:paraId="661B7346" w14:textId="77777777" w:rsidR="004822C4" w:rsidRPr="00CE12FE" w:rsidRDefault="004822C4" w:rsidP="00A637A4">
            <w:pPr>
              <w:pStyle w:val="TableTextLeft"/>
              <w:rPr>
                <w:b/>
              </w:rPr>
            </w:pPr>
            <w:r w:rsidRPr="00CE12FE">
              <w:rPr>
                <w:b/>
              </w:rPr>
              <w:t>Total interest on debt</w:t>
            </w:r>
          </w:p>
        </w:tc>
        <w:tc>
          <w:tcPr>
            <w:tcW w:w="521" w:type="pct"/>
            <w:tcBorders>
              <w:top w:val="nil"/>
              <w:left w:val="nil"/>
              <w:bottom w:val="single" w:sz="4" w:space="0" w:color="293F5B"/>
              <w:right w:val="nil"/>
            </w:tcBorders>
            <w:shd w:val="clear" w:color="000000" w:fill="FFFFFF"/>
            <w:noWrap/>
            <w:vAlign w:val="center"/>
            <w:hideMark/>
          </w:tcPr>
          <w:p w14:paraId="462239B1" w14:textId="312FB182" w:rsidR="004822C4" w:rsidRPr="00CE12FE" w:rsidRDefault="004822C4" w:rsidP="00B4115E">
            <w:pPr>
              <w:pStyle w:val="TableTextRight"/>
              <w:rPr>
                <w:b/>
                <w:color w:val="000000"/>
              </w:rPr>
            </w:pPr>
            <w:r>
              <w:rPr>
                <w:b/>
                <w:color w:val="000000"/>
              </w:rPr>
              <w:t>23,813</w:t>
            </w:r>
          </w:p>
        </w:tc>
        <w:tc>
          <w:tcPr>
            <w:tcW w:w="521" w:type="pct"/>
            <w:tcBorders>
              <w:top w:val="nil"/>
              <w:left w:val="nil"/>
              <w:bottom w:val="single" w:sz="4" w:space="0" w:color="293F5B"/>
              <w:right w:val="nil"/>
            </w:tcBorders>
            <w:shd w:val="clear" w:color="000000" w:fill="E6F2FF"/>
            <w:noWrap/>
            <w:vAlign w:val="center"/>
            <w:hideMark/>
          </w:tcPr>
          <w:p w14:paraId="2A0C1F68" w14:textId="233552C0" w:rsidR="004822C4" w:rsidRPr="00CE12FE" w:rsidRDefault="004822C4" w:rsidP="00B4115E">
            <w:pPr>
              <w:pStyle w:val="TableTextRight"/>
              <w:rPr>
                <w:b/>
                <w:color w:val="000000"/>
              </w:rPr>
            </w:pPr>
            <w:r>
              <w:rPr>
                <w:b/>
                <w:color w:val="000000"/>
              </w:rPr>
              <w:t>25,120</w:t>
            </w:r>
          </w:p>
        </w:tc>
        <w:tc>
          <w:tcPr>
            <w:tcW w:w="521" w:type="pct"/>
            <w:tcBorders>
              <w:top w:val="nil"/>
              <w:left w:val="nil"/>
              <w:bottom w:val="single" w:sz="4" w:space="0" w:color="293F5B"/>
              <w:right w:val="nil"/>
            </w:tcBorders>
            <w:shd w:val="clear" w:color="000000" w:fill="FFFFFF"/>
            <w:noWrap/>
            <w:vAlign w:val="center"/>
            <w:hideMark/>
          </w:tcPr>
          <w:p w14:paraId="2E1DA609" w14:textId="536C83C2" w:rsidR="004822C4" w:rsidRPr="00CE12FE" w:rsidRDefault="004822C4" w:rsidP="00B4115E">
            <w:pPr>
              <w:pStyle w:val="TableTextRight"/>
              <w:rPr>
                <w:b/>
                <w:color w:val="000000"/>
              </w:rPr>
            </w:pPr>
            <w:r>
              <w:rPr>
                <w:b/>
                <w:color w:val="000000"/>
              </w:rPr>
              <w:t>29,309</w:t>
            </w:r>
          </w:p>
        </w:tc>
        <w:tc>
          <w:tcPr>
            <w:tcW w:w="521" w:type="pct"/>
            <w:tcBorders>
              <w:top w:val="nil"/>
              <w:left w:val="nil"/>
              <w:bottom w:val="single" w:sz="4" w:space="0" w:color="293F5B"/>
              <w:right w:val="nil"/>
            </w:tcBorders>
            <w:shd w:val="clear" w:color="000000" w:fill="FFFFFF"/>
            <w:noWrap/>
            <w:vAlign w:val="center"/>
            <w:hideMark/>
          </w:tcPr>
          <w:p w14:paraId="42776529" w14:textId="0AB31E35" w:rsidR="004822C4" w:rsidRPr="00CE12FE" w:rsidRDefault="004822C4" w:rsidP="00B4115E">
            <w:pPr>
              <w:pStyle w:val="TableTextRight"/>
              <w:rPr>
                <w:b/>
                <w:color w:val="000000"/>
              </w:rPr>
            </w:pPr>
            <w:r>
              <w:rPr>
                <w:b/>
                <w:color w:val="000000"/>
              </w:rPr>
              <w:t>33,533</w:t>
            </w:r>
          </w:p>
        </w:tc>
        <w:tc>
          <w:tcPr>
            <w:tcW w:w="527" w:type="pct"/>
            <w:tcBorders>
              <w:top w:val="nil"/>
              <w:left w:val="nil"/>
              <w:bottom w:val="single" w:sz="4" w:space="0" w:color="293F5B"/>
              <w:right w:val="nil"/>
            </w:tcBorders>
            <w:shd w:val="clear" w:color="000000" w:fill="FFFFFF"/>
            <w:noWrap/>
            <w:vAlign w:val="center"/>
            <w:hideMark/>
          </w:tcPr>
          <w:p w14:paraId="7970B114" w14:textId="07F137CC" w:rsidR="004822C4" w:rsidRPr="00CE12FE" w:rsidRDefault="004822C4" w:rsidP="00B4115E">
            <w:pPr>
              <w:pStyle w:val="TableTextRight"/>
              <w:rPr>
                <w:b/>
                <w:color w:val="000000"/>
              </w:rPr>
            </w:pPr>
            <w:r>
              <w:rPr>
                <w:b/>
                <w:color w:val="000000"/>
              </w:rPr>
              <w:t>36,849</w:t>
            </w:r>
          </w:p>
        </w:tc>
      </w:tr>
      <w:tr w:rsidR="00EE488E" w:rsidRPr="00CE12FE" w14:paraId="41D02EA2" w14:textId="77777777" w:rsidTr="00EE488E">
        <w:trPr>
          <w:trHeight w:val="225"/>
        </w:trPr>
        <w:tc>
          <w:tcPr>
            <w:tcW w:w="2387" w:type="pct"/>
            <w:tcBorders>
              <w:top w:val="nil"/>
              <w:left w:val="nil"/>
              <w:bottom w:val="nil"/>
              <w:right w:val="nil"/>
            </w:tcBorders>
            <w:shd w:val="clear" w:color="000000" w:fill="FFFFFF"/>
            <w:noWrap/>
            <w:vAlign w:val="center"/>
            <w:hideMark/>
          </w:tcPr>
          <w:p w14:paraId="617F2717" w14:textId="77777777" w:rsidR="00EE488E" w:rsidRPr="00CE12FE" w:rsidRDefault="00EE488E" w:rsidP="00A637A4">
            <w:pPr>
              <w:pStyle w:val="TableTextLeft"/>
              <w:rPr>
                <w:b/>
              </w:rPr>
            </w:pPr>
            <w:r w:rsidRPr="00CE12FE">
              <w:rPr>
                <w:b/>
              </w:rPr>
              <w:t>Interest on lease liabilities</w:t>
            </w:r>
          </w:p>
        </w:tc>
        <w:tc>
          <w:tcPr>
            <w:tcW w:w="521" w:type="pct"/>
            <w:tcBorders>
              <w:top w:val="nil"/>
              <w:left w:val="nil"/>
              <w:bottom w:val="nil"/>
              <w:right w:val="nil"/>
            </w:tcBorders>
            <w:shd w:val="clear" w:color="000000" w:fill="FFFFFF"/>
            <w:noWrap/>
            <w:vAlign w:val="center"/>
            <w:hideMark/>
          </w:tcPr>
          <w:p w14:paraId="660B8222" w14:textId="1F2E2CC6" w:rsidR="00EE488E" w:rsidRPr="00CE12FE" w:rsidRDefault="00EE488E" w:rsidP="00B4115E">
            <w:pPr>
              <w:pStyle w:val="TableTextRight"/>
              <w:rPr>
                <w:b/>
                <w:color w:val="000000"/>
              </w:rPr>
            </w:pPr>
            <w:r>
              <w:rPr>
                <w:b/>
                <w:color w:val="000000"/>
              </w:rPr>
              <w:t>422</w:t>
            </w:r>
          </w:p>
        </w:tc>
        <w:tc>
          <w:tcPr>
            <w:tcW w:w="521" w:type="pct"/>
            <w:tcBorders>
              <w:top w:val="nil"/>
              <w:left w:val="nil"/>
              <w:bottom w:val="nil"/>
              <w:right w:val="nil"/>
            </w:tcBorders>
            <w:shd w:val="clear" w:color="000000" w:fill="E6F2FF"/>
            <w:noWrap/>
            <w:vAlign w:val="center"/>
            <w:hideMark/>
          </w:tcPr>
          <w:p w14:paraId="628C37F4" w14:textId="29AAD2B4" w:rsidR="00EE488E" w:rsidRPr="00CE12FE" w:rsidRDefault="00EE488E" w:rsidP="00B4115E">
            <w:pPr>
              <w:pStyle w:val="TableTextRight"/>
              <w:rPr>
                <w:b/>
                <w:color w:val="000000"/>
              </w:rPr>
            </w:pPr>
            <w:r>
              <w:rPr>
                <w:b/>
                <w:color w:val="000000"/>
              </w:rPr>
              <w:t>419</w:t>
            </w:r>
          </w:p>
        </w:tc>
        <w:tc>
          <w:tcPr>
            <w:tcW w:w="521" w:type="pct"/>
            <w:tcBorders>
              <w:top w:val="nil"/>
              <w:left w:val="nil"/>
              <w:bottom w:val="nil"/>
              <w:right w:val="nil"/>
            </w:tcBorders>
            <w:shd w:val="clear" w:color="000000" w:fill="FFFFFF"/>
            <w:noWrap/>
            <w:vAlign w:val="center"/>
            <w:hideMark/>
          </w:tcPr>
          <w:p w14:paraId="384B712B" w14:textId="634D5A83" w:rsidR="00EE488E" w:rsidRPr="00CE12FE" w:rsidRDefault="00EE488E" w:rsidP="00B4115E">
            <w:pPr>
              <w:pStyle w:val="TableTextRight"/>
              <w:rPr>
                <w:b/>
                <w:color w:val="000000"/>
              </w:rPr>
            </w:pPr>
            <w:r>
              <w:rPr>
                <w:b/>
                <w:color w:val="000000"/>
              </w:rPr>
              <w:t>412</w:t>
            </w:r>
          </w:p>
        </w:tc>
        <w:tc>
          <w:tcPr>
            <w:tcW w:w="521" w:type="pct"/>
            <w:tcBorders>
              <w:top w:val="nil"/>
              <w:left w:val="nil"/>
              <w:bottom w:val="nil"/>
              <w:right w:val="nil"/>
            </w:tcBorders>
            <w:shd w:val="clear" w:color="000000" w:fill="FFFFFF"/>
            <w:noWrap/>
            <w:vAlign w:val="center"/>
            <w:hideMark/>
          </w:tcPr>
          <w:p w14:paraId="41415D2E" w14:textId="012E8894" w:rsidR="00EE488E" w:rsidRPr="00CE12FE" w:rsidRDefault="00EE488E" w:rsidP="00B4115E">
            <w:pPr>
              <w:pStyle w:val="TableTextRight"/>
              <w:rPr>
                <w:b/>
                <w:color w:val="000000"/>
              </w:rPr>
            </w:pPr>
            <w:r>
              <w:rPr>
                <w:b/>
                <w:color w:val="000000"/>
              </w:rPr>
              <w:t>403</w:t>
            </w:r>
          </w:p>
        </w:tc>
        <w:tc>
          <w:tcPr>
            <w:tcW w:w="527" w:type="pct"/>
            <w:tcBorders>
              <w:top w:val="nil"/>
              <w:left w:val="nil"/>
              <w:bottom w:val="nil"/>
              <w:right w:val="nil"/>
            </w:tcBorders>
            <w:shd w:val="clear" w:color="000000" w:fill="FFFFFF"/>
            <w:noWrap/>
            <w:vAlign w:val="center"/>
            <w:hideMark/>
          </w:tcPr>
          <w:p w14:paraId="03A09065" w14:textId="61CB5BB5" w:rsidR="00EE488E" w:rsidRPr="00CE12FE" w:rsidRDefault="00EE488E" w:rsidP="00B4115E">
            <w:pPr>
              <w:pStyle w:val="TableTextRight"/>
              <w:rPr>
                <w:b/>
                <w:color w:val="000000"/>
              </w:rPr>
            </w:pPr>
            <w:r>
              <w:rPr>
                <w:b/>
                <w:color w:val="000000"/>
              </w:rPr>
              <w:t>417</w:t>
            </w:r>
          </w:p>
        </w:tc>
      </w:tr>
      <w:tr w:rsidR="00EE488E" w:rsidRPr="00CE12FE" w14:paraId="2E9368B1" w14:textId="77777777" w:rsidTr="00F8345B">
        <w:trPr>
          <w:trHeight w:val="225"/>
        </w:trPr>
        <w:tc>
          <w:tcPr>
            <w:tcW w:w="2387" w:type="pct"/>
            <w:tcBorders>
              <w:top w:val="nil"/>
              <w:left w:val="nil"/>
              <w:bottom w:val="nil"/>
              <w:right w:val="nil"/>
            </w:tcBorders>
            <w:shd w:val="clear" w:color="000000" w:fill="FFFFFF"/>
            <w:noWrap/>
            <w:vAlign w:val="center"/>
            <w:hideMark/>
          </w:tcPr>
          <w:p w14:paraId="2D213C5D" w14:textId="77777777" w:rsidR="00EE488E" w:rsidRPr="00CE12FE" w:rsidRDefault="00EE488E" w:rsidP="00A637A4">
            <w:pPr>
              <w:pStyle w:val="TableTextLeft"/>
              <w:rPr>
                <w:b/>
              </w:rPr>
            </w:pPr>
            <w:r w:rsidRPr="00CE12FE">
              <w:rPr>
                <w:b/>
              </w:rPr>
              <w:t>Other financing costs</w:t>
            </w:r>
          </w:p>
        </w:tc>
        <w:tc>
          <w:tcPr>
            <w:tcW w:w="521" w:type="pct"/>
            <w:tcBorders>
              <w:top w:val="nil"/>
              <w:left w:val="nil"/>
              <w:bottom w:val="single" w:sz="4" w:space="0" w:color="auto"/>
              <w:right w:val="nil"/>
            </w:tcBorders>
            <w:shd w:val="clear" w:color="000000" w:fill="FFFFFF"/>
            <w:noWrap/>
            <w:vAlign w:val="center"/>
            <w:hideMark/>
          </w:tcPr>
          <w:p w14:paraId="6F15952C" w14:textId="76D87F4D" w:rsidR="00EE488E" w:rsidRPr="00CE12FE" w:rsidRDefault="00EE488E" w:rsidP="00B4115E">
            <w:pPr>
              <w:pStyle w:val="TableTextRight"/>
              <w:rPr>
                <w:b/>
                <w:color w:val="000000"/>
              </w:rPr>
            </w:pPr>
            <w:r>
              <w:rPr>
                <w:b/>
                <w:color w:val="000000"/>
              </w:rPr>
              <w:t>3,433</w:t>
            </w:r>
          </w:p>
        </w:tc>
        <w:tc>
          <w:tcPr>
            <w:tcW w:w="521" w:type="pct"/>
            <w:tcBorders>
              <w:top w:val="nil"/>
              <w:left w:val="nil"/>
              <w:bottom w:val="single" w:sz="4" w:space="0" w:color="auto"/>
              <w:right w:val="nil"/>
            </w:tcBorders>
            <w:shd w:val="clear" w:color="000000" w:fill="E6F2FF"/>
            <w:noWrap/>
            <w:vAlign w:val="center"/>
            <w:hideMark/>
          </w:tcPr>
          <w:p w14:paraId="2A08AD93" w14:textId="7B166D19" w:rsidR="00EE488E" w:rsidRPr="00CE12FE" w:rsidRDefault="00EE488E" w:rsidP="00B4115E">
            <w:pPr>
              <w:pStyle w:val="TableTextRight"/>
              <w:rPr>
                <w:b/>
                <w:color w:val="000000"/>
              </w:rPr>
            </w:pPr>
            <w:r>
              <w:rPr>
                <w:b/>
                <w:color w:val="000000"/>
              </w:rPr>
              <w:t>7,875</w:t>
            </w:r>
          </w:p>
        </w:tc>
        <w:tc>
          <w:tcPr>
            <w:tcW w:w="521" w:type="pct"/>
            <w:tcBorders>
              <w:top w:val="nil"/>
              <w:left w:val="nil"/>
              <w:bottom w:val="single" w:sz="4" w:space="0" w:color="auto"/>
              <w:right w:val="nil"/>
            </w:tcBorders>
            <w:shd w:val="clear" w:color="000000" w:fill="FFFFFF"/>
            <w:noWrap/>
            <w:vAlign w:val="center"/>
            <w:hideMark/>
          </w:tcPr>
          <w:p w14:paraId="29F7AC28" w14:textId="725F5D0E" w:rsidR="00EE488E" w:rsidRPr="00CE12FE" w:rsidRDefault="00EE488E" w:rsidP="00B4115E">
            <w:pPr>
              <w:pStyle w:val="TableTextRight"/>
              <w:rPr>
                <w:b/>
                <w:color w:val="000000"/>
              </w:rPr>
            </w:pPr>
            <w:r>
              <w:rPr>
                <w:b/>
                <w:color w:val="000000"/>
              </w:rPr>
              <w:t>4,579</w:t>
            </w:r>
          </w:p>
        </w:tc>
        <w:tc>
          <w:tcPr>
            <w:tcW w:w="521" w:type="pct"/>
            <w:tcBorders>
              <w:top w:val="nil"/>
              <w:left w:val="nil"/>
              <w:bottom w:val="single" w:sz="4" w:space="0" w:color="auto"/>
              <w:right w:val="nil"/>
            </w:tcBorders>
            <w:shd w:val="clear" w:color="000000" w:fill="FFFFFF"/>
            <w:noWrap/>
            <w:vAlign w:val="center"/>
            <w:hideMark/>
          </w:tcPr>
          <w:p w14:paraId="1D944683" w14:textId="42913CB3" w:rsidR="00EE488E" w:rsidRPr="00CE12FE" w:rsidRDefault="00EE488E" w:rsidP="00B4115E">
            <w:pPr>
              <w:pStyle w:val="TableTextRight"/>
              <w:rPr>
                <w:b/>
                <w:color w:val="000000"/>
              </w:rPr>
            </w:pPr>
            <w:r>
              <w:rPr>
                <w:b/>
                <w:color w:val="000000"/>
              </w:rPr>
              <w:t>5,149</w:t>
            </w:r>
          </w:p>
        </w:tc>
        <w:tc>
          <w:tcPr>
            <w:tcW w:w="527" w:type="pct"/>
            <w:tcBorders>
              <w:top w:val="nil"/>
              <w:left w:val="nil"/>
              <w:bottom w:val="single" w:sz="4" w:space="0" w:color="auto"/>
              <w:right w:val="nil"/>
            </w:tcBorders>
            <w:shd w:val="clear" w:color="000000" w:fill="FFFFFF"/>
            <w:noWrap/>
            <w:vAlign w:val="center"/>
            <w:hideMark/>
          </w:tcPr>
          <w:p w14:paraId="5C61CA1C" w14:textId="1D205213" w:rsidR="00EE488E" w:rsidRPr="00CE12FE" w:rsidRDefault="00EE488E" w:rsidP="00B4115E">
            <w:pPr>
              <w:pStyle w:val="TableTextRight"/>
              <w:rPr>
                <w:b/>
                <w:color w:val="000000"/>
              </w:rPr>
            </w:pPr>
            <w:r>
              <w:rPr>
                <w:b/>
                <w:color w:val="000000"/>
              </w:rPr>
              <w:t>3,925</w:t>
            </w:r>
          </w:p>
        </w:tc>
      </w:tr>
      <w:tr w:rsidR="00EE488E" w:rsidRPr="00CE12FE" w14:paraId="66466836" w14:textId="77777777" w:rsidTr="00F8345B">
        <w:trPr>
          <w:trHeight w:val="225"/>
        </w:trPr>
        <w:tc>
          <w:tcPr>
            <w:tcW w:w="2387" w:type="pct"/>
            <w:tcBorders>
              <w:top w:val="nil"/>
              <w:left w:val="nil"/>
              <w:bottom w:val="single" w:sz="4" w:space="0" w:color="293F5B"/>
              <w:right w:val="nil"/>
            </w:tcBorders>
            <w:shd w:val="clear" w:color="000000" w:fill="FFFFFF"/>
            <w:noWrap/>
            <w:vAlign w:val="center"/>
            <w:hideMark/>
          </w:tcPr>
          <w:p w14:paraId="77DCC0A9" w14:textId="77777777" w:rsidR="00EE488E" w:rsidRPr="00CE12FE" w:rsidRDefault="00EE488E" w:rsidP="00A637A4">
            <w:pPr>
              <w:pStyle w:val="TableTextLeft"/>
              <w:rPr>
                <w:b/>
              </w:rPr>
            </w:pPr>
            <w:r w:rsidRPr="00CE12FE">
              <w:rPr>
                <w:b/>
              </w:rPr>
              <w:t>Total interest expense</w:t>
            </w:r>
          </w:p>
        </w:tc>
        <w:tc>
          <w:tcPr>
            <w:tcW w:w="521" w:type="pct"/>
            <w:tcBorders>
              <w:top w:val="single" w:sz="4" w:space="0" w:color="auto"/>
              <w:left w:val="nil"/>
              <w:bottom w:val="single" w:sz="4" w:space="0" w:color="293F5B"/>
              <w:right w:val="nil"/>
            </w:tcBorders>
            <w:shd w:val="clear" w:color="000000" w:fill="FFFFFF"/>
            <w:noWrap/>
            <w:vAlign w:val="center"/>
            <w:hideMark/>
          </w:tcPr>
          <w:p w14:paraId="6AD81E62" w14:textId="4FA824A1" w:rsidR="00EE488E" w:rsidRPr="00CE12FE" w:rsidRDefault="00EE488E" w:rsidP="00B4115E">
            <w:pPr>
              <w:pStyle w:val="TableTextRight"/>
              <w:rPr>
                <w:b/>
                <w:color w:val="000000"/>
              </w:rPr>
            </w:pPr>
            <w:r>
              <w:rPr>
                <w:b/>
                <w:color w:val="000000"/>
              </w:rPr>
              <w:t>27,667</w:t>
            </w:r>
          </w:p>
        </w:tc>
        <w:tc>
          <w:tcPr>
            <w:tcW w:w="521" w:type="pct"/>
            <w:tcBorders>
              <w:top w:val="single" w:sz="4" w:space="0" w:color="auto"/>
              <w:left w:val="nil"/>
              <w:bottom w:val="single" w:sz="4" w:space="0" w:color="293F5B"/>
              <w:right w:val="nil"/>
            </w:tcBorders>
            <w:shd w:val="clear" w:color="000000" w:fill="E6F2FF"/>
            <w:noWrap/>
            <w:vAlign w:val="center"/>
            <w:hideMark/>
          </w:tcPr>
          <w:p w14:paraId="001293B6" w14:textId="01BD55D8" w:rsidR="00EE488E" w:rsidRPr="00CE12FE" w:rsidRDefault="00EE488E" w:rsidP="00B4115E">
            <w:pPr>
              <w:pStyle w:val="TableTextRight"/>
              <w:rPr>
                <w:b/>
                <w:color w:val="000000"/>
              </w:rPr>
            </w:pPr>
            <w:r>
              <w:rPr>
                <w:b/>
                <w:color w:val="000000"/>
              </w:rPr>
              <w:t>33,414</w:t>
            </w:r>
          </w:p>
        </w:tc>
        <w:tc>
          <w:tcPr>
            <w:tcW w:w="521" w:type="pct"/>
            <w:tcBorders>
              <w:top w:val="single" w:sz="4" w:space="0" w:color="auto"/>
              <w:left w:val="nil"/>
              <w:bottom w:val="single" w:sz="4" w:space="0" w:color="293F5B"/>
              <w:right w:val="nil"/>
            </w:tcBorders>
            <w:shd w:val="clear" w:color="000000" w:fill="FFFFFF"/>
            <w:noWrap/>
            <w:vAlign w:val="center"/>
            <w:hideMark/>
          </w:tcPr>
          <w:p w14:paraId="63B95534" w14:textId="3876EE01" w:rsidR="00EE488E" w:rsidRPr="00CE12FE" w:rsidRDefault="00EE488E" w:rsidP="00B4115E">
            <w:pPr>
              <w:pStyle w:val="TableTextRight"/>
              <w:rPr>
                <w:b/>
                <w:color w:val="000000"/>
              </w:rPr>
            </w:pPr>
            <w:r>
              <w:rPr>
                <w:b/>
                <w:color w:val="000000"/>
              </w:rPr>
              <w:t>34,300</w:t>
            </w:r>
          </w:p>
        </w:tc>
        <w:tc>
          <w:tcPr>
            <w:tcW w:w="521" w:type="pct"/>
            <w:tcBorders>
              <w:top w:val="single" w:sz="4" w:space="0" w:color="auto"/>
              <w:left w:val="nil"/>
              <w:bottom w:val="single" w:sz="4" w:space="0" w:color="293F5B"/>
              <w:right w:val="nil"/>
            </w:tcBorders>
            <w:shd w:val="clear" w:color="000000" w:fill="FFFFFF"/>
            <w:noWrap/>
            <w:vAlign w:val="center"/>
            <w:hideMark/>
          </w:tcPr>
          <w:p w14:paraId="58068C8C" w14:textId="1099E970" w:rsidR="00EE488E" w:rsidRPr="00CE12FE" w:rsidRDefault="00EE488E" w:rsidP="00B4115E">
            <w:pPr>
              <w:pStyle w:val="TableTextRight"/>
              <w:rPr>
                <w:b/>
                <w:color w:val="000000"/>
              </w:rPr>
            </w:pPr>
            <w:r>
              <w:rPr>
                <w:b/>
                <w:color w:val="000000"/>
              </w:rPr>
              <w:t>39,085</w:t>
            </w:r>
          </w:p>
        </w:tc>
        <w:tc>
          <w:tcPr>
            <w:tcW w:w="527" w:type="pct"/>
            <w:tcBorders>
              <w:top w:val="single" w:sz="4" w:space="0" w:color="auto"/>
              <w:left w:val="nil"/>
              <w:bottom w:val="single" w:sz="4" w:space="0" w:color="293F5B"/>
              <w:right w:val="nil"/>
            </w:tcBorders>
            <w:shd w:val="clear" w:color="000000" w:fill="FFFFFF"/>
            <w:noWrap/>
            <w:vAlign w:val="center"/>
            <w:hideMark/>
          </w:tcPr>
          <w:p w14:paraId="0E4ACA7A" w14:textId="5805234C" w:rsidR="00EE488E" w:rsidRPr="00CE12FE" w:rsidRDefault="00EE488E" w:rsidP="00B4115E">
            <w:pPr>
              <w:pStyle w:val="TableTextRight"/>
              <w:rPr>
                <w:b/>
                <w:color w:val="000000"/>
              </w:rPr>
            </w:pPr>
            <w:r>
              <w:rPr>
                <w:b/>
                <w:color w:val="000000"/>
              </w:rPr>
              <w:t>41,190</w:t>
            </w:r>
          </w:p>
        </w:tc>
      </w:tr>
    </w:tbl>
    <w:p w14:paraId="5374B8B0" w14:textId="0DDA8B02" w:rsidR="00D8138E" w:rsidRPr="00EA746C" w:rsidRDefault="00D8138E" w:rsidP="00CE12FE">
      <w:pPr>
        <w:pStyle w:val="ChartandTableFootnoteAlpha"/>
        <w:numPr>
          <w:ilvl w:val="0"/>
          <w:numId w:val="39"/>
        </w:numPr>
      </w:pPr>
      <w:r w:rsidRPr="00EA746C">
        <w:t>Public debt interest estimates are calculated using the contract interest rates incurred on existing Australian Government Securities (AGS), previously referred to as Commonwealth Government Securities, when issued and on technical assumptions, based on prevailing market interest rates across the yield curve, for yields on future AGS issuance.</w:t>
      </w:r>
    </w:p>
    <w:p w14:paraId="3FDE0FE7" w14:textId="77777777" w:rsidR="00D8138E" w:rsidRPr="00EA746C" w:rsidRDefault="00D8138E" w:rsidP="00F6292A">
      <w:pPr>
        <w:pStyle w:val="TableLine"/>
      </w:pPr>
    </w:p>
    <w:p w14:paraId="4514F433" w14:textId="77777777" w:rsidR="00D8138E" w:rsidRPr="00EA746C" w:rsidRDefault="00D8138E" w:rsidP="00D8138E">
      <w:r w:rsidRPr="00EA746C">
        <w:br w:type="page"/>
      </w:r>
    </w:p>
    <w:p w14:paraId="4FE915DA" w14:textId="03442D4E" w:rsidR="00D8138E" w:rsidRPr="00663990" w:rsidRDefault="000D0B7D" w:rsidP="00BF0203">
      <w:pPr>
        <w:pStyle w:val="NoteTableHeading"/>
        <w:rPr>
          <w:rFonts w:eastAsiaTheme="minorHAnsi"/>
        </w:rPr>
      </w:pPr>
      <w:r>
        <w:lastRenderedPageBreak/>
        <w:t>Note </w:t>
      </w:r>
      <w:r w:rsidR="00D8138E" w:rsidRPr="00EA746C">
        <w:t>11: Current and capital grants expense</w:t>
      </w:r>
    </w:p>
    <w:tbl>
      <w:tblPr>
        <w:tblW w:w="5000" w:type="pct"/>
        <w:tblLook w:val="04A0" w:firstRow="1" w:lastRow="0" w:firstColumn="1" w:lastColumn="0" w:noHBand="0" w:noVBand="1"/>
      </w:tblPr>
      <w:tblGrid>
        <w:gridCol w:w="3689"/>
        <w:gridCol w:w="804"/>
        <w:gridCol w:w="804"/>
        <w:gridCol w:w="804"/>
        <w:gridCol w:w="804"/>
        <w:gridCol w:w="805"/>
      </w:tblGrid>
      <w:tr w:rsidR="00A66498" w:rsidRPr="00A66498" w14:paraId="63D42FC6" w14:textId="77777777" w:rsidTr="005B6CBF">
        <w:trPr>
          <w:trHeight w:val="225"/>
        </w:trPr>
        <w:tc>
          <w:tcPr>
            <w:tcW w:w="2393" w:type="pct"/>
            <w:tcBorders>
              <w:top w:val="single" w:sz="4" w:space="0" w:color="293F5B"/>
              <w:left w:val="nil"/>
              <w:bottom w:val="nil"/>
              <w:right w:val="nil"/>
            </w:tcBorders>
            <w:shd w:val="clear" w:color="000000" w:fill="FFFFFF"/>
            <w:noWrap/>
            <w:vAlign w:val="center"/>
            <w:hideMark/>
          </w:tcPr>
          <w:p w14:paraId="71958D64" w14:textId="77777777" w:rsidR="00A66498" w:rsidRPr="00A66498" w:rsidRDefault="00A66498" w:rsidP="00F31434">
            <w:pPr>
              <w:pStyle w:val="TableTextLeft"/>
            </w:pPr>
            <w:r w:rsidRPr="00A66498">
              <w:t> </w:t>
            </w:r>
          </w:p>
        </w:tc>
        <w:tc>
          <w:tcPr>
            <w:tcW w:w="2607" w:type="pct"/>
            <w:gridSpan w:val="5"/>
            <w:tcBorders>
              <w:top w:val="single" w:sz="4" w:space="0" w:color="293F5B"/>
              <w:left w:val="nil"/>
              <w:bottom w:val="single" w:sz="4" w:space="0" w:color="293F5B"/>
              <w:right w:val="nil"/>
            </w:tcBorders>
            <w:shd w:val="clear" w:color="auto" w:fill="auto"/>
            <w:noWrap/>
            <w:vAlign w:val="center"/>
            <w:hideMark/>
          </w:tcPr>
          <w:p w14:paraId="115E2593" w14:textId="77777777" w:rsidR="00A66498" w:rsidRPr="00A66498" w:rsidRDefault="00A66498" w:rsidP="00A637A4">
            <w:pPr>
              <w:pStyle w:val="TableTextCentred"/>
            </w:pPr>
            <w:r w:rsidRPr="00A66498">
              <w:t>Estimates</w:t>
            </w:r>
          </w:p>
        </w:tc>
      </w:tr>
      <w:tr w:rsidR="00A66498" w:rsidRPr="00A66498" w14:paraId="2AD7BFC2" w14:textId="77777777" w:rsidTr="005B6CBF">
        <w:trPr>
          <w:trHeight w:val="225"/>
        </w:trPr>
        <w:tc>
          <w:tcPr>
            <w:tcW w:w="2393" w:type="pct"/>
            <w:tcBorders>
              <w:top w:val="nil"/>
              <w:left w:val="nil"/>
              <w:bottom w:val="nil"/>
              <w:right w:val="nil"/>
            </w:tcBorders>
            <w:shd w:val="clear" w:color="000000" w:fill="FFFFFF"/>
            <w:noWrap/>
            <w:vAlign w:val="center"/>
            <w:hideMark/>
          </w:tcPr>
          <w:p w14:paraId="5E39A1AF" w14:textId="77777777" w:rsidR="00A66498" w:rsidRPr="00A66498" w:rsidRDefault="00A66498" w:rsidP="00F31434">
            <w:pPr>
              <w:pStyle w:val="TableTextLeft"/>
            </w:pPr>
            <w:r w:rsidRPr="00A66498">
              <w:t> </w:t>
            </w:r>
          </w:p>
        </w:tc>
        <w:tc>
          <w:tcPr>
            <w:tcW w:w="521" w:type="pct"/>
            <w:tcBorders>
              <w:top w:val="nil"/>
              <w:left w:val="nil"/>
              <w:bottom w:val="nil"/>
              <w:right w:val="nil"/>
            </w:tcBorders>
            <w:shd w:val="clear" w:color="000000" w:fill="FFFFFF"/>
            <w:noWrap/>
            <w:vAlign w:val="center"/>
            <w:hideMark/>
          </w:tcPr>
          <w:p w14:paraId="63FC9FD9" w14:textId="38A5AA35" w:rsidR="00A66498" w:rsidRPr="00A66498" w:rsidRDefault="00A66498" w:rsidP="00A637A4">
            <w:pPr>
              <w:pStyle w:val="TableTextRight"/>
            </w:pPr>
            <w:r w:rsidRPr="00A66498">
              <w:t>2023</w:t>
            </w:r>
            <w:r w:rsidR="00325E1E">
              <w:noBreakHyphen/>
            </w:r>
            <w:r w:rsidRPr="00A66498">
              <w:t>24</w:t>
            </w:r>
          </w:p>
        </w:tc>
        <w:tc>
          <w:tcPr>
            <w:tcW w:w="521" w:type="pct"/>
            <w:tcBorders>
              <w:top w:val="nil"/>
              <w:left w:val="nil"/>
              <w:bottom w:val="nil"/>
              <w:right w:val="nil"/>
            </w:tcBorders>
            <w:shd w:val="clear" w:color="000000" w:fill="E6F2FF"/>
            <w:noWrap/>
            <w:vAlign w:val="center"/>
            <w:hideMark/>
          </w:tcPr>
          <w:p w14:paraId="6D8D2989" w14:textId="2429DC5A" w:rsidR="00A66498" w:rsidRPr="00A66498" w:rsidRDefault="00A66498" w:rsidP="00A637A4">
            <w:pPr>
              <w:pStyle w:val="TableTextRight"/>
            </w:pPr>
            <w:r w:rsidRPr="00A66498">
              <w:t>2024</w:t>
            </w:r>
            <w:r w:rsidR="00325E1E">
              <w:noBreakHyphen/>
            </w:r>
            <w:r w:rsidRPr="00A66498">
              <w:t>25</w:t>
            </w:r>
          </w:p>
        </w:tc>
        <w:tc>
          <w:tcPr>
            <w:tcW w:w="521" w:type="pct"/>
            <w:tcBorders>
              <w:top w:val="nil"/>
              <w:left w:val="nil"/>
              <w:bottom w:val="nil"/>
              <w:right w:val="nil"/>
            </w:tcBorders>
            <w:shd w:val="clear" w:color="000000" w:fill="FFFFFF"/>
            <w:noWrap/>
            <w:vAlign w:val="center"/>
            <w:hideMark/>
          </w:tcPr>
          <w:p w14:paraId="5B7F6793" w14:textId="4B2545EF" w:rsidR="00A66498" w:rsidRPr="00A66498" w:rsidRDefault="00A66498" w:rsidP="00A637A4">
            <w:pPr>
              <w:pStyle w:val="TableTextRight"/>
            </w:pPr>
            <w:r w:rsidRPr="00A66498">
              <w:t>2025</w:t>
            </w:r>
            <w:r w:rsidR="00325E1E">
              <w:noBreakHyphen/>
            </w:r>
            <w:r w:rsidRPr="00A66498">
              <w:t>26</w:t>
            </w:r>
          </w:p>
        </w:tc>
        <w:tc>
          <w:tcPr>
            <w:tcW w:w="521" w:type="pct"/>
            <w:tcBorders>
              <w:top w:val="nil"/>
              <w:left w:val="nil"/>
              <w:bottom w:val="nil"/>
              <w:right w:val="nil"/>
            </w:tcBorders>
            <w:shd w:val="clear" w:color="000000" w:fill="FFFFFF"/>
            <w:noWrap/>
            <w:vAlign w:val="center"/>
            <w:hideMark/>
          </w:tcPr>
          <w:p w14:paraId="41B56784" w14:textId="3649A327" w:rsidR="00A66498" w:rsidRPr="00A66498" w:rsidRDefault="00A66498" w:rsidP="00A637A4">
            <w:pPr>
              <w:pStyle w:val="TableTextRight"/>
            </w:pPr>
            <w:r w:rsidRPr="00A66498">
              <w:t>2026</w:t>
            </w:r>
            <w:r w:rsidR="00325E1E">
              <w:noBreakHyphen/>
            </w:r>
            <w:r w:rsidRPr="00A66498">
              <w:t>27</w:t>
            </w:r>
          </w:p>
        </w:tc>
        <w:tc>
          <w:tcPr>
            <w:tcW w:w="521" w:type="pct"/>
            <w:tcBorders>
              <w:top w:val="nil"/>
              <w:left w:val="nil"/>
              <w:bottom w:val="nil"/>
              <w:right w:val="nil"/>
            </w:tcBorders>
            <w:shd w:val="clear" w:color="000000" w:fill="FFFFFF"/>
            <w:noWrap/>
            <w:vAlign w:val="center"/>
            <w:hideMark/>
          </w:tcPr>
          <w:p w14:paraId="6751091E" w14:textId="4F71DA29" w:rsidR="00A66498" w:rsidRPr="00A66498" w:rsidRDefault="00A66498" w:rsidP="00A637A4">
            <w:pPr>
              <w:pStyle w:val="TableTextRight"/>
              <w:rPr>
                <w:color w:val="000000"/>
              </w:rPr>
            </w:pPr>
            <w:r w:rsidRPr="00A66498">
              <w:rPr>
                <w:color w:val="000000"/>
              </w:rPr>
              <w:t>2027</w:t>
            </w:r>
            <w:r w:rsidR="00325E1E">
              <w:rPr>
                <w:color w:val="000000"/>
              </w:rPr>
              <w:noBreakHyphen/>
            </w:r>
            <w:r w:rsidRPr="00A66498">
              <w:rPr>
                <w:color w:val="000000"/>
              </w:rPr>
              <w:t>28</w:t>
            </w:r>
          </w:p>
        </w:tc>
      </w:tr>
      <w:tr w:rsidR="00A66498" w:rsidRPr="00A66498" w14:paraId="289A1C13" w14:textId="77777777" w:rsidTr="005B6CBF">
        <w:trPr>
          <w:trHeight w:val="225"/>
        </w:trPr>
        <w:tc>
          <w:tcPr>
            <w:tcW w:w="2393" w:type="pct"/>
            <w:tcBorders>
              <w:top w:val="nil"/>
              <w:left w:val="nil"/>
              <w:bottom w:val="nil"/>
              <w:right w:val="nil"/>
            </w:tcBorders>
            <w:shd w:val="clear" w:color="000000" w:fill="FFFFFF"/>
            <w:noWrap/>
            <w:vAlign w:val="center"/>
            <w:hideMark/>
          </w:tcPr>
          <w:p w14:paraId="31E4329F" w14:textId="77777777" w:rsidR="00A66498" w:rsidRPr="00A66498" w:rsidRDefault="00A66498" w:rsidP="00F31434">
            <w:pPr>
              <w:pStyle w:val="TableTextLeft"/>
            </w:pPr>
            <w:r w:rsidRPr="00A66498">
              <w:t> </w:t>
            </w:r>
          </w:p>
        </w:tc>
        <w:tc>
          <w:tcPr>
            <w:tcW w:w="521" w:type="pct"/>
            <w:tcBorders>
              <w:top w:val="nil"/>
              <w:left w:val="nil"/>
              <w:bottom w:val="single" w:sz="4" w:space="0" w:color="293F5B"/>
              <w:right w:val="nil"/>
            </w:tcBorders>
            <w:shd w:val="clear" w:color="000000" w:fill="FFFFFF"/>
            <w:noWrap/>
            <w:vAlign w:val="center"/>
            <w:hideMark/>
          </w:tcPr>
          <w:p w14:paraId="1A76B9A2" w14:textId="77777777" w:rsidR="00A66498" w:rsidRPr="00A66498" w:rsidRDefault="00A66498" w:rsidP="00A637A4">
            <w:pPr>
              <w:pStyle w:val="TableTextRight"/>
              <w:rPr>
                <w:color w:val="000000"/>
              </w:rPr>
            </w:pPr>
            <w:r w:rsidRPr="00A66498">
              <w:rPr>
                <w:color w:val="000000"/>
              </w:rPr>
              <w:t>$m</w:t>
            </w:r>
          </w:p>
        </w:tc>
        <w:tc>
          <w:tcPr>
            <w:tcW w:w="521" w:type="pct"/>
            <w:tcBorders>
              <w:top w:val="nil"/>
              <w:left w:val="nil"/>
              <w:bottom w:val="single" w:sz="4" w:space="0" w:color="293F5B"/>
              <w:right w:val="nil"/>
            </w:tcBorders>
            <w:shd w:val="clear" w:color="000000" w:fill="E6F2FF"/>
            <w:noWrap/>
            <w:vAlign w:val="center"/>
            <w:hideMark/>
          </w:tcPr>
          <w:p w14:paraId="57BC3459" w14:textId="77777777" w:rsidR="00A66498" w:rsidRPr="00A66498" w:rsidRDefault="00A66498" w:rsidP="00A637A4">
            <w:pPr>
              <w:pStyle w:val="TableTextRight"/>
              <w:rPr>
                <w:color w:val="000000"/>
              </w:rPr>
            </w:pPr>
            <w:r w:rsidRPr="00A66498">
              <w:rPr>
                <w:color w:val="000000"/>
              </w:rPr>
              <w:t>$m</w:t>
            </w:r>
          </w:p>
        </w:tc>
        <w:tc>
          <w:tcPr>
            <w:tcW w:w="521" w:type="pct"/>
            <w:tcBorders>
              <w:top w:val="nil"/>
              <w:left w:val="nil"/>
              <w:bottom w:val="single" w:sz="4" w:space="0" w:color="293F5B"/>
              <w:right w:val="nil"/>
            </w:tcBorders>
            <w:shd w:val="clear" w:color="000000" w:fill="FFFFFF"/>
            <w:noWrap/>
            <w:vAlign w:val="center"/>
            <w:hideMark/>
          </w:tcPr>
          <w:p w14:paraId="6A311285" w14:textId="77777777" w:rsidR="00A66498" w:rsidRPr="00A66498" w:rsidRDefault="00A66498" w:rsidP="00A637A4">
            <w:pPr>
              <w:pStyle w:val="TableTextRight"/>
              <w:rPr>
                <w:color w:val="000000"/>
              </w:rPr>
            </w:pPr>
            <w:r w:rsidRPr="00A66498">
              <w:rPr>
                <w:color w:val="000000"/>
              </w:rPr>
              <w:t>$m</w:t>
            </w:r>
          </w:p>
        </w:tc>
        <w:tc>
          <w:tcPr>
            <w:tcW w:w="521" w:type="pct"/>
            <w:tcBorders>
              <w:top w:val="nil"/>
              <w:left w:val="nil"/>
              <w:bottom w:val="single" w:sz="4" w:space="0" w:color="293F5B"/>
              <w:right w:val="nil"/>
            </w:tcBorders>
            <w:shd w:val="clear" w:color="000000" w:fill="FFFFFF"/>
            <w:noWrap/>
            <w:vAlign w:val="center"/>
            <w:hideMark/>
          </w:tcPr>
          <w:p w14:paraId="77A07080" w14:textId="77777777" w:rsidR="00A66498" w:rsidRPr="00A66498" w:rsidRDefault="00A66498" w:rsidP="00A637A4">
            <w:pPr>
              <w:pStyle w:val="TableTextRight"/>
              <w:rPr>
                <w:color w:val="000000"/>
              </w:rPr>
            </w:pPr>
            <w:r w:rsidRPr="00A66498">
              <w:rPr>
                <w:color w:val="000000"/>
              </w:rPr>
              <w:t>$m</w:t>
            </w:r>
          </w:p>
        </w:tc>
        <w:tc>
          <w:tcPr>
            <w:tcW w:w="521" w:type="pct"/>
            <w:tcBorders>
              <w:top w:val="nil"/>
              <w:left w:val="nil"/>
              <w:bottom w:val="single" w:sz="4" w:space="0" w:color="293F5B"/>
              <w:right w:val="nil"/>
            </w:tcBorders>
            <w:shd w:val="clear" w:color="000000" w:fill="FFFFFF"/>
            <w:noWrap/>
            <w:vAlign w:val="center"/>
            <w:hideMark/>
          </w:tcPr>
          <w:p w14:paraId="6108C5D3" w14:textId="77777777" w:rsidR="00A66498" w:rsidRPr="00A66498" w:rsidRDefault="00A66498" w:rsidP="00A637A4">
            <w:pPr>
              <w:pStyle w:val="TableTextRight"/>
              <w:rPr>
                <w:color w:val="000000"/>
              </w:rPr>
            </w:pPr>
            <w:r w:rsidRPr="00A66498">
              <w:rPr>
                <w:color w:val="000000"/>
              </w:rPr>
              <w:t>$m</w:t>
            </w:r>
          </w:p>
        </w:tc>
      </w:tr>
      <w:tr w:rsidR="00A66498" w:rsidRPr="00A66498" w14:paraId="5BB05BAC" w14:textId="77777777" w:rsidTr="005B6CBF">
        <w:trPr>
          <w:trHeight w:val="225"/>
        </w:trPr>
        <w:tc>
          <w:tcPr>
            <w:tcW w:w="2393" w:type="pct"/>
            <w:tcBorders>
              <w:top w:val="nil"/>
              <w:left w:val="nil"/>
              <w:bottom w:val="nil"/>
              <w:right w:val="nil"/>
            </w:tcBorders>
            <w:shd w:val="clear" w:color="000000" w:fill="FFFFFF"/>
            <w:noWrap/>
            <w:vAlign w:val="center"/>
            <w:hideMark/>
          </w:tcPr>
          <w:p w14:paraId="3B33D860" w14:textId="77777777" w:rsidR="00A66498" w:rsidRPr="00A66498" w:rsidRDefault="00A66498" w:rsidP="00F31434">
            <w:pPr>
              <w:pStyle w:val="TableTextLeft"/>
              <w:rPr>
                <w:b/>
              </w:rPr>
            </w:pPr>
            <w:r w:rsidRPr="00A66498">
              <w:rPr>
                <w:b/>
              </w:rPr>
              <w:t>Current grants expense</w:t>
            </w:r>
          </w:p>
        </w:tc>
        <w:tc>
          <w:tcPr>
            <w:tcW w:w="521" w:type="pct"/>
            <w:tcBorders>
              <w:top w:val="nil"/>
              <w:left w:val="nil"/>
              <w:bottom w:val="nil"/>
              <w:right w:val="nil"/>
            </w:tcBorders>
            <w:shd w:val="clear" w:color="000000" w:fill="FFFFFF"/>
            <w:noWrap/>
            <w:vAlign w:val="center"/>
            <w:hideMark/>
          </w:tcPr>
          <w:p w14:paraId="4F009BB0"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E6F2FF"/>
            <w:noWrap/>
            <w:vAlign w:val="center"/>
            <w:hideMark/>
          </w:tcPr>
          <w:p w14:paraId="65618D58"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6A786413"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27A41774"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5D247BDB" w14:textId="77777777" w:rsidR="00A66498" w:rsidRPr="00A66498" w:rsidRDefault="00A66498" w:rsidP="00A637A4">
            <w:pPr>
              <w:pStyle w:val="TableTextRight"/>
            </w:pPr>
            <w:r w:rsidRPr="00A66498">
              <w:t> </w:t>
            </w:r>
          </w:p>
        </w:tc>
      </w:tr>
      <w:tr w:rsidR="00A66498" w:rsidRPr="00A66498" w14:paraId="505A6D56" w14:textId="77777777" w:rsidTr="005B6CBF">
        <w:trPr>
          <w:trHeight w:val="225"/>
        </w:trPr>
        <w:tc>
          <w:tcPr>
            <w:tcW w:w="2393" w:type="pct"/>
            <w:tcBorders>
              <w:top w:val="nil"/>
              <w:left w:val="nil"/>
              <w:bottom w:val="nil"/>
              <w:right w:val="nil"/>
            </w:tcBorders>
            <w:shd w:val="clear" w:color="000000" w:fill="FFFFFF"/>
            <w:noWrap/>
            <w:vAlign w:val="center"/>
            <w:hideMark/>
          </w:tcPr>
          <w:p w14:paraId="17B9AA88" w14:textId="77777777" w:rsidR="00A66498" w:rsidRPr="00A66498" w:rsidRDefault="00A66498" w:rsidP="00F31434">
            <w:pPr>
              <w:pStyle w:val="TableTextIndented"/>
            </w:pPr>
            <w:r w:rsidRPr="00A66498">
              <w:t>State and territory governments</w:t>
            </w:r>
          </w:p>
        </w:tc>
        <w:tc>
          <w:tcPr>
            <w:tcW w:w="521" w:type="pct"/>
            <w:tcBorders>
              <w:top w:val="nil"/>
              <w:left w:val="nil"/>
              <w:bottom w:val="nil"/>
              <w:right w:val="nil"/>
            </w:tcBorders>
            <w:shd w:val="clear" w:color="000000" w:fill="FFFFFF"/>
            <w:noWrap/>
            <w:vAlign w:val="center"/>
            <w:hideMark/>
          </w:tcPr>
          <w:p w14:paraId="48CFDD1A" w14:textId="77777777" w:rsidR="00A66498" w:rsidRPr="00A66498" w:rsidRDefault="00A66498" w:rsidP="00A637A4">
            <w:pPr>
              <w:pStyle w:val="TableTextRight"/>
              <w:rPr>
                <w:color w:val="000000"/>
              </w:rPr>
            </w:pPr>
            <w:r w:rsidRPr="00A66498">
              <w:rPr>
                <w:color w:val="000000"/>
              </w:rPr>
              <w:t>159,102</w:t>
            </w:r>
          </w:p>
        </w:tc>
        <w:tc>
          <w:tcPr>
            <w:tcW w:w="521" w:type="pct"/>
            <w:tcBorders>
              <w:top w:val="nil"/>
              <w:left w:val="nil"/>
              <w:bottom w:val="nil"/>
              <w:right w:val="nil"/>
            </w:tcBorders>
            <w:shd w:val="clear" w:color="000000" w:fill="E6F2FF"/>
            <w:noWrap/>
            <w:vAlign w:val="center"/>
            <w:hideMark/>
          </w:tcPr>
          <w:p w14:paraId="6962030A" w14:textId="77777777" w:rsidR="00A66498" w:rsidRPr="00A66498" w:rsidRDefault="00A66498" w:rsidP="00A637A4">
            <w:pPr>
              <w:pStyle w:val="TableTextRight"/>
              <w:rPr>
                <w:color w:val="000000"/>
              </w:rPr>
            </w:pPr>
            <w:r w:rsidRPr="00A66498">
              <w:rPr>
                <w:color w:val="000000"/>
              </w:rPr>
              <w:t>167,269</w:t>
            </w:r>
          </w:p>
        </w:tc>
        <w:tc>
          <w:tcPr>
            <w:tcW w:w="521" w:type="pct"/>
            <w:tcBorders>
              <w:top w:val="nil"/>
              <w:left w:val="nil"/>
              <w:bottom w:val="nil"/>
              <w:right w:val="nil"/>
            </w:tcBorders>
            <w:shd w:val="clear" w:color="000000" w:fill="FFFFFF"/>
            <w:noWrap/>
            <w:vAlign w:val="center"/>
            <w:hideMark/>
          </w:tcPr>
          <w:p w14:paraId="701B733E" w14:textId="77777777" w:rsidR="00A66498" w:rsidRPr="00A66498" w:rsidRDefault="00A66498" w:rsidP="00A637A4">
            <w:pPr>
              <w:pStyle w:val="TableTextRight"/>
              <w:rPr>
                <w:color w:val="000000"/>
              </w:rPr>
            </w:pPr>
            <w:r w:rsidRPr="00A66498">
              <w:rPr>
                <w:color w:val="000000"/>
              </w:rPr>
              <w:t>172,099</w:t>
            </w:r>
          </w:p>
        </w:tc>
        <w:tc>
          <w:tcPr>
            <w:tcW w:w="521" w:type="pct"/>
            <w:tcBorders>
              <w:top w:val="nil"/>
              <w:left w:val="nil"/>
              <w:bottom w:val="nil"/>
              <w:right w:val="nil"/>
            </w:tcBorders>
            <w:shd w:val="clear" w:color="000000" w:fill="FFFFFF"/>
            <w:noWrap/>
            <w:vAlign w:val="center"/>
            <w:hideMark/>
          </w:tcPr>
          <w:p w14:paraId="6820FED7" w14:textId="77777777" w:rsidR="00A66498" w:rsidRPr="00A66498" w:rsidRDefault="00A66498" w:rsidP="00A637A4">
            <w:pPr>
              <w:pStyle w:val="TableTextRight"/>
              <w:rPr>
                <w:color w:val="000000"/>
              </w:rPr>
            </w:pPr>
            <w:r w:rsidRPr="00A66498">
              <w:rPr>
                <w:color w:val="000000"/>
              </w:rPr>
              <w:t>180,040</w:t>
            </w:r>
          </w:p>
        </w:tc>
        <w:tc>
          <w:tcPr>
            <w:tcW w:w="521" w:type="pct"/>
            <w:tcBorders>
              <w:top w:val="nil"/>
              <w:left w:val="nil"/>
              <w:bottom w:val="nil"/>
              <w:right w:val="nil"/>
            </w:tcBorders>
            <w:shd w:val="clear" w:color="000000" w:fill="FFFFFF"/>
            <w:noWrap/>
            <w:vAlign w:val="center"/>
            <w:hideMark/>
          </w:tcPr>
          <w:p w14:paraId="54DD7EE8" w14:textId="77777777" w:rsidR="00A66498" w:rsidRPr="00A66498" w:rsidRDefault="00A66498" w:rsidP="00A637A4">
            <w:pPr>
              <w:pStyle w:val="TableTextRight"/>
              <w:rPr>
                <w:color w:val="000000"/>
              </w:rPr>
            </w:pPr>
            <w:r w:rsidRPr="00A66498">
              <w:rPr>
                <w:color w:val="000000"/>
              </w:rPr>
              <w:t>187,753</w:t>
            </w:r>
          </w:p>
        </w:tc>
      </w:tr>
      <w:tr w:rsidR="00A66498" w:rsidRPr="00A66498" w14:paraId="70945AB1" w14:textId="77777777" w:rsidTr="005B6CBF">
        <w:trPr>
          <w:trHeight w:val="225"/>
        </w:trPr>
        <w:tc>
          <w:tcPr>
            <w:tcW w:w="2393" w:type="pct"/>
            <w:tcBorders>
              <w:top w:val="nil"/>
              <w:left w:val="nil"/>
              <w:bottom w:val="nil"/>
              <w:right w:val="nil"/>
            </w:tcBorders>
            <w:shd w:val="clear" w:color="000000" w:fill="FFFFFF"/>
            <w:noWrap/>
            <w:vAlign w:val="center"/>
            <w:hideMark/>
          </w:tcPr>
          <w:p w14:paraId="38215B07" w14:textId="77777777" w:rsidR="00A66498" w:rsidRPr="00A66498" w:rsidRDefault="00A66498" w:rsidP="00F31434">
            <w:pPr>
              <w:pStyle w:val="TableTextIndented"/>
            </w:pPr>
            <w:r w:rsidRPr="00A66498">
              <w:t>Private sector</w:t>
            </w:r>
          </w:p>
        </w:tc>
        <w:tc>
          <w:tcPr>
            <w:tcW w:w="521" w:type="pct"/>
            <w:tcBorders>
              <w:top w:val="nil"/>
              <w:left w:val="nil"/>
              <w:bottom w:val="nil"/>
              <w:right w:val="nil"/>
            </w:tcBorders>
            <w:shd w:val="clear" w:color="000000" w:fill="FFFFFF"/>
            <w:noWrap/>
            <w:vAlign w:val="center"/>
            <w:hideMark/>
          </w:tcPr>
          <w:p w14:paraId="72ADECC3" w14:textId="77777777" w:rsidR="00A66498" w:rsidRPr="00A66498" w:rsidRDefault="00A66498" w:rsidP="00A637A4">
            <w:pPr>
              <w:pStyle w:val="TableTextRight"/>
              <w:rPr>
                <w:color w:val="000000"/>
              </w:rPr>
            </w:pPr>
            <w:r w:rsidRPr="00A66498">
              <w:rPr>
                <w:color w:val="000000"/>
              </w:rPr>
              <w:t>6,193</w:t>
            </w:r>
          </w:p>
        </w:tc>
        <w:tc>
          <w:tcPr>
            <w:tcW w:w="521" w:type="pct"/>
            <w:tcBorders>
              <w:top w:val="nil"/>
              <w:left w:val="nil"/>
              <w:bottom w:val="nil"/>
              <w:right w:val="nil"/>
            </w:tcBorders>
            <w:shd w:val="clear" w:color="000000" w:fill="E6F2FF"/>
            <w:noWrap/>
            <w:vAlign w:val="center"/>
            <w:hideMark/>
          </w:tcPr>
          <w:p w14:paraId="1560F126" w14:textId="77777777" w:rsidR="00A66498" w:rsidRPr="00A66498" w:rsidRDefault="00A66498" w:rsidP="00A637A4">
            <w:pPr>
              <w:pStyle w:val="TableTextRight"/>
              <w:rPr>
                <w:color w:val="000000"/>
              </w:rPr>
            </w:pPr>
            <w:r w:rsidRPr="00A66498">
              <w:rPr>
                <w:color w:val="000000"/>
              </w:rPr>
              <w:t>6,650</w:t>
            </w:r>
          </w:p>
        </w:tc>
        <w:tc>
          <w:tcPr>
            <w:tcW w:w="521" w:type="pct"/>
            <w:tcBorders>
              <w:top w:val="nil"/>
              <w:left w:val="nil"/>
              <w:bottom w:val="nil"/>
              <w:right w:val="nil"/>
            </w:tcBorders>
            <w:shd w:val="clear" w:color="000000" w:fill="FFFFFF"/>
            <w:noWrap/>
            <w:vAlign w:val="center"/>
            <w:hideMark/>
          </w:tcPr>
          <w:p w14:paraId="430FFF78" w14:textId="77777777" w:rsidR="00A66498" w:rsidRPr="00A66498" w:rsidRDefault="00A66498" w:rsidP="00A637A4">
            <w:pPr>
              <w:pStyle w:val="TableTextRight"/>
              <w:rPr>
                <w:color w:val="000000"/>
              </w:rPr>
            </w:pPr>
            <w:r w:rsidRPr="00A66498">
              <w:rPr>
                <w:color w:val="000000"/>
              </w:rPr>
              <w:t>5,669</w:t>
            </w:r>
          </w:p>
        </w:tc>
        <w:tc>
          <w:tcPr>
            <w:tcW w:w="521" w:type="pct"/>
            <w:tcBorders>
              <w:top w:val="nil"/>
              <w:left w:val="nil"/>
              <w:bottom w:val="nil"/>
              <w:right w:val="nil"/>
            </w:tcBorders>
            <w:shd w:val="clear" w:color="000000" w:fill="FFFFFF"/>
            <w:noWrap/>
            <w:vAlign w:val="center"/>
            <w:hideMark/>
          </w:tcPr>
          <w:p w14:paraId="57C86F11" w14:textId="77777777" w:rsidR="00A66498" w:rsidRPr="00A66498" w:rsidRDefault="00A66498" w:rsidP="00A637A4">
            <w:pPr>
              <w:pStyle w:val="TableTextRight"/>
              <w:rPr>
                <w:color w:val="000000"/>
              </w:rPr>
            </w:pPr>
            <w:r w:rsidRPr="00A66498">
              <w:rPr>
                <w:color w:val="000000"/>
              </w:rPr>
              <w:t>5,172</w:t>
            </w:r>
          </w:p>
        </w:tc>
        <w:tc>
          <w:tcPr>
            <w:tcW w:w="521" w:type="pct"/>
            <w:tcBorders>
              <w:top w:val="nil"/>
              <w:left w:val="nil"/>
              <w:bottom w:val="nil"/>
              <w:right w:val="nil"/>
            </w:tcBorders>
            <w:shd w:val="clear" w:color="000000" w:fill="FFFFFF"/>
            <w:noWrap/>
            <w:vAlign w:val="center"/>
            <w:hideMark/>
          </w:tcPr>
          <w:p w14:paraId="3F59BC2A" w14:textId="77777777" w:rsidR="00A66498" w:rsidRPr="00A66498" w:rsidRDefault="00A66498" w:rsidP="00A637A4">
            <w:pPr>
              <w:pStyle w:val="TableTextRight"/>
              <w:rPr>
                <w:color w:val="000000"/>
              </w:rPr>
            </w:pPr>
            <w:r w:rsidRPr="00A66498">
              <w:rPr>
                <w:color w:val="000000"/>
              </w:rPr>
              <w:t>4,598</w:t>
            </w:r>
          </w:p>
        </w:tc>
      </w:tr>
      <w:tr w:rsidR="00A66498" w:rsidRPr="00A66498" w14:paraId="0F9B765C" w14:textId="77777777" w:rsidTr="005B6CBF">
        <w:trPr>
          <w:trHeight w:val="225"/>
        </w:trPr>
        <w:tc>
          <w:tcPr>
            <w:tcW w:w="2393" w:type="pct"/>
            <w:tcBorders>
              <w:top w:val="nil"/>
              <w:left w:val="nil"/>
              <w:bottom w:val="nil"/>
              <w:right w:val="nil"/>
            </w:tcBorders>
            <w:shd w:val="clear" w:color="000000" w:fill="FFFFFF"/>
            <w:noWrap/>
            <w:vAlign w:val="center"/>
            <w:hideMark/>
          </w:tcPr>
          <w:p w14:paraId="0668246D" w14:textId="77777777" w:rsidR="00A66498" w:rsidRPr="00A66498" w:rsidRDefault="00A66498" w:rsidP="00F31434">
            <w:pPr>
              <w:pStyle w:val="TableTextIndented"/>
            </w:pPr>
            <w:r w:rsidRPr="00A66498">
              <w:t>Overseas</w:t>
            </w:r>
          </w:p>
        </w:tc>
        <w:tc>
          <w:tcPr>
            <w:tcW w:w="521" w:type="pct"/>
            <w:tcBorders>
              <w:top w:val="nil"/>
              <w:left w:val="nil"/>
              <w:bottom w:val="nil"/>
              <w:right w:val="nil"/>
            </w:tcBorders>
            <w:shd w:val="clear" w:color="000000" w:fill="FFFFFF"/>
            <w:noWrap/>
            <w:vAlign w:val="center"/>
            <w:hideMark/>
          </w:tcPr>
          <w:p w14:paraId="644A2144" w14:textId="77777777" w:rsidR="00A66498" w:rsidRPr="00A66498" w:rsidRDefault="00A66498" w:rsidP="00A637A4">
            <w:pPr>
              <w:pStyle w:val="TableTextRight"/>
              <w:rPr>
                <w:color w:val="000000"/>
              </w:rPr>
            </w:pPr>
            <w:r w:rsidRPr="00A66498">
              <w:rPr>
                <w:color w:val="000000"/>
              </w:rPr>
              <w:t>4,342</w:t>
            </w:r>
          </w:p>
        </w:tc>
        <w:tc>
          <w:tcPr>
            <w:tcW w:w="521" w:type="pct"/>
            <w:tcBorders>
              <w:top w:val="nil"/>
              <w:left w:val="nil"/>
              <w:bottom w:val="nil"/>
              <w:right w:val="nil"/>
            </w:tcBorders>
            <w:shd w:val="clear" w:color="000000" w:fill="E6F2FF"/>
            <w:noWrap/>
            <w:vAlign w:val="center"/>
            <w:hideMark/>
          </w:tcPr>
          <w:p w14:paraId="0AEB2C56" w14:textId="77777777" w:rsidR="00A66498" w:rsidRPr="00A66498" w:rsidRDefault="00A66498" w:rsidP="00A637A4">
            <w:pPr>
              <w:pStyle w:val="TableTextRight"/>
              <w:rPr>
                <w:color w:val="000000"/>
              </w:rPr>
            </w:pPr>
            <w:r w:rsidRPr="00A66498">
              <w:rPr>
                <w:color w:val="000000"/>
              </w:rPr>
              <w:t>5,139</w:t>
            </w:r>
          </w:p>
        </w:tc>
        <w:tc>
          <w:tcPr>
            <w:tcW w:w="521" w:type="pct"/>
            <w:tcBorders>
              <w:top w:val="nil"/>
              <w:left w:val="nil"/>
              <w:bottom w:val="nil"/>
              <w:right w:val="nil"/>
            </w:tcBorders>
            <w:shd w:val="clear" w:color="000000" w:fill="FFFFFF"/>
            <w:noWrap/>
            <w:vAlign w:val="center"/>
            <w:hideMark/>
          </w:tcPr>
          <w:p w14:paraId="7B1091AA" w14:textId="77777777" w:rsidR="00A66498" w:rsidRPr="00A66498" w:rsidRDefault="00A66498" w:rsidP="00A637A4">
            <w:pPr>
              <w:pStyle w:val="TableTextRight"/>
              <w:rPr>
                <w:color w:val="000000"/>
              </w:rPr>
            </w:pPr>
            <w:r w:rsidRPr="00A66498">
              <w:rPr>
                <w:color w:val="000000"/>
              </w:rPr>
              <w:t>4,479</w:t>
            </w:r>
          </w:p>
        </w:tc>
        <w:tc>
          <w:tcPr>
            <w:tcW w:w="521" w:type="pct"/>
            <w:tcBorders>
              <w:top w:val="nil"/>
              <w:left w:val="nil"/>
              <w:bottom w:val="nil"/>
              <w:right w:val="nil"/>
            </w:tcBorders>
            <w:shd w:val="clear" w:color="000000" w:fill="FFFFFF"/>
            <w:noWrap/>
            <w:vAlign w:val="center"/>
            <w:hideMark/>
          </w:tcPr>
          <w:p w14:paraId="45B13053" w14:textId="77777777" w:rsidR="00A66498" w:rsidRPr="00A66498" w:rsidRDefault="00A66498" w:rsidP="00A637A4">
            <w:pPr>
              <w:pStyle w:val="TableTextRight"/>
              <w:rPr>
                <w:color w:val="000000"/>
              </w:rPr>
            </w:pPr>
            <w:r w:rsidRPr="00A66498">
              <w:rPr>
                <w:color w:val="000000"/>
              </w:rPr>
              <w:t>4,768</w:t>
            </w:r>
          </w:p>
        </w:tc>
        <w:tc>
          <w:tcPr>
            <w:tcW w:w="521" w:type="pct"/>
            <w:tcBorders>
              <w:top w:val="nil"/>
              <w:left w:val="nil"/>
              <w:bottom w:val="nil"/>
              <w:right w:val="nil"/>
            </w:tcBorders>
            <w:shd w:val="clear" w:color="000000" w:fill="FFFFFF"/>
            <w:noWrap/>
            <w:vAlign w:val="center"/>
            <w:hideMark/>
          </w:tcPr>
          <w:p w14:paraId="3997CCE0" w14:textId="77777777" w:rsidR="00A66498" w:rsidRPr="00A66498" w:rsidRDefault="00A66498" w:rsidP="00A637A4">
            <w:pPr>
              <w:pStyle w:val="TableTextRight"/>
              <w:rPr>
                <w:color w:val="000000"/>
              </w:rPr>
            </w:pPr>
            <w:r w:rsidRPr="00A66498">
              <w:rPr>
                <w:color w:val="000000"/>
              </w:rPr>
              <w:t>4,973</w:t>
            </w:r>
          </w:p>
        </w:tc>
      </w:tr>
      <w:tr w:rsidR="00A66498" w:rsidRPr="00A66498" w14:paraId="1571926D" w14:textId="77777777" w:rsidTr="005B6CBF">
        <w:trPr>
          <w:trHeight w:val="225"/>
        </w:trPr>
        <w:tc>
          <w:tcPr>
            <w:tcW w:w="2393" w:type="pct"/>
            <w:tcBorders>
              <w:top w:val="nil"/>
              <w:left w:val="nil"/>
              <w:bottom w:val="nil"/>
              <w:right w:val="nil"/>
            </w:tcBorders>
            <w:shd w:val="clear" w:color="000000" w:fill="FFFFFF"/>
            <w:noWrap/>
            <w:vAlign w:val="center"/>
            <w:hideMark/>
          </w:tcPr>
          <w:p w14:paraId="5A1857C0" w14:textId="567E34F4" w:rsidR="00A66498" w:rsidRPr="00A66498" w:rsidRDefault="00A66498" w:rsidP="00F31434">
            <w:pPr>
              <w:pStyle w:val="TableTextIndented"/>
              <w:rPr>
                <w:color w:val="000000"/>
              </w:rPr>
            </w:pPr>
            <w:r w:rsidRPr="00A66498">
              <w:rPr>
                <w:color w:val="000000"/>
              </w:rPr>
              <w:t>Non</w:t>
            </w:r>
            <w:r w:rsidR="00325E1E">
              <w:rPr>
                <w:color w:val="000000"/>
              </w:rPr>
              <w:noBreakHyphen/>
            </w:r>
            <w:r w:rsidRPr="00A66498">
              <w:rPr>
                <w:color w:val="000000"/>
              </w:rPr>
              <w:t>profit organisations</w:t>
            </w:r>
          </w:p>
        </w:tc>
        <w:tc>
          <w:tcPr>
            <w:tcW w:w="521" w:type="pct"/>
            <w:tcBorders>
              <w:top w:val="nil"/>
              <w:left w:val="nil"/>
              <w:bottom w:val="nil"/>
              <w:right w:val="nil"/>
            </w:tcBorders>
            <w:shd w:val="clear" w:color="000000" w:fill="FFFFFF"/>
            <w:noWrap/>
            <w:vAlign w:val="center"/>
            <w:hideMark/>
          </w:tcPr>
          <w:p w14:paraId="72EB40A8" w14:textId="77777777" w:rsidR="00A66498" w:rsidRPr="00A66498" w:rsidRDefault="00A66498" w:rsidP="00A637A4">
            <w:pPr>
              <w:pStyle w:val="TableTextRight"/>
              <w:rPr>
                <w:color w:val="000000"/>
              </w:rPr>
            </w:pPr>
            <w:r w:rsidRPr="00A66498">
              <w:rPr>
                <w:color w:val="000000"/>
              </w:rPr>
              <w:t>14,194</w:t>
            </w:r>
          </w:p>
        </w:tc>
        <w:tc>
          <w:tcPr>
            <w:tcW w:w="521" w:type="pct"/>
            <w:tcBorders>
              <w:top w:val="nil"/>
              <w:left w:val="nil"/>
              <w:bottom w:val="nil"/>
              <w:right w:val="nil"/>
            </w:tcBorders>
            <w:shd w:val="clear" w:color="000000" w:fill="E6F2FF"/>
            <w:noWrap/>
            <w:vAlign w:val="center"/>
            <w:hideMark/>
          </w:tcPr>
          <w:p w14:paraId="461C5A0D" w14:textId="77777777" w:rsidR="00A66498" w:rsidRPr="00A66498" w:rsidRDefault="00A66498" w:rsidP="00A637A4">
            <w:pPr>
              <w:pStyle w:val="TableTextRight"/>
              <w:rPr>
                <w:color w:val="000000"/>
              </w:rPr>
            </w:pPr>
            <w:r w:rsidRPr="00A66498">
              <w:rPr>
                <w:color w:val="000000"/>
              </w:rPr>
              <w:t>14,382</w:t>
            </w:r>
          </w:p>
        </w:tc>
        <w:tc>
          <w:tcPr>
            <w:tcW w:w="521" w:type="pct"/>
            <w:tcBorders>
              <w:top w:val="nil"/>
              <w:left w:val="nil"/>
              <w:bottom w:val="nil"/>
              <w:right w:val="nil"/>
            </w:tcBorders>
            <w:shd w:val="clear" w:color="000000" w:fill="FFFFFF"/>
            <w:noWrap/>
            <w:vAlign w:val="center"/>
            <w:hideMark/>
          </w:tcPr>
          <w:p w14:paraId="48B789A7" w14:textId="77777777" w:rsidR="00A66498" w:rsidRPr="00A66498" w:rsidRDefault="00A66498" w:rsidP="00A637A4">
            <w:pPr>
              <w:pStyle w:val="TableTextRight"/>
              <w:rPr>
                <w:color w:val="000000"/>
              </w:rPr>
            </w:pPr>
            <w:r w:rsidRPr="00A66498">
              <w:rPr>
                <w:color w:val="000000"/>
              </w:rPr>
              <w:t>13,093</w:t>
            </w:r>
          </w:p>
        </w:tc>
        <w:tc>
          <w:tcPr>
            <w:tcW w:w="521" w:type="pct"/>
            <w:tcBorders>
              <w:top w:val="nil"/>
              <w:left w:val="nil"/>
              <w:bottom w:val="nil"/>
              <w:right w:val="nil"/>
            </w:tcBorders>
            <w:shd w:val="clear" w:color="000000" w:fill="FFFFFF"/>
            <w:noWrap/>
            <w:vAlign w:val="center"/>
            <w:hideMark/>
          </w:tcPr>
          <w:p w14:paraId="442898D8" w14:textId="77777777" w:rsidR="00A66498" w:rsidRPr="00A66498" w:rsidRDefault="00A66498" w:rsidP="00A637A4">
            <w:pPr>
              <w:pStyle w:val="TableTextRight"/>
              <w:rPr>
                <w:color w:val="000000"/>
              </w:rPr>
            </w:pPr>
            <w:r w:rsidRPr="00A66498">
              <w:rPr>
                <w:color w:val="000000"/>
              </w:rPr>
              <w:t>12,510</w:t>
            </w:r>
          </w:p>
        </w:tc>
        <w:tc>
          <w:tcPr>
            <w:tcW w:w="521" w:type="pct"/>
            <w:tcBorders>
              <w:top w:val="nil"/>
              <w:left w:val="nil"/>
              <w:bottom w:val="nil"/>
              <w:right w:val="nil"/>
            </w:tcBorders>
            <w:shd w:val="clear" w:color="000000" w:fill="FFFFFF"/>
            <w:noWrap/>
            <w:vAlign w:val="center"/>
            <w:hideMark/>
          </w:tcPr>
          <w:p w14:paraId="647C73C1" w14:textId="77777777" w:rsidR="00A66498" w:rsidRPr="00A66498" w:rsidRDefault="00A66498" w:rsidP="00A637A4">
            <w:pPr>
              <w:pStyle w:val="TableTextRight"/>
              <w:rPr>
                <w:color w:val="000000"/>
              </w:rPr>
            </w:pPr>
            <w:r w:rsidRPr="00A66498">
              <w:rPr>
                <w:color w:val="000000"/>
              </w:rPr>
              <w:t>12,989</w:t>
            </w:r>
          </w:p>
        </w:tc>
      </w:tr>
      <w:tr w:rsidR="00A66498" w:rsidRPr="00A66498" w14:paraId="1C3858D0" w14:textId="77777777" w:rsidTr="005B6CBF">
        <w:trPr>
          <w:trHeight w:val="225"/>
        </w:trPr>
        <w:tc>
          <w:tcPr>
            <w:tcW w:w="2393" w:type="pct"/>
            <w:tcBorders>
              <w:top w:val="nil"/>
              <w:left w:val="nil"/>
              <w:bottom w:val="nil"/>
              <w:right w:val="nil"/>
            </w:tcBorders>
            <w:shd w:val="clear" w:color="000000" w:fill="FFFFFF"/>
            <w:noWrap/>
            <w:vAlign w:val="center"/>
            <w:hideMark/>
          </w:tcPr>
          <w:p w14:paraId="410B14DF" w14:textId="32132453" w:rsidR="00A66498" w:rsidRPr="00A66498" w:rsidRDefault="00A66498" w:rsidP="00F31434">
            <w:pPr>
              <w:pStyle w:val="TableTextIndented"/>
              <w:rPr>
                <w:color w:val="000000"/>
              </w:rPr>
            </w:pPr>
            <w:r w:rsidRPr="00A66498">
              <w:rPr>
                <w:color w:val="000000"/>
              </w:rPr>
              <w:t>Multi</w:t>
            </w:r>
            <w:r w:rsidR="00325E1E">
              <w:rPr>
                <w:color w:val="000000"/>
              </w:rPr>
              <w:noBreakHyphen/>
            </w:r>
            <w:r w:rsidRPr="00A66498">
              <w:rPr>
                <w:color w:val="000000"/>
              </w:rPr>
              <w:t>jurisdictional sector</w:t>
            </w:r>
          </w:p>
        </w:tc>
        <w:tc>
          <w:tcPr>
            <w:tcW w:w="521" w:type="pct"/>
            <w:tcBorders>
              <w:top w:val="nil"/>
              <w:left w:val="nil"/>
              <w:bottom w:val="nil"/>
              <w:right w:val="nil"/>
            </w:tcBorders>
            <w:shd w:val="clear" w:color="000000" w:fill="FFFFFF"/>
            <w:noWrap/>
            <w:vAlign w:val="center"/>
            <w:hideMark/>
          </w:tcPr>
          <w:p w14:paraId="612C8E78" w14:textId="77777777" w:rsidR="00A66498" w:rsidRPr="00A66498" w:rsidRDefault="00A66498" w:rsidP="00A637A4">
            <w:pPr>
              <w:pStyle w:val="TableTextRight"/>
              <w:rPr>
                <w:color w:val="000000"/>
              </w:rPr>
            </w:pPr>
            <w:r w:rsidRPr="00A66498">
              <w:rPr>
                <w:color w:val="000000"/>
              </w:rPr>
              <w:t>12,778</w:t>
            </w:r>
          </w:p>
        </w:tc>
        <w:tc>
          <w:tcPr>
            <w:tcW w:w="521" w:type="pct"/>
            <w:tcBorders>
              <w:top w:val="nil"/>
              <w:left w:val="nil"/>
              <w:bottom w:val="nil"/>
              <w:right w:val="nil"/>
            </w:tcBorders>
            <w:shd w:val="clear" w:color="000000" w:fill="E6F2FF"/>
            <w:noWrap/>
            <w:vAlign w:val="center"/>
            <w:hideMark/>
          </w:tcPr>
          <w:p w14:paraId="05627B2C" w14:textId="77777777" w:rsidR="00A66498" w:rsidRPr="00A66498" w:rsidRDefault="00A66498" w:rsidP="00A637A4">
            <w:pPr>
              <w:pStyle w:val="TableTextRight"/>
              <w:rPr>
                <w:color w:val="000000"/>
              </w:rPr>
            </w:pPr>
            <w:r w:rsidRPr="00A66498">
              <w:rPr>
                <w:color w:val="000000"/>
              </w:rPr>
              <w:t>13,840</w:t>
            </w:r>
          </w:p>
        </w:tc>
        <w:tc>
          <w:tcPr>
            <w:tcW w:w="521" w:type="pct"/>
            <w:tcBorders>
              <w:top w:val="nil"/>
              <w:left w:val="nil"/>
              <w:bottom w:val="nil"/>
              <w:right w:val="nil"/>
            </w:tcBorders>
            <w:shd w:val="clear" w:color="000000" w:fill="FFFFFF"/>
            <w:noWrap/>
            <w:vAlign w:val="center"/>
            <w:hideMark/>
          </w:tcPr>
          <w:p w14:paraId="2E1BF7D7" w14:textId="77777777" w:rsidR="00A66498" w:rsidRPr="00A66498" w:rsidRDefault="00A66498" w:rsidP="00A637A4">
            <w:pPr>
              <w:pStyle w:val="TableTextRight"/>
              <w:rPr>
                <w:color w:val="000000"/>
              </w:rPr>
            </w:pPr>
            <w:r w:rsidRPr="00A66498">
              <w:rPr>
                <w:color w:val="000000"/>
              </w:rPr>
              <w:t>14,476</w:t>
            </w:r>
          </w:p>
        </w:tc>
        <w:tc>
          <w:tcPr>
            <w:tcW w:w="521" w:type="pct"/>
            <w:tcBorders>
              <w:top w:val="nil"/>
              <w:left w:val="nil"/>
              <w:bottom w:val="nil"/>
              <w:right w:val="nil"/>
            </w:tcBorders>
            <w:shd w:val="clear" w:color="000000" w:fill="FFFFFF"/>
            <w:noWrap/>
            <w:vAlign w:val="center"/>
            <w:hideMark/>
          </w:tcPr>
          <w:p w14:paraId="01FFB712" w14:textId="77777777" w:rsidR="00A66498" w:rsidRPr="00A66498" w:rsidRDefault="00A66498" w:rsidP="00A637A4">
            <w:pPr>
              <w:pStyle w:val="TableTextRight"/>
              <w:rPr>
                <w:color w:val="000000"/>
              </w:rPr>
            </w:pPr>
            <w:r w:rsidRPr="00A66498">
              <w:rPr>
                <w:color w:val="000000"/>
              </w:rPr>
              <w:t>14,795</w:t>
            </w:r>
          </w:p>
        </w:tc>
        <w:tc>
          <w:tcPr>
            <w:tcW w:w="521" w:type="pct"/>
            <w:tcBorders>
              <w:top w:val="nil"/>
              <w:left w:val="nil"/>
              <w:bottom w:val="nil"/>
              <w:right w:val="nil"/>
            </w:tcBorders>
            <w:shd w:val="clear" w:color="000000" w:fill="FFFFFF"/>
            <w:noWrap/>
            <w:vAlign w:val="center"/>
            <w:hideMark/>
          </w:tcPr>
          <w:p w14:paraId="4A1ED759" w14:textId="77777777" w:rsidR="00A66498" w:rsidRPr="00A66498" w:rsidRDefault="00A66498" w:rsidP="00A637A4">
            <w:pPr>
              <w:pStyle w:val="TableTextRight"/>
              <w:rPr>
                <w:color w:val="000000"/>
              </w:rPr>
            </w:pPr>
            <w:r w:rsidRPr="00A66498">
              <w:rPr>
                <w:color w:val="000000"/>
              </w:rPr>
              <w:t>15,334</w:t>
            </w:r>
          </w:p>
        </w:tc>
      </w:tr>
      <w:tr w:rsidR="00A66498" w:rsidRPr="00A66498" w14:paraId="22C84B71" w14:textId="77777777" w:rsidTr="005B6CBF">
        <w:trPr>
          <w:trHeight w:val="225"/>
        </w:trPr>
        <w:tc>
          <w:tcPr>
            <w:tcW w:w="2393" w:type="pct"/>
            <w:tcBorders>
              <w:top w:val="nil"/>
              <w:left w:val="nil"/>
              <w:bottom w:val="nil"/>
              <w:right w:val="nil"/>
            </w:tcBorders>
            <w:shd w:val="clear" w:color="000000" w:fill="FFFFFF"/>
            <w:noWrap/>
            <w:vAlign w:val="center"/>
            <w:hideMark/>
          </w:tcPr>
          <w:p w14:paraId="38B3E81F" w14:textId="77777777" w:rsidR="00A66498" w:rsidRPr="00A66498" w:rsidRDefault="00A66498" w:rsidP="00F31434">
            <w:pPr>
              <w:pStyle w:val="TableTextIndented"/>
            </w:pPr>
            <w:r w:rsidRPr="00A66498">
              <w:t>Other</w:t>
            </w:r>
          </w:p>
        </w:tc>
        <w:tc>
          <w:tcPr>
            <w:tcW w:w="521" w:type="pct"/>
            <w:tcBorders>
              <w:top w:val="nil"/>
              <w:left w:val="nil"/>
              <w:bottom w:val="single" w:sz="4" w:space="0" w:color="293F5B"/>
              <w:right w:val="nil"/>
            </w:tcBorders>
            <w:shd w:val="clear" w:color="000000" w:fill="FFFFFF"/>
            <w:noWrap/>
            <w:vAlign w:val="center"/>
            <w:hideMark/>
          </w:tcPr>
          <w:p w14:paraId="68DCCED1" w14:textId="77777777" w:rsidR="00A66498" w:rsidRPr="00A66498" w:rsidRDefault="00A66498" w:rsidP="00A637A4">
            <w:pPr>
              <w:pStyle w:val="TableTextRight"/>
              <w:rPr>
                <w:color w:val="000000"/>
              </w:rPr>
            </w:pPr>
            <w:r w:rsidRPr="00A66498">
              <w:rPr>
                <w:color w:val="000000"/>
              </w:rPr>
              <w:t>6,586</w:t>
            </w:r>
          </w:p>
        </w:tc>
        <w:tc>
          <w:tcPr>
            <w:tcW w:w="521" w:type="pct"/>
            <w:tcBorders>
              <w:top w:val="nil"/>
              <w:left w:val="nil"/>
              <w:bottom w:val="single" w:sz="4" w:space="0" w:color="293F5B"/>
              <w:right w:val="nil"/>
            </w:tcBorders>
            <w:shd w:val="clear" w:color="000000" w:fill="E6F2FF"/>
            <w:noWrap/>
            <w:vAlign w:val="center"/>
            <w:hideMark/>
          </w:tcPr>
          <w:p w14:paraId="79F714CB" w14:textId="77777777" w:rsidR="00A66498" w:rsidRPr="00A66498" w:rsidRDefault="00A66498" w:rsidP="00A637A4">
            <w:pPr>
              <w:pStyle w:val="TableTextRight"/>
              <w:rPr>
                <w:color w:val="000000"/>
              </w:rPr>
            </w:pPr>
            <w:r w:rsidRPr="00A66498">
              <w:rPr>
                <w:color w:val="000000"/>
              </w:rPr>
              <w:t>1,634</w:t>
            </w:r>
          </w:p>
        </w:tc>
        <w:tc>
          <w:tcPr>
            <w:tcW w:w="521" w:type="pct"/>
            <w:tcBorders>
              <w:top w:val="nil"/>
              <w:left w:val="nil"/>
              <w:bottom w:val="single" w:sz="4" w:space="0" w:color="293F5B"/>
              <w:right w:val="nil"/>
            </w:tcBorders>
            <w:shd w:val="clear" w:color="000000" w:fill="FFFFFF"/>
            <w:noWrap/>
            <w:vAlign w:val="center"/>
            <w:hideMark/>
          </w:tcPr>
          <w:p w14:paraId="16E5AD07" w14:textId="77777777" w:rsidR="00A66498" w:rsidRPr="00A66498" w:rsidRDefault="00A66498" w:rsidP="00A637A4">
            <w:pPr>
              <w:pStyle w:val="TableTextRight"/>
              <w:rPr>
                <w:color w:val="000000"/>
              </w:rPr>
            </w:pPr>
            <w:r w:rsidRPr="00A66498">
              <w:rPr>
                <w:color w:val="000000"/>
              </w:rPr>
              <w:t>6,282</w:t>
            </w:r>
          </w:p>
        </w:tc>
        <w:tc>
          <w:tcPr>
            <w:tcW w:w="521" w:type="pct"/>
            <w:tcBorders>
              <w:top w:val="nil"/>
              <w:left w:val="nil"/>
              <w:bottom w:val="single" w:sz="4" w:space="0" w:color="293F5B"/>
              <w:right w:val="nil"/>
            </w:tcBorders>
            <w:shd w:val="clear" w:color="000000" w:fill="FFFFFF"/>
            <w:noWrap/>
            <w:vAlign w:val="center"/>
            <w:hideMark/>
          </w:tcPr>
          <w:p w14:paraId="042BB3FF" w14:textId="77777777" w:rsidR="00A66498" w:rsidRPr="00A66498" w:rsidRDefault="00A66498" w:rsidP="00A637A4">
            <w:pPr>
              <w:pStyle w:val="TableTextRight"/>
              <w:rPr>
                <w:color w:val="000000"/>
              </w:rPr>
            </w:pPr>
            <w:r w:rsidRPr="00A66498">
              <w:rPr>
                <w:color w:val="000000"/>
              </w:rPr>
              <w:t>6,382</w:t>
            </w:r>
          </w:p>
        </w:tc>
        <w:tc>
          <w:tcPr>
            <w:tcW w:w="521" w:type="pct"/>
            <w:tcBorders>
              <w:top w:val="nil"/>
              <w:left w:val="nil"/>
              <w:bottom w:val="single" w:sz="4" w:space="0" w:color="293F5B"/>
              <w:right w:val="nil"/>
            </w:tcBorders>
            <w:shd w:val="clear" w:color="000000" w:fill="FFFFFF"/>
            <w:noWrap/>
            <w:vAlign w:val="center"/>
            <w:hideMark/>
          </w:tcPr>
          <w:p w14:paraId="1BA4F7EF" w14:textId="77777777" w:rsidR="00A66498" w:rsidRPr="00A66498" w:rsidRDefault="00A66498" w:rsidP="00A637A4">
            <w:pPr>
              <w:pStyle w:val="TableTextRight"/>
              <w:rPr>
                <w:color w:val="000000"/>
              </w:rPr>
            </w:pPr>
            <w:r w:rsidRPr="00A66498">
              <w:rPr>
                <w:color w:val="000000"/>
              </w:rPr>
              <w:t>6,307</w:t>
            </w:r>
          </w:p>
        </w:tc>
      </w:tr>
      <w:tr w:rsidR="00A66498" w:rsidRPr="00A66498" w14:paraId="053EB6EA" w14:textId="77777777" w:rsidTr="005B6CBF">
        <w:trPr>
          <w:trHeight w:val="225"/>
        </w:trPr>
        <w:tc>
          <w:tcPr>
            <w:tcW w:w="2393" w:type="pct"/>
            <w:tcBorders>
              <w:top w:val="nil"/>
              <w:left w:val="nil"/>
              <w:bottom w:val="nil"/>
              <w:right w:val="nil"/>
            </w:tcBorders>
            <w:shd w:val="clear" w:color="000000" w:fill="FFFFFF"/>
            <w:noWrap/>
            <w:vAlign w:val="center"/>
            <w:hideMark/>
          </w:tcPr>
          <w:p w14:paraId="7902E9B1" w14:textId="77777777" w:rsidR="00A66498" w:rsidRPr="00A66498" w:rsidRDefault="00A66498" w:rsidP="00F31434">
            <w:pPr>
              <w:pStyle w:val="TableTextLeft"/>
              <w:rPr>
                <w:b/>
              </w:rPr>
            </w:pPr>
            <w:r w:rsidRPr="00A66498">
              <w:rPr>
                <w:b/>
              </w:rPr>
              <w:t>Total current grants expense</w:t>
            </w:r>
          </w:p>
        </w:tc>
        <w:tc>
          <w:tcPr>
            <w:tcW w:w="521" w:type="pct"/>
            <w:tcBorders>
              <w:top w:val="nil"/>
              <w:left w:val="nil"/>
              <w:bottom w:val="single" w:sz="4" w:space="0" w:color="293F5B"/>
              <w:right w:val="nil"/>
            </w:tcBorders>
            <w:shd w:val="clear" w:color="000000" w:fill="FFFFFF"/>
            <w:noWrap/>
            <w:vAlign w:val="center"/>
            <w:hideMark/>
          </w:tcPr>
          <w:p w14:paraId="7FCC1B9D" w14:textId="77777777" w:rsidR="00A66498" w:rsidRPr="00A66498" w:rsidRDefault="00A66498" w:rsidP="00A637A4">
            <w:pPr>
              <w:pStyle w:val="TableTextRight"/>
              <w:rPr>
                <w:b/>
                <w:color w:val="000000"/>
              </w:rPr>
            </w:pPr>
            <w:r w:rsidRPr="00A66498">
              <w:rPr>
                <w:b/>
                <w:color w:val="000000"/>
              </w:rPr>
              <w:t>203,194</w:t>
            </w:r>
          </w:p>
        </w:tc>
        <w:tc>
          <w:tcPr>
            <w:tcW w:w="521" w:type="pct"/>
            <w:tcBorders>
              <w:top w:val="nil"/>
              <w:left w:val="nil"/>
              <w:bottom w:val="single" w:sz="4" w:space="0" w:color="293F5B"/>
              <w:right w:val="nil"/>
            </w:tcBorders>
            <w:shd w:val="clear" w:color="000000" w:fill="E6F2FF"/>
            <w:noWrap/>
            <w:vAlign w:val="center"/>
            <w:hideMark/>
          </w:tcPr>
          <w:p w14:paraId="544C6107" w14:textId="77777777" w:rsidR="00A66498" w:rsidRPr="00A66498" w:rsidRDefault="00A66498" w:rsidP="00A637A4">
            <w:pPr>
              <w:pStyle w:val="TableTextRight"/>
              <w:rPr>
                <w:b/>
                <w:color w:val="000000"/>
              </w:rPr>
            </w:pPr>
            <w:r w:rsidRPr="00A66498">
              <w:rPr>
                <w:b/>
                <w:color w:val="000000"/>
              </w:rPr>
              <w:t>208,915</w:t>
            </w:r>
          </w:p>
        </w:tc>
        <w:tc>
          <w:tcPr>
            <w:tcW w:w="521" w:type="pct"/>
            <w:tcBorders>
              <w:top w:val="nil"/>
              <w:left w:val="nil"/>
              <w:bottom w:val="single" w:sz="4" w:space="0" w:color="293F5B"/>
              <w:right w:val="nil"/>
            </w:tcBorders>
            <w:shd w:val="clear" w:color="000000" w:fill="FFFFFF"/>
            <w:noWrap/>
            <w:vAlign w:val="center"/>
            <w:hideMark/>
          </w:tcPr>
          <w:p w14:paraId="1133214A" w14:textId="77777777" w:rsidR="00A66498" w:rsidRPr="00A66498" w:rsidRDefault="00A66498" w:rsidP="00A637A4">
            <w:pPr>
              <w:pStyle w:val="TableTextRight"/>
              <w:rPr>
                <w:b/>
                <w:color w:val="000000"/>
              </w:rPr>
            </w:pPr>
            <w:r w:rsidRPr="00A66498">
              <w:rPr>
                <w:b/>
                <w:color w:val="000000"/>
              </w:rPr>
              <w:t>216,098</w:t>
            </w:r>
          </w:p>
        </w:tc>
        <w:tc>
          <w:tcPr>
            <w:tcW w:w="521" w:type="pct"/>
            <w:tcBorders>
              <w:top w:val="nil"/>
              <w:left w:val="nil"/>
              <w:bottom w:val="single" w:sz="4" w:space="0" w:color="293F5B"/>
              <w:right w:val="nil"/>
            </w:tcBorders>
            <w:shd w:val="clear" w:color="000000" w:fill="FFFFFF"/>
            <w:noWrap/>
            <w:vAlign w:val="center"/>
            <w:hideMark/>
          </w:tcPr>
          <w:p w14:paraId="7190BBE4" w14:textId="77777777" w:rsidR="00A66498" w:rsidRPr="00A66498" w:rsidRDefault="00A66498" w:rsidP="00A637A4">
            <w:pPr>
              <w:pStyle w:val="TableTextRight"/>
              <w:rPr>
                <w:b/>
                <w:color w:val="000000"/>
              </w:rPr>
            </w:pPr>
            <w:r w:rsidRPr="00A66498">
              <w:rPr>
                <w:b/>
                <w:color w:val="000000"/>
              </w:rPr>
              <w:t>223,666</w:t>
            </w:r>
          </w:p>
        </w:tc>
        <w:tc>
          <w:tcPr>
            <w:tcW w:w="521" w:type="pct"/>
            <w:tcBorders>
              <w:top w:val="nil"/>
              <w:left w:val="nil"/>
              <w:bottom w:val="single" w:sz="4" w:space="0" w:color="293F5B"/>
              <w:right w:val="nil"/>
            </w:tcBorders>
            <w:shd w:val="clear" w:color="000000" w:fill="FFFFFF"/>
            <w:noWrap/>
            <w:vAlign w:val="center"/>
            <w:hideMark/>
          </w:tcPr>
          <w:p w14:paraId="588519E1" w14:textId="77777777" w:rsidR="00A66498" w:rsidRPr="00A66498" w:rsidRDefault="00A66498" w:rsidP="00A637A4">
            <w:pPr>
              <w:pStyle w:val="TableTextRight"/>
              <w:rPr>
                <w:b/>
                <w:color w:val="000000"/>
              </w:rPr>
            </w:pPr>
            <w:r w:rsidRPr="00A66498">
              <w:rPr>
                <w:b/>
                <w:color w:val="000000"/>
              </w:rPr>
              <w:t>231,953</w:t>
            </w:r>
          </w:p>
        </w:tc>
      </w:tr>
      <w:tr w:rsidR="00A66498" w:rsidRPr="00A66498" w14:paraId="751B2EAC" w14:textId="77777777" w:rsidTr="005B6CBF">
        <w:trPr>
          <w:trHeight w:val="225"/>
        </w:trPr>
        <w:tc>
          <w:tcPr>
            <w:tcW w:w="2393" w:type="pct"/>
            <w:tcBorders>
              <w:top w:val="nil"/>
              <w:left w:val="nil"/>
              <w:bottom w:val="nil"/>
              <w:right w:val="nil"/>
            </w:tcBorders>
            <w:shd w:val="clear" w:color="000000" w:fill="FFFFFF"/>
            <w:noWrap/>
            <w:vAlign w:val="center"/>
            <w:hideMark/>
          </w:tcPr>
          <w:p w14:paraId="51FBF13E" w14:textId="77777777" w:rsidR="00A66498" w:rsidRPr="00A66498" w:rsidRDefault="00A66498" w:rsidP="00F31434">
            <w:pPr>
              <w:pStyle w:val="TableTextLeft"/>
              <w:rPr>
                <w:b/>
              </w:rPr>
            </w:pPr>
            <w:r w:rsidRPr="00A66498">
              <w:rPr>
                <w:b/>
              </w:rPr>
              <w:t>Capital grants expense</w:t>
            </w:r>
          </w:p>
        </w:tc>
        <w:tc>
          <w:tcPr>
            <w:tcW w:w="521" w:type="pct"/>
            <w:tcBorders>
              <w:top w:val="nil"/>
              <w:left w:val="nil"/>
              <w:bottom w:val="nil"/>
              <w:right w:val="nil"/>
            </w:tcBorders>
            <w:shd w:val="clear" w:color="000000" w:fill="FFFFFF"/>
            <w:noWrap/>
            <w:vAlign w:val="center"/>
            <w:hideMark/>
          </w:tcPr>
          <w:p w14:paraId="4962C73E"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E6F2FF"/>
            <w:noWrap/>
            <w:vAlign w:val="center"/>
            <w:hideMark/>
          </w:tcPr>
          <w:p w14:paraId="6D8268B1"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3EF73FF8"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2E5DD5B3" w14:textId="77777777" w:rsidR="00A66498" w:rsidRPr="00A66498" w:rsidRDefault="00A66498" w:rsidP="00A637A4">
            <w:pPr>
              <w:pStyle w:val="TableTextRight"/>
            </w:pPr>
            <w:r w:rsidRPr="00A66498">
              <w:t> </w:t>
            </w:r>
          </w:p>
        </w:tc>
        <w:tc>
          <w:tcPr>
            <w:tcW w:w="521" w:type="pct"/>
            <w:tcBorders>
              <w:top w:val="nil"/>
              <w:left w:val="nil"/>
              <w:bottom w:val="nil"/>
              <w:right w:val="nil"/>
            </w:tcBorders>
            <w:shd w:val="clear" w:color="000000" w:fill="FFFFFF"/>
            <w:noWrap/>
            <w:vAlign w:val="center"/>
            <w:hideMark/>
          </w:tcPr>
          <w:p w14:paraId="60DC0E3D" w14:textId="77777777" w:rsidR="00A66498" w:rsidRPr="00A66498" w:rsidRDefault="00A66498" w:rsidP="00A637A4">
            <w:pPr>
              <w:pStyle w:val="TableTextRight"/>
            </w:pPr>
            <w:r w:rsidRPr="00A66498">
              <w:t> </w:t>
            </w:r>
          </w:p>
        </w:tc>
      </w:tr>
      <w:tr w:rsidR="00A66498" w:rsidRPr="00A66498" w14:paraId="42EDCFEB" w14:textId="77777777" w:rsidTr="005B6CBF">
        <w:trPr>
          <w:trHeight w:val="225"/>
        </w:trPr>
        <w:tc>
          <w:tcPr>
            <w:tcW w:w="2393" w:type="pct"/>
            <w:tcBorders>
              <w:top w:val="nil"/>
              <w:left w:val="nil"/>
              <w:bottom w:val="nil"/>
              <w:right w:val="nil"/>
            </w:tcBorders>
            <w:shd w:val="clear" w:color="000000" w:fill="FFFFFF"/>
            <w:noWrap/>
            <w:vAlign w:val="center"/>
            <w:hideMark/>
          </w:tcPr>
          <w:p w14:paraId="2EDA67A2" w14:textId="0078061C" w:rsidR="00A66498" w:rsidRPr="00A66498" w:rsidRDefault="00A66498" w:rsidP="00F31434">
            <w:pPr>
              <w:pStyle w:val="TableTextLeft"/>
              <w:rPr>
                <w:color w:val="000000"/>
              </w:rPr>
            </w:pPr>
            <w:r w:rsidRPr="00A66498">
              <w:rPr>
                <w:color w:val="000000"/>
              </w:rPr>
              <w:t>Mutually agreed write</w:t>
            </w:r>
            <w:r w:rsidR="00325E1E">
              <w:rPr>
                <w:color w:val="000000"/>
              </w:rPr>
              <w:noBreakHyphen/>
            </w:r>
            <w:r w:rsidRPr="00A66498">
              <w:rPr>
                <w:color w:val="000000"/>
              </w:rPr>
              <w:t>downs</w:t>
            </w:r>
          </w:p>
        </w:tc>
        <w:tc>
          <w:tcPr>
            <w:tcW w:w="521" w:type="pct"/>
            <w:tcBorders>
              <w:top w:val="nil"/>
              <w:left w:val="nil"/>
              <w:bottom w:val="nil"/>
              <w:right w:val="nil"/>
            </w:tcBorders>
            <w:shd w:val="clear" w:color="000000" w:fill="FFFFFF"/>
            <w:noWrap/>
            <w:vAlign w:val="center"/>
            <w:hideMark/>
          </w:tcPr>
          <w:p w14:paraId="0BC6821A" w14:textId="77777777" w:rsidR="00A66498" w:rsidRPr="00A66498" w:rsidRDefault="00A66498" w:rsidP="00A637A4">
            <w:pPr>
              <w:pStyle w:val="TableTextRight"/>
              <w:rPr>
                <w:color w:val="000000"/>
              </w:rPr>
            </w:pPr>
            <w:r w:rsidRPr="00A66498">
              <w:rPr>
                <w:color w:val="000000"/>
              </w:rPr>
              <w:t>3,039</w:t>
            </w:r>
          </w:p>
        </w:tc>
        <w:tc>
          <w:tcPr>
            <w:tcW w:w="521" w:type="pct"/>
            <w:tcBorders>
              <w:top w:val="nil"/>
              <w:left w:val="nil"/>
              <w:bottom w:val="nil"/>
              <w:right w:val="nil"/>
            </w:tcBorders>
            <w:shd w:val="clear" w:color="000000" w:fill="E6F2FF"/>
            <w:noWrap/>
            <w:vAlign w:val="center"/>
            <w:hideMark/>
          </w:tcPr>
          <w:p w14:paraId="5979E786" w14:textId="77777777" w:rsidR="00A66498" w:rsidRPr="00A66498" w:rsidRDefault="00A66498" w:rsidP="00A637A4">
            <w:pPr>
              <w:pStyle w:val="TableTextRight"/>
              <w:rPr>
                <w:color w:val="000000"/>
              </w:rPr>
            </w:pPr>
            <w:r w:rsidRPr="00A66498">
              <w:rPr>
                <w:color w:val="000000"/>
              </w:rPr>
              <w:t>5,137</w:t>
            </w:r>
          </w:p>
        </w:tc>
        <w:tc>
          <w:tcPr>
            <w:tcW w:w="521" w:type="pct"/>
            <w:tcBorders>
              <w:top w:val="nil"/>
              <w:left w:val="nil"/>
              <w:bottom w:val="nil"/>
              <w:right w:val="nil"/>
            </w:tcBorders>
            <w:shd w:val="clear" w:color="000000" w:fill="FFFFFF"/>
            <w:noWrap/>
            <w:vAlign w:val="center"/>
            <w:hideMark/>
          </w:tcPr>
          <w:p w14:paraId="34B3F5D8" w14:textId="77777777" w:rsidR="00A66498" w:rsidRPr="00A66498" w:rsidRDefault="00A66498" w:rsidP="00A637A4">
            <w:pPr>
              <w:pStyle w:val="TableTextRight"/>
              <w:rPr>
                <w:color w:val="000000"/>
              </w:rPr>
            </w:pPr>
            <w:r w:rsidRPr="00A66498">
              <w:rPr>
                <w:color w:val="000000"/>
              </w:rPr>
              <w:t>3,318</w:t>
            </w:r>
          </w:p>
        </w:tc>
        <w:tc>
          <w:tcPr>
            <w:tcW w:w="521" w:type="pct"/>
            <w:tcBorders>
              <w:top w:val="nil"/>
              <w:left w:val="nil"/>
              <w:bottom w:val="nil"/>
              <w:right w:val="nil"/>
            </w:tcBorders>
            <w:shd w:val="clear" w:color="000000" w:fill="FFFFFF"/>
            <w:noWrap/>
            <w:vAlign w:val="center"/>
            <w:hideMark/>
          </w:tcPr>
          <w:p w14:paraId="76EB241A" w14:textId="77777777" w:rsidR="00A66498" w:rsidRPr="00A66498" w:rsidRDefault="00A66498" w:rsidP="00A637A4">
            <w:pPr>
              <w:pStyle w:val="TableTextRight"/>
              <w:rPr>
                <w:color w:val="000000"/>
              </w:rPr>
            </w:pPr>
            <w:r w:rsidRPr="00A66498">
              <w:rPr>
                <w:color w:val="000000"/>
              </w:rPr>
              <w:t>3,510</w:t>
            </w:r>
          </w:p>
        </w:tc>
        <w:tc>
          <w:tcPr>
            <w:tcW w:w="521" w:type="pct"/>
            <w:tcBorders>
              <w:top w:val="nil"/>
              <w:left w:val="nil"/>
              <w:bottom w:val="nil"/>
              <w:right w:val="nil"/>
            </w:tcBorders>
            <w:shd w:val="clear" w:color="000000" w:fill="FFFFFF"/>
            <w:noWrap/>
            <w:vAlign w:val="center"/>
            <w:hideMark/>
          </w:tcPr>
          <w:p w14:paraId="35D4E1F9" w14:textId="77777777" w:rsidR="00A66498" w:rsidRPr="00A66498" w:rsidRDefault="00A66498" w:rsidP="00A637A4">
            <w:pPr>
              <w:pStyle w:val="TableTextRight"/>
              <w:rPr>
                <w:color w:val="000000"/>
              </w:rPr>
            </w:pPr>
            <w:r w:rsidRPr="00A66498">
              <w:rPr>
                <w:color w:val="000000"/>
              </w:rPr>
              <w:t>3,726</w:t>
            </w:r>
          </w:p>
        </w:tc>
      </w:tr>
      <w:tr w:rsidR="00A66498" w:rsidRPr="00A66498" w14:paraId="18B9DAA2" w14:textId="77777777" w:rsidTr="005B6CBF">
        <w:trPr>
          <w:trHeight w:val="225"/>
        </w:trPr>
        <w:tc>
          <w:tcPr>
            <w:tcW w:w="2393" w:type="pct"/>
            <w:tcBorders>
              <w:top w:val="nil"/>
              <w:left w:val="nil"/>
              <w:bottom w:val="nil"/>
              <w:right w:val="nil"/>
            </w:tcBorders>
            <w:shd w:val="clear" w:color="000000" w:fill="FFFFFF"/>
            <w:noWrap/>
            <w:vAlign w:val="center"/>
            <w:hideMark/>
          </w:tcPr>
          <w:p w14:paraId="384E48A2" w14:textId="77777777" w:rsidR="00A66498" w:rsidRPr="00A66498" w:rsidRDefault="00A66498" w:rsidP="00F31434">
            <w:pPr>
              <w:pStyle w:val="TableTextLeft"/>
              <w:rPr>
                <w:color w:val="000000"/>
              </w:rPr>
            </w:pPr>
            <w:r w:rsidRPr="00A66498">
              <w:rPr>
                <w:color w:val="000000"/>
              </w:rPr>
              <w:t>Other capital grants</w:t>
            </w:r>
          </w:p>
        </w:tc>
        <w:tc>
          <w:tcPr>
            <w:tcW w:w="521" w:type="pct"/>
            <w:tcBorders>
              <w:top w:val="nil"/>
              <w:left w:val="nil"/>
              <w:bottom w:val="nil"/>
              <w:right w:val="nil"/>
            </w:tcBorders>
            <w:shd w:val="clear" w:color="000000" w:fill="FFFFFF"/>
            <w:noWrap/>
            <w:vAlign w:val="center"/>
            <w:hideMark/>
          </w:tcPr>
          <w:p w14:paraId="2E4535A9" w14:textId="77777777" w:rsidR="00A66498" w:rsidRPr="00A66498" w:rsidRDefault="00A66498" w:rsidP="00A637A4">
            <w:pPr>
              <w:pStyle w:val="TableTextRight"/>
              <w:rPr>
                <w:color w:val="000000"/>
              </w:rPr>
            </w:pPr>
            <w:r w:rsidRPr="00A66498">
              <w:rPr>
                <w:color w:val="000000"/>
              </w:rPr>
              <w:t> </w:t>
            </w:r>
          </w:p>
        </w:tc>
        <w:tc>
          <w:tcPr>
            <w:tcW w:w="521" w:type="pct"/>
            <w:tcBorders>
              <w:top w:val="nil"/>
              <w:left w:val="nil"/>
              <w:bottom w:val="nil"/>
              <w:right w:val="nil"/>
            </w:tcBorders>
            <w:shd w:val="clear" w:color="000000" w:fill="E6F2FF"/>
            <w:noWrap/>
            <w:vAlign w:val="center"/>
            <w:hideMark/>
          </w:tcPr>
          <w:p w14:paraId="302860D3" w14:textId="77777777" w:rsidR="00A66498" w:rsidRPr="00A66498" w:rsidRDefault="00A66498" w:rsidP="00A637A4">
            <w:pPr>
              <w:pStyle w:val="TableTextRight"/>
              <w:rPr>
                <w:color w:val="000000"/>
              </w:rPr>
            </w:pPr>
            <w:r w:rsidRPr="00A66498">
              <w:rPr>
                <w:color w:val="000000"/>
              </w:rPr>
              <w:t> </w:t>
            </w:r>
          </w:p>
        </w:tc>
        <w:tc>
          <w:tcPr>
            <w:tcW w:w="521" w:type="pct"/>
            <w:tcBorders>
              <w:top w:val="nil"/>
              <w:left w:val="nil"/>
              <w:bottom w:val="nil"/>
              <w:right w:val="nil"/>
            </w:tcBorders>
            <w:shd w:val="clear" w:color="000000" w:fill="FFFFFF"/>
            <w:noWrap/>
            <w:vAlign w:val="center"/>
            <w:hideMark/>
          </w:tcPr>
          <w:p w14:paraId="18173C9F" w14:textId="77777777" w:rsidR="00A66498" w:rsidRPr="00A66498" w:rsidRDefault="00A66498" w:rsidP="00A637A4">
            <w:pPr>
              <w:pStyle w:val="TableTextRight"/>
              <w:rPr>
                <w:color w:val="000000"/>
              </w:rPr>
            </w:pPr>
            <w:r w:rsidRPr="00A66498">
              <w:rPr>
                <w:color w:val="000000"/>
              </w:rPr>
              <w:t> </w:t>
            </w:r>
          </w:p>
        </w:tc>
        <w:tc>
          <w:tcPr>
            <w:tcW w:w="521" w:type="pct"/>
            <w:tcBorders>
              <w:top w:val="nil"/>
              <w:left w:val="nil"/>
              <w:bottom w:val="nil"/>
              <w:right w:val="nil"/>
            </w:tcBorders>
            <w:shd w:val="clear" w:color="000000" w:fill="FFFFFF"/>
            <w:noWrap/>
            <w:vAlign w:val="center"/>
            <w:hideMark/>
          </w:tcPr>
          <w:p w14:paraId="4E7D5B8E" w14:textId="77777777" w:rsidR="00A66498" w:rsidRPr="00A66498" w:rsidRDefault="00A66498" w:rsidP="00A637A4">
            <w:pPr>
              <w:pStyle w:val="TableTextRight"/>
              <w:rPr>
                <w:color w:val="000000"/>
              </w:rPr>
            </w:pPr>
            <w:r w:rsidRPr="00A66498">
              <w:rPr>
                <w:color w:val="000000"/>
              </w:rPr>
              <w:t> </w:t>
            </w:r>
          </w:p>
        </w:tc>
        <w:tc>
          <w:tcPr>
            <w:tcW w:w="521" w:type="pct"/>
            <w:tcBorders>
              <w:top w:val="nil"/>
              <w:left w:val="nil"/>
              <w:bottom w:val="nil"/>
              <w:right w:val="nil"/>
            </w:tcBorders>
            <w:shd w:val="clear" w:color="000000" w:fill="FFFFFF"/>
            <w:noWrap/>
            <w:vAlign w:val="center"/>
            <w:hideMark/>
          </w:tcPr>
          <w:p w14:paraId="3A2E2E7A" w14:textId="77777777" w:rsidR="00A66498" w:rsidRPr="00A66498" w:rsidRDefault="00A66498" w:rsidP="00A637A4">
            <w:pPr>
              <w:pStyle w:val="TableTextRight"/>
              <w:rPr>
                <w:color w:val="000000"/>
              </w:rPr>
            </w:pPr>
            <w:r w:rsidRPr="00A66498">
              <w:rPr>
                <w:color w:val="000000"/>
              </w:rPr>
              <w:t> </w:t>
            </w:r>
          </w:p>
        </w:tc>
      </w:tr>
      <w:tr w:rsidR="00A66498" w:rsidRPr="00A66498" w14:paraId="0D68DA3C" w14:textId="77777777" w:rsidTr="005B6CBF">
        <w:trPr>
          <w:trHeight w:val="225"/>
        </w:trPr>
        <w:tc>
          <w:tcPr>
            <w:tcW w:w="2393" w:type="pct"/>
            <w:tcBorders>
              <w:top w:val="nil"/>
              <w:left w:val="nil"/>
              <w:bottom w:val="nil"/>
              <w:right w:val="nil"/>
            </w:tcBorders>
            <w:shd w:val="clear" w:color="000000" w:fill="FFFFFF"/>
            <w:noWrap/>
            <w:vAlign w:val="center"/>
            <w:hideMark/>
          </w:tcPr>
          <w:p w14:paraId="2D054A4D" w14:textId="77777777" w:rsidR="00A66498" w:rsidRPr="00A66498" w:rsidRDefault="00A66498" w:rsidP="00F31434">
            <w:pPr>
              <w:pStyle w:val="TableTextIndented"/>
            </w:pPr>
            <w:r w:rsidRPr="00A66498">
              <w:t>State and territory governments</w:t>
            </w:r>
          </w:p>
        </w:tc>
        <w:tc>
          <w:tcPr>
            <w:tcW w:w="521" w:type="pct"/>
            <w:tcBorders>
              <w:top w:val="nil"/>
              <w:left w:val="nil"/>
              <w:bottom w:val="nil"/>
              <w:right w:val="nil"/>
            </w:tcBorders>
            <w:shd w:val="clear" w:color="000000" w:fill="FFFFFF"/>
            <w:noWrap/>
            <w:vAlign w:val="center"/>
            <w:hideMark/>
          </w:tcPr>
          <w:p w14:paraId="3F003075" w14:textId="77777777" w:rsidR="00A66498" w:rsidRPr="00A66498" w:rsidRDefault="00A66498" w:rsidP="00A637A4">
            <w:pPr>
              <w:pStyle w:val="TableTextRight"/>
              <w:rPr>
                <w:color w:val="000000"/>
              </w:rPr>
            </w:pPr>
            <w:r w:rsidRPr="00A66498">
              <w:rPr>
                <w:color w:val="000000"/>
              </w:rPr>
              <w:t>15,598</w:t>
            </w:r>
          </w:p>
        </w:tc>
        <w:tc>
          <w:tcPr>
            <w:tcW w:w="521" w:type="pct"/>
            <w:tcBorders>
              <w:top w:val="nil"/>
              <w:left w:val="nil"/>
              <w:bottom w:val="nil"/>
              <w:right w:val="nil"/>
            </w:tcBorders>
            <w:shd w:val="clear" w:color="000000" w:fill="E6F2FF"/>
            <w:noWrap/>
            <w:vAlign w:val="center"/>
            <w:hideMark/>
          </w:tcPr>
          <w:p w14:paraId="054FD319" w14:textId="77777777" w:rsidR="00A66498" w:rsidRPr="00A66498" w:rsidRDefault="00A66498" w:rsidP="00A637A4">
            <w:pPr>
              <w:pStyle w:val="TableTextRight"/>
              <w:rPr>
                <w:color w:val="000000"/>
              </w:rPr>
            </w:pPr>
            <w:r w:rsidRPr="00A66498">
              <w:rPr>
                <w:color w:val="000000"/>
              </w:rPr>
              <w:t>17,755</w:t>
            </w:r>
          </w:p>
        </w:tc>
        <w:tc>
          <w:tcPr>
            <w:tcW w:w="521" w:type="pct"/>
            <w:tcBorders>
              <w:top w:val="nil"/>
              <w:left w:val="nil"/>
              <w:bottom w:val="nil"/>
              <w:right w:val="nil"/>
            </w:tcBorders>
            <w:shd w:val="clear" w:color="000000" w:fill="FFFFFF"/>
            <w:noWrap/>
            <w:vAlign w:val="center"/>
            <w:hideMark/>
          </w:tcPr>
          <w:p w14:paraId="62620A58" w14:textId="77777777" w:rsidR="00A66498" w:rsidRPr="00A66498" w:rsidRDefault="00A66498" w:rsidP="00A637A4">
            <w:pPr>
              <w:pStyle w:val="TableTextRight"/>
              <w:rPr>
                <w:color w:val="000000"/>
              </w:rPr>
            </w:pPr>
            <w:r w:rsidRPr="00A66498">
              <w:rPr>
                <w:color w:val="000000"/>
              </w:rPr>
              <w:t>16,789</w:t>
            </w:r>
          </w:p>
        </w:tc>
        <w:tc>
          <w:tcPr>
            <w:tcW w:w="521" w:type="pct"/>
            <w:tcBorders>
              <w:top w:val="nil"/>
              <w:left w:val="nil"/>
              <w:bottom w:val="nil"/>
              <w:right w:val="nil"/>
            </w:tcBorders>
            <w:shd w:val="clear" w:color="000000" w:fill="FFFFFF"/>
            <w:noWrap/>
            <w:vAlign w:val="center"/>
            <w:hideMark/>
          </w:tcPr>
          <w:p w14:paraId="6633CEDF" w14:textId="77777777" w:rsidR="00A66498" w:rsidRPr="00A66498" w:rsidRDefault="00A66498" w:rsidP="00A637A4">
            <w:pPr>
              <w:pStyle w:val="TableTextRight"/>
              <w:rPr>
                <w:color w:val="000000"/>
              </w:rPr>
            </w:pPr>
            <w:r w:rsidRPr="00A66498">
              <w:rPr>
                <w:color w:val="000000"/>
              </w:rPr>
              <w:t>15,828</w:t>
            </w:r>
          </w:p>
        </w:tc>
        <w:tc>
          <w:tcPr>
            <w:tcW w:w="521" w:type="pct"/>
            <w:tcBorders>
              <w:top w:val="nil"/>
              <w:left w:val="nil"/>
              <w:bottom w:val="nil"/>
              <w:right w:val="nil"/>
            </w:tcBorders>
            <w:shd w:val="clear" w:color="000000" w:fill="FFFFFF"/>
            <w:noWrap/>
            <w:vAlign w:val="center"/>
            <w:hideMark/>
          </w:tcPr>
          <w:p w14:paraId="6C943958" w14:textId="77777777" w:rsidR="00A66498" w:rsidRPr="00A66498" w:rsidRDefault="00A66498" w:rsidP="00A637A4">
            <w:pPr>
              <w:pStyle w:val="TableTextRight"/>
              <w:rPr>
                <w:color w:val="000000"/>
              </w:rPr>
            </w:pPr>
            <w:r w:rsidRPr="00A66498">
              <w:rPr>
                <w:color w:val="000000"/>
              </w:rPr>
              <w:t>13,655</w:t>
            </w:r>
          </w:p>
        </w:tc>
      </w:tr>
      <w:tr w:rsidR="00A66498" w:rsidRPr="00A66498" w14:paraId="2067AF66" w14:textId="77777777" w:rsidTr="005B6CBF">
        <w:trPr>
          <w:trHeight w:val="225"/>
        </w:trPr>
        <w:tc>
          <w:tcPr>
            <w:tcW w:w="2393" w:type="pct"/>
            <w:tcBorders>
              <w:top w:val="nil"/>
              <w:left w:val="nil"/>
              <w:bottom w:val="nil"/>
              <w:right w:val="nil"/>
            </w:tcBorders>
            <w:shd w:val="clear" w:color="000000" w:fill="FFFFFF"/>
            <w:noWrap/>
            <w:vAlign w:val="center"/>
            <w:hideMark/>
          </w:tcPr>
          <w:p w14:paraId="0A88ED9E" w14:textId="77777777" w:rsidR="00A66498" w:rsidRPr="00A66498" w:rsidRDefault="00A66498" w:rsidP="00F31434">
            <w:pPr>
              <w:pStyle w:val="TableTextIndented"/>
            </w:pPr>
            <w:r w:rsidRPr="00A66498">
              <w:t>Local governments</w:t>
            </w:r>
          </w:p>
        </w:tc>
        <w:tc>
          <w:tcPr>
            <w:tcW w:w="521" w:type="pct"/>
            <w:tcBorders>
              <w:top w:val="nil"/>
              <w:left w:val="nil"/>
              <w:bottom w:val="nil"/>
              <w:right w:val="nil"/>
            </w:tcBorders>
            <w:shd w:val="clear" w:color="000000" w:fill="FFFFFF"/>
            <w:noWrap/>
            <w:vAlign w:val="center"/>
            <w:hideMark/>
          </w:tcPr>
          <w:p w14:paraId="42107441" w14:textId="77777777" w:rsidR="00A66498" w:rsidRPr="00A66498" w:rsidRDefault="00A66498" w:rsidP="00A637A4">
            <w:pPr>
              <w:pStyle w:val="TableTextRight"/>
              <w:rPr>
                <w:color w:val="000000"/>
              </w:rPr>
            </w:pPr>
            <w:r w:rsidRPr="00A66498">
              <w:rPr>
                <w:color w:val="000000"/>
              </w:rPr>
              <w:t>1,372</w:t>
            </w:r>
          </w:p>
        </w:tc>
        <w:tc>
          <w:tcPr>
            <w:tcW w:w="521" w:type="pct"/>
            <w:tcBorders>
              <w:top w:val="nil"/>
              <w:left w:val="nil"/>
              <w:bottom w:val="nil"/>
              <w:right w:val="nil"/>
            </w:tcBorders>
            <w:shd w:val="clear" w:color="000000" w:fill="E6F2FF"/>
            <w:noWrap/>
            <w:vAlign w:val="center"/>
            <w:hideMark/>
          </w:tcPr>
          <w:p w14:paraId="0C48C1C0" w14:textId="77777777" w:rsidR="00A66498" w:rsidRPr="00A66498" w:rsidRDefault="00A66498" w:rsidP="00A637A4">
            <w:pPr>
              <w:pStyle w:val="TableTextRight"/>
              <w:rPr>
                <w:color w:val="000000"/>
              </w:rPr>
            </w:pPr>
            <w:r w:rsidRPr="00A66498">
              <w:rPr>
                <w:color w:val="000000"/>
              </w:rPr>
              <w:t>907</w:t>
            </w:r>
          </w:p>
        </w:tc>
        <w:tc>
          <w:tcPr>
            <w:tcW w:w="521" w:type="pct"/>
            <w:tcBorders>
              <w:top w:val="nil"/>
              <w:left w:val="nil"/>
              <w:bottom w:val="nil"/>
              <w:right w:val="nil"/>
            </w:tcBorders>
            <w:shd w:val="clear" w:color="000000" w:fill="FFFFFF"/>
            <w:noWrap/>
            <w:vAlign w:val="center"/>
            <w:hideMark/>
          </w:tcPr>
          <w:p w14:paraId="5E3D97F3" w14:textId="77777777" w:rsidR="00A66498" w:rsidRPr="00A66498" w:rsidRDefault="00A66498" w:rsidP="00A637A4">
            <w:pPr>
              <w:pStyle w:val="TableTextRight"/>
              <w:rPr>
                <w:color w:val="000000"/>
              </w:rPr>
            </w:pPr>
            <w:r w:rsidRPr="00A66498">
              <w:rPr>
                <w:color w:val="000000"/>
              </w:rPr>
              <w:t>1,007</w:t>
            </w:r>
          </w:p>
        </w:tc>
        <w:tc>
          <w:tcPr>
            <w:tcW w:w="521" w:type="pct"/>
            <w:tcBorders>
              <w:top w:val="nil"/>
              <w:left w:val="nil"/>
              <w:bottom w:val="nil"/>
              <w:right w:val="nil"/>
            </w:tcBorders>
            <w:shd w:val="clear" w:color="000000" w:fill="FFFFFF"/>
            <w:noWrap/>
            <w:vAlign w:val="center"/>
            <w:hideMark/>
          </w:tcPr>
          <w:p w14:paraId="7BFB1DC4" w14:textId="77777777" w:rsidR="00A66498" w:rsidRPr="00A66498" w:rsidRDefault="00A66498" w:rsidP="00A637A4">
            <w:pPr>
              <w:pStyle w:val="TableTextRight"/>
              <w:rPr>
                <w:color w:val="000000"/>
              </w:rPr>
            </w:pPr>
            <w:r w:rsidRPr="00A66498">
              <w:rPr>
                <w:color w:val="000000"/>
              </w:rPr>
              <w:t>900</w:t>
            </w:r>
          </w:p>
        </w:tc>
        <w:tc>
          <w:tcPr>
            <w:tcW w:w="521" w:type="pct"/>
            <w:tcBorders>
              <w:top w:val="nil"/>
              <w:left w:val="nil"/>
              <w:bottom w:val="nil"/>
              <w:right w:val="nil"/>
            </w:tcBorders>
            <w:shd w:val="clear" w:color="000000" w:fill="FFFFFF"/>
            <w:noWrap/>
            <w:vAlign w:val="center"/>
            <w:hideMark/>
          </w:tcPr>
          <w:p w14:paraId="6BB1D5E5" w14:textId="77777777" w:rsidR="00A66498" w:rsidRPr="00A66498" w:rsidRDefault="00A66498" w:rsidP="00A637A4">
            <w:pPr>
              <w:pStyle w:val="TableTextRight"/>
              <w:rPr>
                <w:color w:val="000000"/>
              </w:rPr>
            </w:pPr>
            <w:r w:rsidRPr="00A66498">
              <w:rPr>
                <w:color w:val="000000"/>
              </w:rPr>
              <w:t>947</w:t>
            </w:r>
          </w:p>
        </w:tc>
      </w:tr>
      <w:tr w:rsidR="00A66498" w:rsidRPr="00A66498" w14:paraId="22A0B5EC" w14:textId="77777777" w:rsidTr="005B6CBF">
        <w:trPr>
          <w:trHeight w:val="225"/>
        </w:trPr>
        <w:tc>
          <w:tcPr>
            <w:tcW w:w="2393" w:type="pct"/>
            <w:tcBorders>
              <w:top w:val="nil"/>
              <w:left w:val="nil"/>
              <w:bottom w:val="nil"/>
              <w:right w:val="nil"/>
            </w:tcBorders>
            <w:shd w:val="clear" w:color="000000" w:fill="FFFFFF"/>
            <w:noWrap/>
            <w:vAlign w:val="center"/>
            <w:hideMark/>
          </w:tcPr>
          <w:p w14:paraId="44C0A39C" w14:textId="6456B6FB" w:rsidR="00A66498" w:rsidRPr="00A66498" w:rsidRDefault="00A66498" w:rsidP="00F31434">
            <w:pPr>
              <w:pStyle w:val="TableTextIndented"/>
            </w:pPr>
            <w:r w:rsidRPr="00A66498">
              <w:t>Non</w:t>
            </w:r>
            <w:r w:rsidR="00325E1E">
              <w:noBreakHyphen/>
            </w:r>
            <w:r w:rsidRPr="00A66498">
              <w:t>profit organisations</w:t>
            </w:r>
          </w:p>
        </w:tc>
        <w:tc>
          <w:tcPr>
            <w:tcW w:w="521" w:type="pct"/>
            <w:tcBorders>
              <w:top w:val="nil"/>
              <w:left w:val="nil"/>
              <w:bottom w:val="nil"/>
              <w:right w:val="nil"/>
            </w:tcBorders>
            <w:shd w:val="clear" w:color="000000" w:fill="FFFFFF"/>
            <w:noWrap/>
            <w:vAlign w:val="center"/>
            <w:hideMark/>
          </w:tcPr>
          <w:p w14:paraId="2D51836C" w14:textId="77777777" w:rsidR="00A66498" w:rsidRPr="00A66498" w:rsidRDefault="00A66498" w:rsidP="00A637A4">
            <w:pPr>
              <w:pStyle w:val="TableTextRight"/>
              <w:rPr>
                <w:color w:val="000000"/>
              </w:rPr>
            </w:pPr>
            <w:r w:rsidRPr="00A66498">
              <w:rPr>
                <w:color w:val="000000"/>
              </w:rPr>
              <w:t>647</w:t>
            </w:r>
          </w:p>
        </w:tc>
        <w:tc>
          <w:tcPr>
            <w:tcW w:w="521" w:type="pct"/>
            <w:tcBorders>
              <w:top w:val="nil"/>
              <w:left w:val="nil"/>
              <w:bottom w:val="nil"/>
              <w:right w:val="nil"/>
            </w:tcBorders>
            <w:shd w:val="clear" w:color="000000" w:fill="E6F2FF"/>
            <w:noWrap/>
            <w:vAlign w:val="center"/>
            <w:hideMark/>
          </w:tcPr>
          <w:p w14:paraId="2B2B815B" w14:textId="77777777" w:rsidR="00A66498" w:rsidRPr="00A66498" w:rsidRDefault="00A66498" w:rsidP="00A637A4">
            <w:pPr>
              <w:pStyle w:val="TableTextRight"/>
              <w:rPr>
                <w:color w:val="000000"/>
              </w:rPr>
            </w:pPr>
            <w:r w:rsidRPr="00A66498">
              <w:rPr>
                <w:color w:val="000000"/>
              </w:rPr>
              <w:t>1,252</w:t>
            </w:r>
          </w:p>
        </w:tc>
        <w:tc>
          <w:tcPr>
            <w:tcW w:w="521" w:type="pct"/>
            <w:tcBorders>
              <w:top w:val="nil"/>
              <w:left w:val="nil"/>
              <w:bottom w:val="nil"/>
              <w:right w:val="nil"/>
            </w:tcBorders>
            <w:shd w:val="clear" w:color="000000" w:fill="FFFFFF"/>
            <w:noWrap/>
            <w:vAlign w:val="center"/>
            <w:hideMark/>
          </w:tcPr>
          <w:p w14:paraId="3F0E3F99" w14:textId="77777777" w:rsidR="00A66498" w:rsidRPr="00A66498" w:rsidRDefault="00A66498" w:rsidP="00A637A4">
            <w:pPr>
              <w:pStyle w:val="TableTextRight"/>
              <w:rPr>
                <w:color w:val="000000"/>
              </w:rPr>
            </w:pPr>
            <w:r w:rsidRPr="00A66498">
              <w:rPr>
                <w:color w:val="000000"/>
              </w:rPr>
              <w:t>902</w:t>
            </w:r>
          </w:p>
        </w:tc>
        <w:tc>
          <w:tcPr>
            <w:tcW w:w="521" w:type="pct"/>
            <w:tcBorders>
              <w:top w:val="nil"/>
              <w:left w:val="nil"/>
              <w:bottom w:val="nil"/>
              <w:right w:val="nil"/>
            </w:tcBorders>
            <w:shd w:val="clear" w:color="000000" w:fill="FFFFFF"/>
            <w:noWrap/>
            <w:vAlign w:val="center"/>
            <w:hideMark/>
          </w:tcPr>
          <w:p w14:paraId="20AAAB9F" w14:textId="77777777" w:rsidR="00A66498" w:rsidRPr="00A66498" w:rsidRDefault="00A66498" w:rsidP="00A637A4">
            <w:pPr>
              <w:pStyle w:val="TableTextRight"/>
              <w:rPr>
                <w:color w:val="000000"/>
              </w:rPr>
            </w:pPr>
            <w:r w:rsidRPr="00A66498">
              <w:rPr>
                <w:color w:val="000000"/>
              </w:rPr>
              <w:t>820</w:t>
            </w:r>
          </w:p>
        </w:tc>
        <w:tc>
          <w:tcPr>
            <w:tcW w:w="521" w:type="pct"/>
            <w:tcBorders>
              <w:top w:val="nil"/>
              <w:left w:val="nil"/>
              <w:bottom w:val="nil"/>
              <w:right w:val="nil"/>
            </w:tcBorders>
            <w:shd w:val="clear" w:color="000000" w:fill="FFFFFF"/>
            <w:noWrap/>
            <w:vAlign w:val="center"/>
            <w:hideMark/>
          </w:tcPr>
          <w:p w14:paraId="4E86C0D6" w14:textId="77777777" w:rsidR="00A66498" w:rsidRPr="00A66498" w:rsidRDefault="00A66498" w:rsidP="00A637A4">
            <w:pPr>
              <w:pStyle w:val="TableTextRight"/>
              <w:rPr>
                <w:color w:val="000000"/>
              </w:rPr>
            </w:pPr>
            <w:r w:rsidRPr="00A66498">
              <w:rPr>
                <w:color w:val="000000"/>
              </w:rPr>
              <w:t>552</w:t>
            </w:r>
          </w:p>
        </w:tc>
      </w:tr>
      <w:tr w:rsidR="00A66498" w:rsidRPr="00A66498" w14:paraId="64047304" w14:textId="77777777" w:rsidTr="005B6CBF">
        <w:trPr>
          <w:trHeight w:val="225"/>
        </w:trPr>
        <w:tc>
          <w:tcPr>
            <w:tcW w:w="2393" w:type="pct"/>
            <w:tcBorders>
              <w:top w:val="nil"/>
              <w:left w:val="nil"/>
              <w:bottom w:val="nil"/>
              <w:right w:val="nil"/>
            </w:tcBorders>
            <w:shd w:val="clear" w:color="000000" w:fill="FFFFFF"/>
            <w:noWrap/>
            <w:vAlign w:val="center"/>
            <w:hideMark/>
          </w:tcPr>
          <w:p w14:paraId="0A6FF2F5" w14:textId="77777777" w:rsidR="00A66498" w:rsidRPr="00A66498" w:rsidRDefault="00A66498" w:rsidP="00F31434">
            <w:pPr>
              <w:pStyle w:val="TableTextIndented"/>
            </w:pPr>
            <w:r w:rsidRPr="00A66498">
              <w:t>Private sector</w:t>
            </w:r>
          </w:p>
        </w:tc>
        <w:tc>
          <w:tcPr>
            <w:tcW w:w="521" w:type="pct"/>
            <w:tcBorders>
              <w:top w:val="nil"/>
              <w:left w:val="nil"/>
              <w:bottom w:val="nil"/>
              <w:right w:val="nil"/>
            </w:tcBorders>
            <w:shd w:val="clear" w:color="000000" w:fill="FFFFFF"/>
            <w:noWrap/>
            <w:vAlign w:val="center"/>
            <w:hideMark/>
          </w:tcPr>
          <w:p w14:paraId="03C85AC7" w14:textId="77777777" w:rsidR="00A66498" w:rsidRPr="00A66498" w:rsidRDefault="00A66498" w:rsidP="00A637A4">
            <w:pPr>
              <w:pStyle w:val="TableTextRight"/>
              <w:rPr>
                <w:color w:val="000000"/>
              </w:rPr>
            </w:pPr>
            <w:r w:rsidRPr="00A66498">
              <w:rPr>
                <w:color w:val="000000"/>
              </w:rPr>
              <w:t>50</w:t>
            </w:r>
          </w:p>
        </w:tc>
        <w:tc>
          <w:tcPr>
            <w:tcW w:w="521" w:type="pct"/>
            <w:tcBorders>
              <w:top w:val="nil"/>
              <w:left w:val="nil"/>
              <w:bottom w:val="nil"/>
              <w:right w:val="nil"/>
            </w:tcBorders>
            <w:shd w:val="clear" w:color="000000" w:fill="E6F2FF"/>
            <w:noWrap/>
            <w:vAlign w:val="center"/>
            <w:hideMark/>
          </w:tcPr>
          <w:p w14:paraId="384F397E" w14:textId="77777777" w:rsidR="00A66498" w:rsidRPr="00A66498" w:rsidRDefault="00A66498" w:rsidP="00A637A4">
            <w:pPr>
              <w:pStyle w:val="TableTextRight"/>
              <w:rPr>
                <w:color w:val="000000"/>
              </w:rPr>
            </w:pPr>
            <w:r w:rsidRPr="00A66498">
              <w:rPr>
                <w:color w:val="000000"/>
              </w:rPr>
              <w:t>78</w:t>
            </w:r>
          </w:p>
        </w:tc>
        <w:tc>
          <w:tcPr>
            <w:tcW w:w="521" w:type="pct"/>
            <w:tcBorders>
              <w:top w:val="nil"/>
              <w:left w:val="nil"/>
              <w:bottom w:val="nil"/>
              <w:right w:val="nil"/>
            </w:tcBorders>
            <w:shd w:val="clear" w:color="000000" w:fill="FFFFFF"/>
            <w:noWrap/>
            <w:vAlign w:val="center"/>
            <w:hideMark/>
          </w:tcPr>
          <w:p w14:paraId="525D6F43" w14:textId="77777777" w:rsidR="00A66498" w:rsidRPr="00A66498" w:rsidRDefault="00A66498" w:rsidP="00A637A4">
            <w:pPr>
              <w:pStyle w:val="TableTextRight"/>
              <w:rPr>
                <w:color w:val="000000"/>
              </w:rPr>
            </w:pPr>
            <w:r w:rsidRPr="00A66498">
              <w:rPr>
                <w:color w:val="000000"/>
              </w:rPr>
              <w:t>66</w:t>
            </w:r>
          </w:p>
        </w:tc>
        <w:tc>
          <w:tcPr>
            <w:tcW w:w="521" w:type="pct"/>
            <w:tcBorders>
              <w:top w:val="nil"/>
              <w:left w:val="nil"/>
              <w:bottom w:val="nil"/>
              <w:right w:val="nil"/>
            </w:tcBorders>
            <w:shd w:val="clear" w:color="000000" w:fill="FFFFFF"/>
            <w:noWrap/>
            <w:vAlign w:val="center"/>
            <w:hideMark/>
          </w:tcPr>
          <w:p w14:paraId="65824B08" w14:textId="77777777" w:rsidR="00A66498" w:rsidRPr="00A66498" w:rsidRDefault="00A66498" w:rsidP="00A637A4">
            <w:pPr>
              <w:pStyle w:val="TableTextRight"/>
              <w:rPr>
                <w:color w:val="000000"/>
              </w:rPr>
            </w:pPr>
            <w:r w:rsidRPr="00A66498">
              <w:rPr>
                <w:color w:val="000000"/>
              </w:rPr>
              <w:t>58</w:t>
            </w:r>
          </w:p>
        </w:tc>
        <w:tc>
          <w:tcPr>
            <w:tcW w:w="521" w:type="pct"/>
            <w:tcBorders>
              <w:top w:val="nil"/>
              <w:left w:val="nil"/>
              <w:bottom w:val="nil"/>
              <w:right w:val="nil"/>
            </w:tcBorders>
            <w:shd w:val="clear" w:color="000000" w:fill="FFFFFF"/>
            <w:noWrap/>
            <w:vAlign w:val="center"/>
            <w:hideMark/>
          </w:tcPr>
          <w:p w14:paraId="52856F1C" w14:textId="77777777" w:rsidR="00A66498" w:rsidRPr="00A66498" w:rsidRDefault="00A66498" w:rsidP="00A637A4">
            <w:pPr>
              <w:pStyle w:val="TableTextRight"/>
              <w:rPr>
                <w:color w:val="000000"/>
              </w:rPr>
            </w:pPr>
            <w:r w:rsidRPr="00A66498">
              <w:rPr>
                <w:color w:val="000000"/>
              </w:rPr>
              <w:t>116</w:t>
            </w:r>
          </w:p>
        </w:tc>
      </w:tr>
      <w:tr w:rsidR="00A66498" w:rsidRPr="00A66498" w14:paraId="2D77401F" w14:textId="77777777" w:rsidTr="005B6CBF">
        <w:trPr>
          <w:trHeight w:val="225"/>
        </w:trPr>
        <w:tc>
          <w:tcPr>
            <w:tcW w:w="2393" w:type="pct"/>
            <w:tcBorders>
              <w:top w:val="nil"/>
              <w:left w:val="nil"/>
              <w:bottom w:val="nil"/>
              <w:right w:val="nil"/>
            </w:tcBorders>
            <w:shd w:val="clear" w:color="000000" w:fill="FFFFFF"/>
            <w:noWrap/>
            <w:vAlign w:val="center"/>
            <w:hideMark/>
          </w:tcPr>
          <w:p w14:paraId="19BD453C" w14:textId="11B4DAFD" w:rsidR="00A66498" w:rsidRPr="00A66498" w:rsidRDefault="00A66498" w:rsidP="00F31434">
            <w:pPr>
              <w:pStyle w:val="TableTextIndented"/>
              <w:rPr>
                <w:color w:val="000000"/>
              </w:rPr>
            </w:pPr>
            <w:r w:rsidRPr="00A66498">
              <w:rPr>
                <w:color w:val="000000"/>
              </w:rPr>
              <w:t>Multi</w:t>
            </w:r>
            <w:r w:rsidR="00325E1E">
              <w:rPr>
                <w:color w:val="000000"/>
              </w:rPr>
              <w:noBreakHyphen/>
            </w:r>
            <w:r w:rsidRPr="00A66498">
              <w:rPr>
                <w:color w:val="000000"/>
              </w:rPr>
              <w:t>jurisdictional sector</w:t>
            </w:r>
          </w:p>
        </w:tc>
        <w:tc>
          <w:tcPr>
            <w:tcW w:w="521" w:type="pct"/>
            <w:tcBorders>
              <w:top w:val="nil"/>
              <w:left w:val="nil"/>
              <w:bottom w:val="nil"/>
              <w:right w:val="nil"/>
            </w:tcBorders>
            <w:shd w:val="clear" w:color="000000" w:fill="FFFFFF"/>
            <w:noWrap/>
            <w:vAlign w:val="center"/>
            <w:hideMark/>
          </w:tcPr>
          <w:p w14:paraId="0D15CE0A" w14:textId="77777777" w:rsidR="00A66498" w:rsidRPr="00A66498" w:rsidRDefault="00A66498" w:rsidP="00A637A4">
            <w:pPr>
              <w:pStyle w:val="TableTextRight"/>
              <w:rPr>
                <w:color w:val="000000"/>
              </w:rPr>
            </w:pPr>
            <w:r w:rsidRPr="00A66498">
              <w:rPr>
                <w:color w:val="000000"/>
              </w:rPr>
              <w:t>0</w:t>
            </w:r>
          </w:p>
        </w:tc>
        <w:tc>
          <w:tcPr>
            <w:tcW w:w="521" w:type="pct"/>
            <w:tcBorders>
              <w:top w:val="nil"/>
              <w:left w:val="nil"/>
              <w:bottom w:val="nil"/>
              <w:right w:val="nil"/>
            </w:tcBorders>
            <w:shd w:val="clear" w:color="000000" w:fill="E6F2FF"/>
            <w:noWrap/>
            <w:vAlign w:val="center"/>
            <w:hideMark/>
          </w:tcPr>
          <w:p w14:paraId="188E14CD" w14:textId="77777777" w:rsidR="00A66498" w:rsidRPr="00A66498" w:rsidRDefault="00A66498" w:rsidP="00A637A4">
            <w:pPr>
              <w:pStyle w:val="TableTextRight"/>
              <w:rPr>
                <w:color w:val="000000"/>
              </w:rPr>
            </w:pPr>
            <w:r w:rsidRPr="00A66498">
              <w:rPr>
                <w:color w:val="000000"/>
              </w:rPr>
              <w:t>4</w:t>
            </w:r>
          </w:p>
        </w:tc>
        <w:tc>
          <w:tcPr>
            <w:tcW w:w="521" w:type="pct"/>
            <w:tcBorders>
              <w:top w:val="nil"/>
              <w:left w:val="nil"/>
              <w:bottom w:val="nil"/>
              <w:right w:val="nil"/>
            </w:tcBorders>
            <w:shd w:val="clear" w:color="000000" w:fill="FFFFFF"/>
            <w:noWrap/>
            <w:vAlign w:val="center"/>
            <w:hideMark/>
          </w:tcPr>
          <w:p w14:paraId="1DC0B4AC" w14:textId="77777777" w:rsidR="00A66498" w:rsidRPr="00A66498" w:rsidRDefault="00A66498" w:rsidP="00A637A4">
            <w:pPr>
              <w:pStyle w:val="TableTextRight"/>
              <w:rPr>
                <w:color w:val="000000"/>
              </w:rPr>
            </w:pPr>
            <w:r w:rsidRPr="00A66498">
              <w:rPr>
                <w:color w:val="000000"/>
              </w:rPr>
              <w:t>0</w:t>
            </w:r>
          </w:p>
        </w:tc>
        <w:tc>
          <w:tcPr>
            <w:tcW w:w="521" w:type="pct"/>
            <w:tcBorders>
              <w:top w:val="nil"/>
              <w:left w:val="nil"/>
              <w:bottom w:val="nil"/>
              <w:right w:val="nil"/>
            </w:tcBorders>
            <w:shd w:val="clear" w:color="000000" w:fill="FFFFFF"/>
            <w:noWrap/>
            <w:vAlign w:val="center"/>
            <w:hideMark/>
          </w:tcPr>
          <w:p w14:paraId="04DFE6CE" w14:textId="77777777" w:rsidR="00A66498" w:rsidRPr="00A66498" w:rsidRDefault="00A66498" w:rsidP="00A637A4">
            <w:pPr>
              <w:pStyle w:val="TableTextRight"/>
              <w:rPr>
                <w:color w:val="000000"/>
              </w:rPr>
            </w:pPr>
            <w:r w:rsidRPr="00A66498">
              <w:rPr>
                <w:color w:val="000000"/>
              </w:rPr>
              <w:t>0</w:t>
            </w:r>
          </w:p>
        </w:tc>
        <w:tc>
          <w:tcPr>
            <w:tcW w:w="521" w:type="pct"/>
            <w:tcBorders>
              <w:top w:val="nil"/>
              <w:left w:val="nil"/>
              <w:bottom w:val="nil"/>
              <w:right w:val="nil"/>
            </w:tcBorders>
            <w:shd w:val="clear" w:color="000000" w:fill="FFFFFF"/>
            <w:noWrap/>
            <w:vAlign w:val="center"/>
            <w:hideMark/>
          </w:tcPr>
          <w:p w14:paraId="1CA628C8" w14:textId="77777777" w:rsidR="00A66498" w:rsidRPr="00A66498" w:rsidRDefault="00A66498" w:rsidP="00A637A4">
            <w:pPr>
              <w:pStyle w:val="TableTextRight"/>
              <w:rPr>
                <w:color w:val="000000"/>
              </w:rPr>
            </w:pPr>
            <w:r w:rsidRPr="00A66498">
              <w:rPr>
                <w:color w:val="000000"/>
              </w:rPr>
              <w:t>0</w:t>
            </w:r>
          </w:p>
        </w:tc>
      </w:tr>
      <w:tr w:rsidR="00A66498" w:rsidRPr="00A66498" w14:paraId="38E06FC8" w14:textId="77777777" w:rsidTr="005B6CBF">
        <w:trPr>
          <w:trHeight w:val="225"/>
        </w:trPr>
        <w:tc>
          <w:tcPr>
            <w:tcW w:w="2393" w:type="pct"/>
            <w:tcBorders>
              <w:top w:val="nil"/>
              <w:left w:val="nil"/>
              <w:bottom w:val="nil"/>
              <w:right w:val="nil"/>
            </w:tcBorders>
            <w:shd w:val="clear" w:color="000000" w:fill="FFFFFF"/>
            <w:noWrap/>
            <w:vAlign w:val="center"/>
            <w:hideMark/>
          </w:tcPr>
          <w:p w14:paraId="52E3B955" w14:textId="77777777" w:rsidR="00A66498" w:rsidRPr="00A66498" w:rsidRDefault="00A66498" w:rsidP="00F31434">
            <w:pPr>
              <w:pStyle w:val="TableTextIndented"/>
              <w:rPr>
                <w:color w:val="000000"/>
              </w:rPr>
            </w:pPr>
            <w:r w:rsidRPr="00A66498">
              <w:rPr>
                <w:color w:val="000000"/>
              </w:rPr>
              <w:t>Overseas</w:t>
            </w:r>
          </w:p>
        </w:tc>
        <w:tc>
          <w:tcPr>
            <w:tcW w:w="521" w:type="pct"/>
            <w:tcBorders>
              <w:top w:val="nil"/>
              <w:left w:val="nil"/>
              <w:bottom w:val="nil"/>
              <w:right w:val="nil"/>
            </w:tcBorders>
            <w:shd w:val="clear" w:color="000000" w:fill="FFFFFF"/>
            <w:noWrap/>
            <w:vAlign w:val="center"/>
            <w:hideMark/>
          </w:tcPr>
          <w:p w14:paraId="0549C414" w14:textId="77777777" w:rsidR="00A66498" w:rsidRPr="00A66498" w:rsidRDefault="00A66498" w:rsidP="00A637A4">
            <w:pPr>
              <w:pStyle w:val="TableTextRight"/>
              <w:rPr>
                <w:color w:val="000000"/>
              </w:rPr>
            </w:pPr>
            <w:r w:rsidRPr="00A66498">
              <w:rPr>
                <w:color w:val="000000"/>
              </w:rPr>
              <w:t>3</w:t>
            </w:r>
          </w:p>
        </w:tc>
        <w:tc>
          <w:tcPr>
            <w:tcW w:w="521" w:type="pct"/>
            <w:tcBorders>
              <w:top w:val="nil"/>
              <w:left w:val="nil"/>
              <w:bottom w:val="nil"/>
              <w:right w:val="nil"/>
            </w:tcBorders>
            <w:shd w:val="clear" w:color="000000" w:fill="E6F2FF"/>
            <w:noWrap/>
            <w:vAlign w:val="center"/>
            <w:hideMark/>
          </w:tcPr>
          <w:p w14:paraId="79F3F0B4" w14:textId="77777777" w:rsidR="00A66498" w:rsidRPr="00A66498" w:rsidRDefault="00A66498" w:rsidP="00A637A4">
            <w:pPr>
              <w:pStyle w:val="TableTextRight"/>
              <w:rPr>
                <w:color w:val="000000"/>
              </w:rPr>
            </w:pPr>
            <w:r w:rsidRPr="00A66498">
              <w:rPr>
                <w:color w:val="000000"/>
              </w:rPr>
              <w:t>5</w:t>
            </w:r>
          </w:p>
        </w:tc>
        <w:tc>
          <w:tcPr>
            <w:tcW w:w="521" w:type="pct"/>
            <w:tcBorders>
              <w:top w:val="nil"/>
              <w:left w:val="nil"/>
              <w:bottom w:val="nil"/>
              <w:right w:val="nil"/>
            </w:tcBorders>
            <w:shd w:val="clear" w:color="000000" w:fill="FFFFFF"/>
            <w:noWrap/>
            <w:vAlign w:val="center"/>
            <w:hideMark/>
          </w:tcPr>
          <w:p w14:paraId="1E66277F" w14:textId="77777777" w:rsidR="00A66498" w:rsidRPr="00A66498" w:rsidRDefault="00A66498" w:rsidP="00A637A4">
            <w:pPr>
              <w:pStyle w:val="TableTextRight"/>
              <w:rPr>
                <w:color w:val="000000"/>
              </w:rPr>
            </w:pPr>
            <w:r w:rsidRPr="00A66498">
              <w:rPr>
                <w:color w:val="000000"/>
              </w:rPr>
              <w:t>0</w:t>
            </w:r>
          </w:p>
        </w:tc>
        <w:tc>
          <w:tcPr>
            <w:tcW w:w="521" w:type="pct"/>
            <w:tcBorders>
              <w:top w:val="nil"/>
              <w:left w:val="nil"/>
              <w:bottom w:val="nil"/>
              <w:right w:val="nil"/>
            </w:tcBorders>
            <w:shd w:val="clear" w:color="000000" w:fill="FFFFFF"/>
            <w:noWrap/>
            <w:vAlign w:val="center"/>
            <w:hideMark/>
          </w:tcPr>
          <w:p w14:paraId="50060196" w14:textId="77777777" w:rsidR="00A66498" w:rsidRPr="00A66498" w:rsidRDefault="00A66498" w:rsidP="00A637A4">
            <w:pPr>
              <w:pStyle w:val="TableTextRight"/>
              <w:rPr>
                <w:color w:val="000000"/>
              </w:rPr>
            </w:pPr>
            <w:r w:rsidRPr="00A66498">
              <w:rPr>
                <w:color w:val="000000"/>
              </w:rPr>
              <w:t>0</w:t>
            </w:r>
          </w:p>
        </w:tc>
        <w:tc>
          <w:tcPr>
            <w:tcW w:w="521" w:type="pct"/>
            <w:tcBorders>
              <w:top w:val="nil"/>
              <w:left w:val="nil"/>
              <w:bottom w:val="nil"/>
              <w:right w:val="nil"/>
            </w:tcBorders>
            <w:shd w:val="clear" w:color="000000" w:fill="FFFFFF"/>
            <w:noWrap/>
            <w:vAlign w:val="center"/>
            <w:hideMark/>
          </w:tcPr>
          <w:p w14:paraId="1177B827" w14:textId="77777777" w:rsidR="00A66498" w:rsidRPr="00A66498" w:rsidRDefault="00A66498" w:rsidP="00A637A4">
            <w:pPr>
              <w:pStyle w:val="TableTextRight"/>
              <w:rPr>
                <w:color w:val="000000"/>
              </w:rPr>
            </w:pPr>
            <w:r w:rsidRPr="00A66498">
              <w:rPr>
                <w:color w:val="000000"/>
              </w:rPr>
              <w:t>0</w:t>
            </w:r>
          </w:p>
        </w:tc>
      </w:tr>
      <w:tr w:rsidR="00A66498" w:rsidRPr="00A66498" w14:paraId="21BAC0C4" w14:textId="77777777" w:rsidTr="005B6CBF">
        <w:trPr>
          <w:trHeight w:val="225"/>
        </w:trPr>
        <w:tc>
          <w:tcPr>
            <w:tcW w:w="2393" w:type="pct"/>
            <w:tcBorders>
              <w:top w:val="nil"/>
              <w:left w:val="nil"/>
              <w:bottom w:val="nil"/>
              <w:right w:val="nil"/>
            </w:tcBorders>
            <w:shd w:val="clear" w:color="000000" w:fill="FFFFFF"/>
            <w:noWrap/>
            <w:vAlign w:val="center"/>
            <w:hideMark/>
          </w:tcPr>
          <w:p w14:paraId="152D2DAA" w14:textId="77777777" w:rsidR="00A66498" w:rsidRPr="00A66498" w:rsidRDefault="00A66498" w:rsidP="00F31434">
            <w:pPr>
              <w:pStyle w:val="TableTextIndented"/>
            </w:pPr>
            <w:r w:rsidRPr="00A66498">
              <w:t>Other</w:t>
            </w:r>
          </w:p>
        </w:tc>
        <w:tc>
          <w:tcPr>
            <w:tcW w:w="521" w:type="pct"/>
            <w:tcBorders>
              <w:top w:val="nil"/>
              <w:left w:val="nil"/>
              <w:bottom w:val="single" w:sz="4" w:space="0" w:color="293F5B"/>
              <w:right w:val="nil"/>
            </w:tcBorders>
            <w:shd w:val="clear" w:color="000000" w:fill="FFFFFF"/>
            <w:noWrap/>
            <w:vAlign w:val="center"/>
            <w:hideMark/>
          </w:tcPr>
          <w:p w14:paraId="013D9CB7" w14:textId="77777777" w:rsidR="00A66498" w:rsidRPr="00A66498" w:rsidRDefault="00A66498" w:rsidP="00A637A4">
            <w:pPr>
              <w:pStyle w:val="TableTextRight"/>
              <w:rPr>
                <w:color w:val="000000"/>
              </w:rPr>
            </w:pPr>
            <w:r w:rsidRPr="00A66498">
              <w:rPr>
                <w:color w:val="000000"/>
              </w:rPr>
              <w:t>168</w:t>
            </w:r>
          </w:p>
        </w:tc>
        <w:tc>
          <w:tcPr>
            <w:tcW w:w="521" w:type="pct"/>
            <w:tcBorders>
              <w:top w:val="nil"/>
              <w:left w:val="nil"/>
              <w:bottom w:val="single" w:sz="4" w:space="0" w:color="293F5B"/>
              <w:right w:val="nil"/>
            </w:tcBorders>
            <w:shd w:val="clear" w:color="000000" w:fill="E6F2FF"/>
            <w:noWrap/>
            <w:vAlign w:val="center"/>
            <w:hideMark/>
          </w:tcPr>
          <w:p w14:paraId="33B1D6AC" w14:textId="77777777" w:rsidR="00A66498" w:rsidRPr="00A66498" w:rsidRDefault="00A66498" w:rsidP="00A637A4">
            <w:pPr>
              <w:pStyle w:val="TableTextRight"/>
              <w:rPr>
                <w:color w:val="000000"/>
              </w:rPr>
            </w:pPr>
            <w:r w:rsidRPr="00A66498">
              <w:rPr>
                <w:color w:val="000000"/>
              </w:rPr>
              <w:t>226</w:t>
            </w:r>
          </w:p>
        </w:tc>
        <w:tc>
          <w:tcPr>
            <w:tcW w:w="521" w:type="pct"/>
            <w:tcBorders>
              <w:top w:val="nil"/>
              <w:left w:val="nil"/>
              <w:bottom w:val="single" w:sz="4" w:space="0" w:color="293F5B"/>
              <w:right w:val="nil"/>
            </w:tcBorders>
            <w:shd w:val="clear" w:color="000000" w:fill="FFFFFF"/>
            <w:noWrap/>
            <w:vAlign w:val="center"/>
            <w:hideMark/>
          </w:tcPr>
          <w:p w14:paraId="4885552F" w14:textId="77777777" w:rsidR="00A66498" w:rsidRPr="00A66498" w:rsidRDefault="00A66498" w:rsidP="00A637A4">
            <w:pPr>
              <w:pStyle w:val="TableTextRight"/>
              <w:rPr>
                <w:color w:val="000000"/>
              </w:rPr>
            </w:pPr>
            <w:r w:rsidRPr="00A66498">
              <w:rPr>
                <w:color w:val="000000"/>
              </w:rPr>
              <w:t>251</w:t>
            </w:r>
          </w:p>
        </w:tc>
        <w:tc>
          <w:tcPr>
            <w:tcW w:w="521" w:type="pct"/>
            <w:tcBorders>
              <w:top w:val="nil"/>
              <w:left w:val="nil"/>
              <w:bottom w:val="single" w:sz="4" w:space="0" w:color="293F5B"/>
              <w:right w:val="nil"/>
            </w:tcBorders>
            <w:shd w:val="clear" w:color="000000" w:fill="FFFFFF"/>
            <w:noWrap/>
            <w:vAlign w:val="center"/>
            <w:hideMark/>
          </w:tcPr>
          <w:p w14:paraId="3E21C31B" w14:textId="77777777" w:rsidR="00A66498" w:rsidRPr="00A66498" w:rsidRDefault="00A66498" w:rsidP="00A637A4">
            <w:pPr>
              <w:pStyle w:val="TableTextRight"/>
              <w:rPr>
                <w:color w:val="000000"/>
              </w:rPr>
            </w:pPr>
            <w:r w:rsidRPr="00A66498">
              <w:rPr>
                <w:color w:val="000000"/>
              </w:rPr>
              <w:t>381</w:t>
            </w:r>
          </w:p>
        </w:tc>
        <w:tc>
          <w:tcPr>
            <w:tcW w:w="521" w:type="pct"/>
            <w:tcBorders>
              <w:top w:val="nil"/>
              <w:left w:val="nil"/>
              <w:bottom w:val="single" w:sz="4" w:space="0" w:color="293F5B"/>
              <w:right w:val="nil"/>
            </w:tcBorders>
            <w:shd w:val="clear" w:color="000000" w:fill="FFFFFF"/>
            <w:noWrap/>
            <w:vAlign w:val="center"/>
            <w:hideMark/>
          </w:tcPr>
          <w:p w14:paraId="3046A87E" w14:textId="77777777" w:rsidR="00A66498" w:rsidRPr="00A66498" w:rsidRDefault="00A66498" w:rsidP="00A637A4">
            <w:pPr>
              <w:pStyle w:val="TableTextRight"/>
              <w:rPr>
                <w:color w:val="000000"/>
              </w:rPr>
            </w:pPr>
            <w:r w:rsidRPr="00A66498">
              <w:rPr>
                <w:color w:val="000000"/>
              </w:rPr>
              <w:t>529</w:t>
            </w:r>
          </w:p>
        </w:tc>
      </w:tr>
      <w:tr w:rsidR="00A66498" w:rsidRPr="00A66498" w14:paraId="1183CD6C" w14:textId="77777777" w:rsidTr="005B6CBF">
        <w:trPr>
          <w:trHeight w:val="225"/>
        </w:trPr>
        <w:tc>
          <w:tcPr>
            <w:tcW w:w="2393" w:type="pct"/>
            <w:tcBorders>
              <w:top w:val="nil"/>
              <w:left w:val="nil"/>
              <w:bottom w:val="nil"/>
              <w:right w:val="nil"/>
            </w:tcBorders>
            <w:shd w:val="clear" w:color="000000" w:fill="FFFFFF"/>
            <w:noWrap/>
            <w:vAlign w:val="center"/>
            <w:hideMark/>
          </w:tcPr>
          <w:p w14:paraId="1481F4A0" w14:textId="77777777" w:rsidR="00A66498" w:rsidRPr="00A66498" w:rsidRDefault="00A66498" w:rsidP="00F31434">
            <w:pPr>
              <w:pStyle w:val="TableTextLeft"/>
              <w:rPr>
                <w:b/>
              </w:rPr>
            </w:pPr>
            <w:r w:rsidRPr="00A66498">
              <w:rPr>
                <w:b/>
              </w:rPr>
              <w:t>Total capital grants expense</w:t>
            </w:r>
          </w:p>
        </w:tc>
        <w:tc>
          <w:tcPr>
            <w:tcW w:w="521" w:type="pct"/>
            <w:tcBorders>
              <w:top w:val="single" w:sz="4" w:space="0" w:color="293F5B"/>
              <w:left w:val="nil"/>
              <w:bottom w:val="single" w:sz="4" w:space="0" w:color="293F5B"/>
              <w:right w:val="nil"/>
            </w:tcBorders>
            <w:shd w:val="clear" w:color="000000" w:fill="FFFFFF"/>
            <w:noWrap/>
            <w:vAlign w:val="center"/>
            <w:hideMark/>
          </w:tcPr>
          <w:p w14:paraId="5892544C" w14:textId="77777777" w:rsidR="00A66498" w:rsidRPr="00A66498" w:rsidRDefault="00A66498" w:rsidP="00A637A4">
            <w:pPr>
              <w:pStyle w:val="TableTextRight"/>
              <w:rPr>
                <w:b/>
                <w:color w:val="000000"/>
              </w:rPr>
            </w:pPr>
            <w:r w:rsidRPr="00A66498">
              <w:rPr>
                <w:b/>
                <w:color w:val="000000"/>
              </w:rPr>
              <w:t>20,877</w:t>
            </w:r>
          </w:p>
        </w:tc>
        <w:tc>
          <w:tcPr>
            <w:tcW w:w="521" w:type="pct"/>
            <w:tcBorders>
              <w:top w:val="single" w:sz="4" w:space="0" w:color="293F5B"/>
              <w:left w:val="nil"/>
              <w:bottom w:val="single" w:sz="4" w:space="0" w:color="293F5B"/>
              <w:right w:val="nil"/>
            </w:tcBorders>
            <w:shd w:val="clear" w:color="000000" w:fill="E6F2FF"/>
            <w:noWrap/>
            <w:vAlign w:val="center"/>
            <w:hideMark/>
          </w:tcPr>
          <w:p w14:paraId="00B8CDF7" w14:textId="77777777" w:rsidR="00A66498" w:rsidRPr="00A66498" w:rsidRDefault="00A66498" w:rsidP="00A637A4">
            <w:pPr>
              <w:pStyle w:val="TableTextRight"/>
              <w:rPr>
                <w:b/>
                <w:color w:val="000000"/>
              </w:rPr>
            </w:pPr>
            <w:r w:rsidRPr="00A66498">
              <w:rPr>
                <w:b/>
                <w:color w:val="000000"/>
              </w:rPr>
              <w:t>25,364</w:t>
            </w:r>
          </w:p>
        </w:tc>
        <w:tc>
          <w:tcPr>
            <w:tcW w:w="521" w:type="pct"/>
            <w:tcBorders>
              <w:top w:val="single" w:sz="4" w:space="0" w:color="293F5B"/>
              <w:left w:val="nil"/>
              <w:bottom w:val="single" w:sz="4" w:space="0" w:color="293F5B"/>
              <w:right w:val="nil"/>
            </w:tcBorders>
            <w:shd w:val="clear" w:color="000000" w:fill="FFFFFF"/>
            <w:noWrap/>
            <w:vAlign w:val="center"/>
            <w:hideMark/>
          </w:tcPr>
          <w:p w14:paraId="4CC234DA" w14:textId="77777777" w:rsidR="00A66498" w:rsidRPr="00A66498" w:rsidRDefault="00A66498" w:rsidP="00A637A4">
            <w:pPr>
              <w:pStyle w:val="TableTextRight"/>
              <w:rPr>
                <w:b/>
                <w:color w:val="000000"/>
              </w:rPr>
            </w:pPr>
            <w:r w:rsidRPr="00A66498">
              <w:rPr>
                <w:b/>
                <w:color w:val="000000"/>
              </w:rPr>
              <w:t>22,334</w:t>
            </w:r>
          </w:p>
        </w:tc>
        <w:tc>
          <w:tcPr>
            <w:tcW w:w="521" w:type="pct"/>
            <w:tcBorders>
              <w:top w:val="single" w:sz="4" w:space="0" w:color="293F5B"/>
              <w:left w:val="nil"/>
              <w:bottom w:val="single" w:sz="4" w:space="0" w:color="293F5B"/>
              <w:right w:val="nil"/>
            </w:tcBorders>
            <w:shd w:val="clear" w:color="000000" w:fill="FFFFFF"/>
            <w:noWrap/>
            <w:vAlign w:val="center"/>
            <w:hideMark/>
          </w:tcPr>
          <w:p w14:paraId="51726AE8" w14:textId="77777777" w:rsidR="00A66498" w:rsidRPr="00A66498" w:rsidRDefault="00A66498" w:rsidP="00A637A4">
            <w:pPr>
              <w:pStyle w:val="TableTextRight"/>
              <w:rPr>
                <w:b/>
                <w:color w:val="000000"/>
              </w:rPr>
            </w:pPr>
            <w:r w:rsidRPr="00A66498">
              <w:rPr>
                <w:b/>
                <w:color w:val="000000"/>
              </w:rPr>
              <w:t>21,497</w:t>
            </w:r>
          </w:p>
        </w:tc>
        <w:tc>
          <w:tcPr>
            <w:tcW w:w="521" w:type="pct"/>
            <w:tcBorders>
              <w:top w:val="single" w:sz="4" w:space="0" w:color="293F5B"/>
              <w:left w:val="nil"/>
              <w:bottom w:val="single" w:sz="4" w:space="0" w:color="293F5B"/>
              <w:right w:val="nil"/>
            </w:tcBorders>
            <w:shd w:val="clear" w:color="000000" w:fill="FFFFFF"/>
            <w:noWrap/>
            <w:vAlign w:val="center"/>
            <w:hideMark/>
          </w:tcPr>
          <w:p w14:paraId="2D7C382C" w14:textId="77777777" w:rsidR="00A66498" w:rsidRPr="00A66498" w:rsidRDefault="00A66498" w:rsidP="00A637A4">
            <w:pPr>
              <w:pStyle w:val="TableTextRight"/>
              <w:rPr>
                <w:b/>
                <w:color w:val="000000"/>
              </w:rPr>
            </w:pPr>
            <w:r w:rsidRPr="00A66498">
              <w:rPr>
                <w:b/>
                <w:color w:val="000000"/>
              </w:rPr>
              <w:t>19,525</w:t>
            </w:r>
          </w:p>
        </w:tc>
      </w:tr>
      <w:tr w:rsidR="00A66498" w:rsidRPr="00A66498" w14:paraId="7C53F845" w14:textId="77777777" w:rsidTr="005B6CBF">
        <w:trPr>
          <w:trHeight w:val="225"/>
        </w:trPr>
        <w:tc>
          <w:tcPr>
            <w:tcW w:w="2393" w:type="pct"/>
            <w:tcBorders>
              <w:top w:val="nil"/>
              <w:left w:val="nil"/>
              <w:bottom w:val="single" w:sz="4" w:space="0" w:color="293F5B"/>
              <w:right w:val="nil"/>
            </w:tcBorders>
            <w:shd w:val="clear" w:color="000000" w:fill="FFFFFF"/>
            <w:noWrap/>
            <w:vAlign w:val="center"/>
            <w:hideMark/>
          </w:tcPr>
          <w:p w14:paraId="7049209F" w14:textId="77777777" w:rsidR="00A66498" w:rsidRPr="00A66498" w:rsidRDefault="00A66498" w:rsidP="00F31434">
            <w:pPr>
              <w:pStyle w:val="TableTextLeft"/>
              <w:rPr>
                <w:b/>
                <w:color w:val="000000"/>
              </w:rPr>
            </w:pPr>
            <w:r w:rsidRPr="00A66498">
              <w:rPr>
                <w:b/>
                <w:color w:val="000000"/>
              </w:rPr>
              <w:t>Total grants expense</w:t>
            </w:r>
          </w:p>
        </w:tc>
        <w:tc>
          <w:tcPr>
            <w:tcW w:w="521" w:type="pct"/>
            <w:tcBorders>
              <w:top w:val="nil"/>
              <w:left w:val="nil"/>
              <w:bottom w:val="single" w:sz="4" w:space="0" w:color="293F5B"/>
              <w:right w:val="nil"/>
            </w:tcBorders>
            <w:shd w:val="clear" w:color="000000" w:fill="FFFFFF"/>
            <w:vAlign w:val="bottom"/>
            <w:hideMark/>
          </w:tcPr>
          <w:p w14:paraId="407556E4" w14:textId="77777777" w:rsidR="00A66498" w:rsidRPr="00A66498" w:rsidRDefault="00A66498" w:rsidP="00A637A4">
            <w:pPr>
              <w:pStyle w:val="TableTextRight"/>
              <w:rPr>
                <w:b/>
                <w:color w:val="000000"/>
              </w:rPr>
            </w:pPr>
            <w:r w:rsidRPr="00A66498">
              <w:rPr>
                <w:b/>
                <w:color w:val="000000"/>
              </w:rPr>
              <w:t>224,072</w:t>
            </w:r>
          </w:p>
        </w:tc>
        <w:tc>
          <w:tcPr>
            <w:tcW w:w="521" w:type="pct"/>
            <w:tcBorders>
              <w:top w:val="nil"/>
              <w:left w:val="nil"/>
              <w:bottom w:val="single" w:sz="4" w:space="0" w:color="293F5B"/>
              <w:right w:val="nil"/>
            </w:tcBorders>
            <w:shd w:val="clear" w:color="000000" w:fill="E6F2FF"/>
            <w:vAlign w:val="bottom"/>
            <w:hideMark/>
          </w:tcPr>
          <w:p w14:paraId="70934EA7" w14:textId="77777777" w:rsidR="00A66498" w:rsidRPr="00A66498" w:rsidRDefault="00A66498" w:rsidP="00A637A4">
            <w:pPr>
              <w:pStyle w:val="TableTextRight"/>
              <w:rPr>
                <w:b/>
                <w:color w:val="000000"/>
              </w:rPr>
            </w:pPr>
            <w:r w:rsidRPr="00A66498">
              <w:rPr>
                <w:b/>
                <w:color w:val="000000"/>
              </w:rPr>
              <w:t>234,278</w:t>
            </w:r>
          </w:p>
        </w:tc>
        <w:tc>
          <w:tcPr>
            <w:tcW w:w="521" w:type="pct"/>
            <w:tcBorders>
              <w:top w:val="nil"/>
              <w:left w:val="nil"/>
              <w:bottom w:val="single" w:sz="4" w:space="0" w:color="293F5B"/>
              <w:right w:val="nil"/>
            </w:tcBorders>
            <w:shd w:val="clear" w:color="000000" w:fill="FFFFFF"/>
            <w:vAlign w:val="bottom"/>
            <w:hideMark/>
          </w:tcPr>
          <w:p w14:paraId="5E3D5719" w14:textId="77777777" w:rsidR="00A66498" w:rsidRPr="00A66498" w:rsidRDefault="00A66498" w:rsidP="00A637A4">
            <w:pPr>
              <w:pStyle w:val="TableTextRight"/>
              <w:rPr>
                <w:b/>
                <w:color w:val="000000"/>
              </w:rPr>
            </w:pPr>
            <w:r w:rsidRPr="00A66498">
              <w:rPr>
                <w:b/>
                <w:color w:val="000000"/>
              </w:rPr>
              <w:t>238,433</w:t>
            </w:r>
          </w:p>
        </w:tc>
        <w:tc>
          <w:tcPr>
            <w:tcW w:w="521" w:type="pct"/>
            <w:tcBorders>
              <w:top w:val="nil"/>
              <w:left w:val="nil"/>
              <w:bottom w:val="single" w:sz="4" w:space="0" w:color="293F5B"/>
              <w:right w:val="nil"/>
            </w:tcBorders>
            <w:shd w:val="clear" w:color="000000" w:fill="FFFFFF"/>
            <w:vAlign w:val="bottom"/>
            <w:hideMark/>
          </w:tcPr>
          <w:p w14:paraId="724352CA" w14:textId="77777777" w:rsidR="00A66498" w:rsidRPr="00A66498" w:rsidRDefault="00A66498" w:rsidP="00A637A4">
            <w:pPr>
              <w:pStyle w:val="TableTextRight"/>
              <w:rPr>
                <w:b/>
                <w:color w:val="000000"/>
              </w:rPr>
            </w:pPr>
            <w:r w:rsidRPr="00A66498">
              <w:rPr>
                <w:b/>
                <w:color w:val="000000"/>
              </w:rPr>
              <w:t>245,164</w:t>
            </w:r>
          </w:p>
        </w:tc>
        <w:tc>
          <w:tcPr>
            <w:tcW w:w="521" w:type="pct"/>
            <w:tcBorders>
              <w:top w:val="nil"/>
              <w:left w:val="nil"/>
              <w:bottom w:val="single" w:sz="4" w:space="0" w:color="293F5B"/>
              <w:right w:val="nil"/>
            </w:tcBorders>
            <w:shd w:val="clear" w:color="000000" w:fill="FFFFFF"/>
            <w:vAlign w:val="bottom"/>
            <w:hideMark/>
          </w:tcPr>
          <w:p w14:paraId="1BCC0120" w14:textId="77777777" w:rsidR="00A66498" w:rsidRPr="00A66498" w:rsidRDefault="00A66498" w:rsidP="00A637A4">
            <w:pPr>
              <w:pStyle w:val="TableTextRight"/>
              <w:rPr>
                <w:b/>
                <w:color w:val="000000"/>
              </w:rPr>
            </w:pPr>
            <w:r w:rsidRPr="00A66498">
              <w:rPr>
                <w:b/>
                <w:color w:val="000000"/>
              </w:rPr>
              <w:t>251,478</w:t>
            </w:r>
          </w:p>
        </w:tc>
      </w:tr>
    </w:tbl>
    <w:p w14:paraId="6B58EA5F" w14:textId="77777777" w:rsidR="00571D97" w:rsidRPr="00EA746C" w:rsidRDefault="00571D97" w:rsidP="00571D97">
      <w:pPr>
        <w:pStyle w:val="SingleParagraph"/>
      </w:pPr>
    </w:p>
    <w:p w14:paraId="5133A4D3" w14:textId="07B4492F" w:rsidR="00D8138E" w:rsidRPr="00663990" w:rsidRDefault="000D0B7D" w:rsidP="00BF0203">
      <w:pPr>
        <w:pStyle w:val="NoteTableHeading"/>
        <w:rPr>
          <w:rFonts w:eastAsiaTheme="minorHAnsi"/>
        </w:rPr>
      </w:pPr>
      <w:r>
        <w:t>Note </w:t>
      </w:r>
      <w:r w:rsidR="00D8138E" w:rsidRPr="00EA746C">
        <w:t>12: Personal benefits expense</w:t>
      </w:r>
    </w:p>
    <w:tbl>
      <w:tblPr>
        <w:tblW w:w="5000" w:type="pct"/>
        <w:tblLook w:val="04A0" w:firstRow="1" w:lastRow="0" w:firstColumn="1" w:lastColumn="0" w:noHBand="0" w:noVBand="1"/>
      </w:tblPr>
      <w:tblGrid>
        <w:gridCol w:w="3687"/>
        <w:gridCol w:w="804"/>
        <w:gridCol w:w="804"/>
        <w:gridCol w:w="804"/>
        <w:gridCol w:w="804"/>
        <w:gridCol w:w="807"/>
      </w:tblGrid>
      <w:tr w:rsidR="0058792A" w:rsidRPr="0058792A" w14:paraId="1FC3F34A" w14:textId="77777777" w:rsidTr="00E553F7">
        <w:trPr>
          <w:trHeight w:val="225"/>
        </w:trPr>
        <w:tc>
          <w:tcPr>
            <w:tcW w:w="2392" w:type="pct"/>
            <w:tcBorders>
              <w:top w:val="single" w:sz="4" w:space="0" w:color="293F5B"/>
              <w:left w:val="nil"/>
              <w:bottom w:val="nil"/>
              <w:right w:val="nil"/>
            </w:tcBorders>
            <w:shd w:val="clear" w:color="000000" w:fill="FFFFFF"/>
            <w:noWrap/>
            <w:vAlign w:val="center"/>
            <w:hideMark/>
          </w:tcPr>
          <w:p w14:paraId="1939B874" w14:textId="77777777" w:rsidR="0058792A" w:rsidRPr="0058792A" w:rsidRDefault="0058792A" w:rsidP="00637558">
            <w:pPr>
              <w:pStyle w:val="TableTextLeft"/>
            </w:pPr>
            <w:r w:rsidRPr="0058792A">
              <w:t> </w:t>
            </w:r>
          </w:p>
        </w:tc>
        <w:tc>
          <w:tcPr>
            <w:tcW w:w="2608" w:type="pct"/>
            <w:gridSpan w:val="5"/>
            <w:tcBorders>
              <w:top w:val="single" w:sz="4" w:space="0" w:color="293F5B"/>
              <w:left w:val="nil"/>
              <w:bottom w:val="single" w:sz="4" w:space="0" w:color="293F5B"/>
              <w:right w:val="nil"/>
            </w:tcBorders>
            <w:shd w:val="clear" w:color="000000" w:fill="FFFFFF"/>
            <w:noWrap/>
            <w:vAlign w:val="center"/>
            <w:hideMark/>
          </w:tcPr>
          <w:p w14:paraId="5665F063" w14:textId="77777777" w:rsidR="0058792A" w:rsidRPr="0058792A" w:rsidRDefault="0058792A" w:rsidP="00637558">
            <w:pPr>
              <w:pStyle w:val="TableTextCentred"/>
            </w:pPr>
            <w:r w:rsidRPr="0058792A">
              <w:t>Estimates</w:t>
            </w:r>
          </w:p>
        </w:tc>
      </w:tr>
      <w:tr w:rsidR="0058792A" w:rsidRPr="0058792A" w14:paraId="76442533" w14:textId="77777777" w:rsidTr="00E553F7">
        <w:trPr>
          <w:trHeight w:val="225"/>
        </w:trPr>
        <w:tc>
          <w:tcPr>
            <w:tcW w:w="2392" w:type="pct"/>
            <w:tcBorders>
              <w:top w:val="nil"/>
              <w:left w:val="nil"/>
              <w:bottom w:val="nil"/>
              <w:right w:val="nil"/>
            </w:tcBorders>
            <w:shd w:val="clear" w:color="000000" w:fill="FFFFFF"/>
            <w:noWrap/>
            <w:vAlign w:val="center"/>
            <w:hideMark/>
          </w:tcPr>
          <w:p w14:paraId="3B5911E2" w14:textId="77777777" w:rsidR="0058792A" w:rsidRPr="0058792A" w:rsidRDefault="0058792A" w:rsidP="00637558">
            <w:pPr>
              <w:pStyle w:val="TableTextLeft"/>
            </w:pPr>
            <w:r w:rsidRPr="0058792A">
              <w:t> </w:t>
            </w:r>
          </w:p>
        </w:tc>
        <w:tc>
          <w:tcPr>
            <w:tcW w:w="521" w:type="pct"/>
            <w:tcBorders>
              <w:top w:val="nil"/>
              <w:left w:val="nil"/>
              <w:bottom w:val="nil"/>
              <w:right w:val="nil"/>
            </w:tcBorders>
            <w:shd w:val="clear" w:color="000000" w:fill="FFFFFF"/>
            <w:noWrap/>
            <w:vAlign w:val="center"/>
            <w:hideMark/>
          </w:tcPr>
          <w:p w14:paraId="630FE730" w14:textId="14CBB777" w:rsidR="0058792A" w:rsidRPr="0058792A" w:rsidRDefault="0058792A" w:rsidP="00637558">
            <w:pPr>
              <w:pStyle w:val="TableTextRight"/>
            </w:pPr>
            <w:r w:rsidRPr="0058792A">
              <w:t>2023</w:t>
            </w:r>
            <w:r w:rsidR="00325E1E">
              <w:noBreakHyphen/>
            </w:r>
            <w:r w:rsidRPr="0058792A">
              <w:t>24</w:t>
            </w:r>
          </w:p>
        </w:tc>
        <w:tc>
          <w:tcPr>
            <w:tcW w:w="521" w:type="pct"/>
            <w:tcBorders>
              <w:top w:val="nil"/>
              <w:left w:val="nil"/>
              <w:bottom w:val="nil"/>
              <w:right w:val="nil"/>
            </w:tcBorders>
            <w:shd w:val="clear" w:color="000000" w:fill="E6F2FF"/>
            <w:noWrap/>
            <w:vAlign w:val="center"/>
            <w:hideMark/>
          </w:tcPr>
          <w:p w14:paraId="7424FF57" w14:textId="3F29D7B0" w:rsidR="0058792A" w:rsidRPr="0058792A" w:rsidRDefault="0058792A" w:rsidP="00637558">
            <w:pPr>
              <w:pStyle w:val="TableTextRight"/>
            </w:pPr>
            <w:r w:rsidRPr="0058792A">
              <w:t>2024</w:t>
            </w:r>
            <w:r w:rsidR="00325E1E">
              <w:noBreakHyphen/>
            </w:r>
            <w:r w:rsidRPr="0058792A">
              <w:t>25</w:t>
            </w:r>
          </w:p>
        </w:tc>
        <w:tc>
          <w:tcPr>
            <w:tcW w:w="521" w:type="pct"/>
            <w:tcBorders>
              <w:top w:val="nil"/>
              <w:left w:val="nil"/>
              <w:bottom w:val="nil"/>
              <w:right w:val="nil"/>
            </w:tcBorders>
            <w:shd w:val="clear" w:color="000000" w:fill="FFFFFF"/>
            <w:noWrap/>
            <w:vAlign w:val="center"/>
            <w:hideMark/>
          </w:tcPr>
          <w:p w14:paraId="4A64A3D1" w14:textId="2D86BE36" w:rsidR="0058792A" w:rsidRPr="0058792A" w:rsidRDefault="0058792A" w:rsidP="00637558">
            <w:pPr>
              <w:pStyle w:val="TableTextRight"/>
            </w:pPr>
            <w:r w:rsidRPr="0058792A">
              <w:t>2025</w:t>
            </w:r>
            <w:r w:rsidR="00325E1E">
              <w:noBreakHyphen/>
            </w:r>
            <w:r w:rsidRPr="0058792A">
              <w:t>26</w:t>
            </w:r>
          </w:p>
        </w:tc>
        <w:tc>
          <w:tcPr>
            <w:tcW w:w="521" w:type="pct"/>
            <w:tcBorders>
              <w:top w:val="nil"/>
              <w:left w:val="nil"/>
              <w:bottom w:val="nil"/>
              <w:right w:val="nil"/>
            </w:tcBorders>
            <w:shd w:val="clear" w:color="000000" w:fill="FFFFFF"/>
            <w:noWrap/>
            <w:vAlign w:val="center"/>
            <w:hideMark/>
          </w:tcPr>
          <w:p w14:paraId="11ED6278" w14:textId="057D789D" w:rsidR="0058792A" w:rsidRPr="0058792A" w:rsidRDefault="0058792A" w:rsidP="00637558">
            <w:pPr>
              <w:pStyle w:val="TableTextRight"/>
            </w:pPr>
            <w:r w:rsidRPr="0058792A">
              <w:t>2026</w:t>
            </w:r>
            <w:r w:rsidR="00325E1E">
              <w:noBreakHyphen/>
            </w:r>
            <w:r w:rsidRPr="0058792A">
              <w:t>27</w:t>
            </w:r>
          </w:p>
        </w:tc>
        <w:tc>
          <w:tcPr>
            <w:tcW w:w="522" w:type="pct"/>
            <w:tcBorders>
              <w:top w:val="nil"/>
              <w:left w:val="nil"/>
              <w:bottom w:val="nil"/>
              <w:right w:val="nil"/>
            </w:tcBorders>
            <w:shd w:val="clear" w:color="000000" w:fill="FFFFFF"/>
            <w:noWrap/>
            <w:vAlign w:val="center"/>
            <w:hideMark/>
          </w:tcPr>
          <w:p w14:paraId="5AE74B64" w14:textId="536DA154" w:rsidR="0058792A" w:rsidRPr="0058792A" w:rsidRDefault="0058792A" w:rsidP="00637558">
            <w:pPr>
              <w:pStyle w:val="TableTextRight"/>
              <w:rPr>
                <w:color w:val="000000"/>
              </w:rPr>
            </w:pPr>
            <w:r w:rsidRPr="0058792A">
              <w:rPr>
                <w:color w:val="000000"/>
              </w:rPr>
              <w:t>2027</w:t>
            </w:r>
            <w:r w:rsidR="00325E1E">
              <w:rPr>
                <w:color w:val="000000"/>
              </w:rPr>
              <w:noBreakHyphen/>
            </w:r>
            <w:r w:rsidRPr="0058792A">
              <w:rPr>
                <w:color w:val="000000"/>
              </w:rPr>
              <w:t>28</w:t>
            </w:r>
          </w:p>
        </w:tc>
      </w:tr>
      <w:tr w:rsidR="0058792A" w:rsidRPr="0058792A" w14:paraId="47A8BC7A" w14:textId="77777777" w:rsidTr="00E553F7">
        <w:trPr>
          <w:trHeight w:val="225"/>
        </w:trPr>
        <w:tc>
          <w:tcPr>
            <w:tcW w:w="2392" w:type="pct"/>
            <w:tcBorders>
              <w:top w:val="nil"/>
              <w:left w:val="nil"/>
              <w:bottom w:val="nil"/>
              <w:right w:val="nil"/>
            </w:tcBorders>
            <w:shd w:val="clear" w:color="000000" w:fill="FFFFFF"/>
            <w:noWrap/>
            <w:vAlign w:val="center"/>
            <w:hideMark/>
          </w:tcPr>
          <w:p w14:paraId="2F54089E" w14:textId="77777777" w:rsidR="0058792A" w:rsidRPr="0058792A" w:rsidRDefault="0058792A" w:rsidP="00637558">
            <w:pPr>
              <w:pStyle w:val="TableTextLeft"/>
            </w:pPr>
            <w:r w:rsidRPr="0058792A">
              <w:t> </w:t>
            </w:r>
          </w:p>
        </w:tc>
        <w:tc>
          <w:tcPr>
            <w:tcW w:w="521" w:type="pct"/>
            <w:tcBorders>
              <w:top w:val="nil"/>
              <w:left w:val="nil"/>
              <w:bottom w:val="single" w:sz="4" w:space="0" w:color="293F5B"/>
              <w:right w:val="nil"/>
            </w:tcBorders>
            <w:shd w:val="clear" w:color="000000" w:fill="FFFFFF"/>
            <w:noWrap/>
            <w:vAlign w:val="center"/>
            <w:hideMark/>
          </w:tcPr>
          <w:p w14:paraId="45DB6F3D" w14:textId="77777777" w:rsidR="0058792A" w:rsidRPr="0058792A" w:rsidRDefault="0058792A" w:rsidP="00637558">
            <w:pPr>
              <w:pStyle w:val="TableTextRight"/>
            </w:pPr>
            <w:r w:rsidRPr="0058792A">
              <w:t>$m</w:t>
            </w:r>
          </w:p>
        </w:tc>
        <w:tc>
          <w:tcPr>
            <w:tcW w:w="521" w:type="pct"/>
            <w:tcBorders>
              <w:top w:val="nil"/>
              <w:left w:val="nil"/>
              <w:bottom w:val="single" w:sz="4" w:space="0" w:color="293F5B"/>
              <w:right w:val="nil"/>
            </w:tcBorders>
            <w:shd w:val="clear" w:color="000000" w:fill="E6F2FF"/>
            <w:noWrap/>
            <w:vAlign w:val="center"/>
            <w:hideMark/>
          </w:tcPr>
          <w:p w14:paraId="0E4748D6" w14:textId="77777777" w:rsidR="0058792A" w:rsidRPr="0058792A" w:rsidRDefault="0058792A" w:rsidP="00637558">
            <w:pPr>
              <w:pStyle w:val="TableTextRight"/>
            </w:pPr>
            <w:r w:rsidRPr="0058792A">
              <w:t>$m</w:t>
            </w:r>
          </w:p>
        </w:tc>
        <w:tc>
          <w:tcPr>
            <w:tcW w:w="521" w:type="pct"/>
            <w:tcBorders>
              <w:top w:val="nil"/>
              <w:left w:val="nil"/>
              <w:bottom w:val="single" w:sz="4" w:space="0" w:color="293F5B"/>
              <w:right w:val="nil"/>
            </w:tcBorders>
            <w:shd w:val="clear" w:color="000000" w:fill="FFFFFF"/>
            <w:noWrap/>
            <w:vAlign w:val="center"/>
            <w:hideMark/>
          </w:tcPr>
          <w:p w14:paraId="5FC1ECC4" w14:textId="77777777" w:rsidR="0058792A" w:rsidRPr="0058792A" w:rsidRDefault="0058792A" w:rsidP="00637558">
            <w:pPr>
              <w:pStyle w:val="TableTextRight"/>
            </w:pPr>
            <w:r w:rsidRPr="0058792A">
              <w:t>$m</w:t>
            </w:r>
          </w:p>
        </w:tc>
        <w:tc>
          <w:tcPr>
            <w:tcW w:w="521" w:type="pct"/>
            <w:tcBorders>
              <w:top w:val="nil"/>
              <w:left w:val="nil"/>
              <w:bottom w:val="single" w:sz="4" w:space="0" w:color="293F5B"/>
              <w:right w:val="nil"/>
            </w:tcBorders>
            <w:shd w:val="clear" w:color="000000" w:fill="FFFFFF"/>
            <w:noWrap/>
            <w:vAlign w:val="center"/>
            <w:hideMark/>
          </w:tcPr>
          <w:p w14:paraId="2DA50FCB" w14:textId="77777777" w:rsidR="0058792A" w:rsidRPr="0058792A" w:rsidRDefault="0058792A" w:rsidP="00637558">
            <w:pPr>
              <w:pStyle w:val="TableTextRight"/>
            </w:pPr>
            <w:r w:rsidRPr="0058792A">
              <w:t>$m</w:t>
            </w:r>
          </w:p>
        </w:tc>
        <w:tc>
          <w:tcPr>
            <w:tcW w:w="522" w:type="pct"/>
            <w:tcBorders>
              <w:top w:val="nil"/>
              <w:left w:val="nil"/>
              <w:bottom w:val="single" w:sz="4" w:space="0" w:color="293F5B"/>
              <w:right w:val="nil"/>
            </w:tcBorders>
            <w:shd w:val="clear" w:color="000000" w:fill="FFFFFF"/>
            <w:noWrap/>
            <w:vAlign w:val="center"/>
            <w:hideMark/>
          </w:tcPr>
          <w:p w14:paraId="305BAA80" w14:textId="77777777" w:rsidR="0058792A" w:rsidRPr="0058792A" w:rsidRDefault="0058792A" w:rsidP="00637558">
            <w:pPr>
              <w:pStyle w:val="TableTextRight"/>
            </w:pPr>
            <w:r w:rsidRPr="0058792A">
              <w:t>$m</w:t>
            </w:r>
          </w:p>
        </w:tc>
      </w:tr>
      <w:tr w:rsidR="00E553F7" w:rsidRPr="0058792A" w14:paraId="2D65A8C5" w14:textId="77777777" w:rsidTr="00E553F7">
        <w:trPr>
          <w:trHeight w:val="225"/>
        </w:trPr>
        <w:tc>
          <w:tcPr>
            <w:tcW w:w="2392" w:type="pct"/>
            <w:tcBorders>
              <w:top w:val="nil"/>
              <w:left w:val="nil"/>
              <w:bottom w:val="nil"/>
              <w:right w:val="nil"/>
            </w:tcBorders>
            <w:shd w:val="clear" w:color="000000" w:fill="FFFFFF"/>
            <w:noWrap/>
            <w:vAlign w:val="center"/>
            <w:hideMark/>
          </w:tcPr>
          <w:p w14:paraId="2F537534" w14:textId="7C9DCFBB" w:rsidR="00E553F7" w:rsidRPr="0058792A" w:rsidRDefault="00E553F7" w:rsidP="00637558">
            <w:pPr>
              <w:pStyle w:val="TableTextLeft"/>
            </w:pPr>
            <w:r>
              <w:t xml:space="preserve">Social welfare </w:t>
            </w:r>
            <w:r w:rsidR="00480091">
              <w:t>–</w:t>
            </w:r>
            <w:r>
              <w:t xml:space="preserve"> assistance to the aged</w:t>
            </w:r>
          </w:p>
        </w:tc>
        <w:tc>
          <w:tcPr>
            <w:tcW w:w="521" w:type="pct"/>
            <w:tcBorders>
              <w:top w:val="nil"/>
              <w:left w:val="nil"/>
              <w:bottom w:val="nil"/>
              <w:right w:val="nil"/>
            </w:tcBorders>
            <w:shd w:val="clear" w:color="000000" w:fill="FFFFFF"/>
            <w:noWrap/>
            <w:vAlign w:val="center"/>
            <w:hideMark/>
          </w:tcPr>
          <w:p w14:paraId="2FC42069" w14:textId="5DF3B7C1" w:rsidR="00E553F7" w:rsidRPr="0058792A" w:rsidRDefault="00E553F7" w:rsidP="00637558">
            <w:pPr>
              <w:pStyle w:val="TableTextRight"/>
            </w:pPr>
            <w:r>
              <w:t>59,160</w:t>
            </w:r>
          </w:p>
        </w:tc>
        <w:tc>
          <w:tcPr>
            <w:tcW w:w="521" w:type="pct"/>
            <w:tcBorders>
              <w:top w:val="nil"/>
              <w:left w:val="nil"/>
              <w:bottom w:val="nil"/>
              <w:right w:val="nil"/>
            </w:tcBorders>
            <w:shd w:val="clear" w:color="000000" w:fill="E6F2FF"/>
            <w:noWrap/>
            <w:vAlign w:val="center"/>
            <w:hideMark/>
          </w:tcPr>
          <w:p w14:paraId="121C31CA" w14:textId="6C673064" w:rsidR="00E553F7" w:rsidRPr="0058792A" w:rsidRDefault="00E553F7" w:rsidP="00637558">
            <w:pPr>
              <w:pStyle w:val="TableTextRight"/>
            </w:pPr>
            <w:r>
              <w:t>61,633</w:t>
            </w:r>
          </w:p>
        </w:tc>
        <w:tc>
          <w:tcPr>
            <w:tcW w:w="521" w:type="pct"/>
            <w:tcBorders>
              <w:top w:val="nil"/>
              <w:left w:val="nil"/>
              <w:bottom w:val="nil"/>
              <w:right w:val="nil"/>
            </w:tcBorders>
            <w:shd w:val="clear" w:color="000000" w:fill="FFFFFF"/>
            <w:noWrap/>
            <w:vAlign w:val="center"/>
            <w:hideMark/>
          </w:tcPr>
          <w:p w14:paraId="5EAEDD76" w14:textId="346B0EB6" w:rsidR="00E553F7" w:rsidRPr="0058792A" w:rsidRDefault="00E553F7" w:rsidP="00637558">
            <w:pPr>
              <w:pStyle w:val="TableTextRight"/>
            </w:pPr>
            <w:r>
              <w:t>64,404</w:t>
            </w:r>
          </w:p>
        </w:tc>
        <w:tc>
          <w:tcPr>
            <w:tcW w:w="521" w:type="pct"/>
            <w:tcBorders>
              <w:top w:val="nil"/>
              <w:left w:val="nil"/>
              <w:bottom w:val="nil"/>
              <w:right w:val="nil"/>
            </w:tcBorders>
            <w:shd w:val="clear" w:color="000000" w:fill="FFFFFF"/>
            <w:noWrap/>
            <w:vAlign w:val="center"/>
            <w:hideMark/>
          </w:tcPr>
          <w:p w14:paraId="7572D1DA" w14:textId="0D3392AD" w:rsidR="00E553F7" w:rsidRPr="0058792A" w:rsidRDefault="00E553F7" w:rsidP="00637558">
            <w:pPr>
              <w:pStyle w:val="TableTextRight"/>
            </w:pPr>
            <w:r>
              <w:t>67,091</w:t>
            </w:r>
          </w:p>
        </w:tc>
        <w:tc>
          <w:tcPr>
            <w:tcW w:w="522" w:type="pct"/>
            <w:tcBorders>
              <w:top w:val="nil"/>
              <w:left w:val="nil"/>
              <w:bottom w:val="nil"/>
              <w:right w:val="nil"/>
            </w:tcBorders>
            <w:shd w:val="clear" w:color="000000" w:fill="FFFFFF"/>
            <w:noWrap/>
            <w:vAlign w:val="center"/>
            <w:hideMark/>
          </w:tcPr>
          <w:p w14:paraId="50E99E2B" w14:textId="1265611D" w:rsidR="00E553F7" w:rsidRPr="0058792A" w:rsidRDefault="00E553F7" w:rsidP="00637558">
            <w:pPr>
              <w:pStyle w:val="TableTextRight"/>
            </w:pPr>
            <w:r>
              <w:t>69,953</w:t>
            </w:r>
          </w:p>
        </w:tc>
      </w:tr>
      <w:tr w:rsidR="00E553F7" w:rsidRPr="0058792A" w14:paraId="013734E6" w14:textId="77777777" w:rsidTr="00E553F7">
        <w:trPr>
          <w:trHeight w:val="225"/>
        </w:trPr>
        <w:tc>
          <w:tcPr>
            <w:tcW w:w="2392" w:type="pct"/>
            <w:tcBorders>
              <w:top w:val="nil"/>
              <w:left w:val="nil"/>
              <w:bottom w:val="nil"/>
              <w:right w:val="nil"/>
            </w:tcBorders>
            <w:shd w:val="clear" w:color="000000" w:fill="FFFFFF"/>
            <w:noWrap/>
            <w:vAlign w:val="center"/>
            <w:hideMark/>
          </w:tcPr>
          <w:p w14:paraId="30085C8B" w14:textId="15F694A1" w:rsidR="00E553F7" w:rsidRPr="0058792A" w:rsidRDefault="00E553F7" w:rsidP="00637558">
            <w:pPr>
              <w:pStyle w:val="TableTextLeft"/>
            </w:pPr>
            <w:r>
              <w:t>Assistance to veterans and dependants</w:t>
            </w:r>
          </w:p>
        </w:tc>
        <w:tc>
          <w:tcPr>
            <w:tcW w:w="521" w:type="pct"/>
            <w:tcBorders>
              <w:top w:val="nil"/>
              <w:left w:val="nil"/>
              <w:bottom w:val="nil"/>
              <w:right w:val="nil"/>
            </w:tcBorders>
            <w:shd w:val="clear" w:color="000000" w:fill="FFFFFF"/>
            <w:noWrap/>
            <w:vAlign w:val="center"/>
            <w:hideMark/>
          </w:tcPr>
          <w:p w14:paraId="4BD30534" w14:textId="1FB2FB7B" w:rsidR="00E553F7" w:rsidRPr="0058792A" w:rsidRDefault="00E553F7" w:rsidP="00637558">
            <w:pPr>
              <w:pStyle w:val="TableTextRight"/>
            </w:pPr>
            <w:r>
              <w:t>4,498</w:t>
            </w:r>
          </w:p>
        </w:tc>
        <w:tc>
          <w:tcPr>
            <w:tcW w:w="521" w:type="pct"/>
            <w:tcBorders>
              <w:top w:val="nil"/>
              <w:left w:val="nil"/>
              <w:bottom w:val="nil"/>
              <w:right w:val="nil"/>
            </w:tcBorders>
            <w:shd w:val="clear" w:color="000000" w:fill="E6F2FF"/>
            <w:noWrap/>
            <w:vAlign w:val="center"/>
            <w:hideMark/>
          </w:tcPr>
          <w:p w14:paraId="797B8B61" w14:textId="645214E1" w:rsidR="00E553F7" w:rsidRPr="0058792A" w:rsidRDefault="00E553F7" w:rsidP="00637558">
            <w:pPr>
              <w:pStyle w:val="TableTextRight"/>
            </w:pPr>
            <w:r>
              <w:t>4,383</w:t>
            </w:r>
          </w:p>
        </w:tc>
        <w:tc>
          <w:tcPr>
            <w:tcW w:w="521" w:type="pct"/>
            <w:tcBorders>
              <w:top w:val="nil"/>
              <w:left w:val="nil"/>
              <w:bottom w:val="nil"/>
              <w:right w:val="nil"/>
            </w:tcBorders>
            <w:shd w:val="clear" w:color="000000" w:fill="FFFFFF"/>
            <w:noWrap/>
            <w:vAlign w:val="center"/>
            <w:hideMark/>
          </w:tcPr>
          <w:p w14:paraId="139F133C" w14:textId="2EFCF29A" w:rsidR="00E553F7" w:rsidRPr="0058792A" w:rsidRDefault="00E553F7" w:rsidP="00637558">
            <w:pPr>
              <w:pStyle w:val="TableTextRight"/>
            </w:pPr>
            <w:r>
              <w:t>4,271</w:t>
            </w:r>
          </w:p>
        </w:tc>
        <w:tc>
          <w:tcPr>
            <w:tcW w:w="521" w:type="pct"/>
            <w:tcBorders>
              <w:top w:val="nil"/>
              <w:left w:val="nil"/>
              <w:bottom w:val="nil"/>
              <w:right w:val="nil"/>
            </w:tcBorders>
            <w:shd w:val="clear" w:color="000000" w:fill="FFFFFF"/>
            <w:noWrap/>
            <w:vAlign w:val="center"/>
            <w:hideMark/>
          </w:tcPr>
          <w:p w14:paraId="58B1962C" w14:textId="7AC18D2F" w:rsidR="00E553F7" w:rsidRPr="0058792A" w:rsidRDefault="00E553F7" w:rsidP="00637558">
            <w:pPr>
              <w:pStyle w:val="TableTextRight"/>
            </w:pPr>
            <w:r>
              <w:t>4,156</w:t>
            </w:r>
          </w:p>
        </w:tc>
        <w:tc>
          <w:tcPr>
            <w:tcW w:w="522" w:type="pct"/>
            <w:tcBorders>
              <w:top w:val="nil"/>
              <w:left w:val="nil"/>
              <w:bottom w:val="nil"/>
              <w:right w:val="nil"/>
            </w:tcBorders>
            <w:shd w:val="clear" w:color="000000" w:fill="FFFFFF"/>
            <w:noWrap/>
            <w:vAlign w:val="center"/>
            <w:hideMark/>
          </w:tcPr>
          <w:p w14:paraId="2FDB0AB9" w14:textId="63FB5628" w:rsidR="00E553F7" w:rsidRPr="0058792A" w:rsidRDefault="00E553F7" w:rsidP="00637558">
            <w:pPr>
              <w:pStyle w:val="TableTextRight"/>
            </w:pPr>
            <w:r>
              <w:t>4,057</w:t>
            </w:r>
          </w:p>
        </w:tc>
      </w:tr>
      <w:tr w:rsidR="00E553F7" w:rsidRPr="0058792A" w14:paraId="5223E947" w14:textId="77777777" w:rsidTr="00E553F7">
        <w:trPr>
          <w:trHeight w:val="225"/>
        </w:trPr>
        <w:tc>
          <w:tcPr>
            <w:tcW w:w="2392" w:type="pct"/>
            <w:tcBorders>
              <w:top w:val="nil"/>
              <w:left w:val="nil"/>
              <w:bottom w:val="nil"/>
              <w:right w:val="nil"/>
            </w:tcBorders>
            <w:shd w:val="clear" w:color="000000" w:fill="FFFFFF"/>
            <w:noWrap/>
            <w:vAlign w:val="center"/>
            <w:hideMark/>
          </w:tcPr>
          <w:p w14:paraId="3DF51F4A" w14:textId="329A4705" w:rsidR="00E553F7" w:rsidRPr="0058792A" w:rsidRDefault="00E553F7" w:rsidP="00637558">
            <w:pPr>
              <w:pStyle w:val="TableTextLeft"/>
            </w:pPr>
            <w:r>
              <w:t>Assistance to people with disabilities</w:t>
            </w:r>
          </w:p>
        </w:tc>
        <w:tc>
          <w:tcPr>
            <w:tcW w:w="521" w:type="pct"/>
            <w:tcBorders>
              <w:top w:val="nil"/>
              <w:left w:val="nil"/>
              <w:bottom w:val="nil"/>
              <w:right w:val="nil"/>
            </w:tcBorders>
            <w:shd w:val="clear" w:color="000000" w:fill="FFFFFF"/>
            <w:noWrap/>
            <w:vAlign w:val="center"/>
            <w:hideMark/>
          </w:tcPr>
          <w:p w14:paraId="7FBE3B83" w14:textId="7A4A58F8" w:rsidR="00E553F7" w:rsidRPr="0058792A" w:rsidRDefault="00E553F7" w:rsidP="00637558">
            <w:pPr>
              <w:pStyle w:val="TableTextRight"/>
            </w:pPr>
            <w:r>
              <w:t>32,306</w:t>
            </w:r>
          </w:p>
        </w:tc>
        <w:tc>
          <w:tcPr>
            <w:tcW w:w="521" w:type="pct"/>
            <w:tcBorders>
              <w:top w:val="nil"/>
              <w:left w:val="nil"/>
              <w:bottom w:val="nil"/>
              <w:right w:val="nil"/>
            </w:tcBorders>
            <w:shd w:val="clear" w:color="000000" w:fill="E6F2FF"/>
            <w:noWrap/>
            <w:vAlign w:val="center"/>
            <w:hideMark/>
          </w:tcPr>
          <w:p w14:paraId="3FFE0FE5" w14:textId="7AB9F3D3" w:rsidR="00E553F7" w:rsidRPr="0058792A" w:rsidRDefault="00E553F7" w:rsidP="00637558">
            <w:pPr>
              <w:pStyle w:val="TableTextRight"/>
            </w:pPr>
            <w:r>
              <w:t>33,673</w:t>
            </w:r>
          </w:p>
        </w:tc>
        <w:tc>
          <w:tcPr>
            <w:tcW w:w="521" w:type="pct"/>
            <w:tcBorders>
              <w:top w:val="nil"/>
              <w:left w:val="nil"/>
              <w:bottom w:val="nil"/>
              <w:right w:val="nil"/>
            </w:tcBorders>
            <w:shd w:val="clear" w:color="000000" w:fill="FFFFFF"/>
            <w:noWrap/>
            <w:vAlign w:val="center"/>
            <w:hideMark/>
          </w:tcPr>
          <w:p w14:paraId="10B48F0C" w14:textId="082757CC" w:rsidR="00E553F7" w:rsidRPr="0058792A" w:rsidRDefault="00E553F7" w:rsidP="00637558">
            <w:pPr>
              <w:pStyle w:val="TableTextRight"/>
            </w:pPr>
            <w:r>
              <w:t>35,032</w:t>
            </w:r>
          </w:p>
        </w:tc>
        <w:tc>
          <w:tcPr>
            <w:tcW w:w="521" w:type="pct"/>
            <w:tcBorders>
              <w:top w:val="nil"/>
              <w:left w:val="nil"/>
              <w:bottom w:val="nil"/>
              <w:right w:val="nil"/>
            </w:tcBorders>
            <w:shd w:val="clear" w:color="000000" w:fill="FFFFFF"/>
            <w:noWrap/>
            <w:vAlign w:val="center"/>
            <w:hideMark/>
          </w:tcPr>
          <w:p w14:paraId="79E08471" w14:textId="4442A91E" w:rsidR="00E553F7" w:rsidRPr="0058792A" w:rsidRDefault="00E553F7" w:rsidP="00637558">
            <w:pPr>
              <w:pStyle w:val="TableTextRight"/>
            </w:pPr>
            <w:r>
              <w:t>36,295</w:t>
            </w:r>
          </w:p>
        </w:tc>
        <w:tc>
          <w:tcPr>
            <w:tcW w:w="522" w:type="pct"/>
            <w:tcBorders>
              <w:top w:val="nil"/>
              <w:left w:val="nil"/>
              <w:bottom w:val="nil"/>
              <w:right w:val="nil"/>
            </w:tcBorders>
            <w:shd w:val="clear" w:color="000000" w:fill="FFFFFF"/>
            <w:noWrap/>
            <w:vAlign w:val="center"/>
            <w:hideMark/>
          </w:tcPr>
          <w:p w14:paraId="3545CF06" w14:textId="68ECB57A" w:rsidR="00E553F7" w:rsidRPr="0058792A" w:rsidRDefault="00E553F7" w:rsidP="00637558">
            <w:pPr>
              <w:pStyle w:val="TableTextRight"/>
            </w:pPr>
            <w:r>
              <w:t>38,016</w:t>
            </w:r>
          </w:p>
        </w:tc>
      </w:tr>
      <w:tr w:rsidR="00E553F7" w:rsidRPr="0058792A" w14:paraId="606BD7E3" w14:textId="77777777" w:rsidTr="00E553F7">
        <w:trPr>
          <w:trHeight w:val="225"/>
        </w:trPr>
        <w:tc>
          <w:tcPr>
            <w:tcW w:w="2392" w:type="pct"/>
            <w:tcBorders>
              <w:top w:val="nil"/>
              <w:left w:val="nil"/>
              <w:bottom w:val="nil"/>
              <w:right w:val="nil"/>
            </w:tcBorders>
            <w:shd w:val="clear" w:color="000000" w:fill="FFFFFF"/>
            <w:noWrap/>
            <w:vAlign w:val="center"/>
            <w:hideMark/>
          </w:tcPr>
          <w:p w14:paraId="46B9294D" w14:textId="6723814B" w:rsidR="00E553F7" w:rsidRPr="0058792A" w:rsidRDefault="00E553F7" w:rsidP="00637558">
            <w:pPr>
              <w:pStyle w:val="TableTextLeft"/>
            </w:pPr>
            <w:r>
              <w:t>Assistance to families with children</w:t>
            </w:r>
          </w:p>
        </w:tc>
        <w:tc>
          <w:tcPr>
            <w:tcW w:w="521" w:type="pct"/>
            <w:tcBorders>
              <w:top w:val="nil"/>
              <w:left w:val="nil"/>
              <w:bottom w:val="nil"/>
              <w:right w:val="nil"/>
            </w:tcBorders>
            <w:shd w:val="clear" w:color="000000" w:fill="FFFFFF"/>
            <w:noWrap/>
            <w:vAlign w:val="center"/>
            <w:hideMark/>
          </w:tcPr>
          <w:p w14:paraId="48724703" w14:textId="4741DB84" w:rsidR="00E553F7" w:rsidRPr="0058792A" w:rsidRDefault="00E553F7" w:rsidP="00637558">
            <w:pPr>
              <w:pStyle w:val="TableTextRight"/>
            </w:pPr>
            <w:r>
              <w:t>29,369</w:t>
            </w:r>
          </w:p>
        </w:tc>
        <w:tc>
          <w:tcPr>
            <w:tcW w:w="521" w:type="pct"/>
            <w:tcBorders>
              <w:top w:val="nil"/>
              <w:left w:val="nil"/>
              <w:bottom w:val="nil"/>
              <w:right w:val="nil"/>
            </w:tcBorders>
            <w:shd w:val="clear" w:color="000000" w:fill="E6F2FF"/>
            <w:noWrap/>
            <w:vAlign w:val="center"/>
            <w:hideMark/>
          </w:tcPr>
          <w:p w14:paraId="631B2856" w14:textId="46B3F1DF" w:rsidR="00E553F7" w:rsidRPr="0058792A" w:rsidRDefault="00E553F7" w:rsidP="00637558">
            <w:pPr>
              <w:pStyle w:val="TableTextRight"/>
            </w:pPr>
            <w:r>
              <w:t>31,231</w:t>
            </w:r>
          </w:p>
        </w:tc>
        <w:tc>
          <w:tcPr>
            <w:tcW w:w="521" w:type="pct"/>
            <w:tcBorders>
              <w:top w:val="nil"/>
              <w:left w:val="nil"/>
              <w:bottom w:val="nil"/>
              <w:right w:val="nil"/>
            </w:tcBorders>
            <w:shd w:val="clear" w:color="000000" w:fill="FFFFFF"/>
            <w:noWrap/>
            <w:vAlign w:val="center"/>
            <w:hideMark/>
          </w:tcPr>
          <w:p w14:paraId="23E75AD0" w14:textId="04E782C2" w:rsidR="00E553F7" w:rsidRPr="0058792A" w:rsidRDefault="00E553F7" w:rsidP="00637558">
            <w:pPr>
              <w:pStyle w:val="TableTextRight"/>
            </w:pPr>
            <w:r>
              <w:t>32,944</w:t>
            </w:r>
          </w:p>
        </w:tc>
        <w:tc>
          <w:tcPr>
            <w:tcW w:w="521" w:type="pct"/>
            <w:tcBorders>
              <w:top w:val="nil"/>
              <w:left w:val="nil"/>
              <w:bottom w:val="nil"/>
              <w:right w:val="nil"/>
            </w:tcBorders>
            <w:shd w:val="clear" w:color="000000" w:fill="FFFFFF"/>
            <w:noWrap/>
            <w:vAlign w:val="center"/>
            <w:hideMark/>
          </w:tcPr>
          <w:p w14:paraId="7D93A2CB" w14:textId="6FD0EE61" w:rsidR="00E553F7" w:rsidRPr="0058792A" w:rsidRDefault="00E553F7" w:rsidP="00637558">
            <w:pPr>
              <w:pStyle w:val="TableTextRight"/>
            </w:pPr>
            <w:r>
              <w:t>34,168</w:t>
            </w:r>
          </w:p>
        </w:tc>
        <w:tc>
          <w:tcPr>
            <w:tcW w:w="522" w:type="pct"/>
            <w:tcBorders>
              <w:top w:val="nil"/>
              <w:left w:val="nil"/>
              <w:bottom w:val="nil"/>
              <w:right w:val="nil"/>
            </w:tcBorders>
            <w:shd w:val="clear" w:color="000000" w:fill="FFFFFF"/>
            <w:noWrap/>
            <w:vAlign w:val="center"/>
            <w:hideMark/>
          </w:tcPr>
          <w:p w14:paraId="23D93FA8" w14:textId="266C2CDA" w:rsidR="00E553F7" w:rsidRPr="0058792A" w:rsidRDefault="00E553F7" w:rsidP="00637558">
            <w:pPr>
              <w:pStyle w:val="TableTextRight"/>
            </w:pPr>
            <w:r>
              <w:t>34,702</w:t>
            </w:r>
          </w:p>
        </w:tc>
      </w:tr>
      <w:tr w:rsidR="00E553F7" w:rsidRPr="0058792A" w14:paraId="57C41027" w14:textId="77777777" w:rsidTr="00E553F7">
        <w:trPr>
          <w:trHeight w:val="225"/>
        </w:trPr>
        <w:tc>
          <w:tcPr>
            <w:tcW w:w="2392" w:type="pct"/>
            <w:tcBorders>
              <w:top w:val="nil"/>
              <w:left w:val="nil"/>
              <w:bottom w:val="nil"/>
              <w:right w:val="nil"/>
            </w:tcBorders>
            <w:shd w:val="clear" w:color="000000" w:fill="FFFFFF"/>
            <w:noWrap/>
            <w:vAlign w:val="center"/>
            <w:hideMark/>
          </w:tcPr>
          <w:p w14:paraId="244600B9" w14:textId="60F4EDF9" w:rsidR="00E553F7" w:rsidRPr="0058792A" w:rsidRDefault="00E553F7" w:rsidP="00637558">
            <w:pPr>
              <w:pStyle w:val="TableTextLeft"/>
            </w:pPr>
            <w:r>
              <w:t>Assistance to the unemployed</w:t>
            </w:r>
          </w:p>
        </w:tc>
        <w:tc>
          <w:tcPr>
            <w:tcW w:w="521" w:type="pct"/>
            <w:tcBorders>
              <w:top w:val="nil"/>
              <w:left w:val="nil"/>
              <w:bottom w:val="nil"/>
              <w:right w:val="nil"/>
            </w:tcBorders>
            <w:shd w:val="clear" w:color="000000" w:fill="FFFFFF"/>
            <w:noWrap/>
            <w:vAlign w:val="center"/>
            <w:hideMark/>
          </w:tcPr>
          <w:p w14:paraId="2C968A35" w14:textId="15F6FC82" w:rsidR="00E553F7" w:rsidRPr="0058792A" w:rsidRDefault="00E553F7" w:rsidP="00637558">
            <w:pPr>
              <w:pStyle w:val="TableTextRight"/>
            </w:pPr>
            <w:r>
              <w:t>14,737</w:t>
            </w:r>
          </w:p>
        </w:tc>
        <w:tc>
          <w:tcPr>
            <w:tcW w:w="521" w:type="pct"/>
            <w:tcBorders>
              <w:top w:val="nil"/>
              <w:left w:val="nil"/>
              <w:bottom w:val="nil"/>
              <w:right w:val="nil"/>
            </w:tcBorders>
            <w:shd w:val="clear" w:color="000000" w:fill="E6F2FF"/>
            <w:noWrap/>
            <w:vAlign w:val="center"/>
            <w:hideMark/>
          </w:tcPr>
          <w:p w14:paraId="2640D44B" w14:textId="5808F889" w:rsidR="00E553F7" w:rsidRPr="0058792A" w:rsidRDefault="00E553F7" w:rsidP="00637558">
            <w:pPr>
              <w:pStyle w:val="TableTextRight"/>
            </w:pPr>
            <w:r>
              <w:t>16,100</w:t>
            </w:r>
          </w:p>
        </w:tc>
        <w:tc>
          <w:tcPr>
            <w:tcW w:w="521" w:type="pct"/>
            <w:tcBorders>
              <w:top w:val="nil"/>
              <w:left w:val="nil"/>
              <w:bottom w:val="nil"/>
              <w:right w:val="nil"/>
            </w:tcBorders>
            <w:shd w:val="clear" w:color="000000" w:fill="FFFFFF"/>
            <w:noWrap/>
            <w:vAlign w:val="center"/>
            <w:hideMark/>
          </w:tcPr>
          <w:p w14:paraId="201D0E33" w14:textId="321D7837" w:rsidR="00E553F7" w:rsidRPr="0058792A" w:rsidRDefault="00E553F7" w:rsidP="00637558">
            <w:pPr>
              <w:pStyle w:val="TableTextRight"/>
            </w:pPr>
            <w:r>
              <w:t>16,562</w:t>
            </w:r>
          </w:p>
        </w:tc>
        <w:tc>
          <w:tcPr>
            <w:tcW w:w="521" w:type="pct"/>
            <w:tcBorders>
              <w:top w:val="nil"/>
              <w:left w:val="nil"/>
              <w:bottom w:val="nil"/>
              <w:right w:val="nil"/>
            </w:tcBorders>
            <w:shd w:val="clear" w:color="000000" w:fill="FFFFFF"/>
            <w:noWrap/>
            <w:vAlign w:val="center"/>
            <w:hideMark/>
          </w:tcPr>
          <w:p w14:paraId="15B682E9" w14:textId="32A8033E" w:rsidR="00E553F7" w:rsidRPr="0058792A" w:rsidRDefault="00E553F7" w:rsidP="00637558">
            <w:pPr>
              <w:pStyle w:val="TableTextRight"/>
            </w:pPr>
            <w:r>
              <w:t>16,760</w:t>
            </w:r>
          </w:p>
        </w:tc>
        <w:tc>
          <w:tcPr>
            <w:tcW w:w="522" w:type="pct"/>
            <w:tcBorders>
              <w:top w:val="nil"/>
              <w:left w:val="nil"/>
              <w:bottom w:val="nil"/>
              <w:right w:val="nil"/>
            </w:tcBorders>
            <w:shd w:val="clear" w:color="000000" w:fill="FFFFFF"/>
            <w:noWrap/>
            <w:vAlign w:val="center"/>
            <w:hideMark/>
          </w:tcPr>
          <w:p w14:paraId="15C8E9F5" w14:textId="4762FEAF" w:rsidR="00E553F7" w:rsidRPr="0058792A" w:rsidRDefault="00E553F7" w:rsidP="00637558">
            <w:pPr>
              <w:pStyle w:val="TableTextRight"/>
            </w:pPr>
            <w:r>
              <w:t>16,297</w:t>
            </w:r>
          </w:p>
        </w:tc>
      </w:tr>
      <w:tr w:rsidR="00E553F7" w:rsidRPr="0058792A" w14:paraId="21D97BCE" w14:textId="77777777" w:rsidTr="00E553F7">
        <w:trPr>
          <w:trHeight w:val="225"/>
        </w:trPr>
        <w:tc>
          <w:tcPr>
            <w:tcW w:w="2392" w:type="pct"/>
            <w:tcBorders>
              <w:top w:val="nil"/>
              <w:left w:val="nil"/>
              <w:bottom w:val="nil"/>
              <w:right w:val="nil"/>
            </w:tcBorders>
            <w:shd w:val="clear" w:color="000000" w:fill="FFFFFF"/>
            <w:noWrap/>
            <w:vAlign w:val="center"/>
            <w:hideMark/>
          </w:tcPr>
          <w:p w14:paraId="17AC9232" w14:textId="557E7BDA" w:rsidR="00E553F7" w:rsidRPr="0058792A" w:rsidRDefault="00E553F7" w:rsidP="00637558">
            <w:pPr>
              <w:pStyle w:val="TableTextLeft"/>
            </w:pPr>
            <w:r>
              <w:t>Student assistance</w:t>
            </w:r>
          </w:p>
        </w:tc>
        <w:tc>
          <w:tcPr>
            <w:tcW w:w="521" w:type="pct"/>
            <w:tcBorders>
              <w:top w:val="nil"/>
              <w:left w:val="nil"/>
              <w:bottom w:val="nil"/>
              <w:right w:val="nil"/>
            </w:tcBorders>
            <w:shd w:val="clear" w:color="000000" w:fill="FFFFFF"/>
            <w:noWrap/>
            <w:vAlign w:val="center"/>
            <w:hideMark/>
          </w:tcPr>
          <w:p w14:paraId="52713C77" w14:textId="6840961C" w:rsidR="00E553F7" w:rsidRPr="0058792A" w:rsidRDefault="00E553F7" w:rsidP="00637558">
            <w:pPr>
              <w:pStyle w:val="TableTextRight"/>
            </w:pPr>
            <w:r>
              <w:t>2,729</w:t>
            </w:r>
          </w:p>
        </w:tc>
        <w:tc>
          <w:tcPr>
            <w:tcW w:w="521" w:type="pct"/>
            <w:tcBorders>
              <w:top w:val="nil"/>
              <w:left w:val="nil"/>
              <w:bottom w:val="nil"/>
              <w:right w:val="nil"/>
            </w:tcBorders>
            <w:shd w:val="clear" w:color="000000" w:fill="E6F2FF"/>
            <w:noWrap/>
            <w:vAlign w:val="center"/>
            <w:hideMark/>
          </w:tcPr>
          <w:p w14:paraId="5D2972D3" w14:textId="6FAD7664" w:rsidR="00E553F7" w:rsidRPr="0058792A" w:rsidRDefault="00E553F7" w:rsidP="00637558">
            <w:pPr>
              <w:pStyle w:val="TableTextRight"/>
            </w:pPr>
            <w:r>
              <w:t>2,909</w:t>
            </w:r>
          </w:p>
        </w:tc>
        <w:tc>
          <w:tcPr>
            <w:tcW w:w="521" w:type="pct"/>
            <w:tcBorders>
              <w:top w:val="nil"/>
              <w:left w:val="nil"/>
              <w:bottom w:val="nil"/>
              <w:right w:val="nil"/>
            </w:tcBorders>
            <w:shd w:val="clear" w:color="000000" w:fill="FFFFFF"/>
            <w:noWrap/>
            <w:vAlign w:val="center"/>
            <w:hideMark/>
          </w:tcPr>
          <w:p w14:paraId="1A270170" w14:textId="63EF7191" w:rsidR="00E553F7" w:rsidRPr="0058792A" w:rsidRDefault="00E553F7" w:rsidP="00637558">
            <w:pPr>
              <w:pStyle w:val="TableTextRight"/>
            </w:pPr>
            <w:r>
              <w:t>3,038</w:t>
            </w:r>
          </w:p>
        </w:tc>
        <w:tc>
          <w:tcPr>
            <w:tcW w:w="521" w:type="pct"/>
            <w:tcBorders>
              <w:top w:val="nil"/>
              <w:left w:val="nil"/>
              <w:bottom w:val="nil"/>
              <w:right w:val="nil"/>
            </w:tcBorders>
            <w:shd w:val="clear" w:color="000000" w:fill="FFFFFF"/>
            <w:noWrap/>
            <w:vAlign w:val="center"/>
            <w:hideMark/>
          </w:tcPr>
          <w:p w14:paraId="656EF808" w14:textId="27DDF68E" w:rsidR="00E553F7" w:rsidRPr="0058792A" w:rsidRDefault="00E553F7" w:rsidP="00637558">
            <w:pPr>
              <w:pStyle w:val="TableTextRight"/>
            </w:pPr>
            <w:r>
              <w:t>3,165</w:t>
            </w:r>
          </w:p>
        </w:tc>
        <w:tc>
          <w:tcPr>
            <w:tcW w:w="522" w:type="pct"/>
            <w:tcBorders>
              <w:top w:val="nil"/>
              <w:left w:val="nil"/>
              <w:bottom w:val="nil"/>
              <w:right w:val="nil"/>
            </w:tcBorders>
            <w:shd w:val="clear" w:color="000000" w:fill="FFFFFF"/>
            <w:noWrap/>
            <w:vAlign w:val="center"/>
            <w:hideMark/>
          </w:tcPr>
          <w:p w14:paraId="6D2E3CA5" w14:textId="3992F535" w:rsidR="00E553F7" w:rsidRPr="0058792A" w:rsidRDefault="00E553F7" w:rsidP="00637558">
            <w:pPr>
              <w:pStyle w:val="TableTextRight"/>
            </w:pPr>
            <w:r>
              <w:t>3,310</w:t>
            </w:r>
          </w:p>
        </w:tc>
      </w:tr>
      <w:tr w:rsidR="00E553F7" w:rsidRPr="0058792A" w14:paraId="454F2235" w14:textId="77777777" w:rsidTr="00E553F7">
        <w:trPr>
          <w:trHeight w:val="225"/>
        </w:trPr>
        <w:tc>
          <w:tcPr>
            <w:tcW w:w="2392" w:type="pct"/>
            <w:tcBorders>
              <w:top w:val="nil"/>
              <w:left w:val="nil"/>
              <w:bottom w:val="nil"/>
              <w:right w:val="nil"/>
            </w:tcBorders>
            <w:shd w:val="clear" w:color="000000" w:fill="FFFFFF"/>
            <w:noWrap/>
            <w:vAlign w:val="center"/>
            <w:hideMark/>
          </w:tcPr>
          <w:p w14:paraId="2F6F5D09" w14:textId="0652E3F3" w:rsidR="00E553F7" w:rsidRPr="0058792A" w:rsidRDefault="00E553F7" w:rsidP="00637558">
            <w:pPr>
              <w:pStyle w:val="TableTextLeft"/>
            </w:pPr>
            <w:r>
              <w:t>Other welfare programs</w:t>
            </w:r>
          </w:p>
        </w:tc>
        <w:tc>
          <w:tcPr>
            <w:tcW w:w="521" w:type="pct"/>
            <w:tcBorders>
              <w:top w:val="nil"/>
              <w:left w:val="nil"/>
              <w:bottom w:val="nil"/>
              <w:right w:val="nil"/>
            </w:tcBorders>
            <w:shd w:val="clear" w:color="000000" w:fill="FFFFFF"/>
            <w:noWrap/>
            <w:vAlign w:val="center"/>
            <w:hideMark/>
          </w:tcPr>
          <w:p w14:paraId="5E50FBE2" w14:textId="0403DD6A" w:rsidR="00E553F7" w:rsidRPr="0058792A" w:rsidRDefault="00E553F7" w:rsidP="00637558">
            <w:pPr>
              <w:pStyle w:val="TableTextRight"/>
            </w:pPr>
            <w:r>
              <w:t>833</w:t>
            </w:r>
          </w:p>
        </w:tc>
        <w:tc>
          <w:tcPr>
            <w:tcW w:w="521" w:type="pct"/>
            <w:tcBorders>
              <w:top w:val="nil"/>
              <w:left w:val="nil"/>
              <w:bottom w:val="nil"/>
              <w:right w:val="nil"/>
            </w:tcBorders>
            <w:shd w:val="clear" w:color="000000" w:fill="E6F2FF"/>
            <w:noWrap/>
            <w:vAlign w:val="center"/>
            <w:hideMark/>
          </w:tcPr>
          <w:p w14:paraId="63DBF03B" w14:textId="178533FB" w:rsidR="00E553F7" w:rsidRPr="0058792A" w:rsidRDefault="00E553F7" w:rsidP="00637558">
            <w:pPr>
              <w:pStyle w:val="TableTextRight"/>
            </w:pPr>
            <w:r>
              <w:t>938</w:t>
            </w:r>
          </w:p>
        </w:tc>
        <w:tc>
          <w:tcPr>
            <w:tcW w:w="521" w:type="pct"/>
            <w:tcBorders>
              <w:top w:val="nil"/>
              <w:left w:val="nil"/>
              <w:bottom w:val="nil"/>
              <w:right w:val="nil"/>
            </w:tcBorders>
            <w:shd w:val="clear" w:color="000000" w:fill="FFFFFF"/>
            <w:noWrap/>
            <w:vAlign w:val="center"/>
            <w:hideMark/>
          </w:tcPr>
          <w:p w14:paraId="079BED31" w14:textId="4F6101E0" w:rsidR="00E553F7" w:rsidRPr="0058792A" w:rsidRDefault="00E553F7" w:rsidP="00637558">
            <w:pPr>
              <w:pStyle w:val="TableTextRight"/>
            </w:pPr>
            <w:r>
              <w:t>966</w:t>
            </w:r>
          </w:p>
        </w:tc>
        <w:tc>
          <w:tcPr>
            <w:tcW w:w="521" w:type="pct"/>
            <w:tcBorders>
              <w:top w:val="nil"/>
              <w:left w:val="nil"/>
              <w:bottom w:val="nil"/>
              <w:right w:val="nil"/>
            </w:tcBorders>
            <w:shd w:val="clear" w:color="000000" w:fill="FFFFFF"/>
            <w:noWrap/>
            <w:vAlign w:val="center"/>
            <w:hideMark/>
          </w:tcPr>
          <w:p w14:paraId="03E7178B" w14:textId="118F1711" w:rsidR="00E553F7" w:rsidRPr="0058792A" w:rsidRDefault="00E553F7" w:rsidP="00637558">
            <w:pPr>
              <w:pStyle w:val="TableTextRight"/>
            </w:pPr>
            <w:r>
              <w:t>962</w:t>
            </w:r>
          </w:p>
        </w:tc>
        <w:tc>
          <w:tcPr>
            <w:tcW w:w="522" w:type="pct"/>
            <w:tcBorders>
              <w:top w:val="nil"/>
              <w:left w:val="nil"/>
              <w:bottom w:val="nil"/>
              <w:right w:val="nil"/>
            </w:tcBorders>
            <w:shd w:val="clear" w:color="000000" w:fill="FFFFFF"/>
            <w:noWrap/>
            <w:vAlign w:val="center"/>
            <w:hideMark/>
          </w:tcPr>
          <w:p w14:paraId="537EDF73" w14:textId="48E50FC5" w:rsidR="00E553F7" w:rsidRPr="0058792A" w:rsidRDefault="00E553F7" w:rsidP="00637558">
            <w:pPr>
              <w:pStyle w:val="TableTextRight"/>
            </w:pPr>
            <w:r>
              <w:t>947</w:t>
            </w:r>
          </w:p>
        </w:tc>
      </w:tr>
      <w:tr w:rsidR="00E553F7" w:rsidRPr="0058792A" w14:paraId="16DC6A87" w14:textId="77777777" w:rsidTr="00E553F7">
        <w:trPr>
          <w:trHeight w:val="225"/>
        </w:trPr>
        <w:tc>
          <w:tcPr>
            <w:tcW w:w="2392" w:type="pct"/>
            <w:tcBorders>
              <w:top w:val="nil"/>
              <w:left w:val="nil"/>
              <w:bottom w:val="nil"/>
              <w:right w:val="nil"/>
            </w:tcBorders>
            <w:shd w:val="clear" w:color="000000" w:fill="FFFFFF"/>
            <w:noWrap/>
            <w:vAlign w:val="center"/>
            <w:hideMark/>
          </w:tcPr>
          <w:p w14:paraId="07E02685" w14:textId="56A47B18" w:rsidR="00E553F7" w:rsidRPr="0058792A" w:rsidRDefault="00E553F7" w:rsidP="00637558">
            <w:pPr>
              <w:pStyle w:val="TableTextLeft"/>
            </w:pPr>
            <w:r>
              <w:t>Financial and fiscal affairs</w:t>
            </w:r>
          </w:p>
        </w:tc>
        <w:tc>
          <w:tcPr>
            <w:tcW w:w="521" w:type="pct"/>
            <w:tcBorders>
              <w:top w:val="nil"/>
              <w:left w:val="nil"/>
              <w:bottom w:val="nil"/>
              <w:right w:val="nil"/>
            </w:tcBorders>
            <w:shd w:val="clear" w:color="000000" w:fill="FFFFFF"/>
            <w:noWrap/>
            <w:vAlign w:val="center"/>
            <w:hideMark/>
          </w:tcPr>
          <w:p w14:paraId="3D3278EF" w14:textId="4F669058" w:rsidR="00E553F7" w:rsidRPr="0058792A" w:rsidRDefault="00E553F7" w:rsidP="00637558">
            <w:pPr>
              <w:pStyle w:val="TableTextRight"/>
            </w:pPr>
            <w:r>
              <w:t>1,118</w:t>
            </w:r>
          </w:p>
        </w:tc>
        <w:tc>
          <w:tcPr>
            <w:tcW w:w="521" w:type="pct"/>
            <w:tcBorders>
              <w:top w:val="nil"/>
              <w:left w:val="nil"/>
              <w:bottom w:val="nil"/>
              <w:right w:val="nil"/>
            </w:tcBorders>
            <w:shd w:val="clear" w:color="000000" w:fill="E6F2FF"/>
            <w:noWrap/>
            <w:vAlign w:val="center"/>
            <w:hideMark/>
          </w:tcPr>
          <w:p w14:paraId="545640A4" w14:textId="539CCB8A" w:rsidR="00E553F7" w:rsidRPr="0058792A" w:rsidRDefault="00E553F7" w:rsidP="00637558">
            <w:pPr>
              <w:pStyle w:val="TableTextRight"/>
            </w:pPr>
            <w:r>
              <w:t>1,200</w:t>
            </w:r>
          </w:p>
        </w:tc>
        <w:tc>
          <w:tcPr>
            <w:tcW w:w="521" w:type="pct"/>
            <w:tcBorders>
              <w:top w:val="nil"/>
              <w:left w:val="nil"/>
              <w:bottom w:val="nil"/>
              <w:right w:val="nil"/>
            </w:tcBorders>
            <w:shd w:val="clear" w:color="000000" w:fill="FFFFFF"/>
            <w:noWrap/>
            <w:vAlign w:val="center"/>
            <w:hideMark/>
          </w:tcPr>
          <w:p w14:paraId="0BFAA8ED" w14:textId="4E280756" w:rsidR="00E553F7" w:rsidRPr="0058792A" w:rsidRDefault="00E553F7" w:rsidP="00637558">
            <w:pPr>
              <w:pStyle w:val="TableTextRight"/>
            </w:pPr>
            <w:r>
              <w:t>1,290</w:t>
            </w:r>
          </w:p>
        </w:tc>
        <w:tc>
          <w:tcPr>
            <w:tcW w:w="521" w:type="pct"/>
            <w:tcBorders>
              <w:top w:val="nil"/>
              <w:left w:val="nil"/>
              <w:bottom w:val="nil"/>
              <w:right w:val="nil"/>
            </w:tcBorders>
            <w:shd w:val="clear" w:color="000000" w:fill="FFFFFF"/>
            <w:noWrap/>
            <w:vAlign w:val="center"/>
            <w:hideMark/>
          </w:tcPr>
          <w:p w14:paraId="2A2F3B4E" w14:textId="673E7440" w:rsidR="00E553F7" w:rsidRPr="0058792A" w:rsidRDefault="00E553F7" w:rsidP="00637558">
            <w:pPr>
              <w:pStyle w:val="TableTextRight"/>
            </w:pPr>
            <w:r>
              <w:t>1,109</w:t>
            </w:r>
          </w:p>
        </w:tc>
        <w:tc>
          <w:tcPr>
            <w:tcW w:w="522" w:type="pct"/>
            <w:tcBorders>
              <w:top w:val="nil"/>
              <w:left w:val="nil"/>
              <w:bottom w:val="nil"/>
              <w:right w:val="nil"/>
            </w:tcBorders>
            <w:shd w:val="clear" w:color="000000" w:fill="FFFFFF"/>
            <w:noWrap/>
            <w:vAlign w:val="center"/>
            <w:hideMark/>
          </w:tcPr>
          <w:p w14:paraId="7102E371" w14:textId="00E94B2B" w:rsidR="00E553F7" w:rsidRPr="0058792A" w:rsidRDefault="00E553F7" w:rsidP="00637558">
            <w:pPr>
              <w:pStyle w:val="TableTextRight"/>
            </w:pPr>
            <w:r>
              <w:t>1,121</w:t>
            </w:r>
          </w:p>
        </w:tc>
      </w:tr>
      <w:tr w:rsidR="00E553F7" w:rsidRPr="0058792A" w14:paraId="7D930039" w14:textId="77777777" w:rsidTr="00E553F7">
        <w:trPr>
          <w:trHeight w:val="225"/>
        </w:trPr>
        <w:tc>
          <w:tcPr>
            <w:tcW w:w="2392" w:type="pct"/>
            <w:tcBorders>
              <w:top w:val="nil"/>
              <w:left w:val="nil"/>
              <w:bottom w:val="nil"/>
              <w:right w:val="nil"/>
            </w:tcBorders>
            <w:shd w:val="clear" w:color="000000" w:fill="FFFFFF"/>
            <w:noWrap/>
            <w:vAlign w:val="center"/>
            <w:hideMark/>
          </w:tcPr>
          <w:p w14:paraId="20EF75EA" w14:textId="6864EAF5" w:rsidR="00E553F7" w:rsidRPr="0058792A" w:rsidRDefault="00E553F7" w:rsidP="00637558">
            <w:pPr>
              <w:pStyle w:val="TableTextLeft"/>
            </w:pPr>
            <w:r>
              <w:t>Vocational and industry training</w:t>
            </w:r>
          </w:p>
        </w:tc>
        <w:tc>
          <w:tcPr>
            <w:tcW w:w="521" w:type="pct"/>
            <w:tcBorders>
              <w:top w:val="nil"/>
              <w:left w:val="nil"/>
              <w:bottom w:val="nil"/>
              <w:right w:val="nil"/>
            </w:tcBorders>
            <w:shd w:val="clear" w:color="000000" w:fill="FFFFFF"/>
            <w:noWrap/>
            <w:vAlign w:val="center"/>
            <w:hideMark/>
          </w:tcPr>
          <w:p w14:paraId="1D8B66AE" w14:textId="2E33C59B" w:rsidR="00E553F7" w:rsidRPr="0058792A" w:rsidRDefault="00E553F7" w:rsidP="00637558">
            <w:pPr>
              <w:pStyle w:val="TableTextRight"/>
            </w:pPr>
            <w:r>
              <w:t>213</w:t>
            </w:r>
          </w:p>
        </w:tc>
        <w:tc>
          <w:tcPr>
            <w:tcW w:w="521" w:type="pct"/>
            <w:tcBorders>
              <w:top w:val="nil"/>
              <w:left w:val="nil"/>
              <w:bottom w:val="nil"/>
              <w:right w:val="nil"/>
            </w:tcBorders>
            <w:shd w:val="clear" w:color="000000" w:fill="E6F2FF"/>
            <w:noWrap/>
            <w:vAlign w:val="center"/>
            <w:hideMark/>
          </w:tcPr>
          <w:p w14:paraId="07EEDE6E" w14:textId="49C860BC" w:rsidR="00E553F7" w:rsidRPr="0058792A" w:rsidRDefault="00E553F7" w:rsidP="00637558">
            <w:pPr>
              <w:pStyle w:val="TableTextRight"/>
            </w:pPr>
            <w:r>
              <w:t>381</w:t>
            </w:r>
          </w:p>
        </w:tc>
        <w:tc>
          <w:tcPr>
            <w:tcW w:w="521" w:type="pct"/>
            <w:tcBorders>
              <w:top w:val="nil"/>
              <w:left w:val="nil"/>
              <w:bottom w:val="nil"/>
              <w:right w:val="nil"/>
            </w:tcBorders>
            <w:shd w:val="clear" w:color="000000" w:fill="FFFFFF"/>
            <w:noWrap/>
            <w:vAlign w:val="center"/>
            <w:hideMark/>
          </w:tcPr>
          <w:p w14:paraId="71D7E4CB" w14:textId="0CD5B114" w:rsidR="00E553F7" w:rsidRPr="0058792A" w:rsidRDefault="00E553F7" w:rsidP="00637558">
            <w:pPr>
              <w:pStyle w:val="TableTextRight"/>
            </w:pPr>
            <w:r>
              <w:t>397</w:t>
            </w:r>
          </w:p>
        </w:tc>
        <w:tc>
          <w:tcPr>
            <w:tcW w:w="521" w:type="pct"/>
            <w:tcBorders>
              <w:top w:val="nil"/>
              <w:left w:val="nil"/>
              <w:bottom w:val="nil"/>
              <w:right w:val="nil"/>
            </w:tcBorders>
            <w:shd w:val="clear" w:color="000000" w:fill="FFFFFF"/>
            <w:noWrap/>
            <w:vAlign w:val="center"/>
            <w:hideMark/>
          </w:tcPr>
          <w:p w14:paraId="027140DA" w14:textId="2C5BDB13" w:rsidR="00E553F7" w:rsidRPr="0058792A" w:rsidRDefault="00E553F7" w:rsidP="00637558">
            <w:pPr>
              <w:pStyle w:val="TableTextRight"/>
            </w:pPr>
            <w:r>
              <w:t>251</w:t>
            </w:r>
          </w:p>
        </w:tc>
        <w:tc>
          <w:tcPr>
            <w:tcW w:w="522" w:type="pct"/>
            <w:tcBorders>
              <w:top w:val="nil"/>
              <w:left w:val="nil"/>
              <w:bottom w:val="nil"/>
              <w:right w:val="nil"/>
            </w:tcBorders>
            <w:shd w:val="clear" w:color="000000" w:fill="FFFFFF"/>
            <w:noWrap/>
            <w:vAlign w:val="center"/>
            <w:hideMark/>
          </w:tcPr>
          <w:p w14:paraId="4DD19D79" w14:textId="4B598740" w:rsidR="00E553F7" w:rsidRPr="0058792A" w:rsidRDefault="00E553F7" w:rsidP="00637558">
            <w:pPr>
              <w:pStyle w:val="TableTextRight"/>
            </w:pPr>
            <w:r>
              <w:t>233</w:t>
            </w:r>
          </w:p>
        </w:tc>
      </w:tr>
      <w:tr w:rsidR="00E553F7" w:rsidRPr="0058792A" w14:paraId="4EA0C140" w14:textId="77777777" w:rsidTr="00E553F7">
        <w:trPr>
          <w:trHeight w:val="225"/>
        </w:trPr>
        <w:tc>
          <w:tcPr>
            <w:tcW w:w="2392" w:type="pct"/>
            <w:tcBorders>
              <w:top w:val="nil"/>
              <w:left w:val="nil"/>
              <w:bottom w:val="nil"/>
              <w:right w:val="nil"/>
            </w:tcBorders>
            <w:shd w:val="clear" w:color="000000" w:fill="FFFFFF"/>
            <w:noWrap/>
            <w:vAlign w:val="center"/>
            <w:hideMark/>
          </w:tcPr>
          <w:p w14:paraId="0B7C96AD" w14:textId="3279100D" w:rsidR="00E553F7" w:rsidRPr="0058792A" w:rsidRDefault="00E553F7" w:rsidP="00637558">
            <w:pPr>
              <w:pStyle w:val="TableTextLeft"/>
            </w:pPr>
            <w:r>
              <w:t>Other</w:t>
            </w:r>
          </w:p>
        </w:tc>
        <w:tc>
          <w:tcPr>
            <w:tcW w:w="521" w:type="pct"/>
            <w:tcBorders>
              <w:top w:val="nil"/>
              <w:left w:val="nil"/>
              <w:bottom w:val="single" w:sz="4" w:space="0" w:color="293F5B"/>
              <w:right w:val="nil"/>
            </w:tcBorders>
            <w:shd w:val="clear" w:color="000000" w:fill="FFFFFF"/>
            <w:noWrap/>
            <w:vAlign w:val="center"/>
            <w:hideMark/>
          </w:tcPr>
          <w:p w14:paraId="45AD2A03" w14:textId="431882D6" w:rsidR="00E553F7" w:rsidRPr="0058792A" w:rsidRDefault="00E553F7" w:rsidP="00637558">
            <w:pPr>
              <w:pStyle w:val="TableTextRight"/>
            </w:pPr>
            <w:r>
              <w:t>7,906</w:t>
            </w:r>
          </w:p>
        </w:tc>
        <w:tc>
          <w:tcPr>
            <w:tcW w:w="521" w:type="pct"/>
            <w:tcBorders>
              <w:top w:val="nil"/>
              <w:left w:val="nil"/>
              <w:bottom w:val="single" w:sz="4" w:space="0" w:color="293F5B"/>
              <w:right w:val="nil"/>
            </w:tcBorders>
            <w:shd w:val="clear" w:color="000000" w:fill="E6F2FF"/>
            <w:noWrap/>
            <w:vAlign w:val="center"/>
            <w:hideMark/>
          </w:tcPr>
          <w:p w14:paraId="1F3193A7" w14:textId="69BC94BB" w:rsidR="00E553F7" w:rsidRPr="0058792A" w:rsidRDefault="00E553F7" w:rsidP="00637558">
            <w:pPr>
              <w:pStyle w:val="TableTextRight"/>
            </w:pPr>
            <w:r>
              <w:t>8,604</w:t>
            </w:r>
          </w:p>
        </w:tc>
        <w:tc>
          <w:tcPr>
            <w:tcW w:w="521" w:type="pct"/>
            <w:tcBorders>
              <w:top w:val="nil"/>
              <w:left w:val="nil"/>
              <w:bottom w:val="single" w:sz="4" w:space="0" w:color="293F5B"/>
              <w:right w:val="nil"/>
            </w:tcBorders>
            <w:shd w:val="clear" w:color="000000" w:fill="FFFFFF"/>
            <w:noWrap/>
            <w:vAlign w:val="center"/>
            <w:hideMark/>
          </w:tcPr>
          <w:p w14:paraId="4BFA29FC" w14:textId="35FE62C1" w:rsidR="00E553F7" w:rsidRPr="0058792A" w:rsidRDefault="00E553F7" w:rsidP="00637558">
            <w:pPr>
              <w:pStyle w:val="TableTextRight"/>
            </w:pPr>
            <w:r>
              <w:t>12,306</w:t>
            </w:r>
          </w:p>
        </w:tc>
        <w:tc>
          <w:tcPr>
            <w:tcW w:w="521" w:type="pct"/>
            <w:tcBorders>
              <w:top w:val="nil"/>
              <w:left w:val="nil"/>
              <w:bottom w:val="single" w:sz="4" w:space="0" w:color="293F5B"/>
              <w:right w:val="nil"/>
            </w:tcBorders>
            <w:shd w:val="clear" w:color="000000" w:fill="FFFFFF"/>
            <w:noWrap/>
            <w:vAlign w:val="center"/>
            <w:hideMark/>
          </w:tcPr>
          <w:p w14:paraId="57298ADA" w14:textId="7EA27173" w:rsidR="00E553F7" w:rsidRPr="0058792A" w:rsidRDefault="00E553F7" w:rsidP="00637558">
            <w:pPr>
              <w:pStyle w:val="TableTextRight"/>
            </w:pPr>
            <w:r>
              <w:t>15,706</w:t>
            </w:r>
          </w:p>
        </w:tc>
        <w:tc>
          <w:tcPr>
            <w:tcW w:w="522" w:type="pct"/>
            <w:tcBorders>
              <w:top w:val="nil"/>
              <w:left w:val="nil"/>
              <w:bottom w:val="single" w:sz="4" w:space="0" w:color="293F5B"/>
              <w:right w:val="nil"/>
            </w:tcBorders>
            <w:shd w:val="clear" w:color="000000" w:fill="FFFFFF"/>
            <w:noWrap/>
            <w:vAlign w:val="center"/>
            <w:hideMark/>
          </w:tcPr>
          <w:p w14:paraId="6FC0B305" w14:textId="1A5AE8C8" w:rsidR="00E553F7" w:rsidRPr="0058792A" w:rsidRDefault="00E553F7" w:rsidP="00637558">
            <w:pPr>
              <w:pStyle w:val="TableTextRight"/>
            </w:pPr>
            <w:r>
              <w:t>22,964</w:t>
            </w:r>
          </w:p>
        </w:tc>
      </w:tr>
      <w:tr w:rsidR="00E553F7" w:rsidRPr="0058792A" w14:paraId="1C7D890C" w14:textId="77777777" w:rsidTr="00E553F7">
        <w:trPr>
          <w:trHeight w:val="225"/>
        </w:trPr>
        <w:tc>
          <w:tcPr>
            <w:tcW w:w="2392" w:type="pct"/>
            <w:tcBorders>
              <w:top w:val="nil"/>
              <w:left w:val="nil"/>
              <w:bottom w:val="single" w:sz="4" w:space="0" w:color="293F5B"/>
              <w:right w:val="nil"/>
            </w:tcBorders>
            <w:shd w:val="clear" w:color="auto" w:fill="auto"/>
            <w:noWrap/>
            <w:vAlign w:val="center"/>
            <w:hideMark/>
          </w:tcPr>
          <w:p w14:paraId="0822869A" w14:textId="5D8855BE" w:rsidR="00E553F7" w:rsidRPr="0058792A" w:rsidRDefault="00E553F7" w:rsidP="00637558">
            <w:pPr>
              <w:pStyle w:val="TableTextLeft"/>
              <w:rPr>
                <w:b/>
              </w:rPr>
            </w:pPr>
            <w:r>
              <w:rPr>
                <w:b/>
              </w:rPr>
              <w:t>Total personal benefits expense</w:t>
            </w:r>
          </w:p>
        </w:tc>
        <w:tc>
          <w:tcPr>
            <w:tcW w:w="521" w:type="pct"/>
            <w:tcBorders>
              <w:top w:val="nil"/>
              <w:left w:val="nil"/>
              <w:bottom w:val="single" w:sz="4" w:space="0" w:color="293F5B"/>
              <w:right w:val="nil"/>
            </w:tcBorders>
            <w:shd w:val="clear" w:color="000000" w:fill="FFFFFF"/>
            <w:noWrap/>
            <w:vAlign w:val="center"/>
            <w:hideMark/>
          </w:tcPr>
          <w:p w14:paraId="2F9266F6" w14:textId="35B9EE6A" w:rsidR="00E553F7" w:rsidRPr="0058792A" w:rsidRDefault="00E553F7" w:rsidP="00637558">
            <w:pPr>
              <w:pStyle w:val="TableTextRight"/>
              <w:rPr>
                <w:b/>
              </w:rPr>
            </w:pPr>
            <w:r>
              <w:rPr>
                <w:b/>
              </w:rPr>
              <w:t>152,866</w:t>
            </w:r>
          </w:p>
        </w:tc>
        <w:tc>
          <w:tcPr>
            <w:tcW w:w="521" w:type="pct"/>
            <w:tcBorders>
              <w:top w:val="nil"/>
              <w:left w:val="nil"/>
              <w:bottom w:val="single" w:sz="4" w:space="0" w:color="293F5B"/>
              <w:right w:val="nil"/>
            </w:tcBorders>
            <w:shd w:val="clear" w:color="000000" w:fill="E6F2FF"/>
            <w:noWrap/>
            <w:vAlign w:val="center"/>
            <w:hideMark/>
          </w:tcPr>
          <w:p w14:paraId="1E84BADE" w14:textId="3A2D9FA8" w:rsidR="00E553F7" w:rsidRPr="0058792A" w:rsidRDefault="00E553F7" w:rsidP="00637558">
            <w:pPr>
              <w:pStyle w:val="TableTextRight"/>
              <w:rPr>
                <w:b/>
              </w:rPr>
            </w:pPr>
            <w:r>
              <w:rPr>
                <w:b/>
              </w:rPr>
              <w:t>161,051</w:t>
            </w:r>
          </w:p>
        </w:tc>
        <w:tc>
          <w:tcPr>
            <w:tcW w:w="521" w:type="pct"/>
            <w:tcBorders>
              <w:top w:val="nil"/>
              <w:left w:val="nil"/>
              <w:bottom w:val="single" w:sz="4" w:space="0" w:color="293F5B"/>
              <w:right w:val="nil"/>
            </w:tcBorders>
            <w:shd w:val="clear" w:color="000000" w:fill="FFFFFF"/>
            <w:noWrap/>
            <w:vAlign w:val="center"/>
            <w:hideMark/>
          </w:tcPr>
          <w:p w14:paraId="6501A5C5" w14:textId="199027C4" w:rsidR="00E553F7" w:rsidRPr="0058792A" w:rsidRDefault="00E553F7" w:rsidP="00637558">
            <w:pPr>
              <w:pStyle w:val="TableTextRight"/>
              <w:rPr>
                <w:b/>
              </w:rPr>
            </w:pPr>
            <w:r>
              <w:rPr>
                <w:b/>
              </w:rPr>
              <w:t>171,210</w:t>
            </w:r>
          </w:p>
        </w:tc>
        <w:tc>
          <w:tcPr>
            <w:tcW w:w="521" w:type="pct"/>
            <w:tcBorders>
              <w:top w:val="nil"/>
              <w:left w:val="nil"/>
              <w:bottom w:val="single" w:sz="4" w:space="0" w:color="293F5B"/>
              <w:right w:val="nil"/>
            </w:tcBorders>
            <w:shd w:val="clear" w:color="000000" w:fill="FFFFFF"/>
            <w:noWrap/>
            <w:vAlign w:val="center"/>
            <w:hideMark/>
          </w:tcPr>
          <w:p w14:paraId="0B416F94" w14:textId="504BC26E" w:rsidR="00E553F7" w:rsidRPr="0058792A" w:rsidRDefault="00E553F7" w:rsidP="00637558">
            <w:pPr>
              <w:pStyle w:val="TableTextRight"/>
              <w:rPr>
                <w:b/>
              </w:rPr>
            </w:pPr>
            <w:r>
              <w:rPr>
                <w:b/>
              </w:rPr>
              <w:t>179,664</w:t>
            </w:r>
          </w:p>
        </w:tc>
        <w:tc>
          <w:tcPr>
            <w:tcW w:w="522" w:type="pct"/>
            <w:tcBorders>
              <w:top w:val="nil"/>
              <w:left w:val="nil"/>
              <w:bottom w:val="single" w:sz="4" w:space="0" w:color="293F5B"/>
              <w:right w:val="nil"/>
            </w:tcBorders>
            <w:shd w:val="clear" w:color="000000" w:fill="FFFFFF"/>
            <w:noWrap/>
            <w:vAlign w:val="center"/>
            <w:hideMark/>
          </w:tcPr>
          <w:p w14:paraId="686241A7" w14:textId="057D504A" w:rsidR="00E553F7" w:rsidRPr="0058792A" w:rsidRDefault="00E553F7" w:rsidP="00637558">
            <w:pPr>
              <w:pStyle w:val="TableTextRight"/>
              <w:rPr>
                <w:b/>
              </w:rPr>
            </w:pPr>
            <w:r>
              <w:rPr>
                <w:b/>
              </w:rPr>
              <w:t>191,598</w:t>
            </w:r>
          </w:p>
        </w:tc>
      </w:tr>
    </w:tbl>
    <w:p w14:paraId="11F5CF70" w14:textId="77777777" w:rsidR="00D8138E" w:rsidRPr="00EA746C" w:rsidRDefault="00D8138E" w:rsidP="00D8138E">
      <w:r w:rsidRPr="00EA746C">
        <w:br w:type="page"/>
      </w:r>
    </w:p>
    <w:p w14:paraId="1E23B7B5" w14:textId="7DA681DF" w:rsidR="00D8138E" w:rsidRPr="00663990" w:rsidRDefault="000D0B7D" w:rsidP="00BF0203">
      <w:pPr>
        <w:pStyle w:val="NoteTableHeading"/>
        <w:rPr>
          <w:rFonts w:eastAsiaTheme="minorHAnsi"/>
        </w:rPr>
      </w:pPr>
      <w:r>
        <w:lastRenderedPageBreak/>
        <w:t>Note </w:t>
      </w:r>
      <w:r w:rsidR="00D8138E" w:rsidRPr="00EA746C">
        <w:t>13: Advances paid and other receivables</w:t>
      </w:r>
    </w:p>
    <w:tbl>
      <w:tblPr>
        <w:tblW w:w="5000" w:type="pct"/>
        <w:tblLook w:val="04A0" w:firstRow="1" w:lastRow="0" w:firstColumn="1" w:lastColumn="0" w:noHBand="0" w:noVBand="1"/>
      </w:tblPr>
      <w:tblGrid>
        <w:gridCol w:w="3685"/>
        <w:gridCol w:w="804"/>
        <w:gridCol w:w="804"/>
        <w:gridCol w:w="804"/>
        <w:gridCol w:w="804"/>
        <w:gridCol w:w="809"/>
      </w:tblGrid>
      <w:tr w:rsidR="00E4655B" w:rsidRPr="00E4655B" w14:paraId="680CF52D" w14:textId="77777777" w:rsidTr="0089162A">
        <w:trPr>
          <w:trHeight w:val="225"/>
        </w:trPr>
        <w:tc>
          <w:tcPr>
            <w:tcW w:w="2391" w:type="pct"/>
            <w:tcBorders>
              <w:top w:val="single" w:sz="4" w:space="0" w:color="293F5B"/>
              <w:left w:val="nil"/>
              <w:bottom w:val="nil"/>
              <w:right w:val="nil"/>
            </w:tcBorders>
            <w:shd w:val="clear" w:color="000000" w:fill="FFFFFF"/>
            <w:noWrap/>
            <w:vAlign w:val="center"/>
            <w:hideMark/>
          </w:tcPr>
          <w:p w14:paraId="724CBE3E" w14:textId="77777777" w:rsidR="00E4655B" w:rsidRPr="00E4655B" w:rsidRDefault="00E4655B" w:rsidP="00D20851">
            <w:pPr>
              <w:pStyle w:val="TableTextLeft"/>
            </w:pPr>
            <w:r w:rsidRPr="00E4655B">
              <w:t> </w:t>
            </w:r>
          </w:p>
        </w:tc>
        <w:tc>
          <w:tcPr>
            <w:tcW w:w="2609" w:type="pct"/>
            <w:gridSpan w:val="5"/>
            <w:tcBorders>
              <w:top w:val="single" w:sz="4" w:space="0" w:color="293F5B"/>
              <w:left w:val="nil"/>
              <w:bottom w:val="single" w:sz="4" w:space="0" w:color="293F5B"/>
              <w:right w:val="nil"/>
            </w:tcBorders>
            <w:shd w:val="clear" w:color="000000" w:fill="FFFFFF"/>
            <w:noWrap/>
            <w:vAlign w:val="center"/>
            <w:hideMark/>
          </w:tcPr>
          <w:p w14:paraId="052B4544" w14:textId="77777777" w:rsidR="00E4655B" w:rsidRPr="00E4655B" w:rsidRDefault="00E4655B" w:rsidP="00D20851">
            <w:pPr>
              <w:pStyle w:val="TableTextCentred"/>
            </w:pPr>
            <w:r w:rsidRPr="00E4655B">
              <w:t>Estimates</w:t>
            </w:r>
          </w:p>
        </w:tc>
      </w:tr>
      <w:tr w:rsidR="00E4655B" w:rsidRPr="00E4655B" w14:paraId="57A97C2E" w14:textId="77777777" w:rsidTr="0089162A">
        <w:trPr>
          <w:trHeight w:val="225"/>
        </w:trPr>
        <w:tc>
          <w:tcPr>
            <w:tcW w:w="2391" w:type="pct"/>
            <w:tcBorders>
              <w:top w:val="nil"/>
              <w:left w:val="nil"/>
              <w:bottom w:val="nil"/>
              <w:right w:val="nil"/>
            </w:tcBorders>
            <w:shd w:val="clear" w:color="000000" w:fill="FFFFFF"/>
            <w:noWrap/>
            <w:vAlign w:val="center"/>
            <w:hideMark/>
          </w:tcPr>
          <w:p w14:paraId="5426B762" w14:textId="77777777" w:rsidR="00E4655B" w:rsidRPr="00E4655B" w:rsidRDefault="00E4655B" w:rsidP="00D20851">
            <w:pPr>
              <w:pStyle w:val="TableTextLeft"/>
            </w:pPr>
            <w:r w:rsidRPr="00E4655B">
              <w:t> </w:t>
            </w:r>
          </w:p>
        </w:tc>
        <w:tc>
          <w:tcPr>
            <w:tcW w:w="521" w:type="pct"/>
            <w:tcBorders>
              <w:top w:val="nil"/>
              <w:left w:val="nil"/>
              <w:bottom w:val="nil"/>
              <w:right w:val="nil"/>
            </w:tcBorders>
            <w:shd w:val="clear" w:color="000000" w:fill="FFFFFF"/>
            <w:noWrap/>
            <w:vAlign w:val="center"/>
            <w:hideMark/>
          </w:tcPr>
          <w:p w14:paraId="6C5603FD" w14:textId="48AC5BF5" w:rsidR="00E4655B" w:rsidRPr="00E4655B" w:rsidRDefault="00E4655B" w:rsidP="00D20851">
            <w:pPr>
              <w:pStyle w:val="TableTextRight"/>
            </w:pPr>
            <w:r w:rsidRPr="00E4655B">
              <w:t>2023</w:t>
            </w:r>
            <w:r w:rsidR="00325E1E">
              <w:noBreakHyphen/>
            </w:r>
            <w:r w:rsidRPr="00E4655B">
              <w:t>24</w:t>
            </w:r>
          </w:p>
        </w:tc>
        <w:tc>
          <w:tcPr>
            <w:tcW w:w="521" w:type="pct"/>
            <w:tcBorders>
              <w:top w:val="nil"/>
              <w:left w:val="nil"/>
              <w:bottom w:val="nil"/>
              <w:right w:val="nil"/>
            </w:tcBorders>
            <w:shd w:val="clear" w:color="000000" w:fill="E6F2FF"/>
            <w:noWrap/>
            <w:vAlign w:val="center"/>
            <w:hideMark/>
          </w:tcPr>
          <w:p w14:paraId="3AE3F580" w14:textId="09F18014" w:rsidR="00E4655B" w:rsidRPr="00E4655B" w:rsidRDefault="00E4655B" w:rsidP="00D20851">
            <w:pPr>
              <w:pStyle w:val="TableTextRight"/>
            </w:pPr>
            <w:r w:rsidRPr="00E4655B">
              <w:t>2024</w:t>
            </w:r>
            <w:r w:rsidR="00325E1E">
              <w:noBreakHyphen/>
            </w:r>
            <w:r w:rsidRPr="00E4655B">
              <w:t>25</w:t>
            </w:r>
          </w:p>
        </w:tc>
        <w:tc>
          <w:tcPr>
            <w:tcW w:w="521" w:type="pct"/>
            <w:tcBorders>
              <w:top w:val="nil"/>
              <w:left w:val="nil"/>
              <w:bottom w:val="nil"/>
              <w:right w:val="nil"/>
            </w:tcBorders>
            <w:shd w:val="clear" w:color="000000" w:fill="FFFFFF"/>
            <w:noWrap/>
            <w:vAlign w:val="center"/>
            <w:hideMark/>
          </w:tcPr>
          <w:p w14:paraId="564DFB40" w14:textId="5CD9C68A" w:rsidR="00E4655B" w:rsidRPr="00E4655B" w:rsidRDefault="00E4655B" w:rsidP="00D20851">
            <w:pPr>
              <w:pStyle w:val="TableTextRight"/>
            </w:pPr>
            <w:r w:rsidRPr="00E4655B">
              <w:t>2025</w:t>
            </w:r>
            <w:r w:rsidR="00325E1E">
              <w:noBreakHyphen/>
            </w:r>
            <w:r w:rsidRPr="00E4655B">
              <w:t>26</w:t>
            </w:r>
          </w:p>
        </w:tc>
        <w:tc>
          <w:tcPr>
            <w:tcW w:w="521" w:type="pct"/>
            <w:tcBorders>
              <w:top w:val="nil"/>
              <w:left w:val="nil"/>
              <w:bottom w:val="nil"/>
              <w:right w:val="nil"/>
            </w:tcBorders>
            <w:shd w:val="clear" w:color="000000" w:fill="FFFFFF"/>
            <w:noWrap/>
            <w:vAlign w:val="center"/>
            <w:hideMark/>
          </w:tcPr>
          <w:p w14:paraId="08ACB898" w14:textId="5D406D54" w:rsidR="00E4655B" w:rsidRPr="00E4655B" w:rsidRDefault="00E4655B" w:rsidP="00D20851">
            <w:pPr>
              <w:pStyle w:val="TableTextRight"/>
            </w:pPr>
            <w:r w:rsidRPr="00E4655B">
              <w:t>2026</w:t>
            </w:r>
            <w:r w:rsidR="00325E1E">
              <w:noBreakHyphen/>
            </w:r>
            <w:r w:rsidRPr="00E4655B">
              <w:t>27</w:t>
            </w:r>
          </w:p>
        </w:tc>
        <w:tc>
          <w:tcPr>
            <w:tcW w:w="523" w:type="pct"/>
            <w:tcBorders>
              <w:top w:val="nil"/>
              <w:left w:val="nil"/>
              <w:bottom w:val="nil"/>
              <w:right w:val="nil"/>
            </w:tcBorders>
            <w:shd w:val="clear" w:color="000000" w:fill="FFFFFF"/>
            <w:noWrap/>
            <w:vAlign w:val="center"/>
            <w:hideMark/>
          </w:tcPr>
          <w:p w14:paraId="653259BC" w14:textId="56C165D0" w:rsidR="00E4655B" w:rsidRPr="00E4655B" w:rsidRDefault="00E4655B" w:rsidP="00D20851">
            <w:pPr>
              <w:pStyle w:val="TableTextRight"/>
              <w:rPr>
                <w:color w:val="000000"/>
              </w:rPr>
            </w:pPr>
            <w:r w:rsidRPr="00E4655B">
              <w:rPr>
                <w:color w:val="000000"/>
              </w:rPr>
              <w:t>2027</w:t>
            </w:r>
            <w:r w:rsidR="00325E1E">
              <w:rPr>
                <w:color w:val="000000"/>
              </w:rPr>
              <w:noBreakHyphen/>
            </w:r>
            <w:r w:rsidRPr="00E4655B">
              <w:rPr>
                <w:color w:val="000000"/>
              </w:rPr>
              <w:t>28</w:t>
            </w:r>
          </w:p>
        </w:tc>
      </w:tr>
      <w:tr w:rsidR="00E4655B" w:rsidRPr="00E4655B" w14:paraId="48783750" w14:textId="77777777" w:rsidTr="0089162A">
        <w:trPr>
          <w:trHeight w:val="225"/>
        </w:trPr>
        <w:tc>
          <w:tcPr>
            <w:tcW w:w="2391" w:type="pct"/>
            <w:tcBorders>
              <w:top w:val="nil"/>
              <w:left w:val="nil"/>
              <w:bottom w:val="nil"/>
              <w:right w:val="nil"/>
            </w:tcBorders>
            <w:shd w:val="clear" w:color="000000" w:fill="FFFFFF"/>
            <w:noWrap/>
            <w:vAlign w:val="center"/>
            <w:hideMark/>
          </w:tcPr>
          <w:p w14:paraId="1C0DC65B" w14:textId="77777777" w:rsidR="00E4655B" w:rsidRPr="00E4655B" w:rsidRDefault="00E4655B" w:rsidP="00D20851">
            <w:pPr>
              <w:pStyle w:val="TableTextLeft"/>
            </w:pPr>
            <w:r w:rsidRPr="00E4655B">
              <w:t> </w:t>
            </w:r>
          </w:p>
        </w:tc>
        <w:tc>
          <w:tcPr>
            <w:tcW w:w="521" w:type="pct"/>
            <w:tcBorders>
              <w:top w:val="nil"/>
              <w:left w:val="nil"/>
              <w:bottom w:val="single" w:sz="4" w:space="0" w:color="293F5B"/>
              <w:right w:val="nil"/>
            </w:tcBorders>
            <w:shd w:val="clear" w:color="000000" w:fill="FFFFFF"/>
            <w:noWrap/>
            <w:vAlign w:val="center"/>
            <w:hideMark/>
          </w:tcPr>
          <w:p w14:paraId="577F5C23" w14:textId="77777777" w:rsidR="00E4655B" w:rsidRPr="00E4655B" w:rsidRDefault="00E4655B" w:rsidP="00D20851">
            <w:pPr>
              <w:pStyle w:val="TableTextRight"/>
            </w:pPr>
            <w:r w:rsidRPr="00E4655B">
              <w:t>$m</w:t>
            </w:r>
          </w:p>
        </w:tc>
        <w:tc>
          <w:tcPr>
            <w:tcW w:w="521" w:type="pct"/>
            <w:tcBorders>
              <w:top w:val="nil"/>
              <w:left w:val="nil"/>
              <w:bottom w:val="single" w:sz="4" w:space="0" w:color="293F5B"/>
              <w:right w:val="nil"/>
            </w:tcBorders>
            <w:shd w:val="clear" w:color="000000" w:fill="E6F2FF"/>
            <w:noWrap/>
            <w:vAlign w:val="center"/>
            <w:hideMark/>
          </w:tcPr>
          <w:p w14:paraId="4BFE84B4" w14:textId="77777777" w:rsidR="00E4655B" w:rsidRPr="00E4655B" w:rsidRDefault="00E4655B" w:rsidP="00D20851">
            <w:pPr>
              <w:pStyle w:val="TableTextRight"/>
            </w:pPr>
            <w:r w:rsidRPr="00E4655B">
              <w:t>$m</w:t>
            </w:r>
          </w:p>
        </w:tc>
        <w:tc>
          <w:tcPr>
            <w:tcW w:w="521" w:type="pct"/>
            <w:tcBorders>
              <w:top w:val="nil"/>
              <w:left w:val="nil"/>
              <w:bottom w:val="single" w:sz="4" w:space="0" w:color="293F5B"/>
              <w:right w:val="nil"/>
            </w:tcBorders>
            <w:shd w:val="clear" w:color="000000" w:fill="FFFFFF"/>
            <w:noWrap/>
            <w:vAlign w:val="center"/>
            <w:hideMark/>
          </w:tcPr>
          <w:p w14:paraId="7E35CCFF" w14:textId="77777777" w:rsidR="00E4655B" w:rsidRPr="00E4655B" w:rsidRDefault="00E4655B" w:rsidP="00D20851">
            <w:pPr>
              <w:pStyle w:val="TableTextRight"/>
            </w:pPr>
            <w:r w:rsidRPr="00E4655B">
              <w:t>$m</w:t>
            </w:r>
          </w:p>
        </w:tc>
        <w:tc>
          <w:tcPr>
            <w:tcW w:w="521" w:type="pct"/>
            <w:tcBorders>
              <w:top w:val="nil"/>
              <w:left w:val="nil"/>
              <w:bottom w:val="single" w:sz="4" w:space="0" w:color="293F5B"/>
              <w:right w:val="nil"/>
            </w:tcBorders>
            <w:shd w:val="clear" w:color="000000" w:fill="FFFFFF"/>
            <w:noWrap/>
            <w:vAlign w:val="center"/>
            <w:hideMark/>
          </w:tcPr>
          <w:p w14:paraId="71064A25" w14:textId="77777777" w:rsidR="00E4655B" w:rsidRPr="00E4655B" w:rsidRDefault="00E4655B" w:rsidP="00D20851">
            <w:pPr>
              <w:pStyle w:val="TableTextRight"/>
            </w:pPr>
            <w:r w:rsidRPr="00E4655B">
              <w:t>$m</w:t>
            </w:r>
          </w:p>
        </w:tc>
        <w:tc>
          <w:tcPr>
            <w:tcW w:w="523" w:type="pct"/>
            <w:tcBorders>
              <w:top w:val="nil"/>
              <w:left w:val="nil"/>
              <w:bottom w:val="single" w:sz="4" w:space="0" w:color="293F5B"/>
              <w:right w:val="nil"/>
            </w:tcBorders>
            <w:shd w:val="clear" w:color="000000" w:fill="FFFFFF"/>
            <w:noWrap/>
            <w:vAlign w:val="center"/>
            <w:hideMark/>
          </w:tcPr>
          <w:p w14:paraId="195762DB" w14:textId="77777777" w:rsidR="00E4655B" w:rsidRPr="00E4655B" w:rsidRDefault="00E4655B" w:rsidP="00D20851">
            <w:pPr>
              <w:pStyle w:val="TableTextRight"/>
            </w:pPr>
            <w:r w:rsidRPr="00E4655B">
              <w:t>$m</w:t>
            </w:r>
          </w:p>
        </w:tc>
      </w:tr>
      <w:tr w:rsidR="00E4655B" w:rsidRPr="00E4655B" w14:paraId="52B55B3B" w14:textId="77777777" w:rsidTr="0089162A">
        <w:trPr>
          <w:trHeight w:val="225"/>
        </w:trPr>
        <w:tc>
          <w:tcPr>
            <w:tcW w:w="2391" w:type="pct"/>
            <w:tcBorders>
              <w:top w:val="nil"/>
              <w:left w:val="nil"/>
              <w:bottom w:val="nil"/>
              <w:right w:val="nil"/>
            </w:tcBorders>
            <w:shd w:val="clear" w:color="000000" w:fill="FFFFFF"/>
            <w:noWrap/>
            <w:vAlign w:val="center"/>
            <w:hideMark/>
          </w:tcPr>
          <w:p w14:paraId="46EEC40A" w14:textId="77777777" w:rsidR="00E4655B" w:rsidRPr="00E4655B" w:rsidRDefault="00E4655B" w:rsidP="00D20851">
            <w:pPr>
              <w:pStyle w:val="TableTextLeft"/>
              <w:rPr>
                <w:b/>
              </w:rPr>
            </w:pPr>
            <w:r w:rsidRPr="00E4655B">
              <w:rPr>
                <w:b/>
              </w:rPr>
              <w:t>Advances paid</w:t>
            </w:r>
          </w:p>
        </w:tc>
        <w:tc>
          <w:tcPr>
            <w:tcW w:w="521" w:type="pct"/>
            <w:tcBorders>
              <w:top w:val="nil"/>
              <w:left w:val="nil"/>
              <w:bottom w:val="nil"/>
              <w:right w:val="nil"/>
            </w:tcBorders>
            <w:shd w:val="clear" w:color="000000" w:fill="FFFFFF"/>
            <w:noWrap/>
            <w:vAlign w:val="center"/>
            <w:hideMark/>
          </w:tcPr>
          <w:p w14:paraId="50E39484"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E6F2FF"/>
            <w:noWrap/>
            <w:vAlign w:val="center"/>
            <w:hideMark/>
          </w:tcPr>
          <w:p w14:paraId="45C56079"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FFFFFF"/>
            <w:noWrap/>
            <w:vAlign w:val="center"/>
            <w:hideMark/>
          </w:tcPr>
          <w:p w14:paraId="4012D79A"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FFFFFF"/>
            <w:noWrap/>
            <w:vAlign w:val="center"/>
            <w:hideMark/>
          </w:tcPr>
          <w:p w14:paraId="2DE5FA06" w14:textId="77777777" w:rsidR="00E4655B" w:rsidRPr="00E4655B" w:rsidRDefault="00E4655B" w:rsidP="00D20851">
            <w:pPr>
              <w:pStyle w:val="TableTextRight"/>
            </w:pPr>
            <w:r w:rsidRPr="00E4655B">
              <w:t> </w:t>
            </w:r>
          </w:p>
        </w:tc>
        <w:tc>
          <w:tcPr>
            <w:tcW w:w="523" w:type="pct"/>
            <w:tcBorders>
              <w:top w:val="nil"/>
              <w:left w:val="nil"/>
              <w:bottom w:val="nil"/>
              <w:right w:val="nil"/>
            </w:tcBorders>
            <w:shd w:val="clear" w:color="000000" w:fill="FFFFFF"/>
            <w:noWrap/>
            <w:vAlign w:val="center"/>
            <w:hideMark/>
          </w:tcPr>
          <w:p w14:paraId="6AB5922B" w14:textId="77777777" w:rsidR="00E4655B" w:rsidRPr="00E4655B" w:rsidRDefault="00E4655B" w:rsidP="00D20851">
            <w:pPr>
              <w:pStyle w:val="TableTextRight"/>
            </w:pPr>
            <w:r w:rsidRPr="00E4655B">
              <w:t> </w:t>
            </w:r>
          </w:p>
        </w:tc>
      </w:tr>
      <w:tr w:rsidR="00E553F7" w:rsidRPr="00E4655B" w14:paraId="4CE69D50" w14:textId="77777777" w:rsidTr="0089162A">
        <w:trPr>
          <w:trHeight w:val="225"/>
        </w:trPr>
        <w:tc>
          <w:tcPr>
            <w:tcW w:w="2391" w:type="pct"/>
            <w:tcBorders>
              <w:top w:val="nil"/>
              <w:left w:val="nil"/>
              <w:bottom w:val="nil"/>
              <w:right w:val="nil"/>
            </w:tcBorders>
            <w:shd w:val="clear" w:color="000000" w:fill="FFFFFF"/>
            <w:noWrap/>
            <w:vAlign w:val="center"/>
            <w:hideMark/>
          </w:tcPr>
          <w:p w14:paraId="1279B796" w14:textId="77777777" w:rsidR="00E553F7" w:rsidRPr="00E4655B" w:rsidRDefault="00E553F7" w:rsidP="00D20851">
            <w:pPr>
              <w:pStyle w:val="TableTextIndented"/>
            </w:pPr>
            <w:r w:rsidRPr="00E4655B">
              <w:t>Loans to state and territory governments</w:t>
            </w:r>
          </w:p>
        </w:tc>
        <w:tc>
          <w:tcPr>
            <w:tcW w:w="521" w:type="pct"/>
            <w:tcBorders>
              <w:top w:val="nil"/>
              <w:left w:val="nil"/>
              <w:bottom w:val="nil"/>
              <w:right w:val="nil"/>
            </w:tcBorders>
            <w:shd w:val="clear" w:color="000000" w:fill="FFFFFF"/>
            <w:noWrap/>
            <w:vAlign w:val="center"/>
            <w:hideMark/>
          </w:tcPr>
          <w:p w14:paraId="62849E1A" w14:textId="765B7C65" w:rsidR="00E553F7" w:rsidRPr="00E4655B" w:rsidRDefault="00E553F7" w:rsidP="00D20851">
            <w:pPr>
              <w:pStyle w:val="TableTextRight"/>
            </w:pPr>
            <w:r>
              <w:t>1,544</w:t>
            </w:r>
          </w:p>
        </w:tc>
        <w:tc>
          <w:tcPr>
            <w:tcW w:w="521" w:type="pct"/>
            <w:tcBorders>
              <w:top w:val="nil"/>
              <w:left w:val="nil"/>
              <w:bottom w:val="nil"/>
              <w:right w:val="nil"/>
            </w:tcBorders>
            <w:shd w:val="clear" w:color="000000" w:fill="E6F2FF"/>
            <w:noWrap/>
            <w:vAlign w:val="center"/>
            <w:hideMark/>
          </w:tcPr>
          <w:p w14:paraId="14B23685" w14:textId="1C8947BD" w:rsidR="00E553F7" w:rsidRPr="00E4655B" w:rsidRDefault="00E553F7" w:rsidP="00D20851">
            <w:pPr>
              <w:pStyle w:val="TableTextRight"/>
            </w:pPr>
            <w:r>
              <w:t>1,428</w:t>
            </w:r>
          </w:p>
        </w:tc>
        <w:tc>
          <w:tcPr>
            <w:tcW w:w="521" w:type="pct"/>
            <w:tcBorders>
              <w:top w:val="nil"/>
              <w:left w:val="nil"/>
              <w:bottom w:val="nil"/>
              <w:right w:val="nil"/>
            </w:tcBorders>
            <w:shd w:val="clear" w:color="000000" w:fill="FFFFFF"/>
            <w:noWrap/>
            <w:vAlign w:val="center"/>
            <w:hideMark/>
          </w:tcPr>
          <w:p w14:paraId="13E25573" w14:textId="4C0806C1" w:rsidR="00E553F7" w:rsidRPr="00E4655B" w:rsidRDefault="00E553F7" w:rsidP="00D20851">
            <w:pPr>
              <w:pStyle w:val="TableTextRight"/>
            </w:pPr>
            <w:r>
              <w:t>1,300</w:t>
            </w:r>
          </w:p>
        </w:tc>
        <w:tc>
          <w:tcPr>
            <w:tcW w:w="521" w:type="pct"/>
            <w:tcBorders>
              <w:top w:val="nil"/>
              <w:left w:val="nil"/>
              <w:bottom w:val="nil"/>
              <w:right w:val="nil"/>
            </w:tcBorders>
            <w:shd w:val="clear" w:color="000000" w:fill="FFFFFF"/>
            <w:noWrap/>
            <w:vAlign w:val="center"/>
            <w:hideMark/>
          </w:tcPr>
          <w:p w14:paraId="6CF4DB0A" w14:textId="466D7CC5" w:rsidR="00E553F7" w:rsidRPr="00E4655B" w:rsidRDefault="00E553F7" w:rsidP="00D20851">
            <w:pPr>
              <w:pStyle w:val="TableTextRight"/>
            </w:pPr>
            <w:r>
              <w:t>1,121</w:t>
            </w:r>
          </w:p>
        </w:tc>
        <w:tc>
          <w:tcPr>
            <w:tcW w:w="523" w:type="pct"/>
            <w:tcBorders>
              <w:top w:val="nil"/>
              <w:left w:val="nil"/>
              <w:bottom w:val="nil"/>
              <w:right w:val="nil"/>
            </w:tcBorders>
            <w:shd w:val="clear" w:color="000000" w:fill="FFFFFF"/>
            <w:noWrap/>
            <w:vAlign w:val="center"/>
            <w:hideMark/>
          </w:tcPr>
          <w:p w14:paraId="08840CAA" w14:textId="65A4E2E7" w:rsidR="00E553F7" w:rsidRPr="00E4655B" w:rsidRDefault="00E553F7" w:rsidP="00D20851">
            <w:pPr>
              <w:pStyle w:val="TableTextRight"/>
            </w:pPr>
            <w:r>
              <w:t>951</w:t>
            </w:r>
          </w:p>
        </w:tc>
      </w:tr>
      <w:tr w:rsidR="00E553F7" w:rsidRPr="00E4655B" w14:paraId="1BA1BA77" w14:textId="77777777" w:rsidTr="0089162A">
        <w:trPr>
          <w:trHeight w:val="225"/>
        </w:trPr>
        <w:tc>
          <w:tcPr>
            <w:tcW w:w="2391" w:type="pct"/>
            <w:tcBorders>
              <w:top w:val="nil"/>
              <w:left w:val="nil"/>
              <w:bottom w:val="nil"/>
              <w:right w:val="nil"/>
            </w:tcBorders>
            <w:shd w:val="clear" w:color="000000" w:fill="FFFFFF"/>
            <w:noWrap/>
            <w:vAlign w:val="center"/>
            <w:hideMark/>
          </w:tcPr>
          <w:p w14:paraId="462DF1CF" w14:textId="77777777" w:rsidR="00E553F7" w:rsidRPr="00E4655B" w:rsidRDefault="00E553F7" w:rsidP="00D20851">
            <w:pPr>
              <w:pStyle w:val="TableTextIndented"/>
            </w:pPr>
            <w:r w:rsidRPr="00E4655B">
              <w:t>Student loans</w:t>
            </w:r>
          </w:p>
        </w:tc>
        <w:tc>
          <w:tcPr>
            <w:tcW w:w="521" w:type="pct"/>
            <w:tcBorders>
              <w:top w:val="nil"/>
              <w:left w:val="nil"/>
              <w:bottom w:val="nil"/>
              <w:right w:val="nil"/>
            </w:tcBorders>
            <w:shd w:val="clear" w:color="000000" w:fill="FFFFFF"/>
            <w:noWrap/>
            <w:vAlign w:val="center"/>
            <w:hideMark/>
          </w:tcPr>
          <w:p w14:paraId="6BA273AE" w14:textId="31F967C4" w:rsidR="00E553F7" w:rsidRPr="00E4655B" w:rsidRDefault="00E553F7" w:rsidP="00D20851">
            <w:pPr>
              <w:pStyle w:val="TableTextRight"/>
            </w:pPr>
            <w:r>
              <w:t>48,623</w:t>
            </w:r>
          </w:p>
        </w:tc>
        <w:tc>
          <w:tcPr>
            <w:tcW w:w="521" w:type="pct"/>
            <w:tcBorders>
              <w:top w:val="nil"/>
              <w:left w:val="nil"/>
              <w:bottom w:val="nil"/>
              <w:right w:val="nil"/>
            </w:tcBorders>
            <w:shd w:val="clear" w:color="000000" w:fill="E6F2FF"/>
            <w:noWrap/>
            <w:vAlign w:val="center"/>
            <w:hideMark/>
          </w:tcPr>
          <w:p w14:paraId="523CC01D" w14:textId="727EF0C6" w:rsidR="00E553F7" w:rsidRPr="00E4655B" w:rsidRDefault="00E553F7" w:rsidP="00D20851">
            <w:pPr>
              <w:pStyle w:val="TableTextRight"/>
            </w:pPr>
            <w:r>
              <w:t>47,329</w:t>
            </w:r>
          </w:p>
        </w:tc>
        <w:tc>
          <w:tcPr>
            <w:tcW w:w="521" w:type="pct"/>
            <w:tcBorders>
              <w:top w:val="nil"/>
              <w:left w:val="nil"/>
              <w:bottom w:val="nil"/>
              <w:right w:val="nil"/>
            </w:tcBorders>
            <w:shd w:val="clear" w:color="000000" w:fill="FFFFFF"/>
            <w:noWrap/>
            <w:vAlign w:val="center"/>
            <w:hideMark/>
          </w:tcPr>
          <w:p w14:paraId="7FA2F392" w14:textId="79E10E18" w:rsidR="00E553F7" w:rsidRPr="00E4655B" w:rsidRDefault="00E553F7" w:rsidP="00D20851">
            <w:pPr>
              <w:pStyle w:val="TableTextRight"/>
            </w:pPr>
            <w:r>
              <w:t>48,661</w:t>
            </w:r>
          </w:p>
        </w:tc>
        <w:tc>
          <w:tcPr>
            <w:tcW w:w="521" w:type="pct"/>
            <w:tcBorders>
              <w:top w:val="nil"/>
              <w:left w:val="nil"/>
              <w:bottom w:val="nil"/>
              <w:right w:val="nil"/>
            </w:tcBorders>
            <w:shd w:val="clear" w:color="000000" w:fill="FFFFFF"/>
            <w:noWrap/>
            <w:vAlign w:val="center"/>
            <w:hideMark/>
          </w:tcPr>
          <w:p w14:paraId="29671C7B" w14:textId="331BF6AF" w:rsidR="00E553F7" w:rsidRPr="00E4655B" w:rsidRDefault="00E553F7" w:rsidP="00D20851">
            <w:pPr>
              <w:pStyle w:val="TableTextRight"/>
            </w:pPr>
            <w:r>
              <w:t>50,440</w:t>
            </w:r>
          </w:p>
        </w:tc>
        <w:tc>
          <w:tcPr>
            <w:tcW w:w="523" w:type="pct"/>
            <w:tcBorders>
              <w:top w:val="nil"/>
              <w:left w:val="nil"/>
              <w:bottom w:val="nil"/>
              <w:right w:val="nil"/>
            </w:tcBorders>
            <w:shd w:val="clear" w:color="000000" w:fill="FFFFFF"/>
            <w:noWrap/>
            <w:vAlign w:val="center"/>
            <w:hideMark/>
          </w:tcPr>
          <w:p w14:paraId="73BC58A5" w14:textId="14AFE150" w:rsidR="00E553F7" w:rsidRPr="00E4655B" w:rsidRDefault="00E553F7" w:rsidP="00D20851">
            <w:pPr>
              <w:pStyle w:val="TableTextRight"/>
            </w:pPr>
            <w:r>
              <w:t>52,549</w:t>
            </w:r>
          </w:p>
        </w:tc>
      </w:tr>
      <w:tr w:rsidR="00E553F7" w:rsidRPr="00E4655B" w14:paraId="05A59017" w14:textId="77777777" w:rsidTr="0089162A">
        <w:trPr>
          <w:trHeight w:val="225"/>
        </w:trPr>
        <w:tc>
          <w:tcPr>
            <w:tcW w:w="2391" w:type="pct"/>
            <w:tcBorders>
              <w:top w:val="nil"/>
              <w:left w:val="nil"/>
              <w:bottom w:val="nil"/>
              <w:right w:val="nil"/>
            </w:tcBorders>
            <w:shd w:val="clear" w:color="000000" w:fill="FFFFFF"/>
            <w:noWrap/>
            <w:vAlign w:val="center"/>
            <w:hideMark/>
          </w:tcPr>
          <w:p w14:paraId="267B18E9" w14:textId="77777777" w:rsidR="00E553F7" w:rsidRPr="00E4655B" w:rsidRDefault="00E553F7" w:rsidP="00D20851">
            <w:pPr>
              <w:pStyle w:val="TableTextIndented"/>
            </w:pPr>
            <w:r w:rsidRPr="00E4655B">
              <w:t>Other</w:t>
            </w:r>
          </w:p>
        </w:tc>
        <w:tc>
          <w:tcPr>
            <w:tcW w:w="521" w:type="pct"/>
            <w:tcBorders>
              <w:top w:val="nil"/>
              <w:left w:val="nil"/>
              <w:bottom w:val="nil"/>
              <w:right w:val="nil"/>
            </w:tcBorders>
            <w:shd w:val="clear" w:color="000000" w:fill="FFFFFF"/>
            <w:noWrap/>
            <w:vAlign w:val="center"/>
            <w:hideMark/>
          </w:tcPr>
          <w:p w14:paraId="5B776687" w14:textId="13FAF278" w:rsidR="00E553F7" w:rsidRPr="00E4655B" w:rsidRDefault="00E553F7" w:rsidP="00D20851">
            <w:pPr>
              <w:pStyle w:val="TableTextRight"/>
            </w:pPr>
            <w:r>
              <w:t>18,018</w:t>
            </w:r>
          </w:p>
        </w:tc>
        <w:tc>
          <w:tcPr>
            <w:tcW w:w="521" w:type="pct"/>
            <w:tcBorders>
              <w:top w:val="nil"/>
              <w:left w:val="nil"/>
              <w:bottom w:val="nil"/>
              <w:right w:val="nil"/>
            </w:tcBorders>
            <w:shd w:val="clear" w:color="000000" w:fill="E6F2FF"/>
            <w:noWrap/>
            <w:vAlign w:val="center"/>
            <w:hideMark/>
          </w:tcPr>
          <w:p w14:paraId="0EA5389D" w14:textId="0A0B893C" w:rsidR="00E553F7" w:rsidRPr="00E4655B" w:rsidRDefault="00E553F7" w:rsidP="00D20851">
            <w:pPr>
              <w:pStyle w:val="TableTextRight"/>
            </w:pPr>
            <w:r>
              <w:t>25,705</w:t>
            </w:r>
          </w:p>
        </w:tc>
        <w:tc>
          <w:tcPr>
            <w:tcW w:w="521" w:type="pct"/>
            <w:tcBorders>
              <w:top w:val="nil"/>
              <w:left w:val="nil"/>
              <w:bottom w:val="nil"/>
              <w:right w:val="nil"/>
            </w:tcBorders>
            <w:shd w:val="clear" w:color="000000" w:fill="FFFFFF"/>
            <w:noWrap/>
            <w:vAlign w:val="center"/>
            <w:hideMark/>
          </w:tcPr>
          <w:p w14:paraId="7379A444" w14:textId="4938842E" w:rsidR="00E553F7" w:rsidRPr="00E4655B" w:rsidRDefault="00E553F7" w:rsidP="00D20851">
            <w:pPr>
              <w:pStyle w:val="TableTextRight"/>
            </w:pPr>
            <w:r>
              <w:t>35,031</w:t>
            </w:r>
          </w:p>
        </w:tc>
        <w:tc>
          <w:tcPr>
            <w:tcW w:w="521" w:type="pct"/>
            <w:tcBorders>
              <w:top w:val="nil"/>
              <w:left w:val="nil"/>
              <w:bottom w:val="nil"/>
              <w:right w:val="nil"/>
            </w:tcBorders>
            <w:shd w:val="clear" w:color="000000" w:fill="FFFFFF"/>
            <w:noWrap/>
            <w:vAlign w:val="center"/>
            <w:hideMark/>
          </w:tcPr>
          <w:p w14:paraId="1C9FBE9D" w14:textId="0FE8B8D5" w:rsidR="00E553F7" w:rsidRPr="00E4655B" w:rsidRDefault="00E553F7" w:rsidP="00D20851">
            <w:pPr>
              <w:pStyle w:val="TableTextRight"/>
            </w:pPr>
            <w:r>
              <w:t>44,555</w:t>
            </w:r>
          </w:p>
        </w:tc>
        <w:tc>
          <w:tcPr>
            <w:tcW w:w="523" w:type="pct"/>
            <w:tcBorders>
              <w:top w:val="nil"/>
              <w:left w:val="nil"/>
              <w:bottom w:val="nil"/>
              <w:right w:val="nil"/>
            </w:tcBorders>
            <w:shd w:val="clear" w:color="000000" w:fill="FFFFFF"/>
            <w:noWrap/>
            <w:vAlign w:val="center"/>
            <w:hideMark/>
          </w:tcPr>
          <w:p w14:paraId="376054E4" w14:textId="3081348F" w:rsidR="00E553F7" w:rsidRPr="00E4655B" w:rsidRDefault="00E553F7" w:rsidP="00D20851">
            <w:pPr>
              <w:pStyle w:val="TableTextRight"/>
            </w:pPr>
            <w:r>
              <w:t>53,149</w:t>
            </w:r>
          </w:p>
        </w:tc>
      </w:tr>
      <w:tr w:rsidR="00E553F7" w:rsidRPr="00E4655B" w14:paraId="288D581A" w14:textId="77777777" w:rsidTr="0089162A">
        <w:trPr>
          <w:trHeight w:val="225"/>
        </w:trPr>
        <w:tc>
          <w:tcPr>
            <w:tcW w:w="2391" w:type="pct"/>
            <w:tcBorders>
              <w:top w:val="nil"/>
              <w:left w:val="nil"/>
              <w:bottom w:val="nil"/>
              <w:right w:val="nil"/>
            </w:tcBorders>
            <w:shd w:val="clear" w:color="000000" w:fill="FFFFFF"/>
            <w:noWrap/>
            <w:vAlign w:val="center"/>
            <w:hideMark/>
          </w:tcPr>
          <w:p w14:paraId="3B956CFE" w14:textId="77777777" w:rsidR="00E553F7" w:rsidRPr="00E4655B" w:rsidRDefault="00E553F7" w:rsidP="00D20851">
            <w:pPr>
              <w:pStyle w:val="TableTextIndented"/>
              <w:rPr>
                <w:i/>
              </w:rPr>
            </w:pPr>
            <w:r w:rsidRPr="00E4655B">
              <w:rPr>
                <w:i/>
              </w:rPr>
              <w:t xml:space="preserve">less </w:t>
            </w:r>
            <w:r w:rsidRPr="00E4655B">
              <w:t>Impairment allowance</w:t>
            </w:r>
          </w:p>
        </w:tc>
        <w:tc>
          <w:tcPr>
            <w:tcW w:w="521" w:type="pct"/>
            <w:tcBorders>
              <w:top w:val="nil"/>
              <w:left w:val="nil"/>
              <w:bottom w:val="single" w:sz="4" w:space="0" w:color="293F5B"/>
              <w:right w:val="nil"/>
            </w:tcBorders>
            <w:shd w:val="clear" w:color="000000" w:fill="FFFFFF"/>
            <w:noWrap/>
            <w:vAlign w:val="center"/>
            <w:hideMark/>
          </w:tcPr>
          <w:p w14:paraId="6E830D4F" w14:textId="4EE559BF" w:rsidR="00E553F7" w:rsidRPr="00E4655B" w:rsidRDefault="00E553F7" w:rsidP="00D20851">
            <w:pPr>
              <w:pStyle w:val="TableTextRight"/>
            </w:pPr>
            <w:r>
              <w:t>646</w:t>
            </w:r>
          </w:p>
        </w:tc>
        <w:tc>
          <w:tcPr>
            <w:tcW w:w="521" w:type="pct"/>
            <w:tcBorders>
              <w:top w:val="nil"/>
              <w:left w:val="nil"/>
              <w:bottom w:val="single" w:sz="4" w:space="0" w:color="293F5B"/>
              <w:right w:val="nil"/>
            </w:tcBorders>
            <w:shd w:val="clear" w:color="000000" w:fill="E6F2FF"/>
            <w:noWrap/>
            <w:vAlign w:val="center"/>
            <w:hideMark/>
          </w:tcPr>
          <w:p w14:paraId="34A28304" w14:textId="508D6E95" w:rsidR="00E553F7" w:rsidRPr="00E4655B" w:rsidRDefault="00E553F7" w:rsidP="00D20851">
            <w:pPr>
              <w:pStyle w:val="TableTextRight"/>
            </w:pPr>
            <w:r>
              <w:t>1,268</w:t>
            </w:r>
          </w:p>
        </w:tc>
        <w:tc>
          <w:tcPr>
            <w:tcW w:w="521" w:type="pct"/>
            <w:tcBorders>
              <w:top w:val="nil"/>
              <w:left w:val="nil"/>
              <w:bottom w:val="single" w:sz="4" w:space="0" w:color="293F5B"/>
              <w:right w:val="nil"/>
            </w:tcBorders>
            <w:shd w:val="clear" w:color="000000" w:fill="FFFFFF"/>
            <w:noWrap/>
            <w:vAlign w:val="center"/>
            <w:hideMark/>
          </w:tcPr>
          <w:p w14:paraId="5988F8E8" w14:textId="6ABAB4D5" w:rsidR="00E553F7" w:rsidRPr="00E4655B" w:rsidRDefault="00E553F7" w:rsidP="00D20851">
            <w:pPr>
              <w:pStyle w:val="TableTextRight"/>
            </w:pPr>
            <w:r>
              <w:t>1,400</w:t>
            </w:r>
          </w:p>
        </w:tc>
        <w:tc>
          <w:tcPr>
            <w:tcW w:w="521" w:type="pct"/>
            <w:tcBorders>
              <w:top w:val="nil"/>
              <w:left w:val="nil"/>
              <w:bottom w:val="single" w:sz="4" w:space="0" w:color="293F5B"/>
              <w:right w:val="nil"/>
            </w:tcBorders>
            <w:shd w:val="clear" w:color="000000" w:fill="FFFFFF"/>
            <w:noWrap/>
            <w:vAlign w:val="center"/>
            <w:hideMark/>
          </w:tcPr>
          <w:p w14:paraId="76C1CEEB" w14:textId="1322AC34" w:rsidR="00E553F7" w:rsidRPr="00E4655B" w:rsidRDefault="00E553F7" w:rsidP="00D20851">
            <w:pPr>
              <w:pStyle w:val="TableTextRight"/>
            </w:pPr>
            <w:r>
              <w:t>1,482</w:t>
            </w:r>
          </w:p>
        </w:tc>
        <w:tc>
          <w:tcPr>
            <w:tcW w:w="523" w:type="pct"/>
            <w:tcBorders>
              <w:top w:val="nil"/>
              <w:left w:val="nil"/>
              <w:bottom w:val="single" w:sz="4" w:space="0" w:color="293F5B"/>
              <w:right w:val="nil"/>
            </w:tcBorders>
            <w:shd w:val="clear" w:color="000000" w:fill="FFFFFF"/>
            <w:noWrap/>
            <w:vAlign w:val="center"/>
            <w:hideMark/>
          </w:tcPr>
          <w:p w14:paraId="042C0A21" w14:textId="700B3318" w:rsidR="00E553F7" w:rsidRPr="00E4655B" w:rsidRDefault="00E553F7" w:rsidP="00D20851">
            <w:pPr>
              <w:pStyle w:val="TableTextRight"/>
            </w:pPr>
            <w:r>
              <w:t>1,558</w:t>
            </w:r>
          </w:p>
        </w:tc>
      </w:tr>
      <w:tr w:rsidR="00E553F7" w:rsidRPr="00E4655B" w14:paraId="28ACB819" w14:textId="77777777" w:rsidTr="0089162A">
        <w:trPr>
          <w:trHeight w:val="225"/>
        </w:trPr>
        <w:tc>
          <w:tcPr>
            <w:tcW w:w="2391" w:type="pct"/>
            <w:tcBorders>
              <w:top w:val="nil"/>
              <w:left w:val="nil"/>
              <w:bottom w:val="nil"/>
              <w:right w:val="nil"/>
            </w:tcBorders>
            <w:shd w:val="clear" w:color="000000" w:fill="FFFFFF"/>
            <w:noWrap/>
            <w:vAlign w:val="center"/>
            <w:hideMark/>
          </w:tcPr>
          <w:p w14:paraId="51799531" w14:textId="77777777" w:rsidR="00E553F7" w:rsidRPr="00E4655B" w:rsidRDefault="00E553F7" w:rsidP="00D20851">
            <w:pPr>
              <w:pStyle w:val="TableTextLeft"/>
              <w:rPr>
                <w:b/>
              </w:rPr>
            </w:pPr>
            <w:r w:rsidRPr="00E4655B">
              <w:rPr>
                <w:b/>
              </w:rPr>
              <w:t>Total advances paid</w:t>
            </w:r>
          </w:p>
        </w:tc>
        <w:tc>
          <w:tcPr>
            <w:tcW w:w="521" w:type="pct"/>
            <w:tcBorders>
              <w:top w:val="nil"/>
              <w:left w:val="nil"/>
              <w:bottom w:val="single" w:sz="4" w:space="0" w:color="293F5B"/>
              <w:right w:val="nil"/>
            </w:tcBorders>
            <w:shd w:val="clear" w:color="000000" w:fill="FFFFFF"/>
            <w:noWrap/>
            <w:vAlign w:val="center"/>
            <w:hideMark/>
          </w:tcPr>
          <w:p w14:paraId="405D5809" w14:textId="2DC9DA0E" w:rsidR="00E553F7" w:rsidRPr="00E4655B" w:rsidRDefault="00E553F7" w:rsidP="00D20851">
            <w:pPr>
              <w:pStyle w:val="TableTextRight"/>
              <w:rPr>
                <w:b/>
              </w:rPr>
            </w:pPr>
            <w:r>
              <w:rPr>
                <w:b/>
              </w:rPr>
              <w:t>67,539</w:t>
            </w:r>
          </w:p>
        </w:tc>
        <w:tc>
          <w:tcPr>
            <w:tcW w:w="521" w:type="pct"/>
            <w:tcBorders>
              <w:top w:val="nil"/>
              <w:left w:val="nil"/>
              <w:bottom w:val="single" w:sz="4" w:space="0" w:color="293F5B"/>
              <w:right w:val="nil"/>
            </w:tcBorders>
            <w:shd w:val="clear" w:color="000000" w:fill="E6F2FF"/>
            <w:noWrap/>
            <w:vAlign w:val="center"/>
            <w:hideMark/>
          </w:tcPr>
          <w:p w14:paraId="580725F0" w14:textId="4737A6ED" w:rsidR="00E553F7" w:rsidRPr="00E4655B" w:rsidRDefault="00E553F7" w:rsidP="00D20851">
            <w:pPr>
              <w:pStyle w:val="TableTextRight"/>
              <w:rPr>
                <w:b/>
              </w:rPr>
            </w:pPr>
            <w:r>
              <w:rPr>
                <w:b/>
              </w:rPr>
              <w:t>73,193</w:t>
            </w:r>
          </w:p>
        </w:tc>
        <w:tc>
          <w:tcPr>
            <w:tcW w:w="521" w:type="pct"/>
            <w:tcBorders>
              <w:top w:val="nil"/>
              <w:left w:val="nil"/>
              <w:bottom w:val="single" w:sz="4" w:space="0" w:color="293F5B"/>
              <w:right w:val="nil"/>
            </w:tcBorders>
            <w:shd w:val="clear" w:color="000000" w:fill="FFFFFF"/>
            <w:noWrap/>
            <w:vAlign w:val="center"/>
            <w:hideMark/>
          </w:tcPr>
          <w:p w14:paraId="25474BC5" w14:textId="01A800B2" w:rsidR="00E553F7" w:rsidRPr="00E4655B" w:rsidRDefault="00E553F7" w:rsidP="00D20851">
            <w:pPr>
              <w:pStyle w:val="TableTextRight"/>
              <w:rPr>
                <w:b/>
              </w:rPr>
            </w:pPr>
            <w:r>
              <w:rPr>
                <w:b/>
              </w:rPr>
              <w:t>83,592</w:t>
            </w:r>
          </w:p>
        </w:tc>
        <w:tc>
          <w:tcPr>
            <w:tcW w:w="521" w:type="pct"/>
            <w:tcBorders>
              <w:top w:val="nil"/>
              <w:left w:val="nil"/>
              <w:bottom w:val="single" w:sz="4" w:space="0" w:color="293F5B"/>
              <w:right w:val="nil"/>
            </w:tcBorders>
            <w:shd w:val="clear" w:color="000000" w:fill="FFFFFF"/>
            <w:noWrap/>
            <w:vAlign w:val="center"/>
            <w:hideMark/>
          </w:tcPr>
          <w:p w14:paraId="3B328767" w14:textId="234EF05C" w:rsidR="00E553F7" w:rsidRPr="00E4655B" w:rsidRDefault="00E553F7" w:rsidP="00D20851">
            <w:pPr>
              <w:pStyle w:val="TableTextRight"/>
              <w:rPr>
                <w:b/>
              </w:rPr>
            </w:pPr>
            <w:r>
              <w:rPr>
                <w:b/>
              </w:rPr>
              <w:t>94,634</w:t>
            </w:r>
          </w:p>
        </w:tc>
        <w:tc>
          <w:tcPr>
            <w:tcW w:w="523" w:type="pct"/>
            <w:tcBorders>
              <w:top w:val="nil"/>
              <w:left w:val="nil"/>
              <w:bottom w:val="single" w:sz="4" w:space="0" w:color="293F5B"/>
              <w:right w:val="nil"/>
            </w:tcBorders>
            <w:shd w:val="clear" w:color="000000" w:fill="FFFFFF"/>
            <w:noWrap/>
            <w:vAlign w:val="center"/>
            <w:hideMark/>
          </w:tcPr>
          <w:p w14:paraId="1C815529" w14:textId="7595704D" w:rsidR="00E553F7" w:rsidRPr="00E4655B" w:rsidRDefault="00E553F7" w:rsidP="00D20851">
            <w:pPr>
              <w:pStyle w:val="TableTextRight"/>
              <w:rPr>
                <w:b/>
              </w:rPr>
            </w:pPr>
            <w:r>
              <w:rPr>
                <w:b/>
              </w:rPr>
              <w:t>105,091</w:t>
            </w:r>
          </w:p>
        </w:tc>
      </w:tr>
      <w:tr w:rsidR="00E4655B" w:rsidRPr="00E4655B" w14:paraId="2E3785A9" w14:textId="77777777" w:rsidTr="0089162A">
        <w:trPr>
          <w:trHeight w:val="225"/>
        </w:trPr>
        <w:tc>
          <w:tcPr>
            <w:tcW w:w="2391" w:type="pct"/>
            <w:tcBorders>
              <w:top w:val="nil"/>
              <w:left w:val="nil"/>
              <w:bottom w:val="nil"/>
              <w:right w:val="nil"/>
            </w:tcBorders>
            <w:shd w:val="clear" w:color="000000" w:fill="FFFFFF"/>
            <w:noWrap/>
            <w:vAlign w:val="center"/>
            <w:hideMark/>
          </w:tcPr>
          <w:p w14:paraId="13EF3E9C" w14:textId="77777777" w:rsidR="00E4655B" w:rsidRPr="00E4655B" w:rsidRDefault="00E4655B" w:rsidP="00D20851">
            <w:pPr>
              <w:pStyle w:val="TableTextLeft"/>
              <w:rPr>
                <w:b/>
              </w:rPr>
            </w:pPr>
            <w:r w:rsidRPr="00E4655B">
              <w:rPr>
                <w:b/>
              </w:rPr>
              <w:t>Other receivables</w:t>
            </w:r>
          </w:p>
        </w:tc>
        <w:tc>
          <w:tcPr>
            <w:tcW w:w="521" w:type="pct"/>
            <w:tcBorders>
              <w:top w:val="nil"/>
              <w:left w:val="nil"/>
              <w:bottom w:val="nil"/>
              <w:right w:val="nil"/>
            </w:tcBorders>
            <w:shd w:val="clear" w:color="000000" w:fill="FFFFFF"/>
            <w:noWrap/>
            <w:vAlign w:val="center"/>
            <w:hideMark/>
          </w:tcPr>
          <w:p w14:paraId="5C41ABFB"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E6F2FF"/>
            <w:noWrap/>
            <w:vAlign w:val="center"/>
            <w:hideMark/>
          </w:tcPr>
          <w:p w14:paraId="5E6F96B2"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FFFFFF"/>
            <w:noWrap/>
            <w:vAlign w:val="center"/>
            <w:hideMark/>
          </w:tcPr>
          <w:p w14:paraId="79F514AF" w14:textId="77777777" w:rsidR="00E4655B" w:rsidRPr="00E4655B" w:rsidRDefault="00E4655B" w:rsidP="00D20851">
            <w:pPr>
              <w:pStyle w:val="TableTextRight"/>
            </w:pPr>
            <w:r w:rsidRPr="00E4655B">
              <w:t> </w:t>
            </w:r>
          </w:p>
        </w:tc>
        <w:tc>
          <w:tcPr>
            <w:tcW w:w="521" w:type="pct"/>
            <w:tcBorders>
              <w:top w:val="nil"/>
              <w:left w:val="nil"/>
              <w:bottom w:val="nil"/>
              <w:right w:val="nil"/>
            </w:tcBorders>
            <w:shd w:val="clear" w:color="000000" w:fill="FFFFFF"/>
            <w:noWrap/>
            <w:vAlign w:val="center"/>
            <w:hideMark/>
          </w:tcPr>
          <w:p w14:paraId="4A277E9A" w14:textId="77777777" w:rsidR="00E4655B" w:rsidRPr="00E4655B" w:rsidRDefault="00E4655B" w:rsidP="00D20851">
            <w:pPr>
              <w:pStyle w:val="TableTextRight"/>
            </w:pPr>
            <w:r w:rsidRPr="00E4655B">
              <w:t> </w:t>
            </w:r>
          </w:p>
        </w:tc>
        <w:tc>
          <w:tcPr>
            <w:tcW w:w="523" w:type="pct"/>
            <w:tcBorders>
              <w:top w:val="nil"/>
              <w:left w:val="nil"/>
              <w:bottom w:val="nil"/>
              <w:right w:val="nil"/>
            </w:tcBorders>
            <w:shd w:val="clear" w:color="000000" w:fill="FFFFFF"/>
            <w:noWrap/>
            <w:vAlign w:val="center"/>
            <w:hideMark/>
          </w:tcPr>
          <w:p w14:paraId="6830ABB1" w14:textId="77777777" w:rsidR="00E4655B" w:rsidRPr="00E4655B" w:rsidRDefault="00E4655B" w:rsidP="00D20851">
            <w:pPr>
              <w:pStyle w:val="TableTextRight"/>
            </w:pPr>
            <w:r w:rsidRPr="00E4655B">
              <w:t> </w:t>
            </w:r>
          </w:p>
        </w:tc>
      </w:tr>
      <w:tr w:rsidR="0089162A" w:rsidRPr="00E4655B" w14:paraId="1D0D7BAC" w14:textId="77777777" w:rsidTr="0089162A">
        <w:trPr>
          <w:trHeight w:val="225"/>
        </w:trPr>
        <w:tc>
          <w:tcPr>
            <w:tcW w:w="2391" w:type="pct"/>
            <w:tcBorders>
              <w:top w:val="nil"/>
              <w:left w:val="nil"/>
              <w:bottom w:val="nil"/>
              <w:right w:val="nil"/>
            </w:tcBorders>
            <w:shd w:val="clear" w:color="000000" w:fill="FFFFFF"/>
            <w:noWrap/>
            <w:vAlign w:val="center"/>
            <w:hideMark/>
          </w:tcPr>
          <w:p w14:paraId="230F6E80" w14:textId="77777777" w:rsidR="0089162A" w:rsidRPr="00E4655B" w:rsidRDefault="0089162A" w:rsidP="00D20851">
            <w:pPr>
              <w:pStyle w:val="TableTextIndented"/>
            </w:pPr>
            <w:r w:rsidRPr="00E4655B">
              <w:t>Goods and services receivable</w:t>
            </w:r>
          </w:p>
        </w:tc>
        <w:tc>
          <w:tcPr>
            <w:tcW w:w="521" w:type="pct"/>
            <w:tcBorders>
              <w:top w:val="nil"/>
              <w:left w:val="nil"/>
              <w:bottom w:val="nil"/>
              <w:right w:val="nil"/>
            </w:tcBorders>
            <w:shd w:val="clear" w:color="000000" w:fill="FFFFFF"/>
            <w:noWrap/>
            <w:vAlign w:val="center"/>
            <w:hideMark/>
          </w:tcPr>
          <w:p w14:paraId="220EF0A1" w14:textId="333579EF" w:rsidR="0089162A" w:rsidRPr="00E4655B" w:rsidRDefault="0089162A" w:rsidP="00D20851">
            <w:pPr>
              <w:pStyle w:val="TableTextRight"/>
            </w:pPr>
            <w:r>
              <w:t>1,518</w:t>
            </w:r>
          </w:p>
        </w:tc>
        <w:tc>
          <w:tcPr>
            <w:tcW w:w="521" w:type="pct"/>
            <w:tcBorders>
              <w:top w:val="nil"/>
              <w:left w:val="nil"/>
              <w:bottom w:val="nil"/>
              <w:right w:val="nil"/>
            </w:tcBorders>
            <w:shd w:val="clear" w:color="000000" w:fill="E6F2FF"/>
            <w:noWrap/>
            <w:vAlign w:val="center"/>
            <w:hideMark/>
          </w:tcPr>
          <w:p w14:paraId="323218F2" w14:textId="2C30051F" w:rsidR="0089162A" w:rsidRPr="00E4655B" w:rsidRDefault="0089162A" w:rsidP="00D20851">
            <w:pPr>
              <w:pStyle w:val="TableTextRight"/>
            </w:pPr>
            <w:r>
              <w:t>1,547</w:t>
            </w:r>
          </w:p>
        </w:tc>
        <w:tc>
          <w:tcPr>
            <w:tcW w:w="521" w:type="pct"/>
            <w:tcBorders>
              <w:top w:val="nil"/>
              <w:left w:val="nil"/>
              <w:bottom w:val="nil"/>
              <w:right w:val="nil"/>
            </w:tcBorders>
            <w:shd w:val="clear" w:color="000000" w:fill="FFFFFF"/>
            <w:noWrap/>
            <w:vAlign w:val="center"/>
            <w:hideMark/>
          </w:tcPr>
          <w:p w14:paraId="46F3C831" w14:textId="6560B885" w:rsidR="0089162A" w:rsidRPr="00E4655B" w:rsidRDefault="0089162A" w:rsidP="00D20851">
            <w:pPr>
              <w:pStyle w:val="TableTextRight"/>
            </w:pPr>
            <w:r>
              <w:t>1,564</w:t>
            </w:r>
          </w:p>
        </w:tc>
        <w:tc>
          <w:tcPr>
            <w:tcW w:w="521" w:type="pct"/>
            <w:tcBorders>
              <w:top w:val="nil"/>
              <w:left w:val="nil"/>
              <w:bottom w:val="nil"/>
              <w:right w:val="nil"/>
            </w:tcBorders>
            <w:shd w:val="clear" w:color="000000" w:fill="FFFFFF"/>
            <w:noWrap/>
            <w:vAlign w:val="center"/>
            <w:hideMark/>
          </w:tcPr>
          <w:p w14:paraId="1153D632" w14:textId="1C966EA7" w:rsidR="0089162A" w:rsidRPr="00E4655B" w:rsidRDefault="0089162A" w:rsidP="00D20851">
            <w:pPr>
              <w:pStyle w:val="TableTextRight"/>
            </w:pPr>
            <w:r>
              <w:t>1,587</w:t>
            </w:r>
          </w:p>
        </w:tc>
        <w:tc>
          <w:tcPr>
            <w:tcW w:w="523" w:type="pct"/>
            <w:tcBorders>
              <w:top w:val="nil"/>
              <w:left w:val="nil"/>
              <w:bottom w:val="nil"/>
              <w:right w:val="nil"/>
            </w:tcBorders>
            <w:shd w:val="clear" w:color="000000" w:fill="FFFFFF"/>
            <w:noWrap/>
            <w:vAlign w:val="center"/>
            <w:hideMark/>
          </w:tcPr>
          <w:p w14:paraId="584D0033" w14:textId="28BA5ED1" w:rsidR="0089162A" w:rsidRPr="00E4655B" w:rsidRDefault="0089162A" w:rsidP="00D20851">
            <w:pPr>
              <w:pStyle w:val="TableTextRight"/>
            </w:pPr>
            <w:r>
              <w:t>1,578</w:t>
            </w:r>
          </w:p>
        </w:tc>
      </w:tr>
      <w:tr w:rsidR="0089162A" w:rsidRPr="00E4655B" w14:paraId="14D63BE3" w14:textId="77777777" w:rsidTr="0089162A">
        <w:trPr>
          <w:trHeight w:val="225"/>
        </w:trPr>
        <w:tc>
          <w:tcPr>
            <w:tcW w:w="2391" w:type="pct"/>
            <w:tcBorders>
              <w:top w:val="nil"/>
              <w:left w:val="nil"/>
              <w:bottom w:val="nil"/>
              <w:right w:val="nil"/>
            </w:tcBorders>
            <w:shd w:val="clear" w:color="000000" w:fill="FFFFFF"/>
            <w:noWrap/>
            <w:vAlign w:val="center"/>
            <w:hideMark/>
          </w:tcPr>
          <w:p w14:paraId="294E327A" w14:textId="77777777" w:rsidR="0089162A" w:rsidRPr="00E4655B" w:rsidRDefault="0089162A" w:rsidP="00D20851">
            <w:pPr>
              <w:pStyle w:val="TableTextIndented"/>
            </w:pPr>
            <w:r w:rsidRPr="00E4655B">
              <w:t>Recoveries of benefit payments</w:t>
            </w:r>
          </w:p>
        </w:tc>
        <w:tc>
          <w:tcPr>
            <w:tcW w:w="521" w:type="pct"/>
            <w:tcBorders>
              <w:top w:val="nil"/>
              <w:left w:val="nil"/>
              <w:bottom w:val="nil"/>
              <w:right w:val="nil"/>
            </w:tcBorders>
            <w:shd w:val="clear" w:color="000000" w:fill="FFFFFF"/>
            <w:noWrap/>
            <w:vAlign w:val="center"/>
            <w:hideMark/>
          </w:tcPr>
          <w:p w14:paraId="37F3469E" w14:textId="399FBCEA" w:rsidR="0089162A" w:rsidRPr="00E4655B" w:rsidRDefault="0089162A" w:rsidP="00D20851">
            <w:pPr>
              <w:pStyle w:val="TableTextRight"/>
            </w:pPr>
            <w:r>
              <w:t>6,379</w:t>
            </w:r>
          </w:p>
        </w:tc>
        <w:tc>
          <w:tcPr>
            <w:tcW w:w="521" w:type="pct"/>
            <w:tcBorders>
              <w:top w:val="nil"/>
              <w:left w:val="nil"/>
              <w:bottom w:val="nil"/>
              <w:right w:val="nil"/>
            </w:tcBorders>
            <w:shd w:val="clear" w:color="000000" w:fill="E6F2FF"/>
            <w:noWrap/>
            <w:vAlign w:val="center"/>
            <w:hideMark/>
          </w:tcPr>
          <w:p w14:paraId="0AE8DC24" w14:textId="0734C3C5" w:rsidR="0089162A" w:rsidRPr="00E4655B" w:rsidRDefault="0089162A" w:rsidP="00D20851">
            <w:pPr>
              <w:pStyle w:val="TableTextRight"/>
            </w:pPr>
            <w:r>
              <w:t>6,566</w:t>
            </w:r>
          </w:p>
        </w:tc>
        <w:tc>
          <w:tcPr>
            <w:tcW w:w="521" w:type="pct"/>
            <w:tcBorders>
              <w:top w:val="nil"/>
              <w:left w:val="nil"/>
              <w:bottom w:val="nil"/>
              <w:right w:val="nil"/>
            </w:tcBorders>
            <w:shd w:val="clear" w:color="000000" w:fill="FFFFFF"/>
            <w:noWrap/>
            <w:vAlign w:val="center"/>
            <w:hideMark/>
          </w:tcPr>
          <w:p w14:paraId="22520229" w14:textId="5550DDE9" w:rsidR="0089162A" w:rsidRPr="00E4655B" w:rsidRDefault="0089162A" w:rsidP="00D20851">
            <w:pPr>
              <w:pStyle w:val="TableTextRight"/>
            </w:pPr>
            <w:r>
              <w:t>6,745</w:t>
            </w:r>
          </w:p>
        </w:tc>
        <w:tc>
          <w:tcPr>
            <w:tcW w:w="521" w:type="pct"/>
            <w:tcBorders>
              <w:top w:val="nil"/>
              <w:left w:val="nil"/>
              <w:bottom w:val="nil"/>
              <w:right w:val="nil"/>
            </w:tcBorders>
            <w:shd w:val="clear" w:color="000000" w:fill="FFFFFF"/>
            <w:noWrap/>
            <w:vAlign w:val="center"/>
            <w:hideMark/>
          </w:tcPr>
          <w:p w14:paraId="3F299166" w14:textId="27E440F1" w:rsidR="0089162A" w:rsidRPr="00E4655B" w:rsidRDefault="0089162A" w:rsidP="00D20851">
            <w:pPr>
              <w:pStyle w:val="TableTextRight"/>
            </w:pPr>
            <w:r>
              <w:t>6,874</w:t>
            </w:r>
          </w:p>
        </w:tc>
        <w:tc>
          <w:tcPr>
            <w:tcW w:w="523" w:type="pct"/>
            <w:tcBorders>
              <w:top w:val="nil"/>
              <w:left w:val="nil"/>
              <w:bottom w:val="nil"/>
              <w:right w:val="nil"/>
            </w:tcBorders>
            <w:shd w:val="clear" w:color="000000" w:fill="FFFFFF"/>
            <w:noWrap/>
            <w:vAlign w:val="center"/>
            <w:hideMark/>
          </w:tcPr>
          <w:p w14:paraId="38BBB9DE" w14:textId="52B2EF48" w:rsidR="0089162A" w:rsidRPr="00E4655B" w:rsidRDefault="0089162A" w:rsidP="00D20851">
            <w:pPr>
              <w:pStyle w:val="TableTextRight"/>
            </w:pPr>
            <w:r>
              <w:t>6,949</w:t>
            </w:r>
          </w:p>
        </w:tc>
      </w:tr>
      <w:tr w:rsidR="0089162A" w:rsidRPr="00E4655B" w14:paraId="2B0CD1D3" w14:textId="77777777" w:rsidTr="0089162A">
        <w:trPr>
          <w:trHeight w:val="225"/>
        </w:trPr>
        <w:tc>
          <w:tcPr>
            <w:tcW w:w="2391" w:type="pct"/>
            <w:tcBorders>
              <w:top w:val="nil"/>
              <w:left w:val="nil"/>
              <w:bottom w:val="nil"/>
              <w:right w:val="nil"/>
            </w:tcBorders>
            <w:shd w:val="clear" w:color="000000" w:fill="FFFFFF"/>
            <w:noWrap/>
            <w:vAlign w:val="center"/>
            <w:hideMark/>
          </w:tcPr>
          <w:p w14:paraId="79C43CD1" w14:textId="77777777" w:rsidR="0089162A" w:rsidRPr="00E4655B" w:rsidRDefault="0089162A" w:rsidP="00D20851">
            <w:pPr>
              <w:pStyle w:val="TableTextIndented"/>
            </w:pPr>
            <w:r w:rsidRPr="00E4655B">
              <w:t>Taxes receivable</w:t>
            </w:r>
          </w:p>
        </w:tc>
        <w:tc>
          <w:tcPr>
            <w:tcW w:w="521" w:type="pct"/>
            <w:tcBorders>
              <w:top w:val="nil"/>
              <w:left w:val="nil"/>
              <w:bottom w:val="nil"/>
              <w:right w:val="nil"/>
            </w:tcBorders>
            <w:shd w:val="clear" w:color="000000" w:fill="FFFFFF"/>
            <w:noWrap/>
            <w:vAlign w:val="center"/>
            <w:hideMark/>
          </w:tcPr>
          <w:p w14:paraId="785E1775" w14:textId="4DB57446" w:rsidR="0089162A" w:rsidRPr="00E4655B" w:rsidRDefault="0089162A" w:rsidP="00D20851">
            <w:pPr>
              <w:pStyle w:val="TableTextRight"/>
            </w:pPr>
            <w:r>
              <w:t>44,026</w:t>
            </w:r>
          </w:p>
        </w:tc>
        <w:tc>
          <w:tcPr>
            <w:tcW w:w="521" w:type="pct"/>
            <w:tcBorders>
              <w:top w:val="nil"/>
              <w:left w:val="nil"/>
              <w:bottom w:val="nil"/>
              <w:right w:val="nil"/>
            </w:tcBorders>
            <w:shd w:val="clear" w:color="000000" w:fill="E6F2FF"/>
            <w:noWrap/>
            <w:vAlign w:val="center"/>
            <w:hideMark/>
          </w:tcPr>
          <w:p w14:paraId="4CB6D552" w14:textId="72FBF0AE" w:rsidR="0089162A" w:rsidRPr="00E4655B" w:rsidRDefault="0089162A" w:rsidP="00D20851">
            <w:pPr>
              <w:pStyle w:val="TableTextRight"/>
            </w:pPr>
            <w:r>
              <w:t>48,933</w:t>
            </w:r>
          </w:p>
        </w:tc>
        <w:tc>
          <w:tcPr>
            <w:tcW w:w="521" w:type="pct"/>
            <w:tcBorders>
              <w:top w:val="nil"/>
              <w:left w:val="nil"/>
              <w:bottom w:val="nil"/>
              <w:right w:val="nil"/>
            </w:tcBorders>
            <w:shd w:val="clear" w:color="000000" w:fill="FFFFFF"/>
            <w:noWrap/>
            <w:vAlign w:val="center"/>
            <w:hideMark/>
          </w:tcPr>
          <w:p w14:paraId="1D228155" w14:textId="1A852943" w:rsidR="0089162A" w:rsidRPr="00E4655B" w:rsidRDefault="0089162A" w:rsidP="00D20851">
            <w:pPr>
              <w:pStyle w:val="TableTextRight"/>
            </w:pPr>
            <w:r>
              <w:t>54,024</w:t>
            </w:r>
          </w:p>
        </w:tc>
        <w:tc>
          <w:tcPr>
            <w:tcW w:w="521" w:type="pct"/>
            <w:tcBorders>
              <w:top w:val="nil"/>
              <w:left w:val="nil"/>
              <w:bottom w:val="nil"/>
              <w:right w:val="nil"/>
            </w:tcBorders>
            <w:shd w:val="clear" w:color="000000" w:fill="FFFFFF"/>
            <w:noWrap/>
            <w:vAlign w:val="center"/>
            <w:hideMark/>
          </w:tcPr>
          <w:p w14:paraId="4FC86BDA" w14:textId="0BD61786" w:rsidR="0089162A" w:rsidRPr="00E4655B" w:rsidRDefault="0089162A" w:rsidP="00D20851">
            <w:pPr>
              <w:pStyle w:val="TableTextRight"/>
            </w:pPr>
            <w:r>
              <w:t>59,548</w:t>
            </w:r>
          </w:p>
        </w:tc>
        <w:tc>
          <w:tcPr>
            <w:tcW w:w="523" w:type="pct"/>
            <w:tcBorders>
              <w:top w:val="nil"/>
              <w:left w:val="nil"/>
              <w:bottom w:val="nil"/>
              <w:right w:val="nil"/>
            </w:tcBorders>
            <w:shd w:val="clear" w:color="000000" w:fill="FFFFFF"/>
            <w:noWrap/>
            <w:vAlign w:val="center"/>
            <w:hideMark/>
          </w:tcPr>
          <w:p w14:paraId="56DE5918" w14:textId="566576B6" w:rsidR="0089162A" w:rsidRPr="00E4655B" w:rsidRDefault="0089162A" w:rsidP="00D20851">
            <w:pPr>
              <w:pStyle w:val="TableTextRight"/>
            </w:pPr>
            <w:r>
              <w:t>65,671</w:t>
            </w:r>
          </w:p>
        </w:tc>
      </w:tr>
      <w:tr w:rsidR="0089162A" w:rsidRPr="00E4655B" w14:paraId="2D75379A" w14:textId="77777777" w:rsidTr="0089162A">
        <w:trPr>
          <w:trHeight w:val="225"/>
        </w:trPr>
        <w:tc>
          <w:tcPr>
            <w:tcW w:w="2391" w:type="pct"/>
            <w:tcBorders>
              <w:top w:val="nil"/>
              <w:left w:val="nil"/>
              <w:bottom w:val="nil"/>
              <w:right w:val="nil"/>
            </w:tcBorders>
            <w:shd w:val="clear" w:color="000000" w:fill="FFFFFF"/>
            <w:noWrap/>
            <w:vAlign w:val="center"/>
            <w:hideMark/>
          </w:tcPr>
          <w:p w14:paraId="25DA58E8" w14:textId="77777777" w:rsidR="0089162A" w:rsidRPr="00E4655B" w:rsidRDefault="0089162A" w:rsidP="00D20851">
            <w:pPr>
              <w:pStyle w:val="TableTextIndented"/>
            </w:pPr>
            <w:r w:rsidRPr="00E4655B">
              <w:t>Prepayments</w:t>
            </w:r>
          </w:p>
        </w:tc>
        <w:tc>
          <w:tcPr>
            <w:tcW w:w="521" w:type="pct"/>
            <w:tcBorders>
              <w:top w:val="nil"/>
              <w:left w:val="nil"/>
              <w:bottom w:val="nil"/>
              <w:right w:val="nil"/>
            </w:tcBorders>
            <w:shd w:val="clear" w:color="000000" w:fill="FFFFFF"/>
            <w:noWrap/>
            <w:vAlign w:val="center"/>
            <w:hideMark/>
          </w:tcPr>
          <w:p w14:paraId="44917A2C" w14:textId="392CF347" w:rsidR="0089162A" w:rsidRPr="00E4655B" w:rsidRDefault="0089162A" w:rsidP="00D20851">
            <w:pPr>
              <w:pStyle w:val="TableTextRight"/>
            </w:pPr>
            <w:r>
              <w:t>6,278</w:t>
            </w:r>
          </w:p>
        </w:tc>
        <w:tc>
          <w:tcPr>
            <w:tcW w:w="521" w:type="pct"/>
            <w:tcBorders>
              <w:top w:val="nil"/>
              <w:left w:val="nil"/>
              <w:bottom w:val="nil"/>
              <w:right w:val="nil"/>
            </w:tcBorders>
            <w:shd w:val="clear" w:color="000000" w:fill="E6F2FF"/>
            <w:noWrap/>
            <w:vAlign w:val="center"/>
            <w:hideMark/>
          </w:tcPr>
          <w:p w14:paraId="1C08C52D" w14:textId="4C66B522" w:rsidR="0089162A" w:rsidRPr="00E4655B" w:rsidRDefault="0089162A" w:rsidP="00D20851">
            <w:pPr>
              <w:pStyle w:val="TableTextRight"/>
            </w:pPr>
            <w:r>
              <w:t>6,468</w:t>
            </w:r>
          </w:p>
        </w:tc>
        <w:tc>
          <w:tcPr>
            <w:tcW w:w="521" w:type="pct"/>
            <w:tcBorders>
              <w:top w:val="nil"/>
              <w:left w:val="nil"/>
              <w:bottom w:val="nil"/>
              <w:right w:val="nil"/>
            </w:tcBorders>
            <w:shd w:val="clear" w:color="000000" w:fill="FFFFFF"/>
            <w:noWrap/>
            <w:vAlign w:val="center"/>
            <w:hideMark/>
          </w:tcPr>
          <w:p w14:paraId="17810500" w14:textId="742C4318" w:rsidR="0089162A" w:rsidRPr="00E4655B" w:rsidRDefault="0089162A" w:rsidP="00D20851">
            <w:pPr>
              <w:pStyle w:val="TableTextRight"/>
            </w:pPr>
            <w:r>
              <w:t>6,788</w:t>
            </w:r>
          </w:p>
        </w:tc>
        <w:tc>
          <w:tcPr>
            <w:tcW w:w="521" w:type="pct"/>
            <w:tcBorders>
              <w:top w:val="nil"/>
              <w:left w:val="nil"/>
              <w:bottom w:val="nil"/>
              <w:right w:val="nil"/>
            </w:tcBorders>
            <w:shd w:val="clear" w:color="000000" w:fill="FFFFFF"/>
            <w:noWrap/>
            <w:vAlign w:val="center"/>
            <w:hideMark/>
          </w:tcPr>
          <w:p w14:paraId="4BA98693" w14:textId="44DFE66F" w:rsidR="0089162A" w:rsidRPr="00E4655B" w:rsidRDefault="0089162A" w:rsidP="00D20851">
            <w:pPr>
              <w:pStyle w:val="TableTextRight"/>
            </w:pPr>
            <w:r>
              <w:t>7,028</w:t>
            </w:r>
          </w:p>
        </w:tc>
        <w:tc>
          <w:tcPr>
            <w:tcW w:w="523" w:type="pct"/>
            <w:tcBorders>
              <w:top w:val="nil"/>
              <w:left w:val="nil"/>
              <w:bottom w:val="nil"/>
              <w:right w:val="nil"/>
            </w:tcBorders>
            <w:shd w:val="clear" w:color="000000" w:fill="FFFFFF"/>
            <w:noWrap/>
            <w:vAlign w:val="center"/>
            <w:hideMark/>
          </w:tcPr>
          <w:p w14:paraId="419C8A5F" w14:textId="4FFB9CBB" w:rsidR="0089162A" w:rsidRPr="00E4655B" w:rsidRDefault="0089162A" w:rsidP="00D20851">
            <w:pPr>
              <w:pStyle w:val="TableTextRight"/>
            </w:pPr>
            <w:r>
              <w:t>7,483</w:t>
            </w:r>
          </w:p>
        </w:tc>
      </w:tr>
      <w:tr w:rsidR="0089162A" w:rsidRPr="00E4655B" w14:paraId="6954D18E" w14:textId="77777777" w:rsidTr="0089162A">
        <w:trPr>
          <w:trHeight w:val="225"/>
        </w:trPr>
        <w:tc>
          <w:tcPr>
            <w:tcW w:w="2391" w:type="pct"/>
            <w:tcBorders>
              <w:top w:val="nil"/>
              <w:left w:val="nil"/>
              <w:bottom w:val="nil"/>
              <w:right w:val="nil"/>
            </w:tcBorders>
            <w:shd w:val="clear" w:color="000000" w:fill="FFFFFF"/>
            <w:noWrap/>
            <w:vAlign w:val="center"/>
            <w:hideMark/>
          </w:tcPr>
          <w:p w14:paraId="04E2E7AA" w14:textId="77777777" w:rsidR="0089162A" w:rsidRPr="00E4655B" w:rsidRDefault="0089162A" w:rsidP="00D20851">
            <w:pPr>
              <w:pStyle w:val="TableTextIndented"/>
            </w:pPr>
            <w:r w:rsidRPr="00E4655B">
              <w:t>Other</w:t>
            </w:r>
          </w:p>
        </w:tc>
        <w:tc>
          <w:tcPr>
            <w:tcW w:w="521" w:type="pct"/>
            <w:tcBorders>
              <w:top w:val="nil"/>
              <w:left w:val="nil"/>
              <w:bottom w:val="nil"/>
              <w:right w:val="nil"/>
            </w:tcBorders>
            <w:shd w:val="clear" w:color="000000" w:fill="FFFFFF"/>
            <w:noWrap/>
            <w:vAlign w:val="center"/>
            <w:hideMark/>
          </w:tcPr>
          <w:p w14:paraId="0FDE1AA2" w14:textId="7DC591DD" w:rsidR="0089162A" w:rsidRPr="00E4655B" w:rsidRDefault="0089162A" w:rsidP="00D20851">
            <w:pPr>
              <w:pStyle w:val="TableTextRight"/>
            </w:pPr>
            <w:r>
              <w:t>25,123</w:t>
            </w:r>
          </w:p>
        </w:tc>
        <w:tc>
          <w:tcPr>
            <w:tcW w:w="521" w:type="pct"/>
            <w:tcBorders>
              <w:top w:val="nil"/>
              <w:left w:val="nil"/>
              <w:bottom w:val="nil"/>
              <w:right w:val="nil"/>
            </w:tcBorders>
            <w:shd w:val="clear" w:color="000000" w:fill="E6F2FF"/>
            <w:noWrap/>
            <w:vAlign w:val="center"/>
            <w:hideMark/>
          </w:tcPr>
          <w:p w14:paraId="56B08354" w14:textId="1EEABE61" w:rsidR="0089162A" w:rsidRPr="00E4655B" w:rsidRDefault="0089162A" w:rsidP="00D20851">
            <w:pPr>
              <w:pStyle w:val="TableTextRight"/>
            </w:pPr>
            <w:r>
              <w:t>25,442</w:t>
            </w:r>
          </w:p>
        </w:tc>
        <w:tc>
          <w:tcPr>
            <w:tcW w:w="521" w:type="pct"/>
            <w:tcBorders>
              <w:top w:val="nil"/>
              <w:left w:val="nil"/>
              <w:bottom w:val="nil"/>
              <w:right w:val="nil"/>
            </w:tcBorders>
            <w:shd w:val="clear" w:color="000000" w:fill="FFFFFF"/>
            <w:noWrap/>
            <w:vAlign w:val="center"/>
            <w:hideMark/>
          </w:tcPr>
          <w:p w14:paraId="4CAB1C7C" w14:textId="554DDADE" w:rsidR="0089162A" w:rsidRPr="00E4655B" w:rsidRDefault="0089162A" w:rsidP="00D20851">
            <w:pPr>
              <w:pStyle w:val="TableTextRight"/>
            </w:pPr>
            <w:r>
              <w:t>26,421</w:t>
            </w:r>
          </w:p>
        </w:tc>
        <w:tc>
          <w:tcPr>
            <w:tcW w:w="521" w:type="pct"/>
            <w:tcBorders>
              <w:top w:val="nil"/>
              <w:left w:val="nil"/>
              <w:bottom w:val="nil"/>
              <w:right w:val="nil"/>
            </w:tcBorders>
            <w:shd w:val="clear" w:color="000000" w:fill="FFFFFF"/>
            <w:noWrap/>
            <w:vAlign w:val="center"/>
            <w:hideMark/>
          </w:tcPr>
          <w:p w14:paraId="5B709B42" w14:textId="6ECDECEA" w:rsidR="0089162A" w:rsidRPr="00E4655B" w:rsidRDefault="0089162A" w:rsidP="00D20851">
            <w:pPr>
              <w:pStyle w:val="TableTextRight"/>
            </w:pPr>
            <w:r>
              <w:t>27,439</w:t>
            </w:r>
          </w:p>
        </w:tc>
        <w:tc>
          <w:tcPr>
            <w:tcW w:w="523" w:type="pct"/>
            <w:tcBorders>
              <w:top w:val="nil"/>
              <w:left w:val="nil"/>
              <w:bottom w:val="nil"/>
              <w:right w:val="nil"/>
            </w:tcBorders>
            <w:shd w:val="clear" w:color="000000" w:fill="FFFFFF"/>
            <w:noWrap/>
            <w:vAlign w:val="center"/>
            <w:hideMark/>
          </w:tcPr>
          <w:p w14:paraId="0A01277E" w14:textId="36749F8A" w:rsidR="0089162A" w:rsidRPr="00E4655B" w:rsidRDefault="0089162A" w:rsidP="00D20851">
            <w:pPr>
              <w:pStyle w:val="TableTextRight"/>
            </w:pPr>
            <w:r>
              <w:t>28,644</w:t>
            </w:r>
          </w:p>
        </w:tc>
      </w:tr>
      <w:tr w:rsidR="0089162A" w:rsidRPr="00E4655B" w14:paraId="405CBBE5" w14:textId="77777777" w:rsidTr="0089162A">
        <w:trPr>
          <w:trHeight w:val="225"/>
        </w:trPr>
        <w:tc>
          <w:tcPr>
            <w:tcW w:w="2391" w:type="pct"/>
            <w:tcBorders>
              <w:top w:val="nil"/>
              <w:left w:val="nil"/>
              <w:bottom w:val="nil"/>
              <w:right w:val="nil"/>
            </w:tcBorders>
            <w:shd w:val="clear" w:color="000000" w:fill="FFFFFF"/>
            <w:noWrap/>
            <w:vAlign w:val="center"/>
            <w:hideMark/>
          </w:tcPr>
          <w:p w14:paraId="75F82B0B" w14:textId="77777777" w:rsidR="0089162A" w:rsidRPr="00E4655B" w:rsidRDefault="0089162A" w:rsidP="00D20851">
            <w:pPr>
              <w:pStyle w:val="TableTextIndented"/>
              <w:rPr>
                <w:i/>
              </w:rPr>
            </w:pPr>
            <w:r w:rsidRPr="00E4655B">
              <w:rPr>
                <w:i/>
              </w:rPr>
              <w:t>less</w:t>
            </w:r>
            <w:r w:rsidRPr="00E4655B">
              <w:t xml:space="preserve"> Impairment allowance</w:t>
            </w:r>
          </w:p>
        </w:tc>
        <w:tc>
          <w:tcPr>
            <w:tcW w:w="521" w:type="pct"/>
            <w:tcBorders>
              <w:top w:val="nil"/>
              <w:left w:val="nil"/>
              <w:bottom w:val="single" w:sz="4" w:space="0" w:color="293F5B"/>
              <w:right w:val="nil"/>
            </w:tcBorders>
            <w:shd w:val="clear" w:color="000000" w:fill="FFFFFF"/>
            <w:noWrap/>
            <w:vAlign w:val="center"/>
            <w:hideMark/>
          </w:tcPr>
          <w:p w14:paraId="4C984BDE" w14:textId="69A0A3AF" w:rsidR="0089162A" w:rsidRPr="00E4655B" w:rsidRDefault="0089162A" w:rsidP="00D20851">
            <w:pPr>
              <w:pStyle w:val="TableTextRight"/>
            </w:pPr>
            <w:r>
              <w:t>4,219</w:t>
            </w:r>
          </w:p>
        </w:tc>
        <w:tc>
          <w:tcPr>
            <w:tcW w:w="521" w:type="pct"/>
            <w:tcBorders>
              <w:top w:val="nil"/>
              <w:left w:val="nil"/>
              <w:bottom w:val="single" w:sz="4" w:space="0" w:color="293F5B"/>
              <w:right w:val="nil"/>
            </w:tcBorders>
            <w:shd w:val="clear" w:color="000000" w:fill="E6F2FF"/>
            <w:noWrap/>
            <w:vAlign w:val="center"/>
            <w:hideMark/>
          </w:tcPr>
          <w:p w14:paraId="09A35BB1" w14:textId="6ABCC8FC" w:rsidR="0089162A" w:rsidRPr="00E4655B" w:rsidRDefault="0089162A" w:rsidP="00D20851">
            <w:pPr>
              <w:pStyle w:val="TableTextRight"/>
            </w:pPr>
            <w:r>
              <w:t>4,318</w:t>
            </w:r>
          </w:p>
        </w:tc>
        <w:tc>
          <w:tcPr>
            <w:tcW w:w="521" w:type="pct"/>
            <w:tcBorders>
              <w:top w:val="nil"/>
              <w:left w:val="nil"/>
              <w:bottom w:val="single" w:sz="4" w:space="0" w:color="293F5B"/>
              <w:right w:val="nil"/>
            </w:tcBorders>
            <w:shd w:val="clear" w:color="000000" w:fill="FFFFFF"/>
            <w:noWrap/>
            <w:vAlign w:val="center"/>
            <w:hideMark/>
          </w:tcPr>
          <w:p w14:paraId="5B01592F" w14:textId="6B9B745A" w:rsidR="0089162A" w:rsidRPr="00E4655B" w:rsidRDefault="0089162A" w:rsidP="00D20851">
            <w:pPr>
              <w:pStyle w:val="TableTextRight"/>
            </w:pPr>
            <w:r>
              <w:t>4,414</w:t>
            </w:r>
          </w:p>
        </w:tc>
        <w:tc>
          <w:tcPr>
            <w:tcW w:w="521" w:type="pct"/>
            <w:tcBorders>
              <w:top w:val="nil"/>
              <w:left w:val="nil"/>
              <w:bottom w:val="single" w:sz="4" w:space="0" w:color="293F5B"/>
              <w:right w:val="nil"/>
            </w:tcBorders>
            <w:shd w:val="clear" w:color="000000" w:fill="FFFFFF"/>
            <w:noWrap/>
            <w:vAlign w:val="center"/>
            <w:hideMark/>
          </w:tcPr>
          <w:p w14:paraId="5DC74FA4" w14:textId="2BB559AC" w:rsidR="0089162A" w:rsidRPr="00E4655B" w:rsidRDefault="0089162A" w:rsidP="00D20851">
            <w:pPr>
              <w:pStyle w:val="TableTextRight"/>
            </w:pPr>
            <w:r>
              <w:t>4,505</w:t>
            </w:r>
          </w:p>
        </w:tc>
        <w:tc>
          <w:tcPr>
            <w:tcW w:w="523" w:type="pct"/>
            <w:tcBorders>
              <w:top w:val="nil"/>
              <w:left w:val="nil"/>
              <w:bottom w:val="single" w:sz="4" w:space="0" w:color="293F5B"/>
              <w:right w:val="nil"/>
            </w:tcBorders>
            <w:shd w:val="clear" w:color="000000" w:fill="FFFFFF"/>
            <w:noWrap/>
            <w:vAlign w:val="center"/>
            <w:hideMark/>
          </w:tcPr>
          <w:p w14:paraId="4247322D" w14:textId="4B364E26" w:rsidR="0089162A" w:rsidRPr="00E4655B" w:rsidRDefault="0089162A" w:rsidP="00D20851">
            <w:pPr>
              <w:pStyle w:val="TableTextRight"/>
            </w:pPr>
            <w:r>
              <w:t>4,590</w:t>
            </w:r>
          </w:p>
        </w:tc>
      </w:tr>
      <w:tr w:rsidR="0089162A" w:rsidRPr="00E4655B" w14:paraId="68542DE0" w14:textId="77777777" w:rsidTr="0089162A">
        <w:trPr>
          <w:trHeight w:val="225"/>
        </w:trPr>
        <w:tc>
          <w:tcPr>
            <w:tcW w:w="2391" w:type="pct"/>
            <w:tcBorders>
              <w:top w:val="nil"/>
              <w:left w:val="nil"/>
              <w:bottom w:val="single" w:sz="4" w:space="0" w:color="293F5B"/>
              <w:right w:val="nil"/>
            </w:tcBorders>
            <w:shd w:val="clear" w:color="000000" w:fill="FFFFFF"/>
            <w:noWrap/>
            <w:vAlign w:val="center"/>
            <w:hideMark/>
          </w:tcPr>
          <w:p w14:paraId="40A107F9" w14:textId="77777777" w:rsidR="0089162A" w:rsidRPr="00E4655B" w:rsidRDefault="0089162A" w:rsidP="00D20851">
            <w:pPr>
              <w:pStyle w:val="TableTextLeft"/>
              <w:rPr>
                <w:b/>
              </w:rPr>
            </w:pPr>
            <w:r w:rsidRPr="00E4655B">
              <w:rPr>
                <w:b/>
              </w:rPr>
              <w:t>Total other receivables</w:t>
            </w:r>
          </w:p>
        </w:tc>
        <w:tc>
          <w:tcPr>
            <w:tcW w:w="521" w:type="pct"/>
            <w:tcBorders>
              <w:top w:val="nil"/>
              <w:left w:val="nil"/>
              <w:bottom w:val="single" w:sz="4" w:space="0" w:color="293F5B"/>
              <w:right w:val="nil"/>
            </w:tcBorders>
            <w:shd w:val="clear" w:color="000000" w:fill="FFFFFF"/>
            <w:noWrap/>
            <w:vAlign w:val="center"/>
            <w:hideMark/>
          </w:tcPr>
          <w:p w14:paraId="7CBBB5BE" w14:textId="0897EA4C" w:rsidR="0089162A" w:rsidRPr="00E4655B" w:rsidRDefault="0089162A" w:rsidP="00D20851">
            <w:pPr>
              <w:pStyle w:val="TableTextRight"/>
              <w:rPr>
                <w:b/>
              </w:rPr>
            </w:pPr>
            <w:r>
              <w:rPr>
                <w:b/>
              </w:rPr>
              <w:t>79,105</w:t>
            </w:r>
          </w:p>
        </w:tc>
        <w:tc>
          <w:tcPr>
            <w:tcW w:w="521" w:type="pct"/>
            <w:tcBorders>
              <w:top w:val="nil"/>
              <w:left w:val="nil"/>
              <w:bottom w:val="single" w:sz="4" w:space="0" w:color="293F5B"/>
              <w:right w:val="nil"/>
            </w:tcBorders>
            <w:shd w:val="clear" w:color="000000" w:fill="E6F2FF"/>
            <w:noWrap/>
            <w:vAlign w:val="center"/>
            <w:hideMark/>
          </w:tcPr>
          <w:p w14:paraId="48383581" w14:textId="057C5910" w:rsidR="0089162A" w:rsidRPr="00E4655B" w:rsidRDefault="0089162A" w:rsidP="00D20851">
            <w:pPr>
              <w:pStyle w:val="TableTextRight"/>
              <w:rPr>
                <w:b/>
              </w:rPr>
            </w:pPr>
            <w:r>
              <w:rPr>
                <w:b/>
              </w:rPr>
              <w:t>84,638</w:t>
            </w:r>
          </w:p>
        </w:tc>
        <w:tc>
          <w:tcPr>
            <w:tcW w:w="521" w:type="pct"/>
            <w:tcBorders>
              <w:top w:val="nil"/>
              <w:left w:val="nil"/>
              <w:bottom w:val="single" w:sz="4" w:space="0" w:color="293F5B"/>
              <w:right w:val="nil"/>
            </w:tcBorders>
            <w:shd w:val="clear" w:color="000000" w:fill="FFFFFF"/>
            <w:noWrap/>
            <w:vAlign w:val="center"/>
            <w:hideMark/>
          </w:tcPr>
          <w:p w14:paraId="2F697CE4" w14:textId="2F02F12E" w:rsidR="0089162A" w:rsidRPr="00E4655B" w:rsidRDefault="0089162A" w:rsidP="00D20851">
            <w:pPr>
              <w:pStyle w:val="TableTextRight"/>
              <w:rPr>
                <w:b/>
              </w:rPr>
            </w:pPr>
            <w:r>
              <w:rPr>
                <w:b/>
              </w:rPr>
              <w:t>91,128</w:t>
            </w:r>
          </w:p>
        </w:tc>
        <w:tc>
          <w:tcPr>
            <w:tcW w:w="521" w:type="pct"/>
            <w:tcBorders>
              <w:top w:val="nil"/>
              <w:left w:val="nil"/>
              <w:bottom w:val="single" w:sz="4" w:space="0" w:color="293F5B"/>
              <w:right w:val="nil"/>
            </w:tcBorders>
            <w:shd w:val="clear" w:color="000000" w:fill="FFFFFF"/>
            <w:noWrap/>
            <w:vAlign w:val="center"/>
            <w:hideMark/>
          </w:tcPr>
          <w:p w14:paraId="7CE9074C" w14:textId="409F15D9" w:rsidR="0089162A" w:rsidRPr="00E4655B" w:rsidRDefault="0089162A" w:rsidP="00D20851">
            <w:pPr>
              <w:pStyle w:val="TableTextRight"/>
              <w:rPr>
                <w:b/>
              </w:rPr>
            </w:pPr>
            <w:r>
              <w:rPr>
                <w:b/>
              </w:rPr>
              <w:t>97,971</w:t>
            </w:r>
          </w:p>
        </w:tc>
        <w:tc>
          <w:tcPr>
            <w:tcW w:w="523" w:type="pct"/>
            <w:tcBorders>
              <w:top w:val="nil"/>
              <w:left w:val="nil"/>
              <w:bottom w:val="single" w:sz="4" w:space="0" w:color="293F5B"/>
              <w:right w:val="nil"/>
            </w:tcBorders>
            <w:shd w:val="clear" w:color="000000" w:fill="FFFFFF"/>
            <w:noWrap/>
            <w:vAlign w:val="center"/>
            <w:hideMark/>
          </w:tcPr>
          <w:p w14:paraId="12C9F1F6" w14:textId="1023C4FD" w:rsidR="0089162A" w:rsidRPr="00E4655B" w:rsidRDefault="0089162A" w:rsidP="00D20851">
            <w:pPr>
              <w:pStyle w:val="TableTextRight"/>
              <w:rPr>
                <w:b/>
              </w:rPr>
            </w:pPr>
            <w:r>
              <w:rPr>
                <w:b/>
              </w:rPr>
              <w:t>105,736</w:t>
            </w:r>
          </w:p>
        </w:tc>
      </w:tr>
    </w:tbl>
    <w:p w14:paraId="17B00BB3" w14:textId="77777777" w:rsidR="00571D97" w:rsidRPr="00EA746C" w:rsidRDefault="00571D97" w:rsidP="00571D97">
      <w:pPr>
        <w:pStyle w:val="SingleParagraph"/>
      </w:pPr>
    </w:p>
    <w:p w14:paraId="43051EC6" w14:textId="34AF2200" w:rsidR="00D8138E" w:rsidRPr="00663990" w:rsidRDefault="000D0B7D" w:rsidP="00BF0203">
      <w:pPr>
        <w:pStyle w:val="NoteTableHeading"/>
        <w:rPr>
          <w:rFonts w:eastAsiaTheme="minorHAnsi"/>
        </w:rPr>
      </w:pPr>
      <w:r>
        <w:t>Note </w:t>
      </w:r>
      <w:r w:rsidR="00D8138E" w:rsidRPr="00EA746C">
        <w:t>14: Investments, loans and placements</w:t>
      </w:r>
    </w:p>
    <w:tbl>
      <w:tblPr>
        <w:tblpPr w:leftFromText="180" w:rightFromText="180" w:vertAnchor="text" w:horzAnchor="margin" w:tblpY="1"/>
        <w:tblW w:w="5000" w:type="pct"/>
        <w:tblLook w:val="04A0" w:firstRow="1" w:lastRow="0" w:firstColumn="1" w:lastColumn="0" w:noHBand="0" w:noVBand="1"/>
      </w:tblPr>
      <w:tblGrid>
        <w:gridCol w:w="3687"/>
        <w:gridCol w:w="804"/>
        <w:gridCol w:w="804"/>
        <w:gridCol w:w="804"/>
        <w:gridCol w:w="804"/>
        <w:gridCol w:w="807"/>
      </w:tblGrid>
      <w:tr w:rsidR="008D22FD" w:rsidRPr="008D22FD" w14:paraId="67F21824" w14:textId="77777777" w:rsidTr="0089162A">
        <w:trPr>
          <w:trHeight w:val="225"/>
        </w:trPr>
        <w:tc>
          <w:tcPr>
            <w:tcW w:w="2392" w:type="pct"/>
            <w:tcBorders>
              <w:top w:val="single" w:sz="4" w:space="0" w:color="293F5B"/>
              <w:left w:val="nil"/>
              <w:bottom w:val="nil"/>
              <w:right w:val="nil"/>
            </w:tcBorders>
            <w:shd w:val="clear" w:color="000000" w:fill="FFFFFF"/>
            <w:noWrap/>
            <w:vAlign w:val="center"/>
            <w:hideMark/>
          </w:tcPr>
          <w:p w14:paraId="0E4E32ED" w14:textId="77777777" w:rsidR="008D22FD" w:rsidRPr="008D22FD" w:rsidRDefault="008D22FD" w:rsidP="00ED0EB0">
            <w:pPr>
              <w:pStyle w:val="TableTextLeft"/>
            </w:pPr>
            <w:r w:rsidRPr="008D22FD">
              <w:t> </w:t>
            </w:r>
          </w:p>
        </w:tc>
        <w:tc>
          <w:tcPr>
            <w:tcW w:w="2608" w:type="pct"/>
            <w:gridSpan w:val="5"/>
            <w:tcBorders>
              <w:top w:val="single" w:sz="4" w:space="0" w:color="293F5B"/>
              <w:left w:val="nil"/>
              <w:bottom w:val="single" w:sz="4" w:space="0" w:color="293F5B"/>
              <w:right w:val="nil"/>
            </w:tcBorders>
            <w:shd w:val="clear" w:color="000000" w:fill="FFFFFF"/>
            <w:noWrap/>
            <w:vAlign w:val="center"/>
            <w:hideMark/>
          </w:tcPr>
          <w:p w14:paraId="6904605F" w14:textId="77777777" w:rsidR="008D22FD" w:rsidRPr="00D20851" w:rsidRDefault="008D22FD" w:rsidP="00D20851">
            <w:pPr>
              <w:pStyle w:val="TableTextCentred"/>
            </w:pPr>
            <w:r w:rsidRPr="00D20851">
              <w:t>Estimates</w:t>
            </w:r>
          </w:p>
        </w:tc>
      </w:tr>
      <w:tr w:rsidR="008D22FD" w:rsidRPr="008D22FD" w14:paraId="51026712" w14:textId="77777777" w:rsidTr="0089162A">
        <w:trPr>
          <w:trHeight w:val="225"/>
        </w:trPr>
        <w:tc>
          <w:tcPr>
            <w:tcW w:w="2392" w:type="pct"/>
            <w:tcBorders>
              <w:top w:val="nil"/>
              <w:left w:val="nil"/>
              <w:bottom w:val="nil"/>
              <w:right w:val="nil"/>
            </w:tcBorders>
            <w:shd w:val="clear" w:color="000000" w:fill="FFFFFF"/>
            <w:noWrap/>
            <w:vAlign w:val="center"/>
            <w:hideMark/>
          </w:tcPr>
          <w:p w14:paraId="4D95120A" w14:textId="77777777" w:rsidR="008D22FD" w:rsidRPr="00485129" w:rsidRDefault="008D22FD" w:rsidP="00ED0EB0">
            <w:pPr>
              <w:pStyle w:val="TableTextLeft"/>
            </w:pPr>
            <w:r w:rsidRPr="00485129">
              <w:t> </w:t>
            </w:r>
          </w:p>
        </w:tc>
        <w:tc>
          <w:tcPr>
            <w:tcW w:w="521" w:type="pct"/>
            <w:tcBorders>
              <w:top w:val="nil"/>
              <w:left w:val="nil"/>
              <w:bottom w:val="nil"/>
              <w:right w:val="nil"/>
            </w:tcBorders>
            <w:shd w:val="clear" w:color="000000" w:fill="FFFFFF"/>
            <w:noWrap/>
            <w:vAlign w:val="center"/>
            <w:hideMark/>
          </w:tcPr>
          <w:p w14:paraId="6AE1F83A" w14:textId="45D0C19A" w:rsidR="008D22FD" w:rsidRPr="00485129" w:rsidRDefault="008D22FD" w:rsidP="00D20851">
            <w:pPr>
              <w:pStyle w:val="TableTextRight"/>
            </w:pPr>
            <w:r w:rsidRPr="00485129">
              <w:t>2023</w:t>
            </w:r>
            <w:r w:rsidR="00325E1E">
              <w:noBreakHyphen/>
            </w:r>
            <w:r w:rsidRPr="00485129">
              <w:t>24</w:t>
            </w:r>
          </w:p>
        </w:tc>
        <w:tc>
          <w:tcPr>
            <w:tcW w:w="521" w:type="pct"/>
            <w:tcBorders>
              <w:top w:val="nil"/>
              <w:left w:val="nil"/>
              <w:bottom w:val="nil"/>
              <w:right w:val="nil"/>
            </w:tcBorders>
            <w:shd w:val="clear" w:color="000000" w:fill="E6F2FF"/>
            <w:noWrap/>
            <w:vAlign w:val="center"/>
            <w:hideMark/>
          </w:tcPr>
          <w:p w14:paraId="79FCA6CD" w14:textId="3DA4B1D8" w:rsidR="008D22FD" w:rsidRPr="00485129" w:rsidRDefault="008D22FD" w:rsidP="00D20851">
            <w:pPr>
              <w:pStyle w:val="TableTextRight"/>
            </w:pPr>
            <w:r w:rsidRPr="00485129">
              <w:t>2024</w:t>
            </w:r>
            <w:r w:rsidR="00325E1E">
              <w:noBreakHyphen/>
            </w:r>
            <w:r w:rsidRPr="00485129">
              <w:t>25</w:t>
            </w:r>
          </w:p>
        </w:tc>
        <w:tc>
          <w:tcPr>
            <w:tcW w:w="521" w:type="pct"/>
            <w:tcBorders>
              <w:top w:val="nil"/>
              <w:left w:val="nil"/>
              <w:bottom w:val="nil"/>
              <w:right w:val="nil"/>
            </w:tcBorders>
            <w:shd w:val="clear" w:color="000000" w:fill="FFFFFF"/>
            <w:noWrap/>
            <w:vAlign w:val="center"/>
            <w:hideMark/>
          </w:tcPr>
          <w:p w14:paraId="6C980FAA" w14:textId="3B1D0D07" w:rsidR="008D22FD" w:rsidRPr="00485129" w:rsidRDefault="008D22FD" w:rsidP="00D20851">
            <w:pPr>
              <w:pStyle w:val="TableTextRight"/>
            </w:pPr>
            <w:r w:rsidRPr="00485129">
              <w:t>2025</w:t>
            </w:r>
            <w:r w:rsidR="00325E1E">
              <w:noBreakHyphen/>
            </w:r>
            <w:r w:rsidRPr="00485129">
              <w:t>26</w:t>
            </w:r>
          </w:p>
        </w:tc>
        <w:tc>
          <w:tcPr>
            <w:tcW w:w="521" w:type="pct"/>
            <w:tcBorders>
              <w:top w:val="nil"/>
              <w:left w:val="nil"/>
              <w:bottom w:val="nil"/>
              <w:right w:val="nil"/>
            </w:tcBorders>
            <w:shd w:val="clear" w:color="000000" w:fill="FFFFFF"/>
            <w:noWrap/>
            <w:vAlign w:val="center"/>
            <w:hideMark/>
          </w:tcPr>
          <w:p w14:paraId="209DDD14" w14:textId="108BAF11" w:rsidR="008D22FD" w:rsidRPr="00485129" w:rsidRDefault="008D22FD" w:rsidP="00D20851">
            <w:pPr>
              <w:pStyle w:val="TableTextRight"/>
            </w:pPr>
            <w:r w:rsidRPr="00485129">
              <w:t>2026</w:t>
            </w:r>
            <w:r w:rsidR="00325E1E">
              <w:noBreakHyphen/>
            </w:r>
            <w:r w:rsidRPr="00485129">
              <w:t>27</w:t>
            </w:r>
          </w:p>
        </w:tc>
        <w:tc>
          <w:tcPr>
            <w:tcW w:w="522" w:type="pct"/>
            <w:tcBorders>
              <w:top w:val="nil"/>
              <w:left w:val="nil"/>
              <w:bottom w:val="nil"/>
              <w:right w:val="nil"/>
            </w:tcBorders>
            <w:shd w:val="clear" w:color="000000" w:fill="FFFFFF"/>
            <w:noWrap/>
            <w:vAlign w:val="center"/>
            <w:hideMark/>
          </w:tcPr>
          <w:p w14:paraId="63370687" w14:textId="640B49C4" w:rsidR="008D22FD" w:rsidRPr="00485129" w:rsidRDefault="008D22FD" w:rsidP="00D20851">
            <w:pPr>
              <w:pStyle w:val="TableTextRight"/>
              <w:rPr>
                <w:color w:val="000000"/>
              </w:rPr>
            </w:pPr>
            <w:r w:rsidRPr="00485129">
              <w:rPr>
                <w:color w:val="000000"/>
              </w:rPr>
              <w:t>2027</w:t>
            </w:r>
            <w:r w:rsidR="00325E1E">
              <w:rPr>
                <w:color w:val="000000"/>
              </w:rPr>
              <w:noBreakHyphen/>
            </w:r>
            <w:r w:rsidRPr="00485129">
              <w:rPr>
                <w:color w:val="000000"/>
              </w:rPr>
              <w:t>28</w:t>
            </w:r>
          </w:p>
        </w:tc>
      </w:tr>
      <w:tr w:rsidR="008D22FD" w:rsidRPr="008D22FD" w14:paraId="76A2FA14" w14:textId="77777777" w:rsidTr="0089162A">
        <w:trPr>
          <w:trHeight w:val="225"/>
        </w:trPr>
        <w:tc>
          <w:tcPr>
            <w:tcW w:w="2392" w:type="pct"/>
            <w:tcBorders>
              <w:top w:val="nil"/>
              <w:left w:val="nil"/>
              <w:bottom w:val="nil"/>
              <w:right w:val="nil"/>
            </w:tcBorders>
            <w:shd w:val="clear" w:color="000000" w:fill="FFFFFF"/>
            <w:noWrap/>
            <w:vAlign w:val="center"/>
            <w:hideMark/>
          </w:tcPr>
          <w:p w14:paraId="64390B4F" w14:textId="77777777" w:rsidR="008D22FD" w:rsidRPr="00485129" w:rsidRDefault="008D22FD" w:rsidP="00ED0EB0">
            <w:pPr>
              <w:pStyle w:val="TableTextLeft"/>
            </w:pPr>
            <w:r w:rsidRPr="00485129">
              <w:t> </w:t>
            </w:r>
          </w:p>
        </w:tc>
        <w:tc>
          <w:tcPr>
            <w:tcW w:w="521" w:type="pct"/>
            <w:tcBorders>
              <w:top w:val="nil"/>
              <w:left w:val="nil"/>
              <w:bottom w:val="single" w:sz="4" w:space="0" w:color="293F5B"/>
              <w:right w:val="nil"/>
            </w:tcBorders>
            <w:shd w:val="clear" w:color="000000" w:fill="FFFFFF"/>
            <w:noWrap/>
            <w:vAlign w:val="center"/>
            <w:hideMark/>
          </w:tcPr>
          <w:p w14:paraId="7B73B382" w14:textId="77777777" w:rsidR="008D22FD" w:rsidRPr="00485129" w:rsidRDefault="008D22FD" w:rsidP="00D20851">
            <w:pPr>
              <w:pStyle w:val="TableTextRight"/>
              <w:rPr>
                <w:color w:val="000000"/>
              </w:rPr>
            </w:pPr>
            <w:r w:rsidRPr="00485129">
              <w:rPr>
                <w:color w:val="000000"/>
              </w:rPr>
              <w:t>$m</w:t>
            </w:r>
          </w:p>
        </w:tc>
        <w:tc>
          <w:tcPr>
            <w:tcW w:w="521" w:type="pct"/>
            <w:tcBorders>
              <w:top w:val="nil"/>
              <w:left w:val="nil"/>
              <w:bottom w:val="single" w:sz="4" w:space="0" w:color="293F5B"/>
              <w:right w:val="nil"/>
            </w:tcBorders>
            <w:shd w:val="clear" w:color="000000" w:fill="E6F2FF"/>
            <w:noWrap/>
            <w:vAlign w:val="center"/>
            <w:hideMark/>
          </w:tcPr>
          <w:p w14:paraId="20BA6BF4" w14:textId="77777777" w:rsidR="008D22FD" w:rsidRPr="00485129" w:rsidRDefault="008D22FD" w:rsidP="00D20851">
            <w:pPr>
              <w:pStyle w:val="TableTextRight"/>
              <w:rPr>
                <w:color w:val="000000"/>
              </w:rPr>
            </w:pPr>
            <w:r w:rsidRPr="00485129">
              <w:rPr>
                <w:color w:val="000000"/>
              </w:rPr>
              <w:t>$m</w:t>
            </w:r>
          </w:p>
        </w:tc>
        <w:tc>
          <w:tcPr>
            <w:tcW w:w="521" w:type="pct"/>
            <w:tcBorders>
              <w:top w:val="nil"/>
              <w:left w:val="nil"/>
              <w:bottom w:val="single" w:sz="4" w:space="0" w:color="293F5B"/>
              <w:right w:val="nil"/>
            </w:tcBorders>
            <w:shd w:val="clear" w:color="000000" w:fill="FFFFFF"/>
            <w:noWrap/>
            <w:vAlign w:val="center"/>
            <w:hideMark/>
          </w:tcPr>
          <w:p w14:paraId="2ACC2E82" w14:textId="77777777" w:rsidR="008D22FD" w:rsidRPr="00485129" w:rsidRDefault="008D22FD" w:rsidP="00D20851">
            <w:pPr>
              <w:pStyle w:val="TableTextRight"/>
              <w:rPr>
                <w:color w:val="000000"/>
              </w:rPr>
            </w:pPr>
            <w:r w:rsidRPr="00485129">
              <w:rPr>
                <w:color w:val="000000"/>
              </w:rPr>
              <w:t>$m</w:t>
            </w:r>
          </w:p>
        </w:tc>
        <w:tc>
          <w:tcPr>
            <w:tcW w:w="521" w:type="pct"/>
            <w:tcBorders>
              <w:top w:val="nil"/>
              <w:left w:val="nil"/>
              <w:bottom w:val="single" w:sz="4" w:space="0" w:color="293F5B"/>
              <w:right w:val="nil"/>
            </w:tcBorders>
            <w:shd w:val="clear" w:color="000000" w:fill="FFFFFF"/>
            <w:noWrap/>
            <w:vAlign w:val="center"/>
            <w:hideMark/>
          </w:tcPr>
          <w:p w14:paraId="7620F3E9" w14:textId="77777777" w:rsidR="008D22FD" w:rsidRPr="00485129" w:rsidRDefault="008D22FD" w:rsidP="00D20851">
            <w:pPr>
              <w:pStyle w:val="TableTextRight"/>
              <w:rPr>
                <w:color w:val="000000"/>
              </w:rPr>
            </w:pPr>
            <w:r w:rsidRPr="00485129">
              <w:rPr>
                <w:color w:val="000000"/>
              </w:rPr>
              <w:t>$m</w:t>
            </w:r>
          </w:p>
        </w:tc>
        <w:tc>
          <w:tcPr>
            <w:tcW w:w="522" w:type="pct"/>
            <w:tcBorders>
              <w:top w:val="nil"/>
              <w:left w:val="nil"/>
              <w:bottom w:val="single" w:sz="4" w:space="0" w:color="293F5B"/>
              <w:right w:val="nil"/>
            </w:tcBorders>
            <w:shd w:val="clear" w:color="000000" w:fill="FFFFFF"/>
            <w:noWrap/>
            <w:vAlign w:val="center"/>
            <w:hideMark/>
          </w:tcPr>
          <w:p w14:paraId="693A24CF" w14:textId="77777777" w:rsidR="008D22FD" w:rsidRPr="00485129" w:rsidRDefault="008D22FD" w:rsidP="00D20851">
            <w:pPr>
              <w:pStyle w:val="TableTextRight"/>
              <w:rPr>
                <w:color w:val="000000"/>
              </w:rPr>
            </w:pPr>
            <w:r w:rsidRPr="00485129">
              <w:rPr>
                <w:color w:val="000000"/>
              </w:rPr>
              <w:t>$m</w:t>
            </w:r>
          </w:p>
        </w:tc>
      </w:tr>
      <w:tr w:rsidR="0089162A" w:rsidRPr="008D22FD" w14:paraId="7B561BE3" w14:textId="77777777" w:rsidTr="0089162A">
        <w:trPr>
          <w:trHeight w:val="225"/>
        </w:trPr>
        <w:tc>
          <w:tcPr>
            <w:tcW w:w="2392" w:type="pct"/>
            <w:tcBorders>
              <w:top w:val="nil"/>
              <w:left w:val="nil"/>
              <w:bottom w:val="nil"/>
              <w:right w:val="nil"/>
            </w:tcBorders>
            <w:shd w:val="clear" w:color="000000" w:fill="FFFFFF"/>
            <w:noWrap/>
            <w:vAlign w:val="center"/>
            <w:hideMark/>
          </w:tcPr>
          <w:p w14:paraId="6560CC25" w14:textId="4A753413" w:rsidR="0089162A" w:rsidRPr="00485129" w:rsidRDefault="0089162A" w:rsidP="00ED0EB0">
            <w:pPr>
              <w:pStyle w:val="TableTextLeft"/>
            </w:pPr>
            <w:r>
              <w:t xml:space="preserve">Investments </w:t>
            </w:r>
            <w:r w:rsidR="00E61C43">
              <w:t>–</w:t>
            </w:r>
            <w:r>
              <w:t xml:space="preserve"> deposits</w:t>
            </w:r>
          </w:p>
        </w:tc>
        <w:tc>
          <w:tcPr>
            <w:tcW w:w="521" w:type="pct"/>
            <w:tcBorders>
              <w:top w:val="nil"/>
              <w:left w:val="nil"/>
              <w:bottom w:val="nil"/>
              <w:right w:val="nil"/>
            </w:tcBorders>
            <w:shd w:val="clear" w:color="000000" w:fill="FFFFFF"/>
            <w:noWrap/>
            <w:vAlign w:val="center"/>
            <w:hideMark/>
          </w:tcPr>
          <w:p w14:paraId="4D84A372" w14:textId="00466346" w:rsidR="0089162A" w:rsidRPr="00485129" w:rsidRDefault="0089162A" w:rsidP="00D20851">
            <w:pPr>
              <w:pStyle w:val="TableTextRight"/>
            </w:pPr>
            <w:r>
              <w:t>6,318</w:t>
            </w:r>
          </w:p>
        </w:tc>
        <w:tc>
          <w:tcPr>
            <w:tcW w:w="521" w:type="pct"/>
            <w:tcBorders>
              <w:top w:val="nil"/>
              <w:left w:val="nil"/>
              <w:bottom w:val="nil"/>
              <w:right w:val="nil"/>
            </w:tcBorders>
            <w:shd w:val="clear" w:color="000000" w:fill="E6F2FF"/>
            <w:noWrap/>
            <w:vAlign w:val="center"/>
            <w:hideMark/>
          </w:tcPr>
          <w:p w14:paraId="747F3DDA" w14:textId="714A279B" w:rsidR="0089162A" w:rsidRPr="00485129" w:rsidRDefault="0089162A" w:rsidP="00D20851">
            <w:pPr>
              <w:pStyle w:val="TableTextRight"/>
            </w:pPr>
            <w:r>
              <w:t>5,749</w:t>
            </w:r>
          </w:p>
        </w:tc>
        <w:tc>
          <w:tcPr>
            <w:tcW w:w="521" w:type="pct"/>
            <w:tcBorders>
              <w:top w:val="nil"/>
              <w:left w:val="nil"/>
              <w:bottom w:val="nil"/>
              <w:right w:val="nil"/>
            </w:tcBorders>
            <w:shd w:val="clear" w:color="000000" w:fill="FFFFFF"/>
            <w:noWrap/>
            <w:vAlign w:val="center"/>
            <w:hideMark/>
          </w:tcPr>
          <w:p w14:paraId="5074D48C" w14:textId="1EEF921F" w:rsidR="0089162A" w:rsidRPr="00485129" w:rsidRDefault="0089162A" w:rsidP="00D20851">
            <w:pPr>
              <w:pStyle w:val="TableTextRight"/>
            </w:pPr>
            <w:r>
              <w:t>5,299</w:t>
            </w:r>
          </w:p>
        </w:tc>
        <w:tc>
          <w:tcPr>
            <w:tcW w:w="521" w:type="pct"/>
            <w:tcBorders>
              <w:top w:val="nil"/>
              <w:left w:val="nil"/>
              <w:bottom w:val="nil"/>
              <w:right w:val="nil"/>
            </w:tcBorders>
            <w:shd w:val="clear" w:color="000000" w:fill="FFFFFF"/>
            <w:noWrap/>
            <w:vAlign w:val="center"/>
            <w:hideMark/>
          </w:tcPr>
          <w:p w14:paraId="2D0ADE8B" w14:textId="1B8C1146" w:rsidR="0089162A" w:rsidRPr="00485129" w:rsidRDefault="0089162A" w:rsidP="00D20851">
            <w:pPr>
              <w:pStyle w:val="TableTextRight"/>
            </w:pPr>
            <w:r>
              <w:t>5,034</w:t>
            </w:r>
          </w:p>
        </w:tc>
        <w:tc>
          <w:tcPr>
            <w:tcW w:w="522" w:type="pct"/>
            <w:tcBorders>
              <w:top w:val="nil"/>
              <w:left w:val="nil"/>
              <w:bottom w:val="nil"/>
              <w:right w:val="nil"/>
            </w:tcBorders>
            <w:shd w:val="clear" w:color="000000" w:fill="FFFFFF"/>
            <w:noWrap/>
            <w:vAlign w:val="center"/>
            <w:hideMark/>
          </w:tcPr>
          <w:p w14:paraId="1508529D" w14:textId="1D0E75C6" w:rsidR="0089162A" w:rsidRPr="00485129" w:rsidRDefault="0089162A" w:rsidP="00D20851">
            <w:pPr>
              <w:pStyle w:val="TableTextRight"/>
            </w:pPr>
            <w:r>
              <w:t>5,001</w:t>
            </w:r>
          </w:p>
        </w:tc>
      </w:tr>
      <w:tr w:rsidR="0089162A" w:rsidRPr="008D22FD" w14:paraId="0099A9FC" w14:textId="77777777" w:rsidTr="0089162A">
        <w:trPr>
          <w:trHeight w:val="225"/>
        </w:trPr>
        <w:tc>
          <w:tcPr>
            <w:tcW w:w="2392" w:type="pct"/>
            <w:tcBorders>
              <w:top w:val="nil"/>
              <w:left w:val="nil"/>
              <w:bottom w:val="nil"/>
              <w:right w:val="nil"/>
            </w:tcBorders>
            <w:shd w:val="clear" w:color="000000" w:fill="FFFFFF"/>
            <w:noWrap/>
            <w:vAlign w:val="center"/>
            <w:hideMark/>
          </w:tcPr>
          <w:p w14:paraId="3178BEEA" w14:textId="41E7E596" w:rsidR="0089162A" w:rsidRPr="00485129" w:rsidRDefault="0089162A" w:rsidP="00ED0EB0">
            <w:pPr>
              <w:pStyle w:val="TableTextLeft"/>
            </w:pPr>
            <w:r>
              <w:t>IMF quota and SDR holdings</w:t>
            </w:r>
          </w:p>
        </w:tc>
        <w:tc>
          <w:tcPr>
            <w:tcW w:w="521" w:type="pct"/>
            <w:tcBorders>
              <w:top w:val="nil"/>
              <w:left w:val="nil"/>
              <w:bottom w:val="nil"/>
              <w:right w:val="nil"/>
            </w:tcBorders>
            <w:shd w:val="clear" w:color="000000" w:fill="FFFFFF"/>
            <w:noWrap/>
            <w:vAlign w:val="center"/>
            <w:hideMark/>
          </w:tcPr>
          <w:p w14:paraId="0040DCC5" w14:textId="0D698F88" w:rsidR="0089162A" w:rsidRPr="00485129" w:rsidRDefault="0089162A" w:rsidP="00D20851">
            <w:pPr>
              <w:pStyle w:val="TableTextRight"/>
            </w:pPr>
            <w:r>
              <w:t>23,638</w:t>
            </w:r>
          </w:p>
        </w:tc>
        <w:tc>
          <w:tcPr>
            <w:tcW w:w="521" w:type="pct"/>
            <w:tcBorders>
              <w:top w:val="nil"/>
              <w:left w:val="nil"/>
              <w:bottom w:val="nil"/>
              <w:right w:val="nil"/>
            </w:tcBorders>
            <w:shd w:val="clear" w:color="000000" w:fill="E6F2FF"/>
            <w:noWrap/>
            <w:vAlign w:val="center"/>
            <w:hideMark/>
          </w:tcPr>
          <w:p w14:paraId="5362292A" w14:textId="0748D326" w:rsidR="0089162A" w:rsidRPr="00485129" w:rsidRDefault="0089162A" w:rsidP="00D20851">
            <w:pPr>
              <w:pStyle w:val="TableTextRight"/>
            </w:pPr>
            <w:r>
              <w:t>23,643</w:t>
            </w:r>
          </w:p>
        </w:tc>
        <w:tc>
          <w:tcPr>
            <w:tcW w:w="521" w:type="pct"/>
            <w:tcBorders>
              <w:top w:val="nil"/>
              <w:left w:val="nil"/>
              <w:bottom w:val="nil"/>
              <w:right w:val="nil"/>
            </w:tcBorders>
            <w:shd w:val="clear" w:color="000000" w:fill="FFFFFF"/>
            <w:noWrap/>
            <w:vAlign w:val="center"/>
            <w:hideMark/>
          </w:tcPr>
          <w:p w14:paraId="77D2018E" w14:textId="12B66EFB" w:rsidR="0089162A" w:rsidRPr="00485129" w:rsidRDefault="0089162A" w:rsidP="00D20851">
            <w:pPr>
              <w:pStyle w:val="TableTextRight"/>
            </w:pPr>
            <w:r>
              <w:t>23,643</w:t>
            </w:r>
          </w:p>
        </w:tc>
        <w:tc>
          <w:tcPr>
            <w:tcW w:w="521" w:type="pct"/>
            <w:tcBorders>
              <w:top w:val="nil"/>
              <w:left w:val="nil"/>
              <w:bottom w:val="nil"/>
              <w:right w:val="nil"/>
            </w:tcBorders>
            <w:shd w:val="clear" w:color="000000" w:fill="FFFFFF"/>
            <w:noWrap/>
            <w:vAlign w:val="center"/>
            <w:hideMark/>
          </w:tcPr>
          <w:p w14:paraId="4E928FE2" w14:textId="67FEA4B6" w:rsidR="0089162A" w:rsidRPr="00485129" w:rsidRDefault="0089162A" w:rsidP="00D20851">
            <w:pPr>
              <w:pStyle w:val="TableTextRight"/>
            </w:pPr>
            <w:r>
              <w:t>23,728</w:t>
            </w:r>
          </w:p>
        </w:tc>
        <w:tc>
          <w:tcPr>
            <w:tcW w:w="522" w:type="pct"/>
            <w:tcBorders>
              <w:top w:val="nil"/>
              <w:left w:val="nil"/>
              <w:bottom w:val="nil"/>
              <w:right w:val="nil"/>
            </w:tcBorders>
            <w:shd w:val="clear" w:color="000000" w:fill="FFFFFF"/>
            <w:noWrap/>
            <w:vAlign w:val="center"/>
            <w:hideMark/>
          </w:tcPr>
          <w:p w14:paraId="67A6AF22" w14:textId="6FC34B47" w:rsidR="0089162A" w:rsidRPr="00485129" w:rsidRDefault="0089162A" w:rsidP="00D20851">
            <w:pPr>
              <w:pStyle w:val="TableTextRight"/>
            </w:pPr>
            <w:r>
              <w:t>23,814</w:t>
            </w:r>
          </w:p>
        </w:tc>
      </w:tr>
      <w:tr w:rsidR="0089162A" w:rsidRPr="008D22FD" w14:paraId="6D9C3DDA" w14:textId="77777777" w:rsidTr="0089162A">
        <w:trPr>
          <w:trHeight w:val="225"/>
        </w:trPr>
        <w:tc>
          <w:tcPr>
            <w:tcW w:w="2392" w:type="pct"/>
            <w:tcBorders>
              <w:top w:val="nil"/>
              <w:left w:val="nil"/>
              <w:bottom w:val="nil"/>
              <w:right w:val="nil"/>
            </w:tcBorders>
            <w:shd w:val="clear" w:color="000000" w:fill="FFFFFF"/>
            <w:noWrap/>
            <w:vAlign w:val="center"/>
            <w:hideMark/>
          </w:tcPr>
          <w:p w14:paraId="221ADAFA" w14:textId="7DD5917D" w:rsidR="0089162A" w:rsidRPr="00485129" w:rsidRDefault="0089162A" w:rsidP="00ED0EB0">
            <w:pPr>
              <w:pStyle w:val="TableTextLeft"/>
            </w:pPr>
            <w:r>
              <w:t>Structured finance securities</w:t>
            </w:r>
          </w:p>
        </w:tc>
        <w:tc>
          <w:tcPr>
            <w:tcW w:w="521" w:type="pct"/>
            <w:tcBorders>
              <w:top w:val="nil"/>
              <w:left w:val="nil"/>
              <w:bottom w:val="nil"/>
              <w:right w:val="nil"/>
            </w:tcBorders>
            <w:shd w:val="clear" w:color="000000" w:fill="FFFFFF"/>
            <w:noWrap/>
            <w:vAlign w:val="center"/>
            <w:hideMark/>
          </w:tcPr>
          <w:p w14:paraId="7B4F65A9" w14:textId="54DECE5A" w:rsidR="0089162A" w:rsidRPr="00485129" w:rsidRDefault="0089162A" w:rsidP="00D20851">
            <w:pPr>
              <w:pStyle w:val="TableTextRight"/>
            </w:pPr>
            <w:r>
              <w:t>416</w:t>
            </w:r>
          </w:p>
        </w:tc>
        <w:tc>
          <w:tcPr>
            <w:tcW w:w="521" w:type="pct"/>
            <w:tcBorders>
              <w:top w:val="nil"/>
              <w:left w:val="nil"/>
              <w:bottom w:val="nil"/>
              <w:right w:val="nil"/>
            </w:tcBorders>
            <w:shd w:val="clear" w:color="000000" w:fill="E6F2FF"/>
            <w:noWrap/>
            <w:vAlign w:val="center"/>
            <w:hideMark/>
          </w:tcPr>
          <w:p w14:paraId="2FFBFC9E" w14:textId="3378C788" w:rsidR="0089162A" w:rsidRPr="00485129" w:rsidRDefault="0089162A" w:rsidP="00D20851">
            <w:pPr>
              <w:pStyle w:val="TableTextRight"/>
            </w:pPr>
            <w:r>
              <w:t>775</w:t>
            </w:r>
          </w:p>
        </w:tc>
        <w:tc>
          <w:tcPr>
            <w:tcW w:w="521" w:type="pct"/>
            <w:tcBorders>
              <w:top w:val="nil"/>
              <w:left w:val="nil"/>
              <w:bottom w:val="nil"/>
              <w:right w:val="nil"/>
            </w:tcBorders>
            <w:shd w:val="clear" w:color="000000" w:fill="FFFFFF"/>
            <w:noWrap/>
            <w:vAlign w:val="center"/>
            <w:hideMark/>
          </w:tcPr>
          <w:p w14:paraId="71171123" w14:textId="71D27142" w:rsidR="0089162A" w:rsidRPr="00485129" w:rsidRDefault="0089162A" w:rsidP="00D20851">
            <w:pPr>
              <w:pStyle w:val="TableTextRight"/>
            </w:pPr>
            <w:r>
              <w:t>869</w:t>
            </w:r>
          </w:p>
        </w:tc>
        <w:tc>
          <w:tcPr>
            <w:tcW w:w="521" w:type="pct"/>
            <w:tcBorders>
              <w:top w:val="nil"/>
              <w:left w:val="nil"/>
              <w:bottom w:val="nil"/>
              <w:right w:val="nil"/>
            </w:tcBorders>
            <w:shd w:val="clear" w:color="000000" w:fill="FFFFFF"/>
            <w:noWrap/>
            <w:vAlign w:val="center"/>
            <w:hideMark/>
          </w:tcPr>
          <w:p w14:paraId="1CF96075" w14:textId="61CA9021" w:rsidR="0089162A" w:rsidRPr="00485129" w:rsidRDefault="0089162A" w:rsidP="00D20851">
            <w:pPr>
              <w:pStyle w:val="TableTextRight"/>
            </w:pPr>
            <w:r>
              <w:t>969</w:t>
            </w:r>
          </w:p>
        </w:tc>
        <w:tc>
          <w:tcPr>
            <w:tcW w:w="522" w:type="pct"/>
            <w:tcBorders>
              <w:top w:val="nil"/>
              <w:left w:val="nil"/>
              <w:bottom w:val="nil"/>
              <w:right w:val="nil"/>
            </w:tcBorders>
            <w:shd w:val="clear" w:color="000000" w:fill="FFFFFF"/>
            <w:noWrap/>
            <w:vAlign w:val="center"/>
            <w:hideMark/>
          </w:tcPr>
          <w:p w14:paraId="25F61BFB" w14:textId="5D229784" w:rsidR="0089162A" w:rsidRPr="00485129" w:rsidRDefault="0089162A" w:rsidP="00D20851">
            <w:pPr>
              <w:pStyle w:val="TableTextRight"/>
            </w:pPr>
            <w:r>
              <w:t>1,068</w:t>
            </w:r>
          </w:p>
        </w:tc>
      </w:tr>
      <w:tr w:rsidR="0089162A" w:rsidRPr="008D22FD" w14:paraId="5D1D27ED" w14:textId="77777777" w:rsidTr="0089162A">
        <w:trPr>
          <w:trHeight w:val="225"/>
        </w:trPr>
        <w:tc>
          <w:tcPr>
            <w:tcW w:w="2392" w:type="pct"/>
            <w:tcBorders>
              <w:top w:val="nil"/>
              <w:left w:val="nil"/>
              <w:bottom w:val="nil"/>
              <w:right w:val="nil"/>
            </w:tcBorders>
            <w:shd w:val="clear" w:color="000000" w:fill="FFFFFF"/>
            <w:noWrap/>
            <w:vAlign w:val="center"/>
            <w:hideMark/>
          </w:tcPr>
          <w:p w14:paraId="1DFDD3F3" w14:textId="78EE6167" w:rsidR="0089162A" w:rsidRPr="00485129" w:rsidRDefault="0089162A" w:rsidP="00ED0EB0">
            <w:pPr>
              <w:pStyle w:val="TableTextLeft"/>
            </w:pPr>
            <w:r>
              <w:t>Collective investment vehicles</w:t>
            </w:r>
          </w:p>
        </w:tc>
        <w:tc>
          <w:tcPr>
            <w:tcW w:w="521" w:type="pct"/>
            <w:tcBorders>
              <w:top w:val="nil"/>
              <w:left w:val="nil"/>
              <w:bottom w:val="nil"/>
              <w:right w:val="nil"/>
            </w:tcBorders>
            <w:shd w:val="clear" w:color="000000" w:fill="FFFFFF"/>
            <w:noWrap/>
            <w:vAlign w:val="center"/>
            <w:hideMark/>
          </w:tcPr>
          <w:p w14:paraId="2DB8DF94" w14:textId="243B3F21" w:rsidR="0089162A" w:rsidRPr="00485129" w:rsidRDefault="0089162A" w:rsidP="00D20851">
            <w:pPr>
              <w:pStyle w:val="TableTextRight"/>
            </w:pPr>
            <w:r>
              <w:t>120,469</w:t>
            </w:r>
          </w:p>
        </w:tc>
        <w:tc>
          <w:tcPr>
            <w:tcW w:w="521" w:type="pct"/>
            <w:tcBorders>
              <w:top w:val="nil"/>
              <w:left w:val="nil"/>
              <w:bottom w:val="nil"/>
              <w:right w:val="nil"/>
            </w:tcBorders>
            <w:shd w:val="clear" w:color="000000" w:fill="E6F2FF"/>
            <w:noWrap/>
            <w:vAlign w:val="center"/>
            <w:hideMark/>
          </w:tcPr>
          <w:p w14:paraId="2866037D" w14:textId="4500B5DF" w:rsidR="0089162A" w:rsidRPr="00485129" w:rsidRDefault="0089162A" w:rsidP="00D20851">
            <w:pPr>
              <w:pStyle w:val="TableTextRight"/>
            </w:pPr>
            <w:r>
              <w:t>126,832</w:t>
            </w:r>
          </w:p>
        </w:tc>
        <w:tc>
          <w:tcPr>
            <w:tcW w:w="521" w:type="pct"/>
            <w:tcBorders>
              <w:top w:val="nil"/>
              <w:left w:val="nil"/>
              <w:bottom w:val="nil"/>
              <w:right w:val="nil"/>
            </w:tcBorders>
            <w:shd w:val="clear" w:color="000000" w:fill="FFFFFF"/>
            <w:noWrap/>
            <w:vAlign w:val="center"/>
            <w:hideMark/>
          </w:tcPr>
          <w:p w14:paraId="6CA09A44" w14:textId="150D0759" w:rsidR="0089162A" w:rsidRPr="00485129" w:rsidRDefault="0089162A" w:rsidP="00D20851">
            <w:pPr>
              <w:pStyle w:val="TableTextRight"/>
            </w:pPr>
            <w:r>
              <w:t>133,568</w:t>
            </w:r>
          </w:p>
        </w:tc>
        <w:tc>
          <w:tcPr>
            <w:tcW w:w="521" w:type="pct"/>
            <w:tcBorders>
              <w:top w:val="nil"/>
              <w:left w:val="nil"/>
              <w:bottom w:val="nil"/>
              <w:right w:val="nil"/>
            </w:tcBorders>
            <w:shd w:val="clear" w:color="000000" w:fill="FFFFFF"/>
            <w:noWrap/>
            <w:vAlign w:val="center"/>
            <w:hideMark/>
          </w:tcPr>
          <w:p w14:paraId="684B03F5" w14:textId="3039F0EA" w:rsidR="0089162A" w:rsidRPr="00485129" w:rsidRDefault="0089162A" w:rsidP="00D20851">
            <w:pPr>
              <w:pStyle w:val="TableTextRight"/>
            </w:pPr>
            <w:r>
              <w:t>141,756</w:t>
            </w:r>
          </w:p>
        </w:tc>
        <w:tc>
          <w:tcPr>
            <w:tcW w:w="522" w:type="pct"/>
            <w:tcBorders>
              <w:top w:val="nil"/>
              <w:left w:val="nil"/>
              <w:bottom w:val="nil"/>
              <w:right w:val="nil"/>
            </w:tcBorders>
            <w:shd w:val="clear" w:color="000000" w:fill="FFFFFF"/>
            <w:noWrap/>
            <w:vAlign w:val="center"/>
            <w:hideMark/>
          </w:tcPr>
          <w:p w14:paraId="20E3C584" w14:textId="4A5DFB41" w:rsidR="0089162A" w:rsidRPr="00485129" w:rsidRDefault="0089162A" w:rsidP="00D20851">
            <w:pPr>
              <w:pStyle w:val="TableTextRight"/>
            </w:pPr>
            <w:r>
              <w:t>150,503</w:t>
            </w:r>
          </w:p>
        </w:tc>
      </w:tr>
      <w:tr w:rsidR="0089162A" w:rsidRPr="008D22FD" w14:paraId="412DDEFD" w14:textId="77777777" w:rsidTr="0089162A">
        <w:trPr>
          <w:trHeight w:val="225"/>
        </w:trPr>
        <w:tc>
          <w:tcPr>
            <w:tcW w:w="2392" w:type="pct"/>
            <w:tcBorders>
              <w:top w:val="nil"/>
              <w:left w:val="nil"/>
              <w:bottom w:val="nil"/>
              <w:right w:val="nil"/>
            </w:tcBorders>
            <w:shd w:val="clear" w:color="000000" w:fill="FFFFFF"/>
            <w:noWrap/>
            <w:vAlign w:val="center"/>
            <w:hideMark/>
          </w:tcPr>
          <w:p w14:paraId="42919A2C" w14:textId="5E2A7CB3" w:rsidR="0089162A" w:rsidRPr="00485129" w:rsidRDefault="0089162A" w:rsidP="00ED0EB0">
            <w:pPr>
              <w:pStyle w:val="TableTextLeft"/>
            </w:pPr>
            <w:r>
              <w:t>Other interest bearing securities</w:t>
            </w:r>
          </w:p>
        </w:tc>
        <w:tc>
          <w:tcPr>
            <w:tcW w:w="521" w:type="pct"/>
            <w:tcBorders>
              <w:top w:val="nil"/>
              <w:left w:val="nil"/>
              <w:bottom w:val="nil"/>
              <w:right w:val="nil"/>
            </w:tcBorders>
            <w:shd w:val="clear" w:color="000000" w:fill="FFFFFF"/>
            <w:noWrap/>
            <w:vAlign w:val="center"/>
            <w:hideMark/>
          </w:tcPr>
          <w:p w14:paraId="66D4531D" w14:textId="5B14DC70" w:rsidR="0089162A" w:rsidRPr="00485129" w:rsidRDefault="0089162A" w:rsidP="00D20851">
            <w:pPr>
              <w:pStyle w:val="TableTextRight"/>
            </w:pPr>
            <w:r>
              <w:t>62,414</w:t>
            </w:r>
          </w:p>
        </w:tc>
        <w:tc>
          <w:tcPr>
            <w:tcW w:w="521" w:type="pct"/>
            <w:tcBorders>
              <w:top w:val="nil"/>
              <w:left w:val="nil"/>
              <w:bottom w:val="nil"/>
              <w:right w:val="nil"/>
            </w:tcBorders>
            <w:shd w:val="clear" w:color="000000" w:fill="E6F2FF"/>
            <w:noWrap/>
            <w:vAlign w:val="center"/>
            <w:hideMark/>
          </w:tcPr>
          <w:p w14:paraId="7A856429" w14:textId="686A4677" w:rsidR="0089162A" w:rsidRPr="00485129" w:rsidRDefault="0089162A" w:rsidP="00D20851">
            <w:pPr>
              <w:pStyle w:val="TableTextRight"/>
            </w:pPr>
            <w:r>
              <w:t>63,367</w:t>
            </w:r>
          </w:p>
        </w:tc>
        <w:tc>
          <w:tcPr>
            <w:tcW w:w="521" w:type="pct"/>
            <w:tcBorders>
              <w:top w:val="nil"/>
              <w:left w:val="nil"/>
              <w:bottom w:val="nil"/>
              <w:right w:val="nil"/>
            </w:tcBorders>
            <w:shd w:val="clear" w:color="000000" w:fill="FFFFFF"/>
            <w:noWrap/>
            <w:vAlign w:val="center"/>
            <w:hideMark/>
          </w:tcPr>
          <w:p w14:paraId="6A6076EC" w14:textId="2EE6665C" w:rsidR="0089162A" w:rsidRPr="00485129" w:rsidRDefault="0089162A" w:rsidP="00D20851">
            <w:pPr>
              <w:pStyle w:val="TableTextRight"/>
            </w:pPr>
            <w:r>
              <w:t>64,398</w:t>
            </w:r>
          </w:p>
        </w:tc>
        <w:tc>
          <w:tcPr>
            <w:tcW w:w="521" w:type="pct"/>
            <w:tcBorders>
              <w:top w:val="nil"/>
              <w:left w:val="nil"/>
              <w:bottom w:val="nil"/>
              <w:right w:val="nil"/>
            </w:tcBorders>
            <w:shd w:val="clear" w:color="000000" w:fill="FFFFFF"/>
            <w:noWrap/>
            <w:vAlign w:val="center"/>
            <w:hideMark/>
          </w:tcPr>
          <w:p w14:paraId="11BF29A8" w14:textId="6A1C77B2" w:rsidR="0089162A" w:rsidRPr="00485129" w:rsidRDefault="0089162A" w:rsidP="00D20851">
            <w:pPr>
              <w:pStyle w:val="TableTextRight"/>
            </w:pPr>
            <w:r>
              <w:t>65,535</w:t>
            </w:r>
          </w:p>
        </w:tc>
        <w:tc>
          <w:tcPr>
            <w:tcW w:w="522" w:type="pct"/>
            <w:tcBorders>
              <w:top w:val="nil"/>
              <w:left w:val="nil"/>
              <w:bottom w:val="nil"/>
              <w:right w:val="nil"/>
            </w:tcBorders>
            <w:shd w:val="clear" w:color="000000" w:fill="FFFFFF"/>
            <w:noWrap/>
            <w:vAlign w:val="center"/>
            <w:hideMark/>
          </w:tcPr>
          <w:p w14:paraId="6DADD76A" w14:textId="77FDF0B5" w:rsidR="0089162A" w:rsidRPr="00485129" w:rsidRDefault="0089162A" w:rsidP="00D20851">
            <w:pPr>
              <w:pStyle w:val="TableTextRight"/>
            </w:pPr>
            <w:r>
              <w:t>66,810</w:t>
            </w:r>
          </w:p>
        </w:tc>
      </w:tr>
      <w:tr w:rsidR="0089162A" w:rsidRPr="008D22FD" w14:paraId="28FAF505" w14:textId="77777777" w:rsidTr="0089162A">
        <w:trPr>
          <w:trHeight w:val="225"/>
        </w:trPr>
        <w:tc>
          <w:tcPr>
            <w:tcW w:w="2392" w:type="pct"/>
            <w:tcBorders>
              <w:top w:val="nil"/>
              <w:left w:val="nil"/>
              <w:bottom w:val="nil"/>
              <w:right w:val="nil"/>
            </w:tcBorders>
            <w:shd w:val="clear" w:color="000000" w:fill="FFFFFF"/>
            <w:noWrap/>
            <w:vAlign w:val="center"/>
            <w:hideMark/>
          </w:tcPr>
          <w:p w14:paraId="17D075E4" w14:textId="3FB329DA" w:rsidR="0089162A" w:rsidRPr="00485129" w:rsidRDefault="0089162A" w:rsidP="00ED0EB0">
            <w:pPr>
              <w:pStyle w:val="TableTextLeft"/>
            </w:pPr>
            <w:r>
              <w:t>Other</w:t>
            </w:r>
          </w:p>
        </w:tc>
        <w:tc>
          <w:tcPr>
            <w:tcW w:w="521" w:type="pct"/>
            <w:tcBorders>
              <w:top w:val="nil"/>
              <w:left w:val="nil"/>
              <w:bottom w:val="single" w:sz="4" w:space="0" w:color="293F5B"/>
              <w:right w:val="nil"/>
            </w:tcBorders>
            <w:shd w:val="clear" w:color="000000" w:fill="FFFFFF"/>
            <w:noWrap/>
            <w:vAlign w:val="center"/>
            <w:hideMark/>
          </w:tcPr>
          <w:p w14:paraId="33476779" w14:textId="2C9FEAF5" w:rsidR="0089162A" w:rsidRPr="00485129" w:rsidRDefault="0089162A" w:rsidP="00D20851">
            <w:pPr>
              <w:pStyle w:val="TableTextRight"/>
              <w:rPr>
                <w:color w:val="000000"/>
              </w:rPr>
            </w:pPr>
            <w:r>
              <w:rPr>
                <w:color w:val="000000"/>
              </w:rPr>
              <w:t>29,272</w:t>
            </w:r>
          </w:p>
        </w:tc>
        <w:tc>
          <w:tcPr>
            <w:tcW w:w="521" w:type="pct"/>
            <w:tcBorders>
              <w:top w:val="nil"/>
              <w:left w:val="nil"/>
              <w:bottom w:val="single" w:sz="4" w:space="0" w:color="293F5B"/>
              <w:right w:val="nil"/>
            </w:tcBorders>
            <w:shd w:val="clear" w:color="000000" w:fill="E6F2FF"/>
            <w:noWrap/>
            <w:vAlign w:val="center"/>
            <w:hideMark/>
          </w:tcPr>
          <w:p w14:paraId="555956E9" w14:textId="06695F72" w:rsidR="0089162A" w:rsidRPr="00485129" w:rsidRDefault="0089162A" w:rsidP="00D20851">
            <w:pPr>
              <w:pStyle w:val="TableTextRight"/>
              <w:rPr>
                <w:color w:val="000000"/>
              </w:rPr>
            </w:pPr>
            <w:r>
              <w:rPr>
                <w:color w:val="000000"/>
              </w:rPr>
              <w:t>29,223</w:t>
            </w:r>
          </w:p>
        </w:tc>
        <w:tc>
          <w:tcPr>
            <w:tcW w:w="521" w:type="pct"/>
            <w:tcBorders>
              <w:top w:val="nil"/>
              <w:left w:val="nil"/>
              <w:bottom w:val="single" w:sz="4" w:space="0" w:color="293F5B"/>
              <w:right w:val="nil"/>
            </w:tcBorders>
            <w:shd w:val="clear" w:color="000000" w:fill="FFFFFF"/>
            <w:noWrap/>
            <w:vAlign w:val="center"/>
            <w:hideMark/>
          </w:tcPr>
          <w:p w14:paraId="5F680D32" w14:textId="17D10182" w:rsidR="0089162A" w:rsidRPr="00485129" w:rsidRDefault="0089162A" w:rsidP="00D20851">
            <w:pPr>
              <w:pStyle w:val="TableTextRight"/>
              <w:rPr>
                <w:color w:val="000000"/>
              </w:rPr>
            </w:pPr>
            <w:r>
              <w:rPr>
                <w:color w:val="000000"/>
              </w:rPr>
              <w:t>29,610</w:t>
            </w:r>
          </w:p>
        </w:tc>
        <w:tc>
          <w:tcPr>
            <w:tcW w:w="521" w:type="pct"/>
            <w:tcBorders>
              <w:top w:val="nil"/>
              <w:left w:val="nil"/>
              <w:bottom w:val="single" w:sz="4" w:space="0" w:color="293F5B"/>
              <w:right w:val="nil"/>
            </w:tcBorders>
            <w:shd w:val="clear" w:color="000000" w:fill="FFFFFF"/>
            <w:noWrap/>
            <w:vAlign w:val="center"/>
            <w:hideMark/>
          </w:tcPr>
          <w:p w14:paraId="35CF2E3A" w14:textId="7ECACFCE" w:rsidR="0089162A" w:rsidRPr="00485129" w:rsidRDefault="0089162A" w:rsidP="00D20851">
            <w:pPr>
              <w:pStyle w:val="TableTextRight"/>
              <w:rPr>
                <w:color w:val="000000"/>
              </w:rPr>
            </w:pPr>
            <w:r>
              <w:rPr>
                <w:color w:val="000000"/>
              </w:rPr>
              <w:t>30,491</w:t>
            </w:r>
          </w:p>
        </w:tc>
        <w:tc>
          <w:tcPr>
            <w:tcW w:w="522" w:type="pct"/>
            <w:tcBorders>
              <w:top w:val="nil"/>
              <w:left w:val="nil"/>
              <w:bottom w:val="single" w:sz="4" w:space="0" w:color="293F5B"/>
              <w:right w:val="nil"/>
            </w:tcBorders>
            <w:shd w:val="clear" w:color="000000" w:fill="FFFFFF"/>
            <w:noWrap/>
            <w:vAlign w:val="center"/>
            <w:hideMark/>
          </w:tcPr>
          <w:p w14:paraId="682D3299" w14:textId="37332F47" w:rsidR="0089162A" w:rsidRPr="00485129" w:rsidRDefault="0089162A" w:rsidP="00D20851">
            <w:pPr>
              <w:pStyle w:val="TableTextRight"/>
              <w:rPr>
                <w:color w:val="000000"/>
              </w:rPr>
            </w:pPr>
            <w:r>
              <w:rPr>
                <w:color w:val="000000"/>
              </w:rPr>
              <w:t>30,955</w:t>
            </w:r>
          </w:p>
        </w:tc>
      </w:tr>
      <w:tr w:rsidR="0089162A" w:rsidRPr="008D22FD" w14:paraId="3BF6BB93" w14:textId="77777777" w:rsidTr="0089162A">
        <w:trPr>
          <w:trHeight w:val="225"/>
        </w:trPr>
        <w:tc>
          <w:tcPr>
            <w:tcW w:w="2392" w:type="pct"/>
            <w:tcBorders>
              <w:top w:val="nil"/>
              <w:left w:val="nil"/>
              <w:bottom w:val="single" w:sz="4" w:space="0" w:color="293F5B"/>
              <w:right w:val="nil"/>
            </w:tcBorders>
            <w:shd w:val="clear" w:color="000000" w:fill="FFFFFF"/>
            <w:noWrap/>
            <w:vAlign w:val="center"/>
            <w:hideMark/>
          </w:tcPr>
          <w:p w14:paraId="3E9687B3" w14:textId="42BBEBBD" w:rsidR="0089162A" w:rsidRPr="00485129" w:rsidRDefault="0089162A" w:rsidP="00ED0EB0">
            <w:pPr>
              <w:pStyle w:val="TableTextLeft"/>
              <w:rPr>
                <w:b/>
              </w:rPr>
            </w:pPr>
            <w:r>
              <w:rPr>
                <w:b/>
              </w:rPr>
              <w:t>Total investments, loans and placements</w:t>
            </w:r>
          </w:p>
        </w:tc>
        <w:tc>
          <w:tcPr>
            <w:tcW w:w="521" w:type="pct"/>
            <w:tcBorders>
              <w:top w:val="nil"/>
              <w:left w:val="nil"/>
              <w:bottom w:val="single" w:sz="4" w:space="0" w:color="293F5B"/>
              <w:right w:val="nil"/>
            </w:tcBorders>
            <w:shd w:val="clear" w:color="000000" w:fill="FFFFFF"/>
            <w:noWrap/>
            <w:vAlign w:val="center"/>
            <w:hideMark/>
          </w:tcPr>
          <w:p w14:paraId="2FE0B16D" w14:textId="211B88A8" w:rsidR="0089162A" w:rsidRPr="00485129" w:rsidRDefault="0089162A" w:rsidP="00D20851">
            <w:pPr>
              <w:pStyle w:val="TableTextRight"/>
              <w:rPr>
                <w:b/>
              </w:rPr>
            </w:pPr>
            <w:r>
              <w:rPr>
                <w:b/>
              </w:rPr>
              <w:t>242,528</w:t>
            </w:r>
          </w:p>
        </w:tc>
        <w:tc>
          <w:tcPr>
            <w:tcW w:w="521" w:type="pct"/>
            <w:tcBorders>
              <w:top w:val="nil"/>
              <w:left w:val="nil"/>
              <w:bottom w:val="single" w:sz="4" w:space="0" w:color="293F5B"/>
              <w:right w:val="nil"/>
            </w:tcBorders>
            <w:shd w:val="clear" w:color="000000" w:fill="E6F2FF"/>
            <w:noWrap/>
            <w:vAlign w:val="center"/>
            <w:hideMark/>
          </w:tcPr>
          <w:p w14:paraId="5A035C71" w14:textId="61B54E8F" w:rsidR="0089162A" w:rsidRPr="00485129" w:rsidRDefault="0089162A" w:rsidP="00D20851">
            <w:pPr>
              <w:pStyle w:val="TableTextRight"/>
              <w:rPr>
                <w:b/>
              </w:rPr>
            </w:pPr>
            <w:r>
              <w:rPr>
                <w:b/>
              </w:rPr>
              <w:t>249,588</w:t>
            </w:r>
          </w:p>
        </w:tc>
        <w:tc>
          <w:tcPr>
            <w:tcW w:w="521" w:type="pct"/>
            <w:tcBorders>
              <w:top w:val="nil"/>
              <w:left w:val="nil"/>
              <w:bottom w:val="single" w:sz="4" w:space="0" w:color="293F5B"/>
              <w:right w:val="nil"/>
            </w:tcBorders>
            <w:shd w:val="clear" w:color="000000" w:fill="FFFFFF"/>
            <w:noWrap/>
            <w:vAlign w:val="center"/>
            <w:hideMark/>
          </w:tcPr>
          <w:p w14:paraId="4DFE3D95" w14:textId="55439013" w:rsidR="0089162A" w:rsidRPr="00485129" w:rsidRDefault="0089162A" w:rsidP="00D20851">
            <w:pPr>
              <w:pStyle w:val="TableTextRight"/>
              <w:rPr>
                <w:b/>
              </w:rPr>
            </w:pPr>
            <w:r>
              <w:rPr>
                <w:b/>
              </w:rPr>
              <w:t>257,386</w:t>
            </w:r>
          </w:p>
        </w:tc>
        <w:tc>
          <w:tcPr>
            <w:tcW w:w="521" w:type="pct"/>
            <w:tcBorders>
              <w:top w:val="nil"/>
              <w:left w:val="nil"/>
              <w:bottom w:val="single" w:sz="4" w:space="0" w:color="293F5B"/>
              <w:right w:val="nil"/>
            </w:tcBorders>
            <w:shd w:val="clear" w:color="000000" w:fill="FFFFFF"/>
            <w:noWrap/>
            <w:vAlign w:val="center"/>
            <w:hideMark/>
          </w:tcPr>
          <w:p w14:paraId="2D8D5180" w14:textId="086B5BC7" w:rsidR="0089162A" w:rsidRPr="00485129" w:rsidRDefault="0089162A" w:rsidP="00D20851">
            <w:pPr>
              <w:pStyle w:val="TableTextRight"/>
              <w:rPr>
                <w:b/>
              </w:rPr>
            </w:pPr>
            <w:r>
              <w:rPr>
                <w:b/>
              </w:rPr>
              <w:t>267,513</w:t>
            </w:r>
          </w:p>
        </w:tc>
        <w:tc>
          <w:tcPr>
            <w:tcW w:w="522" w:type="pct"/>
            <w:tcBorders>
              <w:top w:val="nil"/>
              <w:left w:val="nil"/>
              <w:bottom w:val="single" w:sz="4" w:space="0" w:color="293F5B"/>
              <w:right w:val="nil"/>
            </w:tcBorders>
            <w:shd w:val="clear" w:color="000000" w:fill="FFFFFF"/>
            <w:noWrap/>
            <w:vAlign w:val="center"/>
            <w:hideMark/>
          </w:tcPr>
          <w:p w14:paraId="217C6335" w14:textId="0A64574E" w:rsidR="0089162A" w:rsidRPr="00485129" w:rsidRDefault="0089162A" w:rsidP="00D20851">
            <w:pPr>
              <w:pStyle w:val="TableTextRight"/>
              <w:rPr>
                <w:b/>
              </w:rPr>
            </w:pPr>
            <w:r>
              <w:rPr>
                <w:b/>
              </w:rPr>
              <w:t>278,151</w:t>
            </w:r>
          </w:p>
        </w:tc>
      </w:tr>
    </w:tbl>
    <w:p w14:paraId="075D914F" w14:textId="77777777" w:rsidR="00077ED7" w:rsidRDefault="00077ED7" w:rsidP="00D8138E"/>
    <w:p w14:paraId="6522861B" w14:textId="689A6D3C" w:rsidR="00D8138E" w:rsidRPr="00EA746C" w:rsidRDefault="00D8138E" w:rsidP="00D8138E">
      <w:r w:rsidRPr="00EA746C">
        <w:br w:type="page"/>
      </w:r>
    </w:p>
    <w:p w14:paraId="787FB211" w14:textId="19EF5764" w:rsidR="00D8138E" w:rsidRPr="00663990" w:rsidRDefault="000D0B7D" w:rsidP="00BF0203">
      <w:pPr>
        <w:pStyle w:val="NoteTableHeading"/>
        <w:rPr>
          <w:rFonts w:eastAsiaTheme="minorHAnsi"/>
        </w:rPr>
      </w:pPr>
      <w:r>
        <w:lastRenderedPageBreak/>
        <w:t>Note </w:t>
      </w:r>
      <w:r w:rsidR="00D8138E" w:rsidRPr="00EA746C">
        <w:t>15: Non</w:t>
      </w:r>
      <w:r w:rsidR="00325E1E">
        <w:noBreakHyphen/>
      </w:r>
      <w:r w:rsidR="00D8138E" w:rsidRPr="00EA746C">
        <w:t>financial assets</w:t>
      </w:r>
    </w:p>
    <w:tbl>
      <w:tblPr>
        <w:tblW w:w="5000" w:type="pct"/>
        <w:tblLook w:val="04A0" w:firstRow="1" w:lastRow="0" w:firstColumn="1" w:lastColumn="0" w:noHBand="0" w:noVBand="1"/>
      </w:tblPr>
      <w:tblGrid>
        <w:gridCol w:w="3664"/>
        <w:gridCol w:w="804"/>
        <w:gridCol w:w="804"/>
        <w:gridCol w:w="804"/>
        <w:gridCol w:w="804"/>
        <w:gridCol w:w="830"/>
      </w:tblGrid>
      <w:tr w:rsidR="00EC1992" w:rsidRPr="00EC1992" w14:paraId="07176BA6" w14:textId="77777777" w:rsidTr="00006E1D">
        <w:trPr>
          <w:trHeight w:val="225"/>
        </w:trPr>
        <w:tc>
          <w:tcPr>
            <w:tcW w:w="2377" w:type="pct"/>
            <w:tcBorders>
              <w:top w:val="single" w:sz="4" w:space="0" w:color="293F5B"/>
              <w:left w:val="nil"/>
              <w:bottom w:val="nil"/>
              <w:right w:val="nil"/>
            </w:tcBorders>
            <w:shd w:val="clear" w:color="000000" w:fill="FFFFFF"/>
            <w:noWrap/>
            <w:vAlign w:val="center"/>
            <w:hideMark/>
          </w:tcPr>
          <w:p w14:paraId="1A969A0B" w14:textId="77777777" w:rsidR="00EC1992" w:rsidRPr="00EC1992" w:rsidRDefault="00EC1992" w:rsidP="004363F3">
            <w:pPr>
              <w:pStyle w:val="TableTextLeft"/>
            </w:pPr>
            <w:r w:rsidRPr="00EC1992">
              <w:t> </w:t>
            </w:r>
          </w:p>
        </w:tc>
        <w:tc>
          <w:tcPr>
            <w:tcW w:w="2623" w:type="pct"/>
            <w:gridSpan w:val="5"/>
            <w:tcBorders>
              <w:top w:val="single" w:sz="4" w:space="0" w:color="293F5B"/>
              <w:left w:val="nil"/>
              <w:bottom w:val="single" w:sz="4" w:space="0" w:color="293F5B"/>
              <w:right w:val="nil"/>
            </w:tcBorders>
            <w:shd w:val="clear" w:color="auto" w:fill="auto"/>
            <w:noWrap/>
            <w:vAlign w:val="center"/>
            <w:hideMark/>
          </w:tcPr>
          <w:p w14:paraId="1EA04F85" w14:textId="77777777" w:rsidR="00EC1992" w:rsidRPr="0005496E" w:rsidRDefault="00EC1992" w:rsidP="0005496E">
            <w:pPr>
              <w:pStyle w:val="TableTextCentred"/>
            </w:pPr>
            <w:r w:rsidRPr="0005496E">
              <w:t>Estimates</w:t>
            </w:r>
          </w:p>
        </w:tc>
      </w:tr>
      <w:tr w:rsidR="00EC1992" w:rsidRPr="00EC1992" w14:paraId="7831CCC0" w14:textId="77777777" w:rsidTr="00006E1D">
        <w:trPr>
          <w:trHeight w:val="225"/>
        </w:trPr>
        <w:tc>
          <w:tcPr>
            <w:tcW w:w="2377" w:type="pct"/>
            <w:tcBorders>
              <w:top w:val="nil"/>
              <w:left w:val="nil"/>
              <w:bottom w:val="nil"/>
              <w:right w:val="nil"/>
            </w:tcBorders>
            <w:shd w:val="clear" w:color="000000" w:fill="FFFFFF"/>
            <w:noWrap/>
            <w:vAlign w:val="center"/>
            <w:hideMark/>
          </w:tcPr>
          <w:p w14:paraId="288979FA" w14:textId="77777777" w:rsidR="00EC1992" w:rsidRPr="00EC1992" w:rsidRDefault="00EC1992" w:rsidP="004363F3">
            <w:pPr>
              <w:pStyle w:val="TableTextLeft"/>
            </w:pPr>
            <w:r w:rsidRPr="00EC1992">
              <w:t> </w:t>
            </w:r>
          </w:p>
        </w:tc>
        <w:tc>
          <w:tcPr>
            <w:tcW w:w="521" w:type="pct"/>
            <w:tcBorders>
              <w:top w:val="nil"/>
              <w:left w:val="nil"/>
              <w:bottom w:val="nil"/>
              <w:right w:val="nil"/>
            </w:tcBorders>
            <w:shd w:val="clear" w:color="000000" w:fill="FFFFFF"/>
            <w:noWrap/>
            <w:vAlign w:val="center"/>
            <w:hideMark/>
          </w:tcPr>
          <w:p w14:paraId="3D1927EA" w14:textId="0A7445D6" w:rsidR="00EC1992" w:rsidRPr="00EC1992" w:rsidRDefault="00EC1992" w:rsidP="0005496E">
            <w:pPr>
              <w:pStyle w:val="TableTextRight"/>
            </w:pPr>
            <w:r w:rsidRPr="00EC1992">
              <w:t>2023</w:t>
            </w:r>
            <w:r w:rsidR="00325E1E">
              <w:noBreakHyphen/>
            </w:r>
            <w:r w:rsidRPr="00EC1992">
              <w:t>24</w:t>
            </w:r>
          </w:p>
        </w:tc>
        <w:tc>
          <w:tcPr>
            <w:tcW w:w="521" w:type="pct"/>
            <w:tcBorders>
              <w:top w:val="nil"/>
              <w:left w:val="nil"/>
              <w:bottom w:val="nil"/>
              <w:right w:val="nil"/>
            </w:tcBorders>
            <w:shd w:val="clear" w:color="000000" w:fill="E6F2FF"/>
            <w:noWrap/>
            <w:vAlign w:val="center"/>
            <w:hideMark/>
          </w:tcPr>
          <w:p w14:paraId="091D096A" w14:textId="2978557F" w:rsidR="00EC1992" w:rsidRPr="00EC1992" w:rsidRDefault="00EC1992" w:rsidP="0005496E">
            <w:pPr>
              <w:pStyle w:val="TableTextRight"/>
            </w:pPr>
            <w:r w:rsidRPr="00EC1992">
              <w:t>2024</w:t>
            </w:r>
            <w:r w:rsidR="00325E1E">
              <w:noBreakHyphen/>
            </w:r>
            <w:r w:rsidRPr="00EC1992">
              <w:t>25</w:t>
            </w:r>
          </w:p>
        </w:tc>
        <w:tc>
          <w:tcPr>
            <w:tcW w:w="521" w:type="pct"/>
            <w:tcBorders>
              <w:top w:val="nil"/>
              <w:left w:val="nil"/>
              <w:bottom w:val="nil"/>
              <w:right w:val="nil"/>
            </w:tcBorders>
            <w:shd w:val="clear" w:color="000000" w:fill="FFFFFF"/>
            <w:noWrap/>
            <w:vAlign w:val="center"/>
            <w:hideMark/>
          </w:tcPr>
          <w:p w14:paraId="39FECCF9" w14:textId="00521A8D" w:rsidR="00EC1992" w:rsidRPr="00EC1992" w:rsidRDefault="00EC1992" w:rsidP="0005496E">
            <w:pPr>
              <w:pStyle w:val="TableTextRight"/>
            </w:pPr>
            <w:r w:rsidRPr="00EC1992">
              <w:t>2025</w:t>
            </w:r>
            <w:r w:rsidR="00325E1E">
              <w:noBreakHyphen/>
            </w:r>
            <w:r w:rsidRPr="00EC1992">
              <w:t>26</w:t>
            </w:r>
          </w:p>
        </w:tc>
        <w:tc>
          <w:tcPr>
            <w:tcW w:w="521" w:type="pct"/>
            <w:tcBorders>
              <w:top w:val="nil"/>
              <w:left w:val="nil"/>
              <w:bottom w:val="nil"/>
              <w:right w:val="nil"/>
            </w:tcBorders>
            <w:shd w:val="clear" w:color="000000" w:fill="FFFFFF"/>
            <w:noWrap/>
            <w:vAlign w:val="center"/>
            <w:hideMark/>
          </w:tcPr>
          <w:p w14:paraId="7F0A3F66" w14:textId="3F6414C5" w:rsidR="00EC1992" w:rsidRPr="00EC1992" w:rsidRDefault="00EC1992" w:rsidP="0005496E">
            <w:pPr>
              <w:pStyle w:val="TableTextRight"/>
            </w:pPr>
            <w:r w:rsidRPr="00EC1992">
              <w:t>2026</w:t>
            </w:r>
            <w:r w:rsidR="00325E1E">
              <w:noBreakHyphen/>
            </w:r>
            <w:r w:rsidRPr="00EC1992">
              <w:t>27</w:t>
            </w:r>
          </w:p>
        </w:tc>
        <w:tc>
          <w:tcPr>
            <w:tcW w:w="538" w:type="pct"/>
            <w:tcBorders>
              <w:top w:val="nil"/>
              <w:left w:val="nil"/>
              <w:bottom w:val="nil"/>
              <w:right w:val="nil"/>
            </w:tcBorders>
            <w:shd w:val="clear" w:color="000000" w:fill="FFFFFF"/>
            <w:noWrap/>
            <w:vAlign w:val="center"/>
            <w:hideMark/>
          </w:tcPr>
          <w:p w14:paraId="472F2F2E" w14:textId="586B5905" w:rsidR="00EC1992" w:rsidRPr="00EC1992" w:rsidRDefault="00EC1992" w:rsidP="0005496E">
            <w:pPr>
              <w:pStyle w:val="TableTextRight"/>
              <w:rPr>
                <w:color w:val="000000"/>
              </w:rPr>
            </w:pPr>
            <w:r w:rsidRPr="00EC1992">
              <w:rPr>
                <w:color w:val="000000"/>
              </w:rPr>
              <w:t>2027</w:t>
            </w:r>
            <w:r w:rsidR="00325E1E">
              <w:rPr>
                <w:color w:val="000000"/>
              </w:rPr>
              <w:noBreakHyphen/>
            </w:r>
            <w:r w:rsidRPr="00EC1992">
              <w:rPr>
                <w:color w:val="000000"/>
              </w:rPr>
              <w:t>28</w:t>
            </w:r>
          </w:p>
        </w:tc>
      </w:tr>
      <w:tr w:rsidR="00EC1992" w:rsidRPr="00EC1992" w14:paraId="3E122BB5" w14:textId="77777777" w:rsidTr="00006E1D">
        <w:trPr>
          <w:trHeight w:val="225"/>
        </w:trPr>
        <w:tc>
          <w:tcPr>
            <w:tcW w:w="2377" w:type="pct"/>
            <w:tcBorders>
              <w:top w:val="nil"/>
              <w:left w:val="nil"/>
              <w:bottom w:val="nil"/>
              <w:right w:val="nil"/>
            </w:tcBorders>
            <w:shd w:val="clear" w:color="000000" w:fill="FFFFFF"/>
            <w:noWrap/>
            <w:vAlign w:val="center"/>
            <w:hideMark/>
          </w:tcPr>
          <w:p w14:paraId="2988E82C" w14:textId="77777777" w:rsidR="00EC1992" w:rsidRPr="00EC1992" w:rsidRDefault="00EC1992" w:rsidP="004363F3">
            <w:pPr>
              <w:pStyle w:val="TableTextLeft"/>
            </w:pPr>
            <w:r w:rsidRPr="00EC1992">
              <w:t> </w:t>
            </w:r>
          </w:p>
        </w:tc>
        <w:tc>
          <w:tcPr>
            <w:tcW w:w="521" w:type="pct"/>
            <w:tcBorders>
              <w:top w:val="nil"/>
              <w:left w:val="nil"/>
              <w:bottom w:val="single" w:sz="4" w:space="0" w:color="293F5B"/>
              <w:right w:val="nil"/>
            </w:tcBorders>
            <w:shd w:val="clear" w:color="000000" w:fill="FFFFFF"/>
            <w:noWrap/>
            <w:vAlign w:val="center"/>
            <w:hideMark/>
          </w:tcPr>
          <w:p w14:paraId="043FB4BB" w14:textId="77777777" w:rsidR="00EC1992" w:rsidRPr="00EC1992" w:rsidRDefault="00EC1992" w:rsidP="0005496E">
            <w:pPr>
              <w:pStyle w:val="TableTextRight"/>
              <w:rPr>
                <w:color w:val="000000"/>
              </w:rPr>
            </w:pPr>
            <w:r w:rsidRPr="00EC1992">
              <w:rPr>
                <w:color w:val="000000"/>
              </w:rPr>
              <w:t>$m</w:t>
            </w:r>
          </w:p>
        </w:tc>
        <w:tc>
          <w:tcPr>
            <w:tcW w:w="521" w:type="pct"/>
            <w:tcBorders>
              <w:top w:val="nil"/>
              <w:left w:val="nil"/>
              <w:bottom w:val="single" w:sz="4" w:space="0" w:color="293F5B"/>
              <w:right w:val="nil"/>
            </w:tcBorders>
            <w:shd w:val="clear" w:color="000000" w:fill="E6F2FF"/>
            <w:noWrap/>
            <w:vAlign w:val="center"/>
            <w:hideMark/>
          </w:tcPr>
          <w:p w14:paraId="1B052E1F" w14:textId="77777777" w:rsidR="00EC1992" w:rsidRPr="00EC1992" w:rsidRDefault="00EC1992" w:rsidP="0005496E">
            <w:pPr>
              <w:pStyle w:val="TableTextRight"/>
              <w:rPr>
                <w:color w:val="000000"/>
              </w:rPr>
            </w:pPr>
            <w:r w:rsidRPr="00EC1992">
              <w:rPr>
                <w:color w:val="000000"/>
              </w:rPr>
              <w:t>$m</w:t>
            </w:r>
          </w:p>
        </w:tc>
        <w:tc>
          <w:tcPr>
            <w:tcW w:w="521" w:type="pct"/>
            <w:tcBorders>
              <w:top w:val="nil"/>
              <w:left w:val="nil"/>
              <w:bottom w:val="single" w:sz="4" w:space="0" w:color="293F5B"/>
              <w:right w:val="nil"/>
            </w:tcBorders>
            <w:shd w:val="clear" w:color="000000" w:fill="FFFFFF"/>
            <w:noWrap/>
            <w:vAlign w:val="center"/>
            <w:hideMark/>
          </w:tcPr>
          <w:p w14:paraId="30C719FA" w14:textId="77777777" w:rsidR="00EC1992" w:rsidRPr="00EC1992" w:rsidRDefault="00EC1992" w:rsidP="0005496E">
            <w:pPr>
              <w:pStyle w:val="TableTextRight"/>
              <w:rPr>
                <w:color w:val="000000"/>
              </w:rPr>
            </w:pPr>
            <w:r w:rsidRPr="00EC1992">
              <w:rPr>
                <w:color w:val="000000"/>
              </w:rPr>
              <w:t>$m</w:t>
            </w:r>
          </w:p>
        </w:tc>
        <w:tc>
          <w:tcPr>
            <w:tcW w:w="521" w:type="pct"/>
            <w:tcBorders>
              <w:top w:val="nil"/>
              <w:left w:val="nil"/>
              <w:bottom w:val="single" w:sz="4" w:space="0" w:color="293F5B"/>
              <w:right w:val="nil"/>
            </w:tcBorders>
            <w:shd w:val="clear" w:color="000000" w:fill="FFFFFF"/>
            <w:noWrap/>
            <w:vAlign w:val="center"/>
            <w:hideMark/>
          </w:tcPr>
          <w:p w14:paraId="613C66EE" w14:textId="77777777" w:rsidR="00EC1992" w:rsidRPr="00EC1992" w:rsidRDefault="00EC1992" w:rsidP="0005496E">
            <w:pPr>
              <w:pStyle w:val="TableTextRight"/>
              <w:rPr>
                <w:color w:val="000000"/>
              </w:rPr>
            </w:pPr>
            <w:r w:rsidRPr="00EC1992">
              <w:rPr>
                <w:color w:val="000000"/>
              </w:rPr>
              <w:t>$m</w:t>
            </w:r>
          </w:p>
        </w:tc>
        <w:tc>
          <w:tcPr>
            <w:tcW w:w="538" w:type="pct"/>
            <w:tcBorders>
              <w:top w:val="nil"/>
              <w:left w:val="nil"/>
              <w:bottom w:val="single" w:sz="4" w:space="0" w:color="293F5B"/>
              <w:right w:val="nil"/>
            </w:tcBorders>
            <w:shd w:val="clear" w:color="000000" w:fill="FFFFFF"/>
            <w:noWrap/>
            <w:vAlign w:val="center"/>
            <w:hideMark/>
          </w:tcPr>
          <w:p w14:paraId="6545B3DE" w14:textId="77777777" w:rsidR="00EC1992" w:rsidRPr="00EC1992" w:rsidRDefault="00EC1992" w:rsidP="0005496E">
            <w:pPr>
              <w:pStyle w:val="TableTextRight"/>
              <w:rPr>
                <w:color w:val="000000"/>
              </w:rPr>
            </w:pPr>
            <w:r w:rsidRPr="00EC1992">
              <w:rPr>
                <w:color w:val="000000"/>
              </w:rPr>
              <w:t>$m</w:t>
            </w:r>
          </w:p>
        </w:tc>
      </w:tr>
      <w:tr w:rsidR="00EC1992" w:rsidRPr="00EC1992" w14:paraId="2493E448" w14:textId="77777777" w:rsidTr="00006E1D">
        <w:trPr>
          <w:trHeight w:val="225"/>
        </w:trPr>
        <w:tc>
          <w:tcPr>
            <w:tcW w:w="2377" w:type="pct"/>
            <w:tcBorders>
              <w:top w:val="nil"/>
              <w:left w:val="nil"/>
              <w:bottom w:val="nil"/>
              <w:right w:val="nil"/>
            </w:tcBorders>
            <w:shd w:val="clear" w:color="000000" w:fill="FFFFFF"/>
            <w:noWrap/>
            <w:vAlign w:val="center"/>
            <w:hideMark/>
          </w:tcPr>
          <w:p w14:paraId="5A239359" w14:textId="77777777" w:rsidR="00EC1992" w:rsidRPr="00EC1992" w:rsidRDefault="00EC1992" w:rsidP="004363F3">
            <w:pPr>
              <w:pStyle w:val="TableTextLeft"/>
              <w:rPr>
                <w:b/>
              </w:rPr>
            </w:pPr>
            <w:r w:rsidRPr="00EC1992">
              <w:rPr>
                <w:b/>
              </w:rPr>
              <w:t>Land and buildings</w:t>
            </w:r>
          </w:p>
        </w:tc>
        <w:tc>
          <w:tcPr>
            <w:tcW w:w="521" w:type="pct"/>
            <w:tcBorders>
              <w:top w:val="nil"/>
              <w:left w:val="nil"/>
              <w:bottom w:val="nil"/>
              <w:right w:val="nil"/>
            </w:tcBorders>
            <w:shd w:val="clear" w:color="000000" w:fill="FFFFFF"/>
            <w:noWrap/>
            <w:vAlign w:val="center"/>
            <w:hideMark/>
          </w:tcPr>
          <w:p w14:paraId="21D899F2"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E6F2FF"/>
            <w:noWrap/>
            <w:vAlign w:val="center"/>
            <w:hideMark/>
          </w:tcPr>
          <w:p w14:paraId="0D969FE0"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66800860"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58CE26F6" w14:textId="77777777" w:rsidR="00EC1992" w:rsidRPr="00EC1992" w:rsidRDefault="00EC1992" w:rsidP="0005496E">
            <w:pPr>
              <w:pStyle w:val="TableTextRight"/>
              <w:rPr>
                <w:color w:val="000000"/>
              </w:rPr>
            </w:pPr>
            <w:r w:rsidRPr="00EC1992">
              <w:rPr>
                <w:color w:val="000000"/>
              </w:rPr>
              <w:t> </w:t>
            </w:r>
          </w:p>
        </w:tc>
        <w:tc>
          <w:tcPr>
            <w:tcW w:w="538" w:type="pct"/>
            <w:tcBorders>
              <w:top w:val="nil"/>
              <w:left w:val="nil"/>
              <w:bottom w:val="nil"/>
              <w:right w:val="nil"/>
            </w:tcBorders>
            <w:shd w:val="clear" w:color="000000" w:fill="FFFFFF"/>
            <w:noWrap/>
            <w:vAlign w:val="center"/>
            <w:hideMark/>
          </w:tcPr>
          <w:p w14:paraId="77B98E45" w14:textId="77777777" w:rsidR="00EC1992" w:rsidRPr="00EC1992" w:rsidRDefault="00EC1992" w:rsidP="0005496E">
            <w:pPr>
              <w:pStyle w:val="TableTextRight"/>
              <w:rPr>
                <w:color w:val="000000"/>
              </w:rPr>
            </w:pPr>
            <w:r w:rsidRPr="00EC1992">
              <w:rPr>
                <w:color w:val="000000"/>
              </w:rPr>
              <w:t> </w:t>
            </w:r>
          </w:p>
        </w:tc>
      </w:tr>
      <w:tr w:rsidR="00D037FC" w:rsidRPr="00EC1992" w14:paraId="7ED2F0A6" w14:textId="77777777" w:rsidTr="00006E1D">
        <w:trPr>
          <w:trHeight w:val="225"/>
        </w:trPr>
        <w:tc>
          <w:tcPr>
            <w:tcW w:w="2377" w:type="pct"/>
            <w:tcBorders>
              <w:top w:val="nil"/>
              <w:left w:val="nil"/>
              <w:bottom w:val="nil"/>
              <w:right w:val="nil"/>
            </w:tcBorders>
            <w:shd w:val="clear" w:color="000000" w:fill="FFFFFF"/>
            <w:noWrap/>
            <w:vAlign w:val="center"/>
            <w:hideMark/>
          </w:tcPr>
          <w:p w14:paraId="58A95155" w14:textId="77777777" w:rsidR="00D037FC" w:rsidRPr="00EC1992" w:rsidRDefault="00D037FC" w:rsidP="004363F3">
            <w:pPr>
              <w:pStyle w:val="TableTextIndented"/>
            </w:pPr>
            <w:r w:rsidRPr="00EC1992">
              <w:t>Land</w:t>
            </w:r>
          </w:p>
        </w:tc>
        <w:tc>
          <w:tcPr>
            <w:tcW w:w="521" w:type="pct"/>
            <w:tcBorders>
              <w:top w:val="nil"/>
              <w:left w:val="nil"/>
              <w:bottom w:val="nil"/>
              <w:right w:val="nil"/>
            </w:tcBorders>
            <w:shd w:val="clear" w:color="000000" w:fill="FFFFFF"/>
            <w:noWrap/>
            <w:vAlign w:val="center"/>
            <w:hideMark/>
          </w:tcPr>
          <w:p w14:paraId="72A2060A" w14:textId="05E96702" w:rsidR="00D037FC" w:rsidRPr="00EC1992" w:rsidRDefault="00D037FC" w:rsidP="0005496E">
            <w:pPr>
              <w:pStyle w:val="TableTextRight"/>
              <w:rPr>
                <w:color w:val="000000"/>
              </w:rPr>
            </w:pPr>
            <w:r>
              <w:rPr>
                <w:color w:val="000000"/>
              </w:rPr>
              <w:t>13,506</w:t>
            </w:r>
          </w:p>
        </w:tc>
        <w:tc>
          <w:tcPr>
            <w:tcW w:w="521" w:type="pct"/>
            <w:tcBorders>
              <w:top w:val="nil"/>
              <w:left w:val="nil"/>
              <w:bottom w:val="nil"/>
              <w:right w:val="nil"/>
            </w:tcBorders>
            <w:shd w:val="clear" w:color="000000" w:fill="E6F2FF"/>
            <w:noWrap/>
            <w:vAlign w:val="center"/>
            <w:hideMark/>
          </w:tcPr>
          <w:p w14:paraId="4CCE9782" w14:textId="2848FC06" w:rsidR="00D037FC" w:rsidRPr="00EC1992" w:rsidRDefault="00D037FC" w:rsidP="0005496E">
            <w:pPr>
              <w:pStyle w:val="TableTextRight"/>
              <w:rPr>
                <w:color w:val="000000"/>
              </w:rPr>
            </w:pPr>
            <w:r>
              <w:rPr>
                <w:color w:val="000000"/>
              </w:rPr>
              <w:t>13,473</w:t>
            </w:r>
          </w:p>
        </w:tc>
        <w:tc>
          <w:tcPr>
            <w:tcW w:w="521" w:type="pct"/>
            <w:tcBorders>
              <w:top w:val="nil"/>
              <w:left w:val="nil"/>
              <w:bottom w:val="nil"/>
              <w:right w:val="nil"/>
            </w:tcBorders>
            <w:shd w:val="clear" w:color="000000" w:fill="FFFFFF"/>
            <w:noWrap/>
            <w:vAlign w:val="center"/>
            <w:hideMark/>
          </w:tcPr>
          <w:p w14:paraId="2C972308" w14:textId="009E50BA" w:rsidR="00D037FC" w:rsidRPr="00EC1992" w:rsidRDefault="00D037FC" w:rsidP="0005496E">
            <w:pPr>
              <w:pStyle w:val="TableTextRight"/>
              <w:rPr>
                <w:color w:val="000000"/>
              </w:rPr>
            </w:pPr>
            <w:r>
              <w:rPr>
                <w:color w:val="000000"/>
              </w:rPr>
              <w:t>13,399</w:t>
            </w:r>
          </w:p>
        </w:tc>
        <w:tc>
          <w:tcPr>
            <w:tcW w:w="521" w:type="pct"/>
            <w:tcBorders>
              <w:top w:val="nil"/>
              <w:left w:val="nil"/>
              <w:bottom w:val="nil"/>
              <w:right w:val="nil"/>
            </w:tcBorders>
            <w:shd w:val="clear" w:color="000000" w:fill="FFFFFF"/>
            <w:noWrap/>
            <w:vAlign w:val="center"/>
            <w:hideMark/>
          </w:tcPr>
          <w:p w14:paraId="3D27A45A" w14:textId="0A1ACAA2" w:rsidR="00D037FC" w:rsidRPr="00EC1992" w:rsidRDefault="00D037FC" w:rsidP="0005496E">
            <w:pPr>
              <w:pStyle w:val="TableTextRight"/>
              <w:rPr>
                <w:color w:val="000000"/>
              </w:rPr>
            </w:pPr>
            <w:r>
              <w:rPr>
                <w:color w:val="000000"/>
              </w:rPr>
              <w:t>13,481</w:t>
            </w:r>
          </w:p>
        </w:tc>
        <w:tc>
          <w:tcPr>
            <w:tcW w:w="538" w:type="pct"/>
            <w:tcBorders>
              <w:top w:val="nil"/>
              <w:left w:val="nil"/>
              <w:bottom w:val="nil"/>
              <w:right w:val="nil"/>
            </w:tcBorders>
            <w:shd w:val="clear" w:color="000000" w:fill="FFFFFF"/>
            <w:noWrap/>
            <w:vAlign w:val="center"/>
            <w:hideMark/>
          </w:tcPr>
          <w:p w14:paraId="34D8DE3F" w14:textId="621C452F" w:rsidR="00D037FC" w:rsidRPr="00EC1992" w:rsidRDefault="00D037FC" w:rsidP="0005496E">
            <w:pPr>
              <w:pStyle w:val="TableTextRight"/>
              <w:rPr>
                <w:color w:val="000000"/>
              </w:rPr>
            </w:pPr>
            <w:r>
              <w:rPr>
                <w:color w:val="000000"/>
              </w:rPr>
              <w:t>13,643</w:t>
            </w:r>
          </w:p>
        </w:tc>
      </w:tr>
      <w:tr w:rsidR="00D037FC" w:rsidRPr="00EC1992" w14:paraId="07CB1039" w14:textId="77777777" w:rsidTr="00006E1D">
        <w:trPr>
          <w:trHeight w:val="225"/>
        </w:trPr>
        <w:tc>
          <w:tcPr>
            <w:tcW w:w="2377" w:type="pct"/>
            <w:tcBorders>
              <w:top w:val="nil"/>
              <w:left w:val="nil"/>
              <w:bottom w:val="nil"/>
              <w:right w:val="nil"/>
            </w:tcBorders>
            <w:shd w:val="clear" w:color="000000" w:fill="FFFFFF"/>
            <w:noWrap/>
            <w:vAlign w:val="center"/>
            <w:hideMark/>
          </w:tcPr>
          <w:p w14:paraId="7D67015E" w14:textId="77777777" w:rsidR="00D037FC" w:rsidRPr="00EC1992" w:rsidRDefault="00D037FC" w:rsidP="004363F3">
            <w:pPr>
              <w:pStyle w:val="TableTextIndented"/>
            </w:pPr>
            <w:r w:rsidRPr="00EC1992">
              <w:t>Buildings</w:t>
            </w:r>
          </w:p>
        </w:tc>
        <w:tc>
          <w:tcPr>
            <w:tcW w:w="521" w:type="pct"/>
            <w:tcBorders>
              <w:top w:val="nil"/>
              <w:left w:val="nil"/>
              <w:bottom w:val="single" w:sz="4" w:space="0" w:color="293F5B"/>
              <w:right w:val="nil"/>
            </w:tcBorders>
            <w:shd w:val="clear" w:color="000000" w:fill="FFFFFF"/>
            <w:noWrap/>
            <w:vAlign w:val="center"/>
            <w:hideMark/>
          </w:tcPr>
          <w:p w14:paraId="73AC7718" w14:textId="4A6D00C3" w:rsidR="00D037FC" w:rsidRPr="00EC1992" w:rsidRDefault="00D037FC" w:rsidP="0005496E">
            <w:pPr>
              <w:pStyle w:val="TableTextRight"/>
              <w:rPr>
                <w:color w:val="000000"/>
              </w:rPr>
            </w:pPr>
            <w:r>
              <w:rPr>
                <w:color w:val="000000"/>
              </w:rPr>
              <w:t>50,673</w:t>
            </w:r>
          </w:p>
        </w:tc>
        <w:tc>
          <w:tcPr>
            <w:tcW w:w="521" w:type="pct"/>
            <w:tcBorders>
              <w:top w:val="nil"/>
              <w:left w:val="nil"/>
              <w:bottom w:val="single" w:sz="4" w:space="0" w:color="293F5B"/>
              <w:right w:val="nil"/>
            </w:tcBorders>
            <w:shd w:val="clear" w:color="000000" w:fill="E6F2FF"/>
            <w:noWrap/>
            <w:vAlign w:val="center"/>
            <w:hideMark/>
          </w:tcPr>
          <w:p w14:paraId="3A61CEFA" w14:textId="20996FEB" w:rsidR="00D037FC" w:rsidRPr="00EC1992" w:rsidRDefault="00D037FC" w:rsidP="0005496E">
            <w:pPr>
              <w:pStyle w:val="TableTextRight"/>
              <w:rPr>
                <w:color w:val="000000"/>
              </w:rPr>
            </w:pPr>
            <w:r>
              <w:rPr>
                <w:color w:val="000000"/>
              </w:rPr>
              <w:t>52,246</w:t>
            </w:r>
          </w:p>
        </w:tc>
        <w:tc>
          <w:tcPr>
            <w:tcW w:w="521" w:type="pct"/>
            <w:tcBorders>
              <w:top w:val="nil"/>
              <w:left w:val="nil"/>
              <w:bottom w:val="single" w:sz="4" w:space="0" w:color="293F5B"/>
              <w:right w:val="nil"/>
            </w:tcBorders>
            <w:shd w:val="clear" w:color="000000" w:fill="FFFFFF"/>
            <w:noWrap/>
            <w:vAlign w:val="center"/>
            <w:hideMark/>
          </w:tcPr>
          <w:p w14:paraId="554E1F04" w14:textId="4D9C0760" w:rsidR="00D037FC" w:rsidRPr="00EC1992" w:rsidRDefault="00D037FC" w:rsidP="0005496E">
            <w:pPr>
              <w:pStyle w:val="TableTextRight"/>
              <w:rPr>
                <w:color w:val="000000"/>
              </w:rPr>
            </w:pPr>
            <w:r>
              <w:rPr>
                <w:color w:val="000000"/>
              </w:rPr>
              <w:t>53,585</w:t>
            </w:r>
          </w:p>
        </w:tc>
        <w:tc>
          <w:tcPr>
            <w:tcW w:w="521" w:type="pct"/>
            <w:tcBorders>
              <w:top w:val="nil"/>
              <w:left w:val="nil"/>
              <w:bottom w:val="single" w:sz="4" w:space="0" w:color="293F5B"/>
              <w:right w:val="nil"/>
            </w:tcBorders>
            <w:shd w:val="clear" w:color="000000" w:fill="FFFFFF"/>
            <w:noWrap/>
            <w:vAlign w:val="center"/>
            <w:hideMark/>
          </w:tcPr>
          <w:p w14:paraId="3108C042" w14:textId="5ABDF0D6" w:rsidR="00D037FC" w:rsidRPr="00EC1992" w:rsidRDefault="00D037FC" w:rsidP="0005496E">
            <w:pPr>
              <w:pStyle w:val="TableTextRight"/>
              <w:rPr>
                <w:color w:val="000000"/>
              </w:rPr>
            </w:pPr>
            <w:r>
              <w:rPr>
                <w:color w:val="000000"/>
              </w:rPr>
              <w:t>55,466</w:t>
            </w:r>
          </w:p>
        </w:tc>
        <w:tc>
          <w:tcPr>
            <w:tcW w:w="538" w:type="pct"/>
            <w:tcBorders>
              <w:top w:val="nil"/>
              <w:left w:val="nil"/>
              <w:bottom w:val="single" w:sz="4" w:space="0" w:color="293F5B"/>
              <w:right w:val="nil"/>
            </w:tcBorders>
            <w:shd w:val="clear" w:color="000000" w:fill="FFFFFF"/>
            <w:noWrap/>
            <w:vAlign w:val="center"/>
            <w:hideMark/>
          </w:tcPr>
          <w:p w14:paraId="37C47BB8" w14:textId="333CC009" w:rsidR="00D037FC" w:rsidRPr="00EC1992" w:rsidRDefault="00D037FC" w:rsidP="0005496E">
            <w:pPr>
              <w:pStyle w:val="TableTextRight"/>
              <w:rPr>
                <w:color w:val="000000"/>
              </w:rPr>
            </w:pPr>
            <w:r>
              <w:rPr>
                <w:color w:val="000000"/>
              </w:rPr>
              <w:t>57,806</w:t>
            </w:r>
          </w:p>
        </w:tc>
      </w:tr>
      <w:tr w:rsidR="00D037FC" w:rsidRPr="00EC1992" w14:paraId="2D48FA66" w14:textId="77777777" w:rsidTr="00006E1D">
        <w:trPr>
          <w:trHeight w:val="225"/>
        </w:trPr>
        <w:tc>
          <w:tcPr>
            <w:tcW w:w="2377" w:type="pct"/>
            <w:tcBorders>
              <w:top w:val="nil"/>
              <w:left w:val="nil"/>
              <w:bottom w:val="nil"/>
              <w:right w:val="nil"/>
            </w:tcBorders>
            <w:shd w:val="clear" w:color="000000" w:fill="FFFFFF"/>
            <w:noWrap/>
            <w:vAlign w:val="center"/>
            <w:hideMark/>
          </w:tcPr>
          <w:p w14:paraId="143A0E09" w14:textId="77777777" w:rsidR="00D037FC" w:rsidRPr="00EC1992" w:rsidRDefault="00D037FC" w:rsidP="004363F3">
            <w:pPr>
              <w:pStyle w:val="TableTextLeft"/>
              <w:rPr>
                <w:b/>
              </w:rPr>
            </w:pPr>
            <w:r w:rsidRPr="00EC1992">
              <w:rPr>
                <w:b/>
              </w:rPr>
              <w:t>Total land and buildings</w:t>
            </w:r>
          </w:p>
        </w:tc>
        <w:tc>
          <w:tcPr>
            <w:tcW w:w="521" w:type="pct"/>
            <w:tcBorders>
              <w:top w:val="nil"/>
              <w:left w:val="nil"/>
              <w:bottom w:val="single" w:sz="4" w:space="0" w:color="293F5B"/>
              <w:right w:val="nil"/>
            </w:tcBorders>
            <w:shd w:val="clear" w:color="000000" w:fill="FFFFFF"/>
            <w:noWrap/>
            <w:vAlign w:val="center"/>
            <w:hideMark/>
          </w:tcPr>
          <w:p w14:paraId="12393302" w14:textId="602A003D" w:rsidR="00D037FC" w:rsidRPr="00EC1992" w:rsidRDefault="00D037FC" w:rsidP="0005496E">
            <w:pPr>
              <w:pStyle w:val="TableTextRight"/>
              <w:rPr>
                <w:b/>
                <w:color w:val="000000"/>
              </w:rPr>
            </w:pPr>
            <w:r>
              <w:rPr>
                <w:b/>
                <w:color w:val="000000"/>
              </w:rPr>
              <w:t>64,178</w:t>
            </w:r>
          </w:p>
        </w:tc>
        <w:tc>
          <w:tcPr>
            <w:tcW w:w="521" w:type="pct"/>
            <w:tcBorders>
              <w:top w:val="nil"/>
              <w:left w:val="nil"/>
              <w:bottom w:val="single" w:sz="4" w:space="0" w:color="293F5B"/>
              <w:right w:val="nil"/>
            </w:tcBorders>
            <w:shd w:val="clear" w:color="000000" w:fill="E6F2FF"/>
            <w:noWrap/>
            <w:vAlign w:val="center"/>
            <w:hideMark/>
          </w:tcPr>
          <w:p w14:paraId="37668EFF" w14:textId="39C08BC6" w:rsidR="00D037FC" w:rsidRPr="00EC1992" w:rsidRDefault="00D037FC" w:rsidP="0005496E">
            <w:pPr>
              <w:pStyle w:val="TableTextRight"/>
              <w:rPr>
                <w:b/>
                <w:color w:val="000000"/>
              </w:rPr>
            </w:pPr>
            <w:r>
              <w:rPr>
                <w:b/>
                <w:color w:val="000000"/>
              </w:rPr>
              <w:t>65,719</w:t>
            </w:r>
          </w:p>
        </w:tc>
        <w:tc>
          <w:tcPr>
            <w:tcW w:w="521" w:type="pct"/>
            <w:tcBorders>
              <w:top w:val="nil"/>
              <w:left w:val="nil"/>
              <w:bottom w:val="single" w:sz="4" w:space="0" w:color="293F5B"/>
              <w:right w:val="nil"/>
            </w:tcBorders>
            <w:shd w:val="clear" w:color="000000" w:fill="FFFFFF"/>
            <w:noWrap/>
            <w:vAlign w:val="center"/>
            <w:hideMark/>
          </w:tcPr>
          <w:p w14:paraId="74889A1C" w14:textId="7DC20440" w:rsidR="00D037FC" w:rsidRPr="00EC1992" w:rsidRDefault="00D037FC" w:rsidP="0005496E">
            <w:pPr>
              <w:pStyle w:val="TableTextRight"/>
              <w:rPr>
                <w:b/>
                <w:color w:val="000000"/>
              </w:rPr>
            </w:pPr>
            <w:r>
              <w:rPr>
                <w:b/>
                <w:color w:val="000000"/>
              </w:rPr>
              <w:t>66,983</w:t>
            </w:r>
          </w:p>
        </w:tc>
        <w:tc>
          <w:tcPr>
            <w:tcW w:w="521" w:type="pct"/>
            <w:tcBorders>
              <w:top w:val="nil"/>
              <w:left w:val="nil"/>
              <w:bottom w:val="single" w:sz="4" w:space="0" w:color="293F5B"/>
              <w:right w:val="nil"/>
            </w:tcBorders>
            <w:shd w:val="clear" w:color="000000" w:fill="FFFFFF"/>
            <w:noWrap/>
            <w:vAlign w:val="center"/>
            <w:hideMark/>
          </w:tcPr>
          <w:p w14:paraId="378D1D55" w14:textId="441A2679" w:rsidR="00D037FC" w:rsidRPr="00EC1992" w:rsidRDefault="00D037FC" w:rsidP="0005496E">
            <w:pPr>
              <w:pStyle w:val="TableTextRight"/>
              <w:rPr>
                <w:b/>
                <w:color w:val="000000"/>
              </w:rPr>
            </w:pPr>
            <w:r>
              <w:rPr>
                <w:b/>
                <w:color w:val="000000"/>
              </w:rPr>
              <w:t>68,947</w:t>
            </w:r>
          </w:p>
        </w:tc>
        <w:tc>
          <w:tcPr>
            <w:tcW w:w="538" w:type="pct"/>
            <w:tcBorders>
              <w:top w:val="nil"/>
              <w:left w:val="nil"/>
              <w:bottom w:val="single" w:sz="4" w:space="0" w:color="293F5B"/>
              <w:right w:val="nil"/>
            </w:tcBorders>
            <w:shd w:val="clear" w:color="000000" w:fill="FFFFFF"/>
            <w:noWrap/>
            <w:vAlign w:val="center"/>
            <w:hideMark/>
          </w:tcPr>
          <w:p w14:paraId="3BAB14C7" w14:textId="2E729239" w:rsidR="00D037FC" w:rsidRPr="00EC1992" w:rsidRDefault="00D037FC" w:rsidP="0005496E">
            <w:pPr>
              <w:pStyle w:val="TableTextRight"/>
              <w:rPr>
                <w:b/>
                <w:color w:val="000000"/>
              </w:rPr>
            </w:pPr>
            <w:r>
              <w:rPr>
                <w:b/>
                <w:color w:val="000000"/>
              </w:rPr>
              <w:t>71,449</w:t>
            </w:r>
          </w:p>
        </w:tc>
      </w:tr>
      <w:tr w:rsidR="00EC1992" w:rsidRPr="00EC1992" w14:paraId="13AA52A3" w14:textId="77777777" w:rsidTr="00006E1D">
        <w:trPr>
          <w:trHeight w:val="225"/>
        </w:trPr>
        <w:tc>
          <w:tcPr>
            <w:tcW w:w="2377" w:type="pct"/>
            <w:tcBorders>
              <w:top w:val="nil"/>
              <w:left w:val="nil"/>
              <w:bottom w:val="nil"/>
              <w:right w:val="nil"/>
            </w:tcBorders>
            <w:shd w:val="clear" w:color="000000" w:fill="FFFFFF"/>
            <w:noWrap/>
            <w:vAlign w:val="center"/>
            <w:hideMark/>
          </w:tcPr>
          <w:p w14:paraId="171533DB" w14:textId="77777777" w:rsidR="00EC1992" w:rsidRPr="00EC1992" w:rsidRDefault="00EC1992" w:rsidP="004363F3">
            <w:pPr>
              <w:pStyle w:val="TableTextLeft"/>
              <w:rPr>
                <w:b/>
              </w:rPr>
            </w:pPr>
            <w:r w:rsidRPr="00EC1992">
              <w:rPr>
                <w:b/>
              </w:rPr>
              <w:t>Plant, equipment and infrastructure</w:t>
            </w:r>
          </w:p>
        </w:tc>
        <w:tc>
          <w:tcPr>
            <w:tcW w:w="521" w:type="pct"/>
            <w:tcBorders>
              <w:top w:val="nil"/>
              <w:left w:val="nil"/>
              <w:bottom w:val="nil"/>
              <w:right w:val="nil"/>
            </w:tcBorders>
            <w:shd w:val="clear" w:color="000000" w:fill="FFFFFF"/>
            <w:noWrap/>
            <w:vAlign w:val="center"/>
            <w:hideMark/>
          </w:tcPr>
          <w:p w14:paraId="23730631"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E6F2FF"/>
            <w:noWrap/>
            <w:vAlign w:val="center"/>
            <w:hideMark/>
          </w:tcPr>
          <w:p w14:paraId="0EC15108"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294E6178"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3EFE0FF6" w14:textId="77777777" w:rsidR="00EC1992" w:rsidRPr="00EC1992" w:rsidRDefault="00EC1992" w:rsidP="0005496E">
            <w:pPr>
              <w:pStyle w:val="TableTextRight"/>
              <w:rPr>
                <w:color w:val="000000"/>
              </w:rPr>
            </w:pPr>
            <w:r w:rsidRPr="00EC1992">
              <w:rPr>
                <w:color w:val="000000"/>
              </w:rPr>
              <w:t> </w:t>
            </w:r>
          </w:p>
        </w:tc>
        <w:tc>
          <w:tcPr>
            <w:tcW w:w="538" w:type="pct"/>
            <w:tcBorders>
              <w:top w:val="nil"/>
              <w:left w:val="nil"/>
              <w:bottom w:val="nil"/>
              <w:right w:val="nil"/>
            </w:tcBorders>
            <w:shd w:val="clear" w:color="000000" w:fill="FFFFFF"/>
            <w:noWrap/>
            <w:vAlign w:val="center"/>
            <w:hideMark/>
          </w:tcPr>
          <w:p w14:paraId="33B72244" w14:textId="77777777" w:rsidR="00EC1992" w:rsidRPr="00EC1992" w:rsidRDefault="00EC1992" w:rsidP="0005496E">
            <w:pPr>
              <w:pStyle w:val="TableTextRight"/>
              <w:rPr>
                <w:color w:val="000000"/>
              </w:rPr>
            </w:pPr>
            <w:r w:rsidRPr="00EC1992">
              <w:rPr>
                <w:color w:val="000000"/>
              </w:rPr>
              <w:t> </w:t>
            </w:r>
          </w:p>
        </w:tc>
      </w:tr>
      <w:tr w:rsidR="001A4488" w:rsidRPr="00EC1992" w14:paraId="00D1C110" w14:textId="77777777" w:rsidTr="00006E1D">
        <w:trPr>
          <w:trHeight w:val="225"/>
        </w:trPr>
        <w:tc>
          <w:tcPr>
            <w:tcW w:w="2377" w:type="pct"/>
            <w:tcBorders>
              <w:top w:val="nil"/>
              <w:left w:val="nil"/>
              <w:bottom w:val="nil"/>
              <w:right w:val="nil"/>
            </w:tcBorders>
            <w:shd w:val="clear" w:color="000000" w:fill="FFFFFF"/>
            <w:noWrap/>
            <w:vAlign w:val="center"/>
            <w:hideMark/>
          </w:tcPr>
          <w:p w14:paraId="0830F915" w14:textId="77777777" w:rsidR="001A4488" w:rsidRPr="00EC1992" w:rsidRDefault="001A4488" w:rsidP="004363F3">
            <w:pPr>
              <w:pStyle w:val="TableTextIndented"/>
            </w:pPr>
            <w:r w:rsidRPr="00EC1992">
              <w:t>Specialist military equipment</w:t>
            </w:r>
          </w:p>
        </w:tc>
        <w:tc>
          <w:tcPr>
            <w:tcW w:w="521" w:type="pct"/>
            <w:tcBorders>
              <w:top w:val="nil"/>
              <w:left w:val="nil"/>
              <w:bottom w:val="nil"/>
              <w:right w:val="nil"/>
            </w:tcBorders>
            <w:shd w:val="clear" w:color="000000" w:fill="FFFFFF"/>
            <w:noWrap/>
            <w:vAlign w:val="center"/>
            <w:hideMark/>
          </w:tcPr>
          <w:p w14:paraId="59D04124" w14:textId="74921FEE" w:rsidR="001A4488" w:rsidRPr="00EC1992" w:rsidRDefault="001A4488" w:rsidP="0005496E">
            <w:pPr>
              <w:pStyle w:val="TableTextRight"/>
              <w:rPr>
                <w:color w:val="000000"/>
              </w:rPr>
            </w:pPr>
            <w:r>
              <w:rPr>
                <w:color w:val="000000"/>
              </w:rPr>
              <w:t>89,424</w:t>
            </w:r>
          </w:p>
        </w:tc>
        <w:tc>
          <w:tcPr>
            <w:tcW w:w="521" w:type="pct"/>
            <w:tcBorders>
              <w:top w:val="nil"/>
              <w:left w:val="nil"/>
              <w:bottom w:val="nil"/>
              <w:right w:val="nil"/>
            </w:tcBorders>
            <w:shd w:val="clear" w:color="000000" w:fill="E6F2FF"/>
            <w:noWrap/>
            <w:vAlign w:val="center"/>
            <w:hideMark/>
          </w:tcPr>
          <w:p w14:paraId="255FE9DB" w14:textId="3EAA5920" w:rsidR="001A4488" w:rsidRPr="00EC1992" w:rsidRDefault="001A4488" w:rsidP="0005496E">
            <w:pPr>
              <w:pStyle w:val="TableTextRight"/>
              <w:rPr>
                <w:color w:val="000000"/>
              </w:rPr>
            </w:pPr>
            <w:r>
              <w:rPr>
                <w:color w:val="000000"/>
              </w:rPr>
              <w:t>92,193</w:t>
            </w:r>
          </w:p>
        </w:tc>
        <w:tc>
          <w:tcPr>
            <w:tcW w:w="521" w:type="pct"/>
            <w:tcBorders>
              <w:top w:val="nil"/>
              <w:left w:val="nil"/>
              <w:bottom w:val="nil"/>
              <w:right w:val="nil"/>
            </w:tcBorders>
            <w:shd w:val="clear" w:color="000000" w:fill="FFFFFF"/>
            <w:noWrap/>
            <w:vAlign w:val="center"/>
            <w:hideMark/>
          </w:tcPr>
          <w:p w14:paraId="6B9B3FFC" w14:textId="6BD9ABA7" w:rsidR="001A4488" w:rsidRPr="00EC1992" w:rsidRDefault="001A4488" w:rsidP="0005496E">
            <w:pPr>
              <w:pStyle w:val="TableTextRight"/>
              <w:rPr>
                <w:color w:val="000000"/>
              </w:rPr>
            </w:pPr>
            <w:r>
              <w:rPr>
                <w:color w:val="000000"/>
              </w:rPr>
              <w:t>95,262</w:t>
            </w:r>
          </w:p>
        </w:tc>
        <w:tc>
          <w:tcPr>
            <w:tcW w:w="521" w:type="pct"/>
            <w:tcBorders>
              <w:top w:val="nil"/>
              <w:left w:val="nil"/>
              <w:bottom w:val="nil"/>
              <w:right w:val="nil"/>
            </w:tcBorders>
            <w:shd w:val="clear" w:color="000000" w:fill="FFFFFF"/>
            <w:noWrap/>
            <w:vAlign w:val="center"/>
            <w:hideMark/>
          </w:tcPr>
          <w:p w14:paraId="3DF2A70D" w14:textId="1087AA87" w:rsidR="001A4488" w:rsidRPr="00EC1992" w:rsidRDefault="001A4488" w:rsidP="0005496E">
            <w:pPr>
              <w:pStyle w:val="TableTextRight"/>
              <w:rPr>
                <w:color w:val="000000"/>
              </w:rPr>
            </w:pPr>
            <w:r>
              <w:rPr>
                <w:color w:val="000000"/>
              </w:rPr>
              <w:t>99,277</w:t>
            </w:r>
          </w:p>
        </w:tc>
        <w:tc>
          <w:tcPr>
            <w:tcW w:w="538" w:type="pct"/>
            <w:tcBorders>
              <w:top w:val="nil"/>
              <w:left w:val="nil"/>
              <w:bottom w:val="nil"/>
              <w:right w:val="nil"/>
            </w:tcBorders>
            <w:shd w:val="clear" w:color="000000" w:fill="FFFFFF"/>
            <w:noWrap/>
            <w:vAlign w:val="center"/>
            <w:hideMark/>
          </w:tcPr>
          <w:p w14:paraId="20FF64FB" w14:textId="521E53BD" w:rsidR="001A4488" w:rsidRPr="00EC1992" w:rsidRDefault="001A4488" w:rsidP="0005496E">
            <w:pPr>
              <w:pStyle w:val="TableTextRight"/>
              <w:rPr>
                <w:color w:val="000000"/>
              </w:rPr>
            </w:pPr>
            <w:r>
              <w:rPr>
                <w:color w:val="000000"/>
              </w:rPr>
              <w:t>106,977</w:t>
            </w:r>
          </w:p>
        </w:tc>
      </w:tr>
      <w:tr w:rsidR="001A4488" w:rsidRPr="00EC1992" w14:paraId="1C1A6B34" w14:textId="77777777" w:rsidTr="00006E1D">
        <w:trPr>
          <w:trHeight w:val="225"/>
        </w:trPr>
        <w:tc>
          <w:tcPr>
            <w:tcW w:w="2377" w:type="pct"/>
            <w:tcBorders>
              <w:top w:val="nil"/>
              <w:left w:val="nil"/>
              <w:bottom w:val="nil"/>
              <w:right w:val="nil"/>
            </w:tcBorders>
            <w:shd w:val="clear" w:color="000000" w:fill="FFFFFF"/>
            <w:noWrap/>
            <w:vAlign w:val="center"/>
            <w:hideMark/>
          </w:tcPr>
          <w:p w14:paraId="09E8280E" w14:textId="77777777" w:rsidR="001A4488" w:rsidRPr="00EC1992" w:rsidRDefault="001A4488" w:rsidP="004363F3">
            <w:pPr>
              <w:pStyle w:val="TableTextIndented"/>
            </w:pPr>
            <w:r w:rsidRPr="00EC1992">
              <w:t>Other plant, equipment and infrastructure</w:t>
            </w:r>
          </w:p>
        </w:tc>
        <w:tc>
          <w:tcPr>
            <w:tcW w:w="521" w:type="pct"/>
            <w:tcBorders>
              <w:top w:val="nil"/>
              <w:left w:val="nil"/>
              <w:bottom w:val="single" w:sz="4" w:space="0" w:color="293F5B"/>
              <w:right w:val="nil"/>
            </w:tcBorders>
            <w:shd w:val="clear" w:color="000000" w:fill="FFFFFF"/>
            <w:noWrap/>
            <w:vAlign w:val="center"/>
            <w:hideMark/>
          </w:tcPr>
          <w:p w14:paraId="2A555F21" w14:textId="604B8051" w:rsidR="001A4488" w:rsidRPr="00EC1992" w:rsidRDefault="001A4488" w:rsidP="0005496E">
            <w:pPr>
              <w:pStyle w:val="TableTextRight"/>
              <w:rPr>
                <w:color w:val="000000"/>
              </w:rPr>
            </w:pPr>
            <w:r>
              <w:rPr>
                <w:color w:val="000000"/>
              </w:rPr>
              <w:t>20,620</w:t>
            </w:r>
          </w:p>
        </w:tc>
        <w:tc>
          <w:tcPr>
            <w:tcW w:w="521" w:type="pct"/>
            <w:tcBorders>
              <w:top w:val="nil"/>
              <w:left w:val="nil"/>
              <w:bottom w:val="single" w:sz="4" w:space="0" w:color="293F5B"/>
              <w:right w:val="nil"/>
            </w:tcBorders>
            <w:shd w:val="clear" w:color="000000" w:fill="E6F2FF"/>
            <w:noWrap/>
            <w:vAlign w:val="center"/>
            <w:hideMark/>
          </w:tcPr>
          <w:p w14:paraId="282F4341" w14:textId="033557B9" w:rsidR="001A4488" w:rsidRPr="00EC1992" w:rsidRDefault="001A4488" w:rsidP="0005496E">
            <w:pPr>
              <w:pStyle w:val="TableTextRight"/>
              <w:rPr>
                <w:color w:val="000000"/>
              </w:rPr>
            </w:pPr>
            <w:r>
              <w:rPr>
                <w:color w:val="000000"/>
              </w:rPr>
              <w:t>22,142</w:t>
            </w:r>
          </w:p>
        </w:tc>
        <w:tc>
          <w:tcPr>
            <w:tcW w:w="521" w:type="pct"/>
            <w:tcBorders>
              <w:top w:val="nil"/>
              <w:left w:val="nil"/>
              <w:bottom w:val="single" w:sz="4" w:space="0" w:color="293F5B"/>
              <w:right w:val="nil"/>
            </w:tcBorders>
            <w:shd w:val="clear" w:color="000000" w:fill="FFFFFF"/>
            <w:noWrap/>
            <w:vAlign w:val="center"/>
            <w:hideMark/>
          </w:tcPr>
          <w:p w14:paraId="3833D0AB" w14:textId="46066CC0" w:rsidR="001A4488" w:rsidRPr="00EC1992" w:rsidRDefault="001A4488" w:rsidP="0005496E">
            <w:pPr>
              <w:pStyle w:val="TableTextRight"/>
              <w:rPr>
                <w:color w:val="000000"/>
              </w:rPr>
            </w:pPr>
            <w:r>
              <w:rPr>
                <w:color w:val="000000"/>
              </w:rPr>
              <w:t>23,550</w:t>
            </w:r>
          </w:p>
        </w:tc>
        <w:tc>
          <w:tcPr>
            <w:tcW w:w="521" w:type="pct"/>
            <w:tcBorders>
              <w:top w:val="nil"/>
              <w:left w:val="nil"/>
              <w:bottom w:val="single" w:sz="4" w:space="0" w:color="293F5B"/>
              <w:right w:val="nil"/>
            </w:tcBorders>
            <w:shd w:val="clear" w:color="000000" w:fill="FFFFFF"/>
            <w:noWrap/>
            <w:vAlign w:val="center"/>
            <w:hideMark/>
          </w:tcPr>
          <w:p w14:paraId="36D90D38" w14:textId="753E0F08" w:rsidR="001A4488" w:rsidRPr="00EC1992" w:rsidRDefault="001A4488" w:rsidP="0005496E">
            <w:pPr>
              <w:pStyle w:val="TableTextRight"/>
              <w:rPr>
                <w:color w:val="000000"/>
              </w:rPr>
            </w:pPr>
            <w:r>
              <w:rPr>
                <w:color w:val="000000"/>
              </w:rPr>
              <w:t>25,034</w:t>
            </w:r>
          </w:p>
        </w:tc>
        <w:tc>
          <w:tcPr>
            <w:tcW w:w="538" w:type="pct"/>
            <w:tcBorders>
              <w:top w:val="nil"/>
              <w:left w:val="nil"/>
              <w:bottom w:val="single" w:sz="4" w:space="0" w:color="293F5B"/>
              <w:right w:val="nil"/>
            </w:tcBorders>
            <w:shd w:val="clear" w:color="000000" w:fill="FFFFFF"/>
            <w:noWrap/>
            <w:vAlign w:val="center"/>
            <w:hideMark/>
          </w:tcPr>
          <w:p w14:paraId="3FDCFE73" w14:textId="18762A7E" w:rsidR="001A4488" w:rsidRPr="00EC1992" w:rsidRDefault="001A4488" w:rsidP="0005496E">
            <w:pPr>
              <w:pStyle w:val="TableTextRight"/>
              <w:rPr>
                <w:color w:val="000000"/>
              </w:rPr>
            </w:pPr>
            <w:r>
              <w:rPr>
                <w:color w:val="000000"/>
              </w:rPr>
              <w:t>25,703</w:t>
            </w:r>
          </w:p>
        </w:tc>
      </w:tr>
      <w:tr w:rsidR="001A4488" w:rsidRPr="00EC1992" w14:paraId="641BF372" w14:textId="77777777" w:rsidTr="00006E1D">
        <w:trPr>
          <w:trHeight w:val="225"/>
        </w:trPr>
        <w:tc>
          <w:tcPr>
            <w:tcW w:w="2377" w:type="pct"/>
            <w:tcBorders>
              <w:top w:val="nil"/>
              <w:left w:val="nil"/>
              <w:bottom w:val="nil"/>
              <w:right w:val="nil"/>
            </w:tcBorders>
            <w:shd w:val="clear" w:color="000000" w:fill="FFFFFF"/>
            <w:noWrap/>
            <w:vAlign w:val="center"/>
            <w:hideMark/>
          </w:tcPr>
          <w:p w14:paraId="3C8F732C" w14:textId="77777777" w:rsidR="001A4488" w:rsidRPr="00EC1992" w:rsidRDefault="001A4488" w:rsidP="004363F3">
            <w:pPr>
              <w:pStyle w:val="TableTextLeft"/>
              <w:rPr>
                <w:b/>
              </w:rPr>
            </w:pPr>
            <w:r w:rsidRPr="00EC1992">
              <w:rPr>
                <w:b/>
              </w:rPr>
              <w:t>Total plant, equipment and infrastructure</w:t>
            </w:r>
          </w:p>
        </w:tc>
        <w:tc>
          <w:tcPr>
            <w:tcW w:w="521" w:type="pct"/>
            <w:tcBorders>
              <w:top w:val="nil"/>
              <w:left w:val="nil"/>
              <w:bottom w:val="single" w:sz="4" w:space="0" w:color="293F5B"/>
              <w:right w:val="nil"/>
            </w:tcBorders>
            <w:shd w:val="clear" w:color="000000" w:fill="FFFFFF"/>
            <w:noWrap/>
            <w:vAlign w:val="center"/>
            <w:hideMark/>
          </w:tcPr>
          <w:p w14:paraId="66422B2F" w14:textId="70CC3D82" w:rsidR="001A4488" w:rsidRPr="00EC1992" w:rsidRDefault="001A4488" w:rsidP="0005496E">
            <w:pPr>
              <w:pStyle w:val="TableTextRight"/>
              <w:rPr>
                <w:b/>
                <w:color w:val="000000"/>
              </w:rPr>
            </w:pPr>
            <w:r>
              <w:rPr>
                <w:b/>
                <w:color w:val="000000"/>
              </w:rPr>
              <w:t>110,044</w:t>
            </w:r>
          </w:p>
        </w:tc>
        <w:tc>
          <w:tcPr>
            <w:tcW w:w="521" w:type="pct"/>
            <w:tcBorders>
              <w:top w:val="nil"/>
              <w:left w:val="nil"/>
              <w:bottom w:val="single" w:sz="4" w:space="0" w:color="293F5B"/>
              <w:right w:val="nil"/>
            </w:tcBorders>
            <w:shd w:val="clear" w:color="000000" w:fill="E6F2FF"/>
            <w:noWrap/>
            <w:vAlign w:val="center"/>
            <w:hideMark/>
          </w:tcPr>
          <w:p w14:paraId="137F9FDD" w14:textId="250C7C39" w:rsidR="001A4488" w:rsidRPr="00EC1992" w:rsidRDefault="001A4488" w:rsidP="0005496E">
            <w:pPr>
              <w:pStyle w:val="TableTextRight"/>
              <w:rPr>
                <w:b/>
                <w:color w:val="000000"/>
              </w:rPr>
            </w:pPr>
            <w:r>
              <w:rPr>
                <w:b/>
                <w:color w:val="000000"/>
              </w:rPr>
              <w:t>114,335</w:t>
            </w:r>
          </w:p>
        </w:tc>
        <w:tc>
          <w:tcPr>
            <w:tcW w:w="521" w:type="pct"/>
            <w:tcBorders>
              <w:top w:val="nil"/>
              <w:left w:val="nil"/>
              <w:bottom w:val="single" w:sz="4" w:space="0" w:color="293F5B"/>
              <w:right w:val="nil"/>
            </w:tcBorders>
            <w:shd w:val="clear" w:color="000000" w:fill="FFFFFF"/>
            <w:noWrap/>
            <w:vAlign w:val="center"/>
            <w:hideMark/>
          </w:tcPr>
          <w:p w14:paraId="2224A971" w14:textId="6F8EAE3F" w:rsidR="001A4488" w:rsidRPr="00EC1992" w:rsidRDefault="001A4488" w:rsidP="0005496E">
            <w:pPr>
              <w:pStyle w:val="TableTextRight"/>
              <w:rPr>
                <w:b/>
                <w:color w:val="000000"/>
              </w:rPr>
            </w:pPr>
            <w:r>
              <w:rPr>
                <w:b/>
                <w:color w:val="000000"/>
              </w:rPr>
              <w:t>118,812</w:t>
            </w:r>
          </w:p>
        </w:tc>
        <w:tc>
          <w:tcPr>
            <w:tcW w:w="521" w:type="pct"/>
            <w:tcBorders>
              <w:top w:val="nil"/>
              <w:left w:val="nil"/>
              <w:bottom w:val="single" w:sz="4" w:space="0" w:color="293F5B"/>
              <w:right w:val="nil"/>
            </w:tcBorders>
            <w:shd w:val="clear" w:color="000000" w:fill="FFFFFF"/>
            <w:noWrap/>
            <w:vAlign w:val="center"/>
            <w:hideMark/>
          </w:tcPr>
          <w:p w14:paraId="73852AD1" w14:textId="04CAC281" w:rsidR="001A4488" w:rsidRPr="00EC1992" w:rsidRDefault="001A4488" w:rsidP="0005496E">
            <w:pPr>
              <w:pStyle w:val="TableTextRight"/>
              <w:rPr>
                <w:b/>
                <w:color w:val="000000"/>
              </w:rPr>
            </w:pPr>
            <w:r>
              <w:rPr>
                <w:b/>
                <w:color w:val="000000"/>
              </w:rPr>
              <w:t>124,311</w:t>
            </w:r>
          </w:p>
        </w:tc>
        <w:tc>
          <w:tcPr>
            <w:tcW w:w="538" w:type="pct"/>
            <w:tcBorders>
              <w:top w:val="nil"/>
              <w:left w:val="nil"/>
              <w:bottom w:val="single" w:sz="4" w:space="0" w:color="293F5B"/>
              <w:right w:val="nil"/>
            </w:tcBorders>
            <w:shd w:val="clear" w:color="000000" w:fill="FFFFFF"/>
            <w:noWrap/>
            <w:vAlign w:val="center"/>
            <w:hideMark/>
          </w:tcPr>
          <w:p w14:paraId="56C87ACD" w14:textId="6AF9E286" w:rsidR="001A4488" w:rsidRPr="00EC1992" w:rsidRDefault="001A4488" w:rsidP="0005496E">
            <w:pPr>
              <w:pStyle w:val="TableTextRight"/>
              <w:rPr>
                <w:b/>
                <w:color w:val="000000"/>
              </w:rPr>
            </w:pPr>
            <w:r>
              <w:rPr>
                <w:b/>
                <w:color w:val="000000"/>
              </w:rPr>
              <w:t>132,680</w:t>
            </w:r>
          </w:p>
        </w:tc>
      </w:tr>
      <w:tr w:rsidR="00EC1992" w:rsidRPr="00EC1992" w14:paraId="33FFCDAB" w14:textId="77777777" w:rsidTr="00006E1D">
        <w:trPr>
          <w:trHeight w:val="225"/>
        </w:trPr>
        <w:tc>
          <w:tcPr>
            <w:tcW w:w="2377" w:type="pct"/>
            <w:tcBorders>
              <w:top w:val="nil"/>
              <w:left w:val="nil"/>
              <w:bottom w:val="nil"/>
              <w:right w:val="nil"/>
            </w:tcBorders>
            <w:shd w:val="clear" w:color="000000" w:fill="FFFFFF"/>
            <w:noWrap/>
            <w:vAlign w:val="center"/>
            <w:hideMark/>
          </w:tcPr>
          <w:p w14:paraId="445118D2" w14:textId="77777777" w:rsidR="00EC1992" w:rsidRPr="00EC1992" w:rsidRDefault="00EC1992" w:rsidP="004363F3">
            <w:pPr>
              <w:pStyle w:val="TableTextLeft"/>
              <w:rPr>
                <w:b/>
              </w:rPr>
            </w:pPr>
            <w:r w:rsidRPr="00EC1992">
              <w:rPr>
                <w:b/>
              </w:rPr>
              <w:t>Inventories</w:t>
            </w:r>
          </w:p>
        </w:tc>
        <w:tc>
          <w:tcPr>
            <w:tcW w:w="521" w:type="pct"/>
            <w:tcBorders>
              <w:top w:val="nil"/>
              <w:left w:val="nil"/>
              <w:bottom w:val="nil"/>
              <w:right w:val="nil"/>
            </w:tcBorders>
            <w:shd w:val="clear" w:color="000000" w:fill="FFFFFF"/>
            <w:noWrap/>
            <w:vAlign w:val="center"/>
            <w:hideMark/>
          </w:tcPr>
          <w:p w14:paraId="76321BBC" w14:textId="77777777" w:rsidR="00EC1992" w:rsidRPr="00EC1992" w:rsidRDefault="00EC1992" w:rsidP="0005496E">
            <w:pPr>
              <w:pStyle w:val="TableTextRight"/>
              <w:rPr>
                <w:b/>
                <w:color w:val="000000"/>
              </w:rPr>
            </w:pPr>
            <w:r w:rsidRPr="00EC1992">
              <w:rPr>
                <w:b/>
                <w:color w:val="000000"/>
              </w:rPr>
              <w:t> </w:t>
            </w:r>
          </w:p>
        </w:tc>
        <w:tc>
          <w:tcPr>
            <w:tcW w:w="521" w:type="pct"/>
            <w:tcBorders>
              <w:top w:val="nil"/>
              <w:left w:val="nil"/>
              <w:bottom w:val="nil"/>
              <w:right w:val="nil"/>
            </w:tcBorders>
            <w:shd w:val="clear" w:color="000000" w:fill="E6F2FF"/>
            <w:noWrap/>
            <w:vAlign w:val="center"/>
            <w:hideMark/>
          </w:tcPr>
          <w:p w14:paraId="7B5EE744" w14:textId="77777777" w:rsidR="00EC1992" w:rsidRPr="00EC1992" w:rsidRDefault="00EC1992" w:rsidP="0005496E">
            <w:pPr>
              <w:pStyle w:val="TableTextRight"/>
              <w:rPr>
                <w:b/>
                <w:color w:val="000000"/>
              </w:rPr>
            </w:pPr>
            <w:r w:rsidRPr="00EC1992">
              <w:rPr>
                <w:b/>
                <w:color w:val="000000"/>
              </w:rPr>
              <w:t> </w:t>
            </w:r>
          </w:p>
        </w:tc>
        <w:tc>
          <w:tcPr>
            <w:tcW w:w="521" w:type="pct"/>
            <w:tcBorders>
              <w:top w:val="nil"/>
              <w:left w:val="nil"/>
              <w:bottom w:val="nil"/>
              <w:right w:val="nil"/>
            </w:tcBorders>
            <w:shd w:val="clear" w:color="000000" w:fill="FFFFFF"/>
            <w:noWrap/>
            <w:vAlign w:val="center"/>
            <w:hideMark/>
          </w:tcPr>
          <w:p w14:paraId="02DB122B" w14:textId="77777777" w:rsidR="00EC1992" w:rsidRPr="00EC1992" w:rsidRDefault="00EC1992" w:rsidP="0005496E">
            <w:pPr>
              <w:pStyle w:val="TableTextRight"/>
              <w:rPr>
                <w:b/>
                <w:color w:val="000000"/>
              </w:rPr>
            </w:pPr>
            <w:r w:rsidRPr="00EC1992">
              <w:rPr>
                <w:b/>
                <w:color w:val="000000"/>
              </w:rPr>
              <w:t> </w:t>
            </w:r>
          </w:p>
        </w:tc>
        <w:tc>
          <w:tcPr>
            <w:tcW w:w="521" w:type="pct"/>
            <w:tcBorders>
              <w:top w:val="nil"/>
              <w:left w:val="nil"/>
              <w:bottom w:val="nil"/>
              <w:right w:val="nil"/>
            </w:tcBorders>
            <w:shd w:val="clear" w:color="000000" w:fill="FFFFFF"/>
            <w:noWrap/>
            <w:vAlign w:val="center"/>
            <w:hideMark/>
          </w:tcPr>
          <w:p w14:paraId="2954B5D8" w14:textId="77777777" w:rsidR="00EC1992" w:rsidRPr="00EC1992" w:rsidRDefault="00EC1992" w:rsidP="0005496E">
            <w:pPr>
              <w:pStyle w:val="TableTextRight"/>
              <w:rPr>
                <w:b/>
                <w:color w:val="000000"/>
              </w:rPr>
            </w:pPr>
            <w:r w:rsidRPr="00EC1992">
              <w:rPr>
                <w:b/>
                <w:color w:val="000000"/>
              </w:rPr>
              <w:t> </w:t>
            </w:r>
          </w:p>
        </w:tc>
        <w:tc>
          <w:tcPr>
            <w:tcW w:w="538" w:type="pct"/>
            <w:tcBorders>
              <w:top w:val="nil"/>
              <w:left w:val="nil"/>
              <w:bottom w:val="nil"/>
              <w:right w:val="nil"/>
            </w:tcBorders>
            <w:shd w:val="clear" w:color="000000" w:fill="FFFFFF"/>
            <w:noWrap/>
            <w:vAlign w:val="center"/>
            <w:hideMark/>
          </w:tcPr>
          <w:p w14:paraId="31D0D81E" w14:textId="77777777" w:rsidR="00EC1992" w:rsidRPr="00EC1992" w:rsidRDefault="00EC1992" w:rsidP="0005496E">
            <w:pPr>
              <w:pStyle w:val="TableTextRight"/>
              <w:rPr>
                <w:b/>
                <w:color w:val="000000"/>
              </w:rPr>
            </w:pPr>
            <w:r w:rsidRPr="00EC1992">
              <w:rPr>
                <w:b/>
                <w:color w:val="000000"/>
              </w:rPr>
              <w:t> </w:t>
            </w:r>
          </w:p>
        </w:tc>
      </w:tr>
      <w:tr w:rsidR="001A4488" w:rsidRPr="00EC1992" w14:paraId="2D53EE10" w14:textId="77777777" w:rsidTr="00006E1D">
        <w:trPr>
          <w:trHeight w:val="225"/>
        </w:trPr>
        <w:tc>
          <w:tcPr>
            <w:tcW w:w="2377" w:type="pct"/>
            <w:tcBorders>
              <w:top w:val="nil"/>
              <w:left w:val="nil"/>
              <w:bottom w:val="nil"/>
              <w:right w:val="nil"/>
            </w:tcBorders>
            <w:shd w:val="clear" w:color="000000" w:fill="FFFFFF"/>
            <w:noWrap/>
            <w:vAlign w:val="center"/>
            <w:hideMark/>
          </w:tcPr>
          <w:p w14:paraId="7781D9A2" w14:textId="77777777" w:rsidR="001A4488" w:rsidRPr="00EC1992" w:rsidRDefault="001A4488" w:rsidP="004363F3">
            <w:pPr>
              <w:pStyle w:val="TableTextIndented"/>
            </w:pPr>
            <w:r w:rsidRPr="00EC1992">
              <w:t>Inventories held for sale</w:t>
            </w:r>
          </w:p>
        </w:tc>
        <w:tc>
          <w:tcPr>
            <w:tcW w:w="521" w:type="pct"/>
            <w:tcBorders>
              <w:top w:val="nil"/>
              <w:left w:val="nil"/>
              <w:bottom w:val="nil"/>
              <w:right w:val="nil"/>
            </w:tcBorders>
            <w:shd w:val="clear" w:color="000000" w:fill="FFFFFF"/>
            <w:noWrap/>
            <w:vAlign w:val="center"/>
            <w:hideMark/>
          </w:tcPr>
          <w:p w14:paraId="4B8704C0" w14:textId="15F9DDD4" w:rsidR="001A4488" w:rsidRPr="00EC1992" w:rsidRDefault="001A4488" w:rsidP="0005496E">
            <w:pPr>
              <w:pStyle w:val="TableTextRight"/>
              <w:rPr>
                <w:color w:val="000000"/>
              </w:rPr>
            </w:pPr>
            <w:r>
              <w:rPr>
                <w:color w:val="000000"/>
              </w:rPr>
              <w:t>409</w:t>
            </w:r>
          </w:p>
        </w:tc>
        <w:tc>
          <w:tcPr>
            <w:tcW w:w="521" w:type="pct"/>
            <w:tcBorders>
              <w:top w:val="nil"/>
              <w:left w:val="nil"/>
              <w:bottom w:val="nil"/>
              <w:right w:val="nil"/>
            </w:tcBorders>
            <w:shd w:val="clear" w:color="000000" w:fill="E6F2FF"/>
            <w:noWrap/>
            <w:vAlign w:val="center"/>
            <w:hideMark/>
          </w:tcPr>
          <w:p w14:paraId="15CE1EFB" w14:textId="30E78B04" w:rsidR="001A4488" w:rsidRPr="00EC1992" w:rsidRDefault="001A4488" w:rsidP="0005496E">
            <w:pPr>
              <w:pStyle w:val="TableTextRight"/>
              <w:rPr>
                <w:color w:val="000000"/>
              </w:rPr>
            </w:pPr>
            <w:r>
              <w:rPr>
                <w:color w:val="000000"/>
              </w:rPr>
              <w:t>385</w:t>
            </w:r>
          </w:p>
        </w:tc>
        <w:tc>
          <w:tcPr>
            <w:tcW w:w="521" w:type="pct"/>
            <w:tcBorders>
              <w:top w:val="nil"/>
              <w:left w:val="nil"/>
              <w:bottom w:val="nil"/>
              <w:right w:val="nil"/>
            </w:tcBorders>
            <w:shd w:val="clear" w:color="000000" w:fill="FFFFFF"/>
            <w:noWrap/>
            <w:vAlign w:val="center"/>
            <w:hideMark/>
          </w:tcPr>
          <w:p w14:paraId="1F8745DF" w14:textId="77759B93" w:rsidR="001A4488" w:rsidRPr="00EC1992" w:rsidRDefault="001A4488" w:rsidP="0005496E">
            <w:pPr>
              <w:pStyle w:val="TableTextRight"/>
              <w:rPr>
                <w:color w:val="000000"/>
              </w:rPr>
            </w:pPr>
            <w:r>
              <w:rPr>
                <w:color w:val="000000"/>
              </w:rPr>
              <w:t>389</w:t>
            </w:r>
          </w:p>
        </w:tc>
        <w:tc>
          <w:tcPr>
            <w:tcW w:w="521" w:type="pct"/>
            <w:tcBorders>
              <w:top w:val="nil"/>
              <w:left w:val="nil"/>
              <w:bottom w:val="nil"/>
              <w:right w:val="nil"/>
            </w:tcBorders>
            <w:shd w:val="clear" w:color="000000" w:fill="FFFFFF"/>
            <w:noWrap/>
            <w:vAlign w:val="center"/>
            <w:hideMark/>
          </w:tcPr>
          <w:p w14:paraId="239048D1" w14:textId="6C6598CC" w:rsidR="001A4488" w:rsidRPr="00EC1992" w:rsidRDefault="001A4488" w:rsidP="0005496E">
            <w:pPr>
              <w:pStyle w:val="TableTextRight"/>
              <w:rPr>
                <w:color w:val="000000"/>
              </w:rPr>
            </w:pPr>
            <w:r>
              <w:rPr>
                <w:color w:val="000000"/>
              </w:rPr>
              <w:t>371</w:t>
            </w:r>
          </w:p>
        </w:tc>
        <w:tc>
          <w:tcPr>
            <w:tcW w:w="538" w:type="pct"/>
            <w:tcBorders>
              <w:top w:val="nil"/>
              <w:left w:val="nil"/>
              <w:bottom w:val="nil"/>
              <w:right w:val="nil"/>
            </w:tcBorders>
            <w:shd w:val="clear" w:color="000000" w:fill="FFFFFF"/>
            <w:noWrap/>
            <w:vAlign w:val="center"/>
            <w:hideMark/>
          </w:tcPr>
          <w:p w14:paraId="7146345E" w14:textId="733C9758" w:rsidR="001A4488" w:rsidRPr="00EC1992" w:rsidRDefault="001A4488" w:rsidP="0005496E">
            <w:pPr>
              <w:pStyle w:val="TableTextRight"/>
              <w:rPr>
                <w:color w:val="000000"/>
              </w:rPr>
            </w:pPr>
            <w:r>
              <w:rPr>
                <w:color w:val="000000"/>
              </w:rPr>
              <w:t>361</w:t>
            </w:r>
          </w:p>
        </w:tc>
      </w:tr>
      <w:tr w:rsidR="001A4488" w:rsidRPr="00EC1992" w14:paraId="781F758D" w14:textId="77777777" w:rsidTr="00006E1D">
        <w:trPr>
          <w:trHeight w:val="225"/>
        </w:trPr>
        <w:tc>
          <w:tcPr>
            <w:tcW w:w="2377" w:type="pct"/>
            <w:tcBorders>
              <w:top w:val="nil"/>
              <w:left w:val="nil"/>
              <w:bottom w:val="nil"/>
              <w:right w:val="nil"/>
            </w:tcBorders>
            <w:shd w:val="clear" w:color="000000" w:fill="FFFFFF"/>
            <w:noWrap/>
            <w:vAlign w:val="center"/>
            <w:hideMark/>
          </w:tcPr>
          <w:p w14:paraId="07E0B5A8" w14:textId="77777777" w:rsidR="001A4488" w:rsidRPr="00EC1992" w:rsidRDefault="001A4488" w:rsidP="004363F3">
            <w:pPr>
              <w:pStyle w:val="TableTextIndented"/>
            </w:pPr>
            <w:r w:rsidRPr="00EC1992">
              <w:t>Inventories not held for sale</w:t>
            </w:r>
          </w:p>
        </w:tc>
        <w:tc>
          <w:tcPr>
            <w:tcW w:w="521" w:type="pct"/>
            <w:tcBorders>
              <w:top w:val="nil"/>
              <w:left w:val="nil"/>
              <w:bottom w:val="single" w:sz="4" w:space="0" w:color="293F5B"/>
              <w:right w:val="nil"/>
            </w:tcBorders>
            <w:shd w:val="clear" w:color="000000" w:fill="FFFFFF"/>
            <w:noWrap/>
            <w:vAlign w:val="center"/>
            <w:hideMark/>
          </w:tcPr>
          <w:p w14:paraId="52A59957" w14:textId="36CFBCA1" w:rsidR="001A4488" w:rsidRPr="00EC1992" w:rsidRDefault="001A4488" w:rsidP="0005496E">
            <w:pPr>
              <w:pStyle w:val="TableTextRight"/>
              <w:rPr>
                <w:color w:val="000000"/>
              </w:rPr>
            </w:pPr>
            <w:r>
              <w:rPr>
                <w:color w:val="000000"/>
              </w:rPr>
              <w:t>11,354</w:t>
            </w:r>
          </w:p>
        </w:tc>
        <w:tc>
          <w:tcPr>
            <w:tcW w:w="521" w:type="pct"/>
            <w:tcBorders>
              <w:top w:val="nil"/>
              <w:left w:val="nil"/>
              <w:bottom w:val="single" w:sz="4" w:space="0" w:color="293F5B"/>
              <w:right w:val="nil"/>
            </w:tcBorders>
            <w:shd w:val="clear" w:color="000000" w:fill="E6F2FF"/>
            <w:noWrap/>
            <w:vAlign w:val="center"/>
            <w:hideMark/>
          </w:tcPr>
          <w:p w14:paraId="35F877FF" w14:textId="1F8AD631" w:rsidR="001A4488" w:rsidRPr="00EC1992" w:rsidRDefault="001A4488" w:rsidP="0005496E">
            <w:pPr>
              <w:pStyle w:val="TableTextRight"/>
              <w:rPr>
                <w:color w:val="000000"/>
              </w:rPr>
            </w:pPr>
            <w:r>
              <w:rPr>
                <w:color w:val="000000"/>
              </w:rPr>
              <w:t>11,622</w:t>
            </w:r>
          </w:p>
        </w:tc>
        <w:tc>
          <w:tcPr>
            <w:tcW w:w="521" w:type="pct"/>
            <w:tcBorders>
              <w:top w:val="nil"/>
              <w:left w:val="nil"/>
              <w:bottom w:val="single" w:sz="4" w:space="0" w:color="293F5B"/>
              <w:right w:val="nil"/>
            </w:tcBorders>
            <w:shd w:val="clear" w:color="000000" w:fill="FFFFFF"/>
            <w:noWrap/>
            <w:vAlign w:val="center"/>
            <w:hideMark/>
          </w:tcPr>
          <w:p w14:paraId="18203FDD" w14:textId="58F03B3D" w:rsidR="001A4488" w:rsidRPr="00EC1992" w:rsidRDefault="001A4488" w:rsidP="0005496E">
            <w:pPr>
              <w:pStyle w:val="TableTextRight"/>
              <w:rPr>
                <w:color w:val="000000"/>
              </w:rPr>
            </w:pPr>
            <w:r>
              <w:rPr>
                <w:color w:val="000000"/>
              </w:rPr>
              <w:t>12,216</w:t>
            </w:r>
          </w:p>
        </w:tc>
        <w:tc>
          <w:tcPr>
            <w:tcW w:w="521" w:type="pct"/>
            <w:tcBorders>
              <w:top w:val="nil"/>
              <w:left w:val="nil"/>
              <w:bottom w:val="single" w:sz="4" w:space="0" w:color="293F5B"/>
              <w:right w:val="nil"/>
            </w:tcBorders>
            <w:shd w:val="clear" w:color="000000" w:fill="FFFFFF"/>
            <w:noWrap/>
            <w:vAlign w:val="center"/>
            <w:hideMark/>
          </w:tcPr>
          <w:p w14:paraId="283ECD0A" w14:textId="6E8EC0C5" w:rsidR="001A4488" w:rsidRPr="00EC1992" w:rsidRDefault="001A4488" w:rsidP="0005496E">
            <w:pPr>
              <w:pStyle w:val="TableTextRight"/>
              <w:rPr>
                <w:color w:val="000000"/>
              </w:rPr>
            </w:pPr>
            <w:r>
              <w:rPr>
                <w:color w:val="000000"/>
              </w:rPr>
              <w:t>12,724</w:t>
            </w:r>
          </w:p>
        </w:tc>
        <w:tc>
          <w:tcPr>
            <w:tcW w:w="538" w:type="pct"/>
            <w:tcBorders>
              <w:top w:val="nil"/>
              <w:left w:val="nil"/>
              <w:bottom w:val="single" w:sz="4" w:space="0" w:color="293F5B"/>
              <w:right w:val="nil"/>
            </w:tcBorders>
            <w:shd w:val="clear" w:color="000000" w:fill="FFFFFF"/>
            <w:noWrap/>
            <w:vAlign w:val="center"/>
            <w:hideMark/>
          </w:tcPr>
          <w:p w14:paraId="0C4CC49D" w14:textId="367DDE5F" w:rsidR="001A4488" w:rsidRPr="00EC1992" w:rsidRDefault="001A4488" w:rsidP="0005496E">
            <w:pPr>
              <w:pStyle w:val="TableTextRight"/>
              <w:rPr>
                <w:color w:val="000000"/>
              </w:rPr>
            </w:pPr>
            <w:r>
              <w:rPr>
                <w:color w:val="000000"/>
              </w:rPr>
              <w:t>13,056</w:t>
            </w:r>
          </w:p>
        </w:tc>
      </w:tr>
      <w:tr w:rsidR="001A4488" w:rsidRPr="00EC1992" w14:paraId="33E029ED" w14:textId="77777777" w:rsidTr="00006E1D">
        <w:trPr>
          <w:trHeight w:val="225"/>
        </w:trPr>
        <w:tc>
          <w:tcPr>
            <w:tcW w:w="2377" w:type="pct"/>
            <w:tcBorders>
              <w:top w:val="nil"/>
              <w:left w:val="nil"/>
              <w:bottom w:val="nil"/>
              <w:right w:val="nil"/>
            </w:tcBorders>
            <w:shd w:val="clear" w:color="000000" w:fill="FFFFFF"/>
            <w:noWrap/>
            <w:vAlign w:val="center"/>
            <w:hideMark/>
          </w:tcPr>
          <w:p w14:paraId="69ED9D1A" w14:textId="77777777" w:rsidR="001A4488" w:rsidRPr="00EC1992" w:rsidRDefault="001A4488" w:rsidP="004363F3">
            <w:pPr>
              <w:pStyle w:val="TableTextLeft"/>
              <w:rPr>
                <w:b/>
              </w:rPr>
            </w:pPr>
            <w:r w:rsidRPr="00EC1992">
              <w:rPr>
                <w:b/>
              </w:rPr>
              <w:t>Total inventories</w:t>
            </w:r>
          </w:p>
        </w:tc>
        <w:tc>
          <w:tcPr>
            <w:tcW w:w="521" w:type="pct"/>
            <w:tcBorders>
              <w:top w:val="nil"/>
              <w:left w:val="nil"/>
              <w:bottom w:val="single" w:sz="4" w:space="0" w:color="293F5B"/>
              <w:right w:val="nil"/>
            </w:tcBorders>
            <w:shd w:val="clear" w:color="000000" w:fill="FFFFFF"/>
            <w:noWrap/>
            <w:vAlign w:val="center"/>
            <w:hideMark/>
          </w:tcPr>
          <w:p w14:paraId="5BB0EA73" w14:textId="515BD574" w:rsidR="001A4488" w:rsidRPr="00EC1992" w:rsidRDefault="001A4488" w:rsidP="0005496E">
            <w:pPr>
              <w:pStyle w:val="TableTextRight"/>
              <w:rPr>
                <w:b/>
                <w:color w:val="000000"/>
              </w:rPr>
            </w:pPr>
            <w:r>
              <w:rPr>
                <w:b/>
                <w:color w:val="000000"/>
              </w:rPr>
              <w:t>11,763</w:t>
            </w:r>
          </w:p>
        </w:tc>
        <w:tc>
          <w:tcPr>
            <w:tcW w:w="521" w:type="pct"/>
            <w:tcBorders>
              <w:top w:val="nil"/>
              <w:left w:val="nil"/>
              <w:bottom w:val="single" w:sz="4" w:space="0" w:color="293F5B"/>
              <w:right w:val="nil"/>
            </w:tcBorders>
            <w:shd w:val="clear" w:color="000000" w:fill="E6F2FF"/>
            <w:noWrap/>
            <w:vAlign w:val="center"/>
            <w:hideMark/>
          </w:tcPr>
          <w:p w14:paraId="2D1F2F38" w14:textId="09C12111" w:rsidR="001A4488" w:rsidRPr="00EC1992" w:rsidRDefault="001A4488" w:rsidP="0005496E">
            <w:pPr>
              <w:pStyle w:val="TableTextRight"/>
              <w:rPr>
                <w:b/>
                <w:color w:val="000000"/>
              </w:rPr>
            </w:pPr>
            <w:r>
              <w:rPr>
                <w:b/>
                <w:color w:val="000000"/>
              </w:rPr>
              <w:t>12,007</w:t>
            </w:r>
          </w:p>
        </w:tc>
        <w:tc>
          <w:tcPr>
            <w:tcW w:w="521" w:type="pct"/>
            <w:tcBorders>
              <w:top w:val="nil"/>
              <w:left w:val="nil"/>
              <w:bottom w:val="single" w:sz="4" w:space="0" w:color="293F5B"/>
              <w:right w:val="nil"/>
            </w:tcBorders>
            <w:shd w:val="clear" w:color="000000" w:fill="FFFFFF"/>
            <w:noWrap/>
            <w:vAlign w:val="center"/>
            <w:hideMark/>
          </w:tcPr>
          <w:p w14:paraId="20635156" w14:textId="10DE5AC6" w:rsidR="001A4488" w:rsidRPr="00EC1992" w:rsidRDefault="001A4488" w:rsidP="0005496E">
            <w:pPr>
              <w:pStyle w:val="TableTextRight"/>
              <w:rPr>
                <w:b/>
                <w:color w:val="000000"/>
              </w:rPr>
            </w:pPr>
            <w:r>
              <w:rPr>
                <w:b/>
                <w:color w:val="000000"/>
              </w:rPr>
              <w:t>12,605</w:t>
            </w:r>
          </w:p>
        </w:tc>
        <w:tc>
          <w:tcPr>
            <w:tcW w:w="521" w:type="pct"/>
            <w:tcBorders>
              <w:top w:val="nil"/>
              <w:left w:val="nil"/>
              <w:bottom w:val="single" w:sz="4" w:space="0" w:color="293F5B"/>
              <w:right w:val="nil"/>
            </w:tcBorders>
            <w:shd w:val="clear" w:color="000000" w:fill="FFFFFF"/>
            <w:noWrap/>
            <w:vAlign w:val="center"/>
            <w:hideMark/>
          </w:tcPr>
          <w:p w14:paraId="1D34097D" w14:textId="50DB11DE" w:rsidR="001A4488" w:rsidRPr="00EC1992" w:rsidRDefault="001A4488" w:rsidP="0005496E">
            <w:pPr>
              <w:pStyle w:val="TableTextRight"/>
              <w:rPr>
                <w:b/>
                <w:color w:val="000000"/>
              </w:rPr>
            </w:pPr>
            <w:r>
              <w:rPr>
                <w:b/>
                <w:color w:val="000000"/>
              </w:rPr>
              <w:t>13,095</w:t>
            </w:r>
          </w:p>
        </w:tc>
        <w:tc>
          <w:tcPr>
            <w:tcW w:w="538" w:type="pct"/>
            <w:tcBorders>
              <w:top w:val="nil"/>
              <w:left w:val="nil"/>
              <w:bottom w:val="single" w:sz="4" w:space="0" w:color="293F5B"/>
              <w:right w:val="nil"/>
            </w:tcBorders>
            <w:shd w:val="clear" w:color="000000" w:fill="FFFFFF"/>
            <w:noWrap/>
            <w:vAlign w:val="center"/>
            <w:hideMark/>
          </w:tcPr>
          <w:p w14:paraId="705CD18E" w14:textId="38F616B0" w:rsidR="001A4488" w:rsidRPr="00EC1992" w:rsidRDefault="001A4488" w:rsidP="0005496E">
            <w:pPr>
              <w:pStyle w:val="TableTextRight"/>
              <w:rPr>
                <w:b/>
                <w:color w:val="000000"/>
              </w:rPr>
            </w:pPr>
            <w:r>
              <w:rPr>
                <w:b/>
                <w:color w:val="000000"/>
              </w:rPr>
              <w:t>13,417</w:t>
            </w:r>
          </w:p>
        </w:tc>
      </w:tr>
      <w:tr w:rsidR="00EC1992" w:rsidRPr="00EC1992" w14:paraId="0E5E2F88" w14:textId="77777777" w:rsidTr="00006E1D">
        <w:trPr>
          <w:trHeight w:val="225"/>
        </w:trPr>
        <w:tc>
          <w:tcPr>
            <w:tcW w:w="2377" w:type="pct"/>
            <w:tcBorders>
              <w:top w:val="nil"/>
              <w:left w:val="nil"/>
              <w:bottom w:val="nil"/>
              <w:right w:val="nil"/>
            </w:tcBorders>
            <w:shd w:val="clear" w:color="000000" w:fill="FFFFFF"/>
            <w:noWrap/>
            <w:vAlign w:val="center"/>
            <w:hideMark/>
          </w:tcPr>
          <w:p w14:paraId="5E3EC032" w14:textId="77777777" w:rsidR="00EC1992" w:rsidRPr="00EC1992" w:rsidRDefault="00EC1992" w:rsidP="004363F3">
            <w:pPr>
              <w:pStyle w:val="TableTextLeft"/>
              <w:rPr>
                <w:b/>
              </w:rPr>
            </w:pPr>
            <w:r w:rsidRPr="00EC1992">
              <w:rPr>
                <w:b/>
              </w:rPr>
              <w:t>Intangibles</w:t>
            </w:r>
          </w:p>
        </w:tc>
        <w:tc>
          <w:tcPr>
            <w:tcW w:w="521" w:type="pct"/>
            <w:tcBorders>
              <w:top w:val="nil"/>
              <w:left w:val="nil"/>
              <w:bottom w:val="nil"/>
              <w:right w:val="nil"/>
            </w:tcBorders>
            <w:shd w:val="clear" w:color="000000" w:fill="FFFFFF"/>
            <w:noWrap/>
            <w:vAlign w:val="center"/>
            <w:hideMark/>
          </w:tcPr>
          <w:p w14:paraId="28602066"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E6F2FF"/>
            <w:noWrap/>
            <w:vAlign w:val="center"/>
            <w:hideMark/>
          </w:tcPr>
          <w:p w14:paraId="0AC7A18E"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278D766A" w14:textId="77777777" w:rsidR="00EC1992" w:rsidRPr="00EC1992" w:rsidRDefault="00EC1992" w:rsidP="0005496E">
            <w:pPr>
              <w:pStyle w:val="TableTextRight"/>
              <w:rPr>
                <w:color w:val="000000"/>
              </w:rPr>
            </w:pPr>
            <w:r w:rsidRPr="00EC1992">
              <w:rPr>
                <w:color w:val="000000"/>
              </w:rPr>
              <w:t> </w:t>
            </w:r>
          </w:p>
        </w:tc>
        <w:tc>
          <w:tcPr>
            <w:tcW w:w="521" w:type="pct"/>
            <w:tcBorders>
              <w:top w:val="nil"/>
              <w:left w:val="nil"/>
              <w:bottom w:val="nil"/>
              <w:right w:val="nil"/>
            </w:tcBorders>
            <w:shd w:val="clear" w:color="000000" w:fill="FFFFFF"/>
            <w:noWrap/>
            <w:vAlign w:val="center"/>
            <w:hideMark/>
          </w:tcPr>
          <w:p w14:paraId="79049254" w14:textId="77777777" w:rsidR="00EC1992" w:rsidRPr="00EC1992" w:rsidRDefault="00EC1992" w:rsidP="0005496E">
            <w:pPr>
              <w:pStyle w:val="TableTextRight"/>
              <w:rPr>
                <w:color w:val="000000"/>
              </w:rPr>
            </w:pPr>
            <w:r w:rsidRPr="00EC1992">
              <w:rPr>
                <w:color w:val="000000"/>
              </w:rPr>
              <w:t> </w:t>
            </w:r>
          </w:p>
        </w:tc>
        <w:tc>
          <w:tcPr>
            <w:tcW w:w="538" w:type="pct"/>
            <w:tcBorders>
              <w:top w:val="nil"/>
              <w:left w:val="nil"/>
              <w:bottom w:val="nil"/>
              <w:right w:val="nil"/>
            </w:tcBorders>
            <w:shd w:val="clear" w:color="000000" w:fill="FFFFFF"/>
            <w:noWrap/>
            <w:vAlign w:val="center"/>
            <w:hideMark/>
          </w:tcPr>
          <w:p w14:paraId="3F6E87D8" w14:textId="77777777" w:rsidR="00EC1992" w:rsidRPr="00EC1992" w:rsidRDefault="00EC1992" w:rsidP="0005496E">
            <w:pPr>
              <w:pStyle w:val="TableTextRight"/>
              <w:rPr>
                <w:color w:val="000000"/>
              </w:rPr>
            </w:pPr>
            <w:r w:rsidRPr="00EC1992">
              <w:rPr>
                <w:color w:val="000000"/>
              </w:rPr>
              <w:t> </w:t>
            </w:r>
          </w:p>
        </w:tc>
      </w:tr>
      <w:tr w:rsidR="001A4488" w:rsidRPr="00EC1992" w14:paraId="04CC7FEF" w14:textId="77777777" w:rsidTr="00006E1D">
        <w:trPr>
          <w:trHeight w:val="225"/>
        </w:trPr>
        <w:tc>
          <w:tcPr>
            <w:tcW w:w="2377" w:type="pct"/>
            <w:tcBorders>
              <w:top w:val="nil"/>
              <w:left w:val="nil"/>
              <w:bottom w:val="nil"/>
              <w:right w:val="nil"/>
            </w:tcBorders>
            <w:shd w:val="clear" w:color="000000" w:fill="FFFFFF"/>
            <w:noWrap/>
            <w:vAlign w:val="center"/>
            <w:hideMark/>
          </w:tcPr>
          <w:p w14:paraId="4E522183" w14:textId="77777777" w:rsidR="001A4488" w:rsidRPr="00EC1992" w:rsidRDefault="001A4488" w:rsidP="004363F3">
            <w:pPr>
              <w:pStyle w:val="TableTextIndented"/>
            </w:pPr>
            <w:r w:rsidRPr="00EC1992">
              <w:t>Computer software</w:t>
            </w:r>
          </w:p>
        </w:tc>
        <w:tc>
          <w:tcPr>
            <w:tcW w:w="521" w:type="pct"/>
            <w:tcBorders>
              <w:top w:val="nil"/>
              <w:left w:val="nil"/>
              <w:bottom w:val="nil"/>
              <w:right w:val="nil"/>
            </w:tcBorders>
            <w:shd w:val="clear" w:color="000000" w:fill="FFFFFF"/>
            <w:noWrap/>
            <w:vAlign w:val="center"/>
            <w:hideMark/>
          </w:tcPr>
          <w:p w14:paraId="3FDC85C4" w14:textId="493C429E" w:rsidR="001A4488" w:rsidRPr="00EC1992" w:rsidRDefault="001A4488" w:rsidP="0005496E">
            <w:pPr>
              <w:pStyle w:val="TableTextRight"/>
              <w:rPr>
                <w:color w:val="000000"/>
              </w:rPr>
            </w:pPr>
            <w:r>
              <w:rPr>
                <w:color w:val="000000"/>
              </w:rPr>
              <w:t>6,721</w:t>
            </w:r>
          </w:p>
        </w:tc>
        <w:tc>
          <w:tcPr>
            <w:tcW w:w="521" w:type="pct"/>
            <w:tcBorders>
              <w:top w:val="nil"/>
              <w:left w:val="nil"/>
              <w:bottom w:val="nil"/>
              <w:right w:val="nil"/>
            </w:tcBorders>
            <w:shd w:val="clear" w:color="000000" w:fill="E6F2FF"/>
            <w:noWrap/>
            <w:vAlign w:val="center"/>
            <w:hideMark/>
          </w:tcPr>
          <w:p w14:paraId="0A048E9E" w14:textId="1EFB507C" w:rsidR="001A4488" w:rsidRPr="00EC1992" w:rsidRDefault="001A4488" w:rsidP="0005496E">
            <w:pPr>
              <w:pStyle w:val="TableTextRight"/>
              <w:rPr>
                <w:color w:val="000000"/>
              </w:rPr>
            </w:pPr>
            <w:r>
              <w:rPr>
                <w:color w:val="000000"/>
              </w:rPr>
              <w:t>7,825</w:t>
            </w:r>
          </w:p>
        </w:tc>
        <w:tc>
          <w:tcPr>
            <w:tcW w:w="521" w:type="pct"/>
            <w:tcBorders>
              <w:top w:val="nil"/>
              <w:left w:val="nil"/>
              <w:bottom w:val="nil"/>
              <w:right w:val="nil"/>
            </w:tcBorders>
            <w:shd w:val="clear" w:color="000000" w:fill="FFFFFF"/>
            <w:noWrap/>
            <w:vAlign w:val="center"/>
            <w:hideMark/>
          </w:tcPr>
          <w:p w14:paraId="6BDFF1C7" w14:textId="2B69D1FF" w:rsidR="001A4488" w:rsidRPr="00EC1992" w:rsidRDefault="001A4488" w:rsidP="0005496E">
            <w:pPr>
              <w:pStyle w:val="TableTextRight"/>
              <w:rPr>
                <w:color w:val="000000"/>
              </w:rPr>
            </w:pPr>
            <w:r>
              <w:rPr>
                <w:color w:val="000000"/>
              </w:rPr>
              <w:t>8,324</w:t>
            </w:r>
          </w:p>
        </w:tc>
        <w:tc>
          <w:tcPr>
            <w:tcW w:w="521" w:type="pct"/>
            <w:tcBorders>
              <w:top w:val="nil"/>
              <w:left w:val="nil"/>
              <w:bottom w:val="nil"/>
              <w:right w:val="nil"/>
            </w:tcBorders>
            <w:shd w:val="clear" w:color="000000" w:fill="FFFFFF"/>
            <w:noWrap/>
            <w:vAlign w:val="center"/>
            <w:hideMark/>
          </w:tcPr>
          <w:p w14:paraId="094B49D8" w14:textId="30801BC4" w:rsidR="001A4488" w:rsidRPr="00EC1992" w:rsidRDefault="001A4488" w:rsidP="0005496E">
            <w:pPr>
              <w:pStyle w:val="TableTextRight"/>
              <w:rPr>
                <w:color w:val="000000"/>
              </w:rPr>
            </w:pPr>
            <w:r>
              <w:rPr>
                <w:color w:val="000000"/>
              </w:rPr>
              <w:t>8,422</w:t>
            </w:r>
          </w:p>
        </w:tc>
        <w:tc>
          <w:tcPr>
            <w:tcW w:w="538" w:type="pct"/>
            <w:tcBorders>
              <w:top w:val="nil"/>
              <w:left w:val="nil"/>
              <w:bottom w:val="nil"/>
              <w:right w:val="nil"/>
            </w:tcBorders>
            <w:shd w:val="clear" w:color="000000" w:fill="FFFFFF"/>
            <w:noWrap/>
            <w:vAlign w:val="center"/>
            <w:hideMark/>
          </w:tcPr>
          <w:p w14:paraId="285CA256" w14:textId="0C36F5F9" w:rsidR="001A4488" w:rsidRPr="00EC1992" w:rsidRDefault="001A4488" w:rsidP="0005496E">
            <w:pPr>
              <w:pStyle w:val="TableTextRight"/>
              <w:rPr>
                <w:color w:val="000000"/>
              </w:rPr>
            </w:pPr>
            <w:r>
              <w:rPr>
                <w:color w:val="000000"/>
              </w:rPr>
              <w:t>8,403</w:t>
            </w:r>
          </w:p>
        </w:tc>
      </w:tr>
      <w:tr w:rsidR="001A4488" w:rsidRPr="00EC1992" w14:paraId="2EEC53E4" w14:textId="77777777" w:rsidTr="00006E1D">
        <w:trPr>
          <w:trHeight w:val="104"/>
        </w:trPr>
        <w:tc>
          <w:tcPr>
            <w:tcW w:w="2377" w:type="pct"/>
            <w:tcBorders>
              <w:top w:val="nil"/>
              <w:left w:val="nil"/>
              <w:bottom w:val="nil"/>
              <w:right w:val="nil"/>
            </w:tcBorders>
            <w:shd w:val="clear" w:color="000000" w:fill="FFFFFF"/>
            <w:noWrap/>
            <w:vAlign w:val="center"/>
            <w:hideMark/>
          </w:tcPr>
          <w:p w14:paraId="34549A43" w14:textId="77777777" w:rsidR="001A4488" w:rsidRPr="00EC1992" w:rsidRDefault="001A4488" w:rsidP="004363F3">
            <w:pPr>
              <w:pStyle w:val="TableTextIndented"/>
            </w:pPr>
            <w:r w:rsidRPr="00EC1992">
              <w:t>Other</w:t>
            </w:r>
          </w:p>
        </w:tc>
        <w:tc>
          <w:tcPr>
            <w:tcW w:w="521" w:type="pct"/>
            <w:tcBorders>
              <w:top w:val="nil"/>
              <w:left w:val="nil"/>
              <w:bottom w:val="single" w:sz="4" w:space="0" w:color="293F5B"/>
              <w:right w:val="nil"/>
            </w:tcBorders>
            <w:shd w:val="clear" w:color="000000" w:fill="FFFFFF"/>
            <w:noWrap/>
            <w:vAlign w:val="center"/>
            <w:hideMark/>
          </w:tcPr>
          <w:p w14:paraId="2CAEDD26" w14:textId="5D707B05" w:rsidR="001A4488" w:rsidRPr="00EC1992" w:rsidRDefault="001A4488" w:rsidP="0005496E">
            <w:pPr>
              <w:pStyle w:val="TableTextRight"/>
              <w:rPr>
                <w:color w:val="000000"/>
              </w:rPr>
            </w:pPr>
            <w:r>
              <w:rPr>
                <w:color w:val="000000"/>
              </w:rPr>
              <w:t>5,977</w:t>
            </w:r>
          </w:p>
        </w:tc>
        <w:tc>
          <w:tcPr>
            <w:tcW w:w="521" w:type="pct"/>
            <w:tcBorders>
              <w:top w:val="nil"/>
              <w:left w:val="nil"/>
              <w:bottom w:val="single" w:sz="4" w:space="0" w:color="293F5B"/>
              <w:right w:val="nil"/>
            </w:tcBorders>
            <w:shd w:val="clear" w:color="000000" w:fill="E6F2FF"/>
            <w:noWrap/>
            <w:vAlign w:val="center"/>
            <w:hideMark/>
          </w:tcPr>
          <w:p w14:paraId="4B66C85B" w14:textId="2539152C" w:rsidR="001A4488" w:rsidRPr="00EC1992" w:rsidRDefault="001A4488" w:rsidP="0005496E">
            <w:pPr>
              <w:pStyle w:val="TableTextRight"/>
              <w:rPr>
                <w:color w:val="000000"/>
              </w:rPr>
            </w:pPr>
            <w:r>
              <w:rPr>
                <w:color w:val="000000"/>
              </w:rPr>
              <w:t>6,455</w:t>
            </w:r>
          </w:p>
        </w:tc>
        <w:tc>
          <w:tcPr>
            <w:tcW w:w="521" w:type="pct"/>
            <w:tcBorders>
              <w:top w:val="nil"/>
              <w:left w:val="nil"/>
              <w:bottom w:val="single" w:sz="4" w:space="0" w:color="293F5B"/>
              <w:right w:val="nil"/>
            </w:tcBorders>
            <w:shd w:val="clear" w:color="000000" w:fill="FFFFFF"/>
            <w:noWrap/>
            <w:vAlign w:val="center"/>
            <w:hideMark/>
          </w:tcPr>
          <w:p w14:paraId="412124D3" w14:textId="5C71E48A" w:rsidR="001A4488" w:rsidRPr="00EC1992" w:rsidRDefault="001A4488" w:rsidP="0005496E">
            <w:pPr>
              <w:pStyle w:val="TableTextRight"/>
              <w:rPr>
                <w:color w:val="000000"/>
              </w:rPr>
            </w:pPr>
            <w:r>
              <w:rPr>
                <w:color w:val="000000"/>
              </w:rPr>
              <w:t>6,767</w:t>
            </w:r>
          </w:p>
        </w:tc>
        <w:tc>
          <w:tcPr>
            <w:tcW w:w="521" w:type="pct"/>
            <w:tcBorders>
              <w:top w:val="nil"/>
              <w:left w:val="nil"/>
              <w:bottom w:val="single" w:sz="4" w:space="0" w:color="293F5B"/>
              <w:right w:val="nil"/>
            </w:tcBorders>
            <w:shd w:val="clear" w:color="000000" w:fill="FFFFFF"/>
            <w:noWrap/>
            <w:vAlign w:val="center"/>
            <w:hideMark/>
          </w:tcPr>
          <w:p w14:paraId="2F8E7D5B" w14:textId="39E4B1B4" w:rsidR="001A4488" w:rsidRPr="00EC1992" w:rsidRDefault="001A4488" w:rsidP="0005496E">
            <w:pPr>
              <w:pStyle w:val="TableTextRight"/>
              <w:rPr>
                <w:color w:val="000000"/>
              </w:rPr>
            </w:pPr>
            <w:r>
              <w:rPr>
                <w:color w:val="000000"/>
              </w:rPr>
              <w:t>6,768</w:t>
            </w:r>
          </w:p>
        </w:tc>
        <w:tc>
          <w:tcPr>
            <w:tcW w:w="538" w:type="pct"/>
            <w:tcBorders>
              <w:top w:val="nil"/>
              <w:left w:val="nil"/>
              <w:bottom w:val="single" w:sz="4" w:space="0" w:color="293F5B"/>
              <w:right w:val="nil"/>
            </w:tcBorders>
            <w:shd w:val="clear" w:color="000000" w:fill="FFFFFF"/>
            <w:noWrap/>
            <w:vAlign w:val="center"/>
            <w:hideMark/>
          </w:tcPr>
          <w:p w14:paraId="086BE993" w14:textId="3B71B0BC" w:rsidR="001A4488" w:rsidRPr="00EC1992" w:rsidRDefault="001A4488" w:rsidP="0005496E">
            <w:pPr>
              <w:pStyle w:val="TableTextRight"/>
              <w:rPr>
                <w:color w:val="000000"/>
              </w:rPr>
            </w:pPr>
            <w:r>
              <w:rPr>
                <w:color w:val="000000"/>
              </w:rPr>
              <w:t>6,762</w:t>
            </w:r>
          </w:p>
        </w:tc>
      </w:tr>
      <w:tr w:rsidR="001A4488" w:rsidRPr="00EC1992" w14:paraId="22E4D035" w14:textId="77777777" w:rsidTr="00006E1D">
        <w:trPr>
          <w:trHeight w:val="195"/>
        </w:trPr>
        <w:tc>
          <w:tcPr>
            <w:tcW w:w="2377" w:type="pct"/>
            <w:tcBorders>
              <w:top w:val="nil"/>
              <w:left w:val="nil"/>
              <w:bottom w:val="nil"/>
              <w:right w:val="nil"/>
            </w:tcBorders>
            <w:shd w:val="clear" w:color="000000" w:fill="FFFFFF"/>
            <w:noWrap/>
            <w:vAlign w:val="center"/>
            <w:hideMark/>
          </w:tcPr>
          <w:p w14:paraId="3B5B211A" w14:textId="77777777" w:rsidR="001A4488" w:rsidRPr="00EC1992" w:rsidRDefault="001A4488" w:rsidP="004363F3">
            <w:pPr>
              <w:pStyle w:val="TableTextLeft"/>
              <w:rPr>
                <w:b/>
              </w:rPr>
            </w:pPr>
            <w:r w:rsidRPr="00EC1992">
              <w:rPr>
                <w:b/>
              </w:rPr>
              <w:t>Total intangibles</w:t>
            </w:r>
          </w:p>
        </w:tc>
        <w:tc>
          <w:tcPr>
            <w:tcW w:w="521" w:type="pct"/>
            <w:tcBorders>
              <w:top w:val="nil"/>
              <w:left w:val="nil"/>
              <w:bottom w:val="single" w:sz="4" w:space="0" w:color="293F5B"/>
              <w:right w:val="nil"/>
            </w:tcBorders>
            <w:shd w:val="clear" w:color="000000" w:fill="FFFFFF"/>
            <w:noWrap/>
            <w:vAlign w:val="center"/>
            <w:hideMark/>
          </w:tcPr>
          <w:p w14:paraId="3211C307" w14:textId="7CF078C9" w:rsidR="001A4488" w:rsidRPr="00EC1992" w:rsidRDefault="001A4488" w:rsidP="0005496E">
            <w:pPr>
              <w:pStyle w:val="TableTextRight"/>
              <w:rPr>
                <w:b/>
                <w:color w:val="000000"/>
              </w:rPr>
            </w:pPr>
            <w:r>
              <w:rPr>
                <w:b/>
                <w:color w:val="000000"/>
              </w:rPr>
              <w:t>12,697</w:t>
            </w:r>
          </w:p>
        </w:tc>
        <w:tc>
          <w:tcPr>
            <w:tcW w:w="521" w:type="pct"/>
            <w:tcBorders>
              <w:top w:val="nil"/>
              <w:left w:val="nil"/>
              <w:bottom w:val="single" w:sz="4" w:space="0" w:color="293F5B"/>
              <w:right w:val="nil"/>
            </w:tcBorders>
            <w:shd w:val="clear" w:color="000000" w:fill="E6F2FF"/>
            <w:noWrap/>
            <w:vAlign w:val="center"/>
            <w:hideMark/>
          </w:tcPr>
          <w:p w14:paraId="6E73C28D" w14:textId="0A07B426" w:rsidR="001A4488" w:rsidRPr="00EC1992" w:rsidRDefault="001A4488" w:rsidP="0005496E">
            <w:pPr>
              <w:pStyle w:val="TableTextRight"/>
              <w:rPr>
                <w:b/>
                <w:color w:val="000000"/>
              </w:rPr>
            </w:pPr>
            <w:r>
              <w:rPr>
                <w:b/>
                <w:color w:val="000000"/>
              </w:rPr>
              <w:t>14,280</w:t>
            </w:r>
          </w:p>
        </w:tc>
        <w:tc>
          <w:tcPr>
            <w:tcW w:w="521" w:type="pct"/>
            <w:tcBorders>
              <w:top w:val="nil"/>
              <w:left w:val="nil"/>
              <w:bottom w:val="single" w:sz="4" w:space="0" w:color="293F5B"/>
              <w:right w:val="nil"/>
            </w:tcBorders>
            <w:shd w:val="clear" w:color="000000" w:fill="FFFFFF"/>
            <w:noWrap/>
            <w:vAlign w:val="center"/>
            <w:hideMark/>
          </w:tcPr>
          <w:p w14:paraId="69FB8159" w14:textId="09722CC9" w:rsidR="001A4488" w:rsidRPr="00EC1992" w:rsidRDefault="001A4488" w:rsidP="0005496E">
            <w:pPr>
              <w:pStyle w:val="TableTextRight"/>
              <w:rPr>
                <w:b/>
                <w:color w:val="000000"/>
              </w:rPr>
            </w:pPr>
            <w:r>
              <w:rPr>
                <w:b/>
                <w:color w:val="000000"/>
              </w:rPr>
              <w:t>15,091</w:t>
            </w:r>
          </w:p>
        </w:tc>
        <w:tc>
          <w:tcPr>
            <w:tcW w:w="521" w:type="pct"/>
            <w:tcBorders>
              <w:top w:val="nil"/>
              <w:left w:val="nil"/>
              <w:bottom w:val="single" w:sz="4" w:space="0" w:color="293F5B"/>
              <w:right w:val="nil"/>
            </w:tcBorders>
            <w:shd w:val="clear" w:color="000000" w:fill="FFFFFF"/>
            <w:noWrap/>
            <w:vAlign w:val="center"/>
            <w:hideMark/>
          </w:tcPr>
          <w:p w14:paraId="709E2359" w14:textId="5FEBF96F" w:rsidR="001A4488" w:rsidRPr="00EC1992" w:rsidRDefault="001A4488" w:rsidP="0005496E">
            <w:pPr>
              <w:pStyle w:val="TableTextRight"/>
              <w:rPr>
                <w:b/>
                <w:color w:val="000000"/>
              </w:rPr>
            </w:pPr>
            <w:r>
              <w:rPr>
                <w:b/>
                <w:color w:val="000000"/>
              </w:rPr>
              <w:t>15,190</w:t>
            </w:r>
          </w:p>
        </w:tc>
        <w:tc>
          <w:tcPr>
            <w:tcW w:w="538" w:type="pct"/>
            <w:tcBorders>
              <w:top w:val="nil"/>
              <w:left w:val="nil"/>
              <w:bottom w:val="single" w:sz="4" w:space="0" w:color="293F5B"/>
              <w:right w:val="nil"/>
            </w:tcBorders>
            <w:shd w:val="clear" w:color="000000" w:fill="FFFFFF"/>
            <w:noWrap/>
            <w:vAlign w:val="center"/>
            <w:hideMark/>
          </w:tcPr>
          <w:p w14:paraId="7DBEFC5F" w14:textId="25A28F08" w:rsidR="001A4488" w:rsidRPr="00EC1992" w:rsidRDefault="001A4488" w:rsidP="0005496E">
            <w:pPr>
              <w:pStyle w:val="TableTextRight"/>
              <w:rPr>
                <w:b/>
                <w:color w:val="000000"/>
              </w:rPr>
            </w:pPr>
            <w:r>
              <w:rPr>
                <w:b/>
                <w:color w:val="000000"/>
              </w:rPr>
              <w:t>15,165</w:t>
            </w:r>
          </w:p>
        </w:tc>
      </w:tr>
      <w:tr w:rsidR="001A4488" w:rsidRPr="00EC1992" w14:paraId="1CC1E235" w14:textId="77777777" w:rsidTr="00006E1D">
        <w:trPr>
          <w:trHeight w:val="342"/>
        </w:trPr>
        <w:tc>
          <w:tcPr>
            <w:tcW w:w="2377" w:type="pct"/>
            <w:tcBorders>
              <w:top w:val="nil"/>
              <w:left w:val="nil"/>
              <w:bottom w:val="nil"/>
              <w:right w:val="nil"/>
            </w:tcBorders>
            <w:shd w:val="clear" w:color="000000" w:fill="FFFFFF"/>
            <w:noWrap/>
            <w:vAlign w:val="center"/>
            <w:hideMark/>
          </w:tcPr>
          <w:p w14:paraId="293FD84C" w14:textId="77777777" w:rsidR="001A4488" w:rsidRPr="00EC1992" w:rsidRDefault="001A4488" w:rsidP="004363F3">
            <w:pPr>
              <w:pStyle w:val="TableTextLeft"/>
              <w:rPr>
                <w:b/>
              </w:rPr>
            </w:pPr>
            <w:r w:rsidRPr="00EC1992">
              <w:rPr>
                <w:b/>
              </w:rPr>
              <w:t>Total investment properties</w:t>
            </w:r>
          </w:p>
        </w:tc>
        <w:tc>
          <w:tcPr>
            <w:tcW w:w="521" w:type="pct"/>
            <w:tcBorders>
              <w:top w:val="nil"/>
              <w:left w:val="nil"/>
              <w:bottom w:val="single" w:sz="4" w:space="0" w:color="293F5B"/>
              <w:right w:val="nil"/>
            </w:tcBorders>
            <w:shd w:val="clear" w:color="000000" w:fill="FFFFFF"/>
            <w:noWrap/>
            <w:vAlign w:val="center"/>
            <w:hideMark/>
          </w:tcPr>
          <w:p w14:paraId="1159A33E" w14:textId="7E904D22" w:rsidR="001A4488" w:rsidRPr="00EC1992" w:rsidRDefault="001A4488" w:rsidP="0005496E">
            <w:pPr>
              <w:pStyle w:val="TableTextRight"/>
              <w:rPr>
                <w:b/>
                <w:color w:val="000000"/>
              </w:rPr>
            </w:pPr>
            <w:r>
              <w:rPr>
                <w:b/>
                <w:color w:val="000000"/>
              </w:rPr>
              <w:t>220</w:t>
            </w:r>
          </w:p>
        </w:tc>
        <w:tc>
          <w:tcPr>
            <w:tcW w:w="521" w:type="pct"/>
            <w:tcBorders>
              <w:top w:val="nil"/>
              <w:left w:val="nil"/>
              <w:bottom w:val="single" w:sz="4" w:space="0" w:color="293F5B"/>
              <w:right w:val="nil"/>
            </w:tcBorders>
            <w:shd w:val="clear" w:color="000000" w:fill="E6F2FF"/>
            <w:noWrap/>
            <w:vAlign w:val="center"/>
            <w:hideMark/>
          </w:tcPr>
          <w:p w14:paraId="36D84DE0" w14:textId="77EF2E6C" w:rsidR="001A4488" w:rsidRPr="00EC1992" w:rsidRDefault="001A4488" w:rsidP="0005496E">
            <w:pPr>
              <w:pStyle w:val="TableTextRight"/>
              <w:rPr>
                <w:b/>
                <w:color w:val="000000"/>
              </w:rPr>
            </w:pPr>
            <w:r>
              <w:rPr>
                <w:b/>
                <w:color w:val="000000"/>
              </w:rPr>
              <w:t>227</w:t>
            </w:r>
          </w:p>
        </w:tc>
        <w:tc>
          <w:tcPr>
            <w:tcW w:w="521" w:type="pct"/>
            <w:tcBorders>
              <w:top w:val="nil"/>
              <w:left w:val="nil"/>
              <w:bottom w:val="single" w:sz="4" w:space="0" w:color="293F5B"/>
              <w:right w:val="nil"/>
            </w:tcBorders>
            <w:shd w:val="clear" w:color="000000" w:fill="FFFFFF"/>
            <w:noWrap/>
            <w:vAlign w:val="center"/>
            <w:hideMark/>
          </w:tcPr>
          <w:p w14:paraId="233067BD" w14:textId="5867D9F2" w:rsidR="001A4488" w:rsidRPr="00EC1992" w:rsidRDefault="001A4488" w:rsidP="0005496E">
            <w:pPr>
              <w:pStyle w:val="TableTextRight"/>
              <w:rPr>
                <w:b/>
                <w:color w:val="000000"/>
              </w:rPr>
            </w:pPr>
            <w:r>
              <w:rPr>
                <w:b/>
                <w:color w:val="000000"/>
              </w:rPr>
              <w:t>227</w:t>
            </w:r>
          </w:p>
        </w:tc>
        <w:tc>
          <w:tcPr>
            <w:tcW w:w="521" w:type="pct"/>
            <w:tcBorders>
              <w:top w:val="nil"/>
              <w:left w:val="nil"/>
              <w:bottom w:val="single" w:sz="4" w:space="0" w:color="293F5B"/>
              <w:right w:val="nil"/>
            </w:tcBorders>
            <w:shd w:val="clear" w:color="000000" w:fill="FFFFFF"/>
            <w:noWrap/>
            <w:vAlign w:val="center"/>
            <w:hideMark/>
          </w:tcPr>
          <w:p w14:paraId="13087D94" w14:textId="42780300" w:rsidR="001A4488" w:rsidRPr="00EC1992" w:rsidRDefault="001A4488" w:rsidP="0005496E">
            <w:pPr>
              <w:pStyle w:val="TableTextRight"/>
              <w:rPr>
                <w:b/>
                <w:color w:val="000000"/>
              </w:rPr>
            </w:pPr>
            <w:r>
              <w:rPr>
                <w:b/>
                <w:color w:val="000000"/>
              </w:rPr>
              <w:t>227</w:t>
            </w:r>
          </w:p>
        </w:tc>
        <w:tc>
          <w:tcPr>
            <w:tcW w:w="538" w:type="pct"/>
            <w:tcBorders>
              <w:top w:val="nil"/>
              <w:left w:val="nil"/>
              <w:bottom w:val="single" w:sz="4" w:space="0" w:color="293F5B"/>
              <w:right w:val="nil"/>
            </w:tcBorders>
            <w:shd w:val="clear" w:color="000000" w:fill="FFFFFF"/>
            <w:noWrap/>
            <w:vAlign w:val="center"/>
            <w:hideMark/>
          </w:tcPr>
          <w:p w14:paraId="47C647EB" w14:textId="5E9358DF" w:rsidR="001A4488" w:rsidRPr="00EC1992" w:rsidRDefault="001A4488" w:rsidP="0005496E">
            <w:pPr>
              <w:pStyle w:val="TableTextRight"/>
              <w:rPr>
                <w:b/>
                <w:color w:val="000000"/>
              </w:rPr>
            </w:pPr>
            <w:r>
              <w:rPr>
                <w:b/>
                <w:color w:val="000000"/>
              </w:rPr>
              <w:t>227</w:t>
            </w:r>
          </w:p>
        </w:tc>
      </w:tr>
      <w:tr w:rsidR="00EC1992" w:rsidRPr="00EC1992" w14:paraId="3865D64E" w14:textId="77777777" w:rsidTr="00B35065">
        <w:trPr>
          <w:trHeight w:val="289"/>
        </w:trPr>
        <w:tc>
          <w:tcPr>
            <w:tcW w:w="2377" w:type="pct"/>
            <w:tcBorders>
              <w:top w:val="nil"/>
              <w:left w:val="nil"/>
              <w:bottom w:val="nil"/>
              <w:right w:val="nil"/>
            </w:tcBorders>
            <w:shd w:val="clear" w:color="000000" w:fill="FFFFFF"/>
            <w:noWrap/>
            <w:vAlign w:val="center"/>
            <w:hideMark/>
          </w:tcPr>
          <w:p w14:paraId="4B91A236" w14:textId="77777777" w:rsidR="00EC1992" w:rsidRPr="00EC1992" w:rsidRDefault="00EC1992" w:rsidP="004363F3">
            <w:pPr>
              <w:pStyle w:val="TableTextLeft"/>
              <w:rPr>
                <w:b/>
              </w:rPr>
            </w:pPr>
            <w:r w:rsidRPr="00EC1992">
              <w:rPr>
                <w:b/>
              </w:rPr>
              <w:t>Total biological assets</w:t>
            </w:r>
          </w:p>
        </w:tc>
        <w:tc>
          <w:tcPr>
            <w:tcW w:w="521" w:type="pct"/>
            <w:tcBorders>
              <w:top w:val="nil"/>
              <w:left w:val="nil"/>
              <w:bottom w:val="single" w:sz="4" w:space="0" w:color="293F5B"/>
              <w:right w:val="nil"/>
            </w:tcBorders>
            <w:shd w:val="clear" w:color="000000" w:fill="FFFFFF"/>
            <w:noWrap/>
            <w:vAlign w:val="center"/>
            <w:hideMark/>
          </w:tcPr>
          <w:p w14:paraId="2D08D114" w14:textId="77777777" w:rsidR="00EC1992" w:rsidRPr="00EC1992" w:rsidRDefault="00EC1992" w:rsidP="0005496E">
            <w:pPr>
              <w:pStyle w:val="TableTextRight"/>
              <w:rPr>
                <w:b/>
                <w:color w:val="000000"/>
              </w:rPr>
            </w:pPr>
            <w:r w:rsidRPr="00EC1992">
              <w:rPr>
                <w:b/>
                <w:color w:val="000000"/>
              </w:rPr>
              <w:t>5</w:t>
            </w:r>
          </w:p>
        </w:tc>
        <w:tc>
          <w:tcPr>
            <w:tcW w:w="521" w:type="pct"/>
            <w:tcBorders>
              <w:top w:val="nil"/>
              <w:left w:val="nil"/>
              <w:bottom w:val="single" w:sz="4" w:space="0" w:color="293F5B"/>
              <w:right w:val="nil"/>
            </w:tcBorders>
            <w:shd w:val="clear" w:color="000000" w:fill="E6F2FF"/>
            <w:noWrap/>
            <w:vAlign w:val="center"/>
            <w:hideMark/>
          </w:tcPr>
          <w:p w14:paraId="4649AF7A" w14:textId="77777777" w:rsidR="00EC1992" w:rsidRPr="00EC1992" w:rsidRDefault="00EC1992" w:rsidP="0005496E">
            <w:pPr>
              <w:pStyle w:val="TableTextRight"/>
              <w:rPr>
                <w:b/>
                <w:color w:val="000000"/>
              </w:rPr>
            </w:pPr>
            <w:r w:rsidRPr="00EC1992">
              <w:rPr>
                <w:b/>
                <w:color w:val="000000"/>
              </w:rPr>
              <w:t>5</w:t>
            </w:r>
          </w:p>
        </w:tc>
        <w:tc>
          <w:tcPr>
            <w:tcW w:w="521" w:type="pct"/>
            <w:tcBorders>
              <w:top w:val="nil"/>
              <w:left w:val="nil"/>
              <w:bottom w:val="single" w:sz="4" w:space="0" w:color="293F5B"/>
              <w:right w:val="nil"/>
            </w:tcBorders>
            <w:shd w:val="clear" w:color="000000" w:fill="FFFFFF"/>
            <w:noWrap/>
            <w:vAlign w:val="center"/>
            <w:hideMark/>
          </w:tcPr>
          <w:p w14:paraId="13DDB28A" w14:textId="77777777" w:rsidR="00EC1992" w:rsidRPr="00EC1992" w:rsidRDefault="00EC1992" w:rsidP="0005496E">
            <w:pPr>
              <w:pStyle w:val="TableTextRight"/>
              <w:rPr>
                <w:b/>
                <w:color w:val="000000"/>
              </w:rPr>
            </w:pPr>
            <w:r w:rsidRPr="00EC1992">
              <w:rPr>
                <w:b/>
                <w:color w:val="000000"/>
              </w:rPr>
              <w:t>5</w:t>
            </w:r>
          </w:p>
        </w:tc>
        <w:tc>
          <w:tcPr>
            <w:tcW w:w="521" w:type="pct"/>
            <w:tcBorders>
              <w:top w:val="nil"/>
              <w:left w:val="nil"/>
              <w:bottom w:val="single" w:sz="4" w:space="0" w:color="293F5B"/>
              <w:right w:val="nil"/>
            </w:tcBorders>
            <w:shd w:val="clear" w:color="000000" w:fill="FFFFFF"/>
            <w:noWrap/>
            <w:vAlign w:val="center"/>
            <w:hideMark/>
          </w:tcPr>
          <w:p w14:paraId="3B171C18" w14:textId="77777777" w:rsidR="00EC1992" w:rsidRPr="00EC1992" w:rsidRDefault="00EC1992" w:rsidP="0005496E">
            <w:pPr>
              <w:pStyle w:val="TableTextRight"/>
              <w:rPr>
                <w:b/>
                <w:color w:val="000000"/>
              </w:rPr>
            </w:pPr>
            <w:r w:rsidRPr="00EC1992">
              <w:rPr>
                <w:b/>
                <w:color w:val="000000"/>
              </w:rPr>
              <w:t>5</w:t>
            </w:r>
          </w:p>
        </w:tc>
        <w:tc>
          <w:tcPr>
            <w:tcW w:w="538" w:type="pct"/>
            <w:tcBorders>
              <w:top w:val="nil"/>
              <w:left w:val="nil"/>
              <w:bottom w:val="single" w:sz="4" w:space="0" w:color="293F5B"/>
              <w:right w:val="nil"/>
            </w:tcBorders>
            <w:shd w:val="clear" w:color="000000" w:fill="FFFFFF"/>
            <w:noWrap/>
            <w:vAlign w:val="center"/>
            <w:hideMark/>
          </w:tcPr>
          <w:p w14:paraId="009D94E5" w14:textId="77777777" w:rsidR="00EC1992" w:rsidRPr="00EC1992" w:rsidRDefault="00EC1992" w:rsidP="0005496E">
            <w:pPr>
              <w:pStyle w:val="TableTextRight"/>
              <w:rPr>
                <w:b/>
                <w:color w:val="000000"/>
              </w:rPr>
            </w:pPr>
            <w:r w:rsidRPr="00EC1992">
              <w:rPr>
                <w:b/>
                <w:color w:val="000000"/>
              </w:rPr>
              <w:t>5</w:t>
            </w:r>
          </w:p>
        </w:tc>
      </w:tr>
      <w:tr w:rsidR="00396AF5" w:rsidRPr="00EC1992" w14:paraId="6AD74358" w14:textId="77777777" w:rsidTr="00006E1D">
        <w:trPr>
          <w:trHeight w:val="225"/>
        </w:trPr>
        <w:tc>
          <w:tcPr>
            <w:tcW w:w="2377" w:type="pct"/>
            <w:tcBorders>
              <w:top w:val="nil"/>
              <w:left w:val="nil"/>
              <w:bottom w:val="nil"/>
              <w:right w:val="nil"/>
            </w:tcBorders>
            <w:shd w:val="clear" w:color="000000" w:fill="FFFFFF"/>
            <w:noWrap/>
            <w:vAlign w:val="center"/>
            <w:hideMark/>
          </w:tcPr>
          <w:p w14:paraId="214376CE" w14:textId="77777777" w:rsidR="00396AF5" w:rsidRPr="00EC1992" w:rsidRDefault="00396AF5" w:rsidP="004363F3">
            <w:pPr>
              <w:pStyle w:val="TableTextLeft"/>
              <w:rPr>
                <w:b/>
              </w:rPr>
            </w:pPr>
            <w:r w:rsidRPr="00EC1992">
              <w:rPr>
                <w:b/>
              </w:rPr>
              <w:t>Total heritage and cultural assets</w:t>
            </w:r>
          </w:p>
        </w:tc>
        <w:tc>
          <w:tcPr>
            <w:tcW w:w="521" w:type="pct"/>
            <w:tcBorders>
              <w:top w:val="nil"/>
              <w:left w:val="nil"/>
              <w:bottom w:val="single" w:sz="4" w:space="0" w:color="293F5B"/>
              <w:right w:val="nil"/>
            </w:tcBorders>
            <w:shd w:val="clear" w:color="000000" w:fill="FFFFFF"/>
            <w:noWrap/>
            <w:vAlign w:val="center"/>
            <w:hideMark/>
          </w:tcPr>
          <w:p w14:paraId="34318FEF" w14:textId="5E39D38E" w:rsidR="00396AF5" w:rsidRPr="00EC1992" w:rsidRDefault="00396AF5" w:rsidP="0005496E">
            <w:pPr>
              <w:pStyle w:val="TableTextRight"/>
              <w:rPr>
                <w:b/>
                <w:color w:val="000000"/>
              </w:rPr>
            </w:pPr>
            <w:r>
              <w:rPr>
                <w:b/>
                <w:color w:val="000000"/>
              </w:rPr>
              <w:t>12,664</w:t>
            </w:r>
          </w:p>
        </w:tc>
        <w:tc>
          <w:tcPr>
            <w:tcW w:w="521" w:type="pct"/>
            <w:tcBorders>
              <w:top w:val="nil"/>
              <w:left w:val="nil"/>
              <w:bottom w:val="single" w:sz="4" w:space="0" w:color="293F5B"/>
              <w:right w:val="nil"/>
            </w:tcBorders>
            <w:shd w:val="clear" w:color="000000" w:fill="E6F2FF"/>
            <w:noWrap/>
            <w:vAlign w:val="center"/>
            <w:hideMark/>
          </w:tcPr>
          <w:p w14:paraId="6C6B8828" w14:textId="2290B883" w:rsidR="00396AF5" w:rsidRPr="00EC1992" w:rsidRDefault="00396AF5" w:rsidP="0005496E">
            <w:pPr>
              <w:pStyle w:val="TableTextRight"/>
              <w:rPr>
                <w:b/>
                <w:color w:val="000000"/>
              </w:rPr>
            </w:pPr>
            <w:r>
              <w:rPr>
                <w:b/>
                <w:color w:val="000000"/>
              </w:rPr>
              <w:t>12,687</w:t>
            </w:r>
          </w:p>
        </w:tc>
        <w:tc>
          <w:tcPr>
            <w:tcW w:w="521" w:type="pct"/>
            <w:tcBorders>
              <w:top w:val="nil"/>
              <w:left w:val="nil"/>
              <w:bottom w:val="single" w:sz="4" w:space="0" w:color="293F5B"/>
              <w:right w:val="nil"/>
            </w:tcBorders>
            <w:shd w:val="clear" w:color="000000" w:fill="FFFFFF"/>
            <w:noWrap/>
            <w:vAlign w:val="center"/>
            <w:hideMark/>
          </w:tcPr>
          <w:p w14:paraId="7453598B" w14:textId="06633129" w:rsidR="00396AF5" w:rsidRPr="00EC1992" w:rsidRDefault="00396AF5" w:rsidP="0005496E">
            <w:pPr>
              <w:pStyle w:val="TableTextRight"/>
              <w:rPr>
                <w:b/>
                <w:color w:val="000000"/>
              </w:rPr>
            </w:pPr>
            <w:r>
              <w:rPr>
                <w:b/>
                <w:color w:val="000000"/>
              </w:rPr>
              <w:t>12,685</w:t>
            </w:r>
          </w:p>
        </w:tc>
        <w:tc>
          <w:tcPr>
            <w:tcW w:w="521" w:type="pct"/>
            <w:tcBorders>
              <w:top w:val="nil"/>
              <w:left w:val="nil"/>
              <w:bottom w:val="single" w:sz="4" w:space="0" w:color="293F5B"/>
              <w:right w:val="nil"/>
            </w:tcBorders>
            <w:shd w:val="clear" w:color="000000" w:fill="FFFFFF"/>
            <w:noWrap/>
            <w:vAlign w:val="center"/>
            <w:hideMark/>
          </w:tcPr>
          <w:p w14:paraId="3C9F22CE" w14:textId="0C932DDB" w:rsidR="00396AF5" w:rsidRPr="00EC1992" w:rsidRDefault="00396AF5" w:rsidP="0005496E">
            <w:pPr>
              <w:pStyle w:val="TableTextRight"/>
              <w:rPr>
                <w:b/>
                <w:color w:val="000000"/>
              </w:rPr>
            </w:pPr>
            <w:r>
              <w:rPr>
                <w:b/>
                <w:color w:val="000000"/>
              </w:rPr>
              <w:t>12,683</w:t>
            </w:r>
          </w:p>
        </w:tc>
        <w:tc>
          <w:tcPr>
            <w:tcW w:w="538" w:type="pct"/>
            <w:tcBorders>
              <w:top w:val="nil"/>
              <w:left w:val="nil"/>
              <w:bottom w:val="single" w:sz="4" w:space="0" w:color="293F5B"/>
              <w:right w:val="nil"/>
            </w:tcBorders>
            <w:shd w:val="clear" w:color="000000" w:fill="FFFFFF"/>
            <w:noWrap/>
            <w:vAlign w:val="center"/>
            <w:hideMark/>
          </w:tcPr>
          <w:p w14:paraId="400715AC" w14:textId="5A86A9A0" w:rsidR="00396AF5" w:rsidRPr="00EC1992" w:rsidRDefault="00396AF5" w:rsidP="0005496E">
            <w:pPr>
              <w:pStyle w:val="TableTextRight"/>
              <w:rPr>
                <w:b/>
                <w:color w:val="000000"/>
              </w:rPr>
            </w:pPr>
            <w:r>
              <w:rPr>
                <w:b/>
                <w:color w:val="000000"/>
              </w:rPr>
              <w:t>12,684</w:t>
            </w:r>
          </w:p>
        </w:tc>
      </w:tr>
      <w:tr w:rsidR="00EC1992" w:rsidRPr="00EC1992" w14:paraId="07747175" w14:textId="77777777" w:rsidTr="00006E1D">
        <w:trPr>
          <w:trHeight w:val="352"/>
        </w:trPr>
        <w:tc>
          <w:tcPr>
            <w:tcW w:w="2377" w:type="pct"/>
            <w:tcBorders>
              <w:top w:val="nil"/>
              <w:left w:val="nil"/>
              <w:bottom w:val="nil"/>
              <w:right w:val="nil"/>
            </w:tcBorders>
            <w:shd w:val="clear" w:color="000000" w:fill="FFFFFF"/>
            <w:noWrap/>
            <w:vAlign w:val="center"/>
            <w:hideMark/>
          </w:tcPr>
          <w:p w14:paraId="0E47BE32" w14:textId="77777777" w:rsidR="00EC1992" w:rsidRPr="00EC1992" w:rsidRDefault="00EC1992" w:rsidP="004363F3">
            <w:pPr>
              <w:pStyle w:val="TableTextLeft"/>
              <w:rPr>
                <w:b/>
              </w:rPr>
            </w:pPr>
            <w:r w:rsidRPr="00EC1992">
              <w:rPr>
                <w:b/>
              </w:rPr>
              <w:t>Total assets held for sale</w:t>
            </w:r>
          </w:p>
        </w:tc>
        <w:tc>
          <w:tcPr>
            <w:tcW w:w="521" w:type="pct"/>
            <w:tcBorders>
              <w:top w:val="nil"/>
              <w:left w:val="nil"/>
              <w:bottom w:val="single" w:sz="4" w:space="0" w:color="293F5B"/>
              <w:right w:val="nil"/>
            </w:tcBorders>
            <w:shd w:val="clear" w:color="000000" w:fill="FFFFFF"/>
            <w:noWrap/>
            <w:vAlign w:val="center"/>
            <w:hideMark/>
          </w:tcPr>
          <w:p w14:paraId="715829DA" w14:textId="77777777" w:rsidR="00EC1992" w:rsidRPr="00EC1992" w:rsidRDefault="00EC1992" w:rsidP="0005496E">
            <w:pPr>
              <w:pStyle w:val="TableTextRight"/>
              <w:rPr>
                <w:b/>
                <w:color w:val="000000"/>
              </w:rPr>
            </w:pPr>
            <w:r w:rsidRPr="00EC1992">
              <w:rPr>
                <w:b/>
                <w:color w:val="000000"/>
              </w:rPr>
              <w:t>102</w:t>
            </w:r>
          </w:p>
        </w:tc>
        <w:tc>
          <w:tcPr>
            <w:tcW w:w="521" w:type="pct"/>
            <w:tcBorders>
              <w:top w:val="nil"/>
              <w:left w:val="nil"/>
              <w:bottom w:val="single" w:sz="4" w:space="0" w:color="293F5B"/>
              <w:right w:val="nil"/>
            </w:tcBorders>
            <w:shd w:val="clear" w:color="000000" w:fill="E6F2FF"/>
            <w:noWrap/>
            <w:vAlign w:val="center"/>
            <w:hideMark/>
          </w:tcPr>
          <w:p w14:paraId="5E4A780B" w14:textId="77777777" w:rsidR="00EC1992" w:rsidRPr="00EC1992" w:rsidRDefault="00EC1992" w:rsidP="0005496E">
            <w:pPr>
              <w:pStyle w:val="TableTextRight"/>
              <w:rPr>
                <w:b/>
                <w:color w:val="000000"/>
              </w:rPr>
            </w:pPr>
            <w:r w:rsidRPr="00EC1992">
              <w:rPr>
                <w:b/>
                <w:color w:val="000000"/>
              </w:rPr>
              <w:t>94</w:t>
            </w:r>
          </w:p>
        </w:tc>
        <w:tc>
          <w:tcPr>
            <w:tcW w:w="521" w:type="pct"/>
            <w:tcBorders>
              <w:top w:val="nil"/>
              <w:left w:val="nil"/>
              <w:bottom w:val="single" w:sz="4" w:space="0" w:color="293F5B"/>
              <w:right w:val="nil"/>
            </w:tcBorders>
            <w:shd w:val="clear" w:color="000000" w:fill="FFFFFF"/>
            <w:noWrap/>
            <w:vAlign w:val="center"/>
            <w:hideMark/>
          </w:tcPr>
          <w:p w14:paraId="69EC34E8" w14:textId="77777777" w:rsidR="00EC1992" w:rsidRPr="00EC1992" w:rsidRDefault="00EC1992" w:rsidP="0005496E">
            <w:pPr>
              <w:pStyle w:val="TableTextRight"/>
              <w:rPr>
                <w:b/>
                <w:color w:val="000000"/>
              </w:rPr>
            </w:pPr>
            <w:r w:rsidRPr="00EC1992">
              <w:rPr>
                <w:b/>
                <w:color w:val="000000"/>
              </w:rPr>
              <w:t>89</w:t>
            </w:r>
          </w:p>
        </w:tc>
        <w:tc>
          <w:tcPr>
            <w:tcW w:w="521" w:type="pct"/>
            <w:tcBorders>
              <w:top w:val="nil"/>
              <w:left w:val="nil"/>
              <w:bottom w:val="single" w:sz="4" w:space="0" w:color="293F5B"/>
              <w:right w:val="nil"/>
            </w:tcBorders>
            <w:shd w:val="clear" w:color="000000" w:fill="FFFFFF"/>
            <w:noWrap/>
            <w:vAlign w:val="center"/>
            <w:hideMark/>
          </w:tcPr>
          <w:p w14:paraId="25B68C3D" w14:textId="77777777" w:rsidR="00EC1992" w:rsidRPr="00EC1992" w:rsidRDefault="00EC1992" w:rsidP="0005496E">
            <w:pPr>
              <w:pStyle w:val="TableTextRight"/>
              <w:rPr>
                <w:b/>
                <w:color w:val="000000"/>
              </w:rPr>
            </w:pPr>
            <w:r w:rsidRPr="00EC1992">
              <w:rPr>
                <w:b/>
                <w:color w:val="000000"/>
              </w:rPr>
              <w:t>89</w:t>
            </w:r>
          </w:p>
        </w:tc>
        <w:tc>
          <w:tcPr>
            <w:tcW w:w="538" w:type="pct"/>
            <w:tcBorders>
              <w:top w:val="nil"/>
              <w:left w:val="nil"/>
              <w:bottom w:val="single" w:sz="4" w:space="0" w:color="293F5B"/>
              <w:right w:val="nil"/>
            </w:tcBorders>
            <w:shd w:val="clear" w:color="000000" w:fill="FFFFFF"/>
            <w:noWrap/>
            <w:vAlign w:val="center"/>
            <w:hideMark/>
          </w:tcPr>
          <w:p w14:paraId="672EBF79" w14:textId="77777777" w:rsidR="00EC1992" w:rsidRPr="00EC1992" w:rsidRDefault="00EC1992" w:rsidP="0005496E">
            <w:pPr>
              <w:pStyle w:val="TableTextRight"/>
              <w:rPr>
                <w:b/>
                <w:color w:val="000000"/>
              </w:rPr>
            </w:pPr>
            <w:r w:rsidRPr="00EC1992">
              <w:rPr>
                <w:b/>
                <w:color w:val="000000"/>
              </w:rPr>
              <w:t>89</w:t>
            </w:r>
          </w:p>
        </w:tc>
      </w:tr>
      <w:tr w:rsidR="00EC1992" w:rsidRPr="00EC1992" w14:paraId="24D1541F" w14:textId="77777777" w:rsidTr="00006E1D">
        <w:trPr>
          <w:trHeight w:val="255"/>
        </w:trPr>
        <w:tc>
          <w:tcPr>
            <w:tcW w:w="2377" w:type="pct"/>
            <w:tcBorders>
              <w:top w:val="nil"/>
              <w:left w:val="nil"/>
              <w:bottom w:val="nil"/>
              <w:right w:val="nil"/>
            </w:tcBorders>
            <w:shd w:val="clear" w:color="000000" w:fill="FFFFFF"/>
            <w:noWrap/>
            <w:vAlign w:val="center"/>
            <w:hideMark/>
          </w:tcPr>
          <w:p w14:paraId="297E0675" w14:textId="0A87D527" w:rsidR="00EC1992" w:rsidRPr="00EC1992" w:rsidRDefault="00EC1992" w:rsidP="004363F3">
            <w:pPr>
              <w:pStyle w:val="TableTextLeft"/>
              <w:rPr>
                <w:b/>
              </w:rPr>
            </w:pPr>
            <w:r w:rsidRPr="00EC1992">
              <w:rPr>
                <w:b/>
              </w:rPr>
              <w:t>Total other non</w:t>
            </w:r>
            <w:r w:rsidR="00325E1E">
              <w:rPr>
                <w:b/>
                <w:bCs/>
              </w:rPr>
              <w:noBreakHyphen/>
            </w:r>
            <w:r w:rsidRPr="00EC1992">
              <w:rPr>
                <w:b/>
              </w:rPr>
              <w:t>financial assets</w:t>
            </w:r>
          </w:p>
        </w:tc>
        <w:tc>
          <w:tcPr>
            <w:tcW w:w="521" w:type="pct"/>
            <w:tcBorders>
              <w:top w:val="nil"/>
              <w:left w:val="nil"/>
              <w:bottom w:val="single" w:sz="4" w:space="0" w:color="293F5B"/>
              <w:right w:val="nil"/>
            </w:tcBorders>
            <w:shd w:val="clear" w:color="000000" w:fill="FFFFFF"/>
            <w:noWrap/>
            <w:vAlign w:val="center"/>
            <w:hideMark/>
          </w:tcPr>
          <w:p w14:paraId="62CA809B" w14:textId="77777777" w:rsidR="00EC1992" w:rsidRPr="00EC1992" w:rsidRDefault="00EC1992" w:rsidP="0005496E">
            <w:pPr>
              <w:pStyle w:val="TableTextRight"/>
              <w:rPr>
                <w:b/>
                <w:color w:val="000000"/>
              </w:rPr>
            </w:pPr>
            <w:r w:rsidRPr="00EC1992">
              <w:rPr>
                <w:b/>
                <w:color w:val="000000"/>
              </w:rPr>
              <w:t>14</w:t>
            </w:r>
          </w:p>
        </w:tc>
        <w:tc>
          <w:tcPr>
            <w:tcW w:w="521" w:type="pct"/>
            <w:tcBorders>
              <w:top w:val="nil"/>
              <w:left w:val="nil"/>
              <w:bottom w:val="single" w:sz="4" w:space="0" w:color="293F5B"/>
              <w:right w:val="nil"/>
            </w:tcBorders>
            <w:shd w:val="clear" w:color="000000" w:fill="E6F2FF"/>
            <w:noWrap/>
            <w:vAlign w:val="center"/>
            <w:hideMark/>
          </w:tcPr>
          <w:p w14:paraId="0DB4ACCD" w14:textId="77777777" w:rsidR="00EC1992" w:rsidRPr="00EC1992" w:rsidRDefault="00EC1992" w:rsidP="0005496E">
            <w:pPr>
              <w:pStyle w:val="TableTextRight"/>
              <w:rPr>
                <w:b/>
                <w:color w:val="000000"/>
              </w:rPr>
            </w:pPr>
            <w:r w:rsidRPr="00EC1992">
              <w:rPr>
                <w:b/>
                <w:color w:val="000000"/>
              </w:rPr>
              <w:t>9</w:t>
            </w:r>
          </w:p>
        </w:tc>
        <w:tc>
          <w:tcPr>
            <w:tcW w:w="521" w:type="pct"/>
            <w:tcBorders>
              <w:top w:val="nil"/>
              <w:left w:val="nil"/>
              <w:bottom w:val="single" w:sz="4" w:space="0" w:color="293F5B"/>
              <w:right w:val="nil"/>
            </w:tcBorders>
            <w:shd w:val="clear" w:color="000000" w:fill="FFFFFF"/>
            <w:noWrap/>
            <w:vAlign w:val="center"/>
            <w:hideMark/>
          </w:tcPr>
          <w:p w14:paraId="6755FCED" w14:textId="77777777" w:rsidR="00EC1992" w:rsidRPr="00EC1992" w:rsidRDefault="00EC1992" w:rsidP="0005496E">
            <w:pPr>
              <w:pStyle w:val="TableTextRight"/>
              <w:rPr>
                <w:b/>
                <w:color w:val="000000"/>
              </w:rPr>
            </w:pPr>
            <w:r w:rsidRPr="00EC1992">
              <w:rPr>
                <w:b/>
                <w:color w:val="000000"/>
              </w:rPr>
              <w:t>9</w:t>
            </w:r>
          </w:p>
        </w:tc>
        <w:tc>
          <w:tcPr>
            <w:tcW w:w="521" w:type="pct"/>
            <w:tcBorders>
              <w:top w:val="nil"/>
              <w:left w:val="nil"/>
              <w:bottom w:val="single" w:sz="4" w:space="0" w:color="293F5B"/>
              <w:right w:val="nil"/>
            </w:tcBorders>
            <w:shd w:val="clear" w:color="000000" w:fill="FFFFFF"/>
            <w:noWrap/>
            <w:vAlign w:val="center"/>
            <w:hideMark/>
          </w:tcPr>
          <w:p w14:paraId="68D502BC" w14:textId="77777777" w:rsidR="00EC1992" w:rsidRPr="00EC1992" w:rsidRDefault="00EC1992" w:rsidP="0005496E">
            <w:pPr>
              <w:pStyle w:val="TableTextRight"/>
              <w:rPr>
                <w:b/>
                <w:color w:val="000000"/>
              </w:rPr>
            </w:pPr>
            <w:r w:rsidRPr="00EC1992">
              <w:rPr>
                <w:b/>
                <w:color w:val="000000"/>
              </w:rPr>
              <w:t>9</w:t>
            </w:r>
          </w:p>
        </w:tc>
        <w:tc>
          <w:tcPr>
            <w:tcW w:w="538" w:type="pct"/>
            <w:tcBorders>
              <w:top w:val="nil"/>
              <w:left w:val="nil"/>
              <w:bottom w:val="single" w:sz="4" w:space="0" w:color="293F5B"/>
              <w:right w:val="nil"/>
            </w:tcBorders>
            <w:shd w:val="clear" w:color="000000" w:fill="FFFFFF"/>
            <w:noWrap/>
            <w:vAlign w:val="center"/>
            <w:hideMark/>
          </w:tcPr>
          <w:p w14:paraId="4ED6E30D" w14:textId="77777777" w:rsidR="00EC1992" w:rsidRPr="00EC1992" w:rsidRDefault="00EC1992" w:rsidP="0005496E">
            <w:pPr>
              <w:pStyle w:val="TableTextRight"/>
              <w:rPr>
                <w:b/>
                <w:color w:val="000000"/>
              </w:rPr>
            </w:pPr>
            <w:r w:rsidRPr="00EC1992">
              <w:rPr>
                <w:b/>
                <w:color w:val="000000"/>
              </w:rPr>
              <w:t>9</w:t>
            </w:r>
          </w:p>
        </w:tc>
      </w:tr>
      <w:tr w:rsidR="00396AF5" w:rsidRPr="00EC1992" w14:paraId="2D2A7D3F" w14:textId="77777777" w:rsidTr="00006E1D">
        <w:trPr>
          <w:trHeight w:val="225"/>
        </w:trPr>
        <w:tc>
          <w:tcPr>
            <w:tcW w:w="2377" w:type="pct"/>
            <w:tcBorders>
              <w:top w:val="nil"/>
              <w:left w:val="nil"/>
              <w:bottom w:val="single" w:sz="4" w:space="0" w:color="293F5B"/>
              <w:right w:val="nil"/>
            </w:tcBorders>
            <w:shd w:val="clear" w:color="000000" w:fill="FFFFFF"/>
            <w:noWrap/>
            <w:vAlign w:val="center"/>
            <w:hideMark/>
          </w:tcPr>
          <w:p w14:paraId="1BEA234F" w14:textId="2823965C" w:rsidR="00396AF5" w:rsidRPr="00EC1992" w:rsidRDefault="00396AF5" w:rsidP="004363F3">
            <w:pPr>
              <w:pStyle w:val="TableTextLeft"/>
              <w:rPr>
                <w:b/>
              </w:rPr>
            </w:pPr>
            <w:r w:rsidRPr="00EC1992">
              <w:rPr>
                <w:b/>
              </w:rPr>
              <w:t>Total non</w:t>
            </w:r>
            <w:r w:rsidR="00325E1E">
              <w:rPr>
                <w:b/>
                <w:bCs/>
              </w:rPr>
              <w:noBreakHyphen/>
            </w:r>
            <w:r w:rsidRPr="00EC1992">
              <w:rPr>
                <w:b/>
              </w:rPr>
              <w:t>financial assets(a)</w:t>
            </w:r>
          </w:p>
        </w:tc>
        <w:tc>
          <w:tcPr>
            <w:tcW w:w="521" w:type="pct"/>
            <w:tcBorders>
              <w:top w:val="nil"/>
              <w:left w:val="nil"/>
              <w:bottom w:val="single" w:sz="4" w:space="0" w:color="293F5B"/>
              <w:right w:val="nil"/>
            </w:tcBorders>
            <w:shd w:val="clear" w:color="000000" w:fill="FFFFFF"/>
            <w:noWrap/>
            <w:vAlign w:val="center"/>
            <w:hideMark/>
          </w:tcPr>
          <w:p w14:paraId="0059570F" w14:textId="2D9AC8EF" w:rsidR="00396AF5" w:rsidRPr="00EC1992" w:rsidRDefault="00396AF5" w:rsidP="0005496E">
            <w:pPr>
              <w:pStyle w:val="TableTextRight"/>
              <w:rPr>
                <w:b/>
                <w:color w:val="000000"/>
              </w:rPr>
            </w:pPr>
            <w:r>
              <w:rPr>
                <w:b/>
                <w:color w:val="000000"/>
              </w:rPr>
              <w:t>211,687</w:t>
            </w:r>
          </w:p>
        </w:tc>
        <w:tc>
          <w:tcPr>
            <w:tcW w:w="521" w:type="pct"/>
            <w:tcBorders>
              <w:top w:val="nil"/>
              <w:left w:val="nil"/>
              <w:bottom w:val="single" w:sz="4" w:space="0" w:color="293F5B"/>
              <w:right w:val="nil"/>
            </w:tcBorders>
            <w:shd w:val="clear" w:color="000000" w:fill="E6F2FF"/>
            <w:noWrap/>
            <w:vAlign w:val="center"/>
            <w:hideMark/>
          </w:tcPr>
          <w:p w14:paraId="7E6D8741" w14:textId="012AF657" w:rsidR="00396AF5" w:rsidRPr="00EC1992" w:rsidRDefault="00396AF5" w:rsidP="0005496E">
            <w:pPr>
              <w:pStyle w:val="TableTextRight"/>
              <w:rPr>
                <w:b/>
                <w:color w:val="000000"/>
              </w:rPr>
            </w:pPr>
            <w:r>
              <w:rPr>
                <w:b/>
                <w:color w:val="000000"/>
              </w:rPr>
              <w:t>219,362</w:t>
            </w:r>
          </w:p>
        </w:tc>
        <w:tc>
          <w:tcPr>
            <w:tcW w:w="521" w:type="pct"/>
            <w:tcBorders>
              <w:top w:val="nil"/>
              <w:left w:val="nil"/>
              <w:bottom w:val="single" w:sz="4" w:space="0" w:color="293F5B"/>
              <w:right w:val="nil"/>
            </w:tcBorders>
            <w:shd w:val="clear" w:color="000000" w:fill="FFFFFF"/>
            <w:noWrap/>
            <w:vAlign w:val="center"/>
            <w:hideMark/>
          </w:tcPr>
          <w:p w14:paraId="4AEABA48" w14:textId="70527780" w:rsidR="00396AF5" w:rsidRPr="00EC1992" w:rsidRDefault="00396AF5" w:rsidP="0005496E">
            <w:pPr>
              <w:pStyle w:val="TableTextRight"/>
              <w:rPr>
                <w:b/>
                <w:color w:val="000000"/>
              </w:rPr>
            </w:pPr>
            <w:r>
              <w:rPr>
                <w:b/>
                <w:color w:val="000000"/>
              </w:rPr>
              <w:t>226,506</w:t>
            </w:r>
          </w:p>
        </w:tc>
        <w:tc>
          <w:tcPr>
            <w:tcW w:w="521" w:type="pct"/>
            <w:tcBorders>
              <w:top w:val="nil"/>
              <w:left w:val="nil"/>
              <w:bottom w:val="single" w:sz="4" w:space="0" w:color="293F5B"/>
              <w:right w:val="nil"/>
            </w:tcBorders>
            <w:shd w:val="clear" w:color="000000" w:fill="FFFFFF"/>
            <w:noWrap/>
            <w:vAlign w:val="center"/>
            <w:hideMark/>
          </w:tcPr>
          <w:p w14:paraId="29F93326" w14:textId="15D44C55" w:rsidR="00396AF5" w:rsidRPr="00EC1992" w:rsidRDefault="00396AF5" w:rsidP="0005496E">
            <w:pPr>
              <w:pStyle w:val="TableTextRight"/>
              <w:rPr>
                <w:b/>
                <w:color w:val="000000"/>
              </w:rPr>
            </w:pPr>
            <w:r>
              <w:rPr>
                <w:b/>
                <w:color w:val="000000"/>
              </w:rPr>
              <w:t>234,556</w:t>
            </w:r>
          </w:p>
        </w:tc>
        <w:tc>
          <w:tcPr>
            <w:tcW w:w="538" w:type="pct"/>
            <w:tcBorders>
              <w:top w:val="nil"/>
              <w:left w:val="nil"/>
              <w:bottom w:val="single" w:sz="4" w:space="0" w:color="293F5B"/>
              <w:right w:val="nil"/>
            </w:tcBorders>
            <w:shd w:val="clear" w:color="000000" w:fill="FFFFFF"/>
            <w:noWrap/>
            <w:vAlign w:val="center"/>
            <w:hideMark/>
          </w:tcPr>
          <w:p w14:paraId="582C0E39" w14:textId="512509CD" w:rsidR="00396AF5" w:rsidRPr="00EC1992" w:rsidRDefault="00396AF5" w:rsidP="0005496E">
            <w:pPr>
              <w:pStyle w:val="TableTextRight"/>
              <w:rPr>
                <w:b/>
                <w:color w:val="000000"/>
              </w:rPr>
            </w:pPr>
            <w:r>
              <w:rPr>
                <w:b/>
                <w:color w:val="000000"/>
              </w:rPr>
              <w:t>245,726</w:t>
            </w:r>
          </w:p>
        </w:tc>
      </w:tr>
      <w:tr w:rsidR="00EC1992" w:rsidRPr="00EC1992" w14:paraId="58B82A03" w14:textId="77777777" w:rsidTr="00006E1D">
        <w:trPr>
          <w:trHeight w:val="225"/>
        </w:trPr>
        <w:tc>
          <w:tcPr>
            <w:tcW w:w="2377" w:type="pct"/>
            <w:tcBorders>
              <w:top w:val="nil"/>
              <w:left w:val="nil"/>
              <w:bottom w:val="nil"/>
              <w:right w:val="nil"/>
            </w:tcBorders>
            <w:shd w:val="clear" w:color="000000" w:fill="FFFFFF"/>
            <w:noWrap/>
            <w:vAlign w:val="center"/>
            <w:hideMark/>
          </w:tcPr>
          <w:p w14:paraId="521399E0" w14:textId="77777777" w:rsidR="00EC1992" w:rsidRPr="00EC1992" w:rsidRDefault="00EC1992" w:rsidP="004363F3">
            <w:pPr>
              <w:pStyle w:val="TableTextLeft"/>
              <w:rPr>
                <w:i/>
              </w:rPr>
            </w:pPr>
            <w:r w:rsidRPr="00EC1992">
              <w:rPr>
                <w:i/>
              </w:rPr>
              <w:t>Memorandum:</w:t>
            </w:r>
          </w:p>
        </w:tc>
        <w:tc>
          <w:tcPr>
            <w:tcW w:w="521" w:type="pct"/>
            <w:tcBorders>
              <w:top w:val="nil"/>
              <w:left w:val="nil"/>
              <w:bottom w:val="nil"/>
              <w:right w:val="nil"/>
            </w:tcBorders>
            <w:shd w:val="clear" w:color="000000" w:fill="FFFFFF"/>
            <w:noWrap/>
            <w:vAlign w:val="center"/>
            <w:hideMark/>
          </w:tcPr>
          <w:p w14:paraId="550304DC" w14:textId="77777777" w:rsidR="00EC1992" w:rsidRPr="00EC1992" w:rsidRDefault="00EC1992" w:rsidP="0005496E">
            <w:pPr>
              <w:pStyle w:val="TableTextRight"/>
              <w:rPr>
                <w:b/>
                <w:color w:val="000000"/>
              </w:rPr>
            </w:pPr>
            <w:r w:rsidRPr="00EC1992">
              <w:rPr>
                <w:b/>
                <w:color w:val="000000"/>
              </w:rPr>
              <w:t> </w:t>
            </w:r>
          </w:p>
        </w:tc>
        <w:tc>
          <w:tcPr>
            <w:tcW w:w="521" w:type="pct"/>
            <w:tcBorders>
              <w:top w:val="nil"/>
              <w:left w:val="nil"/>
              <w:bottom w:val="nil"/>
              <w:right w:val="nil"/>
            </w:tcBorders>
            <w:shd w:val="clear" w:color="000000" w:fill="E6F2FF"/>
            <w:noWrap/>
            <w:vAlign w:val="center"/>
            <w:hideMark/>
          </w:tcPr>
          <w:p w14:paraId="6FDE47A2" w14:textId="77777777" w:rsidR="00EC1992" w:rsidRPr="00EC1992" w:rsidRDefault="00EC1992" w:rsidP="0005496E">
            <w:pPr>
              <w:pStyle w:val="TableTextRight"/>
              <w:rPr>
                <w:b/>
              </w:rPr>
            </w:pPr>
            <w:r w:rsidRPr="00EC1992">
              <w:rPr>
                <w:b/>
              </w:rPr>
              <w:t> </w:t>
            </w:r>
          </w:p>
        </w:tc>
        <w:tc>
          <w:tcPr>
            <w:tcW w:w="521" w:type="pct"/>
            <w:tcBorders>
              <w:top w:val="nil"/>
              <w:left w:val="nil"/>
              <w:bottom w:val="nil"/>
              <w:right w:val="nil"/>
            </w:tcBorders>
            <w:shd w:val="clear" w:color="000000" w:fill="FFFFFF"/>
            <w:noWrap/>
            <w:vAlign w:val="center"/>
            <w:hideMark/>
          </w:tcPr>
          <w:p w14:paraId="3D6EF847" w14:textId="77777777" w:rsidR="00EC1992" w:rsidRPr="00EC1992" w:rsidRDefault="00EC1992" w:rsidP="0005496E">
            <w:pPr>
              <w:pStyle w:val="TableTextRight"/>
              <w:rPr>
                <w:b/>
              </w:rPr>
            </w:pPr>
            <w:r w:rsidRPr="00EC1992">
              <w:rPr>
                <w:b/>
              </w:rPr>
              <w:t> </w:t>
            </w:r>
          </w:p>
        </w:tc>
        <w:tc>
          <w:tcPr>
            <w:tcW w:w="521" w:type="pct"/>
            <w:tcBorders>
              <w:top w:val="nil"/>
              <w:left w:val="nil"/>
              <w:bottom w:val="nil"/>
              <w:right w:val="nil"/>
            </w:tcBorders>
            <w:shd w:val="clear" w:color="000000" w:fill="FFFFFF"/>
            <w:noWrap/>
            <w:vAlign w:val="center"/>
            <w:hideMark/>
          </w:tcPr>
          <w:p w14:paraId="6537A152" w14:textId="77777777" w:rsidR="00EC1992" w:rsidRPr="00EC1992" w:rsidRDefault="00EC1992" w:rsidP="0005496E">
            <w:pPr>
              <w:pStyle w:val="TableTextRight"/>
              <w:rPr>
                <w:b/>
              </w:rPr>
            </w:pPr>
            <w:r w:rsidRPr="00EC1992">
              <w:rPr>
                <w:b/>
              </w:rPr>
              <w:t> </w:t>
            </w:r>
          </w:p>
        </w:tc>
        <w:tc>
          <w:tcPr>
            <w:tcW w:w="538" w:type="pct"/>
            <w:tcBorders>
              <w:top w:val="nil"/>
              <w:left w:val="nil"/>
              <w:bottom w:val="nil"/>
              <w:right w:val="nil"/>
            </w:tcBorders>
            <w:shd w:val="clear" w:color="000000" w:fill="FFFFFF"/>
            <w:noWrap/>
            <w:vAlign w:val="center"/>
            <w:hideMark/>
          </w:tcPr>
          <w:p w14:paraId="2234A55A" w14:textId="77777777" w:rsidR="00EC1992" w:rsidRPr="00EC1992" w:rsidRDefault="00EC1992" w:rsidP="0005496E">
            <w:pPr>
              <w:pStyle w:val="TableTextRight"/>
              <w:rPr>
                <w:b/>
              </w:rPr>
            </w:pPr>
            <w:r w:rsidRPr="00EC1992">
              <w:rPr>
                <w:b/>
              </w:rPr>
              <w:t> </w:t>
            </w:r>
          </w:p>
        </w:tc>
      </w:tr>
      <w:tr w:rsidR="00EC1992" w:rsidRPr="00EC1992" w14:paraId="2E812EF1" w14:textId="77777777" w:rsidTr="00006E1D">
        <w:trPr>
          <w:trHeight w:val="225"/>
        </w:trPr>
        <w:tc>
          <w:tcPr>
            <w:tcW w:w="2377" w:type="pct"/>
            <w:tcBorders>
              <w:top w:val="nil"/>
              <w:left w:val="nil"/>
              <w:bottom w:val="nil"/>
              <w:right w:val="nil"/>
            </w:tcBorders>
            <w:shd w:val="clear" w:color="000000" w:fill="FFFFFF"/>
            <w:noWrap/>
            <w:vAlign w:val="center"/>
            <w:hideMark/>
          </w:tcPr>
          <w:p w14:paraId="2C309766" w14:textId="77777777" w:rsidR="00EC1992" w:rsidRPr="00EC1992" w:rsidRDefault="00EC1992" w:rsidP="004363F3">
            <w:pPr>
              <w:pStyle w:val="TableTextLeft"/>
              <w:rPr>
                <w:b/>
                <w:i/>
              </w:rPr>
            </w:pPr>
            <w:r w:rsidRPr="00EC1992">
              <w:rPr>
                <w:b/>
                <w:i/>
              </w:rPr>
              <w:t>Total relating to right of use assets</w:t>
            </w:r>
          </w:p>
        </w:tc>
        <w:tc>
          <w:tcPr>
            <w:tcW w:w="521" w:type="pct"/>
            <w:tcBorders>
              <w:top w:val="nil"/>
              <w:left w:val="nil"/>
              <w:bottom w:val="nil"/>
              <w:right w:val="nil"/>
            </w:tcBorders>
            <w:shd w:val="clear" w:color="000000" w:fill="FFFFFF"/>
            <w:noWrap/>
            <w:vAlign w:val="center"/>
            <w:hideMark/>
          </w:tcPr>
          <w:p w14:paraId="5F2CE384" w14:textId="77777777" w:rsidR="00EC1992" w:rsidRPr="00EC1992" w:rsidRDefault="00EC1992" w:rsidP="0005496E">
            <w:pPr>
              <w:pStyle w:val="TableTextRight"/>
            </w:pPr>
            <w:r w:rsidRPr="00EC1992">
              <w:t> </w:t>
            </w:r>
          </w:p>
        </w:tc>
        <w:tc>
          <w:tcPr>
            <w:tcW w:w="521" w:type="pct"/>
            <w:tcBorders>
              <w:top w:val="nil"/>
              <w:left w:val="nil"/>
              <w:bottom w:val="nil"/>
              <w:right w:val="nil"/>
            </w:tcBorders>
            <w:shd w:val="clear" w:color="000000" w:fill="E6F2FF"/>
            <w:noWrap/>
            <w:vAlign w:val="center"/>
            <w:hideMark/>
          </w:tcPr>
          <w:p w14:paraId="58213963" w14:textId="77777777" w:rsidR="00EC1992" w:rsidRPr="00EC1992" w:rsidRDefault="00EC1992" w:rsidP="0005496E">
            <w:pPr>
              <w:pStyle w:val="TableTextRight"/>
              <w:rPr>
                <w:i/>
              </w:rPr>
            </w:pPr>
            <w:r w:rsidRPr="00EC1992">
              <w:rPr>
                <w:i/>
              </w:rPr>
              <w:t> </w:t>
            </w:r>
          </w:p>
        </w:tc>
        <w:tc>
          <w:tcPr>
            <w:tcW w:w="521" w:type="pct"/>
            <w:tcBorders>
              <w:top w:val="nil"/>
              <w:left w:val="nil"/>
              <w:bottom w:val="nil"/>
              <w:right w:val="nil"/>
            </w:tcBorders>
            <w:shd w:val="clear" w:color="000000" w:fill="FFFFFF"/>
            <w:noWrap/>
            <w:vAlign w:val="center"/>
            <w:hideMark/>
          </w:tcPr>
          <w:p w14:paraId="0DA35D2A" w14:textId="77777777" w:rsidR="00EC1992" w:rsidRPr="00EC1992" w:rsidRDefault="00EC1992" w:rsidP="0005496E">
            <w:pPr>
              <w:pStyle w:val="TableTextRight"/>
              <w:rPr>
                <w:i/>
              </w:rPr>
            </w:pPr>
            <w:r w:rsidRPr="00EC1992">
              <w:rPr>
                <w:i/>
              </w:rPr>
              <w:t> </w:t>
            </w:r>
          </w:p>
        </w:tc>
        <w:tc>
          <w:tcPr>
            <w:tcW w:w="521" w:type="pct"/>
            <w:tcBorders>
              <w:top w:val="nil"/>
              <w:left w:val="nil"/>
              <w:bottom w:val="nil"/>
              <w:right w:val="nil"/>
            </w:tcBorders>
            <w:shd w:val="clear" w:color="000000" w:fill="FFFFFF"/>
            <w:noWrap/>
            <w:vAlign w:val="center"/>
            <w:hideMark/>
          </w:tcPr>
          <w:p w14:paraId="4F39D1B3" w14:textId="77777777" w:rsidR="00EC1992" w:rsidRPr="00EC1992" w:rsidRDefault="00EC1992" w:rsidP="0005496E">
            <w:pPr>
              <w:pStyle w:val="TableTextRight"/>
              <w:rPr>
                <w:i/>
              </w:rPr>
            </w:pPr>
            <w:r w:rsidRPr="00EC1992">
              <w:rPr>
                <w:i/>
              </w:rPr>
              <w:t> </w:t>
            </w:r>
          </w:p>
        </w:tc>
        <w:tc>
          <w:tcPr>
            <w:tcW w:w="538" w:type="pct"/>
            <w:tcBorders>
              <w:top w:val="nil"/>
              <w:left w:val="nil"/>
              <w:bottom w:val="nil"/>
              <w:right w:val="nil"/>
            </w:tcBorders>
            <w:shd w:val="clear" w:color="000000" w:fill="FFFFFF"/>
            <w:noWrap/>
            <w:vAlign w:val="center"/>
            <w:hideMark/>
          </w:tcPr>
          <w:p w14:paraId="782E97C4" w14:textId="77777777" w:rsidR="00EC1992" w:rsidRPr="00EC1992" w:rsidRDefault="00EC1992" w:rsidP="0005496E">
            <w:pPr>
              <w:pStyle w:val="TableTextRight"/>
              <w:rPr>
                <w:i/>
              </w:rPr>
            </w:pPr>
            <w:r w:rsidRPr="00EC1992">
              <w:rPr>
                <w:i/>
              </w:rPr>
              <w:t> </w:t>
            </w:r>
          </w:p>
        </w:tc>
      </w:tr>
      <w:tr w:rsidR="00006E1D" w:rsidRPr="00EC1992" w14:paraId="04A78738" w14:textId="77777777" w:rsidTr="00006E1D">
        <w:trPr>
          <w:trHeight w:val="225"/>
        </w:trPr>
        <w:tc>
          <w:tcPr>
            <w:tcW w:w="2377" w:type="pct"/>
            <w:tcBorders>
              <w:top w:val="nil"/>
              <w:left w:val="nil"/>
              <w:bottom w:val="nil"/>
              <w:right w:val="nil"/>
            </w:tcBorders>
            <w:shd w:val="clear" w:color="000000" w:fill="FFFFFF"/>
            <w:noWrap/>
            <w:vAlign w:val="center"/>
            <w:hideMark/>
          </w:tcPr>
          <w:p w14:paraId="2CF2AD64" w14:textId="77777777" w:rsidR="00006E1D" w:rsidRPr="00953378" w:rsidRDefault="00006E1D" w:rsidP="00953378">
            <w:pPr>
              <w:pStyle w:val="TableTextIndented"/>
              <w:rPr>
                <w:i/>
              </w:rPr>
            </w:pPr>
            <w:r w:rsidRPr="00953378">
              <w:rPr>
                <w:i/>
              </w:rPr>
              <w:t>Land</w:t>
            </w:r>
          </w:p>
        </w:tc>
        <w:tc>
          <w:tcPr>
            <w:tcW w:w="521" w:type="pct"/>
            <w:tcBorders>
              <w:top w:val="nil"/>
              <w:left w:val="nil"/>
              <w:bottom w:val="nil"/>
              <w:right w:val="nil"/>
            </w:tcBorders>
            <w:shd w:val="clear" w:color="000000" w:fill="FFFFFF"/>
            <w:noWrap/>
            <w:vAlign w:val="center"/>
            <w:hideMark/>
          </w:tcPr>
          <w:p w14:paraId="74F2A6FF" w14:textId="255F1459" w:rsidR="00006E1D" w:rsidRPr="00EC1992" w:rsidRDefault="00006E1D" w:rsidP="0005496E">
            <w:pPr>
              <w:pStyle w:val="TableTextRight"/>
              <w:rPr>
                <w:i/>
                <w:color w:val="000000"/>
              </w:rPr>
            </w:pPr>
            <w:r>
              <w:rPr>
                <w:i/>
                <w:color w:val="000000"/>
              </w:rPr>
              <w:t>150</w:t>
            </w:r>
          </w:p>
        </w:tc>
        <w:tc>
          <w:tcPr>
            <w:tcW w:w="521" w:type="pct"/>
            <w:tcBorders>
              <w:top w:val="nil"/>
              <w:left w:val="nil"/>
              <w:bottom w:val="nil"/>
              <w:right w:val="nil"/>
            </w:tcBorders>
            <w:shd w:val="clear" w:color="000000" w:fill="E6F2FF"/>
            <w:noWrap/>
            <w:vAlign w:val="center"/>
            <w:hideMark/>
          </w:tcPr>
          <w:p w14:paraId="1BFD8464" w14:textId="46E04A2E" w:rsidR="00006E1D" w:rsidRPr="00EC1992" w:rsidRDefault="00006E1D" w:rsidP="0005496E">
            <w:pPr>
              <w:pStyle w:val="TableTextRight"/>
              <w:rPr>
                <w:i/>
                <w:color w:val="000000"/>
              </w:rPr>
            </w:pPr>
            <w:r>
              <w:rPr>
                <w:i/>
                <w:color w:val="000000"/>
              </w:rPr>
              <w:t>146</w:t>
            </w:r>
          </w:p>
        </w:tc>
        <w:tc>
          <w:tcPr>
            <w:tcW w:w="521" w:type="pct"/>
            <w:tcBorders>
              <w:top w:val="nil"/>
              <w:left w:val="nil"/>
              <w:bottom w:val="nil"/>
              <w:right w:val="nil"/>
            </w:tcBorders>
            <w:shd w:val="clear" w:color="000000" w:fill="FFFFFF"/>
            <w:noWrap/>
            <w:vAlign w:val="center"/>
            <w:hideMark/>
          </w:tcPr>
          <w:p w14:paraId="67CCBEA0" w14:textId="53BF4190" w:rsidR="00006E1D" w:rsidRPr="00EC1992" w:rsidRDefault="00006E1D" w:rsidP="0005496E">
            <w:pPr>
              <w:pStyle w:val="TableTextRight"/>
              <w:rPr>
                <w:i/>
                <w:color w:val="000000"/>
              </w:rPr>
            </w:pPr>
            <w:r>
              <w:rPr>
                <w:i/>
                <w:color w:val="000000"/>
              </w:rPr>
              <w:t>141</w:t>
            </w:r>
          </w:p>
        </w:tc>
        <w:tc>
          <w:tcPr>
            <w:tcW w:w="521" w:type="pct"/>
            <w:tcBorders>
              <w:top w:val="nil"/>
              <w:left w:val="nil"/>
              <w:bottom w:val="nil"/>
              <w:right w:val="nil"/>
            </w:tcBorders>
            <w:shd w:val="clear" w:color="000000" w:fill="FFFFFF"/>
            <w:noWrap/>
            <w:vAlign w:val="center"/>
            <w:hideMark/>
          </w:tcPr>
          <w:p w14:paraId="34B9F936" w14:textId="09798187" w:rsidR="00006E1D" w:rsidRPr="00EC1992" w:rsidRDefault="00006E1D" w:rsidP="0005496E">
            <w:pPr>
              <w:pStyle w:val="TableTextRight"/>
              <w:rPr>
                <w:i/>
                <w:color w:val="000000"/>
              </w:rPr>
            </w:pPr>
            <w:r>
              <w:rPr>
                <w:i/>
                <w:color w:val="000000"/>
              </w:rPr>
              <w:t>137</w:t>
            </w:r>
          </w:p>
        </w:tc>
        <w:tc>
          <w:tcPr>
            <w:tcW w:w="538" w:type="pct"/>
            <w:tcBorders>
              <w:top w:val="nil"/>
              <w:left w:val="nil"/>
              <w:bottom w:val="nil"/>
              <w:right w:val="nil"/>
            </w:tcBorders>
            <w:shd w:val="clear" w:color="000000" w:fill="FFFFFF"/>
            <w:noWrap/>
            <w:vAlign w:val="center"/>
            <w:hideMark/>
          </w:tcPr>
          <w:p w14:paraId="5D9A5479" w14:textId="3EFCE8BF" w:rsidR="00006E1D" w:rsidRPr="00EC1992" w:rsidRDefault="00006E1D" w:rsidP="0005496E">
            <w:pPr>
              <w:pStyle w:val="TableTextRight"/>
              <w:rPr>
                <w:i/>
                <w:color w:val="000000"/>
              </w:rPr>
            </w:pPr>
            <w:r>
              <w:rPr>
                <w:i/>
                <w:color w:val="000000"/>
              </w:rPr>
              <w:t>134</w:t>
            </w:r>
          </w:p>
        </w:tc>
      </w:tr>
      <w:tr w:rsidR="00006E1D" w:rsidRPr="00EC1992" w14:paraId="61BA504F" w14:textId="77777777" w:rsidTr="00006E1D">
        <w:trPr>
          <w:trHeight w:val="225"/>
        </w:trPr>
        <w:tc>
          <w:tcPr>
            <w:tcW w:w="2377" w:type="pct"/>
            <w:tcBorders>
              <w:top w:val="nil"/>
              <w:left w:val="nil"/>
              <w:bottom w:val="nil"/>
              <w:right w:val="nil"/>
            </w:tcBorders>
            <w:shd w:val="clear" w:color="000000" w:fill="FFFFFF"/>
            <w:noWrap/>
            <w:vAlign w:val="center"/>
            <w:hideMark/>
          </w:tcPr>
          <w:p w14:paraId="29FB19FB" w14:textId="77777777" w:rsidR="00006E1D" w:rsidRPr="00953378" w:rsidRDefault="00006E1D" w:rsidP="00953378">
            <w:pPr>
              <w:pStyle w:val="TableTextIndented"/>
              <w:rPr>
                <w:i/>
              </w:rPr>
            </w:pPr>
            <w:r w:rsidRPr="00953378">
              <w:rPr>
                <w:i/>
              </w:rPr>
              <w:t>Buildings</w:t>
            </w:r>
          </w:p>
        </w:tc>
        <w:tc>
          <w:tcPr>
            <w:tcW w:w="521" w:type="pct"/>
            <w:tcBorders>
              <w:top w:val="nil"/>
              <w:left w:val="nil"/>
              <w:bottom w:val="nil"/>
              <w:right w:val="nil"/>
            </w:tcBorders>
            <w:shd w:val="clear" w:color="000000" w:fill="FFFFFF"/>
            <w:noWrap/>
            <w:vAlign w:val="center"/>
            <w:hideMark/>
          </w:tcPr>
          <w:p w14:paraId="21207339" w14:textId="62280012" w:rsidR="00006E1D" w:rsidRPr="00EC1992" w:rsidRDefault="00006E1D" w:rsidP="0005496E">
            <w:pPr>
              <w:pStyle w:val="TableTextRight"/>
              <w:rPr>
                <w:i/>
                <w:color w:val="000000"/>
              </w:rPr>
            </w:pPr>
            <w:r>
              <w:rPr>
                <w:i/>
                <w:color w:val="000000"/>
              </w:rPr>
              <w:t>15,789</w:t>
            </w:r>
          </w:p>
        </w:tc>
        <w:tc>
          <w:tcPr>
            <w:tcW w:w="521" w:type="pct"/>
            <w:tcBorders>
              <w:top w:val="nil"/>
              <w:left w:val="nil"/>
              <w:bottom w:val="nil"/>
              <w:right w:val="nil"/>
            </w:tcBorders>
            <w:shd w:val="clear" w:color="000000" w:fill="E6F2FF"/>
            <w:noWrap/>
            <w:vAlign w:val="center"/>
            <w:hideMark/>
          </w:tcPr>
          <w:p w14:paraId="74F11EA8" w14:textId="5CCAFF0A" w:rsidR="00006E1D" w:rsidRPr="00EC1992" w:rsidRDefault="00006E1D" w:rsidP="0005496E">
            <w:pPr>
              <w:pStyle w:val="TableTextRight"/>
              <w:rPr>
                <w:i/>
                <w:color w:val="000000"/>
              </w:rPr>
            </w:pPr>
            <w:r>
              <w:rPr>
                <w:i/>
                <w:color w:val="000000"/>
              </w:rPr>
              <w:t>15,189</w:t>
            </w:r>
          </w:p>
        </w:tc>
        <w:tc>
          <w:tcPr>
            <w:tcW w:w="521" w:type="pct"/>
            <w:tcBorders>
              <w:top w:val="nil"/>
              <w:left w:val="nil"/>
              <w:bottom w:val="nil"/>
              <w:right w:val="nil"/>
            </w:tcBorders>
            <w:shd w:val="clear" w:color="000000" w:fill="FFFFFF"/>
            <w:noWrap/>
            <w:vAlign w:val="center"/>
            <w:hideMark/>
          </w:tcPr>
          <w:p w14:paraId="613201C6" w14:textId="0E891918" w:rsidR="00006E1D" w:rsidRPr="00EC1992" w:rsidRDefault="00006E1D" w:rsidP="0005496E">
            <w:pPr>
              <w:pStyle w:val="TableTextRight"/>
              <w:rPr>
                <w:i/>
                <w:color w:val="000000"/>
              </w:rPr>
            </w:pPr>
            <w:r>
              <w:rPr>
                <w:i/>
                <w:color w:val="000000"/>
              </w:rPr>
              <w:t>14,171</w:t>
            </w:r>
          </w:p>
        </w:tc>
        <w:tc>
          <w:tcPr>
            <w:tcW w:w="521" w:type="pct"/>
            <w:tcBorders>
              <w:top w:val="nil"/>
              <w:left w:val="nil"/>
              <w:bottom w:val="nil"/>
              <w:right w:val="nil"/>
            </w:tcBorders>
            <w:shd w:val="clear" w:color="000000" w:fill="FFFFFF"/>
            <w:noWrap/>
            <w:vAlign w:val="center"/>
            <w:hideMark/>
          </w:tcPr>
          <w:p w14:paraId="567AF4C0" w14:textId="233F0E64" w:rsidR="00006E1D" w:rsidRPr="00EC1992" w:rsidRDefault="00006E1D" w:rsidP="0005496E">
            <w:pPr>
              <w:pStyle w:val="TableTextRight"/>
              <w:rPr>
                <w:i/>
                <w:color w:val="000000"/>
              </w:rPr>
            </w:pPr>
            <w:r>
              <w:rPr>
                <w:i/>
                <w:color w:val="000000"/>
              </w:rPr>
              <w:t>13,429</w:t>
            </w:r>
          </w:p>
        </w:tc>
        <w:tc>
          <w:tcPr>
            <w:tcW w:w="538" w:type="pct"/>
            <w:tcBorders>
              <w:top w:val="nil"/>
              <w:left w:val="nil"/>
              <w:bottom w:val="nil"/>
              <w:right w:val="nil"/>
            </w:tcBorders>
            <w:shd w:val="clear" w:color="000000" w:fill="FFFFFF"/>
            <w:noWrap/>
            <w:vAlign w:val="center"/>
            <w:hideMark/>
          </w:tcPr>
          <w:p w14:paraId="460C5233" w14:textId="3DA46F25" w:rsidR="00006E1D" w:rsidRPr="00EC1992" w:rsidRDefault="00006E1D" w:rsidP="0005496E">
            <w:pPr>
              <w:pStyle w:val="TableTextRight"/>
              <w:rPr>
                <w:i/>
                <w:color w:val="000000"/>
              </w:rPr>
            </w:pPr>
            <w:r>
              <w:rPr>
                <w:i/>
                <w:color w:val="000000"/>
              </w:rPr>
              <w:t>12,738</w:t>
            </w:r>
          </w:p>
        </w:tc>
      </w:tr>
      <w:tr w:rsidR="00006E1D" w:rsidRPr="00EC1992" w14:paraId="2C0AB8F8" w14:textId="77777777" w:rsidTr="00006E1D">
        <w:trPr>
          <w:trHeight w:val="225"/>
        </w:trPr>
        <w:tc>
          <w:tcPr>
            <w:tcW w:w="2377" w:type="pct"/>
            <w:tcBorders>
              <w:top w:val="nil"/>
              <w:left w:val="nil"/>
              <w:bottom w:val="nil"/>
              <w:right w:val="nil"/>
            </w:tcBorders>
            <w:shd w:val="clear" w:color="000000" w:fill="FFFFFF"/>
            <w:noWrap/>
            <w:vAlign w:val="center"/>
            <w:hideMark/>
          </w:tcPr>
          <w:p w14:paraId="43A7C21D" w14:textId="77777777" w:rsidR="00006E1D" w:rsidRPr="00953378" w:rsidRDefault="00006E1D" w:rsidP="00953378">
            <w:pPr>
              <w:pStyle w:val="TableTextIndented"/>
              <w:rPr>
                <w:i/>
              </w:rPr>
            </w:pPr>
            <w:r w:rsidRPr="00953378">
              <w:rPr>
                <w:i/>
              </w:rPr>
              <w:t>Specialist military equipment</w:t>
            </w:r>
          </w:p>
        </w:tc>
        <w:tc>
          <w:tcPr>
            <w:tcW w:w="521" w:type="pct"/>
            <w:tcBorders>
              <w:top w:val="nil"/>
              <w:left w:val="nil"/>
              <w:bottom w:val="nil"/>
              <w:right w:val="nil"/>
            </w:tcBorders>
            <w:shd w:val="clear" w:color="000000" w:fill="FFFFFF"/>
            <w:noWrap/>
            <w:vAlign w:val="center"/>
            <w:hideMark/>
          </w:tcPr>
          <w:p w14:paraId="15CE9D17" w14:textId="474B856B" w:rsidR="00006E1D" w:rsidRPr="00EC1992" w:rsidRDefault="00006E1D" w:rsidP="0005496E">
            <w:pPr>
              <w:pStyle w:val="TableTextRight"/>
              <w:rPr>
                <w:i/>
                <w:color w:val="000000"/>
              </w:rPr>
            </w:pPr>
            <w:r>
              <w:rPr>
                <w:i/>
                <w:color w:val="000000"/>
              </w:rPr>
              <w:t>279</w:t>
            </w:r>
          </w:p>
        </w:tc>
        <w:tc>
          <w:tcPr>
            <w:tcW w:w="521" w:type="pct"/>
            <w:tcBorders>
              <w:top w:val="nil"/>
              <w:left w:val="nil"/>
              <w:bottom w:val="nil"/>
              <w:right w:val="nil"/>
            </w:tcBorders>
            <w:shd w:val="clear" w:color="000000" w:fill="E6F2FF"/>
            <w:noWrap/>
            <w:vAlign w:val="center"/>
            <w:hideMark/>
          </w:tcPr>
          <w:p w14:paraId="326D4AEE" w14:textId="325E796E" w:rsidR="00006E1D" w:rsidRPr="00EC1992" w:rsidRDefault="00006E1D" w:rsidP="0005496E">
            <w:pPr>
              <w:pStyle w:val="TableTextRight"/>
              <w:rPr>
                <w:i/>
                <w:color w:val="000000"/>
              </w:rPr>
            </w:pPr>
            <w:r>
              <w:rPr>
                <w:i/>
                <w:color w:val="000000"/>
              </w:rPr>
              <w:t>281</w:t>
            </w:r>
          </w:p>
        </w:tc>
        <w:tc>
          <w:tcPr>
            <w:tcW w:w="521" w:type="pct"/>
            <w:tcBorders>
              <w:top w:val="nil"/>
              <w:left w:val="nil"/>
              <w:bottom w:val="nil"/>
              <w:right w:val="nil"/>
            </w:tcBorders>
            <w:shd w:val="clear" w:color="000000" w:fill="FFFFFF"/>
            <w:noWrap/>
            <w:vAlign w:val="center"/>
            <w:hideMark/>
          </w:tcPr>
          <w:p w14:paraId="25E0628E" w14:textId="629FE462" w:rsidR="00006E1D" w:rsidRPr="00EC1992" w:rsidRDefault="00006E1D" w:rsidP="0005496E">
            <w:pPr>
              <w:pStyle w:val="TableTextRight"/>
              <w:rPr>
                <w:i/>
                <w:color w:val="000000"/>
              </w:rPr>
            </w:pPr>
            <w:r>
              <w:rPr>
                <w:i/>
                <w:color w:val="000000"/>
              </w:rPr>
              <w:t>282</w:t>
            </w:r>
          </w:p>
        </w:tc>
        <w:tc>
          <w:tcPr>
            <w:tcW w:w="521" w:type="pct"/>
            <w:tcBorders>
              <w:top w:val="nil"/>
              <w:left w:val="nil"/>
              <w:bottom w:val="nil"/>
              <w:right w:val="nil"/>
            </w:tcBorders>
            <w:shd w:val="clear" w:color="000000" w:fill="FFFFFF"/>
            <w:noWrap/>
            <w:vAlign w:val="center"/>
            <w:hideMark/>
          </w:tcPr>
          <w:p w14:paraId="2C31B01D" w14:textId="24776583" w:rsidR="00006E1D" w:rsidRPr="00EC1992" w:rsidRDefault="00006E1D" w:rsidP="0005496E">
            <w:pPr>
              <w:pStyle w:val="TableTextRight"/>
              <w:rPr>
                <w:i/>
                <w:color w:val="000000"/>
              </w:rPr>
            </w:pPr>
            <w:r>
              <w:rPr>
                <w:i/>
                <w:color w:val="000000"/>
              </w:rPr>
              <w:t>284</w:t>
            </w:r>
          </w:p>
        </w:tc>
        <w:tc>
          <w:tcPr>
            <w:tcW w:w="538" w:type="pct"/>
            <w:tcBorders>
              <w:top w:val="nil"/>
              <w:left w:val="nil"/>
              <w:bottom w:val="nil"/>
              <w:right w:val="nil"/>
            </w:tcBorders>
            <w:shd w:val="clear" w:color="000000" w:fill="FFFFFF"/>
            <w:noWrap/>
            <w:vAlign w:val="center"/>
            <w:hideMark/>
          </w:tcPr>
          <w:p w14:paraId="093E09CD" w14:textId="69F70F94" w:rsidR="00006E1D" w:rsidRPr="00EC1992" w:rsidRDefault="00006E1D" w:rsidP="0005496E">
            <w:pPr>
              <w:pStyle w:val="TableTextRight"/>
              <w:rPr>
                <w:i/>
                <w:color w:val="000000"/>
              </w:rPr>
            </w:pPr>
            <w:r>
              <w:rPr>
                <w:i/>
                <w:color w:val="000000"/>
              </w:rPr>
              <w:t>286</w:t>
            </w:r>
          </w:p>
        </w:tc>
      </w:tr>
      <w:tr w:rsidR="00006E1D" w:rsidRPr="00EC1992" w14:paraId="0778F51E" w14:textId="77777777" w:rsidTr="00006E1D">
        <w:trPr>
          <w:trHeight w:val="225"/>
        </w:trPr>
        <w:tc>
          <w:tcPr>
            <w:tcW w:w="2377" w:type="pct"/>
            <w:tcBorders>
              <w:top w:val="nil"/>
              <w:left w:val="nil"/>
              <w:bottom w:val="nil"/>
              <w:right w:val="nil"/>
            </w:tcBorders>
            <w:shd w:val="clear" w:color="000000" w:fill="FFFFFF"/>
            <w:noWrap/>
            <w:vAlign w:val="center"/>
            <w:hideMark/>
          </w:tcPr>
          <w:p w14:paraId="3266BE1D" w14:textId="77777777" w:rsidR="00006E1D" w:rsidRPr="00953378" w:rsidRDefault="00006E1D" w:rsidP="00953378">
            <w:pPr>
              <w:pStyle w:val="TableTextIndented"/>
              <w:rPr>
                <w:i/>
              </w:rPr>
            </w:pPr>
            <w:r w:rsidRPr="00953378">
              <w:rPr>
                <w:i/>
              </w:rPr>
              <w:t>Other plant, equipment and infrastructure</w:t>
            </w:r>
          </w:p>
        </w:tc>
        <w:tc>
          <w:tcPr>
            <w:tcW w:w="521" w:type="pct"/>
            <w:tcBorders>
              <w:top w:val="nil"/>
              <w:left w:val="nil"/>
              <w:bottom w:val="nil"/>
              <w:right w:val="nil"/>
            </w:tcBorders>
            <w:shd w:val="clear" w:color="000000" w:fill="FFFFFF"/>
            <w:noWrap/>
            <w:vAlign w:val="center"/>
            <w:hideMark/>
          </w:tcPr>
          <w:p w14:paraId="2A9824F8" w14:textId="794DA06B" w:rsidR="00006E1D" w:rsidRPr="00EC1992" w:rsidRDefault="00006E1D" w:rsidP="0005496E">
            <w:pPr>
              <w:pStyle w:val="TableTextRight"/>
              <w:rPr>
                <w:i/>
                <w:color w:val="000000"/>
              </w:rPr>
            </w:pPr>
            <w:r>
              <w:rPr>
                <w:i/>
                <w:color w:val="000000"/>
              </w:rPr>
              <w:t>1,236</w:t>
            </w:r>
          </w:p>
        </w:tc>
        <w:tc>
          <w:tcPr>
            <w:tcW w:w="521" w:type="pct"/>
            <w:tcBorders>
              <w:top w:val="nil"/>
              <w:left w:val="nil"/>
              <w:bottom w:val="nil"/>
              <w:right w:val="nil"/>
            </w:tcBorders>
            <w:shd w:val="clear" w:color="000000" w:fill="E6F2FF"/>
            <w:noWrap/>
            <w:vAlign w:val="center"/>
            <w:hideMark/>
          </w:tcPr>
          <w:p w14:paraId="29CF0E0B" w14:textId="302FD938" w:rsidR="00006E1D" w:rsidRPr="00EC1992" w:rsidRDefault="00006E1D" w:rsidP="0005496E">
            <w:pPr>
              <w:pStyle w:val="TableTextRight"/>
              <w:rPr>
                <w:i/>
                <w:color w:val="000000"/>
              </w:rPr>
            </w:pPr>
            <w:r>
              <w:rPr>
                <w:i/>
                <w:color w:val="000000"/>
              </w:rPr>
              <w:t>1,086</w:t>
            </w:r>
          </w:p>
        </w:tc>
        <w:tc>
          <w:tcPr>
            <w:tcW w:w="521" w:type="pct"/>
            <w:tcBorders>
              <w:top w:val="nil"/>
              <w:left w:val="nil"/>
              <w:bottom w:val="nil"/>
              <w:right w:val="nil"/>
            </w:tcBorders>
            <w:shd w:val="clear" w:color="000000" w:fill="FFFFFF"/>
            <w:noWrap/>
            <w:vAlign w:val="center"/>
            <w:hideMark/>
          </w:tcPr>
          <w:p w14:paraId="075A8E92" w14:textId="29751BDC" w:rsidR="00006E1D" w:rsidRPr="00EC1992" w:rsidRDefault="00006E1D" w:rsidP="0005496E">
            <w:pPr>
              <w:pStyle w:val="TableTextRight"/>
              <w:rPr>
                <w:i/>
                <w:color w:val="000000"/>
              </w:rPr>
            </w:pPr>
            <w:r>
              <w:rPr>
                <w:i/>
                <w:color w:val="000000"/>
              </w:rPr>
              <w:t>964</w:t>
            </w:r>
          </w:p>
        </w:tc>
        <w:tc>
          <w:tcPr>
            <w:tcW w:w="521" w:type="pct"/>
            <w:tcBorders>
              <w:top w:val="nil"/>
              <w:left w:val="nil"/>
              <w:bottom w:val="nil"/>
              <w:right w:val="nil"/>
            </w:tcBorders>
            <w:shd w:val="clear" w:color="000000" w:fill="FFFFFF"/>
            <w:noWrap/>
            <w:vAlign w:val="center"/>
            <w:hideMark/>
          </w:tcPr>
          <w:p w14:paraId="381C30F6" w14:textId="6B776FE2" w:rsidR="00006E1D" w:rsidRPr="00EC1992" w:rsidRDefault="00006E1D" w:rsidP="0005496E">
            <w:pPr>
              <w:pStyle w:val="TableTextRight"/>
              <w:rPr>
                <w:i/>
                <w:color w:val="000000"/>
              </w:rPr>
            </w:pPr>
            <w:r>
              <w:rPr>
                <w:i/>
                <w:color w:val="000000"/>
              </w:rPr>
              <w:t>790</w:t>
            </w:r>
          </w:p>
        </w:tc>
        <w:tc>
          <w:tcPr>
            <w:tcW w:w="538" w:type="pct"/>
            <w:tcBorders>
              <w:top w:val="nil"/>
              <w:left w:val="nil"/>
              <w:bottom w:val="nil"/>
              <w:right w:val="nil"/>
            </w:tcBorders>
            <w:shd w:val="clear" w:color="000000" w:fill="FFFFFF"/>
            <w:noWrap/>
            <w:vAlign w:val="center"/>
            <w:hideMark/>
          </w:tcPr>
          <w:p w14:paraId="2C8F1081" w14:textId="4EFD2CCF" w:rsidR="00006E1D" w:rsidRPr="00EC1992" w:rsidRDefault="00006E1D" w:rsidP="0005496E">
            <w:pPr>
              <w:pStyle w:val="TableTextRight"/>
              <w:rPr>
                <w:i/>
                <w:color w:val="000000"/>
              </w:rPr>
            </w:pPr>
            <w:r>
              <w:rPr>
                <w:i/>
                <w:color w:val="000000"/>
              </w:rPr>
              <w:t>1,154</w:t>
            </w:r>
          </w:p>
        </w:tc>
      </w:tr>
      <w:tr w:rsidR="00006E1D" w:rsidRPr="00EC1992" w14:paraId="73A02803" w14:textId="77777777" w:rsidTr="00006E1D">
        <w:trPr>
          <w:trHeight w:val="225"/>
        </w:trPr>
        <w:tc>
          <w:tcPr>
            <w:tcW w:w="2377" w:type="pct"/>
            <w:tcBorders>
              <w:top w:val="nil"/>
              <w:left w:val="nil"/>
              <w:bottom w:val="single" w:sz="4" w:space="0" w:color="293F5B"/>
              <w:right w:val="nil"/>
            </w:tcBorders>
            <w:shd w:val="clear" w:color="000000" w:fill="FFFFFF"/>
            <w:noWrap/>
            <w:vAlign w:val="center"/>
            <w:hideMark/>
          </w:tcPr>
          <w:p w14:paraId="4660219E" w14:textId="77777777" w:rsidR="00006E1D" w:rsidRPr="00EC1992" w:rsidRDefault="00006E1D" w:rsidP="004363F3">
            <w:pPr>
              <w:pStyle w:val="TableTextLeft"/>
              <w:rPr>
                <w:b/>
                <w:i/>
              </w:rPr>
            </w:pPr>
            <w:r w:rsidRPr="00EC1992">
              <w:rPr>
                <w:b/>
                <w:i/>
              </w:rPr>
              <w:t>Total right of use assets</w:t>
            </w:r>
          </w:p>
        </w:tc>
        <w:tc>
          <w:tcPr>
            <w:tcW w:w="521" w:type="pct"/>
            <w:tcBorders>
              <w:top w:val="nil"/>
              <w:left w:val="nil"/>
              <w:bottom w:val="single" w:sz="4" w:space="0" w:color="293F5B"/>
              <w:right w:val="nil"/>
            </w:tcBorders>
            <w:shd w:val="clear" w:color="000000" w:fill="FFFFFF"/>
            <w:noWrap/>
            <w:vAlign w:val="center"/>
            <w:hideMark/>
          </w:tcPr>
          <w:p w14:paraId="70F67A32" w14:textId="404A7592" w:rsidR="00006E1D" w:rsidRPr="00EC1992" w:rsidRDefault="00006E1D" w:rsidP="0005496E">
            <w:pPr>
              <w:pStyle w:val="TableTextRight"/>
              <w:rPr>
                <w:b/>
                <w:i/>
              </w:rPr>
            </w:pPr>
            <w:r>
              <w:rPr>
                <w:b/>
                <w:i/>
              </w:rPr>
              <w:t>17,454</w:t>
            </w:r>
          </w:p>
        </w:tc>
        <w:tc>
          <w:tcPr>
            <w:tcW w:w="521" w:type="pct"/>
            <w:tcBorders>
              <w:top w:val="nil"/>
              <w:left w:val="nil"/>
              <w:bottom w:val="single" w:sz="4" w:space="0" w:color="293F5B"/>
              <w:right w:val="nil"/>
            </w:tcBorders>
            <w:shd w:val="clear" w:color="000000" w:fill="E6F2FF"/>
            <w:noWrap/>
            <w:vAlign w:val="center"/>
            <w:hideMark/>
          </w:tcPr>
          <w:p w14:paraId="3ABABB2A" w14:textId="5CA953A0" w:rsidR="00006E1D" w:rsidRPr="00EC1992" w:rsidRDefault="00006E1D" w:rsidP="0005496E">
            <w:pPr>
              <w:pStyle w:val="TableTextRight"/>
              <w:rPr>
                <w:b/>
                <w:i/>
              </w:rPr>
            </w:pPr>
            <w:r>
              <w:rPr>
                <w:b/>
                <w:i/>
              </w:rPr>
              <w:t>16,702</w:t>
            </w:r>
          </w:p>
        </w:tc>
        <w:tc>
          <w:tcPr>
            <w:tcW w:w="521" w:type="pct"/>
            <w:tcBorders>
              <w:top w:val="nil"/>
              <w:left w:val="nil"/>
              <w:bottom w:val="single" w:sz="4" w:space="0" w:color="293F5B"/>
              <w:right w:val="nil"/>
            </w:tcBorders>
            <w:shd w:val="clear" w:color="000000" w:fill="FFFFFF"/>
            <w:noWrap/>
            <w:vAlign w:val="center"/>
            <w:hideMark/>
          </w:tcPr>
          <w:p w14:paraId="28AAFC6C" w14:textId="1F31C680" w:rsidR="00006E1D" w:rsidRPr="00EC1992" w:rsidRDefault="00006E1D" w:rsidP="0005496E">
            <w:pPr>
              <w:pStyle w:val="TableTextRight"/>
              <w:rPr>
                <w:b/>
                <w:i/>
              </w:rPr>
            </w:pPr>
            <w:r>
              <w:rPr>
                <w:b/>
                <w:i/>
              </w:rPr>
              <w:t>15,559</w:t>
            </w:r>
          </w:p>
        </w:tc>
        <w:tc>
          <w:tcPr>
            <w:tcW w:w="521" w:type="pct"/>
            <w:tcBorders>
              <w:top w:val="nil"/>
              <w:left w:val="nil"/>
              <w:bottom w:val="single" w:sz="4" w:space="0" w:color="293F5B"/>
              <w:right w:val="nil"/>
            </w:tcBorders>
            <w:shd w:val="clear" w:color="000000" w:fill="FFFFFF"/>
            <w:noWrap/>
            <w:vAlign w:val="center"/>
            <w:hideMark/>
          </w:tcPr>
          <w:p w14:paraId="42A27D9F" w14:textId="29CB4BD8" w:rsidR="00006E1D" w:rsidRPr="00EC1992" w:rsidRDefault="00006E1D" w:rsidP="0005496E">
            <w:pPr>
              <w:pStyle w:val="TableTextRight"/>
              <w:rPr>
                <w:b/>
                <w:i/>
              </w:rPr>
            </w:pPr>
            <w:r>
              <w:rPr>
                <w:b/>
                <w:i/>
              </w:rPr>
              <w:t>14,641</w:t>
            </w:r>
          </w:p>
        </w:tc>
        <w:tc>
          <w:tcPr>
            <w:tcW w:w="538" w:type="pct"/>
            <w:tcBorders>
              <w:top w:val="nil"/>
              <w:left w:val="nil"/>
              <w:bottom w:val="single" w:sz="4" w:space="0" w:color="293F5B"/>
              <w:right w:val="nil"/>
            </w:tcBorders>
            <w:shd w:val="clear" w:color="000000" w:fill="FFFFFF"/>
            <w:noWrap/>
            <w:vAlign w:val="center"/>
            <w:hideMark/>
          </w:tcPr>
          <w:p w14:paraId="6EBA140D" w14:textId="0CC48405" w:rsidR="00006E1D" w:rsidRPr="00EC1992" w:rsidRDefault="00006E1D" w:rsidP="0005496E">
            <w:pPr>
              <w:pStyle w:val="TableTextRight"/>
              <w:rPr>
                <w:b/>
                <w:i/>
              </w:rPr>
            </w:pPr>
            <w:r>
              <w:rPr>
                <w:b/>
                <w:i/>
              </w:rPr>
              <w:t>14,312</w:t>
            </w:r>
          </w:p>
        </w:tc>
      </w:tr>
    </w:tbl>
    <w:p w14:paraId="068BB213" w14:textId="07812C8C" w:rsidR="00D8138E" w:rsidRPr="00EA746C" w:rsidRDefault="00D8138E" w:rsidP="00D8138E">
      <w:pPr>
        <w:pStyle w:val="ChartandTableFootnoteAlpha"/>
        <w:numPr>
          <w:ilvl w:val="0"/>
          <w:numId w:val="22"/>
        </w:numPr>
      </w:pPr>
      <w:r w:rsidRPr="00EA746C">
        <w:t>Include</w:t>
      </w:r>
      <w:r>
        <w:t>s</w:t>
      </w:r>
      <w:r w:rsidRPr="00EA746C">
        <w:t xml:space="preserve"> right of use (leased) assets, resulting from implementation of </w:t>
      </w:r>
      <w:r w:rsidR="00A96E0D">
        <w:t>AASB </w:t>
      </w:r>
      <w:r w:rsidRPr="00EA746C">
        <w:t>16.</w:t>
      </w:r>
    </w:p>
    <w:p w14:paraId="383B48F6" w14:textId="77777777" w:rsidR="00D8138E" w:rsidRPr="00EA746C" w:rsidRDefault="00D8138E" w:rsidP="00E61C43">
      <w:pPr>
        <w:pStyle w:val="TableLine"/>
      </w:pPr>
    </w:p>
    <w:p w14:paraId="556AD8D6" w14:textId="77777777" w:rsidR="00D8138E" w:rsidRPr="00EA746C" w:rsidRDefault="00D8138E" w:rsidP="00D8138E">
      <w:r w:rsidRPr="00EA746C">
        <w:br w:type="page"/>
      </w:r>
    </w:p>
    <w:p w14:paraId="7F0D70EA" w14:textId="148F43C8" w:rsidR="00D8138E" w:rsidRPr="00663990" w:rsidRDefault="000D0B7D" w:rsidP="00BF0203">
      <w:pPr>
        <w:pStyle w:val="NoteTableHeading"/>
        <w:rPr>
          <w:rFonts w:eastAsiaTheme="minorHAnsi"/>
        </w:rPr>
      </w:pPr>
      <w:r>
        <w:lastRenderedPageBreak/>
        <w:t>Note </w:t>
      </w:r>
      <w:r w:rsidR="00D8138E" w:rsidRPr="00EA746C">
        <w:t>16: Loans</w:t>
      </w:r>
    </w:p>
    <w:tbl>
      <w:tblPr>
        <w:tblpPr w:leftFromText="180" w:rightFromText="180" w:vertAnchor="text" w:tblpY="12"/>
        <w:tblW w:w="5000" w:type="pct"/>
        <w:tblLook w:val="04A0" w:firstRow="1" w:lastRow="0" w:firstColumn="1" w:lastColumn="0" w:noHBand="0" w:noVBand="1"/>
      </w:tblPr>
      <w:tblGrid>
        <w:gridCol w:w="3685"/>
        <w:gridCol w:w="804"/>
        <w:gridCol w:w="804"/>
        <w:gridCol w:w="804"/>
        <w:gridCol w:w="804"/>
        <w:gridCol w:w="809"/>
      </w:tblGrid>
      <w:tr w:rsidR="004476ED" w:rsidRPr="007B3AD5" w14:paraId="11AC9F7E" w14:textId="77777777" w:rsidTr="00123D8B">
        <w:trPr>
          <w:trHeight w:val="225"/>
        </w:trPr>
        <w:tc>
          <w:tcPr>
            <w:tcW w:w="2391" w:type="pct"/>
            <w:tcBorders>
              <w:top w:val="single" w:sz="4" w:space="0" w:color="293F5B"/>
              <w:left w:val="nil"/>
              <w:bottom w:val="nil"/>
              <w:right w:val="nil"/>
            </w:tcBorders>
            <w:shd w:val="clear" w:color="000000" w:fill="FFFFFF"/>
            <w:noWrap/>
            <w:vAlign w:val="center"/>
            <w:hideMark/>
          </w:tcPr>
          <w:p w14:paraId="63D7B64F" w14:textId="77777777" w:rsidR="004476ED" w:rsidRPr="007B3AD5" w:rsidRDefault="004476ED" w:rsidP="00554845">
            <w:pPr>
              <w:pStyle w:val="TableTextLeft"/>
            </w:pPr>
            <w:r w:rsidRPr="007B3AD5">
              <w:t> </w:t>
            </w:r>
          </w:p>
        </w:tc>
        <w:tc>
          <w:tcPr>
            <w:tcW w:w="2609" w:type="pct"/>
            <w:gridSpan w:val="5"/>
            <w:tcBorders>
              <w:top w:val="single" w:sz="4" w:space="0" w:color="293F5B"/>
              <w:left w:val="nil"/>
              <w:bottom w:val="single" w:sz="4" w:space="0" w:color="293F5B"/>
              <w:right w:val="nil"/>
            </w:tcBorders>
            <w:shd w:val="clear" w:color="000000" w:fill="FFFFFF"/>
            <w:noWrap/>
            <w:vAlign w:val="center"/>
            <w:hideMark/>
          </w:tcPr>
          <w:p w14:paraId="6579EE02" w14:textId="77777777" w:rsidR="004476ED" w:rsidRPr="007B3AD5" w:rsidRDefault="004476ED" w:rsidP="00554845">
            <w:pPr>
              <w:pStyle w:val="TableTextCentred"/>
            </w:pPr>
            <w:r w:rsidRPr="007B3AD5">
              <w:t>Estimates</w:t>
            </w:r>
          </w:p>
        </w:tc>
      </w:tr>
      <w:tr w:rsidR="004476ED" w:rsidRPr="007B3AD5" w14:paraId="024FFC2D" w14:textId="77777777" w:rsidTr="00123D8B">
        <w:trPr>
          <w:trHeight w:val="225"/>
        </w:trPr>
        <w:tc>
          <w:tcPr>
            <w:tcW w:w="2391" w:type="pct"/>
            <w:tcBorders>
              <w:top w:val="nil"/>
              <w:left w:val="nil"/>
              <w:bottom w:val="nil"/>
              <w:right w:val="nil"/>
            </w:tcBorders>
            <w:shd w:val="clear" w:color="000000" w:fill="FFFFFF"/>
            <w:noWrap/>
            <w:vAlign w:val="center"/>
            <w:hideMark/>
          </w:tcPr>
          <w:p w14:paraId="266F534E" w14:textId="77777777" w:rsidR="004476ED" w:rsidRPr="007B3AD5" w:rsidRDefault="004476ED" w:rsidP="00554845">
            <w:pPr>
              <w:pStyle w:val="TableTextLeft"/>
            </w:pPr>
            <w:r w:rsidRPr="007B3AD5">
              <w:t> </w:t>
            </w:r>
          </w:p>
        </w:tc>
        <w:tc>
          <w:tcPr>
            <w:tcW w:w="521" w:type="pct"/>
            <w:tcBorders>
              <w:top w:val="nil"/>
              <w:left w:val="nil"/>
              <w:bottom w:val="nil"/>
              <w:right w:val="nil"/>
            </w:tcBorders>
            <w:shd w:val="clear" w:color="000000" w:fill="FFFFFF"/>
            <w:noWrap/>
            <w:vAlign w:val="center"/>
            <w:hideMark/>
          </w:tcPr>
          <w:p w14:paraId="17DBA976" w14:textId="173E0BB6" w:rsidR="004476ED" w:rsidRPr="007B3AD5" w:rsidRDefault="004476ED" w:rsidP="00554845">
            <w:pPr>
              <w:pStyle w:val="TableTextRight"/>
            </w:pPr>
            <w:r w:rsidRPr="007B3AD5">
              <w:t>2023</w:t>
            </w:r>
            <w:r w:rsidR="00325E1E">
              <w:noBreakHyphen/>
            </w:r>
            <w:r w:rsidRPr="007B3AD5">
              <w:t>24</w:t>
            </w:r>
          </w:p>
        </w:tc>
        <w:tc>
          <w:tcPr>
            <w:tcW w:w="521" w:type="pct"/>
            <w:tcBorders>
              <w:top w:val="nil"/>
              <w:left w:val="nil"/>
              <w:bottom w:val="nil"/>
              <w:right w:val="nil"/>
            </w:tcBorders>
            <w:shd w:val="clear" w:color="000000" w:fill="E6F2FF"/>
            <w:noWrap/>
            <w:vAlign w:val="center"/>
            <w:hideMark/>
          </w:tcPr>
          <w:p w14:paraId="6100CA57" w14:textId="2B0A2A2B" w:rsidR="004476ED" w:rsidRPr="007B3AD5" w:rsidRDefault="004476ED" w:rsidP="00554845">
            <w:pPr>
              <w:pStyle w:val="TableTextRight"/>
            </w:pPr>
            <w:r w:rsidRPr="007B3AD5">
              <w:t>2024</w:t>
            </w:r>
            <w:r w:rsidR="00325E1E">
              <w:noBreakHyphen/>
            </w:r>
            <w:r w:rsidRPr="007B3AD5">
              <w:t>25</w:t>
            </w:r>
          </w:p>
        </w:tc>
        <w:tc>
          <w:tcPr>
            <w:tcW w:w="521" w:type="pct"/>
            <w:tcBorders>
              <w:top w:val="nil"/>
              <w:left w:val="nil"/>
              <w:bottom w:val="nil"/>
              <w:right w:val="nil"/>
            </w:tcBorders>
            <w:shd w:val="clear" w:color="000000" w:fill="FFFFFF"/>
            <w:noWrap/>
            <w:vAlign w:val="center"/>
            <w:hideMark/>
          </w:tcPr>
          <w:p w14:paraId="765F4777" w14:textId="6CD0211C" w:rsidR="004476ED" w:rsidRPr="007B3AD5" w:rsidRDefault="004476ED" w:rsidP="00554845">
            <w:pPr>
              <w:pStyle w:val="TableTextRight"/>
            </w:pPr>
            <w:r w:rsidRPr="007B3AD5">
              <w:t>2025</w:t>
            </w:r>
            <w:r w:rsidR="00325E1E">
              <w:noBreakHyphen/>
            </w:r>
            <w:r w:rsidRPr="007B3AD5">
              <w:t>26</w:t>
            </w:r>
          </w:p>
        </w:tc>
        <w:tc>
          <w:tcPr>
            <w:tcW w:w="521" w:type="pct"/>
            <w:tcBorders>
              <w:top w:val="nil"/>
              <w:left w:val="nil"/>
              <w:bottom w:val="nil"/>
              <w:right w:val="nil"/>
            </w:tcBorders>
            <w:shd w:val="clear" w:color="000000" w:fill="FFFFFF"/>
            <w:noWrap/>
            <w:vAlign w:val="center"/>
            <w:hideMark/>
          </w:tcPr>
          <w:p w14:paraId="40459498" w14:textId="33BE50EF" w:rsidR="004476ED" w:rsidRPr="007B3AD5" w:rsidRDefault="004476ED" w:rsidP="00554845">
            <w:pPr>
              <w:pStyle w:val="TableTextRight"/>
            </w:pPr>
            <w:r w:rsidRPr="007B3AD5">
              <w:t>2026</w:t>
            </w:r>
            <w:r w:rsidR="00325E1E">
              <w:noBreakHyphen/>
            </w:r>
            <w:r w:rsidRPr="007B3AD5">
              <w:t>27</w:t>
            </w:r>
          </w:p>
        </w:tc>
        <w:tc>
          <w:tcPr>
            <w:tcW w:w="523" w:type="pct"/>
            <w:tcBorders>
              <w:top w:val="nil"/>
              <w:left w:val="nil"/>
              <w:bottom w:val="nil"/>
              <w:right w:val="nil"/>
            </w:tcBorders>
            <w:shd w:val="clear" w:color="000000" w:fill="FFFFFF"/>
            <w:noWrap/>
            <w:vAlign w:val="center"/>
            <w:hideMark/>
          </w:tcPr>
          <w:p w14:paraId="48626881" w14:textId="060003C5" w:rsidR="004476ED" w:rsidRPr="007B3AD5" w:rsidRDefault="004476ED" w:rsidP="00554845">
            <w:pPr>
              <w:pStyle w:val="TableTextRight"/>
              <w:rPr>
                <w:color w:val="000000"/>
              </w:rPr>
            </w:pPr>
            <w:r w:rsidRPr="007B3AD5">
              <w:rPr>
                <w:color w:val="000000"/>
              </w:rPr>
              <w:t>2027</w:t>
            </w:r>
            <w:r w:rsidR="00325E1E">
              <w:rPr>
                <w:color w:val="000000"/>
              </w:rPr>
              <w:noBreakHyphen/>
            </w:r>
            <w:r w:rsidRPr="007B3AD5">
              <w:rPr>
                <w:color w:val="000000"/>
              </w:rPr>
              <w:t>28</w:t>
            </w:r>
          </w:p>
        </w:tc>
      </w:tr>
      <w:tr w:rsidR="004476ED" w:rsidRPr="007B3AD5" w14:paraId="3FFB8BD7" w14:textId="77777777" w:rsidTr="00123D8B">
        <w:trPr>
          <w:trHeight w:val="225"/>
        </w:trPr>
        <w:tc>
          <w:tcPr>
            <w:tcW w:w="2391" w:type="pct"/>
            <w:tcBorders>
              <w:top w:val="nil"/>
              <w:left w:val="nil"/>
              <w:bottom w:val="nil"/>
              <w:right w:val="nil"/>
            </w:tcBorders>
            <w:shd w:val="clear" w:color="000000" w:fill="FFFFFF"/>
            <w:noWrap/>
            <w:vAlign w:val="center"/>
            <w:hideMark/>
          </w:tcPr>
          <w:p w14:paraId="5189FF9F" w14:textId="77777777" w:rsidR="004476ED" w:rsidRPr="007B3AD5" w:rsidRDefault="004476ED" w:rsidP="00554845">
            <w:pPr>
              <w:pStyle w:val="TableTextLeft"/>
            </w:pPr>
            <w:r w:rsidRPr="007B3AD5">
              <w:t> </w:t>
            </w:r>
          </w:p>
        </w:tc>
        <w:tc>
          <w:tcPr>
            <w:tcW w:w="521" w:type="pct"/>
            <w:tcBorders>
              <w:top w:val="nil"/>
              <w:left w:val="nil"/>
              <w:bottom w:val="single" w:sz="4" w:space="0" w:color="293F5B"/>
              <w:right w:val="nil"/>
            </w:tcBorders>
            <w:shd w:val="clear" w:color="000000" w:fill="FFFFFF"/>
            <w:noWrap/>
            <w:vAlign w:val="center"/>
            <w:hideMark/>
          </w:tcPr>
          <w:p w14:paraId="36205639" w14:textId="77777777" w:rsidR="004476ED" w:rsidRPr="007B3AD5" w:rsidRDefault="004476ED" w:rsidP="00554845">
            <w:pPr>
              <w:pStyle w:val="TableTextRight"/>
              <w:rPr>
                <w:color w:val="000000"/>
              </w:rPr>
            </w:pPr>
            <w:r w:rsidRPr="007B3AD5">
              <w:rPr>
                <w:color w:val="000000"/>
              </w:rPr>
              <w:t>$m</w:t>
            </w:r>
          </w:p>
        </w:tc>
        <w:tc>
          <w:tcPr>
            <w:tcW w:w="521" w:type="pct"/>
            <w:tcBorders>
              <w:top w:val="nil"/>
              <w:left w:val="nil"/>
              <w:bottom w:val="single" w:sz="4" w:space="0" w:color="293F5B"/>
              <w:right w:val="nil"/>
            </w:tcBorders>
            <w:shd w:val="clear" w:color="000000" w:fill="E6F2FF"/>
            <w:noWrap/>
            <w:vAlign w:val="center"/>
            <w:hideMark/>
          </w:tcPr>
          <w:p w14:paraId="1198A2ED" w14:textId="77777777" w:rsidR="004476ED" w:rsidRPr="007B3AD5" w:rsidRDefault="004476ED" w:rsidP="00554845">
            <w:pPr>
              <w:pStyle w:val="TableTextRight"/>
              <w:rPr>
                <w:color w:val="000000"/>
              </w:rPr>
            </w:pPr>
            <w:r w:rsidRPr="007B3AD5">
              <w:rPr>
                <w:color w:val="000000"/>
              </w:rPr>
              <w:t>$m</w:t>
            </w:r>
          </w:p>
        </w:tc>
        <w:tc>
          <w:tcPr>
            <w:tcW w:w="521" w:type="pct"/>
            <w:tcBorders>
              <w:top w:val="nil"/>
              <w:left w:val="nil"/>
              <w:bottom w:val="single" w:sz="4" w:space="0" w:color="293F5B"/>
              <w:right w:val="nil"/>
            </w:tcBorders>
            <w:shd w:val="clear" w:color="000000" w:fill="FFFFFF"/>
            <w:noWrap/>
            <w:vAlign w:val="center"/>
            <w:hideMark/>
          </w:tcPr>
          <w:p w14:paraId="27AF05E3" w14:textId="77777777" w:rsidR="004476ED" w:rsidRPr="007B3AD5" w:rsidRDefault="004476ED" w:rsidP="00554845">
            <w:pPr>
              <w:pStyle w:val="TableTextRight"/>
              <w:rPr>
                <w:color w:val="000000"/>
              </w:rPr>
            </w:pPr>
            <w:r w:rsidRPr="007B3AD5">
              <w:rPr>
                <w:color w:val="000000"/>
              </w:rPr>
              <w:t>$m</w:t>
            </w:r>
          </w:p>
        </w:tc>
        <w:tc>
          <w:tcPr>
            <w:tcW w:w="521" w:type="pct"/>
            <w:tcBorders>
              <w:top w:val="nil"/>
              <w:left w:val="nil"/>
              <w:bottom w:val="single" w:sz="4" w:space="0" w:color="293F5B"/>
              <w:right w:val="nil"/>
            </w:tcBorders>
            <w:shd w:val="clear" w:color="000000" w:fill="FFFFFF"/>
            <w:noWrap/>
            <w:vAlign w:val="center"/>
            <w:hideMark/>
          </w:tcPr>
          <w:p w14:paraId="00819A41" w14:textId="77777777" w:rsidR="004476ED" w:rsidRPr="007B3AD5" w:rsidRDefault="004476ED" w:rsidP="00554845">
            <w:pPr>
              <w:pStyle w:val="TableTextRight"/>
              <w:rPr>
                <w:color w:val="000000"/>
              </w:rPr>
            </w:pPr>
            <w:r w:rsidRPr="007B3AD5">
              <w:rPr>
                <w:color w:val="000000"/>
              </w:rPr>
              <w:t>$m</w:t>
            </w:r>
          </w:p>
        </w:tc>
        <w:tc>
          <w:tcPr>
            <w:tcW w:w="523" w:type="pct"/>
            <w:tcBorders>
              <w:top w:val="nil"/>
              <w:left w:val="nil"/>
              <w:bottom w:val="single" w:sz="4" w:space="0" w:color="293F5B"/>
              <w:right w:val="nil"/>
            </w:tcBorders>
            <w:shd w:val="clear" w:color="000000" w:fill="FFFFFF"/>
            <w:noWrap/>
            <w:vAlign w:val="center"/>
            <w:hideMark/>
          </w:tcPr>
          <w:p w14:paraId="0707595A" w14:textId="77777777" w:rsidR="004476ED" w:rsidRPr="007B3AD5" w:rsidRDefault="004476ED" w:rsidP="00554845">
            <w:pPr>
              <w:pStyle w:val="TableTextRight"/>
              <w:rPr>
                <w:color w:val="000000"/>
              </w:rPr>
            </w:pPr>
            <w:r w:rsidRPr="007B3AD5">
              <w:rPr>
                <w:color w:val="000000"/>
              </w:rPr>
              <w:t>$m</w:t>
            </w:r>
          </w:p>
        </w:tc>
      </w:tr>
      <w:tr w:rsidR="00123D8B" w:rsidRPr="007B3AD5" w14:paraId="63422555" w14:textId="77777777" w:rsidTr="00123D8B">
        <w:trPr>
          <w:trHeight w:val="225"/>
        </w:trPr>
        <w:tc>
          <w:tcPr>
            <w:tcW w:w="2391" w:type="pct"/>
            <w:tcBorders>
              <w:top w:val="nil"/>
              <w:left w:val="nil"/>
              <w:bottom w:val="nil"/>
              <w:right w:val="nil"/>
            </w:tcBorders>
            <w:shd w:val="clear" w:color="000000" w:fill="FFFFFF"/>
            <w:noWrap/>
            <w:vAlign w:val="center"/>
            <w:hideMark/>
          </w:tcPr>
          <w:p w14:paraId="30309AA6" w14:textId="7B756DB5" w:rsidR="00123D8B" w:rsidRPr="007B3AD5" w:rsidRDefault="00123D8B" w:rsidP="00554845">
            <w:pPr>
              <w:pStyle w:val="TableTextLeft"/>
            </w:pPr>
            <w:r>
              <w:t>Promissory notes</w:t>
            </w:r>
          </w:p>
        </w:tc>
        <w:tc>
          <w:tcPr>
            <w:tcW w:w="521" w:type="pct"/>
            <w:tcBorders>
              <w:top w:val="nil"/>
              <w:left w:val="nil"/>
              <w:bottom w:val="nil"/>
              <w:right w:val="nil"/>
            </w:tcBorders>
            <w:shd w:val="clear" w:color="000000" w:fill="FFFFFF"/>
            <w:noWrap/>
            <w:vAlign w:val="center"/>
            <w:hideMark/>
          </w:tcPr>
          <w:p w14:paraId="53A9A4E0" w14:textId="6A7A6E02" w:rsidR="00123D8B" w:rsidRPr="007B3AD5" w:rsidRDefault="00123D8B" w:rsidP="00554845">
            <w:pPr>
              <w:pStyle w:val="TableTextRight"/>
              <w:rPr>
                <w:color w:val="000000"/>
              </w:rPr>
            </w:pPr>
            <w:r>
              <w:rPr>
                <w:color w:val="000000"/>
              </w:rPr>
              <w:t>9,444</w:t>
            </w:r>
          </w:p>
        </w:tc>
        <w:tc>
          <w:tcPr>
            <w:tcW w:w="521" w:type="pct"/>
            <w:tcBorders>
              <w:top w:val="nil"/>
              <w:left w:val="nil"/>
              <w:bottom w:val="nil"/>
              <w:right w:val="nil"/>
            </w:tcBorders>
            <w:shd w:val="clear" w:color="000000" w:fill="E6F2FF"/>
            <w:noWrap/>
            <w:vAlign w:val="center"/>
            <w:hideMark/>
          </w:tcPr>
          <w:p w14:paraId="2E2705A9" w14:textId="776FB875" w:rsidR="00123D8B" w:rsidRPr="007B3AD5" w:rsidRDefault="00123D8B" w:rsidP="00554845">
            <w:pPr>
              <w:pStyle w:val="TableTextRight"/>
              <w:rPr>
                <w:color w:val="000000"/>
              </w:rPr>
            </w:pPr>
            <w:r>
              <w:rPr>
                <w:color w:val="000000"/>
              </w:rPr>
              <w:t>9,356</w:t>
            </w:r>
          </w:p>
        </w:tc>
        <w:tc>
          <w:tcPr>
            <w:tcW w:w="521" w:type="pct"/>
            <w:tcBorders>
              <w:top w:val="nil"/>
              <w:left w:val="nil"/>
              <w:bottom w:val="nil"/>
              <w:right w:val="nil"/>
            </w:tcBorders>
            <w:shd w:val="clear" w:color="000000" w:fill="FFFFFF"/>
            <w:noWrap/>
            <w:vAlign w:val="center"/>
            <w:hideMark/>
          </w:tcPr>
          <w:p w14:paraId="2A10E788" w14:textId="068BD6AD" w:rsidR="00123D8B" w:rsidRPr="007B3AD5" w:rsidRDefault="00123D8B" w:rsidP="00554845">
            <w:pPr>
              <w:pStyle w:val="TableTextRight"/>
              <w:rPr>
                <w:color w:val="000000"/>
              </w:rPr>
            </w:pPr>
            <w:r>
              <w:rPr>
                <w:color w:val="000000"/>
              </w:rPr>
              <w:t>9,356</w:t>
            </w:r>
          </w:p>
        </w:tc>
        <w:tc>
          <w:tcPr>
            <w:tcW w:w="521" w:type="pct"/>
            <w:tcBorders>
              <w:top w:val="nil"/>
              <w:left w:val="nil"/>
              <w:bottom w:val="nil"/>
              <w:right w:val="nil"/>
            </w:tcBorders>
            <w:shd w:val="clear" w:color="000000" w:fill="FFFFFF"/>
            <w:noWrap/>
            <w:vAlign w:val="center"/>
            <w:hideMark/>
          </w:tcPr>
          <w:p w14:paraId="658F1CA7" w14:textId="415968EA" w:rsidR="00123D8B" w:rsidRPr="007B3AD5" w:rsidRDefault="00123D8B" w:rsidP="00554845">
            <w:pPr>
              <w:pStyle w:val="TableTextRight"/>
              <w:rPr>
                <w:color w:val="000000"/>
              </w:rPr>
            </w:pPr>
            <w:r>
              <w:rPr>
                <w:color w:val="000000"/>
              </w:rPr>
              <w:t>9,356</w:t>
            </w:r>
          </w:p>
        </w:tc>
        <w:tc>
          <w:tcPr>
            <w:tcW w:w="523" w:type="pct"/>
            <w:tcBorders>
              <w:top w:val="nil"/>
              <w:left w:val="nil"/>
              <w:bottom w:val="nil"/>
              <w:right w:val="nil"/>
            </w:tcBorders>
            <w:shd w:val="clear" w:color="000000" w:fill="FFFFFF"/>
            <w:noWrap/>
            <w:vAlign w:val="center"/>
            <w:hideMark/>
          </w:tcPr>
          <w:p w14:paraId="3E4B211D" w14:textId="031ACBB0" w:rsidR="00123D8B" w:rsidRPr="007B3AD5" w:rsidRDefault="00123D8B" w:rsidP="00554845">
            <w:pPr>
              <w:pStyle w:val="TableTextRight"/>
              <w:rPr>
                <w:color w:val="000000"/>
              </w:rPr>
            </w:pPr>
            <w:r>
              <w:rPr>
                <w:color w:val="000000"/>
              </w:rPr>
              <w:t>9,356</w:t>
            </w:r>
          </w:p>
        </w:tc>
      </w:tr>
      <w:tr w:rsidR="00123D8B" w:rsidRPr="007B3AD5" w14:paraId="376BE3E7" w14:textId="77777777" w:rsidTr="00123D8B">
        <w:trPr>
          <w:trHeight w:val="225"/>
        </w:trPr>
        <w:tc>
          <w:tcPr>
            <w:tcW w:w="2391" w:type="pct"/>
            <w:tcBorders>
              <w:top w:val="nil"/>
              <w:left w:val="nil"/>
              <w:bottom w:val="nil"/>
              <w:right w:val="nil"/>
            </w:tcBorders>
            <w:shd w:val="clear" w:color="000000" w:fill="FFFFFF"/>
            <w:noWrap/>
            <w:vAlign w:val="center"/>
            <w:hideMark/>
          </w:tcPr>
          <w:p w14:paraId="7B9F18E0" w14:textId="5DE4CDAF" w:rsidR="00123D8B" w:rsidRPr="007B3AD5" w:rsidRDefault="00123D8B" w:rsidP="00554845">
            <w:pPr>
              <w:pStyle w:val="TableTextLeft"/>
            </w:pPr>
            <w:r>
              <w:t>Special drawing rights</w:t>
            </w:r>
          </w:p>
        </w:tc>
        <w:tc>
          <w:tcPr>
            <w:tcW w:w="521" w:type="pct"/>
            <w:tcBorders>
              <w:top w:val="nil"/>
              <w:left w:val="nil"/>
              <w:bottom w:val="nil"/>
              <w:right w:val="nil"/>
            </w:tcBorders>
            <w:shd w:val="clear" w:color="000000" w:fill="FFFFFF"/>
            <w:noWrap/>
            <w:vAlign w:val="center"/>
            <w:hideMark/>
          </w:tcPr>
          <w:p w14:paraId="218A31E7" w14:textId="7045B27C" w:rsidR="00123D8B" w:rsidRPr="007B3AD5" w:rsidRDefault="00123D8B" w:rsidP="00554845">
            <w:pPr>
              <w:pStyle w:val="TableTextRight"/>
              <w:rPr>
                <w:color w:val="000000"/>
              </w:rPr>
            </w:pPr>
            <w:r>
              <w:rPr>
                <w:color w:val="000000"/>
              </w:rPr>
              <w:t>19,047</w:t>
            </w:r>
          </w:p>
        </w:tc>
        <w:tc>
          <w:tcPr>
            <w:tcW w:w="521" w:type="pct"/>
            <w:tcBorders>
              <w:top w:val="nil"/>
              <w:left w:val="nil"/>
              <w:bottom w:val="nil"/>
              <w:right w:val="nil"/>
            </w:tcBorders>
            <w:shd w:val="clear" w:color="000000" w:fill="E6F2FF"/>
            <w:noWrap/>
            <w:vAlign w:val="center"/>
            <w:hideMark/>
          </w:tcPr>
          <w:p w14:paraId="4DA92D61" w14:textId="0BAB7036" w:rsidR="00123D8B" w:rsidRPr="007B3AD5" w:rsidRDefault="00123D8B" w:rsidP="00554845">
            <w:pPr>
              <w:pStyle w:val="TableTextRight"/>
              <w:rPr>
                <w:color w:val="000000"/>
              </w:rPr>
            </w:pPr>
            <w:r>
              <w:rPr>
                <w:color w:val="000000"/>
              </w:rPr>
              <w:t>19,051</w:t>
            </w:r>
          </w:p>
        </w:tc>
        <w:tc>
          <w:tcPr>
            <w:tcW w:w="521" w:type="pct"/>
            <w:tcBorders>
              <w:top w:val="nil"/>
              <w:left w:val="nil"/>
              <w:bottom w:val="nil"/>
              <w:right w:val="nil"/>
            </w:tcBorders>
            <w:shd w:val="clear" w:color="000000" w:fill="FFFFFF"/>
            <w:noWrap/>
            <w:vAlign w:val="center"/>
            <w:hideMark/>
          </w:tcPr>
          <w:p w14:paraId="6E3EC07F" w14:textId="547828F7" w:rsidR="00123D8B" w:rsidRPr="007B3AD5" w:rsidRDefault="00123D8B" w:rsidP="00554845">
            <w:pPr>
              <w:pStyle w:val="TableTextRight"/>
              <w:rPr>
                <w:color w:val="000000"/>
              </w:rPr>
            </w:pPr>
            <w:r>
              <w:rPr>
                <w:color w:val="000000"/>
              </w:rPr>
              <w:t>19,051</w:t>
            </w:r>
          </w:p>
        </w:tc>
        <w:tc>
          <w:tcPr>
            <w:tcW w:w="521" w:type="pct"/>
            <w:tcBorders>
              <w:top w:val="nil"/>
              <w:left w:val="nil"/>
              <w:bottom w:val="nil"/>
              <w:right w:val="nil"/>
            </w:tcBorders>
            <w:shd w:val="clear" w:color="000000" w:fill="FFFFFF"/>
            <w:noWrap/>
            <w:vAlign w:val="center"/>
            <w:hideMark/>
          </w:tcPr>
          <w:p w14:paraId="786BB54E" w14:textId="44EA2CD2" w:rsidR="00123D8B" w:rsidRPr="007B3AD5" w:rsidRDefault="00123D8B" w:rsidP="00554845">
            <w:pPr>
              <w:pStyle w:val="TableTextRight"/>
              <w:rPr>
                <w:color w:val="000000"/>
              </w:rPr>
            </w:pPr>
            <w:r>
              <w:rPr>
                <w:color w:val="000000"/>
              </w:rPr>
              <w:t>19,051</w:t>
            </w:r>
          </w:p>
        </w:tc>
        <w:tc>
          <w:tcPr>
            <w:tcW w:w="523" w:type="pct"/>
            <w:tcBorders>
              <w:top w:val="nil"/>
              <w:left w:val="nil"/>
              <w:bottom w:val="nil"/>
              <w:right w:val="nil"/>
            </w:tcBorders>
            <w:shd w:val="clear" w:color="000000" w:fill="FFFFFF"/>
            <w:noWrap/>
            <w:vAlign w:val="center"/>
            <w:hideMark/>
          </w:tcPr>
          <w:p w14:paraId="57176433" w14:textId="608ABB57" w:rsidR="00123D8B" w:rsidRPr="007B3AD5" w:rsidRDefault="00123D8B" w:rsidP="00554845">
            <w:pPr>
              <w:pStyle w:val="TableTextRight"/>
              <w:rPr>
                <w:color w:val="000000"/>
              </w:rPr>
            </w:pPr>
            <w:r>
              <w:rPr>
                <w:color w:val="000000"/>
              </w:rPr>
              <w:t>19,051</w:t>
            </w:r>
          </w:p>
        </w:tc>
      </w:tr>
      <w:tr w:rsidR="00123D8B" w:rsidRPr="007B3AD5" w14:paraId="734DEB03" w14:textId="77777777" w:rsidTr="00123D8B">
        <w:trPr>
          <w:trHeight w:val="225"/>
        </w:trPr>
        <w:tc>
          <w:tcPr>
            <w:tcW w:w="2391" w:type="pct"/>
            <w:tcBorders>
              <w:top w:val="nil"/>
              <w:left w:val="nil"/>
              <w:bottom w:val="nil"/>
              <w:right w:val="nil"/>
            </w:tcBorders>
            <w:shd w:val="clear" w:color="000000" w:fill="FFFFFF"/>
            <w:noWrap/>
            <w:vAlign w:val="center"/>
            <w:hideMark/>
          </w:tcPr>
          <w:p w14:paraId="4112D38F" w14:textId="1FBFD0E4" w:rsidR="00123D8B" w:rsidRPr="007B3AD5" w:rsidRDefault="00123D8B" w:rsidP="00554845">
            <w:pPr>
              <w:pStyle w:val="TableTextLeft"/>
            </w:pPr>
            <w:r>
              <w:t>Other</w:t>
            </w:r>
          </w:p>
        </w:tc>
        <w:tc>
          <w:tcPr>
            <w:tcW w:w="521" w:type="pct"/>
            <w:tcBorders>
              <w:top w:val="nil"/>
              <w:left w:val="nil"/>
              <w:bottom w:val="single" w:sz="4" w:space="0" w:color="293F5B"/>
              <w:right w:val="nil"/>
            </w:tcBorders>
            <w:shd w:val="clear" w:color="000000" w:fill="FFFFFF"/>
            <w:noWrap/>
            <w:vAlign w:val="center"/>
            <w:hideMark/>
          </w:tcPr>
          <w:p w14:paraId="0A4AE919" w14:textId="0B69779D" w:rsidR="00123D8B" w:rsidRPr="007B3AD5" w:rsidRDefault="00123D8B" w:rsidP="00554845">
            <w:pPr>
              <w:pStyle w:val="TableTextRight"/>
              <w:rPr>
                <w:color w:val="000000"/>
              </w:rPr>
            </w:pPr>
            <w:r>
              <w:rPr>
                <w:color w:val="000000"/>
              </w:rPr>
              <w:t>3,282</w:t>
            </w:r>
          </w:p>
        </w:tc>
        <w:tc>
          <w:tcPr>
            <w:tcW w:w="521" w:type="pct"/>
            <w:tcBorders>
              <w:top w:val="nil"/>
              <w:left w:val="nil"/>
              <w:bottom w:val="single" w:sz="4" w:space="0" w:color="293F5B"/>
              <w:right w:val="nil"/>
            </w:tcBorders>
            <w:shd w:val="clear" w:color="000000" w:fill="E6F2FF"/>
            <w:noWrap/>
            <w:vAlign w:val="center"/>
            <w:hideMark/>
          </w:tcPr>
          <w:p w14:paraId="76DD16E1" w14:textId="728F1FC5" w:rsidR="00123D8B" w:rsidRPr="007B3AD5" w:rsidRDefault="00123D8B" w:rsidP="00554845">
            <w:pPr>
              <w:pStyle w:val="TableTextRight"/>
              <w:rPr>
                <w:color w:val="000000"/>
              </w:rPr>
            </w:pPr>
            <w:r>
              <w:rPr>
                <w:color w:val="000000"/>
              </w:rPr>
              <w:t>3,953</w:t>
            </w:r>
          </w:p>
        </w:tc>
        <w:tc>
          <w:tcPr>
            <w:tcW w:w="521" w:type="pct"/>
            <w:tcBorders>
              <w:top w:val="nil"/>
              <w:left w:val="nil"/>
              <w:bottom w:val="single" w:sz="4" w:space="0" w:color="293F5B"/>
              <w:right w:val="nil"/>
            </w:tcBorders>
            <w:shd w:val="clear" w:color="000000" w:fill="FFFFFF"/>
            <w:noWrap/>
            <w:vAlign w:val="center"/>
            <w:hideMark/>
          </w:tcPr>
          <w:p w14:paraId="1AC3BBCA" w14:textId="0404FD1E" w:rsidR="00123D8B" w:rsidRPr="007B3AD5" w:rsidRDefault="00123D8B" w:rsidP="00554845">
            <w:pPr>
              <w:pStyle w:val="TableTextRight"/>
              <w:rPr>
                <w:color w:val="000000"/>
              </w:rPr>
            </w:pPr>
            <w:r>
              <w:rPr>
                <w:color w:val="000000"/>
              </w:rPr>
              <w:t>4,972</w:t>
            </w:r>
          </w:p>
        </w:tc>
        <w:tc>
          <w:tcPr>
            <w:tcW w:w="521" w:type="pct"/>
            <w:tcBorders>
              <w:top w:val="nil"/>
              <w:left w:val="nil"/>
              <w:bottom w:val="single" w:sz="4" w:space="0" w:color="293F5B"/>
              <w:right w:val="nil"/>
            </w:tcBorders>
            <w:shd w:val="clear" w:color="000000" w:fill="FFFFFF"/>
            <w:noWrap/>
            <w:vAlign w:val="center"/>
            <w:hideMark/>
          </w:tcPr>
          <w:p w14:paraId="6207E635" w14:textId="165A907B" w:rsidR="00123D8B" w:rsidRPr="007B3AD5" w:rsidRDefault="00123D8B" w:rsidP="00554845">
            <w:pPr>
              <w:pStyle w:val="TableTextRight"/>
              <w:rPr>
                <w:color w:val="000000"/>
              </w:rPr>
            </w:pPr>
            <w:r>
              <w:rPr>
                <w:color w:val="000000"/>
              </w:rPr>
              <w:t>5,380</w:t>
            </w:r>
          </w:p>
        </w:tc>
        <w:tc>
          <w:tcPr>
            <w:tcW w:w="523" w:type="pct"/>
            <w:tcBorders>
              <w:top w:val="nil"/>
              <w:left w:val="nil"/>
              <w:bottom w:val="single" w:sz="4" w:space="0" w:color="293F5B"/>
              <w:right w:val="nil"/>
            </w:tcBorders>
            <w:shd w:val="clear" w:color="000000" w:fill="FFFFFF"/>
            <w:noWrap/>
            <w:vAlign w:val="center"/>
            <w:hideMark/>
          </w:tcPr>
          <w:p w14:paraId="64177770" w14:textId="720C7032" w:rsidR="00123D8B" w:rsidRPr="007B3AD5" w:rsidRDefault="00123D8B" w:rsidP="00554845">
            <w:pPr>
              <w:pStyle w:val="TableTextRight"/>
              <w:rPr>
                <w:color w:val="000000"/>
              </w:rPr>
            </w:pPr>
            <w:r>
              <w:rPr>
                <w:color w:val="000000"/>
              </w:rPr>
              <w:t>5,372</w:t>
            </w:r>
          </w:p>
        </w:tc>
      </w:tr>
      <w:tr w:rsidR="00123D8B" w:rsidRPr="007B3AD5" w14:paraId="11021E74" w14:textId="77777777" w:rsidTr="00123D8B">
        <w:trPr>
          <w:trHeight w:val="225"/>
        </w:trPr>
        <w:tc>
          <w:tcPr>
            <w:tcW w:w="2391" w:type="pct"/>
            <w:tcBorders>
              <w:top w:val="nil"/>
              <w:left w:val="nil"/>
              <w:bottom w:val="single" w:sz="4" w:space="0" w:color="293F5B"/>
              <w:right w:val="nil"/>
            </w:tcBorders>
            <w:shd w:val="clear" w:color="000000" w:fill="FFFFFF"/>
            <w:noWrap/>
            <w:vAlign w:val="center"/>
            <w:hideMark/>
          </w:tcPr>
          <w:p w14:paraId="0F3DBE71" w14:textId="0AD01DEC" w:rsidR="00123D8B" w:rsidRPr="007B3AD5" w:rsidRDefault="00123D8B" w:rsidP="00554845">
            <w:pPr>
              <w:pStyle w:val="TableTextLeft"/>
              <w:rPr>
                <w:b/>
              </w:rPr>
            </w:pPr>
            <w:r>
              <w:rPr>
                <w:b/>
              </w:rPr>
              <w:t>Total loans</w:t>
            </w:r>
          </w:p>
        </w:tc>
        <w:tc>
          <w:tcPr>
            <w:tcW w:w="521" w:type="pct"/>
            <w:tcBorders>
              <w:top w:val="nil"/>
              <w:left w:val="nil"/>
              <w:bottom w:val="single" w:sz="4" w:space="0" w:color="293F5B"/>
              <w:right w:val="nil"/>
            </w:tcBorders>
            <w:shd w:val="clear" w:color="000000" w:fill="FFFFFF"/>
            <w:noWrap/>
            <w:vAlign w:val="center"/>
            <w:hideMark/>
          </w:tcPr>
          <w:p w14:paraId="4EBF9B57" w14:textId="45A0AA4F" w:rsidR="00123D8B" w:rsidRPr="007B3AD5" w:rsidRDefault="00123D8B" w:rsidP="00554845">
            <w:pPr>
              <w:pStyle w:val="TableTextRight"/>
              <w:rPr>
                <w:b/>
                <w:color w:val="000000"/>
              </w:rPr>
            </w:pPr>
            <w:r>
              <w:rPr>
                <w:b/>
                <w:color w:val="000000"/>
              </w:rPr>
              <w:t>31,772</w:t>
            </w:r>
          </w:p>
        </w:tc>
        <w:tc>
          <w:tcPr>
            <w:tcW w:w="521" w:type="pct"/>
            <w:tcBorders>
              <w:top w:val="nil"/>
              <w:left w:val="nil"/>
              <w:bottom w:val="single" w:sz="4" w:space="0" w:color="293F5B"/>
              <w:right w:val="nil"/>
            </w:tcBorders>
            <w:shd w:val="clear" w:color="000000" w:fill="E6F2FF"/>
            <w:noWrap/>
            <w:vAlign w:val="center"/>
            <w:hideMark/>
          </w:tcPr>
          <w:p w14:paraId="27B72B7A" w14:textId="3EA6E9DD" w:rsidR="00123D8B" w:rsidRPr="007B3AD5" w:rsidRDefault="00123D8B" w:rsidP="00554845">
            <w:pPr>
              <w:pStyle w:val="TableTextRight"/>
              <w:rPr>
                <w:b/>
                <w:color w:val="000000"/>
              </w:rPr>
            </w:pPr>
            <w:r>
              <w:rPr>
                <w:b/>
                <w:color w:val="000000"/>
              </w:rPr>
              <w:t>32,360</w:t>
            </w:r>
          </w:p>
        </w:tc>
        <w:tc>
          <w:tcPr>
            <w:tcW w:w="521" w:type="pct"/>
            <w:tcBorders>
              <w:top w:val="nil"/>
              <w:left w:val="nil"/>
              <w:bottom w:val="single" w:sz="4" w:space="0" w:color="293F5B"/>
              <w:right w:val="nil"/>
            </w:tcBorders>
            <w:shd w:val="clear" w:color="000000" w:fill="FFFFFF"/>
            <w:noWrap/>
            <w:vAlign w:val="center"/>
            <w:hideMark/>
          </w:tcPr>
          <w:p w14:paraId="390BBD1D" w14:textId="0C84AA62" w:rsidR="00123D8B" w:rsidRPr="007B3AD5" w:rsidRDefault="00123D8B" w:rsidP="00554845">
            <w:pPr>
              <w:pStyle w:val="TableTextRight"/>
              <w:rPr>
                <w:b/>
                <w:color w:val="000000"/>
              </w:rPr>
            </w:pPr>
            <w:r>
              <w:rPr>
                <w:b/>
                <w:color w:val="000000"/>
              </w:rPr>
              <w:t>33,379</w:t>
            </w:r>
          </w:p>
        </w:tc>
        <w:tc>
          <w:tcPr>
            <w:tcW w:w="521" w:type="pct"/>
            <w:tcBorders>
              <w:top w:val="nil"/>
              <w:left w:val="nil"/>
              <w:bottom w:val="single" w:sz="4" w:space="0" w:color="293F5B"/>
              <w:right w:val="nil"/>
            </w:tcBorders>
            <w:shd w:val="clear" w:color="000000" w:fill="FFFFFF"/>
            <w:noWrap/>
            <w:vAlign w:val="center"/>
            <w:hideMark/>
          </w:tcPr>
          <w:p w14:paraId="1262DA8E" w14:textId="2023E4A8" w:rsidR="00123D8B" w:rsidRPr="007B3AD5" w:rsidRDefault="00123D8B" w:rsidP="00554845">
            <w:pPr>
              <w:pStyle w:val="TableTextRight"/>
              <w:rPr>
                <w:b/>
                <w:color w:val="000000"/>
              </w:rPr>
            </w:pPr>
            <w:r>
              <w:rPr>
                <w:b/>
                <w:color w:val="000000"/>
              </w:rPr>
              <w:t>33,786</w:t>
            </w:r>
          </w:p>
        </w:tc>
        <w:tc>
          <w:tcPr>
            <w:tcW w:w="523" w:type="pct"/>
            <w:tcBorders>
              <w:top w:val="nil"/>
              <w:left w:val="nil"/>
              <w:bottom w:val="single" w:sz="4" w:space="0" w:color="293F5B"/>
              <w:right w:val="nil"/>
            </w:tcBorders>
            <w:shd w:val="clear" w:color="000000" w:fill="FFFFFF"/>
            <w:noWrap/>
            <w:vAlign w:val="center"/>
            <w:hideMark/>
          </w:tcPr>
          <w:p w14:paraId="756724F7" w14:textId="700C00BB" w:rsidR="00123D8B" w:rsidRPr="007B3AD5" w:rsidRDefault="00123D8B" w:rsidP="00554845">
            <w:pPr>
              <w:pStyle w:val="TableTextRight"/>
              <w:rPr>
                <w:b/>
                <w:color w:val="000000"/>
              </w:rPr>
            </w:pPr>
            <w:r>
              <w:rPr>
                <w:b/>
                <w:color w:val="000000"/>
              </w:rPr>
              <w:t>33,779</w:t>
            </w:r>
          </w:p>
        </w:tc>
      </w:tr>
    </w:tbl>
    <w:p w14:paraId="688A1758" w14:textId="77777777" w:rsidR="00E466E7" w:rsidRPr="00EA746C" w:rsidRDefault="00E466E7" w:rsidP="00E466E7">
      <w:pPr>
        <w:pStyle w:val="SingleParagraph"/>
      </w:pPr>
    </w:p>
    <w:p w14:paraId="3C125738" w14:textId="1E3B6C4D" w:rsidR="007D014C" w:rsidRDefault="000D0B7D" w:rsidP="00223969">
      <w:pPr>
        <w:pStyle w:val="NoteTableHeading"/>
        <w:rPr>
          <w:rFonts w:asciiTheme="minorHAnsi" w:eastAsiaTheme="minorHAnsi" w:hAnsiTheme="minorHAnsi" w:cstheme="minorBidi"/>
          <w:b w:val="0"/>
          <w:sz w:val="22"/>
          <w:szCs w:val="22"/>
          <w:lang w:eastAsia="en-US"/>
        </w:rPr>
      </w:pPr>
      <w:bookmarkStart w:id="21" w:name="_Hlk130215223"/>
      <w:r>
        <w:t>Note </w:t>
      </w:r>
      <w:r w:rsidR="00D8138E" w:rsidRPr="00EA746C">
        <w:t>17: Employee and superannuation liabilities</w:t>
      </w:r>
      <w:bookmarkStart w:id="22" w:name="_1776858765"/>
      <w:bookmarkStart w:id="23" w:name="_1776858738"/>
      <w:bookmarkEnd w:id="21"/>
      <w:bookmarkEnd w:id="22"/>
      <w:bookmarkEnd w:id="23"/>
    </w:p>
    <w:tbl>
      <w:tblPr>
        <w:tblW w:w="5000" w:type="pct"/>
        <w:tblCellMar>
          <w:left w:w="0" w:type="dxa"/>
          <w:right w:w="28" w:type="dxa"/>
        </w:tblCellMar>
        <w:tblLook w:val="04A0" w:firstRow="1" w:lastRow="0" w:firstColumn="1" w:lastColumn="0" w:noHBand="0" w:noVBand="1"/>
      </w:tblPr>
      <w:tblGrid>
        <w:gridCol w:w="3911"/>
        <w:gridCol w:w="760"/>
        <w:gridCol w:w="759"/>
        <w:gridCol w:w="759"/>
        <w:gridCol w:w="759"/>
        <w:gridCol w:w="762"/>
      </w:tblGrid>
      <w:tr w:rsidR="007D014C" w:rsidRPr="007D014C" w14:paraId="7435A0B5" w14:textId="77777777" w:rsidTr="00B33DA7">
        <w:trPr>
          <w:trHeight w:hRule="exact" w:val="225"/>
        </w:trPr>
        <w:tc>
          <w:tcPr>
            <w:tcW w:w="2537" w:type="pct"/>
            <w:tcBorders>
              <w:top w:val="single" w:sz="4" w:space="0" w:color="293F5B"/>
              <w:left w:val="nil"/>
              <w:bottom w:val="nil"/>
              <w:right w:val="nil"/>
            </w:tcBorders>
            <w:shd w:val="clear" w:color="000000" w:fill="FFFFFF"/>
            <w:noWrap/>
            <w:vAlign w:val="center"/>
            <w:hideMark/>
          </w:tcPr>
          <w:p w14:paraId="363D9D28" w14:textId="6C05F845" w:rsidR="007D014C" w:rsidRPr="007D014C" w:rsidRDefault="007D014C" w:rsidP="007D014C">
            <w:pPr>
              <w:spacing w:before="0" w:after="0" w:line="240" w:lineRule="auto"/>
              <w:rPr>
                <w:rFonts w:ascii="Arial" w:hAnsi="Arial" w:cs="Arial"/>
                <w:color w:val="000000"/>
                <w:sz w:val="16"/>
                <w:szCs w:val="16"/>
              </w:rPr>
            </w:pPr>
            <w:r w:rsidRPr="007D014C">
              <w:rPr>
                <w:rFonts w:ascii="Arial" w:hAnsi="Arial" w:cs="Arial"/>
                <w:color w:val="000000"/>
                <w:sz w:val="16"/>
                <w:szCs w:val="16"/>
              </w:rPr>
              <w:t> </w:t>
            </w:r>
          </w:p>
        </w:tc>
        <w:tc>
          <w:tcPr>
            <w:tcW w:w="2463" w:type="pct"/>
            <w:gridSpan w:val="5"/>
            <w:tcBorders>
              <w:top w:val="single" w:sz="4" w:space="0" w:color="293F5B"/>
              <w:left w:val="nil"/>
              <w:bottom w:val="single" w:sz="4" w:space="0" w:color="293F5B"/>
              <w:right w:val="nil"/>
            </w:tcBorders>
            <w:shd w:val="clear" w:color="000000" w:fill="FFFFFF"/>
            <w:noWrap/>
            <w:vAlign w:val="center"/>
            <w:hideMark/>
          </w:tcPr>
          <w:p w14:paraId="74C2E770" w14:textId="77777777" w:rsidR="007D014C" w:rsidRPr="007D014C" w:rsidRDefault="007D014C" w:rsidP="007D014C">
            <w:pPr>
              <w:spacing w:before="0" w:after="0" w:line="240" w:lineRule="auto"/>
              <w:jc w:val="center"/>
              <w:rPr>
                <w:rFonts w:ascii="Arial" w:hAnsi="Arial" w:cs="Arial"/>
                <w:sz w:val="16"/>
                <w:szCs w:val="16"/>
              </w:rPr>
            </w:pPr>
            <w:r w:rsidRPr="007D014C">
              <w:rPr>
                <w:rFonts w:ascii="Arial" w:hAnsi="Arial" w:cs="Arial"/>
                <w:sz w:val="16"/>
                <w:szCs w:val="16"/>
              </w:rPr>
              <w:t>Estimates</w:t>
            </w:r>
          </w:p>
        </w:tc>
      </w:tr>
      <w:tr w:rsidR="007D014C" w:rsidRPr="007D014C" w14:paraId="1EA961DC"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486324AF" w14:textId="77777777" w:rsidR="007D014C" w:rsidRPr="007D014C" w:rsidRDefault="007D014C" w:rsidP="007D014C">
            <w:pPr>
              <w:spacing w:before="0" w:after="0" w:line="240" w:lineRule="auto"/>
              <w:rPr>
                <w:rFonts w:ascii="Arial" w:hAnsi="Arial" w:cs="Arial"/>
                <w:color w:val="000000"/>
                <w:sz w:val="16"/>
                <w:szCs w:val="16"/>
              </w:rPr>
            </w:pPr>
            <w:r w:rsidRPr="007D014C">
              <w:rPr>
                <w:rFonts w:ascii="Arial" w:hAnsi="Arial" w:cs="Arial"/>
                <w:color w:val="000000"/>
                <w:sz w:val="16"/>
                <w:szCs w:val="16"/>
              </w:rPr>
              <w:t> </w:t>
            </w:r>
          </w:p>
        </w:tc>
        <w:tc>
          <w:tcPr>
            <w:tcW w:w="493" w:type="pct"/>
            <w:tcBorders>
              <w:top w:val="nil"/>
              <w:left w:val="nil"/>
              <w:bottom w:val="nil"/>
              <w:right w:val="nil"/>
            </w:tcBorders>
            <w:shd w:val="clear" w:color="000000" w:fill="FFFFFF"/>
            <w:noWrap/>
            <w:vAlign w:val="center"/>
            <w:hideMark/>
          </w:tcPr>
          <w:p w14:paraId="1E831AD4" w14:textId="348756FC" w:rsidR="007D014C" w:rsidRPr="007D014C" w:rsidRDefault="007D014C" w:rsidP="007D014C">
            <w:pPr>
              <w:spacing w:before="0" w:after="0" w:line="240" w:lineRule="auto"/>
              <w:jc w:val="right"/>
              <w:rPr>
                <w:rFonts w:ascii="Arial" w:hAnsi="Arial" w:cs="Arial"/>
                <w:sz w:val="16"/>
                <w:szCs w:val="16"/>
              </w:rPr>
            </w:pPr>
            <w:r w:rsidRPr="007D014C">
              <w:rPr>
                <w:rFonts w:ascii="Arial" w:hAnsi="Arial" w:cs="Arial"/>
                <w:sz w:val="16"/>
                <w:szCs w:val="16"/>
              </w:rPr>
              <w:t>2023</w:t>
            </w:r>
            <w:r w:rsidR="00325E1E">
              <w:rPr>
                <w:rFonts w:ascii="Arial" w:hAnsi="Arial" w:cs="Arial"/>
                <w:sz w:val="16"/>
                <w:szCs w:val="16"/>
              </w:rPr>
              <w:noBreakHyphen/>
            </w:r>
            <w:r w:rsidRPr="007D014C">
              <w:rPr>
                <w:rFonts w:ascii="Arial" w:hAnsi="Arial" w:cs="Arial"/>
                <w:sz w:val="16"/>
                <w:szCs w:val="16"/>
              </w:rPr>
              <w:t>24</w:t>
            </w:r>
          </w:p>
        </w:tc>
        <w:tc>
          <w:tcPr>
            <w:tcW w:w="492" w:type="pct"/>
            <w:tcBorders>
              <w:top w:val="nil"/>
              <w:left w:val="nil"/>
              <w:bottom w:val="nil"/>
              <w:right w:val="nil"/>
            </w:tcBorders>
            <w:shd w:val="clear" w:color="000000" w:fill="E6F2FF"/>
            <w:noWrap/>
            <w:vAlign w:val="center"/>
            <w:hideMark/>
          </w:tcPr>
          <w:p w14:paraId="26A8F4E9" w14:textId="534DCDF9" w:rsidR="007D014C" w:rsidRPr="007D014C" w:rsidRDefault="007D014C" w:rsidP="007D014C">
            <w:pPr>
              <w:spacing w:before="0" w:after="0" w:line="240" w:lineRule="auto"/>
              <w:jc w:val="right"/>
              <w:rPr>
                <w:rFonts w:ascii="Arial" w:hAnsi="Arial" w:cs="Arial"/>
                <w:sz w:val="16"/>
                <w:szCs w:val="16"/>
              </w:rPr>
            </w:pPr>
            <w:r w:rsidRPr="007D014C">
              <w:rPr>
                <w:rFonts w:ascii="Arial" w:hAnsi="Arial" w:cs="Arial"/>
                <w:sz w:val="16"/>
                <w:szCs w:val="16"/>
              </w:rPr>
              <w:t>2024</w:t>
            </w:r>
            <w:r w:rsidR="00325E1E">
              <w:rPr>
                <w:rFonts w:ascii="Arial" w:hAnsi="Arial" w:cs="Arial"/>
                <w:sz w:val="16"/>
                <w:szCs w:val="16"/>
              </w:rPr>
              <w:noBreakHyphen/>
            </w:r>
            <w:r w:rsidRPr="007D014C">
              <w:rPr>
                <w:rFonts w:ascii="Arial" w:hAnsi="Arial" w:cs="Arial"/>
                <w:sz w:val="16"/>
                <w:szCs w:val="16"/>
              </w:rPr>
              <w:t>25</w:t>
            </w:r>
          </w:p>
        </w:tc>
        <w:tc>
          <w:tcPr>
            <w:tcW w:w="492" w:type="pct"/>
            <w:tcBorders>
              <w:top w:val="nil"/>
              <w:left w:val="nil"/>
              <w:bottom w:val="nil"/>
              <w:right w:val="nil"/>
            </w:tcBorders>
            <w:shd w:val="clear" w:color="000000" w:fill="FFFFFF"/>
            <w:noWrap/>
            <w:vAlign w:val="center"/>
            <w:hideMark/>
          </w:tcPr>
          <w:p w14:paraId="3AC84378" w14:textId="38C8DA1F" w:rsidR="007D014C" w:rsidRPr="007D014C" w:rsidRDefault="007D014C" w:rsidP="007D014C">
            <w:pPr>
              <w:spacing w:before="0" w:after="0" w:line="240" w:lineRule="auto"/>
              <w:jc w:val="right"/>
              <w:rPr>
                <w:rFonts w:ascii="Arial" w:hAnsi="Arial" w:cs="Arial"/>
                <w:sz w:val="16"/>
                <w:szCs w:val="16"/>
              </w:rPr>
            </w:pPr>
            <w:r w:rsidRPr="007D014C">
              <w:rPr>
                <w:rFonts w:ascii="Arial" w:hAnsi="Arial" w:cs="Arial"/>
                <w:sz w:val="16"/>
                <w:szCs w:val="16"/>
              </w:rPr>
              <w:t>2025</w:t>
            </w:r>
            <w:r w:rsidR="00325E1E">
              <w:rPr>
                <w:rFonts w:ascii="Arial" w:hAnsi="Arial" w:cs="Arial"/>
                <w:sz w:val="16"/>
                <w:szCs w:val="16"/>
              </w:rPr>
              <w:noBreakHyphen/>
            </w:r>
            <w:r w:rsidRPr="007D014C">
              <w:rPr>
                <w:rFonts w:ascii="Arial" w:hAnsi="Arial" w:cs="Arial"/>
                <w:sz w:val="16"/>
                <w:szCs w:val="16"/>
              </w:rPr>
              <w:t>26</w:t>
            </w:r>
          </w:p>
        </w:tc>
        <w:tc>
          <w:tcPr>
            <w:tcW w:w="492" w:type="pct"/>
            <w:tcBorders>
              <w:top w:val="nil"/>
              <w:left w:val="nil"/>
              <w:bottom w:val="nil"/>
              <w:right w:val="nil"/>
            </w:tcBorders>
            <w:shd w:val="clear" w:color="000000" w:fill="FFFFFF"/>
            <w:noWrap/>
            <w:vAlign w:val="center"/>
            <w:hideMark/>
          </w:tcPr>
          <w:p w14:paraId="2FD12E9B" w14:textId="0AF42643" w:rsidR="007D014C" w:rsidRPr="007D014C" w:rsidRDefault="007D014C" w:rsidP="007D014C">
            <w:pPr>
              <w:spacing w:before="0" w:after="0" w:line="240" w:lineRule="auto"/>
              <w:jc w:val="right"/>
              <w:rPr>
                <w:rFonts w:ascii="Arial" w:hAnsi="Arial" w:cs="Arial"/>
                <w:sz w:val="16"/>
                <w:szCs w:val="16"/>
              </w:rPr>
            </w:pPr>
            <w:r w:rsidRPr="007D014C">
              <w:rPr>
                <w:rFonts w:ascii="Arial" w:hAnsi="Arial" w:cs="Arial"/>
                <w:sz w:val="16"/>
                <w:szCs w:val="16"/>
              </w:rPr>
              <w:t>2026</w:t>
            </w:r>
            <w:r w:rsidR="00325E1E">
              <w:rPr>
                <w:rFonts w:ascii="Arial" w:hAnsi="Arial" w:cs="Arial"/>
                <w:sz w:val="16"/>
                <w:szCs w:val="16"/>
              </w:rPr>
              <w:noBreakHyphen/>
            </w:r>
            <w:r w:rsidRPr="007D014C">
              <w:rPr>
                <w:rFonts w:ascii="Arial" w:hAnsi="Arial" w:cs="Arial"/>
                <w:sz w:val="16"/>
                <w:szCs w:val="16"/>
              </w:rPr>
              <w:t>27</w:t>
            </w:r>
          </w:p>
        </w:tc>
        <w:tc>
          <w:tcPr>
            <w:tcW w:w="492" w:type="pct"/>
            <w:tcBorders>
              <w:top w:val="nil"/>
              <w:left w:val="nil"/>
              <w:bottom w:val="nil"/>
              <w:right w:val="nil"/>
            </w:tcBorders>
            <w:shd w:val="clear" w:color="000000" w:fill="FFFFFF"/>
            <w:noWrap/>
            <w:vAlign w:val="center"/>
            <w:hideMark/>
          </w:tcPr>
          <w:p w14:paraId="06F5CC40" w14:textId="083C4B95"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2027</w:t>
            </w:r>
            <w:r w:rsidR="00325E1E">
              <w:rPr>
                <w:rFonts w:ascii="Arial" w:hAnsi="Arial" w:cs="Arial"/>
                <w:color w:val="000000"/>
                <w:sz w:val="16"/>
                <w:szCs w:val="16"/>
              </w:rPr>
              <w:noBreakHyphen/>
            </w:r>
            <w:r w:rsidRPr="007D014C">
              <w:rPr>
                <w:rFonts w:ascii="Arial" w:hAnsi="Arial" w:cs="Arial"/>
                <w:color w:val="000000"/>
                <w:sz w:val="16"/>
                <w:szCs w:val="16"/>
              </w:rPr>
              <w:t>28</w:t>
            </w:r>
          </w:p>
        </w:tc>
      </w:tr>
      <w:tr w:rsidR="007D014C" w:rsidRPr="007D014C" w14:paraId="3C8E18AA"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631BE7A6" w14:textId="77777777" w:rsidR="007D014C" w:rsidRPr="007D014C" w:rsidRDefault="007D014C" w:rsidP="007D014C">
            <w:pPr>
              <w:spacing w:before="0" w:after="0" w:line="240" w:lineRule="auto"/>
              <w:rPr>
                <w:rFonts w:ascii="Arial" w:hAnsi="Arial" w:cs="Arial"/>
                <w:color w:val="000000"/>
                <w:sz w:val="16"/>
                <w:szCs w:val="16"/>
              </w:rPr>
            </w:pPr>
            <w:r w:rsidRPr="007D014C">
              <w:rPr>
                <w:rFonts w:ascii="Arial" w:hAnsi="Arial" w:cs="Arial"/>
                <w:color w:val="000000"/>
                <w:sz w:val="16"/>
                <w:szCs w:val="16"/>
              </w:rPr>
              <w:t> </w:t>
            </w:r>
          </w:p>
        </w:tc>
        <w:tc>
          <w:tcPr>
            <w:tcW w:w="493" w:type="pct"/>
            <w:tcBorders>
              <w:top w:val="nil"/>
              <w:left w:val="nil"/>
              <w:bottom w:val="single" w:sz="4" w:space="0" w:color="293F5B"/>
              <w:right w:val="nil"/>
            </w:tcBorders>
            <w:shd w:val="clear" w:color="000000" w:fill="FFFFFF"/>
            <w:noWrap/>
            <w:vAlign w:val="center"/>
            <w:hideMark/>
          </w:tcPr>
          <w:p w14:paraId="4092A405"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$m</w:t>
            </w:r>
          </w:p>
        </w:tc>
        <w:tc>
          <w:tcPr>
            <w:tcW w:w="492" w:type="pct"/>
            <w:tcBorders>
              <w:top w:val="nil"/>
              <w:left w:val="nil"/>
              <w:bottom w:val="single" w:sz="4" w:space="0" w:color="293F5B"/>
              <w:right w:val="nil"/>
            </w:tcBorders>
            <w:shd w:val="clear" w:color="000000" w:fill="E6F2FF"/>
            <w:noWrap/>
            <w:vAlign w:val="center"/>
            <w:hideMark/>
          </w:tcPr>
          <w:p w14:paraId="54AB300D"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$m</w:t>
            </w:r>
          </w:p>
        </w:tc>
        <w:tc>
          <w:tcPr>
            <w:tcW w:w="492" w:type="pct"/>
            <w:tcBorders>
              <w:top w:val="nil"/>
              <w:left w:val="nil"/>
              <w:bottom w:val="single" w:sz="4" w:space="0" w:color="293F5B"/>
              <w:right w:val="nil"/>
            </w:tcBorders>
            <w:shd w:val="clear" w:color="000000" w:fill="FFFFFF"/>
            <w:noWrap/>
            <w:vAlign w:val="center"/>
            <w:hideMark/>
          </w:tcPr>
          <w:p w14:paraId="465F5391"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$m</w:t>
            </w:r>
          </w:p>
        </w:tc>
        <w:tc>
          <w:tcPr>
            <w:tcW w:w="492" w:type="pct"/>
            <w:tcBorders>
              <w:top w:val="nil"/>
              <w:left w:val="nil"/>
              <w:bottom w:val="single" w:sz="4" w:space="0" w:color="293F5B"/>
              <w:right w:val="nil"/>
            </w:tcBorders>
            <w:shd w:val="clear" w:color="000000" w:fill="FFFFFF"/>
            <w:noWrap/>
            <w:vAlign w:val="center"/>
            <w:hideMark/>
          </w:tcPr>
          <w:p w14:paraId="5215AA48"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$m</w:t>
            </w:r>
          </w:p>
        </w:tc>
        <w:tc>
          <w:tcPr>
            <w:tcW w:w="492" w:type="pct"/>
            <w:tcBorders>
              <w:top w:val="nil"/>
              <w:left w:val="nil"/>
              <w:bottom w:val="single" w:sz="4" w:space="0" w:color="293F5B"/>
              <w:right w:val="nil"/>
            </w:tcBorders>
            <w:shd w:val="clear" w:color="000000" w:fill="FFFFFF"/>
            <w:noWrap/>
            <w:vAlign w:val="center"/>
            <w:hideMark/>
          </w:tcPr>
          <w:p w14:paraId="2432665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$m</w:t>
            </w:r>
          </w:p>
        </w:tc>
      </w:tr>
      <w:tr w:rsidR="007D014C" w:rsidRPr="007D014C" w14:paraId="7058D80E"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3254F68B" w14:textId="77777777" w:rsidR="007D014C" w:rsidRPr="007D014C" w:rsidRDefault="007D014C" w:rsidP="007D014C">
            <w:pPr>
              <w:spacing w:before="0" w:after="0" w:line="240" w:lineRule="auto"/>
              <w:rPr>
                <w:rFonts w:ascii="Arial" w:hAnsi="Arial" w:cs="Arial"/>
                <w:b/>
                <w:bCs/>
                <w:color w:val="000000"/>
                <w:sz w:val="16"/>
                <w:szCs w:val="16"/>
              </w:rPr>
            </w:pPr>
            <w:r w:rsidRPr="007D014C">
              <w:rPr>
                <w:rFonts w:ascii="Arial" w:hAnsi="Arial" w:cs="Arial"/>
                <w:b/>
                <w:bCs/>
                <w:color w:val="000000"/>
                <w:sz w:val="16"/>
                <w:szCs w:val="16"/>
              </w:rPr>
              <w:t>Total superannuation liability(a)</w:t>
            </w:r>
          </w:p>
        </w:tc>
        <w:tc>
          <w:tcPr>
            <w:tcW w:w="493" w:type="pct"/>
            <w:tcBorders>
              <w:top w:val="nil"/>
              <w:left w:val="nil"/>
              <w:bottom w:val="nil"/>
              <w:right w:val="nil"/>
            </w:tcBorders>
            <w:shd w:val="clear" w:color="000000" w:fill="FFFFFF"/>
            <w:noWrap/>
            <w:vAlign w:val="center"/>
            <w:hideMark/>
          </w:tcPr>
          <w:p w14:paraId="00830299"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294,654</w:t>
            </w:r>
          </w:p>
        </w:tc>
        <w:tc>
          <w:tcPr>
            <w:tcW w:w="492" w:type="pct"/>
            <w:tcBorders>
              <w:top w:val="nil"/>
              <w:left w:val="nil"/>
              <w:bottom w:val="nil"/>
              <w:right w:val="nil"/>
            </w:tcBorders>
            <w:shd w:val="clear" w:color="000000" w:fill="E6F2FF"/>
            <w:noWrap/>
            <w:vAlign w:val="center"/>
            <w:hideMark/>
          </w:tcPr>
          <w:p w14:paraId="3D0761BA"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304,384</w:t>
            </w:r>
          </w:p>
        </w:tc>
        <w:tc>
          <w:tcPr>
            <w:tcW w:w="492" w:type="pct"/>
            <w:tcBorders>
              <w:top w:val="nil"/>
              <w:left w:val="nil"/>
              <w:bottom w:val="nil"/>
              <w:right w:val="nil"/>
            </w:tcBorders>
            <w:shd w:val="clear" w:color="000000" w:fill="FFFFFF"/>
            <w:noWrap/>
            <w:vAlign w:val="center"/>
            <w:hideMark/>
          </w:tcPr>
          <w:p w14:paraId="5F3CF49C"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314,814</w:t>
            </w:r>
          </w:p>
        </w:tc>
        <w:tc>
          <w:tcPr>
            <w:tcW w:w="492" w:type="pct"/>
            <w:tcBorders>
              <w:top w:val="nil"/>
              <w:left w:val="nil"/>
              <w:bottom w:val="nil"/>
              <w:right w:val="nil"/>
            </w:tcBorders>
            <w:shd w:val="clear" w:color="000000" w:fill="FFFFFF"/>
            <w:noWrap/>
            <w:vAlign w:val="center"/>
            <w:hideMark/>
          </w:tcPr>
          <w:p w14:paraId="4080FA62"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323,741</w:t>
            </w:r>
          </w:p>
        </w:tc>
        <w:tc>
          <w:tcPr>
            <w:tcW w:w="492" w:type="pct"/>
            <w:tcBorders>
              <w:top w:val="nil"/>
              <w:left w:val="nil"/>
              <w:bottom w:val="nil"/>
              <w:right w:val="nil"/>
            </w:tcBorders>
            <w:shd w:val="clear" w:color="000000" w:fill="FFFFFF"/>
            <w:noWrap/>
            <w:vAlign w:val="center"/>
            <w:hideMark/>
          </w:tcPr>
          <w:p w14:paraId="2F126927"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332,739</w:t>
            </w:r>
          </w:p>
        </w:tc>
      </w:tr>
      <w:tr w:rsidR="007D014C" w:rsidRPr="007D014C" w14:paraId="57B54D62" w14:textId="77777777" w:rsidTr="00B33DA7">
        <w:trPr>
          <w:trHeight w:hRule="exact" w:val="60"/>
        </w:trPr>
        <w:tc>
          <w:tcPr>
            <w:tcW w:w="2537" w:type="pct"/>
            <w:tcBorders>
              <w:top w:val="nil"/>
              <w:left w:val="nil"/>
              <w:bottom w:val="nil"/>
              <w:right w:val="nil"/>
            </w:tcBorders>
            <w:shd w:val="clear" w:color="000000" w:fill="FFFFFF"/>
            <w:noWrap/>
            <w:vAlign w:val="center"/>
            <w:hideMark/>
          </w:tcPr>
          <w:p w14:paraId="1B657797" w14:textId="77777777" w:rsidR="007D014C" w:rsidRPr="007D014C" w:rsidRDefault="007D014C" w:rsidP="007D014C">
            <w:pPr>
              <w:spacing w:before="0" w:after="0" w:line="240" w:lineRule="auto"/>
              <w:rPr>
                <w:rFonts w:ascii="Arial" w:hAnsi="Arial" w:cs="Arial"/>
                <w:b/>
                <w:bCs/>
                <w:color w:val="000000"/>
                <w:sz w:val="16"/>
                <w:szCs w:val="16"/>
              </w:rPr>
            </w:pPr>
            <w:r w:rsidRPr="007D014C">
              <w:rPr>
                <w:rFonts w:ascii="Arial" w:hAnsi="Arial" w:cs="Arial"/>
                <w:b/>
                <w:bCs/>
                <w:color w:val="000000"/>
                <w:sz w:val="16"/>
                <w:szCs w:val="16"/>
              </w:rPr>
              <w:t> </w:t>
            </w:r>
          </w:p>
        </w:tc>
        <w:tc>
          <w:tcPr>
            <w:tcW w:w="493" w:type="pct"/>
            <w:tcBorders>
              <w:top w:val="nil"/>
              <w:left w:val="nil"/>
              <w:bottom w:val="nil"/>
              <w:right w:val="nil"/>
            </w:tcBorders>
            <w:shd w:val="clear" w:color="000000" w:fill="FFFFFF"/>
            <w:noWrap/>
            <w:vAlign w:val="center"/>
            <w:hideMark/>
          </w:tcPr>
          <w:p w14:paraId="1EA9A1EA"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E6F2FF"/>
            <w:noWrap/>
            <w:vAlign w:val="center"/>
            <w:hideMark/>
          </w:tcPr>
          <w:p w14:paraId="6CB5617A"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05696C80"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3874229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5A610979"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r>
      <w:tr w:rsidR="007D014C" w:rsidRPr="007D014C" w14:paraId="4F16ED39"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61668E0E" w14:textId="77777777" w:rsidR="007D014C" w:rsidRPr="007D014C" w:rsidRDefault="007D014C" w:rsidP="007D014C">
            <w:pPr>
              <w:spacing w:before="0" w:after="0" w:line="240" w:lineRule="auto"/>
              <w:rPr>
                <w:rFonts w:ascii="Arial" w:hAnsi="Arial" w:cs="Arial"/>
                <w:b/>
                <w:bCs/>
                <w:color w:val="000000"/>
                <w:sz w:val="16"/>
                <w:szCs w:val="16"/>
              </w:rPr>
            </w:pPr>
            <w:r w:rsidRPr="007D014C">
              <w:rPr>
                <w:rFonts w:ascii="Arial" w:hAnsi="Arial" w:cs="Arial"/>
                <w:b/>
                <w:bCs/>
                <w:color w:val="000000"/>
                <w:sz w:val="16"/>
                <w:szCs w:val="16"/>
              </w:rPr>
              <w:t>Other employee liabilities</w:t>
            </w:r>
          </w:p>
        </w:tc>
        <w:tc>
          <w:tcPr>
            <w:tcW w:w="493" w:type="pct"/>
            <w:tcBorders>
              <w:top w:val="nil"/>
              <w:left w:val="nil"/>
              <w:bottom w:val="nil"/>
              <w:right w:val="nil"/>
            </w:tcBorders>
            <w:shd w:val="clear" w:color="000000" w:fill="FFFFFF"/>
            <w:noWrap/>
            <w:vAlign w:val="center"/>
            <w:hideMark/>
          </w:tcPr>
          <w:p w14:paraId="366486AE"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E6F2FF"/>
            <w:noWrap/>
            <w:vAlign w:val="center"/>
            <w:hideMark/>
          </w:tcPr>
          <w:p w14:paraId="498F81A6"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216D9F3D"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0582AA26"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00C6361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r>
      <w:tr w:rsidR="007D014C" w:rsidRPr="007D014C" w14:paraId="0DAFDB88"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3D9772C2" w14:textId="77777777" w:rsidR="007D014C" w:rsidRPr="007D014C" w:rsidRDefault="007D014C" w:rsidP="00B33DA7">
            <w:pPr>
              <w:spacing w:before="0" w:after="0" w:line="240" w:lineRule="auto"/>
              <w:ind w:left="170"/>
              <w:rPr>
                <w:rFonts w:ascii="Arial" w:hAnsi="Arial" w:cs="Arial"/>
                <w:color w:val="000000"/>
                <w:sz w:val="16"/>
                <w:szCs w:val="16"/>
              </w:rPr>
            </w:pPr>
            <w:r w:rsidRPr="007D014C">
              <w:rPr>
                <w:rFonts w:ascii="Arial" w:hAnsi="Arial" w:cs="Arial"/>
                <w:color w:val="000000"/>
                <w:sz w:val="16"/>
                <w:szCs w:val="16"/>
              </w:rPr>
              <w:t>Leave and other entitlements</w:t>
            </w:r>
          </w:p>
        </w:tc>
        <w:tc>
          <w:tcPr>
            <w:tcW w:w="493" w:type="pct"/>
            <w:tcBorders>
              <w:top w:val="nil"/>
              <w:left w:val="nil"/>
              <w:bottom w:val="nil"/>
              <w:right w:val="nil"/>
            </w:tcBorders>
            <w:shd w:val="clear" w:color="000000" w:fill="FFFFFF"/>
            <w:noWrap/>
            <w:vAlign w:val="center"/>
            <w:hideMark/>
          </w:tcPr>
          <w:p w14:paraId="761A539D"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9,900</w:t>
            </w:r>
          </w:p>
        </w:tc>
        <w:tc>
          <w:tcPr>
            <w:tcW w:w="492" w:type="pct"/>
            <w:tcBorders>
              <w:top w:val="nil"/>
              <w:left w:val="nil"/>
              <w:bottom w:val="nil"/>
              <w:right w:val="nil"/>
            </w:tcBorders>
            <w:shd w:val="clear" w:color="000000" w:fill="E6F2FF"/>
            <w:noWrap/>
            <w:vAlign w:val="center"/>
            <w:hideMark/>
          </w:tcPr>
          <w:p w14:paraId="6B06B7C0"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10,193</w:t>
            </w:r>
          </w:p>
        </w:tc>
        <w:tc>
          <w:tcPr>
            <w:tcW w:w="492" w:type="pct"/>
            <w:tcBorders>
              <w:top w:val="nil"/>
              <w:left w:val="nil"/>
              <w:bottom w:val="nil"/>
              <w:right w:val="nil"/>
            </w:tcBorders>
            <w:shd w:val="clear" w:color="000000" w:fill="FFFFFF"/>
            <w:noWrap/>
            <w:vAlign w:val="center"/>
            <w:hideMark/>
          </w:tcPr>
          <w:p w14:paraId="7BC43B8E"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10,435</w:t>
            </w:r>
          </w:p>
        </w:tc>
        <w:tc>
          <w:tcPr>
            <w:tcW w:w="492" w:type="pct"/>
            <w:tcBorders>
              <w:top w:val="nil"/>
              <w:left w:val="nil"/>
              <w:bottom w:val="nil"/>
              <w:right w:val="nil"/>
            </w:tcBorders>
            <w:shd w:val="clear" w:color="000000" w:fill="FFFFFF"/>
            <w:noWrap/>
            <w:vAlign w:val="center"/>
            <w:hideMark/>
          </w:tcPr>
          <w:p w14:paraId="322DABB3"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10,672</w:t>
            </w:r>
          </w:p>
        </w:tc>
        <w:tc>
          <w:tcPr>
            <w:tcW w:w="492" w:type="pct"/>
            <w:tcBorders>
              <w:top w:val="nil"/>
              <w:left w:val="nil"/>
              <w:bottom w:val="nil"/>
              <w:right w:val="nil"/>
            </w:tcBorders>
            <w:shd w:val="clear" w:color="000000" w:fill="FFFFFF"/>
            <w:noWrap/>
            <w:vAlign w:val="center"/>
            <w:hideMark/>
          </w:tcPr>
          <w:p w14:paraId="1D20C846"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10,894</w:t>
            </w:r>
          </w:p>
        </w:tc>
      </w:tr>
      <w:tr w:rsidR="007D014C" w:rsidRPr="007D014C" w14:paraId="1C7134C0"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2E85A96E" w14:textId="77777777" w:rsidR="007D014C" w:rsidRPr="007D014C" w:rsidRDefault="007D014C" w:rsidP="00B33DA7">
            <w:pPr>
              <w:spacing w:before="0" w:after="0" w:line="240" w:lineRule="auto"/>
              <w:ind w:left="170"/>
              <w:rPr>
                <w:rFonts w:ascii="Arial" w:hAnsi="Arial" w:cs="Arial"/>
                <w:sz w:val="16"/>
                <w:szCs w:val="16"/>
              </w:rPr>
            </w:pPr>
            <w:r w:rsidRPr="007D014C">
              <w:rPr>
                <w:rFonts w:ascii="Arial" w:hAnsi="Arial" w:cs="Arial"/>
                <w:sz w:val="16"/>
                <w:szCs w:val="16"/>
              </w:rPr>
              <w:t>Accrued salaries and wages</w:t>
            </w:r>
          </w:p>
        </w:tc>
        <w:tc>
          <w:tcPr>
            <w:tcW w:w="493" w:type="pct"/>
            <w:tcBorders>
              <w:top w:val="nil"/>
              <w:left w:val="nil"/>
              <w:bottom w:val="nil"/>
              <w:right w:val="nil"/>
            </w:tcBorders>
            <w:shd w:val="clear" w:color="000000" w:fill="FFFFFF"/>
            <w:noWrap/>
            <w:vAlign w:val="center"/>
            <w:hideMark/>
          </w:tcPr>
          <w:p w14:paraId="58C19D34"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845</w:t>
            </w:r>
          </w:p>
        </w:tc>
        <w:tc>
          <w:tcPr>
            <w:tcW w:w="492" w:type="pct"/>
            <w:tcBorders>
              <w:top w:val="nil"/>
              <w:left w:val="nil"/>
              <w:bottom w:val="nil"/>
              <w:right w:val="nil"/>
            </w:tcBorders>
            <w:shd w:val="clear" w:color="000000" w:fill="E6F2FF"/>
            <w:noWrap/>
            <w:vAlign w:val="center"/>
            <w:hideMark/>
          </w:tcPr>
          <w:p w14:paraId="16B8AF3B"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922</w:t>
            </w:r>
          </w:p>
        </w:tc>
        <w:tc>
          <w:tcPr>
            <w:tcW w:w="492" w:type="pct"/>
            <w:tcBorders>
              <w:top w:val="nil"/>
              <w:left w:val="nil"/>
              <w:bottom w:val="nil"/>
              <w:right w:val="nil"/>
            </w:tcBorders>
            <w:shd w:val="clear" w:color="000000" w:fill="FFFFFF"/>
            <w:noWrap/>
            <w:vAlign w:val="center"/>
            <w:hideMark/>
          </w:tcPr>
          <w:p w14:paraId="46272E05"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990</w:t>
            </w:r>
          </w:p>
        </w:tc>
        <w:tc>
          <w:tcPr>
            <w:tcW w:w="492" w:type="pct"/>
            <w:tcBorders>
              <w:top w:val="nil"/>
              <w:left w:val="nil"/>
              <w:bottom w:val="nil"/>
              <w:right w:val="nil"/>
            </w:tcBorders>
            <w:shd w:val="clear" w:color="000000" w:fill="FFFFFF"/>
            <w:noWrap/>
            <w:vAlign w:val="center"/>
            <w:hideMark/>
          </w:tcPr>
          <w:p w14:paraId="681D4982"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1,005</w:t>
            </w:r>
          </w:p>
        </w:tc>
        <w:tc>
          <w:tcPr>
            <w:tcW w:w="492" w:type="pct"/>
            <w:tcBorders>
              <w:top w:val="nil"/>
              <w:left w:val="nil"/>
              <w:bottom w:val="nil"/>
              <w:right w:val="nil"/>
            </w:tcBorders>
            <w:shd w:val="clear" w:color="000000" w:fill="FFFFFF"/>
            <w:noWrap/>
            <w:vAlign w:val="center"/>
            <w:hideMark/>
          </w:tcPr>
          <w:p w14:paraId="4699FC4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669</w:t>
            </w:r>
          </w:p>
        </w:tc>
      </w:tr>
      <w:tr w:rsidR="007D014C" w:rsidRPr="007D014C" w14:paraId="01903A78"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3E015941" w14:textId="77777777" w:rsidR="007D014C" w:rsidRPr="007D014C" w:rsidRDefault="007D014C" w:rsidP="00B33DA7">
            <w:pPr>
              <w:spacing w:before="0" w:after="0" w:line="240" w:lineRule="auto"/>
              <w:ind w:left="170"/>
              <w:rPr>
                <w:rFonts w:ascii="Arial" w:hAnsi="Arial" w:cs="Arial"/>
                <w:color w:val="000000"/>
                <w:sz w:val="16"/>
                <w:szCs w:val="16"/>
              </w:rPr>
            </w:pPr>
            <w:r w:rsidRPr="007D014C">
              <w:rPr>
                <w:rFonts w:ascii="Arial" w:hAnsi="Arial" w:cs="Arial"/>
                <w:color w:val="000000"/>
                <w:sz w:val="16"/>
                <w:szCs w:val="16"/>
              </w:rPr>
              <w:t>Workers compensation claims</w:t>
            </w:r>
          </w:p>
        </w:tc>
        <w:tc>
          <w:tcPr>
            <w:tcW w:w="493" w:type="pct"/>
            <w:tcBorders>
              <w:top w:val="nil"/>
              <w:left w:val="nil"/>
              <w:bottom w:val="nil"/>
              <w:right w:val="nil"/>
            </w:tcBorders>
            <w:shd w:val="clear" w:color="000000" w:fill="FFFFFF"/>
            <w:noWrap/>
            <w:vAlign w:val="center"/>
            <w:hideMark/>
          </w:tcPr>
          <w:p w14:paraId="54C9F298"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1,984</w:t>
            </w:r>
          </w:p>
        </w:tc>
        <w:tc>
          <w:tcPr>
            <w:tcW w:w="492" w:type="pct"/>
            <w:tcBorders>
              <w:top w:val="nil"/>
              <w:left w:val="nil"/>
              <w:bottom w:val="nil"/>
              <w:right w:val="nil"/>
            </w:tcBorders>
            <w:shd w:val="clear" w:color="000000" w:fill="E6F2FF"/>
            <w:noWrap/>
            <w:vAlign w:val="center"/>
            <w:hideMark/>
          </w:tcPr>
          <w:p w14:paraId="626CA535"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1,998</w:t>
            </w:r>
          </w:p>
        </w:tc>
        <w:tc>
          <w:tcPr>
            <w:tcW w:w="492" w:type="pct"/>
            <w:tcBorders>
              <w:top w:val="nil"/>
              <w:left w:val="nil"/>
              <w:bottom w:val="nil"/>
              <w:right w:val="nil"/>
            </w:tcBorders>
            <w:shd w:val="clear" w:color="000000" w:fill="FFFFFF"/>
            <w:noWrap/>
            <w:vAlign w:val="center"/>
            <w:hideMark/>
          </w:tcPr>
          <w:p w14:paraId="7D0AC2FC"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2,010</w:t>
            </w:r>
          </w:p>
        </w:tc>
        <w:tc>
          <w:tcPr>
            <w:tcW w:w="492" w:type="pct"/>
            <w:tcBorders>
              <w:top w:val="nil"/>
              <w:left w:val="nil"/>
              <w:bottom w:val="nil"/>
              <w:right w:val="nil"/>
            </w:tcBorders>
            <w:shd w:val="clear" w:color="000000" w:fill="FFFFFF"/>
            <w:noWrap/>
            <w:vAlign w:val="center"/>
            <w:hideMark/>
          </w:tcPr>
          <w:p w14:paraId="20E72A7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2,026</w:t>
            </w:r>
          </w:p>
        </w:tc>
        <w:tc>
          <w:tcPr>
            <w:tcW w:w="492" w:type="pct"/>
            <w:tcBorders>
              <w:top w:val="nil"/>
              <w:left w:val="nil"/>
              <w:bottom w:val="nil"/>
              <w:right w:val="nil"/>
            </w:tcBorders>
            <w:shd w:val="clear" w:color="000000" w:fill="FFFFFF"/>
            <w:noWrap/>
            <w:vAlign w:val="center"/>
            <w:hideMark/>
          </w:tcPr>
          <w:p w14:paraId="5F5601C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2,048</w:t>
            </w:r>
          </w:p>
        </w:tc>
      </w:tr>
      <w:tr w:rsidR="007D014C" w:rsidRPr="007D014C" w14:paraId="32669C4A"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151FC006" w14:textId="77777777" w:rsidR="007D014C" w:rsidRPr="007D014C" w:rsidRDefault="007D014C" w:rsidP="00B33DA7">
            <w:pPr>
              <w:spacing w:before="0" w:after="0" w:line="240" w:lineRule="auto"/>
              <w:ind w:left="170"/>
              <w:rPr>
                <w:rFonts w:ascii="Arial" w:hAnsi="Arial" w:cs="Arial"/>
                <w:color w:val="000000"/>
                <w:sz w:val="16"/>
                <w:szCs w:val="16"/>
              </w:rPr>
            </w:pPr>
            <w:r w:rsidRPr="007D014C">
              <w:rPr>
                <w:rFonts w:ascii="Arial" w:hAnsi="Arial" w:cs="Arial"/>
                <w:color w:val="000000"/>
                <w:sz w:val="16"/>
                <w:szCs w:val="16"/>
              </w:rPr>
              <w:t>Military compensation</w:t>
            </w:r>
          </w:p>
        </w:tc>
        <w:tc>
          <w:tcPr>
            <w:tcW w:w="493" w:type="pct"/>
            <w:tcBorders>
              <w:top w:val="nil"/>
              <w:left w:val="nil"/>
              <w:bottom w:val="nil"/>
              <w:right w:val="nil"/>
            </w:tcBorders>
            <w:shd w:val="clear" w:color="000000" w:fill="FFFFFF"/>
            <w:noWrap/>
            <w:vAlign w:val="center"/>
            <w:hideMark/>
          </w:tcPr>
          <w:p w14:paraId="7E166305"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28,873</w:t>
            </w:r>
          </w:p>
        </w:tc>
        <w:tc>
          <w:tcPr>
            <w:tcW w:w="492" w:type="pct"/>
            <w:tcBorders>
              <w:top w:val="nil"/>
              <w:left w:val="nil"/>
              <w:bottom w:val="nil"/>
              <w:right w:val="nil"/>
            </w:tcBorders>
            <w:shd w:val="clear" w:color="000000" w:fill="E6F2FF"/>
            <w:noWrap/>
            <w:vAlign w:val="center"/>
            <w:hideMark/>
          </w:tcPr>
          <w:p w14:paraId="3BE1AF0A"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28,094</w:t>
            </w:r>
          </w:p>
        </w:tc>
        <w:tc>
          <w:tcPr>
            <w:tcW w:w="492" w:type="pct"/>
            <w:tcBorders>
              <w:top w:val="nil"/>
              <w:left w:val="nil"/>
              <w:bottom w:val="nil"/>
              <w:right w:val="nil"/>
            </w:tcBorders>
            <w:shd w:val="clear" w:color="000000" w:fill="FFFFFF"/>
            <w:noWrap/>
            <w:vAlign w:val="center"/>
            <w:hideMark/>
          </w:tcPr>
          <w:p w14:paraId="5C04EA5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28,950</w:t>
            </w:r>
          </w:p>
        </w:tc>
        <w:tc>
          <w:tcPr>
            <w:tcW w:w="492" w:type="pct"/>
            <w:tcBorders>
              <w:top w:val="nil"/>
              <w:left w:val="nil"/>
              <w:bottom w:val="nil"/>
              <w:right w:val="nil"/>
            </w:tcBorders>
            <w:shd w:val="clear" w:color="000000" w:fill="FFFFFF"/>
            <w:noWrap/>
            <w:vAlign w:val="center"/>
            <w:hideMark/>
          </w:tcPr>
          <w:p w14:paraId="43A03340"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29,823</w:t>
            </w:r>
          </w:p>
        </w:tc>
        <w:tc>
          <w:tcPr>
            <w:tcW w:w="492" w:type="pct"/>
            <w:tcBorders>
              <w:top w:val="nil"/>
              <w:left w:val="nil"/>
              <w:bottom w:val="nil"/>
              <w:right w:val="nil"/>
            </w:tcBorders>
            <w:shd w:val="clear" w:color="000000" w:fill="FFFFFF"/>
            <w:noWrap/>
            <w:vAlign w:val="center"/>
            <w:hideMark/>
          </w:tcPr>
          <w:p w14:paraId="73DAF7F0"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30,695</w:t>
            </w:r>
          </w:p>
        </w:tc>
      </w:tr>
      <w:tr w:rsidR="007D014C" w:rsidRPr="007D014C" w14:paraId="6459674B"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25867E27" w14:textId="77777777" w:rsidR="007D014C" w:rsidRPr="007D014C" w:rsidRDefault="007D014C" w:rsidP="00B33DA7">
            <w:pPr>
              <w:spacing w:before="0" w:after="0" w:line="240" w:lineRule="auto"/>
              <w:ind w:left="170"/>
              <w:rPr>
                <w:rFonts w:ascii="Arial" w:hAnsi="Arial" w:cs="Arial"/>
                <w:color w:val="000000"/>
                <w:sz w:val="16"/>
                <w:szCs w:val="16"/>
              </w:rPr>
            </w:pPr>
            <w:r w:rsidRPr="007D014C">
              <w:rPr>
                <w:rFonts w:ascii="Arial" w:hAnsi="Arial" w:cs="Arial"/>
                <w:color w:val="000000"/>
                <w:sz w:val="16"/>
                <w:szCs w:val="16"/>
              </w:rPr>
              <w:t>Other</w:t>
            </w:r>
          </w:p>
        </w:tc>
        <w:tc>
          <w:tcPr>
            <w:tcW w:w="493" w:type="pct"/>
            <w:tcBorders>
              <w:top w:val="nil"/>
              <w:left w:val="nil"/>
              <w:bottom w:val="single" w:sz="4" w:space="0" w:color="293F5B"/>
              <w:right w:val="nil"/>
            </w:tcBorders>
            <w:shd w:val="clear" w:color="000000" w:fill="FFFFFF"/>
            <w:noWrap/>
            <w:vAlign w:val="center"/>
            <w:hideMark/>
          </w:tcPr>
          <w:p w14:paraId="33A26BA5"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625</w:t>
            </w:r>
          </w:p>
        </w:tc>
        <w:tc>
          <w:tcPr>
            <w:tcW w:w="492" w:type="pct"/>
            <w:tcBorders>
              <w:top w:val="nil"/>
              <w:left w:val="nil"/>
              <w:bottom w:val="single" w:sz="4" w:space="0" w:color="293F5B"/>
              <w:right w:val="nil"/>
            </w:tcBorders>
            <w:shd w:val="clear" w:color="000000" w:fill="E6F2FF"/>
            <w:noWrap/>
            <w:vAlign w:val="center"/>
            <w:hideMark/>
          </w:tcPr>
          <w:p w14:paraId="79086BBC"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642</w:t>
            </w:r>
          </w:p>
        </w:tc>
        <w:tc>
          <w:tcPr>
            <w:tcW w:w="492" w:type="pct"/>
            <w:tcBorders>
              <w:top w:val="nil"/>
              <w:left w:val="nil"/>
              <w:bottom w:val="single" w:sz="4" w:space="0" w:color="293F5B"/>
              <w:right w:val="nil"/>
            </w:tcBorders>
            <w:shd w:val="clear" w:color="000000" w:fill="FFFFFF"/>
            <w:noWrap/>
            <w:vAlign w:val="center"/>
            <w:hideMark/>
          </w:tcPr>
          <w:p w14:paraId="531A007C"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657</w:t>
            </w:r>
          </w:p>
        </w:tc>
        <w:tc>
          <w:tcPr>
            <w:tcW w:w="492" w:type="pct"/>
            <w:tcBorders>
              <w:top w:val="nil"/>
              <w:left w:val="nil"/>
              <w:bottom w:val="single" w:sz="4" w:space="0" w:color="293F5B"/>
              <w:right w:val="nil"/>
            </w:tcBorders>
            <w:shd w:val="clear" w:color="000000" w:fill="FFFFFF"/>
            <w:noWrap/>
            <w:vAlign w:val="center"/>
            <w:hideMark/>
          </w:tcPr>
          <w:p w14:paraId="2791722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670</w:t>
            </w:r>
          </w:p>
        </w:tc>
        <w:tc>
          <w:tcPr>
            <w:tcW w:w="492" w:type="pct"/>
            <w:tcBorders>
              <w:top w:val="nil"/>
              <w:left w:val="nil"/>
              <w:bottom w:val="single" w:sz="4" w:space="0" w:color="293F5B"/>
              <w:right w:val="nil"/>
            </w:tcBorders>
            <w:shd w:val="clear" w:color="000000" w:fill="FFFFFF"/>
            <w:noWrap/>
            <w:vAlign w:val="center"/>
            <w:hideMark/>
          </w:tcPr>
          <w:p w14:paraId="11D64673"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686</w:t>
            </w:r>
          </w:p>
        </w:tc>
      </w:tr>
      <w:tr w:rsidR="007D014C" w:rsidRPr="007D014C" w14:paraId="7CC0666E"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54DC86F4" w14:textId="77777777" w:rsidR="007D014C" w:rsidRPr="007D014C" w:rsidRDefault="007D014C" w:rsidP="007D014C">
            <w:pPr>
              <w:spacing w:before="0" w:after="0" w:line="240" w:lineRule="auto"/>
              <w:rPr>
                <w:rFonts w:ascii="Arial" w:hAnsi="Arial" w:cs="Arial"/>
                <w:b/>
                <w:bCs/>
                <w:color w:val="000000"/>
                <w:sz w:val="16"/>
                <w:szCs w:val="16"/>
              </w:rPr>
            </w:pPr>
            <w:r w:rsidRPr="007D014C">
              <w:rPr>
                <w:rFonts w:ascii="Arial" w:hAnsi="Arial" w:cs="Arial"/>
                <w:b/>
                <w:bCs/>
                <w:color w:val="000000"/>
                <w:sz w:val="16"/>
                <w:szCs w:val="16"/>
              </w:rPr>
              <w:t>Total other employee liabilities</w:t>
            </w:r>
          </w:p>
        </w:tc>
        <w:tc>
          <w:tcPr>
            <w:tcW w:w="493" w:type="pct"/>
            <w:tcBorders>
              <w:top w:val="nil"/>
              <w:left w:val="nil"/>
              <w:bottom w:val="single" w:sz="4" w:space="0" w:color="293F5B"/>
              <w:right w:val="nil"/>
            </w:tcBorders>
            <w:shd w:val="clear" w:color="000000" w:fill="FFFFFF"/>
            <w:noWrap/>
            <w:vAlign w:val="center"/>
            <w:hideMark/>
          </w:tcPr>
          <w:p w14:paraId="2B322F42"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42,228</w:t>
            </w:r>
          </w:p>
        </w:tc>
        <w:tc>
          <w:tcPr>
            <w:tcW w:w="492" w:type="pct"/>
            <w:tcBorders>
              <w:top w:val="nil"/>
              <w:left w:val="nil"/>
              <w:bottom w:val="single" w:sz="4" w:space="0" w:color="293F5B"/>
              <w:right w:val="nil"/>
            </w:tcBorders>
            <w:shd w:val="clear" w:color="000000" w:fill="E6F2FF"/>
            <w:noWrap/>
            <w:vAlign w:val="center"/>
            <w:hideMark/>
          </w:tcPr>
          <w:p w14:paraId="3F4BD10A"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41,848</w:t>
            </w:r>
          </w:p>
        </w:tc>
        <w:tc>
          <w:tcPr>
            <w:tcW w:w="492" w:type="pct"/>
            <w:tcBorders>
              <w:top w:val="nil"/>
              <w:left w:val="nil"/>
              <w:bottom w:val="single" w:sz="4" w:space="0" w:color="293F5B"/>
              <w:right w:val="nil"/>
            </w:tcBorders>
            <w:shd w:val="clear" w:color="000000" w:fill="FFFFFF"/>
            <w:noWrap/>
            <w:vAlign w:val="center"/>
            <w:hideMark/>
          </w:tcPr>
          <w:p w14:paraId="5A9F5335"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43,042</w:t>
            </w:r>
          </w:p>
        </w:tc>
        <w:tc>
          <w:tcPr>
            <w:tcW w:w="492" w:type="pct"/>
            <w:tcBorders>
              <w:top w:val="nil"/>
              <w:left w:val="nil"/>
              <w:bottom w:val="single" w:sz="4" w:space="0" w:color="293F5B"/>
              <w:right w:val="nil"/>
            </w:tcBorders>
            <w:shd w:val="clear" w:color="000000" w:fill="FFFFFF"/>
            <w:noWrap/>
            <w:vAlign w:val="center"/>
            <w:hideMark/>
          </w:tcPr>
          <w:p w14:paraId="2D480BA5"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44,195</w:t>
            </w:r>
          </w:p>
        </w:tc>
        <w:tc>
          <w:tcPr>
            <w:tcW w:w="492" w:type="pct"/>
            <w:tcBorders>
              <w:top w:val="nil"/>
              <w:left w:val="nil"/>
              <w:bottom w:val="single" w:sz="4" w:space="0" w:color="293F5B"/>
              <w:right w:val="nil"/>
            </w:tcBorders>
            <w:shd w:val="clear" w:color="000000" w:fill="FFFFFF"/>
            <w:noWrap/>
            <w:vAlign w:val="center"/>
            <w:hideMark/>
          </w:tcPr>
          <w:p w14:paraId="3FF3884A"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44,992</w:t>
            </w:r>
          </w:p>
        </w:tc>
      </w:tr>
      <w:tr w:rsidR="007D014C" w:rsidRPr="007D014C" w14:paraId="692092FC" w14:textId="77777777" w:rsidTr="00B33DA7">
        <w:trPr>
          <w:trHeight w:hRule="exact" w:val="60"/>
        </w:trPr>
        <w:tc>
          <w:tcPr>
            <w:tcW w:w="2537" w:type="pct"/>
            <w:tcBorders>
              <w:top w:val="nil"/>
              <w:left w:val="nil"/>
              <w:bottom w:val="nil"/>
              <w:right w:val="nil"/>
            </w:tcBorders>
            <w:shd w:val="clear" w:color="000000" w:fill="FFFFFF"/>
            <w:noWrap/>
            <w:vAlign w:val="center"/>
            <w:hideMark/>
          </w:tcPr>
          <w:p w14:paraId="7C268B35" w14:textId="77777777" w:rsidR="007D014C" w:rsidRPr="007D014C" w:rsidRDefault="007D014C" w:rsidP="00B33DA7">
            <w:pPr>
              <w:spacing w:before="0" w:after="0" w:line="240" w:lineRule="auto"/>
              <w:ind w:left="170"/>
              <w:rPr>
                <w:rFonts w:ascii="Arial" w:hAnsi="Arial" w:cs="Arial"/>
                <w:color w:val="000000"/>
                <w:sz w:val="16"/>
                <w:szCs w:val="16"/>
              </w:rPr>
            </w:pPr>
            <w:r w:rsidRPr="007D014C">
              <w:rPr>
                <w:rFonts w:ascii="Arial" w:hAnsi="Arial" w:cs="Arial"/>
                <w:color w:val="000000"/>
                <w:sz w:val="16"/>
                <w:szCs w:val="16"/>
              </w:rPr>
              <w:t> </w:t>
            </w:r>
          </w:p>
        </w:tc>
        <w:tc>
          <w:tcPr>
            <w:tcW w:w="493" w:type="pct"/>
            <w:tcBorders>
              <w:top w:val="nil"/>
              <w:left w:val="nil"/>
              <w:bottom w:val="nil"/>
              <w:right w:val="nil"/>
            </w:tcBorders>
            <w:shd w:val="clear" w:color="000000" w:fill="FFFFFF"/>
            <w:noWrap/>
            <w:vAlign w:val="center"/>
            <w:hideMark/>
          </w:tcPr>
          <w:p w14:paraId="6DB77D31"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E6F2FF"/>
            <w:noWrap/>
            <w:vAlign w:val="center"/>
            <w:hideMark/>
          </w:tcPr>
          <w:p w14:paraId="334AB444"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53F26B18"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1603621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1AD7F00B"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r>
      <w:tr w:rsidR="007D014C" w:rsidRPr="007D014C" w14:paraId="3ADB6859" w14:textId="77777777" w:rsidTr="00B33DA7">
        <w:trPr>
          <w:trHeight w:hRule="exact" w:val="225"/>
        </w:trPr>
        <w:tc>
          <w:tcPr>
            <w:tcW w:w="2537" w:type="pct"/>
            <w:tcBorders>
              <w:top w:val="nil"/>
              <w:left w:val="nil"/>
              <w:bottom w:val="nil"/>
              <w:right w:val="nil"/>
            </w:tcBorders>
            <w:shd w:val="clear" w:color="000000" w:fill="FFFFFF"/>
            <w:noWrap/>
            <w:vAlign w:val="center"/>
            <w:hideMark/>
          </w:tcPr>
          <w:p w14:paraId="21B3C835" w14:textId="77777777" w:rsidR="007D014C" w:rsidRPr="007D014C" w:rsidRDefault="007D014C" w:rsidP="007D014C">
            <w:pPr>
              <w:spacing w:before="0" w:after="0" w:line="240" w:lineRule="auto"/>
              <w:rPr>
                <w:rFonts w:ascii="Arial" w:hAnsi="Arial" w:cs="Arial"/>
                <w:b/>
                <w:bCs/>
                <w:color w:val="000000"/>
                <w:sz w:val="16"/>
                <w:szCs w:val="16"/>
              </w:rPr>
            </w:pPr>
            <w:r w:rsidRPr="007D014C">
              <w:rPr>
                <w:rFonts w:ascii="Arial" w:hAnsi="Arial" w:cs="Arial"/>
                <w:b/>
                <w:bCs/>
                <w:color w:val="000000"/>
                <w:sz w:val="16"/>
                <w:szCs w:val="16"/>
              </w:rPr>
              <w:t>Total employee and</w:t>
            </w:r>
          </w:p>
        </w:tc>
        <w:tc>
          <w:tcPr>
            <w:tcW w:w="493" w:type="pct"/>
            <w:tcBorders>
              <w:top w:val="nil"/>
              <w:left w:val="nil"/>
              <w:bottom w:val="nil"/>
              <w:right w:val="nil"/>
            </w:tcBorders>
            <w:shd w:val="clear" w:color="000000" w:fill="FFFFFF"/>
            <w:noWrap/>
            <w:vAlign w:val="center"/>
            <w:hideMark/>
          </w:tcPr>
          <w:p w14:paraId="091459FF"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E6F2FF"/>
            <w:noWrap/>
            <w:vAlign w:val="center"/>
            <w:hideMark/>
          </w:tcPr>
          <w:p w14:paraId="6CCD3CB6"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189F1159"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2969474B"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c>
          <w:tcPr>
            <w:tcW w:w="492" w:type="pct"/>
            <w:tcBorders>
              <w:top w:val="nil"/>
              <w:left w:val="nil"/>
              <w:bottom w:val="nil"/>
              <w:right w:val="nil"/>
            </w:tcBorders>
            <w:shd w:val="clear" w:color="000000" w:fill="FFFFFF"/>
            <w:noWrap/>
            <w:vAlign w:val="center"/>
            <w:hideMark/>
          </w:tcPr>
          <w:p w14:paraId="46E0D86B" w14:textId="77777777" w:rsidR="007D014C" w:rsidRPr="007D014C" w:rsidRDefault="007D014C" w:rsidP="007D014C">
            <w:pPr>
              <w:spacing w:before="0" w:after="0" w:line="240" w:lineRule="auto"/>
              <w:jc w:val="right"/>
              <w:rPr>
                <w:rFonts w:ascii="Arial" w:hAnsi="Arial" w:cs="Arial"/>
                <w:color w:val="000000"/>
                <w:sz w:val="16"/>
                <w:szCs w:val="16"/>
              </w:rPr>
            </w:pPr>
            <w:r w:rsidRPr="007D014C">
              <w:rPr>
                <w:rFonts w:ascii="Arial" w:hAnsi="Arial" w:cs="Arial"/>
                <w:color w:val="000000"/>
                <w:sz w:val="16"/>
                <w:szCs w:val="16"/>
              </w:rPr>
              <w:t> </w:t>
            </w:r>
          </w:p>
        </w:tc>
      </w:tr>
      <w:tr w:rsidR="007D014C" w:rsidRPr="007D014C" w14:paraId="2B58223C" w14:textId="77777777" w:rsidTr="00B33DA7">
        <w:trPr>
          <w:trHeight w:hRule="exact" w:val="225"/>
        </w:trPr>
        <w:tc>
          <w:tcPr>
            <w:tcW w:w="2537" w:type="pct"/>
            <w:tcBorders>
              <w:top w:val="nil"/>
              <w:left w:val="nil"/>
              <w:bottom w:val="single" w:sz="4" w:space="0" w:color="293F5B"/>
              <w:right w:val="nil"/>
            </w:tcBorders>
            <w:shd w:val="clear" w:color="000000" w:fill="FFFFFF"/>
            <w:noWrap/>
            <w:vAlign w:val="center"/>
            <w:hideMark/>
          </w:tcPr>
          <w:p w14:paraId="0E3EF241" w14:textId="77777777" w:rsidR="007D014C" w:rsidRPr="007D014C" w:rsidRDefault="007D014C" w:rsidP="00B33DA7">
            <w:pPr>
              <w:spacing w:before="0" w:after="0" w:line="240" w:lineRule="auto"/>
              <w:ind w:left="170"/>
              <w:rPr>
                <w:rFonts w:ascii="Arial" w:hAnsi="Arial" w:cs="Arial"/>
                <w:b/>
                <w:bCs/>
                <w:color w:val="000000"/>
                <w:sz w:val="16"/>
                <w:szCs w:val="16"/>
              </w:rPr>
            </w:pPr>
            <w:r w:rsidRPr="007D014C">
              <w:rPr>
                <w:rFonts w:ascii="Arial" w:hAnsi="Arial" w:cs="Arial"/>
                <w:b/>
                <w:bCs/>
                <w:color w:val="000000"/>
                <w:sz w:val="16"/>
                <w:szCs w:val="16"/>
              </w:rPr>
              <w:t xml:space="preserve"> superannuation liabilities</w:t>
            </w:r>
          </w:p>
        </w:tc>
        <w:tc>
          <w:tcPr>
            <w:tcW w:w="493" w:type="pct"/>
            <w:tcBorders>
              <w:top w:val="nil"/>
              <w:left w:val="nil"/>
              <w:bottom w:val="single" w:sz="4" w:space="0" w:color="293F5B"/>
              <w:right w:val="nil"/>
            </w:tcBorders>
            <w:shd w:val="clear" w:color="000000" w:fill="FFFFFF"/>
            <w:noWrap/>
            <w:vAlign w:val="center"/>
            <w:hideMark/>
          </w:tcPr>
          <w:p w14:paraId="1FE06BE0"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336,882</w:t>
            </w:r>
          </w:p>
        </w:tc>
        <w:tc>
          <w:tcPr>
            <w:tcW w:w="492" w:type="pct"/>
            <w:tcBorders>
              <w:top w:val="nil"/>
              <w:left w:val="nil"/>
              <w:bottom w:val="single" w:sz="4" w:space="0" w:color="293F5B"/>
              <w:right w:val="nil"/>
            </w:tcBorders>
            <w:shd w:val="clear" w:color="000000" w:fill="E6F2FF"/>
            <w:noWrap/>
            <w:vAlign w:val="center"/>
            <w:hideMark/>
          </w:tcPr>
          <w:p w14:paraId="7F97360E"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346,232</w:t>
            </w:r>
          </w:p>
        </w:tc>
        <w:tc>
          <w:tcPr>
            <w:tcW w:w="492" w:type="pct"/>
            <w:tcBorders>
              <w:top w:val="nil"/>
              <w:left w:val="nil"/>
              <w:bottom w:val="single" w:sz="4" w:space="0" w:color="293F5B"/>
              <w:right w:val="nil"/>
            </w:tcBorders>
            <w:shd w:val="clear" w:color="000000" w:fill="FFFFFF"/>
            <w:noWrap/>
            <w:vAlign w:val="center"/>
            <w:hideMark/>
          </w:tcPr>
          <w:p w14:paraId="6701B470"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357,856</w:t>
            </w:r>
          </w:p>
        </w:tc>
        <w:tc>
          <w:tcPr>
            <w:tcW w:w="492" w:type="pct"/>
            <w:tcBorders>
              <w:top w:val="nil"/>
              <w:left w:val="nil"/>
              <w:bottom w:val="single" w:sz="4" w:space="0" w:color="293F5B"/>
              <w:right w:val="nil"/>
            </w:tcBorders>
            <w:shd w:val="clear" w:color="000000" w:fill="FFFFFF"/>
            <w:noWrap/>
            <w:vAlign w:val="center"/>
            <w:hideMark/>
          </w:tcPr>
          <w:p w14:paraId="4774288B"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367,936</w:t>
            </w:r>
          </w:p>
        </w:tc>
        <w:tc>
          <w:tcPr>
            <w:tcW w:w="492" w:type="pct"/>
            <w:tcBorders>
              <w:top w:val="nil"/>
              <w:left w:val="nil"/>
              <w:bottom w:val="single" w:sz="4" w:space="0" w:color="293F5B"/>
              <w:right w:val="nil"/>
            </w:tcBorders>
            <w:shd w:val="clear" w:color="000000" w:fill="FFFFFF"/>
            <w:noWrap/>
            <w:vAlign w:val="center"/>
            <w:hideMark/>
          </w:tcPr>
          <w:p w14:paraId="4E444000" w14:textId="77777777" w:rsidR="007D014C" w:rsidRPr="007D014C" w:rsidRDefault="007D014C" w:rsidP="007D014C">
            <w:pPr>
              <w:spacing w:before="0" w:after="0" w:line="240" w:lineRule="auto"/>
              <w:jc w:val="right"/>
              <w:rPr>
                <w:rFonts w:ascii="Arial" w:hAnsi="Arial" w:cs="Arial"/>
                <w:b/>
                <w:bCs/>
                <w:color w:val="000000"/>
                <w:sz w:val="16"/>
                <w:szCs w:val="16"/>
              </w:rPr>
            </w:pPr>
            <w:r w:rsidRPr="007D014C">
              <w:rPr>
                <w:rFonts w:ascii="Arial" w:hAnsi="Arial" w:cs="Arial"/>
                <w:b/>
                <w:bCs/>
                <w:color w:val="000000"/>
                <w:sz w:val="16"/>
                <w:szCs w:val="16"/>
              </w:rPr>
              <w:t>377,732</w:t>
            </w:r>
          </w:p>
        </w:tc>
      </w:tr>
    </w:tbl>
    <w:p w14:paraId="403B20B2" w14:textId="7F9BFCBA" w:rsidR="00D8138E" w:rsidRPr="003C3505" w:rsidRDefault="00D8138E" w:rsidP="00C266C2">
      <w:pPr>
        <w:pStyle w:val="ChartandTableFootnoteAlpha"/>
        <w:numPr>
          <w:ilvl w:val="0"/>
          <w:numId w:val="41"/>
        </w:numPr>
      </w:pPr>
      <w:r w:rsidRPr="003C3505">
        <w:t>For budget reporting purposes, a discount rate of 5.0</w:t>
      </w:r>
      <w:r w:rsidR="00BB02A7">
        <w:t> </w:t>
      </w:r>
      <w:r w:rsidRPr="003C3505">
        <w:t>per</w:t>
      </w:r>
      <w:r w:rsidR="00BB02A7">
        <w:t> </w:t>
      </w:r>
      <w:r w:rsidRPr="003C3505">
        <w:t>cent determined by actuaries in preparing the 2020 Long Term Cost Reports is used to value the superannuation liability. This reflects the average annual rate estimated to apply over the term of the liability and it reduces the volatility in reported liabilities that would occur from year to year if the spot rates on long</w:t>
      </w:r>
      <w:r w:rsidR="00325E1E">
        <w:noBreakHyphen/>
      </w:r>
      <w:r w:rsidRPr="003C3505">
        <w:t xml:space="preserve">term government bonds were used. Consistent with AAS, the superannuation liability for the </w:t>
      </w:r>
      <w:r w:rsidRPr="00A13373">
        <w:t>202</w:t>
      </w:r>
      <w:r w:rsidR="005013C2" w:rsidRPr="00A13373">
        <w:t>2</w:t>
      </w:r>
      <w:r w:rsidRPr="00A13373">
        <w:t>–2</w:t>
      </w:r>
      <w:r w:rsidR="00520831" w:rsidRPr="00A13373">
        <w:t>3</w:t>
      </w:r>
      <w:r w:rsidRPr="00A13373">
        <w:t xml:space="preserve"> Final Budget Outcome (FBO) was calculated using the spot rates on long</w:t>
      </w:r>
      <w:r w:rsidR="00325E1E">
        <w:noBreakHyphen/>
      </w:r>
      <w:r w:rsidRPr="00A13373">
        <w:t>term government bonds as at 30 June 202</w:t>
      </w:r>
      <w:r w:rsidR="00520831" w:rsidRPr="00A13373">
        <w:t>3</w:t>
      </w:r>
      <w:r w:rsidRPr="00A13373">
        <w:t xml:space="preserve"> that best matched each individual scheme</w:t>
      </w:r>
      <w:r w:rsidR="00325E1E">
        <w:t>’</w:t>
      </w:r>
      <w:r w:rsidRPr="00A13373">
        <w:t xml:space="preserve">s liability duration. These rates were between </w:t>
      </w:r>
      <w:r w:rsidR="00443398" w:rsidRPr="00A13373">
        <w:t>4.0</w:t>
      </w:r>
      <w:r w:rsidRPr="00A13373">
        <w:t xml:space="preserve"> and </w:t>
      </w:r>
      <w:r w:rsidR="00443398" w:rsidRPr="00A13373">
        <w:t>4.4</w:t>
      </w:r>
      <w:r w:rsidR="00BB02A7">
        <w:t> </w:t>
      </w:r>
      <w:r w:rsidRPr="00A13373">
        <w:t>per</w:t>
      </w:r>
      <w:r w:rsidR="00BB02A7">
        <w:t> </w:t>
      </w:r>
      <w:r w:rsidRPr="003C3505">
        <w:t>cent per</w:t>
      </w:r>
      <w:r w:rsidR="00BB02A7">
        <w:t> </w:t>
      </w:r>
      <w:r w:rsidRPr="003C3505">
        <w:t>annum.</w:t>
      </w:r>
    </w:p>
    <w:p w14:paraId="37622AA0" w14:textId="77777777" w:rsidR="00D8138E" w:rsidRPr="003C3505" w:rsidRDefault="00D8138E" w:rsidP="00172129">
      <w:pPr>
        <w:pStyle w:val="TableLine"/>
      </w:pPr>
    </w:p>
    <w:p w14:paraId="4C0A0D6C" w14:textId="77777777" w:rsidR="00D8138E" w:rsidRPr="003C3505" w:rsidRDefault="00D8138E" w:rsidP="00D8138E">
      <w:r w:rsidRPr="003C3505">
        <w:br w:type="page"/>
      </w:r>
    </w:p>
    <w:p w14:paraId="38B1C525" w14:textId="4BE3E36A" w:rsidR="00D8138E" w:rsidRPr="00663990" w:rsidRDefault="000D0B7D" w:rsidP="00BF0203">
      <w:pPr>
        <w:pStyle w:val="NoteTableHeading"/>
        <w:rPr>
          <w:rFonts w:eastAsiaTheme="minorHAnsi"/>
        </w:rPr>
      </w:pPr>
      <w:r>
        <w:lastRenderedPageBreak/>
        <w:t>Note </w:t>
      </w:r>
      <w:r w:rsidR="00D8138E" w:rsidRPr="00EA746C">
        <w:t>18: Provisions and payable</w:t>
      </w:r>
      <w:r w:rsidR="00F925B1">
        <w:t>s</w:t>
      </w:r>
    </w:p>
    <w:tbl>
      <w:tblPr>
        <w:tblW w:w="5000" w:type="pct"/>
        <w:tblCellMar>
          <w:left w:w="0" w:type="dxa"/>
          <w:right w:w="28" w:type="dxa"/>
        </w:tblCellMar>
        <w:tblLook w:val="04A0" w:firstRow="1" w:lastRow="0" w:firstColumn="1" w:lastColumn="0" w:noHBand="0" w:noVBand="1"/>
      </w:tblPr>
      <w:tblGrid>
        <w:gridCol w:w="3674"/>
        <w:gridCol w:w="804"/>
        <w:gridCol w:w="803"/>
        <w:gridCol w:w="803"/>
        <w:gridCol w:w="803"/>
        <w:gridCol w:w="823"/>
      </w:tblGrid>
      <w:tr w:rsidR="009D52D8" w:rsidRPr="009D52D8" w14:paraId="0C2683D4" w14:textId="77777777" w:rsidTr="003F2CBE">
        <w:trPr>
          <w:trHeight w:val="225"/>
        </w:trPr>
        <w:tc>
          <w:tcPr>
            <w:tcW w:w="2382" w:type="pct"/>
            <w:tcBorders>
              <w:top w:val="single" w:sz="4" w:space="0" w:color="293F5B"/>
              <w:left w:val="nil"/>
              <w:bottom w:val="nil"/>
              <w:right w:val="nil"/>
            </w:tcBorders>
            <w:shd w:val="clear" w:color="000000" w:fill="FFFFFF"/>
            <w:noWrap/>
            <w:vAlign w:val="center"/>
            <w:hideMark/>
          </w:tcPr>
          <w:p w14:paraId="617705E2" w14:textId="77777777" w:rsidR="009D52D8" w:rsidRPr="009D52D8" w:rsidRDefault="009D52D8" w:rsidP="003B5764">
            <w:pPr>
              <w:pStyle w:val="TableTextLeft"/>
            </w:pPr>
            <w:r w:rsidRPr="009D52D8">
              <w:t> </w:t>
            </w:r>
          </w:p>
        </w:tc>
        <w:tc>
          <w:tcPr>
            <w:tcW w:w="2618" w:type="pct"/>
            <w:gridSpan w:val="5"/>
            <w:tcBorders>
              <w:top w:val="single" w:sz="4" w:space="0" w:color="293F5B"/>
              <w:left w:val="nil"/>
              <w:bottom w:val="single" w:sz="4" w:space="0" w:color="293F5B"/>
              <w:right w:val="nil"/>
            </w:tcBorders>
            <w:shd w:val="clear" w:color="000000" w:fill="FFFFFF"/>
            <w:noWrap/>
            <w:vAlign w:val="center"/>
            <w:hideMark/>
          </w:tcPr>
          <w:p w14:paraId="2E29942E" w14:textId="77777777" w:rsidR="009D52D8" w:rsidRPr="009D52D8" w:rsidRDefault="009D52D8" w:rsidP="003B5764">
            <w:pPr>
              <w:pStyle w:val="TableTextCentred"/>
            </w:pPr>
            <w:r w:rsidRPr="009D52D8">
              <w:t>Estimates</w:t>
            </w:r>
          </w:p>
        </w:tc>
      </w:tr>
      <w:tr w:rsidR="009D52D8" w:rsidRPr="009D52D8" w14:paraId="12ECE1AB" w14:textId="77777777" w:rsidTr="003F2CBE">
        <w:trPr>
          <w:trHeight w:val="225"/>
        </w:trPr>
        <w:tc>
          <w:tcPr>
            <w:tcW w:w="2382" w:type="pct"/>
            <w:tcBorders>
              <w:top w:val="nil"/>
              <w:left w:val="nil"/>
              <w:bottom w:val="nil"/>
              <w:right w:val="nil"/>
            </w:tcBorders>
            <w:shd w:val="clear" w:color="000000" w:fill="FFFFFF"/>
            <w:noWrap/>
            <w:vAlign w:val="center"/>
            <w:hideMark/>
          </w:tcPr>
          <w:p w14:paraId="3C9C0AB2" w14:textId="77777777" w:rsidR="009D52D8" w:rsidRPr="009D52D8" w:rsidRDefault="009D52D8" w:rsidP="003B5764">
            <w:pPr>
              <w:pStyle w:val="TableTextLeft"/>
            </w:pPr>
            <w:r w:rsidRPr="009D52D8">
              <w:t> </w:t>
            </w:r>
          </w:p>
        </w:tc>
        <w:tc>
          <w:tcPr>
            <w:tcW w:w="521" w:type="pct"/>
            <w:tcBorders>
              <w:top w:val="nil"/>
              <w:left w:val="nil"/>
              <w:bottom w:val="nil"/>
              <w:right w:val="nil"/>
            </w:tcBorders>
            <w:shd w:val="clear" w:color="000000" w:fill="FFFFFF"/>
            <w:noWrap/>
            <w:vAlign w:val="center"/>
            <w:hideMark/>
          </w:tcPr>
          <w:p w14:paraId="49532EB9" w14:textId="436360DD" w:rsidR="009D52D8" w:rsidRPr="009D52D8" w:rsidRDefault="009D52D8" w:rsidP="003B5764">
            <w:pPr>
              <w:pStyle w:val="TableTextRight"/>
            </w:pPr>
            <w:r w:rsidRPr="009D52D8">
              <w:t>2023</w:t>
            </w:r>
            <w:r w:rsidR="00325E1E">
              <w:noBreakHyphen/>
            </w:r>
            <w:r w:rsidRPr="009D52D8">
              <w:t>24</w:t>
            </w:r>
          </w:p>
        </w:tc>
        <w:tc>
          <w:tcPr>
            <w:tcW w:w="521" w:type="pct"/>
            <w:tcBorders>
              <w:top w:val="nil"/>
              <w:left w:val="nil"/>
              <w:bottom w:val="nil"/>
              <w:right w:val="nil"/>
            </w:tcBorders>
            <w:shd w:val="clear" w:color="000000" w:fill="E6F2FF"/>
            <w:noWrap/>
            <w:vAlign w:val="center"/>
            <w:hideMark/>
          </w:tcPr>
          <w:p w14:paraId="173443CE" w14:textId="33B1DE5A" w:rsidR="009D52D8" w:rsidRPr="009D52D8" w:rsidRDefault="009D52D8" w:rsidP="003B5764">
            <w:pPr>
              <w:pStyle w:val="TableTextRight"/>
            </w:pPr>
            <w:r w:rsidRPr="009D52D8">
              <w:t>2024</w:t>
            </w:r>
            <w:r w:rsidR="00325E1E">
              <w:noBreakHyphen/>
            </w:r>
            <w:r w:rsidRPr="009D52D8">
              <w:t>25</w:t>
            </w:r>
          </w:p>
        </w:tc>
        <w:tc>
          <w:tcPr>
            <w:tcW w:w="521" w:type="pct"/>
            <w:tcBorders>
              <w:top w:val="nil"/>
              <w:left w:val="nil"/>
              <w:bottom w:val="nil"/>
              <w:right w:val="nil"/>
            </w:tcBorders>
            <w:shd w:val="clear" w:color="000000" w:fill="FFFFFF"/>
            <w:noWrap/>
            <w:vAlign w:val="center"/>
            <w:hideMark/>
          </w:tcPr>
          <w:p w14:paraId="4B19EC15" w14:textId="632F8608" w:rsidR="009D52D8" w:rsidRPr="009D52D8" w:rsidRDefault="009D52D8" w:rsidP="003B5764">
            <w:pPr>
              <w:pStyle w:val="TableTextRight"/>
            </w:pPr>
            <w:r w:rsidRPr="009D52D8">
              <w:t>2025</w:t>
            </w:r>
            <w:r w:rsidR="00325E1E">
              <w:noBreakHyphen/>
            </w:r>
            <w:r w:rsidRPr="009D52D8">
              <w:t>26</w:t>
            </w:r>
          </w:p>
        </w:tc>
        <w:tc>
          <w:tcPr>
            <w:tcW w:w="521" w:type="pct"/>
            <w:tcBorders>
              <w:top w:val="nil"/>
              <w:left w:val="nil"/>
              <w:bottom w:val="nil"/>
              <w:right w:val="nil"/>
            </w:tcBorders>
            <w:shd w:val="clear" w:color="000000" w:fill="FFFFFF"/>
            <w:noWrap/>
            <w:vAlign w:val="center"/>
            <w:hideMark/>
          </w:tcPr>
          <w:p w14:paraId="3C82CEF3" w14:textId="75A03F2D" w:rsidR="009D52D8" w:rsidRPr="009D52D8" w:rsidRDefault="009D52D8" w:rsidP="003B5764">
            <w:pPr>
              <w:pStyle w:val="TableTextRight"/>
            </w:pPr>
            <w:r w:rsidRPr="009D52D8">
              <w:t>2026</w:t>
            </w:r>
            <w:r w:rsidR="00325E1E">
              <w:noBreakHyphen/>
            </w:r>
            <w:r w:rsidRPr="009D52D8">
              <w:t>27</w:t>
            </w:r>
          </w:p>
        </w:tc>
        <w:tc>
          <w:tcPr>
            <w:tcW w:w="532" w:type="pct"/>
            <w:tcBorders>
              <w:top w:val="nil"/>
              <w:left w:val="nil"/>
              <w:bottom w:val="nil"/>
              <w:right w:val="nil"/>
            </w:tcBorders>
            <w:shd w:val="clear" w:color="000000" w:fill="FFFFFF"/>
            <w:noWrap/>
            <w:vAlign w:val="center"/>
            <w:hideMark/>
          </w:tcPr>
          <w:p w14:paraId="014A1AA5" w14:textId="087D7F7E" w:rsidR="009D52D8" w:rsidRPr="009D52D8" w:rsidRDefault="009D52D8" w:rsidP="003B5764">
            <w:pPr>
              <w:pStyle w:val="TableTextRight"/>
              <w:rPr>
                <w:color w:val="000000"/>
              </w:rPr>
            </w:pPr>
            <w:r w:rsidRPr="009D52D8">
              <w:rPr>
                <w:color w:val="000000"/>
              </w:rPr>
              <w:t>2027</w:t>
            </w:r>
            <w:r w:rsidR="00325E1E">
              <w:rPr>
                <w:color w:val="000000"/>
              </w:rPr>
              <w:noBreakHyphen/>
            </w:r>
            <w:r w:rsidRPr="009D52D8">
              <w:rPr>
                <w:color w:val="000000"/>
              </w:rPr>
              <w:t>28</w:t>
            </w:r>
          </w:p>
        </w:tc>
      </w:tr>
      <w:tr w:rsidR="009D52D8" w:rsidRPr="009D52D8" w14:paraId="4C549FC9" w14:textId="77777777" w:rsidTr="003F2CBE">
        <w:trPr>
          <w:trHeight w:val="225"/>
        </w:trPr>
        <w:tc>
          <w:tcPr>
            <w:tcW w:w="2382" w:type="pct"/>
            <w:tcBorders>
              <w:top w:val="nil"/>
              <w:left w:val="nil"/>
              <w:bottom w:val="nil"/>
              <w:right w:val="nil"/>
            </w:tcBorders>
            <w:shd w:val="clear" w:color="000000" w:fill="FFFFFF"/>
            <w:noWrap/>
            <w:vAlign w:val="center"/>
            <w:hideMark/>
          </w:tcPr>
          <w:p w14:paraId="249A19AB" w14:textId="77777777" w:rsidR="009D52D8" w:rsidRPr="009D52D8" w:rsidRDefault="009D52D8" w:rsidP="003B5764">
            <w:pPr>
              <w:pStyle w:val="TableTextLeft"/>
            </w:pPr>
            <w:r w:rsidRPr="009D52D8">
              <w:t> </w:t>
            </w:r>
          </w:p>
        </w:tc>
        <w:tc>
          <w:tcPr>
            <w:tcW w:w="521" w:type="pct"/>
            <w:tcBorders>
              <w:top w:val="nil"/>
              <w:left w:val="nil"/>
              <w:bottom w:val="single" w:sz="4" w:space="0" w:color="293F5B"/>
              <w:right w:val="nil"/>
            </w:tcBorders>
            <w:shd w:val="clear" w:color="000000" w:fill="FFFFFF"/>
            <w:noWrap/>
            <w:vAlign w:val="center"/>
            <w:hideMark/>
          </w:tcPr>
          <w:p w14:paraId="46D76B1B" w14:textId="77777777" w:rsidR="009D52D8" w:rsidRPr="009D52D8" w:rsidRDefault="009D52D8" w:rsidP="003B5764">
            <w:pPr>
              <w:pStyle w:val="TableTextRight"/>
            </w:pPr>
            <w:r w:rsidRPr="009D52D8">
              <w:t>$m</w:t>
            </w:r>
          </w:p>
        </w:tc>
        <w:tc>
          <w:tcPr>
            <w:tcW w:w="521" w:type="pct"/>
            <w:tcBorders>
              <w:top w:val="nil"/>
              <w:left w:val="nil"/>
              <w:bottom w:val="single" w:sz="4" w:space="0" w:color="293F5B"/>
              <w:right w:val="nil"/>
            </w:tcBorders>
            <w:shd w:val="clear" w:color="000000" w:fill="E6F2FF"/>
            <w:noWrap/>
            <w:vAlign w:val="center"/>
            <w:hideMark/>
          </w:tcPr>
          <w:p w14:paraId="5134D2EC" w14:textId="77777777" w:rsidR="009D52D8" w:rsidRPr="009D52D8" w:rsidRDefault="009D52D8" w:rsidP="003B5764">
            <w:pPr>
              <w:pStyle w:val="TableTextRight"/>
            </w:pPr>
            <w:r w:rsidRPr="009D52D8">
              <w:t>$m</w:t>
            </w:r>
          </w:p>
        </w:tc>
        <w:tc>
          <w:tcPr>
            <w:tcW w:w="521" w:type="pct"/>
            <w:tcBorders>
              <w:top w:val="nil"/>
              <w:left w:val="nil"/>
              <w:bottom w:val="single" w:sz="4" w:space="0" w:color="293F5B"/>
              <w:right w:val="nil"/>
            </w:tcBorders>
            <w:shd w:val="clear" w:color="000000" w:fill="FFFFFF"/>
            <w:noWrap/>
            <w:vAlign w:val="center"/>
            <w:hideMark/>
          </w:tcPr>
          <w:p w14:paraId="728C7D4D" w14:textId="77777777" w:rsidR="009D52D8" w:rsidRPr="009D52D8" w:rsidRDefault="009D52D8" w:rsidP="003B5764">
            <w:pPr>
              <w:pStyle w:val="TableTextRight"/>
            </w:pPr>
            <w:r w:rsidRPr="009D52D8">
              <w:t>$m</w:t>
            </w:r>
          </w:p>
        </w:tc>
        <w:tc>
          <w:tcPr>
            <w:tcW w:w="521" w:type="pct"/>
            <w:tcBorders>
              <w:top w:val="nil"/>
              <w:left w:val="nil"/>
              <w:bottom w:val="single" w:sz="4" w:space="0" w:color="293F5B"/>
              <w:right w:val="nil"/>
            </w:tcBorders>
            <w:shd w:val="clear" w:color="000000" w:fill="FFFFFF"/>
            <w:noWrap/>
            <w:vAlign w:val="center"/>
            <w:hideMark/>
          </w:tcPr>
          <w:p w14:paraId="12AFDD73" w14:textId="77777777" w:rsidR="009D52D8" w:rsidRPr="009D52D8" w:rsidRDefault="009D52D8" w:rsidP="003B5764">
            <w:pPr>
              <w:pStyle w:val="TableTextRight"/>
            </w:pPr>
            <w:r w:rsidRPr="009D52D8">
              <w:t>$m</w:t>
            </w:r>
          </w:p>
        </w:tc>
        <w:tc>
          <w:tcPr>
            <w:tcW w:w="532" w:type="pct"/>
            <w:tcBorders>
              <w:top w:val="nil"/>
              <w:left w:val="nil"/>
              <w:bottom w:val="single" w:sz="4" w:space="0" w:color="293F5B"/>
              <w:right w:val="nil"/>
            </w:tcBorders>
            <w:shd w:val="clear" w:color="000000" w:fill="FFFFFF"/>
            <w:noWrap/>
            <w:vAlign w:val="center"/>
            <w:hideMark/>
          </w:tcPr>
          <w:p w14:paraId="7FCF3C98" w14:textId="77777777" w:rsidR="009D52D8" w:rsidRPr="009D52D8" w:rsidRDefault="009D52D8" w:rsidP="003B5764">
            <w:pPr>
              <w:pStyle w:val="TableTextRight"/>
            </w:pPr>
            <w:r w:rsidRPr="009D52D8">
              <w:t>$m</w:t>
            </w:r>
          </w:p>
        </w:tc>
      </w:tr>
      <w:tr w:rsidR="009D52D8" w:rsidRPr="009D52D8" w14:paraId="197924A8" w14:textId="77777777" w:rsidTr="003F2CBE">
        <w:trPr>
          <w:trHeight w:val="225"/>
        </w:trPr>
        <w:tc>
          <w:tcPr>
            <w:tcW w:w="2382" w:type="pct"/>
            <w:tcBorders>
              <w:top w:val="nil"/>
              <w:left w:val="nil"/>
              <w:bottom w:val="nil"/>
              <w:right w:val="nil"/>
            </w:tcBorders>
            <w:shd w:val="clear" w:color="000000" w:fill="FFFFFF"/>
            <w:noWrap/>
            <w:vAlign w:val="center"/>
            <w:hideMark/>
          </w:tcPr>
          <w:p w14:paraId="6582B291" w14:textId="77777777" w:rsidR="009D52D8" w:rsidRPr="009D52D8" w:rsidRDefault="009D52D8" w:rsidP="003B5764">
            <w:pPr>
              <w:pStyle w:val="TableTextLeft"/>
              <w:rPr>
                <w:b/>
              </w:rPr>
            </w:pPr>
            <w:r w:rsidRPr="009D52D8">
              <w:rPr>
                <w:b/>
              </w:rPr>
              <w:t>Suppliers payables</w:t>
            </w:r>
          </w:p>
        </w:tc>
        <w:tc>
          <w:tcPr>
            <w:tcW w:w="521" w:type="pct"/>
            <w:tcBorders>
              <w:top w:val="nil"/>
              <w:left w:val="nil"/>
              <w:bottom w:val="nil"/>
              <w:right w:val="nil"/>
            </w:tcBorders>
            <w:shd w:val="clear" w:color="000000" w:fill="FFFFFF"/>
            <w:noWrap/>
            <w:vAlign w:val="center"/>
            <w:hideMark/>
          </w:tcPr>
          <w:p w14:paraId="620948A1"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E6F2FF"/>
            <w:noWrap/>
            <w:vAlign w:val="center"/>
            <w:hideMark/>
          </w:tcPr>
          <w:p w14:paraId="19342E2B"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01DBEDC2"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6D3CDF8D" w14:textId="77777777" w:rsidR="009D52D8" w:rsidRPr="009D52D8" w:rsidRDefault="009D52D8" w:rsidP="003B5764">
            <w:pPr>
              <w:pStyle w:val="TableTextRight"/>
            </w:pPr>
            <w:r w:rsidRPr="009D52D8">
              <w:t> </w:t>
            </w:r>
          </w:p>
        </w:tc>
        <w:tc>
          <w:tcPr>
            <w:tcW w:w="532" w:type="pct"/>
            <w:tcBorders>
              <w:top w:val="nil"/>
              <w:left w:val="nil"/>
              <w:bottom w:val="nil"/>
              <w:right w:val="nil"/>
            </w:tcBorders>
            <w:shd w:val="clear" w:color="000000" w:fill="FFFFFF"/>
            <w:noWrap/>
            <w:vAlign w:val="center"/>
            <w:hideMark/>
          </w:tcPr>
          <w:p w14:paraId="53590748" w14:textId="77777777" w:rsidR="009D52D8" w:rsidRPr="009D52D8" w:rsidRDefault="009D52D8" w:rsidP="003B5764">
            <w:pPr>
              <w:pStyle w:val="TableTextRight"/>
            </w:pPr>
            <w:r w:rsidRPr="009D52D8">
              <w:t> </w:t>
            </w:r>
          </w:p>
        </w:tc>
      </w:tr>
      <w:tr w:rsidR="00E042DA" w:rsidRPr="009D52D8" w14:paraId="24B4EBD4" w14:textId="77777777" w:rsidTr="003F2CBE">
        <w:trPr>
          <w:trHeight w:val="225"/>
        </w:trPr>
        <w:tc>
          <w:tcPr>
            <w:tcW w:w="2382" w:type="pct"/>
            <w:tcBorders>
              <w:top w:val="nil"/>
              <w:left w:val="nil"/>
              <w:bottom w:val="nil"/>
              <w:right w:val="nil"/>
            </w:tcBorders>
            <w:shd w:val="clear" w:color="000000" w:fill="FFFFFF"/>
            <w:noWrap/>
            <w:vAlign w:val="center"/>
            <w:hideMark/>
          </w:tcPr>
          <w:p w14:paraId="57801028" w14:textId="77777777" w:rsidR="00E042DA" w:rsidRPr="009D52D8" w:rsidRDefault="00E042DA" w:rsidP="003B5764">
            <w:pPr>
              <w:pStyle w:val="TableTextIndented"/>
            </w:pPr>
            <w:r w:rsidRPr="009D52D8">
              <w:t>Trade creditors</w:t>
            </w:r>
          </w:p>
        </w:tc>
        <w:tc>
          <w:tcPr>
            <w:tcW w:w="521" w:type="pct"/>
            <w:tcBorders>
              <w:top w:val="nil"/>
              <w:left w:val="nil"/>
              <w:bottom w:val="nil"/>
              <w:right w:val="nil"/>
            </w:tcBorders>
            <w:shd w:val="clear" w:color="000000" w:fill="FFFFFF"/>
            <w:noWrap/>
            <w:vAlign w:val="center"/>
            <w:hideMark/>
          </w:tcPr>
          <w:p w14:paraId="66F8A12D" w14:textId="2013E43C" w:rsidR="00E042DA" w:rsidRPr="009D52D8" w:rsidRDefault="00E042DA" w:rsidP="003B5764">
            <w:pPr>
              <w:pStyle w:val="TableTextRight"/>
            </w:pPr>
            <w:r>
              <w:t>8,424</w:t>
            </w:r>
          </w:p>
        </w:tc>
        <w:tc>
          <w:tcPr>
            <w:tcW w:w="521" w:type="pct"/>
            <w:tcBorders>
              <w:top w:val="nil"/>
              <w:left w:val="nil"/>
              <w:bottom w:val="nil"/>
              <w:right w:val="nil"/>
            </w:tcBorders>
            <w:shd w:val="clear" w:color="000000" w:fill="E6F2FF"/>
            <w:noWrap/>
            <w:vAlign w:val="center"/>
            <w:hideMark/>
          </w:tcPr>
          <w:p w14:paraId="6B4C2299" w14:textId="27D70195" w:rsidR="00E042DA" w:rsidRPr="009D52D8" w:rsidRDefault="00E042DA" w:rsidP="003B5764">
            <w:pPr>
              <w:pStyle w:val="TableTextRight"/>
            </w:pPr>
            <w:r>
              <w:t>8,567</w:t>
            </w:r>
          </w:p>
        </w:tc>
        <w:tc>
          <w:tcPr>
            <w:tcW w:w="521" w:type="pct"/>
            <w:tcBorders>
              <w:top w:val="nil"/>
              <w:left w:val="nil"/>
              <w:bottom w:val="nil"/>
              <w:right w:val="nil"/>
            </w:tcBorders>
            <w:shd w:val="clear" w:color="000000" w:fill="FFFFFF"/>
            <w:noWrap/>
            <w:vAlign w:val="center"/>
            <w:hideMark/>
          </w:tcPr>
          <w:p w14:paraId="62D82CF5" w14:textId="701D75D1" w:rsidR="00E042DA" w:rsidRPr="009D52D8" w:rsidRDefault="00E042DA" w:rsidP="003B5764">
            <w:pPr>
              <w:pStyle w:val="TableTextRight"/>
            </w:pPr>
            <w:r>
              <w:t>8,882</w:t>
            </w:r>
          </w:p>
        </w:tc>
        <w:tc>
          <w:tcPr>
            <w:tcW w:w="521" w:type="pct"/>
            <w:tcBorders>
              <w:top w:val="nil"/>
              <w:left w:val="nil"/>
              <w:bottom w:val="nil"/>
              <w:right w:val="nil"/>
            </w:tcBorders>
            <w:shd w:val="clear" w:color="000000" w:fill="FFFFFF"/>
            <w:noWrap/>
            <w:vAlign w:val="center"/>
            <w:hideMark/>
          </w:tcPr>
          <w:p w14:paraId="1A41AA11" w14:textId="1FAB6CCE" w:rsidR="00E042DA" w:rsidRPr="009D52D8" w:rsidRDefault="00E042DA" w:rsidP="003B5764">
            <w:pPr>
              <w:pStyle w:val="TableTextRight"/>
            </w:pPr>
            <w:r>
              <w:t>9,153</w:t>
            </w:r>
          </w:p>
        </w:tc>
        <w:tc>
          <w:tcPr>
            <w:tcW w:w="532" w:type="pct"/>
            <w:tcBorders>
              <w:top w:val="nil"/>
              <w:left w:val="nil"/>
              <w:bottom w:val="nil"/>
              <w:right w:val="nil"/>
            </w:tcBorders>
            <w:shd w:val="clear" w:color="000000" w:fill="FFFFFF"/>
            <w:noWrap/>
            <w:vAlign w:val="center"/>
            <w:hideMark/>
          </w:tcPr>
          <w:p w14:paraId="642619B4" w14:textId="770889E3" w:rsidR="00E042DA" w:rsidRPr="009D52D8" w:rsidRDefault="00E042DA" w:rsidP="003B5764">
            <w:pPr>
              <w:pStyle w:val="TableTextRight"/>
            </w:pPr>
            <w:r>
              <w:t>9,577</w:t>
            </w:r>
          </w:p>
        </w:tc>
      </w:tr>
      <w:tr w:rsidR="00E042DA" w:rsidRPr="009D52D8" w14:paraId="53E1DB8E" w14:textId="77777777" w:rsidTr="003F2CBE">
        <w:trPr>
          <w:trHeight w:val="225"/>
        </w:trPr>
        <w:tc>
          <w:tcPr>
            <w:tcW w:w="2382" w:type="pct"/>
            <w:tcBorders>
              <w:top w:val="nil"/>
              <w:left w:val="nil"/>
              <w:bottom w:val="nil"/>
              <w:right w:val="nil"/>
            </w:tcBorders>
            <w:shd w:val="clear" w:color="000000" w:fill="FFFFFF"/>
            <w:noWrap/>
            <w:vAlign w:val="center"/>
            <w:hideMark/>
          </w:tcPr>
          <w:p w14:paraId="4BC7EAE6" w14:textId="77777777" w:rsidR="00E042DA" w:rsidRPr="009D52D8" w:rsidRDefault="00E042DA" w:rsidP="003B5764">
            <w:pPr>
              <w:pStyle w:val="TableTextIndented"/>
            </w:pPr>
            <w:r w:rsidRPr="009D52D8">
              <w:t>Lease rental payable</w:t>
            </w:r>
          </w:p>
        </w:tc>
        <w:tc>
          <w:tcPr>
            <w:tcW w:w="521" w:type="pct"/>
            <w:tcBorders>
              <w:top w:val="nil"/>
              <w:left w:val="nil"/>
              <w:bottom w:val="nil"/>
              <w:right w:val="nil"/>
            </w:tcBorders>
            <w:shd w:val="clear" w:color="000000" w:fill="FFFFFF"/>
            <w:noWrap/>
            <w:vAlign w:val="center"/>
            <w:hideMark/>
          </w:tcPr>
          <w:p w14:paraId="4F8B4CF3" w14:textId="704F4F6B" w:rsidR="00E042DA" w:rsidRPr="009D52D8" w:rsidRDefault="00E042DA" w:rsidP="003B5764">
            <w:pPr>
              <w:pStyle w:val="TableTextRight"/>
            </w:pPr>
            <w:r>
              <w:t>1</w:t>
            </w:r>
          </w:p>
        </w:tc>
        <w:tc>
          <w:tcPr>
            <w:tcW w:w="521" w:type="pct"/>
            <w:tcBorders>
              <w:top w:val="nil"/>
              <w:left w:val="nil"/>
              <w:bottom w:val="nil"/>
              <w:right w:val="nil"/>
            </w:tcBorders>
            <w:shd w:val="clear" w:color="000000" w:fill="E6F2FF"/>
            <w:noWrap/>
            <w:vAlign w:val="center"/>
            <w:hideMark/>
          </w:tcPr>
          <w:p w14:paraId="2E13E67D" w14:textId="6FC39FA5" w:rsidR="00E042DA" w:rsidRPr="009D52D8" w:rsidRDefault="00E042DA" w:rsidP="003B5764">
            <w:pPr>
              <w:pStyle w:val="TableTextRight"/>
            </w:pPr>
            <w:r>
              <w:t>1</w:t>
            </w:r>
          </w:p>
        </w:tc>
        <w:tc>
          <w:tcPr>
            <w:tcW w:w="521" w:type="pct"/>
            <w:tcBorders>
              <w:top w:val="nil"/>
              <w:left w:val="nil"/>
              <w:bottom w:val="nil"/>
              <w:right w:val="nil"/>
            </w:tcBorders>
            <w:shd w:val="clear" w:color="000000" w:fill="FFFFFF"/>
            <w:noWrap/>
            <w:vAlign w:val="center"/>
            <w:hideMark/>
          </w:tcPr>
          <w:p w14:paraId="4C7E0594" w14:textId="5E01F5E9" w:rsidR="00E042DA" w:rsidRPr="009D52D8" w:rsidRDefault="00E042DA" w:rsidP="003B5764">
            <w:pPr>
              <w:pStyle w:val="TableTextRight"/>
            </w:pPr>
            <w:r>
              <w:t>1</w:t>
            </w:r>
          </w:p>
        </w:tc>
        <w:tc>
          <w:tcPr>
            <w:tcW w:w="521" w:type="pct"/>
            <w:tcBorders>
              <w:top w:val="nil"/>
              <w:left w:val="nil"/>
              <w:bottom w:val="nil"/>
              <w:right w:val="nil"/>
            </w:tcBorders>
            <w:shd w:val="clear" w:color="000000" w:fill="FFFFFF"/>
            <w:noWrap/>
            <w:vAlign w:val="center"/>
            <w:hideMark/>
          </w:tcPr>
          <w:p w14:paraId="19A8D323" w14:textId="20FE8092" w:rsidR="00E042DA" w:rsidRPr="009D52D8" w:rsidRDefault="00E042DA" w:rsidP="003B5764">
            <w:pPr>
              <w:pStyle w:val="TableTextRight"/>
            </w:pPr>
            <w:r>
              <w:t>1</w:t>
            </w:r>
          </w:p>
        </w:tc>
        <w:tc>
          <w:tcPr>
            <w:tcW w:w="532" w:type="pct"/>
            <w:tcBorders>
              <w:top w:val="nil"/>
              <w:left w:val="nil"/>
              <w:bottom w:val="nil"/>
              <w:right w:val="nil"/>
            </w:tcBorders>
            <w:shd w:val="clear" w:color="000000" w:fill="FFFFFF"/>
            <w:noWrap/>
            <w:vAlign w:val="center"/>
            <w:hideMark/>
          </w:tcPr>
          <w:p w14:paraId="7CB8AD6B" w14:textId="69590B51" w:rsidR="00E042DA" w:rsidRPr="009D52D8" w:rsidRDefault="00E042DA" w:rsidP="003B5764">
            <w:pPr>
              <w:pStyle w:val="TableTextRight"/>
            </w:pPr>
            <w:r>
              <w:t>1</w:t>
            </w:r>
          </w:p>
        </w:tc>
      </w:tr>
      <w:tr w:rsidR="00E042DA" w:rsidRPr="009D52D8" w14:paraId="0267D1A9" w14:textId="77777777" w:rsidTr="003F2CBE">
        <w:trPr>
          <w:trHeight w:val="225"/>
        </w:trPr>
        <w:tc>
          <w:tcPr>
            <w:tcW w:w="2382" w:type="pct"/>
            <w:tcBorders>
              <w:top w:val="nil"/>
              <w:left w:val="nil"/>
              <w:bottom w:val="nil"/>
              <w:right w:val="nil"/>
            </w:tcBorders>
            <w:shd w:val="clear" w:color="000000" w:fill="FFFFFF"/>
            <w:noWrap/>
            <w:vAlign w:val="center"/>
            <w:hideMark/>
          </w:tcPr>
          <w:p w14:paraId="1AB0AFD4" w14:textId="5C4F9199" w:rsidR="00E042DA" w:rsidRPr="009D52D8" w:rsidRDefault="00E042DA" w:rsidP="003B5764">
            <w:pPr>
              <w:pStyle w:val="TableTextIndented"/>
            </w:pPr>
            <w:r w:rsidRPr="009D52D8">
              <w:t>Personal benefits payables</w:t>
            </w:r>
            <w:r>
              <w:t xml:space="preserve"> </w:t>
            </w:r>
            <w:r w:rsidR="00480091">
              <w:t>–</w:t>
            </w:r>
            <w:r>
              <w:t xml:space="preserve"> </w:t>
            </w:r>
            <w:r w:rsidRPr="009D52D8">
              <w:t>indirect</w:t>
            </w:r>
          </w:p>
        </w:tc>
        <w:tc>
          <w:tcPr>
            <w:tcW w:w="521" w:type="pct"/>
            <w:tcBorders>
              <w:top w:val="nil"/>
              <w:left w:val="nil"/>
              <w:bottom w:val="nil"/>
              <w:right w:val="nil"/>
            </w:tcBorders>
            <w:shd w:val="clear" w:color="000000" w:fill="FFFFFF"/>
            <w:noWrap/>
            <w:vAlign w:val="center"/>
            <w:hideMark/>
          </w:tcPr>
          <w:p w14:paraId="0756184F" w14:textId="52E9A10E" w:rsidR="00E042DA" w:rsidRPr="009D52D8" w:rsidRDefault="00E042DA" w:rsidP="003B5764">
            <w:pPr>
              <w:pStyle w:val="TableTextRight"/>
            </w:pPr>
            <w:r>
              <w:t>1,948</w:t>
            </w:r>
          </w:p>
        </w:tc>
        <w:tc>
          <w:tcPr>
            <w:tcW w:w="521" w:type="pct"/>
            <w:tcBorders>
              <w:top w:val="nil"/>
              <w:left w:val="nil"/>
              <w:bottom w:val="nil"/>
              <w:right w:val="nil"/>
            </w:tcBorders>
            <w:shd w:val="clear" w:color="000000" w:fill="E6F2FF"/>
            <w:noWrap/>
            <w:vAlign w:val="center"/>
            <w:hideMark/>
          </w:tcPr>
          <w:p w14:paraId="0CEF3C56" w14:textId="5B668DD0" w:rsidR="00E042DA" w:rsidRPr="009D52D8" w:rsidRDefault="00E042DA" w:rsidP="003B5764">
            <w:pPr>
              <w:pStyle w:val="TableTextRight"/>
            </w:pPr>
            <w:r>
              <w:t>2,056</w:t>
            </w:r>
          </w:p>
        </w:tc>
        <w:tc>
          <w:tcPr>
            <w:tcW w:w="521" w:type="pct"/>
            <w:tcBorders>
              <w:top w:val="nil"/>
              <w:left w:val="nil"/>
              <w:bottom w:val="nil"/>
              <w:right w:val="nil"/>
            </w:tcBorders>
            <w:shd w:val="clear" w:color="000000" w:fill="FFFFFF"/>
            <w:noWrap/>
            <w:vAlign w:val="center"/>
            <w:hideMark/>
          </w:tcPr>
          <w:p w14:paraId="50EA541B" w14:textId="307B5B53" w:rsidR="00E042DA" w:rsidRPr="009D52D8" w:rsidRDefault="00E042DA" w:rsidP="003B5764">
            <w:pPr>
              <w:pStyle w:val="TableTextRight"/>
            </w:pPr>
            <w:r>
              <w:t>1,910</w:t>
            </w:r>
          </w:p>
        </w:tc>
        <w:tc>
          <w:tcPr>
            <w:tcW w:w="521" w:type="pct"/>
            <w:tcBorders>
              <w:top w:val="nil"/>
              <w:left w:val="nil"/>
              <w:bottom w:val="nil"/>
              <w:right w:val="nil"/>
            </w:tcBorders>
            <w:shd w:val="clear" w:color="000000" w:fill="FFFFFF"/>
            <w:noWrap/>
            <w:vAlign w:val="center"/>
            <w:hideMark/>
          </w:tcPr>
          <w:p w14:paraId="48A977BC" w14:textId="37BB6E10" w:rsidR="00E042DA" w:rsidRPr="009D52D8" w:rsidRDefault="00E042DA" w:rsidP="003B5764">
            <w:pPr>
              <w:pStyle w:val="TableTextRight"/>
            </w:pPr>
            <w:r>
              <w:t>1,918</w:t>
            </w:r>
          </w:p>
        </w:tc>
        <w:tc>
          <w:tcPr>
            <w:tcW w:w="532" w:type="pct"/>
            <w:tcBorders>
              <w:top w:val="nil"/>
              <w:left w:val="nil"/>
              <w:bottom w:val="nil"/>
              <w:right w:val="nil"/>
            </w:tcBorders>
            <w:shd w:val="clear" w:color="000000" w:fill="FFFFFF"/>
            <w:noWrap/>
            <w:vAlign w:val="center"/>
            <w:hideMark/>
          </w:tcPr>
          <w:p w14:paraId="28633EAA" w14:textId="690426D8" w:rsidR="00E042DA" w:rsidRPr="009D52D8" w:rsidRDefault="00E042DA" w:rsidP="003B5764">
            <w:pPr>
              <w:pStyle w:val="TableTextRight"/>
            </w:pPr>
            <w:r>
              <w:t>2,011</w:t>
            </w:r>
          </w:p>
        </w:tc>
      </w:tr>
      <w:tr w:rsidR="001F2723" w:rsidRPr="009D52D8" w14:paraId="4482CA43" w14:textId="77777777" w:rsidTr="003F2CBE">
        <w:trPr>
          <w:trHeight w:val="225"/>
        </w:trPr>
        <w:tc>
          <w:tcPr>
            <w:tcW w:w="2382" w:type="pct"/>
            <w:tcBorders>
              <w:top w:val="nil"/>
              <w:left w:val="nil"/>
              <w:bottom w:val="nil"/>
              <w:right w:val="nil"/>
            </w:tcBorders>
            <w:shd w:val="clear" w:color="000000" w:fill="FFFFFF"/>
            <w:noWrap/>
            <w:vAlign w:val="center"/>
            <w:hideMark/>
          </w:tcPr>
          <w:p w14:paraId="63E2E1F6" w14:textId="77777777" w:rsidR="001F2723" w:rsidRPr="009D52D8" w:rsidRDefault="001F2723" w:rsidP="003B5764">
            <w:pPr>
              <w:pStyle w:val="TableTextIndented"/>
            </w:pPr>
            <w:r w:rsidRPr="009D52D8">
              <w:t>Other creditors</w:t>
            </w:r>
          </w:p>
        </w:tc>
        <w:tc>
          <w:tcPr>
            <w:tcW w:w="521" w:type="pct"/>
            <w:tcBorders>
              <w:top w:val="nil"/>
              <w:left w:val="nil"/>
              <w:bottom w:val="single" w:sz="4" w:space="0" w:color="293F5B"/>
              <w:right w:val="nil"/>
            </w:tcBorders>
            <w:shd w:val="clear" w:color="000000" w:fill="FFFFFF"/>
            <w:noWrap/>
            <w:vAlign w:val="center"/>
            <w:hideMark/>
          </w:tcPr>
          <w:p w14:paraId="12038299" w14:textId="38EA6E6F" w:rsidR="001F2723" w:rsidRPr="009D52D8" w:rsidRDefault="00BF1905" w:rsidP="003B5764">
            <w:pPr>
              <w:pStyle w:val="TableTextRight"/>
            </w:pPr>
            <w:r w:rsidRPr="00BF1905">
              <w:t>2,933</w:t>
            </w:r>
          </w:p>
        </w:tc>
        <w:tc>
          <w:tcPr>
            <w:tcW w:w="521" w:type="pct"/>
            <w:tcBorders>
              <w:top w:val="nil"/>
              <w:left w:val="nil"/>
              <w:bottom w:val="single" w:sz="4" w:space="0" w:color="293F5B"/>
              <w:right w:val="nil"/>
            </w:tcBorders>
            <w:shd w:val="clear" w:color="000000" w:fill="E6F2FF"/>
            <w:noWrap/>
            <w:vAlign w:val="center"/>
            <w:hideMark/>
          </w:tcPr>
          <w:p w14:paraId="2BB5E51A" w14:textId="1094B8F5" w:rsidR="001F2723" w:rsidRPr="009D52D8" w:rsidRDefault="001F2723" w:rsidP="003B5764">
            <w:pPr>
              <w:pStyle w:val="TableTextRight"/>
            </w:pPr>
            <w:r>
              <w:t>2,958</w:t>
            </w:r>
          </w:p>
        </w:tc>
        <w:tc>
          <w:tcPr>
            <w:tcW w:w="521" w:type="pct"/>
            <w:tcBorders>
              <w:top w:val="nil"/>
              <w:left w:val="nil"/>
              <w:bottom w:val="single" w:sz="4" w:space="0" w:color="293F5B"/>
              <w:right w:val="nil"/>
            </w:tcBorders>
            <w:shd w:val="clear" w:color="000000" w:fill="FFFFFF"/>
            <w:noWrap/>
            <w:vAlign w:val="center"/>
            <w:hideMark/>
          </w:tcPr>
          <w:p w14:paraId="7C22CECA" w14:textId="6976E559" w:rsidR="001F2723" w:rsidRPr="009D52D8" w:rsidRDefault="001F2723" w:rsidP="003B5764">
            <w:pPr>
              <w:pStyle w:val="TableTextRight"/>
            </w:pPr>
            <w:r>
              <w:t>2,961</w:t>
            </w:r>
          </w:p>
        </w:tc>
        <w:tc>
          <w:tcPr>
            <w:tcW w:w="521" w:type="pct"/>
            <w:tcBorders>
              <w:top w:val="nil"/>
              <w:left w:val="nil"/>
              <w:bottom w:val="single" w:sz="4" w:space="0" w:color="293F5B"/>
              <w:right w:val="nil"/>
            </w:tcBorders>
            <w:shd w:val="clear" w:color="000000" w:fill="FFFFFF"/>
            <w:noWrap/>
            <w:vAlign w:val="center"/>
            <w:hideMark/>
          </w:tcPr>
          <w:p w14:paraId="5E640C00" w14:textId="47D0FEC4" w:rsidR="001F2723" w:rsidRPr="009D52D8" w:rsidRDefault="001F2723" w:rsidP="003B5764">
            <w:pPr>
              <w:pStyle w:val="TableTextRight"/>
            </w:pPr>
            <w:r>
              <w:t>2,971</w:t>
            </w:r>
          </w:p>
        </w:tc>
        <w:tc>
          <w:tcPr>
            <w:tcW w:w="532" w:type="pct"/>
            <w:tcBorders>
              <w:top w:val="nil"/>
              <w:left w:val="nil"/>
              <w:bottom w:val="single" w:sz="4" w:space="0" w:color="293F5B"/>
              <w:right w:val="nil"/>
            </w:tcBorders>
            <w:shd w:val="clear" w:color="000000" w:fill="FFFFFF"/>
            <w:noWrap/>
            <w:vAlign w:val="center"/>
            <w:hideMark/>
          </w:tcPr>
          <w:p w14:paraId="3F2D3624" w14:textId="70F99DD3" w:rsidR="001F2723" w:rsidRPr="009D52D8" w:rsidRDefault="001F2723" w:rsidP="003B5764">
            <w:pPr>
              <w:pStyle w:val="TableTextRight"/>
            </w:pPr>
            <w:r>
              <w:t>2,984</w:t>
            </w:r>
          </w:p>
        </w:tc>
      </w:tr>
      <w:tr w:rsidR="001F2723" w:rsidRPr="009D52D8" w14:paraId="71199FD4" w14:textId="77777777" w:rsidTr="003F2CBE">
        <w:trPr>
          <w:trHeight w:val="225"/>
        </w:trPr>
        <w:tc>
          <w:tcPr>
            <w:tcW w:w="2382" w:type="pct"/>
            <w:tcBorders>
              <w:top w:val="nil"/>
              <w:left w:val="nil"/>
              <w:bottom w:val="nil"/>
              <w:right w:val="nil"/>
            </w:tcBorders>
            <w:shd w:val="clear" w:color="000000" w:fill="FFFFFF"/>
            <w:noWrap/>
            <w:vAlign w:val="center"/>
            <w:hideMark/>
          </w:tcPr>
          <w:p w14:paraId="6896353E" w14:textId="77777777" w:rsidR="001F2723" w:rsidRPr="009D52D8" w:rsidRDefault="001F2723" w:rsidP="003B5764">
            <w:pPr>
              <w:pStyle w:val="TableTextLeft"/>
              <w:rPr>
                <w:b/>
              </w:rPr>
            </w:pPr>
            <w:r w:rsidRPr="009D52D8">
              <w:rPr>
                <w:b/>
              </w:rPr>
              <w:t>Total suppliers payables</w:t>
            </w:r>
          </w:p>
        </w:tc>
        <w:tc>
          <w:tcPr>
            <w:tcW w:w="521" w:type="pct"/>
            <w:tcBorders>
              <w:top w:val="single" w:sz="4" w:space="0" w:color="293F5B"/>
              <w:left w:val="nil"/>
              <w:bottom w:val="single" w:sz="4" w:space="0" w:color="293F5B"/>
              <w:right w:val="nil"/>
            </w:tcBorders>
            <w:shd w:val="clear" w:color="000000" w:fill="FFFFFF"/>
            <w:noWrap/>
            <w:vAlign w:val="center"/>
            <w:hideMark/>
          </w:tcPr>
          <w:p w14:paraId="6585819C" w14:textId="39ED2C08" w:rsidR="001F2723" w:rsidRPr="009D52D8" w:rsidRDefault="001F2723" w:rsidP="003B5764">
            <w:pPr>
              <w:pStyle w:val="TableTextRight"/>
              <w:rPr>
                <w:b/>
              </w:rPr>
            </w:pPr>
            <w:r>
              <w:rPr>
                <w:b/>
              </w:rPr>
              <w:t>13,305</w:t>
            </w:r>
          </w:p>
        </w:tc>
        <w:tc>
          <w:tcPr>
            <w:tcW w:w="521" w:type="pct"/>
            <w:tcBorders>
              <w:top w:val="single" w:sz="4" w:space="0" w:color="293F5B"/>
              <w:left w:val="nil"/>
              <w:bottom w:val="single" w:sz="4" w:space="0" w:color="293F5B"/>
              <w:right w:val="nil"/>
            </w:tcBorders>
            <w:shd w:val="clear" w:color="000000" w:fill="E6F2FF"/>
            <w:noWrap/>
            <w:vAlign w:val="center"/>
            <w:hideMark/>
          </w:tcPr>
          <w:p w14:paraId="4DCA21B3" w14:textId="6EADEE52" w:rsidR="001F2723" w:rsidRPr="009D52D8" w:rsidRDefault="001F2723" w:rsidP="003B5764">
            <w:pPr>
              <w:pStyle w:val="TableTextRight"/>
              <w:rPr>
                <w:b/>
              </w:rPr>
            </w:pPr>
            <w:r>
              <w:rPr>
                <w:b/>
              </w:rPr>
              <w:t>13,582</w:t>
            </w:r>
          </w:p>
        </w:tc>
        <w:tc>
          <w:tcPr>
            <w:tcW w:w="521" w:type="pct"/>
            <w:tcBorders>
              <w:top w:val="single" w:sz="4" w:space="0" w:color="293F5B"/>
              <w:left w:val="nil"/>
              <w:bottom w:val="single" w:sz="4" w:space="0" w:color="293F5B"/>
              <w:right w:val="nil"/>
            </w:tcBorders>
            <w:shd w:val="clear" w:color="000000" w:fill="FFFFFF"/>
            <w:noWrap/>
            <w:vAlign w:val="center"/>
            <w:hideMark/>
          </w:tcPr>
          <w:p w14:paraId="5E7BBCAC" w14:textId="15E8A02A" w:rsidR="001F2723" w:rsidRPr="009D52D8" w:rsidRDefault="001F2723" w:rsidP="003B5764">
            <w:pPr>
              <w:pStyle w:val="TableTextRight"/>
              <w:rPr>
                <w:b/>
              </w:rPr>
            </w:pPr>
            <w:r>
              <w:rPr>
                <w:b/>
              </w:rPr>
              <w:t>13,753</w:t>
            </w:r>
          </w:p>
        </w:tc>
        <w:tc>
          <w:tcPr>
            <w:tcW w:w="521" w:type="pct"/>
            <w:tcBorders>
              <w:top w:val="single" w:sz="4" w:space="0" w:color="293F5B"/>
              <w:left w:val="nil"/>
              <w:bottom w:val="single" w:sz="4" w:space="0" w:color="293F5B"/>
              <w:right w:val="nil"/>
            </w:tcBorders>
            <w:shd w:val="clear" w:color="000000" w:fill="FFFFFF"/>
            <w:noWrap/>
            <w:vAlign w:val="center"/>
            <w:hideMark/>
          </w:tcPr>
          <w:p w14:paraId="4C01FADC" w14:textId="149D0311" w:rsidR="001F2723" w:rsidRPr="009D52D8" w:rsidRDefault="001F2723" w:rsidP="003B5764">
            <w:pPr>
              <w:pStyle w:val="TableTextRight"/>
              <w:rPr>
                <w:b/>
              </w:rPr>
            </w:pPr>
            <w:r>
              <w:rPr>
                <w:b/>
              </w:rPr>
              <w:t>14,042</w:t>
            </w:r>
          </w:p>
        </w:tc>
        <w:tc>
          <w:tcPr>
            <w:tcW w:w="532" w:type="pct"/>
            <w:tcBorders>
              <w:top w:val="single" w:sz="4" w:space="0" w:color="293F5B"/>
              <w:left w:val="nil"/>
              <w:bottom w:val="single" w:sz="4" w:space="0" w:color="293F5B"/>
              <w:right w:val="nil"/>
            </w:tcBorders>
            <w:shd w:val="clear" w:color="000000" w:fill="FFFFFF"/>
            <w:noWrap/>
            <w:vAlign w:val="center"/>
            <w:hideMark/>
          </w:tcPr>
          <w:p w14:paraId="0301A4BD" w14:textId="0BE3E6B2" w:rsidR="001F2723" w:rsidRPr="009D52D8" w:rsidRDefault="001F2723" w:rsidP="003B5764">
            <w:pPr>
              <w:pStyle w:val="TableTextRight"/>
              <w:rPr>
                <w:b/>
              </w:rPr>
            </w:pPr>
            <w:r>
              <w:rPr>
                <w:b/>
              </w:rPr>
              <w:t>14,573</w:t>
            </w:r>
          </w:p>
        </w:tc>
      </w:tr>
      <w:tr w:rsidR="00E07EF1" w:rsidRPr="009D52D8" w14:paraId="7776AE3D" w14:textId="77777777" w:rsidTr="003F2CBE">
        <w:trPr>
          <w:trHeight w:val="225"/>
        </w:trPr>
        <w:tc>
          <w:tcPr>
            <w:tcW w:w="2382" w:type="pct"/>
            <w:tcBorders>
              <w:top w:val="nil"/>
              <w:left w:val="nil"/>
              <w:bottom w:val="nil"/>
              <w:right w:val="nil"/>
            </w:tcBorders>
            <w:shd w:val="clear" w:color="000000" w:fill="FFFFFF"/>
            <w:noWrap/>
            <w:vAlign w:val="center"/>
            <w:hideMark/>
          </w:tcPr>
          <w:p w14:paraId="1BEFBF12" w14:textId="3159A04F" w:rsidR="00E07EF1" w:rsidRPr="009D52D8" w:rsidRDefault="00E07EF1" w:rsidP="003B5764">
            <w:pPr>
              <w:pStyle w:val="TableTextLeft"/>
              <w:rPr>
                <w:b/>
              </w:rPr>
            </w:pPr>
            <w:r w:rsidRPr="009D52D8">
              <w:rPr>
                <w:b/>
              </w:rPr>
              <w:t>Total personal benefits payables</w:t>
            </w:r>
            <w:r>
              <w:rPr>
                <w:b/>
              </w:rPr>
              <w:t xml:space="preserve"> </w:t>
            </w:r>
            <w:r w:rsidR="00480091">
              <w:rPr>
                <w:b/>
                <w:bCs/>
              </w:rPr>
              <w:t>–</w:t>
            </w:r>
            <w:r>
              <w:rPr>
                <w:b/>
              </w:rPr>
              <w:t xml:space="preserve"> </w:t>
            </w:r>
            <w:r w:rsidRPr="009D52D8">
              <w:rPr>
                <w:b/>
              </w:rPr>
              <w:t>direct</w:t>
            </w:r>
          </w:p>
        </w:tc>
        <w:tc>
          <w:tcPr>
            <w:tcW w:w="521" w:type="pct"/>
            <w:tcBorders>
              <w:top w:val="nil"/>
              <w:left w:val="nil"/>
              <w:bottom w:val="single" w:sz="4" w:space="0" w:color="293F5B"/>
              <w:right w:val="nil"/>
            </w:tcBorders>
            <w:shd w:val="clear" w:color="000000" w:fill="FFFFFF"/>
            <w:noWrap/>
            <w:vAlign w:val="center"/>
            <w:hideMark/>
          </w:tcPr>
          <w:p w14:paraId="5781E304" w14:textId="26EAC601" w:rsidR="00E07EF1" w:rsidRPr="009D52D8" w:rsidRDefault="00E07EF1" w:rsidP="003B5764">
            <w:pPr>
              <w:pStyle w:val="TableTextRight"/>
              <w:rPr>
                <w:b/>
              </w:rPr>
            </w:pPr>
            <w:r>
              <w:rPr>
                <w:b/>
              </w:rPr>
              <w:t>3,991</w:t>
            </w:r>
          </w:p>
        </w:tc>
        <w:tc>
          <w:tcPr>
            <w:tcW w:w="521" w:type="pct"/>
            <w:tcBorders>
              <w:top w:val="nil"/>
              <w:left w:val="nil"/>
              <w:bottom w:val="single" w:sz="4" w:space="0" w:color="293F5B"/>
              <w:right w:val="nil"/>
            </w:tcBorders>
            <w:shd w:val="clear" w:color="000000" w:fill="E6F2FF"/>
            <w:noWrap/>
            <w:vAlign w:val="center"/>
            <w:hideMark/>
          </w:tcPr>
          <w:p w14:paraId="2CEEE340" w14:textId="76E9EE3C" w:rsidR="00E07EF1" w:rsidRPr="009D52D8" w:rsidRDefault="00E07EF1" w:rsidP="003B5764">
            <w:pPr>
              <w:pStyle w:val="TableTextRight"/>
              <w:rPr>
                <w:b/>
              </w:rPr>
            </w:pPr>
            <w:r>
              <w:rPr>
                <w:b/>
              </w:rPr>
              <w:t>4,096</w:t>
            </w:r>
          </w:p>
        </w:tc>
        <w:tc>
          <w:tcPr>
            <w:tcW w:w="521" w:type="pct"/>
            <w:tcBorders>
              <w:top w:val="nil"/>
              <w:left w:val="nil"/>
              <w:bottom w:val="single" w:sz="4" w:space="0" w:color="293F5B"/>
              <w:right w:val="nil"/>
            </w:tcBorders>
            <w:shd w:val="clear" w:color="000000" w:fill="FFFFFF"/>
            <w:noWrap/>
            <w:vAlign w:val="center"/>
            <w:hideMark/>
          </w:tcPr>
          <w:p w14:paraId="6390DD13" w14:textId="59FD774C" w:rsidR="00E07EF1" w:rsidRPr="009D52D8" w:rsidRDefault="00E07EF1" w:rsidP="003B5764">
            <w:pPr>
              <w:pStyle w:val="TableTextRight"/>
              <w:rPr>
                <w:b/>
              </w:rPr>
            </w:pPr>
            <w:r>
              <w:rPr>
                <w:b/>
              </w:rPr>
              <w:t>4,598</w:t>
            </w:r>
          </w:p>
        </w:tc>
        <w:tc>
          <w:tcPr>
            <w:tcW w:w="521" w:type="pct"/>
            <w:tcBorders>
              <w:top w:val="nil"/>
              <w:left w:val="nil"/>
              <w:bottom w:val="single" w:sz="4" w:space="0" w:color="293F5B"/>
              <w:right w:val="nil"/>
            </w:tcBorders>
            <w:shd w:val="clear" w:color="000000" w:fill="FFFFFF"/>
            <w:noWrap/>
            <w:vAlign w:val="center"/>
            <w:hideMark/>
          </w:tcPr>
          <w:p w14:paraId="477DFF0A" w14:textId="207B270F" w:rsidR="00E07EF1" w:rsidRPr="009D52D8" w:rsidRDefault="00E07EF1" w:rsidP="003B5764">
            <w:pPr>
              <w:pStyle w:val="TableTextRight"/>
              <w:rPr>
                <w:b/>
              </w:rPr>
            </w:pPr>
            <w:r>
              <w:rPr>
                <w:b/>
              </w:rPr>
              <w:t>4,570</w:t>
            </w:r>
          </w:p>
        </w:tc>
        <w:tc>
          <w:tcPr>
            <w:tcW w:w="532" w:type="pct"/>
            <w:tcBorders>
              <w:top w:val="nil"/>
              <w:left w:val="nil"/>
              <w:bottom w:val="single" w:sz="4" w:space="0" w:color="293F5B"/>
              <w:right w:val="nil"/>
            </w:tcBorders>
            <w:shd w:val="clear" w:color="000000" w:fill="FFFFFF"/>
            <w:noWrap/>
            <w:vAlign w:val="center"/>
            <w:hideMark/>
          </w:tcPr>
          <w:p w14:paraId="47ADF401" w14:textId="3150ED5E" w:rsidR="00E07EF1" w:rsidRPr="009D52D8" w:rsidRDefault="00E07EF1" w:rsidP="003B5764">
            <w:pPr>
              <w:pStyle w:val="TableTextRight"/>
              <w:rPr>
                <w:b/>
              </w:rPr>
            </w:pPr>
            <w:r>
              <w:rPr>
                <w:b/>
              </w:rPr>
              <w:t>4,406</w:t>
            </w:r>
          </w:p>
        </w:tc>
      </w:tr>
      <w:tr w:rsidR="00E07EF1" w:rsidRPr="009D52D8" w14:paraId="6229DB7B" w14:textId="77777777" w:rsidTr="003F2CBE">
        <w:trPr>
          <w:trHeight w:val="225"/>
        </w:trPr>
        <w:tc>
          <w:tcPr>
            <w:tcW w:w="2382" w:type="pct"/>
            <w:tcBorders>
              <w:top w:val="nil"/>
              <w:left w:val="nil"/>
              <w:bottom w:val="nil"/>
              <w:right w:val="nil"/>
            </w:tcBorders>
            <w:shd w:val="clear" w:color="000000" w:fill="FFFFFF"/>
            <w:noWrap/>
            <w:vAlign w:val="center"/>
            <w:hideMark/>
          </w:tcPr>
          <w:p w14:paraId="5A29E0C6" w14:textId="77777777" w:rsidR="00E07EF1" w:rsidRPr="009D52D8" w:rsidRDefault="00E07EF1" w:rsidP="003B5764">
            <w:pPr>
              <w:pStyle w:val="TableTextLeft"/>
              <w:rPr>
                <w:b/>
              </w:rPr>
            </w:pPr>
            <w:r w:rsidRPr="009D52D8">
              <w:rPr>
                <w:b/>
              </w:rPr>
              <w:t>Total subsidies payable</w:t>
            </w:r>
          </w:p>
        </w:tc>
        <w:tc>
          <w:tcPr>
            <w:tcW w:w="521" w:type="pct"/>
            <w:tcBorders>
              <w:top w:val="nil"/>
              <w:left w:val="nil"/>
              <w:bottom w:val="single" w:sz="4" w:space="0" w:color="293F5B"/>
              <w:right w:val="nil"/>
            </w:tcBorders>
            <w:shd w:val="clear" w:color="000000" w:fill="FFFFFF"/>
            <w:noWrap/>
            <w:vAlign w:val="center"/>
            <w:hideMark/>
          </w:tcPr>
          <w:p w14:paraId="13A0EF97" w14:textId="11AAB9C7" w:rsidR="00E07EF1" w:rsidRPr="009D52D8" w:rsidRDefault="00E07EF1" w:rsidP="003B5764">
            <w:pPr>
              <w:pStyle w:val="TableTextRight"/>
              <w:rPr>
                <w:b/>
              </w:rPr>
            </w:pPr>
            <w:r>
              <w:rPr>
                <w:b/>
              </w:rPr>
              <w:t>550</w:t>
            </w:r>
          </w:p>
        </w:tc>
        <w:tc>
          <w:tcPr>
            <w:tcW w:w="521" w:type="pct"/>
            <w:tcBorders>
              <w:top w:val="nil"/>
              <w:left w:val="nil"/>
              <w:bottom w:val="single" w:sz="4" w:space="0" w:color="293F5B"/>
              <w:right w:val="nil"/>
            </w:tcBorders>
            <w:shd w:val="clear" w:color="000000" w:fill="E6F2FF"/>
            <w:noWrap/>
            <w:vAlign w:val="center"/>
            <w:hideMark/>
          </w:tcPr>
          <w:p w14:paraId="20142E4D" w14:textId="3A0C2877" w:rsidR="00E07EF1" w:rsidRPr="009D52D8" w:rsidRDefault="00E07EF1" w:rsidP="003B5764">
            <w:pPr>
              <w:pStyle w:val="TableTextRight"/>
              <w:rPr>
                <w:b/>
              </w:rPr>
            </w:pPr>
            <w:r>
              <w:rPr>
                <w:b/>
              </w:rPr>
              <w:t>535</w:t>
            </w:r>
          </w:p>
        </w:tc>
        <w:tc>
          <w:tcPr>
            <w:tcW w:w="521" w:type="pct"/>
            <w:tcBorders>
              <w:top w:val="nil"/>
              <w:left w:val="nil"/>
              <w:bottom w:val="single" w:sz="4" w:space="0" w:color="293F5B"/>
              <w:right w:val="nil"/>
            </w:tcBorders>
            <w:shd w:val="clear" w:color="000000" w:fill="FFFFFF"/>
            <w:noWrap/>
            <w:vAlign w:val="center"/>
            <w:hideMark/>
          </w:tcPr>
          <w:p w14:paraId="41410D86" w14:textId="647CAAAA" w:rsidR="00E07EF1" w:rsidRPr="009D52D8" w:rsidRDefault="00E07EF1" w:rsidP="003B5764">
            <w:pPr>
              <w:pStyle w:val="TableTextRight"/>
              <w:rPr>
                <w:b/>
              </w:rPr>
            </w:pPr>
            <w:r>
              <w:rPr>
                <w:b/>
              </w:rPr>
              <w:t>528</w:t>
            </w:r>
          </w:p>
        </w:tc>
        <w:tc>
          <w:tcPr>
            <w:tcW w:w="521" w:type="pct"/>
            <w:tcBorders>
              <w:top w:val="nil"/>
              <w:left w:val="nil"/>
              <w:bottom w:val="single" w:sz="4" w:space="0" w:color="293F5B"/>
              <w:right w:val="nil"/>
            </w:tcBorders>
            <w:shd w:val="clear" w:color="000000" w:fill="FFFFFF"/>
            <w:noWrap/>
            <w:vAlign w:val="center"/>
            <w:hideMark/>
          </w:tcPr>
          <w:p w14:paraId="77B0A771" w14:textId="6E43DA90" w:rsidR="00E07EF1" w:rsidRPr="009D52D8" w:rsidRDefault="00E07EF1" w:rsidP="003B5764">
            <w:pPr>
              <w:pStyle w:val="TableTextRight"/>
              <w:rPr>
                <w:b/>
              </w:rPr>
            </w:pPr>
            <w:r>
              <w:rPr>
                <w:b/>
              </w:rPr>
              <w:t>519</w:t>
            </w:r>
          </w:p>
        </w:tc>
        <w:tc>
          <w:tcPr>
            <w:tcW w:w="532" w:type="pct"/>
            <w:tcBorders>
              <w:top w:val="nil"/>
              <w:left w:val="nil"/>
              <w:bottom w:val="single" w:sz="4" w:space="0" w:color="293F5B"/>
              <w:right w:val="nil"/>
            </w:tcBorders>
            <w:shd w:val="clear" w:color="000000" w:fill="FFFFFF"/>
            <w:noWrap/>
            <w:vAlign w:val="center"/>
            <w:hideMark/>
          </w:tcPr>
          <w:p w14:paraId="4F148B1E" w14:textId="65A1F895" w:rsidR="00E07EF1" w:rsidRPr="009D52D8" w:rsidRDefault="00E07EF1" w:rsidP="003B5764">
            <w:pPr>
              <w:pStyle w:val="TableTextRight"/>
              <w:rPr>
                <w:b/>
              </w:rPr>
            </w:pPr>
            <w:r>
              <w:rPr>
                <w:b/>
              </w:rPr>
              <w:t>519</w:t>
            </w:r>
          </w:p>
        </w:tc>
      </w:tr>
      <w:tr w:rsidR="009D52D8" w:rsidRPr="009D52D8" w14:paraId="03B34349" w14:textId="77777777" w:rsidTr="003F2CBE">
        <w:trPr>
          <w:trHeight w:val="225"/>
        </w:trPr>
        <w:tc>
          <w:tcPr>
            <w:tcW w:w="2382" w:type="pct"/>
            <w:tcBorders>
              <w:top w:val="nil"/>
              <w:left w:val="nil"/>
              <w:bottom w:val="nil"/>
              <w:right w:val="nil"/>
            </w:tcBorders>
            <w:shd w:val="clear" w:color="000000" w:fill="FFFFFF"/>
            <w:noWrap/>
            <w:vAlign w:val="center"/>
            <w:hideMark/>
          </w:tcPr>
          <w:p w14:paraId="49D0BA63" w14:textId="77777777" w:rsidR="009D52D8" w:rsidRPr="009D52D8" w:rsidRDefault="009D52D8" w:rsidP="003B5764">
            <w:pPr>
              <w:pStyle w:val="TableTextLeft"/>
              <w:rPr>
                <w:b/>
              </w:rPr>
            </w:pPr>
            <w:r w:rsidRPr="009D52D8">
              <w:rPr>
                <w:b/>
              </w:rPr>
              <w:t>Grants payables</w:t>
            </w:r>
          </w:p>
        </w:tc>
        <w:tc>
          <w:tcPr>
            <w:tcW w:w="521" w:type="pct"/>
            <w:tcBorders>
              <w:top w:val="nil"/>
              <w:left w:val="nil"/>
              <w:bottom w:val="nil"/>
              <w:right w:val="nil"/>
            </w:tcBorders>
            <w:shd w:val="clear" w:color="000000" w:fill="FFFFFF"/>
            <w:noWrap/>
            <w:vAlign w:val="center"/>
            <w:hideMark/>
          </w:tcPr>
          <w:p w14:paraId="678B36F0"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E6F2FF"/>
            <w:noWrap/>
            <w:vAlign w:val="center"/>
            <w:hideMark/>
          </w:tcPr>
          <w:p w14:paraId="62C78042"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1A905379"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2DDF0739" w14:textId="77777777" w:rsidR="009D52D8" w:rsidRPr="009D52D8" w:rsidRDefault="009D52D8" w:rsidP="003B5764">
            <w:pPr>
              <w:pStyle w:val="TableTextRight"/>
            </w:pPr>
            <w:r w:rsidRPr="009D52D8">
              <w:t> </w:t>
            </w:r>
          </w:p>
        </w:tc>
        <w:tc>
          <w:tcPr>
            <w:tcW w:w="532" w:type="pct"/>
            <w:tcBorders>
              <w:top w:val="nil"/>
              <w:left w:val="nil"/>
              <w:bottom w:val="nil"/>
              <w:right w:val="nil"/>
            </w:tcBorders>
            <w:shd w:val="clear" w:color="000000" w:fill="FFFFFF"/>
            <w:noWrap/>
            <w:vAlign w:val="center"/>
            <w:hideMark/>
          </w:tcPr>
          <w:p w14:paraId="6024ED5F" w14:textId="77777777" w:rsidR="009D52D8" w:rsidRPr="009D52D8" w:rsidRDefault="009D52D8" w:rsidP="003B5764">
            <w:pPr>
              <w:pStyle w:val="TableTextRight"/>
            </w:pPr>
            <w:r w:rsidRPr="009D52D8">
              <w:t> </w:t>
            </w:r>
          </w:p>
        </w:tc>
      </w:tr>
      <w:tr w:rsidR="00E07EF1" w:rsidRPr="009D52D8" w14:paraId="08898356" w14:textId="77777777" w:rsidTr="003F2CBE">
        <w:trPr>
          <w:trHeight w:val="225"/>
        </w:trPr>
        <w:tc>
          <w:tcPr>
            <w:tcW w:w="2382" w:type="pct"/>
            <w:tcBorders>
              <w:top w:val="nil"/>
              <w:left w:val="nil"/>
              <w:bottom w:val="nil"/>
              <w:right w:val="nil"/>
            </w:tcBorders>
            <w:shd w:val="clear" w:color="000000" w:fill="FFFFFF"/>
            <w:noWrap/>
            <w:vAlign w:val="center"/>
            <w:hideMark/>
          </w:tcPr>
          <w:p w14:paraId="0F28FEF8" w14:textId="77777777" w:rsidR="00E07EF1" w:rsidRPr="009D52D8" w:rsidRDefault="00E07EF1" w:rsidP="003B5764">
            <w:pPr>
              <w:pStyle w:val="TableTextIndented"/>
            </w:pPr>
            <w:r w:rsidRPr="009D52D8">
              <w:t>State and territory governments</w:t>
            </w:r>
          </w:p>
        </w:tc>
        <w:tc>
          <w:tcPr>
            <w:tcW w:w="521" w:type="pct"/>
            <w:tcBorders>
              <w:top w:val="nil"/>
              <w:left w:val="nil"/>
              <w:bottom w:val="nil"/>
              <w:right w:val="nil"/>
            </w:tcBorders>
            <w:shd w:val="clear" w:color="000000" w:fill="FFFFFF"/>
            <w:noWrap/>
            <w:vAlign w:val="center"/>
            <w:hideMark/>
          </w:tcPr>
          <w:p w14:paraId="32CA3375" w14:textId="310E8DDB" w:rsidR="00E07EF1" w:rsidRPr="009D52D8" w:rsidRDefault="00E07EF1" w:rsidP="003B5764">
            <w:pPr>
              <w:pStyle w:val="TableTextRight"/>
            </w:pPr>
            <w:r>
              <w:t>325</w:t>
            </w:r>
          </w:p>
        </w:tc>
        <w:tc>
          <w:tcPr>
            <w:tcW w:w="521" w:type="pct"/>
            <w:tcBorders>
              <w:top w:val="nil"/>
              <w:left w:val="nil"/>
              <w:bottom w:val="nil"/>
              <w:right w:val="nil"/>
            </w:tcBorders>
            <w:shd w:val="clear" w:color="000000" w:fill="E6F2FF"/>
            <w:noWrap/>
            <w:vAlign w:val="center"/>
            <w:hideMark/>
          </w:tcPr>
          <w:p w14:paraId="1224CE4C" w14:textId="368CBAE2" w:rsidR="00E07EF1" w:rsidRPr="009D52D8" w:rsidRDefault="00E07EF1" w:rsidP="003B5764">
            <w:pPr>
              <w:pStyle w:val="TableTextRight"/>
            </w:pPr>
            <w:r>
              <w:t>192</w:t>
            </w:r>
          </w:p>
        </w:tc>
        <w:tc>
          <w:tcPr>
            <w:tcW w:w="521" w:type="pct"/>
            <w:tcBorders>
              <w:top w:val="nil"/>
              <w:left w:val="nil"/>
              <w:bottom w:val="nil"/>
              <w:right w:val="nil"/>
            </w:tcBorders>
            <w:shd w:val="clear" w:color="000000" w:fill="FFFFFF"/>
            <w:noWrap/>
            <w:vAlign w:val="center"/>
            <w:hideMark/>
          </w:tcPr>
          <w:p w14:paraId="290AF554" w14:textId="6AA1EE88" w:rsidR="00E07EF1" w:rsidRPr="009D52D8" w:rsidRDefault="00E07EF1" w:rsidP="003B5764">
            <w:pPr>
              <w:pStyle w:val="TableTextRight"/>
            </w:pPr>
            <w:r>
              <w:t>183</w:t>
            </w:r>
          </w:p>
        </w:tc>
        <w:tc>
          <w:tcPr>
            <w:tcW w:w="521" w:type="pct"/>
            <w:tcBorders>
              <w:top w:val="nil"/>
              <w:left w:val="nil"/>
              <w:bottom w:val="nil"/>
              <w:right w:val="nil"/>
            </w:tcBorders>
            <w:shd w:val="clear" w:color="000000" w:fill="FFFFFF"/>
            <w:noWrap/>
            <w:vAlign w:val="center"/>
            <w:hideMark/>
          </w:tcPr>
          <w:p w14:paraId="24726871" w14:textId="3E45BE3B" w:rsidR="00E07EF1" w:rsidRPr="009D52D8" w:rsidRDefault="00E07EF1" w:rsidP="003B5764">
            <w:pPr>
              <w:pStyle w:val="TableTextRight"/>
            </w:pPr>
            <w:r>
              <w:t>174</w:t>
            </w:r>
          </w:p>
        </w:tc>
        <w:tc>
          <w:tcPr>
            <w:tcW w:w="532" w:type="pct"/>
            <w:tcBorders>
              <w:top w:val="nil"/>
              <w:left w:val="nil"/>
              <w:bottom w:val="nil"/>
              <w:right w:val="nil"/>
            </w:tcBorders>
            <w:shd w:val="clear" w:color="000000" w:fill="FFFFFF"/>
            <w:noWrap/>
            <w:vAlign w:val="center"/>
            <w:hideMark/>
          </w:tcPr>
          <w:p w14:paraId="541D711F" w14:textId="4BF0E500" w:rsidR="00E07EF1" w:rsidRPr="009D52D8" w:rsidRDefault="00E07EF1" w:rsidP="003B5764">
            <w:pPr>
              <w:pStyle w:val="TableTextRight"/>
            </w:pPr>
            <w:r>
              <w:t>179</w:t>
            </w:r>
          </w:p>
        </w:tc>
      </w:tr>
      <w:tr w:rsidR="00E07EF1" w:rsidRPr="009D52D8" w14:paraId="684AA989" w14:textId="77777777" w:rsidTr="003F2CBE">
        <w:trPr>
          <w:trHeight w:val="225"/>
        </w:trPr>
        <w:tc>
          <w:tcPr>
            <w:tcW w:w="2382" w:type="pct"/>
            <w:tcBorders>
              <w:top w:val="nil"/>
              <w:left w:val="nil"/>
              <w:bottom w:val="nil"/>
              <w:right w:val="nil"/>
            </w:tcBorders>
            <w:shd w:val="clear" w:color="000000" w:fill="FFFFFF"/>
            <w:noWrap/>
            <w:vAlign w:val="center"/>
            <w:hideMark/>
          </w:tcPr>
          <w:p w14:paraId="1E804240" w14:textId="38525CEA" w:rsidR="00E07EF1" w:rsidRPr="009D52D8" w:rsidRDefault="00E07EF1" w:rsidP="003B5764">
            <w:pPr>
              <w:pStyle w:val="TableTextIndented"/>
            </w:pPr>
            <w:r w:rsidRPr="009D52D8">
              <w:t>Non</w:t>
            </w:r>
            <w:r w:rsidR="00325E1E">
              <w:noBreakHyphen/>
            </w:r>
            <w:r w:rsidRPr="009D52D8">
              <w:t>profit organisations</w:t>
            </w:r>
          </w:p>
        </w:tc>
        <w:tc>
          <w:tcPr>
            <w:tcW w:w="521" w:type="pct"/>
            <w:tcBorders>
              <w:top w:val="nil"/>
              <w:left w:val="nil"/>
              <w:bottom w:val="nil"/>
              <w:right w:val="nil"/>
            </w:tcBorders>
            <w:shd w:val="clear" w:color="000000" w:fill="FFFFFF"/>
            <w:noWrap/>
            <w:vAlign w:val="center"/>
            <w:hideMark/>
          </w:tcPr>
          <w:p w14:paraId="397A5A15" w14:textId="2D2B55CB" w:rsidR="00E07EF1" w:rsidRPr="009D52D8" w:rsidRDefault="00E07EF1" w:rsidP="003B5764">
            <w:pPr>
              <w:pStyle w:val="TableTextRight"/>
            </w:pPr>
            <w:r>
              <w:t>556</w:t>
            </w:r>
          </w:p>
        </w:tc>
        <w:tc>
          <w:tcPr>
            <w:tcW w:w="521" w:type="pct"/>
            <w:tcBorders>
              <w:top w:val="nil"/>
              <w:left w:val="nil"/>
              <w:bottom w:val="nil"/>
              <w:right w:val="nil"/>
            </w:tcBorders>
            <w:shd w:val="clear" w:color="000000" w:fill="E6F2FF"/>
            <w:noWrap/>
            <w:vAlign w:val="center"/>
            <w:hideMark/>
          </w:tcPr>
          <w:p w14:paraId="25DEA063" w14:textId="444DAC45" w:rsidR="00E07EF1" w:rsidRPr="009D52D8" w:rsidRDefault="00E07EF1" w:rsidP="003B5764">
            <w:pPr>
              <w:pStyle w:val="TableTextRight"/>
            </w:pPr>
            <w:r>
              <w:t>554</w:t>
            </w:r>
          </w:p>
        </w:tc>
        <w:tc>
          <w:tcPr>
            <w:tcW w:w="521" w:type="pct"/>
            <w:tcBorders>
              <w:top w:val="nil"/>
              <w:left w:val="nil"/>
              <w:bottom w:val="nil"/>
              <w:right w:val="nil"/>
            </w:tcBorders>
            <w:shd w:val="clear" w:color="000000" w:fill="FFFFFF"/>
            <w:noWrap/>
            <w:vAlign w:val="center"/>
            <w:hideMark/>
          </w:tcPr>
          <w:p w14:paraId="68BBB7C0" w14:textId="30E20FE3" w:rsidR="00E07EF1" w:rsidRPr="009D52D8" w:rsidRDefault="00E07EF1" w:rsidP="003B5764">
            <w:pPr>
              <w:pStyle w:val="TableTextRight"/>
            </w:pPr>
            <w:r>
              <w:t>555</w:t>
            </w:r>
          </w:p>
        </w:tc>
        <w:tc>
          <w:tcPr>
            <w:tcW w:w="521" w:type="pct"/>
            <w:tcBorders>
              <w:top w:val="nil"/>
              <w:left w:val="nil"/>
              <w:bottom w:val="nil"/>
              <w:right w:val="nil"/>
            </w:tcBorders>
            <w:shd w:val="clear" w:color="000000" w:fill="FFFFFF"/>
            <w:noWrap/>
            <w:vAlign w:val="center"/>
            <w:hideMark/>
          </w:tcPr>
          <w:p w14:paraId="04852D06" w14:textId="63769F1D" w:rsidR="00E07EF1" w:rsidRPr="009D52D8" w:rsidRDefault="00E07EF1" w:rsidP="003B5764">
            <w:pPr>
              <w:pStyle w:val="TableTextRight"/>
            </w:pPr>
            <w:r>
              <w:t>554</w:t>
            </w:r>
          </w:p>
        </w:tc>
        <w:tc>
          <w:tcPr>
            <w:tcW w:w="532" w:type="pct"/>
            <w:tcBorders>
              <w:top w:val="nil"/>
              <w:left w:val="nil"/>
              <w:bottom w:val="nil"/>
              <w:right w:val="nil"/>
            </w:tcBorders>
            <w:shd w:val="clear" w:color="000000" w:fill="FFFFFF"/>
            <w:noWrap/>
            <w:vAlign w:val="center"/>
            <w:hideMark/>
          </w:tcPr>
          <w:p w14:paraId="041D04B8" w14:textId="4FC6F66F" w:rsidR="00E07EF1" w:rsidRPr="009D52D8" w:rsidRDefault="00E07EF1" w:rsidP="003B5764">
            <w:pPr>
              <w:pStyle w:val="TableTextRight"/>
            </w:pPr>
            <w:r>
              <w:t>557</w:t>
            </w:r>
          </w:p>
        </w:tc>
      </w:tr>
      <w:tr w:rsidR="00E07EF1" w:rsidRPr="009D52D8" w14:paraId="14D9755C" w14:textId="77777777" w:rsidTr="003F2CBE">
        <w:trPr>
          <w:trHeight w:val="225"/>
        </w:trPr>
        <w:tc>
          <w:tcPr>
            <w:tcW w:w="2382" w:type="pct"/>
            <w:tcBorders>
              <w:top w:val="nil"/>
              <w:left w:val="nil"/>
              <w:bottom w:val="nil"/>
              <w:right w:val="nil"/>
            </w:tcBorders>
            <w:shd w:val="clear" w:color="000000" w:fill="FFFFFF"/>
            <w:noWrap/>
            <w:vAlign w:val="center"/>
            <w:hideMark/>
          </w:tcPr>
          <w:p w14:paraId="1356CA6F" w14:textId="77777777" w:rsidR="00E07EF1" w:rsidRPr="009D52D8" w:rsidRDefault="00E07EF1" w:rsidP="003B5764">
            <w:pPr>
              <w:pStyle w:val="TableTextIndented"/>
            </w:pPr>
            <w:r w:rsidRPr="009D52D8">
              <w:t>Private sector</w:t>
            </w:r>
          </w:p>
        </w:tc>
        <w:tc>
          <w:tcPr>
            <w:tcW w:w="521" w:type="pct"/>
            <w:tcBorders>
              <w:top w:val="nil"/>
              <w:left w:val="nil"/>
              <w:bottom w:val="nil"/>
              <w:right w:val="nil"/>
            </w:tcBorders>
            <w:shd w:val="clear" w:color="000000" w:fill="FFFFFF"/>
            <w:noWrap/>
            <w:vAlign w:val="center"/>
            <w:hideMark/>
          </w:tcPr>
          <w:p w14:paraId="03A0B9C1" w14:textId="6947E96C" w:rsidR="00E07EF1" w:rsidRPr="009D52D8" w:rsidRDefault="00E07EF1" w:rsidP="003B5764">
            <w:pPr>
              <w:pStyle w:val="TableTextRight"/>
            </w:pPr>
            <w:r>
              <w:t>253</w:t>
            </w:r>
          </w:p>
        </w:tc>
        <w:tc>
          <w:tcPr>
            <w:tcW w:w="521" w:type="pct"/>
            <w:tcBorders>
              <w:top w:val="nil"/>
              <w:left w:val="nil"/>
              <w:bottom w:val="nil"/>
              <w:right w:val="nil"/>
            </w:tcBorders>
            <w:shd w:val="clear" w:color="000000" w:fill="E6F2FF"/>
            <w:noWrap/>
            <w:vAlign w:val="center"/>
            <w:hideMark/>
          </w:tcPr>
          <w:p w14:paraId="4802C1C8" w14:textId="603B2939" w:rsidR="00E07EF1" w:rsidRPr="009D52D8" w:rsidRDefault="00E07EF1" w:rsidP="003B5764">
            <w:pPr>
              <w:pStyle w:val="TableTextRight"/>
            </w:pPr>
            <w:r>
              <w:t>247</w:t>
            </w:r>
          </w:p>
        </w:tc>
        <w:tc>
          <w:tcPr>
            <w:tcW w:w="521" w:type="pct"/>
            <w:tcBorders>
              <w:top w:val="nil"/>
              <w:left w:val="nil"/>
              <w:bottom w:val="nil"/>
              <w:right w:val="nil"/>
            </w:tcBorders>
            <w:shd w:val="clear" w:color="000000" w:fill="FFFFFF"/>
            <w:noWrap/>
            <w:vAlign w:val="center"/>
            <w:hideMark/>
          </w:tcPr>
          <w:p w14:paraId="2CD0F6FD" w14:textId="718890C1" w:rsidR="00E07EF1" w:rsidRPr="009D52D8" w:rsidRDefault="00E07EF1" w:rsidP="003B5764">
            <w:pPr>
              <w:pStyle w:val="TableTextRight"/>
            </w:pPr>
            <w:r>
              <w:t>247</w:t>
            </w:r>
          </w:p>
        </w:tc>
        <w:tc>
          <w:tcPr>
            <w:tcW w:w="521" w:type="pct"/>
            <w:tcBorders>
              <w:top w:val="nil"/>
              <w:left w:val="nil"/>
              <w:bottom w:val="nil"/>
              <w:right w:val="nil"/>
            </w:tcBorders>
            <w:shd w:val="clear" w:color="000000" w:fill="FFFFFF"/>
            <w:noWrap/>
            <w:vAlign w:val="center"/>
            <w:hideMark/>
          </w:tcPr>
          <w:p w14:paraId="67A01FE0" w14:textId="151EECA1" w:rsidR="00E07EF1" w:rsidRPr="009D52D8" w:rsidRDefault="00E07EF1" w:rsidP="003B5764">
            <w:pPr>
              <w:pStyle w:val="TableTextRight"/>
            </w:pPr>
            <w:r>
              <w:t>247</w:t>
            </w:r>
          </w:p>
        </w:tc>
        <w:tc>
          <w:tcPr>
            <w:tcW w:w="532" w:type="pct"/>
            <w:tcBorders>
              <w:top w:val="nil"/>
              <w:left w:val="nil"/>
              <w:bottom w:val="nil"/>
              <w:right w:val="nil"/>
            </w:tcBorders>
            <w:shd w:val="clear" w:color="000000" w:fill="FFFFFF"/>
            <w:noWrap/>
            <w:vAlign w:val="center"/>
            <w:hideMark/>
          </w:tcPr>
          <w:p w14:paraId="04F3B7A9" w14:textId="6DEBD6F1" w:rsidR="00E07EF1" w:rsidRPr="009D52D8" w:rsidRDefault="00E07EF1" w:rsidP="003B5764">
            <w:pPr>
              <w:pStyle w:val="TableTextRight"/>
            </w:pPr>
            <w:r>
              <w:t>247</w:t>
            </w:r>
          </w:p>
        </w:tc>
      </w:tr>
      <w:tr w:rsidR="00E07EF1" w:rsidRPr="009D52D8" w14:paraId="6B638647" w14:textId="77777777" w:rsidTr="003F2CBE">
        <w:trPr>
          <w:trHeight w:val="225"/>
        </w:trPr>
        <w:tc>
          <w:tcPr>
            <w:tcW w:w="2382" w:type="pct"/>
            <w:tcBorders>
              <w:top w:val="nil"/>
              <w:left w:val="nil"/>
              <w:bottom w:val="nil"/>
              <w:right w:val="nil"/>
            </w:tcBorders>
            <w:shd w:val="clear" w:color="000000" w:fill="FFFFFF"/>
            <w:noWrap/>
            <w:vAlign w:val="center"/>
            <w:hideMark/>
          </w:tcPr>
          <w:p w14:paraId="75780F47" w14:textId="77777777" w:rsidR="00E07EF1" w:rsidRPr="009D52D8" w:rsidRDefault="00E07EF1" w:rsidP="003B5764">
            <w:pPr>
              <w:pStyle w:val="TableTextIndented"/>
            </w:pPr>
            <w:r w:rsidRPr="009D52D8">
              <w:t>Overseas</w:t>
            </w:r>
          </w:p>
        </w:tc>
        <w:tc>
          <w:tcPr>
            <w:tcW w:w="521" w:type="pct"/>
            <w:tcBorders>
              <w:top w:val="nil"/>
              <w:left w:val="nil"/>
              <w:bottom w:val="nil"/>
              <w:right w:val="nil"/>
            </w:tcBorders>
            <w:shd w:val="clear" w:color="000000" w:fill="FFFFFF"/>
            <w:noWrap/>
            <w:vAlign w:val="center"/>
            <w:hideMark/>
          </w:tcPr>
          <w:p w14:paraId="19EF143A" w14:textId="58844ECC" w:rsidR="00E07EF1" w:rsidRPr="009D52D8" w:rsidRDefault="00E07EF1" w:rsidP="003B5764">
            <w:pPr>
              <w:pStyle w:val="TableTextRight"/>
            </w:pPr>
            <w:r>
              <w:t>1,521</w:t>
            </w:r>
          </w:p>
        </w:tc>
        <w:tc>
          <w:tcPr>
            <w:tcW w:w="521" w:type="pct"/>
            <w:tcBorders>
              <w:top w:val="nil"/>
              <w:left w:val="nil"/>
              <w:bottom w:val="nil"/>
              <w:right w:val="nil"/>
            </w:tcBorders>
            <w:shd w:val="clear" w:color="000000" w:fill="E6F2FF"/>
            <w:noWrap/>
            <w:vAlign w:val="center"/>
            <w:hideMark/>
          </w:tcPr>
          <w:p w14:paraId="03E7AB3F" w14:textId="4CB1E90B" w:rsidR="00E07EF1" w:rsidRPr="009D52D8" w:rsidRDefault="00E07EF1" w:rsidP="003B5764">
            <w:pPr>
              <w:pStyle w:val="TableTextRight"/>
            </w:pPr>
            <w:r>
              <w:t>2,177</w:t>
            </w:r>
          </w:p>
        </w:tc>
        <w:tc>
          <w:tcPr>
            <w:tcW w:w="521" w:type="pct"/>
            <w:tcBorders>
              <w:top w:val="nil"/>
              <w:left w:val="nil"/>
              <w:bottom w:val="nil"/>
              <w:right w:val="nil"/>
            </w:tcBorders>
            <w:shd w:val="clear" w:color="000000" w:fill="FFFFFF"/>
            <w:noWrap/>
            <w:vAlign w:val="center"/>
            <w:hideMark/>
          </w:tcPr>
          <w:p w14:paraId="69A14FE0" w14:textId="7CB56648" w:rsidR="00E07EF1" w:rsidRPr="009D52D8" w:rsidRDefault="00E07EF1" w:rsidP="003B5764">
            <w:pPr>
              <w:pStyle w:val="TableTextRight"/>
            </w:pPr>
            <w:r>
              <w:t>1,767</w:t>
            </w:r>
          </w:p>
        </w:tc>
        <w:tc>
          <w:tcPr>
            <w:tcW w:w="521" w:type="pct"/>
            <w:tcBorders>
              <w:top w:val="nil"/>
              <w:left w:val="nil"/>
              <w:bottom w:val="nil"/>
              <w:right w:val="nil"/>
            </w:tcBorders>
            <w:shd w:val="clear" w:color="000000" w:fill="FFFFFF"/>
            <w:noWrap/>
            <w:vAlign w:val="center"/>
            <w:hideMark/>
          </w:tcPr>
          <w:p w14:paraId="6C8222DB" w14:textId="6D6D1C9C" w:rsidR="00E07EF1" w:rsidRPr="009D52D8" w:rsidRDefault="00E07EF1" w:rsidP="003B5764">
            <w:pPr>
              <w:pStyle w:val="TableTextRight"/>
            </w:pPr>
            <w:r>
              <w:t>1,477</w:t>
            </w:r>
          </w:p>
        </w:tc>
        <w:tc>
          <w:tcPr>
            <w:tcW w:w="532" w:type="pct"/>
            <w:tcBorders>
              <w:top w:val="nil"/>
              <w:left w:val="nil"/>
              <w:bottom w:val="nil"/>
              <w:right w:val="nil"/>
            </w:tcBorders>
            <w:shd w:val="clear" w:color="000000" w:fill="FFFFFF"/>
            <w:noWrap/>
            <w:vAlign w:val="center"/>
            <w:hideMark/>
          </w:tcPr>
          <w:p w14:paraId="57802DA2" w14:textId="3769FCD0" w:rsidR="00E07EF1" w:rsidRPr="009D52D8" w:rsidRDefault="00E07EF1" w:rsidP="003B5764">
            <w:pPr>
              <w:pStyle w:val="TableTextRight"/>
            </w:pPr>
            <w:r>
              <w:t>1,645</w:t>
            </w:r>
          </w:p>
        </w:tc>
      </w:tr>
      <w:tr w:rsidR="00E07EF1" w:rsidRPr="009D52D8" w14:paraId="603CC8D1" w14:textId="77777777" w:rsidTr="003F2CBE">
        <w:trPr>
          <w:trHeight w:val="225"/>
        </w:trPr>
        <w:tc>
          <w:tcPr>
            <w:tcW w:w="2382" w:type="pct"/>
            <w:tcBorders>
              <w:top w:val="nil"/>
              <w:left w:val="nil"/>
              <w:bottom w:val="nil"/>
              <w:right w:val="nil"/>
            </w:tcBorders>
            <w:shd w:val="clear" w:color="000000" w:fill="FFFFFF"/>
            <w:noWrap/>
            <w:vAlign w:val="center"/>
            <w:hideMark/>
          </w:tcPr>
          <w:p w14:paraId="6423373E" w14:textId="77777777" w:rsidR="00E07EF1" w:rsidRPr="009D52D8" w:rsidRDefault="00E07EF1" w:rsidP="003B5764">
            <w:pPr>
              <w:pStyle w:val="TableTextIndented"/>
            </w:pPr>
            <w:r w:rsidRPr="009D52D8">
              <w:t>Local governments</w:t>
            </w:r>
          </w:p>
        </w:tc>
        <w:tc>
          <w:tcPr>
            <w:tcW w:w="521" w:type="pct"/>
            <w:tcBorders>
              <w:top w:val="nil"/>
              <w:left w:val="nil"/>
              <w:bottom w:val="nil"/>
              <w:right w:val="nil"/>
            </w:tcBorders>
            <w:shd w:val="clear" w:color="000000" w:fill="FFFFFF"/>
            <w:noWrap/>
            <w:vAlign w:val="center"/>
            <w:hideMark/>
          </w:tcPr>
          <w:p w14:paraId="360B43A1" w14:textId="47D31153" w:rsidR="00E07EF1" w:rsidRPr="009D52D8" w:rsidRDefault="00E07EF1" w:rsidP="003B5764">
            <w:pPr>
              <w:pStyle w:val="TableTextRight"/>
            </w:pPr>
            <w:r>
              <w:t>0</w:t>
            </w:r>
          </w:p>
        </w:tc>
        <w:tc>
          <w:tcPr>
            <w:tcW w:w="521" w:type="pct"/>
            <w:tcBorders>
              <w:top w:val="nil"/>
              <w:left w:val="nil"/>
              <w:bottom w:val="nil"/>
              <w:right w:val="nil"/>
            </w:tcBorders>
            <w:shd w:val="clear" w:color="000000" w:fill="E6F2FF"/>
            <w:noWrap/>
            <w:vAlign w:val="center"/>
            <w:hideMark/>
          </w:tcPr>
          <w:p w14:paraId="692E45DC" w14:textId="19A0956B" w:rsidR="00E07EF1" w:rsidRPr="009D52D8" w:rsidRDefault="00E07EF1" w:rsidP="003B5764">
            <w:pPr>
              <w:pStyle w:val="TableTextRight"/>
            </w:pPr>
            <w:r>
              <w:t>0</w:t>
            </w:r>
          </w:p>
        </w:tc>
        <w:tc>
          <w:tcPr>
            <w:tcW w:w="521" w:type="pct"/>
            <w:tcBorders>
              <w:top w:val="nil"/>
              <w:left w:val="nil"/>
              <w:bottom w:val="nil"/>
              <w:right w:val="nil"/>
            </w:tcBorders>
            <w:shd w:val="clear" w:color="000000" w:fill="FFFFFF"/>
            <w:noWrap/>
            <w:vAlign w:val="center"/>
            <w:hideMark/>
          </w:tcPr>
          <w:p w14:paraId="2F3B08FA" w14:textId="0F7FFCE8" w:rsidR="00E07EF1" w:rsidRPr="009D52D8" w:rsidRDefault="00E07EF1" w:rsidP="003B5764">
            <w:pPr>
              <w:pStyle w:val="TableTextRight"/>
            </w:pPr>
            <w:r>
              <w:t>0</w:t>
            </w:r>
          </w:p>
        </w:tc>
        <w:tc>
          <w:tcPr>
            <w:tcW w:w="521" w:type="pct"/>
            <w:tcBorders>
              <w:top w:val="nil"/>
              <w:left w:val="nil"/>
              <w:bottom w:val="nil"/>
              <w:right w:val="nil"/>
            </w:tcBorders>
            <w:shd w:val="clear" w:color="000000" w:fill="FFFFFF"/>
            <w:noWrap/>
            <w:vAlign w:val="center"/>
            <w:hideMark/>
          </w:tcPr>
          <w:p w14:paraId="06D4228F" w14:textId="32DD43AF" w:rsidR="00E07EF1" w:rsidRPr="009D52D8" w:rsidRDefault="00E07EF1" w:rsidP="003B5764">
            <w:pPr>
              <w:pStyle w:val="TableTextRight"/>
            </w:pPr>
            <w:r>
              <w:t>0</w:t>
            </w:r>
          </w:p>
        </w:tc>
        <w:tc>
          <w:tcPr>
            <w:tcW w:w="532" w:type="pct"/>
            <w:tcBorders>
              <w:top w:val="nil"/>
              <w:left w:val="nil"/>
              <w:bottom w:val="nil"/>
              <w:right w:val="nil"/>
            </w:tcBorders>
            <w:shd w:val="clear" w:color="000000" w:fill="FFFFFF"/>
            <w:noWrap/>
            <w:vAlign w:val="center"/>
            <w:hideMark/>
          </w:tcPr>
          <w:p w14:paraId="133E8338" w14:textId="0CC43103" w:rsidR="00E07EF1" w:rsidRPr="009D52D8" w:rsidRDefault="00E07EF1" w:rsidP="003B5764">
            <w:pPr>
              <w:pStyle w:val="TableTextRight"/>
            </w:pPr>
            <w:r>
              <w:t>0</w:t>
            </w:r>
          </w:p>
        </w:tc>
      </w:tr>
      <w:tr w:rsidR="00E07EF1" w:rsidRPr="009D52D8" w14:paraId="421CB6F3" w14:textId="77777777" w:rsidTr="003F2CBE">
        <w:trPr>
          <w:trHeight w:val="225"/>
        </w:trPr>
        <w:tc>
          <w:tcPr>
            <w:tcW w:w="2382" w:type="pct"/>
            <w:tcBorders>
              <w:top w:val="nil"/>
              <w:left w:val="nil"/>
              <w:bottom w:val="nil"/>
              <w:right w:val="nil"/>
            </w:tcBorders>
            <w:shd w:val="clear" w:color="000000" w:fill="FFFFFF"/>
            <w:noWrap/>
            <w:vAlign w:val="center"/>
            <w:hideMark/>
          </w:tcPr>
          <w:p w14:paraId="16F0F316" w14:textId="77777777" w:rsidR="00E07EF1" w:rsidRPr="009D52D8" w:rsidRDefault="00E07EF1" w:rsidP="003B5764">
            <w:pPr>
              <w:pStyle w:val="TableTextIndented"/>
            </w:pPr>
            <w:r w:rsidRPr="009D52D8">
              <w:t>Other</w:t>
            </w:r>
          </w:p>
        </w:tc>
        <w:tc>
          <w:tcPr>
            <w:tcW w:w="521" w:type="pct"/>
            <w:tcBorders>
              <w:top w:val="nil"/>
              <w:left w:val="nil"/>
              <w:bottom w:val="single" w:sz="4" w:space="0" w:color="293F5B"/>
              <w:right w:val="nil"/>
            </w:tcBorders>
            <w:shd w:val="clear" w:color="000000" w:fill="FFFFFF"/>
            <w:noWrap/>
            <w:vAlign w:val="center"/>
            <w:hideMark/>
          </w:tcPr>
          <w:p w14:paraId="34AA61D1" w14:textId="4E046786" w:rsidR="00E07EF1" w:rsidRPr="009D52D8" w:rsidRDefault="00E07EF1" w:rsidP="003B5764">
            <w:pPr>
              <w:pStyle w:val="TableTextRight"/>
            </w:pPr>
            <w:r>
              <w:t>1,003</w:t>
            </w:r>
          </w:p>
        </w:tc>
        <w:tc>
          <w:tcPr>
            <w:tcW w:w="521" w:type="pct"/>
            <w:tcBorders>
              <w:top w:val="nil"/>
              <w:left w:val="nil"/>
              <w:bottom w:val="single" w:sz="4" w:space="0" w:color="293F5B"/>
              <w:right w:val="nil"/>
            </w:tcBorders>
            <w:shd w:val="clear" w:color="000000" w:fill="E6F2FF"/>
            <w:noWrap/>
            <w:vAlign w:val="center"/>
            <w:hideMark/>
          </w:tcPr>
          <w:p w14:paraId="07776C11" w14:textId="327565CD" w:rsidR="00E07EF1" w:rsidRPr="009D52D8" w:rsidRDefault="00E07EF1" w:rsidP="003B5764">
            <w:pPr>
              <w:pStyle w:val="TableTextRight"/>
            </w:pPr>
            <w:r>
              <w:t>1,007</w:t>
            </w:r>
          </w:p>
        </w:tc>
        <w:tc>
          <w:tcPr>
            <w:tcW w:w="521" w:type="pct"/>
            <w:tcBorders>
              <w:top w:val="nil"/>
              <w:left w:val="nil"/>
              <w:bottom w:val="single" w:sz="4" w:space="0" w:color="293F5B"/>
              <w:right w:val="nil"/>
            </w:tcBorders>
            <w:shd w:val="clear" w:color="000000" w:fill="FFFFFF"/>
            <w:noWrap/>
            <w:vAlign w:val="center"/>
            <w:hideMark/>
          </w:tcPr>
          <w:p w14:paraId="0B797330" w14:textId="161128D7" w:rsidR="00E07EF1" w:rsidRPr="009D52D8" w:rsidRDefault="00E07EF1" w:rsidP="003B5764">
            <w:pPr>
              <w:pStyle w:val="TableTextRight"/>
            </w:pPr>
            <w:r>
              <w:t>1,009</w:t>
            </w:r>
          </w:p>
        </w:tc>
        <w:tc>
          <w:tcPr>
            <w:tcW w:w="521" w:type="pct"/>
            <w:tcBorders>
              <w:top w:val="nil"/>
              <w:left w:val="nil"/>
              <w:bottom w:val="single" w:sz="4" w:space="0" w:color="293F5B"/>
              <w:right w:val="nil"/>
            </w:tcBorders>
            <w:shd w:val="clear" w:color="000000" w:fill="FFFFFF"/>
            <w:noWrap/>
            <w:vAlign w:val="center"/>
            <w:hideMark/>
          </w:tcPr>
          <w:p w14:paraId="4D44B5F4" w14:textId="7E98874B" w:rsidR="00E07EF1" w:rsidRPr="009D52D8" w:rsidRDefault="00E07EF1" w:rsidP="003B5764">
            <w:pPr>
              <w:pStyle w:val="TableTextRight"/>
            </w:pPr>
            <w:r>
              <w:t>1,005</w:t>
            </w:r>
          </w:p>
        </w:tc>
        <w:tc>
          <w:tcPr>
            <w:tcW w:w="532" w:type="pct"/>
            <w:tcBorders>
              <w:top w:val="nil"/>
              <w:left w:val="nil"/>
              <w:bottom w:val="single" w:sz="4" w:space="0" w:color="293F5B"/>
              <w:right w:val="nil"/>
            </w:tcBorders>
            <w:shd w:val="clear" w:color="000000" w:fill="FFFFFF"/>
            <w:noWrap/>
            <w:vAlign w:val="center"/>
            <w:hideMark/>
          </w:tcPr>
          <w:p w14:paraId="60053059" w14:textId="4575C063" w:rsidR="00E07EF1" w:rsidRPr="009D52D8" w:rsidRDefault="00E07EF1" w:rsidP="003B5764">
            <w:pPr>
              <w:pStyle w:val="TableTextRight"/>
            </w:pPr>
            <w:r>
              <w:t>1,006</w:t>
            </w:r>
          </w:p>
        </w:tc>
      </w:tr>
      <w:tr w:rsidR="00E07EF1" w:rsidRPr="009D52D8" w14:paraId="4E9AA787" w14:textId="77777777" w:rsidTr="003F2CBE">
        <w:trPr>
          <w:trHeight w:val="225"/>
        </w:trPr>
        <w:tc>
          <w:tcPr>
            <w:tcW w:w="2382" w:type="pct"/>
            <w:tcBorders>
              <w:top w:val="nil"/>
              <w:left w:val="nil"/>
              <w:bottom w:val="nil"/>
              <w:right w:val="nil"/>
            </w:tcBorders>
            <w:shd w:val="clear" w:color="000000" w:fill="FFFFFF"/>
            <w:noWrap/>
            <w:vAlign w:val="center"/>
            <w:hideMark/>
          </w:tcPr>
          <w:p w14:paraId="62A36257" w14:textId="77777777" w:rsidR="00E07EF1" w:rsidRPr="009D52D8" w:rsidRDefault="00E07EF1" w:rsidP="003B5764">
            <w:pPr>
              <w:pStyle w:val="TableTextLeft"/>
              <w:rPr>
                <w:b/>
              </w:rPr>
            </w:pPr>
            <w:r w:rsidRPr="009D52D8">
              <w:rPr>
                <w:b/>
              </w:rPr>
              <w:t>Total grants payables</w:t>
            </w:r>
          </w:p>
        </w:tc>
        <w:tc>
          <w:tcPr>
            <w:tcW w:w="521" w:type="pct"/>
            <w:tcBorders>
              <w:top w:val="nil"/>
              <w:left w:val="nil"/>
              <w:bottom w:val="single" w:sz="4" w:space="0" w:color="000000"/>
              <w:right w:val="nil"/>
            </w:tcBorders>
            <w:shd w:val="clear" w:color="000000" w:fill="FFFFFF"/>
            <w:noWrap/>
            <w:vAlign w:val="center"/>
            <w:hideMark/>
          </w:tcPr>
          <w:p w14:paraId="31008A2F" w14:textId="498496B4" w:rsidR="00E07EF1" w:rsidRPr="009D52D8" w:rsidRDefault="00E07EF1" w:rsidP="003B5764">
            <w:pPr>
              <w:pStyle w:val="TableTextRight"/>
              <w:rPr>
                <w:b/>
              </w:rPr>
            </w:pPr>
            <w:r>
              <w:rPr>
                <w:b/>
              </w:rPr>
              <w:t>3,658</w:t>
            </w:r>
          </w:p>
        </w:tc>
        <w:tc>
          <w:tcPr>
            <w:tcW w:w="521" w:type="pct"/>
            <w:tcBorders>
              <w:top w:val="nil"/>
              <w:left w:val="nil"/>
              <w:bottom w:val="single" w:sz="4" w:space="0" w:color="000000"/>
              <w:right w:val="nil"/>
            </w:tcBorders>
            <w:shd w:val="clear" w:color="000000" w:fill="E6F2FF"/>
            <w:noWrap/>
            <w:vAlign w:val="center"/>
            <w:hideMark/>
          </w:tcPr>
          <w:p w14:paraId="7CC1FA19" w14:textId="69BF5EB2" w:rsidR="00E07EF1" w:rsidRPr="009D52D8" w:rsidRDefault="00E07EF1" w:rsidP="003B5764">
            <w:pPr>
              <w:pStyle w:val="TableTextRight"/>
              <w:rPr>
                <w:b/>
              </w:rPr>
            </w:pPr>
            <w:r>
              <w:rPr>
                <w:b/>
              </w:rPr>
              <w:t>4,178</w:t>
            </w:r>
          </w:p>
        </w:tc>
        <w:tc>
          <w:tcPr>
            <w:tcW w:w="521" w:type="pct"/>
            <w:tcBorders>
              <w:top w:val="nil"/>
              <w:left w:val="nil"/>
              <w:bottom w:val="single" w:sz="4" w:space="0" w:color="000000"/>
              <w:right w:val="nil"/>
            </w:tcBorders>
            <w:shd w:val="clear" w:color="000000" w:fill="FFFFFF"/>
            <w:noWrap/>
            <w:vAlign w:val="center"/>
            <w:hideMark/>
          </w:tcPr>
          <w:p w14:paraId="38A486CC" w14:textId="4B2B7E53" w:rsidR="00E07EF1" w:rsidRPr="009D52D8" w:rsidRDefault="00E07EF1" w:rsidP="003B5764">
            <w:pPr>
              <w:pStyle w:val="TableTextRight"/>
              <w:rPr>
                <w:b/>
              </w:rPr>
            </w:pPr>
            <w:r>
              <w:rPr>
                <w:b/>
              </w:rPr>
              <w:t>3,761</w:t>
            </w:r>
          </w:p>
        </w:tc>
        <w:tc>
          <w:tcPr>
            <w:tcW w:w="521" w:type="pct"/>
            <w:tcBorders>
              <w:top w:val="nil"/>
              <w:left w:val="nil"/>
              <w:bottom w:val="single" w:sz="4" w:space="0" w:color="000000"/>
              <w:right w:val="nil"/>
            </w:tcBorders>
            <w:shd w:val="clear" w:color="000000" w:fill="FFFFFF"/>
            <w:noWrap/>
            <w:vAlign w:val="center"/>
            <w:hideMark/>
          </w:tcPr>
          <w:p w14:paraId="1AD40160" w14:textId="56E5DAA2" w:rsidR="00E07EF1" w:rsidRPr="009D52D8" w:rsidRDefault="00E07EF1" w:rsidP="003B5764">
            <w:pPr>
              <w:pStyle w:val="TableTextRight"/>
              <w:rPr>
                <w:b/>
              </w:rPr>
            </w:pPr>
            <w:r>
              <w:rPr>
                <w:b/>
              </w:rPr>
              <w:t>3,457</w:t>
            </w:r>
          </w:p>
        </w:tc>
        <w:tc>
          <w:tcPr>
            <w:tcW w:w="532" w:type="pct"/>
            <w:tcBorders>
              <w:top w:val="nil"/>
              <w:left w:val="nil"/>
              <w:bottom w:val="single" w:sz="4" w:space="0" w:color="000000"/>
              <w:right w:val="nil"/>
            </w:tcBorders>
            <w:shd w:val="clear" w:color="000000" w:fill="FFFFFF"/>
            <w:noWrap/>
            <w:vAlign w:val="center"/>
            <w:hideMark/>
          </w:tcPr>
          <w:p w14:paraId="52457B5E" w14:textId="10EA32A4" w:rsidR="00E07EF1" w:rsidRPr="009D52D8" w:rsidRDefault="00E07EF1" w:rsidP="003B5764">
            <w:pPr>
              <w:pStyle w:val="TableTextRight"/>
              <w:rPr>
                <w:b/>
              </w:rPr>
            </w:pPr>
            <w:r>
              <w:rPr>
                <w:b/>
              </w:rPr>
              <w:t>3,633</w:t>
            </w:r>
          </w:p>
        </w:tc>
      </w:tr>
      <w:tr w:rsidR="00E07EF1" w:rsidRPr="009D52D8" w14:paraId="764B05EF" w14:textId="77777777" w:rsidTr="003F2CBE">
        <w:trPr>
          <w:trHeight w:val="225"/>
        </w:trPr>
        <w:tc>
          <w:tcPr>
            <w:tcW w:w="2382" w:type="pct"/>
            <w:tcBorders>
              <w:top w:val="nil"/>
              <w:left w:val="nil"/>
              <w:bottom w:val="nil"/>
              <w:right w:val="nil"/>
            </w:tcBorders>
            <w:shd w:val="clear" w:color="000000" w:fill="FFFFFF"/>
            <w:noWrap/>
            <w:vAlign w:val="center"/>
            <w:hideMark/>
          </w:tcPr>
          <w:p w14:paraId="15C18EA5" w14:textId="77777777" w:rsidR="00E07EF1" w:rsidRPr="009D52D8" w:rsidRDefault="00E07EF1" w:rsidP="003B5764">
            <w:pPr>
              <w:pStyle w:val="TableTextLeft"/>
              <w:rPr>
                <w:b/>
              </w:rPr>
            </w:pPr>
            <w:r w:rsidRPr="009D52D8">
              <w:rPr>
                <w:b/>
              </w:rPr>
              <w:t>Total other payables</w:t>
            </w:r>
          </w:p>
        </w:tc>
        <w:tc>
          <w:tcPr>
            <w:tcW w:w="521" w:type="pct"/>
            <w:tcBorders>
              <w:top w:val="nil"/>
              <w:left w:val="nil"/>
              <w:bottom w:val="single" w:sz="4" w:space="0" w:color="293F5B"/>
              <w:right w:val="nil"/>
            </w:tcBorders>
            <w:shd w:val="clear" w:color="000000" w:fill="FFFFFF"/>
            <w:noWrap/>
            <w:vAlign w:val="center"/>
            <w:hideMark/>
          </w:tcPr>
          <w:p w14:paraId="3D89FC39" w14:textId="5A674D72" w:rsidR="00E07EF1" w:rsidRPr="009D52D8" w:rsidRDefault="00E07EF1" w:rsidP="003B5764">
            <w:pPr>
              <w:pStyle w:val="TableTextRight"/>
              <w:rPr>
                <w:b/>
              </w:rPr>
            </w:pPr>
            <w:r>
              <w:rPr>
                <w:b/>
              </w:rPr>
              <w:t>7,115</w:t>
            </w:r>
          </w:p>
        </w:tc>
        <w:tc>
          <w:tcPr>
            <w:tcW w:w="521" w:type="pct"/>
            <w:tcBorders>
              <w:top w:val="nil"/>
              <w:left w:val="nil"/>
              <w:bottom w:val="single" w:sz="4" w:space="0" w:color="293F5B"/>
              <w:right w:val="nil"/>
            </w:tcBorders>
            <w:shd w:val="clear" w:color="000000" w:fill="E6F2FF"/>
            <w:noWrap/>
            <w:vAlign w:val="center"/>
            <w:hideMark/>
          </w:tcPr>
          <w:p w14:paraId="719DFDF5" w14:textId="1C58A9C4" w:rsidR="00E07EF1" w:rsidRPr="009D52D8" w:rsidRDefault="00E07EF1" w:rsidP="003B5764">
            <w:pPr>
              <w:pStyle w:val="TableTextRight"/>
              <w:rPr>
                <w:b/>
              </w:rPr>
            </w:pPr>
            <w:r>
              <w:rPr>
                <w:b/>
              </w:rPr>
              <w:t>4,797</w:t>
            </w:r>
          </w:p>
        </w:tc>
        <w:tc>
          <w:tcPr>
            <w:tcW w:w="521" w:type="pct"/>
            <w:tcBorders>
              <w:top w:val="nil"/>
              <w:left w:val="nil"/>
              <w:bottom w:val="single" w:sz="4" w:space="0" w:color="293F5B"/>
              <w:right w:val="nil"/>
            </w:tcBorders>
            <w:shd w:val="clear" w:color="000000" w:fill="FFFFFF"/>
            <w:noWrap/>
            <w:vAlign w:val="center"/>
            <w:hideMark/>
          </w:tcPr>
          <w:p w14:paraId="55248562" w14:textId="067FD43F" w:rsidR="00E07EF1" w:rsidRPr="009D52D8" w:rsidRDefault="00E07EF1" w:rsidP="003B5764">
            <w:pPr>
              <w:pStyle w:val="TableTextRight"/>
              <w:rPr>
                <w:b/>
              </w:rPr>
            </w:pPr>
            <w:r>
              <w:rPr>
                <w:b/>
              </w:rPr>
              <w:t>4,886</w:t>
            </w:r>
          </w:p>
        </w:tc>
        <w:tc>
          <w:tcPr>
            <w:tcW w:w="521" w:type="pct"/>
            <w:tcBorders>
              <w:top w:val="nil"/>
              <w:left w:val="nil"/>
              <w:bottom w:val="single" w:sz="4" w:space="0" w:color="293F5B"/>
              <w:right w:val="nil"/>
            </w:tcBorders>
            <w:shd w:val="clear" w:color="000000" w:fill="FFFFFF"/>
            <w:noWrap/>
            <w:vAlign w:val="center"/>
            <w:hideMark/>
          </w:tcPr>
          <w:p w14:paraId="751DD14C" w14:textId="6336B43F" w:rsidR="00E07EF1" w:rsidRPr="009D52D8" w:rsidRDefault="00E07EF1" w:rsidP="003B5764">
            <w:pPr>
              <w:pStyle w:val="TableTextRight"/>
              <w:rPr>
                <w:b/>
              </w:rPr>
            </w:pPr>
            <w:r>
              <w:rPr>
                <w:b/>
              </w:rPr>
              <w:t>4,912</w:t>
            </w:r>
          </w:p>
        </w:tc>
        <w:tc>
          <w:tcPr>
            <w:tcW w:w="532" w:type="pct"/>
            <w:tcBorders>
              <w:top w:val="nil"/>
              <w:left w:val="nil"/>
              <w:bottom w:val="single" w:sz="4" w:space="0" w:color="293F5B"/>
              <w:right w:val="nil"/>
            </w:tcBorders>
            <w:shd w:val="clear" w:color="000000" w:fill="FFFFFF"/>
            <w:noWrap/>
            <w:vAlign w:val="center"/>
            <w:hideMark/>
          </w:tcPr>
          <w:p w14:paraId="13F34281" w14:textId="583CCE69" w:rsidR="00E07EF1" w:rsidRPr="009D52D8" w:rsidRDefault="00E07EF1" w:rsidP="003B5764">
            <w:pPr>
              <w:pStyle w:val="TableTextRight"/>
              <w:rPr>
                <w:b/>
              </w:rPr>
            </w:pPr>
            <w:r>
              <w:rPr>
                <w:b/>
              </w:rPr>
              <w:t>4,922</w:t>
            </w:r>
          </w:p>
        </w:tc>
      </w:tr>
      <w:tr w:rsidR="009D52D8" w:rsidRPr="009D52D8" w14:paraId="3C24801A" w14:textId="77777777" w:rsidTr="003F2CBE">
        <w:trPr>
          <w:trHeight w:val="225"/>
        </w:trPr>
        <w:tc>
          <w:tcPr>
            <w:tcW w:w="2382" w:type="pct"/>
            <w:tcBorders>
              <w:top w:val="nil"/>
              <w:left w:val="nil"/>
              <w:bottom w:val="nil"/>
              <w:right w:val="nil"/>
            </w:tcBorders>
            <w:shd w:val="clear" w:color="000000" w:fill="FFFFFF"/>
            <w:noWrap/>
            <w:vAlign w:val="center"/>
            <w:hideMark/>
          </w:tcPr>
          <w:p w14:paraId="7E043BBE" w14:textId="77777777" w:rsidR="009D52D8" w:rsidRPr="009D52D8" w:rsidRDefault="009D52D8" w:rsidP="003B5764">
            <w:pPr>
              <w:pStyle w:val="TableTextLeft"/>
              <w:rPr>
                <w:b/>
              </w:rPr>
            </w:pPr>
            <w:r w:rsidRPr="009D52D8">
              <w:rPr>
                <w:b/>
              </w:rPr>
              <w:t>Provisions</w:t>
            </w:r>
          </w:p>
        </w:tc>
        <w:tc>
          <w:tcPr>
            <w:tcW w:w="521" w:type="pct"/>
            <w:tcBorders>
              <w:top w:val="nil"/>
              <w:left w:val="nil"/>
              <w:bottom w:val="nil"/>
              <w:right w:val="nil"/>
            </w:tcBorders>
            <w:shd w:val="clear" w:color="000000" w:fill="FFFFFF"/>
            <w:noWrap/>
            <w:vAlign w:val="center"/>
            <w:hideMark/>
          </w:tcPr>
          <w:p w14:paraId="0374D1E7"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E6F2FF"/>
            <w:noWrap/>
            <w:vAlign w:val="center"/>
            <w:hideMark/>
          </w:tcPr>
          <w:p w14:paraId="33A5315B"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636350DD" w14:textId="77777777" w:rsidR="009D52D8" w:rsidRPr="009D52D8" w:rsidRDefault="009D52D8" w:rsidP="003B5764">
            <w:pPr>
              <w:pStyle w:val="TableTextRight"/>
            </w:pPr>
            <w:r w:rsidRPr="009D52D8">
              <w:t> </w:t>
            </w:r>
          </w:p>
        </w:tc>
        <w:tc>
          <w:tcPr>
            <w:tcW w:w="521" w:type="pct"/>
            <w:tcBorders>
              <w:top w:val="nil"/>
              <w:left w:val="nil"/>
              <w:bottom w:val="nil"/>
              <w:right w:val="nil"/>
            </w:tcBorders>
            <w:shd w:val="clear" w:color="000000" w:fill="FFFFFF"/>
            <w:noWrap/>
            <w:vAlign w:val="center"/>
            <w:hideMark/>
          </w:tcPr>
          <w:p w14:paraId="74222232" w14:textId="77777777" w:rsidR="009D52D8" w:rsidRPr="009D52D8" w:rsidRDefault="009D52D8" w:rsidP="003B5764">
            <w:pPr>
              <w:pStyle w:val="TableTextRight"/>
            </w:pPr>
            <w:r w:rsidRPr="009D52D8">
              <w:t> </w:t>
            </w:r>
          </w:p>
        </w:tc>
        <w:tc>
          <w:tcPr>
            <w:tcW w:w="532" w:type="pct"/>
            <w:tcBorders>
              <w:top w:val="nil"/>
              <w:left w:val="nil"/>
              <w:bottom w:val="nil"/>
              <w:right w:val="nil"/>
            </w:tcBorders>
            <w:shd w:val="clear" w:color="000000" w:fill="FFFFFF"/>
            <w:noWrap/>
            <w:vAlign w:val="center"/>
            <w:hideMark/>
          </w:tcPr>
          <w:p w14:paraId="5C86D84A" w14:textId="77777777" w:rsidR="009D52D8" w:rsidRPr="009D52D8" w:rsidRDefault="009D52D8" w:rsidP="003B5764">
            <w:pPr>
              <w:pStyle w:val="TableTextRight"/>
            </w:pPr>
            <w:r w:rsidRPr="009D52D8">
              <w:t> </w:t>
            </w:r>
          </w:p>
        </w:tc>
      </w:tr>
      <w:tr w:rsidR="00BE741F" w:rsidRPr="009D52D8" w14:paraId="6C1F057A" w14:textId="77777777" w:rsidTr="003F2CBE">
        <w:trPr>
          <w:trHeight w:val="225"/>
        </w:trPr>
        <w:tc>
          <w:tcPr>
            <w:tcW w:w="2382" w:type="pct"/>
            <w:tcBorders>
              <w:top w:val="nil"/>
              <w:left w:val="nil"/>
              <w:bottom w:val="nil"/>
              <w:right w:val="nil"/>
            </w:tcBorders>
            <w:shd w:val="clear" w:color="000000" w:fill="FFFFFF"/>
            <w:noWrap/>
            <w:vAlign w:val="center"/>
            <w:hideMark/>
          </w:tcPr>
          <w:p w14:paraId="5F532A87" w14:textId="77777777" w:rsidR="00BE741F" w:rsidRPr="009D52D8" w:rsidRDefault="00BE741F" w:rsidP="0040049A">
            <w:pPr>
              <w:pStyle w:val="TableTextIndented"/>
            </w:pPr>
            <w:r w:rsidRPr="009D52D8">
              <w:t>Provisions for tax refunds</w:t>
            </w:r>
          </w:p>
        </w:tc>
        <w:tc>
          <w:tcPr>
            <w:tcW w:w="521" w:type="pct"/>
            <w:tcBorders>
              <w:top w:val="nil"/>
              <w:left w:val="nil"/>
              <w:bottom w:val="nil"/>
              <w:right w:val="nil"/>
            </w:tcBorders>
            <w:shd w:val="clear" w:color="000000" w:fill="FFFFFF"/>
            <w:noWrap/>
            <w:vAlign w:val="center"/>
            <w:hideMark/>
          </w:tcPr>
          <w:p w14:paraId="14936905" w14:textId="757BEB44" w:rsidR="00BE741F" w:rsidRPr="009D52D8" w:rsidRDefault="00BE741F" w:rsidP="003B5764">
            <w:pPr>
              <w:pStyle w:val="TableTextRight"/>
            </w:pPr>
            <w:r>
              <w:t>2,214</w:t>
            </w:r>
          </w:p>
        </w:tc>
        <w:tc>
          <w:tcPr>
            <w:tcW w:w="521" w:type="pct"/>
            <w:tcBorders>
              <w:top w:val="nil"/>
              <w:left w:val="nil"/>
              <w:bottom w:val="nil"/>
              <w:right w:val="nil"/>
            </w:tcBorders>
            <w:shd w:val="clear" w:color="000000" w:fill="E6F2FF"/>
            <w:noWrap/>
            <w:vAlign w:val="center"/>
            <w:hideMark/>
          </w:tcPr>
          <w:p w14:paraId="76308E79" w14:textId="7441608B" w:rsidR="00BE741F" w:rsidRPr="009D52D8" w:rsidRDefault="00BE741F" w:rsidP="003B5764">
            <w:pPr>
              <w:pStyle w:val="TableTextRight"/>
            </w:pPr>
            <w:r>
              <w:t>2,204</w:t>
            </w:r>
          </w:p>
        </w:tc>
        <w:tc>
          <w:tcPr>
            <w:tcW w:w="521" w:type="pct"/>
            <w:tcBorders>
              <w:top w:val="nil"/>
              <w:left w:val="nil"/>
              <w:bottom w:val="nil"/>
              <w:right w:val="nil"/>
            </w:tcBorders>
            <w:shd w:val="clear" w:color="000000" w:fill="FFFFFF"/>
            <w:noWrap/>
            <w:vAlign w:val="center"/>
            <w:hideMark/>
          </w:tcPr>
          <w:p w14:paraId="3FD6B7DC" w14:textId="2726A877" w:rsidR="00BE741F" w:rsidRPr="009D52D8" w:rsidRDefault="00BE741F" w:rsidP="003B5764">
            <w:pPr>
              <w:pStyle w:val="TableTextRight"/>
            </w:pPr>
            <w:r>
              <w:t>2,194</w:t>
            </w:r>
          </w:p>
        </w:tc>
        <w:tc>
          <w:tcPr>
            <w:tcW w:w="521" w:type="pct"/>
            <w:tcBorders>
              <w:top w:val="nil"/>
              <w:left w:val="nil"/>
              <w:bottom w:val="nil"/>
              <w:right w:val="nil"/>
            </w:tcBorders>
            <w:shd w:val="clear" w:color="000000" w:fill="FFFFFF"/>
            <w:noWrap/>
            <w:vAlign w:val="center"/>
            <w:hideMark/>
          </w:tcPr>
          <w:p w14:paraId="2B584F29" w14:textId="1CFC5F7D" w:rsidR="00BE741F" w:rsidRPr="009D52D8" w:rsidRDefault="00BE741F" w:rsidP="003B5764">
            <w:pPr>
              <w:pStyle w:val="TableTextRight"/>
            </w:pPr>
            <w:r>
              <w:t>2,184</w:t>
            </w:r>
          </w:p>
        </w:tc>
        <w:tc>
          <w:tcPr>
            <w:tcW w:w="532" w:type="pct"/>
            <w:tcBorders>
              <w:top w:val="nil"/>
              <w:left w:val="nil"/>
              <w:bottom w:val="nil"/>
              <w:right w:val="nil"/>
            </w:tcBorders>
            <w:shd w:val="clear" w:color="000000" w:fill="FFFFFF"/>
            <w:noWrap/>
            <w:vAlign w:val="center"/>
            <w:hideMark/>
          </w:tcPr>
          <w:p w14:paraId="75E1A25F" w14:textId="17622A2E" w:rsidR="00BE741F" w:rsidRPr="009D52D8" w:rsidRDefault="00BE741F" w:rsidP="003B5764">
            <w:pPr>
              <w:pStyle w:val="TableTextRight"/>
            </w:pPr>
            <w:r>
              <w:t>2,174</w:t>
            </w:r>
          </w:p>
        </w:tc>
      </w:tr>
      <w:tr w:rsidR="00BE741F" w:rsidRPr="009D52D8" w14:paraId="56BDCDBF" w14:textId="77777777" w:rsidTr="003F2CBE">
        <w:trPr>
          <w:trHeight w:val="225"/>
        </w:trPr>
        <w:tc>
          <w:tcPr>
            <w:tcW w:w="2382" w:type="pct"/>
            <w:tcBorders>
              <w:top w:val="nil"/>
              <w:left w:val="nil"/>
              <w:bottom w:val="nil"/>
              <w:right w:val="nil"/>
            </w:tcBorders>
            <w:shd w:val="clear" w:color="000000" w:fill="FFFFFF"/>
            <w:noWrap/>
            <w:vAlign w:val="center"/>
            <w:hideMark/>
          </w:tcPr>
          <w:p w14:paraId="7D2219F8" w14:textId="77777777" w:rsidR="00BE741F" w:rsidRPr="009D52D8" w:rsidRDefault="00BE741F" w:rsidP="0040049A">
            <w:pPr>
              <w:pStyle w:val="TableTextIndented"/>
            </w:pPr>
            <w:r w:rsidRPr="009D52D8">
              <w:t>Grants provisions</w:t>
            </w:r>
          </w:p>
        </w:tc>
        <w:tc>
          <w:tcPr>
            <w:tcW w:w="521" w:type="pct"/>
            <w:tcBorders>
              <w:top w:val="nil"/>
              <w:left w:val="nil"/>
              <w:bottom w:val="nil"/>
              <w:right w:val="nil"/>
            </w:tcBorders>
            <w:shd w:val="clear" w:color="000000" w:fill="FFFFFF"/>
            <w:noWrap/>
            <w:vAlign w:val="center"/>
            <w:hideMark/>
          </w:tcPr>
          <w:p w14:paraId="204B3AA7" w14:textId="064FC42C" w:rsidR="00BE741F" w:rsidRPr="009D52D8" w:rsidRDefault="00BE741F" w:rsidP="003B5764">
            <w:pPr>
              <w:pStyle w:val="TableTextRight"/>
            </w:pPr>
            <w:r>
              <w:t>14,134</w:t>
            </w:r>
          </w:p>
        </w:tc>
        <w:tc>
          <w:tcPr>
            <w:tcW w:w="521" w:type="pct"/>
            <w:tcBorders>
              <w:top w:val="nil"/>
              <w:left w:val="nil"/>
              <w:bottom w:val="nil"/>
              <w:right w:val="nil"/>
            </w:tcBorders>
            <w:shd w:val="clear" w:color="000000" w:fill="E6F2FF"/>
            <w:noWrap/>
            <w:vAlign w:val="center"/>
            <w:hideMark/>
          </w:tcPr>
          <w:p w14:paraId="0115E061" w14:textId="621C0919" w:rsidR="00BE741F" w:rsidRPr="009D52D8" w:rsidRDefault="00BE741F" w:rsidP="003B5764">
            <w:pPr>
              <w:pStyle w:val="TableTextRight"/>
            </w:pPr>
            <w:r>
              <w:t>10,166</w:t>
            </w:r>
          </w:p>
        </w:tc>
        <w:tc>
          <w:tcPr>
            <w:tcW w:w="521" w:type="pct"/>
            <w:tcBorders>
              <w:top w:val="nil"/>
              <w:left w:val="nil"/>
              <w:bottom w:val="nil"/>
              <w:right w:val="nil"/>
            </w:tcBorders>
            <w:shd w:val="clear" w:color="000000" w:fill="FFFFFF"/>
            <w:noWrap/>
            <w:vAlign w:val="center"/>
            <w:hideMark/>
          </w:tcPr>
          <w:p w14:paraId="3F4D9632" w14:textId="5BED702F" w:rsidR="00BE741F" w:rsidRPr="009D52D8" w:rsidRDefault="00BE741F" w:rsidP="003B5764">
            <w:pPr>
              <w:pStyle w:val="TableTextRight"/>
            </w:pPr>
            <w:r>
              <w:t>7,342</w:t>
            </w:r>
          </w:p>
        </w:tc>
        <w:tc>
          <w:tcPr>
            <w:tcW w:w="521" w:type="pct"/>
            <w:tcBorders>
              <w:top w:val="nil"/>
              <w:left w:val="nil"/>
              <w:bottom w:val="nil"/>
              <w:right w:val="nil"/>
            </w:tcBorders>
            <w:shd w:val="clear" w:color="000000" w:fill="FFFFFF"/>
            <w:noWrap/>
            <w:vAlign w:val="center"/>
            <w:hideMark/>
          </w:tcPr>
          <w:p w14:paraId="1E87D568" w14:textId="71B46044" w:rsidR="00BE741F" w:rsidRPr="009D52D8" w:rsidRDefault="00BE741F" w:rsidP="003B5764">
            <w:pPr>
              <w:pStyle w:val="TableTextRight"/>
            </w:pPr>
            <w:r>
              <w:t>4,308</w:t>
            </w:r>
          </w:p>
        </w:tc>
        <w:tc>
          <w:tcPr>
            <w:tcW w:w="532" w:type="pct"/>
            <w:tcBorders>
              <w:top w:val="nil"/>
              <w:left w:val="nil"/>
              <w:bottom w:val="nil"/>
              <w:right w:val="nil"/>
            </w:tcBorders>
            <w:shd w:val="clear" w:color="000000" w:fill="FFFFFF"/>
            <w:noWrap/>
            <w:vAlign w:val="center"/>
            <w:hideMark/>
          </w:tcPr>
          <w:p w14:paraId="5C12C288" w14:textId="75B7008A" w:rsidR="00BE741F" w:rsidRPr="009D52D8" w:rsidRDefault="00BE741F" w:rsidP="003B5764">
            <w:pPr>
              <w:pStyle w:val="TableTextRight"/>
            </w:pPr>
            <w:r>
              <w:t>3,855</w:t>
            </w:r>
          </w:p>
        </w:tc>
      </w:tr>
      <w:tr w:rsidR="00BE741F" w:rsidRPr="009D52D8" w14:paraId="19F73E4D" w14:textId="77777777" w:rsidTr="003F2CBE">
        <w:trPr>
          <w:trHeight w:val="225"/>
        </w:trPr>
        <w:tc>
          <w:tcPr>
            <w:tcW w:w="2382" w:type="pct"/>
            <w:tcBorders>
              <w:top w:val="nil"/>
              <w:left w:val="nil"/>
              <w:bottom w:val="nil"/>
              <w:right w:val="nil"/>
            </w:tcBorders>
            <w:shd w:val="clear" w:color="000000" w:fill="FFFFFF"/>
            <w:noWrap/>
            <w:vAlign w:val="center"/>
            <w:hideMark/>
          </w:tcPr>
          <w:p w14:paraId="4A8AF945" w14:textId="655C6AF6" w:rsidR="00BE741F" w:rsidRPr="009D52D8" w:rsidRDefault="00BE741F" w:rsidP="0040049A">
            <w:pPr>
              <w:pStyle w:val="TableTextIndented"/>
            </w:pPr>
            <w:r w:rsidRPr="009D52D8">
              <w:t>Personal benefits provisions</w:t>
            </w:r>
            <w:r>
              <w:t xml:space="preserve"> </w:t>
            </w:r>
            <w:r w:rsidR="00480091">
              <w:t>–</w:t>
            </w:r>
            <w:r>
              <w:t xml:space="preserve"> </w:t>
            </w:r>
            <w:r w:rsidRPr="009D52D8">
              <w:t>direct</w:t>
            </w:r>
          </w:p>
        </w:tc>
        <w:tc>
          <w:tcPr>
            <w:tcW w:w="521" w:type="pct"/>
            <w:tcBorders>
              <w:top w:val="nil"/>
              <w:left w:val="nil"/>
              <w:bottom w:val="nil"/>
              <w:right w:val="nil"/>
            </w:tcBorders>
            <w:shd w:val="clear" w:color="000000" w:fill="FFFFFF"/>
            <w:noWrap/>
            <w:vAlign w:val="center"/>
            <w:hideMark/>
          </w:tcPr>
          <w:p w14:paraId="5089A096" w14:textId="7C4F1CC7" w:rsidR="00BE741F" w:rsidRPr="009D52D8" w:rsidRDefault="00BE741F" w:rsidP="003B5764">
            <w:pPr>
              <w:pStyle w:val="TableTextRight"/>
            </w:pPr>
            <w:r>
              <w:t>6,704</w:t>
            </w:r>
          </w:p>
        </w:tc>
        <w:tc>
          <w:tcPr>
            <w:tcW w:w="521" w:type="pct"/>
            <w:tcBorders>
              <w:top w:val="nil"/>
              <w:left w:val="nil"/>
              <w:bottom w:val="nil"/>
              <w:right w:val="nil"/>
            </w:tcBorders>
            <w:shd w:val="clear" w:color="000000" w:fill="E6F2FF"/>
            <w:noWrap/>
            <w:vAlign w:val="center"/>
            <w:hideMark/>
          </w:tcPr>
          <w:p w14:paraId="4AE27023" w14:textId="3B07BB6F" w:rsidR="00BE741F" w:rsidRPr="009D52D8" w:rsidRDefault="00BE741F" w:rsidP="003B5764">
            <w:pPr>
              <w:pStyle w:val="TableTextRight"/>
            </w:pPr>
            <w:r>
              <w:t>6,787</w:t>
            </w:r>
          </w:p>
        </w:tc>
        <w:tc>
          <w:tcPr>
            <w:tcW w:w="521" w:type="pct"/>
            <w:tcBorders>
              <w:top w:val="nil"/>
              <w:left w:val="nil"/>
              <w:bottom w:val="nil"/>
              <w:right w:val="nil"/>
            </w:tcBorders>
            <w:shd w:val="clear" w:color="000000" w:fill="FFFFFF"/>
            <w:noWrap/>
            <w:vAlign w:val="center"/>
            <w:hideMark/>
          </w:tcPr>
          <w:p w14:paraId="6BF4B9CA" w14:textId="65F94DF6" w:rsidR="00BE741F" w:rsidRPr="009D52D8" w:rsidRDefault="00BE741F" w:rsidP="003B5764">
            <w:pPr>
              <w:pStyle w:val="TableTextRight"/>
            </w:pPr>
            <w:r>
              <w:t>6,875</w:t>
            </w:r>
          </w:p>
        </w:tc>
        <w:tc>
          <w:tcPr>
            <w:tcW w:w="521" w:type="pct"/>
            <w:tcBorders>
              <w:top w:val="nil"/>
              <w:left w:val="nil"/>
              <w:bottom w:val="nil"/>
              <w:right w:val="nil"/>
            </w:tcBorders>
            <w:shd w:val="clear" w:color="000000" w:fill="FFFFFF"/>
            <w:noWrap/>
            <w:vAlign w:val="center"/>
            <w:hideMark/>
          </w:tcPr>
          <w:p w14:paraId="26887ABD" w14:textId="700FA579" w:rsidR="00BE741F" w:rsidRPr="009D52D8" w:rsidRDefault="00BE741F" w:rsidP="003B5764">
            <w:pPr>
              <w:pStyle w:val="TableTextRight"/>
            </w:pPr>
            <w:r>
              <w:t>6,941</w:t>
            </w:r>
          </w:p>
        </w:tc>
        <w:tc>
          <w:tcPr>
            <w:tcW w:w="532" w:type="pct"/>
            <w:tcBorders>
              <w:top w:val="nil"/>
              <w:left w:val="nil"/>
              <w:bottom w:val="nil"/>
              <w:right w:val="nil"/>
            </w:tcBorders>
            <w:shd w:val="clear" w:color="000000" w:fill="FFFFFF"/>
            <w:noWrap/>
            <w:vAlign w:val="center"/>
            <w:hideMark/>
          </w:tcPr>
          <w:p w14:paraId="5CD95DFB" w14:textId="3779A9CC" w:rsidR="00BE741F" w:rsidRPr="009D52D8" w:rsidRDefault="00BE741F" w:rsidP="003B5764">
            <w:pPr>
              <w:pStyle w:val="TableTextRight"/>
            </w:pPr>
            <w:r>
              <w:t>6,974</w:t>
            </w:r>
          </w:p>
        </w:tc>
      </w:tr>
      <w:tr w:rsidR="00BE741F" w:rsidRPr="009D52D8" w14:paraId="0291BEAC" w14:textId="77777777" w:rsidTr="003F2CBE">
        <w:trPr>
          <w:trHeight w:val="225"/>
        </w:trPr>
        <w:tc>
          <w:tcPr>
            <w:tcW w:w="2382" w:type="pct"/>
            <w:tcBorders>
              <w:top w:val="nil"/>
              <w:left w:val="nil"/>
              <w:bottom w:val="nil"/>
              <w:right w:val="nil"/>
            </w:tcBorders>
            <w:shd w:val="clear" w:color="000000" w:fill="FFFFFF"/>
            <w:noWrap/>
            <w:vAlign w:val="center"/>
            <w:hideMark/>
          </w:tcPr>
          <w:p w14:paraId="3D1DDAD4" w14:textId="464453B7" w:rsidR="00BE741F" w:rsidRPr="009D52D8" w:rsidRDefault="00BE741F" w:rsidP="0040049A">
            <w:pPr>
              <w:pStyle w:val="TableTextIndented"/>
            </w:pPr>
            <w:r w:rsidRPr="009D52D8">
              <w:t>Personal benefits provisions</w:t>
            </w:r>
            <w:r>
              <w:t xml:space="preserve"> </w:t>
            </w:r>
            <w:r w:rsidR="00480091">
              <w:t>–</w:t>
            </w:r>
            <w:r>
              <w:t xml:space="preserve"> </w:t>
            </w:r>
            <w:r w:rsidRPr="009D52D8">
              <w:t>indirect</w:t>
            </w:r>
          </w:p>
        </w:tc>
        <w:tc>
          <w:tcPr>
            <w:tcW w:w="521" w:type="pct"/>
            <w:tcBorders>
              <w:top w:val="nil"/>
              <w:left w:val="nil"/>
              <w:bottom w:val="nil"/>
              <w:right w:val="nil"/>
            </w:tcBorders>
            <w:shd w:val="clear" w:color="000000" w:fill="FFFFFF"/>
            <w:noWrap/>
            <w:vAlign w:val="center"/>
            <w:hideMark/>
          </w:tcPr>
          <w:p w14:paraId="3D60BC1A" w14:textId="64AD9A3B" w:rsidR="00BE741F" w:rsidRPr="009D52D8" w:rsidRDefault="00BE741F" w:rsidP="003B5764">
            <w:pPr>
              <w:pStyle w:val="TableTextRight"/>
            </w:pPr>
            <w:r>
              <w:t>4,257</w:t>
            </w:r>
          </w:p>
        </w:tc>
        <w:tc>
          <w:tcPr>
            <w:tcW w:w="521" w:type="pct"/>
            <w:tcBorders>
              <w:top w:val="nil"/>
              <w:left w:val="nil"/>
              <w:bottom w:val="nil"/>
              <w:right w:val="nil"/>
            </w:tcBorders>
            <w:shd w:val="clear" w:color="000000" w:fill="E6F2FF"/>
            <w:noWrap/>
            <w:vAlign w:val="center"/>
            <w:hideMark/>
          </w:tcPr>
          <w:p w14:paraId="431CF70E" w14:textId="48CE1420" w:rsidR="00BE741F" w:rsidRPr="009D52D8" w:rsidRDefault="00BE741F" w:rsidP="003B5764">
            <w:pPr>
              <w:pStyle w:val="TableTextRight"/>
            </w:pPr>
            <w:r>
              <w:t>4,827</w:t>
            </w:r>
          </w:p>
        </w:tc>
        <w:tc>
          <w:tcPr>
            <w:tcW w:w="521" w:type="pct"/>
            <w:tcBorders>
              <w:top w:val="nil"/>
              <w:left w:val="nil"/>
              <w:bottom w:val="nil"/>
              <w:right w:val="nil"/>
            </w:tcBorders>
            <w:shd w:val="clear" w:color="000000" w:fill="FFFFFF"/>
            <w:noWrap/>
            <w:vAlign w:val="center"/>
            <w:hideMark/>
          </w:tcPr>
          <w:p w14:paraId="493EA41C" w14:textId="49ED8806" w:rsidR="00BE741F" w:rsidRPr="009D52D8" w:rsidRDefault="00BE741F" w:rsidP="003B5764">
            <w:pPr>
              <w:pStyle w:val="TableTextRight"/>
            </w:pPr>
            <w:r>
              <w:t>5,419</w:t>
            </w:r>
          </w:p>
        </w:tc>
        <w:tc>
          <w:tcPr>
            <w:tcW w:w="521" w:type="pct"/>
            <w:tcBorders>
              <w:top w:val="nil"/>
              <w:left w:val="nil"/>
              <w:bottom w:val="nil"/>
              <w:right w:val="nil"/>
            </w:tcBorders>
            <w:shd w:val="clear" w:color="000000" w:fill="FFFFFF"/>
            <w:noWrap/>
            <w:vAlign w:val="center"/>
            <w:hideMark/>
          </w:tcPr>
          <w:p w14:paraId="032A9FB7" w14:textId="591B2902" w:rsidR="00BE741F" w:rsidRPr="009D52D8" w:rsidRDefault="00BE741F" w:rsidP="003B5764">
            <w:pPr>
              <w:pStyle w:val="TableTextRight"/>
            </w:pPr>
            <w:r>
              <w:t>6,065</w:t>
            </w:r>
          </w:p>
        </w:tc>
        <w:tc>
          <w:tcPr>
            <w:tcW w:w="532" w:type="pct"/>
            <w:tcBorders>
              <w:top w:val="nil"/>
              <w:left w:val="nil"/>
              <w:bottom w:val="nil"/>
              <w:right w:val="nil"/>
            </w:tcBorders>
            <w:shd w:val="clear" w:color="000000" w:fill="FFFFFF"/>
            <w:noWrap/>
            <w:vAlign w:val="center"/>
            <w:hideMark/>
          </w:tcPr>
          <w:p w14:paraId="153DE548" w14:textId="7C73535D" w:rsidR="00BE741F" w:rsidRPr="009D52D8" w:rsidRDefault="00BE741F" w:rsidP="003B5764">
            <w:pPr>
              <w:pStyle w:val="TableTextRight"/>
            </w:pPr>
            <w:r>
              <w:t>6,759</w:t>
            </w:r>
          </w:p>
        </w:tc>
      </w:tr>
      <w:tr w:rsidR="00BE741F" w:rsidRPr="009D52D8" w14:paraId="13A6C1F1" w14:textId="77777777" w:rsidTr="003F2CBE">
        <w:trPr>
          <w:trHeight w:val="225"/>
        </w:trPr>
        <w:tc>
          <w:tcPr>
            <w:tcW w:w="2382" w:type="pct"/>
            <w:tcBorders>
              <w:top w:val="nil"/>
              <w:left w:val="nil"/>
              <w:bottom w:val="nil"/>
              <w:right w:val="nil"/>
            </w:tcBorders>
            <w:shd w:val="clear" w:color="000000" w:fill="FFFFFF"/>
            <w:noWrap/>
            <w:vAlign w:val="center"/>
            <w:hideMark/>
          </w:tcPr>
          <w:p w14:paraId="2C4C89DA" w14:textId="77777777" w:rsidR="00BE741F" w:rsidRPr="009D52D8" w:rsidRDefault="00BE741F" w:rsidP="0040049A">
            <w:pPr>
              <w:pStyle w:val="TableTextIndented"/>
            </w:pPr>
            <w:r w:rsidRPr="009D52D8">
              <w:t>Provisions for subsidies</w:t>
            </w:r>
          </w:p>
        </w:tc>
        <w:tc>
          <w:tcPr>
            <w:tcW w:w="521" w:type="pct"/>
            <w:tcBorders>
              <w:top w:val="nil"/>
              <w:left w:val="nil"/>
              <w:bottom w:val="nil"/>
              <w:right w:val="nil"/>
            </w:tcBorders>
            <w:shd w:val="clear" w:color="000000" w:fill="FFFFFF"/>
            <w:noWrap/>
            <w:vAlign w:val="center"/>
            <w:hideMark/>
          </w:tcPr>
          <w:p w14:paraId="0F5140F9" w14:textId="394367DD" w:rsidR="00BE741F" w:rsidRPr="009D52D8" w:rsidRDefault="00BE741F" w:rsidP="003B5764">
            <w:pPr>
              <w:pStyle w:val="TableTextRight"/>
            </w:pPr>
            <w:r>
              <w:t>7,621</w:t>
            </w:r>
          </w:p>
        </w:tc>
        <w:tc>
          <w:tcPr>
            <w:tcW w:w="521" w:type="pct"/>
            <w:tcBorders>
              <w:top w:val="nil"/>
              <w:left w:val="nil"/>
              <w:bottom w:val="nil"/>
              <w:right w:val="nil"/>
            </w:tcBorders>
            <w:shd w:val="clear" w:color="000000" w:fill="E6F2FF"/>
            <w:noWrap/>
            <w:vAlign w:val="center"/>
            <w:hideMark/>
          </w:tcPr>
          <w:p w14:paraId="3B365398" w14:textId="600FCE59" w:rsidR="00BE741F" w:rsidRPr="009D52D8" w:rsidRDefault="00BE741F" w:rsidP="003B5764">
            <w:pPr>
              <w:pStyle w:val="TableTextRight"/>
            </w:pPr>
            <w:r>
              <w:t>7,855</w:t>
            </w:r>
          </w:p>
        </w:tc>
        <w:tc>
          <w:tcPr>
            <w:tcW w:w="521" w:type="pct"/>
            <w:tcBorders>
              <w:top w:val="nil"/>
              <w:left w:val="nil"/>
              <w:bottom w:val="nil"/>
              <w:right w:val="nil"/>
            </w:tcBorders>
            <w:shd w:val="clear" w:color="000000" w:fill="FFFFFF"/>
            <w:noWrap/>
            <w:vAlign w:val="center"/>
            <w:hideMark/>
          </w:tcPr>
          <w:p w14:paraId="2E31BE78" w14:textId="207A948E" w:rsidR="00BE741F" w:rsidRPr="009D52D8" w:rsidRDefault="00BE741F" w:rsidP="003B5764">
            <w:pPr>
              <w:pStyle w:val="TableTextRight"/>
            </w:pPr>
            <w:r>
              <w:t>8,088</w:t>
            </w:r>
          </w:p>
        </w:tc>
        <w:tc>
          <w:tcPr>
            <w:tcW w:w="521" w:type="pct"/>
            <w:tcBorders>
              <w:top w:val="nil"/>
              <w:left w:val="nil"/>
              <w:bottom w:val="nil"/>
              <w:right w:val="nil"/>
            </w:tcBorders>
            <w:shd w:val="clear" w:color="000000" w:fill="FFFFFF"/>
            <w:noWrap/>
            <w:vAlign w:val="center"/>
            <w:hideMark/>
          </w:tcPr>
          <w:p w14:paraId="4564C9AD" w14:textId="6F873F53" w:rsidR="00BE741F" w:rsidRPr="009D52D8" w:rsidRDefault="00BE741F" w:rsidP="003B5764">
            <w:pPr>
              <w:pStyle w:val="TableTextRight"/>
            </w:pPr>
            <w:r>
              <w:t>8,412</w:t>
            </w:r>
          </w:p>
        </w:tc>
        <w:tc>
          <w:tcPr>
            <w:tcW w:w="532" w:type="pct"/>
            <w:tcBorders>
              <w:top w:val="nil"/>
              <w:left w:val="nil"/>
              <w:bottom w:val="nil"/>
              <w:right w:val="nil"/>
            </w:tcBorders>
            <w:shd w:val="clear" w:color="000000" w:fill="FFFFFF"/>
            <w:noWrap/>
            <w:vAlign w:val="center"/>
            <w:hideMark/>
          </w:tcPr>
          <w:p w14:paraId="4699C1A5" w14:textId="22644192" w:rsidR="00BE741F" w:rsidRPr="009D52D8" w:rsidRDefault="00BE741F" w:rsidP="003B5764">
            <w:pPr>
              <w:pStyle w:val="TableTextRight"/>
            </w:pPr>
            <w:r>
              <w:t>8,740</w:t>
            </w:r>
          </w:p>
        </w:tc>
      </w:tr>
      <w:tr w:rsidR="00BE741F" w:rsidRPr="009D52D8" w14:paraId="61FE97B8" w14:textId="77777777" w:rsidTr="003F2CBE">
        <w:trPr>
          <w:trHeight w:val="225"/>
        </w:trPr>
        <w:tc>
          <w:tcPr>
            <w:tcW w:w="2382" w:type="pct"/>
            <w:tcBorders>
              <w:top w:val="nil"/>
              <w:left w:val="nil"/>
              <w:bottom w:val="nil"/>
              <w:right w:val="nil"/>
            </w:tcBorders>
            <w:shd w:val="clear" w:color="000000" w:fill="FFFFFF"/>
            <w:noWrap/>
            <w:vAlign w:val="center"/>
            <w:hideMark/>
          </w:tcPr>
          <w:p w14:paraId="7F6AFCB5" w14:textId="77777777" w:rsidR="00BE741F" w:rsidRPr="009D52D8" w:rsidRDefault="00BE741F" w:rsidP="0040049A">
            <w:pPr>
              <w:pStyle w:val="TableTextIndented"/>
            </w:pPr>
            <w:r w:rsidRPr="009D52D8">
              <w:t>Other</w:t>
            </w:r>
          </w:p>
        </w:tc>
        <w:tc>
          <w:tcPr>
            <w:tcW w:w="521" w:type="pct"/>
            <w:tcBorders>
              <w:top w:val="nil"/>
              <w:left w:val="nil"/>
              <w:bottom w:val="single" w:sz="4" w:space="0" w:color="293F5B"/>
              <w:right w:val="nil"/>
            </w:tcBorders>
            <w:shd w:val="clear" w:color="000000" w:fill="FFFFFF"/>
            <w:noWrap/>
            <w:vAlign w:val="center"/>
            <w:hideMark/>
          </w:tcPr>
          <w:p w14:paraId="466DBADE" w14:textId="1F72E310" w:rsidR="00BE741F" w:rsidRPr="009D52D8" w:rsidRDefault="00BE741F" w:rsidP="003B5764">
            <w:pPr>
              <w:pStyle w:val="TableTextRight"/>
            </w:pPr>
            <w:r>
              <w:t>34,856</w:t>
            </w:r>
          </w:p>
        </w:tc>
        <w:tc>
          <w:tcPr>
            <w:tcW w:w="521" w:type="pct"/>
            <w:tcBorders>
              <w:top w:val="nil"/>
              <w:left w:val="nil"/>
              <w:bottom w:val="single" w:sz="4" w:space="0" w:color="293F5B"/>
              <w:right w:val="nil"/>
            </w:tcBorders>
            <w:shd w:val="clear" w:color="000000" w:fill="E6F2FF"/>
            <w:noWrap/>
            <w:vAlign w:val="center"/>
            <w:hideMark/>
          </w:tcPr>
          <w:p w14:paraId="7AA6AE16" w14:textId="0FAA5AD0" w:rsidR="00BE741F" w:rsidRPr="009D52D8" w:rsidRDefault="00BE741F" w:rsidP="003B5764">
            <w:pPr>
              <w:pStyle w:val="TableTextRight"/>
            </w:pPr>
            <w:r>
              <w:t>40,154</w:t>
            </w:r>
          </w:p>
        </w:tc>
        <w:tc>
          <w:tcPr>
            <w:tcW w:w="521" w:type="pct"/>
            <w:tcBorders>
              <w:top w:val="nil"/>
              <w:left w:val="nil"/>
              <w:bottom w:val="single" w:sz="4" w:space="0" w:color="293F5B"/>
              <w:right w:val="nil"/>
            </w:tcBorders>
            <w:shd w:val="clear" w:color="000000" w:fill="FFFFFF"/>
            <w:noWrap/>
            <w:vAlign w:val="center"/>
            <w:hideMark/>
          </w:tcPr>
          <w:p w14:paraId="67718138" w14:textId="35E8EBAF" w:rsidR="00BE741F" w:rsidRPr="009D52D8" w:rsidRDefault="00BE741F" w:rsidP="003B5764">
            <w:pPr>
              <w:pStyle w:val="TableTextRight"/>
            </w:pPr>
            <w:r>
              <w:t>40,886</w:t>
            </w:r>
          </w:p>
        </w:tc>
        <w:tc>
          <w:tcPr>
            <w:tcW w:w="521" w:type="pct"/>
            <w:tcBorders>
              <w:top w:val="nil"/>
              <w:left w:val="nil"/>
              <w:bottom w:val="single" w:sz="4" w:space="0" w:color="293F5B"/>
              <w:right w:val="nil"/>
            </w:tcBorders>
            <w:shd w:val="clear" w:color="000000" w:fill="FFFFFF"/>
            <w:noWrap/>
            <w:vAlign w:val="center"/>
            <w:hideMark/>
          </w:tcPr>
          <w:p w14:paraId="08772BAC" w14:textId="60BCFDFE" w:rsidR="00BE741F" w:rsidRPr="009D52D8" w:rsidRDefault="00BE741F" w:rsidP="003B5764">
            <w:pPr>
              <w:pStyle w:val="TableTextRight"/>
            </w:pPr>
            <w:r>
              <w:t>41,604</w:t>
            </w:r>
          </w:p>
        </w:tc>
        <w:tc>
          <w:tcPr>
            <w:tcW w:w="532" w:type="pct"/>
            <w:tcBorders>
              <w:top w:val="nil"/>
              <w:left w:val="nil"/>
              <w:bottom w:val="single" w:sz="4" w:space="0" w:color="293F5B"/>
              <w:right w:val="nil"/>
            </w:tcBorders>
            <w:shd w:val="clear" w:color="000000" w:fill="FFFFFF"/>
            <w:noWrap/>
            <w:vAlign w:val="center"/>
            <w:hideMark/>
          </w:tcPr>
          <w:p w14:paraId="5ED30F4B" w14:textId="4BD935CA" w:rsidR="00BE741F" w:rsidRPr="009D52D8" w:rsidRDefault="00BE741F" w:rsidP="003B5764">
            <w:pPr>
              <w:pStyle w:val="TableTextRight"/>
            </w:pPr>
            <w:r>
              <w:t>41,437</w:t>
            </w:r>
          </w:p>
        </w:tc>
      </w:tr>
      <w:tr w:rsidR="00BE741F" w:rsidRPr="009D52D8" w14:paraId="65341295" w14:textId="77777777" w:rsidTr="003F2CBE">
        <w:trPr>
          <w:trHeight w:val="225"/>
        </w:trPr>
        <w:tc>
          <w:tcPr>
            <w:tcW w:w="2382" w:type="pct"/>
            <w:tcBorders>
              <w:top w:val="nil"/>
              <w:left w:val="nil"/>
              <w:bottom w:val="single" w:sz="4" w:space="0" w:color="293F5B"/>
              <w:right w:val="nil"/>
            </w:tcBorders>
            <w:shd w:val="clear" w:color="000000" w:fill="FFFFFF"/>
            <w:noWrap/>
            <w:vAlign w:val="center"/>
            <w:hideMark/>
          </w:tcPr>
          <w:p w14:paraId="7F0F6820" w14:textId="77777777" w:rsidR="00BE741F" w:rsidRPr="009D52D8" w:rsidRDefault="00BE741F" w:rsidP="003B5764">
            <w:pPr>
              <w:pStyle w:val="TableTextLeft"/>
              <w:rPr>
                <w:b/>
              </w:rPr>
            </w:pPr>
            <w:r w:rsidRPr="009D52D8">
              <w:rPr>
                <w:b/>
              </w:rPr>
              <w:t>Total provisions</w:t>
            </w:r>
          </w:p>
        </w:tc>
        <w:tc>
          <w:tcPr>
            <w:tcW w:w="521" w:type="pct"/>
            <w:tcBorders>
              <w:top w:val="nil"/>
              <w:left w:val="nil"/>
              <w:bottom w:val="single" w:sz="4" w:space="0" w:color="293F5B"/>
              <w:right w:val="nil"/>
            </w:tcBorders>
            <w:shd w:val="clear" w:color="000000" w:fill="FFFFFF"/>
            <w:noWrap/>
            <w:vAlign w:val="center"/>
            <w:hideMark/>
          </w:tcPr>
          <w:p w14:paraId="0D1A7E40" w14:textId="56416E27" w:rsidR="00BE741F" w:rsidRPr="009D52D8" w:rsidRDefault="00BE741F" w:rsidP="003B5764">
            <w:pPr>
              <w:pStyle w:val="TableTextRight"/>
              <w:rPr>
                <w:b/>
              </w:rPr>
            </w:pPr>
            <w:r>
              <w:rPr>
                <w:b/>
              </w:rPr>
              <w:t>69,787</w:t>
            </w:r>
          </w:p>
        </w:tc>
        <w:tc>
          <w:tcPr>
            <w:tcW w:w="521" w:type="pct"/>
            <w:tcBorders>
              <w:top w:val="nil"/>
              <w:left w:val="nil"/>
              <w:bottom w:val="single" w:sz="4" w:space="0" w:color="293F5B"/>
              <w:right w:val="nil"/>
            </w:tcBorders>
            <w:shd w:val="clear" w:color="000000" w:fill="E6F2FF"/>
            <w:noWrap/>
            <w:vAlign w:val="center"/>
            <w:hideMark/>
          </w:tcPr>
          <w:p w14:paraId="4C6A2302" w14:textId="51D61B04" w:rsidR="00BE741F" w:rsidRPr="009D52D8" w:rsidRDefault="00BE741F" w:rsidP="003B5764">
            <w:pPr>
              <w:pStyle w:val="TableTextRight"/>
              <w:rPr>
                <w:b/>
              </w:rPr>
            </w:pPr>
            <w:r>
              <w:rPr>
                <w:b/>
              </w:rPr>
              <w:t>71,994</w:t>
            </w:r>
          </w:p>
        </w:tc>
        <w:tc>
          <w:tcPr>
            <w:tcW w:w="521" w:type="pct"/>
            <w:tcBorders>
              <w:top w:val="nil"/>
              <w:left w:val="nil"/>
              <w:bottom w:val="single" w:sz="4" w:space="0" w:color="293F5B"/>
              <w:right w:val="nil"/>
            </w:tcBorders>
            <w:shd w:val="clear" w:color="000000" w:fill="FFFFFF"/>
            <w:noWrap/>
            <w:vAlign w:val="center"/>
            <w:hideMark/>
          </w:tcPr>
          <w:p w14:paraId="1ECDE1B0" w14:textId="692AA57B" w:rsidR="00BE741F" w:rsidRPr="009D52D8" w:rsidRDefault="00BE741F" w:rsidP="003B5764">
            <w:pPr>
              <w:pStyle w:val="TableTextRight"/>
              <w:rPr>
                <w:b/>
              </w:rPr>
            </w:pPr>
            <w:r>
              <w:rPr>
                <w:b/>
              </w:rPr>
              <w:t>70,804</w:t>
            </w:r>
          </w:p>
        </w:tc>
        <w:tc>
          <w:tcPr>
            <w:tcW w:w="521" w:type="pct"/>
            <w:tcBorders>
              <w:top w:val="nil"/>
              <w:left w:val="nil"/>
              <w:bottom w:val="single" w:sz="4" w:space="0" w:color="293F5B"/>
              <w:right w:val="nil"/>
            </w:tcBorders>
            <w:shd w:val="clear" w:color="000000" w:fill="FFFFFF"/>
            <w:noWrap/>
            <w:vAlign w:val="center"/>
            <w:hideMark/>
          </w:tcPr>
          <w:p w14:paraId="5B57EE3C" w14:textId="46AAF69F" w:rsidR="00BE741F" w:rsidRPr="009D52D8" w:rsidRDefault="00BE741F" w:rsidP="003B5764">
            <w:pPr>
              <w:pStyle w:val="TableTextRight"/>
              <w:rPr>
                <w:b/>
              </w:rPr>
            </w:pPr>
            <w:r>
              <w:rPr>
                <w:b/>
              </w:rPr>
              <w:t>69,513</w:t>
            </w:r>
          </w:p>
        </w:tc>
        <w:tc>
          <w:tcPr>
            <w:tcW w:w="532" w:type="pct"/>
            <w:tcBorders>
              <w:top w:val="nil"/>
              <w:left w:val="nil"/>
              <w:bottom w:val="single" w:sz="4" w:space="0" w:color="293F5B"/>
              <w:right w:val="nil"/>
            </w:tcBorders>
            <w:shd w:val="clear" w:color="000000" w:fill="FFFFFF"/>
            <w:noWrap/>
            <w:vAlign w:val="center"/>
            <w:hideMark/>
          </w:tcPr>
          <w:p w14:paraId="575B50B5" w14:textId="29C104CE" w:rsidR="00BE741F" w:rsidRPr="009D52D8" w:rsidRDefault="00BE741F" w:rsidP="003B5764">
            <w:pPr>
              <w:pStyle w:val="TableTextRight"/>
              <w:rPr>
                <w:b/>
              </w:rPr>
            </w:pPr>
            <w:r>
              <w:rPr>
                <w:b/>
              </w:rPr>
              <w:t>69,940</w:t>
            </w:r>
          </w:p>
        </w:tc>
      </w:tr>
    </w:tbl>
    <w:p w14:paraId="12539477" w14:textId="2E27F460" w:rsidR="00D8138E" w:rsidRDefault="00D8138E" w:rsidP="00F93FF4">
      <w:r w:rsidRPr="00EA746C">
        <w:br w:type="page"/>
      </w:r>
    </w:p>
    <w:tbl>
      <w:tblPr>
        <w:tblpPr w:leftFromText="180" w:rightFromText="180" w:vertAnchor="page" w:horzAnchor="margin" w:tblpY="3107"/>
        <w:tblW w:w="7711" w:type="dxa"/>
        <w:tblCellMar>
          <w:left w:w="0" w:type="dxa"/>
          <w:right w:w="28" w:type="dxa"/>
        </w:tblCellMar>
        <w:tblLook w:val="04A0" w:firstRow="1" w:lastRow="0" w:firstColumn="1" w:lastColumn="0" w:noHBand="0" w:noVBand="1"/>
      </w:tblPr>
      <w:tblGrid>
        <w:gridCol w:w="4200"/>
        <w:gridCol w:w="703"/>
        <w:gridCol w:w="702"/>
        <w:gridCol w:w="702"/>
        <w:gridCol w:w="702"/>
        <w:gridCol w:w="702"/>
      </w:tblGrid>
      <w:tr w:rsidR="00883934" w:rsidRPr="00D12F91" w14:paraId="0F708535" w14:textId="77777777" w:rsidTr="00883934">
        <w:trPr>
          <w:trHeight w:val="225"/>
        </w:trPr>
        <w:tc>
          <w:tcPr>
            <w:tcW w:w="0" w:type="auto"/>
            <w:tcBorders>
              <w:top w:val="single" w:sz="4" w:space="0" w:color="293F5B"/>
              <w:left w:val="nil"/>
              <w:bottom w:val="nil"/>
              <w:right w:val="nil"/>
            </w:tcBorders>
            <w:shd w:val="clear" w:color="000000" w:fill="FFFFFF"/>
            <w:noWrap/>
            <w:vAlign w:val="center"/>
            <w:hideMark/>
          </w:tcPr>
          <w:p w14:paraId="363AC3EB" w14:textId="77777777" w:rsidR="00883934" w:rsidRPr="00D12F91" w:rsidRDefault="00883934" w:rsidP="00883934">
            <w:pPr>
              <w:spacing w:before="0" w:after="0" w:line="240" w:lineRule="auto"/>
              <w:rPr>
                <w:rFonts w:ascii="Arial" w:hAnsi="Arial" w:cs="Arial"/>
                <w:color w:val="000000"/>
                <w:sz w:val="16"/>
                <w:szCs w:val="16"/>
              </w:rPr>
            </w:pPr>
            <w:r w:rsidRPr="00D12F91">
              <w:rPr>
                <w:rFonts w:ascii="Arial" w:hAnsi="Arial" w:cs="Arial"/>
                <w:color w:val="000000"/>
                <w:sz w:val="16"/>
                <w:szCs w:val="16"/>
              </w:rPr>
              <w:lastRenderedPageBreak/>
              <w:t> </w:t>
            </w:r>
          </w:p>
        </w:tc>
        <w:tc>
          <w:tcPr>
            <w:tcW w:w="0" w:type="auto"/>
            <w:gridSpan w:val="5"/>
            <w:tcBorders>
              <w:top w:val="single" w:sz="4" w:space="0" w:color="293F5B"/>
              <w:left w:val="nil"/>
              <w:bottom w:val="single" w:sz="4" w:space="0" w:color="293F5B"/>
              <w:right w:val="nil"/>
            </w:tcBorders>
            <w:shd w:val="clear" w:color="000000" w:fill="FFFFFF"/>
            <w:noWrap/>
            <w:vAlign w:val="center"/>
            <w:hideMark/>
          </w:tcPr>
          <w:p w14:paraId="077ADCAD" w14:textId="77777777" w:rsidR="00883934" w:rsidRPr="00D12F91" w:rsidRDefault="00883934" w:rsidP="00883934">
            <w:pPr>
              <w:spacing w:before="0" w:after="0" w:line="240" w:lineRule="auto"/>
              <w:jc w:val="center"/>
              <w:rPr>
                <w:rFonts w:ascii="Arial" w:hAnsi="Arial" w:cs="Arial"/>
                <w:sz w:val="16"/>
                <w:szCs w:val="16"/>
              </w:rPr>
            </w:pPr>
            <w:r w:rsidRPr="00D12F91">
              <w:rPr>
                <w:rFonts w:ascii="Arial" w:hAnsi="Arial" w:cs="Arial"/>
                <w:sz w:val="16"/>
                <w:szCs w:val="16"/>
              </w:rPr>
              <w:t>Estimates</w:t>
            </w:r>
          </w:p>
        </w:tc>
      </w:tr>
      <w:tr w:rsidR="00883934" w:rsidRPr="00D12F91" w14:paraId="767471B8" w14:textId="77777777" w:rsidTr="00883934">
        <w:trPr>
          <w:trHeight w:val="225"/>
        </w:trPr>
        <w:tc>
          <w:tcPr>
            <w:tcW w:w="0" w:type="auto"/>
            <w:tcBorders>
              <w:top w:val="nil"/>
              <w:left w:val="nil"/>
              <w:bottom w:val="nil"/>
              <w:right w:val="nil"/>
            </w:tcBorders>
            <w:shd w:val="clear" w:color="000000" w:fill="FFFFFF"/>
            <w:noWrap/>
            <w:vAlign w:val="center"/>
            <w:hideMark/>
          </w:tcPr>
          <w:p w14:paraId="6AB30A1C" w14:textId="77777777" w:rsidR="00883934" w:rsidRPr="00D12F91" w:rsidRDefault="00883934" w:rsidP="00883934">
            <w:pPr>
              <w:spacing w:before="0" w:after="0" w:line="240" w:lineRule="auto"/>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7197B56D" w14:textId="40F08B23"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2023</w:t>
            </w:r>
            <w:r w:rsidR="00325E1E">
              <w:rPr>
                <w:rFonts w:ascii="Arial" w:hAnsi="Arial" w:cs="Arial"/>
                <w:sz w:val="16"/>
                <w:szCs w:val="16"/>
              </w:rPr>
              <w:noBreakHyphen/>
            </w:r>
            <w:r w:rsidRPr="00D12F91">
              <w:rPr>
                <w:rFonts w:ascii="Arial" w:hAnsi="Arial" w:cs="Arial"/>
                <w:sz w:val="16"/>
                <w:szCs w:val="16"/>
              </w:rPr>
              <w:t>24</w:t>
            </w:r>
          </w:p>
        </w:tc>
        <w:tc>
          <w:tcPr>
            <w:tcW w:w="0" w:type="auto"/>
            <w:tcBorders>
              <w:top w:val="nil"/>
              <w:left w:val="nil"/>
              <w:bottom w:val="nil"/>
              <w:right w:val="nil"/>
            </w:tcBorders>
            <w:shd w:val="clear" w:color="000000" w:fill="E6F2FF"/>
            <w:noWrap/>
            <w:vAlign w:val="center"/>
            <w:hideMark/>
          </w:tcPr>
          <w:p w14:paraId="64180DF5" w14:textId="6787A25A"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2024</w:t>
            </w:r>
            <w:r w:rsidR="00325E1E">
              <w:rPr>
                <w:rFonts w:ascii="Arial" w:hAnsi="Arial" w:cs="Arial"/>
                <w:sz w:val="16"/>
                <w:szCs w:val="16"/>
              </w:rPr>
              <w:noBreakHyphen/>
            </w:r>
            <w:r w:rsidRPr="00D12F91">
              <w:rPr>
                <w:rFonts w:ascii="Arial" w:hAnsi="Arial" w:cs="Arial"/>
                <w:sz w:val="16"/>
                <w:szCs w:val="16"/>
              </w:rPr>
              <w:t>25</w:t>
            </w:r>
          </w:p>
        </w:tc>
        <w:tc>
          <w:tcPr>
            <w:tcW w:w="0" w:type="auto"/>
            <w:tcBorders>
              <w:top w:val="nil"/>
              <w:left w:val="nil"/>
              <w:bottom w:val="nil"/>
              <w:right w:val="nil"/>
            </w:tcBorders>
            <w:shd w:val="clear" w:color="000000" w:fill="FFFFFF"/>
            <w:noWrap/>
            <w:vAlign w:val="center"/>
            <w:hideMark/>
          </w:tcPr>
          <w:p w14:paraId="09DC577C" w14:textId="2A90FB46"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2025</w:t>
            </w:r>
            <w:r w:rsidR="00325E1E">
              <w:rPr>
                <w:rFonts w:ascii="Arial" w:hAnsi="Arial" w:cs="Arial"/>
                <w:sz w:val="16"/>
                <w:szCs w:val="16"/>
              </w:rPr>
              <w:noBreakHyphen/>
            </w:r>
            <w:r w:rsidRPr="00D12F91">
              <w:rPr>
                <w:rFonts w:ascii="Arial" w:hAnsi="Arial" w:cs="Arial"/>
                <w:sz w:val="16"/>
                <w:szCs w:val="16"/>
              </w:rPr>
              <w:t>26</w:t>
            </w:r>
          </w:p>
        </w:tc>
        <w:tc>
          <w:tcPr>
            <w:tcW w:w="0" w:type="auto"/>
            <w:tcBorders>
              <w:top w:val="nil"/>
              <w:left w:val="nil"/>
              <w:bottom w:val="nil"/>
              <w:right w:val="nil"/>
            </w:tcBorders>
            <w:shd w:val="clear" w:color="000000" w:fill="FFFFFF"/>
            <w:noWrap/>
            <w:vAlign w:val="center"/>
            <w:hideMark/>
          </w:tcPr>
          <w:p w14:paraId="6514DD9A" w14:textId="218C0EAA"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2026</w:t>
            </w:r>
            <w:r w:rsidR="00325E1E">
              <w:rPr>
                <w:rFonts w:ascii="Arial" w:hAnsi="Arial" w:cs="Arial"/>
                <w:sz w:val="16"/>
                <w:szCs w:val="16"/>
              </w:rPr>
              <w:noBreakHyphen/>
            </w:r>
            <w:r w:rsidRPr="00D12F91">
              <w:rPr>
                <w:rFonts w:ascii="Arial" w:hAnsi="Arial" w:cs="Arial"/>
                <w:sz w:val="16"/>
                <w:szCs w:val="16"/>
              </w:rPr>
              <w:t>27</w:t>
            </w:r>
          </w:p>
        </w:tc>
        <w:tc>
          <w:tcPr>
            <w:tcW w:w="0" w:type="auto"/>
            <w:tcBorders>
              <w:top w:val="nil"/>
              <w:left w:val="nil"/>
              <w:bottom w:val="nil"/>
              <w:right w:val="nil"/>
            </w:tcBorders>
            <w:shd w:val="clear" w:color="000000" w:fill="FFFFFF"/>
            <w:noWrap/>
            <w:vAlign w:val="center"/>
            <w:hideMark/>
          </w:tcPr>
          <w:p w14:paraId="6C864791" w14:textId="56E2CD6F"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2027</w:t>
            </w:r>
            <w:r w:rsidR="00325E1E">
              <w:rPr>
                <w:rFonts w:ascii="Arial" w:hAnsi="Arial" w:cs="Arial"/>
                <w:color w:val="000000"/>
                <w:sz w:val="16"/>
                <w:szCs w:val="16"/>
              </w:rPr>
              <w:noBreakHyphen/>
            </w:r>
            <w:r w:rsidRPr="00D12F91">
              <w:rPr>
                <w:rFonts w:ascii="Arial" w:hAnsi="Arial" w:cs="Arial"/>
                <w:color w:val="000000"/>
                <w:sz w:val="16"/>
                <w:szCs w:val="16"/>
              </w:rPr>
              <w:t>28</w:t>
            </w:r>
          </w:p>
        </w:tc>
      </w:tr>
      <w:tr w:rsidR="00883934" w:rsidRPr="00D12F91" w14:paraId="429731C9" w14:textId="77777777" w:rsidTr="00883934">
        <w:trPr>
          <w:trHeight w:val="225"/>
        </w:trPr>
        <w:tc>
          <w:tcPr>
            <w:tcW w:w="0" w:type="auto"/>
            <w:tcBorders>
              <w:top w:val="nil"/>
              <w:left w:val="nil"/>
              <w:bottom w:val="nil"/>
              <w:right w:val="nil"/>
            </w:tcBorders>
            <w:shd w:val="clear" w:color="000000" w:fill="FFFFFF"/>
            <w:noWrap/>
            <w:vAlign w:val="center"/>
            <w:hideMark/>
          </w:tcPr>
          <w:p w14:paraId="6C3B9D59" w14:textId="77777777" w:rsidR="00883934" w:rsidRPr="00D12F91" w:rsidRDefault="00883934" w:rsidP="00883934">
            <w:pPr>
              <w:spacing w:before="0" w:after="0" w:line="240" w:lineRule="auto"/>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single" w:sz="4" w:space="0" w:color="293F5B"/>
              <w:right w:val="nil"/>
            </w:tcBorders>
            <w:shd w:val="clear" w:color="000000" w:fill="FFFFFF"/>
            <w:noWrap/>
            <w:vAlign w:val="center"/>
            <w:hideMark/>
          </w:tcPr>
          <w:p w14:paraId="461042C3"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E6F2FF"/>
            <w:noWrap/>
            <w:vAlign w:val="center"/>
            <w:hideMark/>
          </w:tcPr>
          <w:p w14:paraId="78DE0E2D"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79D2BE4B"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24DB3D75"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$m</w:t>
            </w:r>
          </w:p>
        </w:tc>
        <w:tc>
          <w:tcPr>
            <w:tcW w:w="0" w:type="auto"/>
            <w:tcBorders>
              <w:top w:val="nil"/>
              <w:left w:val="nil"/>
              <w:bottom w:val="single" w:sz="4" w:space="0" w:color="293F5B"/>
              <w:right w:val="nil"/>
            </w:tcBorders>
            <w:shd w:val="clear" w:color="000000" w:fill="FFFFFF"/>
            <w:noWrap/>
            <w:vAlign w:val="center"/>
            <w:hideMark/>
          </w:tcPr>
          <w:p w14:paraId="09D16EE0"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$m</w:t>
            </w:r>
          </w:p>
        </w:tc>
      </w:tr>
      <w:tr w:rsidR="00883934" w:rsidRPr="00D12F91" w14:paraId="34A83F3F" w14:textId="77777777" w:rsidTr="00883934">
        <w:trPr>
          <w:trHeight w:val="225"/>
        </w:trPr>
        <w:tc>
          <w:tcPr>
            <w:tcW w:w="0" w:type="auto"/>
            <w:tcBorders>
              <w:top w:val="nil"/>
              <w:left w:val="nil"/>
              <w:bottom w:val="nil"/>
              <w:right w:val="nil"/>
            </w:tcBorders>
            <w:shd w:val="clear" w:color="000000" w:fill="FFFFFF"/>
            <w:noWrap/>
            <w:vAlign w:val="center"/>
            <w:hideMark/>
          </w:tcPr>
          <w:p w14:paraId="3D5DBE84" w14:textId="77777777" w:rsidR="00883934" w:rsidRPr="00D12F91" w:rsidRDefault="00883934" w:rsidP="00883934">
            <w:pPr>
              <w:spacing w:before="0" w:after="0" w:line="240" w:lineRule="auto"/>
              <w:rPr>
                <w:rFonts w:ascii="Arial" w:hAnsi="Arial" w:cs="Arial"/>
                <w:b/>
                <w:bCs/>
                <w:sz w:val="16"/>
                <w:szCs w:val="16"/>
              </w:rPr>
            </w:pPr>
            <w:r w:rsidRPr="00D12F91">
              <w:rPr>
                <w:rFonts w:ascii="Arial" w:hAnsi="Arial" w:cs="Arial"/>
                <w:b/>
                <w:bCs/>
                <w:sz w:val="16"/>
                <w:szCs w:val="16"/>
              </w:rPr>
              <w:t xml:space="preserve">Net operating balance (revenues </w:t>
            </w:r>
            <w:r w:rsidRPr="00D12F91">
              <w:rPr>
                <w:rFonts w:ascii="Arial" w:hAnsi="Arial" w:cs="Arial"/>
                <w:b/>
                <w:bCs/>
                <w:i/>
                <w:iCs/>
                <w:sz w:val="16"/>
                <w:szCs w:val="16"/>
              </w:rPr>
              <w:t>less</w:t>
            </w:r>
            <w:r w:rsidRPr="00D12F91">
              <w:rPr>
                <w:rFonts w:ascii="Arial" w:hAnsi="Arial" w:cs="Arial"/>
                <w:b/>
                <w:bCs/>
                <w:sz w:val="16"/>
                <w:szCs w:val="16"/>
              </w:rPr>
              <w:t xml:space="preserve"> expenses)</w:t>
            </w:r>
          </w:p>
        </w:tc>
        <w:tc>
          <w:tcPr>
            <w:tcW w:w="0" w:type="auto"/>
            <w:tcBorders>
              <w:top w:val="nil"/>
              <w:left w:val="nil"/>
              <w:bottom w:val="single" w:sz="4" w:space="0" w:color="293F5B"/>
              <w:right w:val="nil"/>
            </w:tcBorders>
            <w:shd w:val="clear" w:color="000000" w:fill="FFFFFF"/>
            <w:noWrap/>
            <w:vAlign w:val="center"/>
            <w:hideMark/>
          </w:tcPr>
          <w:p w14:paraId="5062A744"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15,807</w:t>
            </w:r>
          </w:p>
        </w:tc>
        <w:tc>
          <w:tcPr>
            <w:tcW w:w="0" w:type="auto"/>
            <w:tcBorders>
              <w:top w:val="nil"/>
              <w:left w:val="nil"/>
              <w:bottom w:val="single" w:sz="4" w:space="0" w:color="293F5B"/>
              <w:right w:val="nil"/>
            </w:tcBorders>
            <w:shd w:val="clear" w:color="000000" w:fill="E6F2FF"/>
            <w:noWrap/>
            <w:vAlign w:val="center"/>
            <w:hideMark/>
          </w:tcPr>
          <w:p w14:paraId="73B7C952" w14:textId="75269530"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23,014</w:t>
            </w:r>
          </w:p>
        </w:tc>
        <w:tc>
          <w:tcPr>
            <w:tcW w:w="0" w:type="auto"/>
            <w:tcBorders>
              <w:top w:val="nil"/>
              <w:left w:val="nil"/>
              <w:bottom w:val="single" w:sz="4" w:space="0" w:color="293F5B"/>
              <w:right w:val="nil"/>
            </w:tcBorders>
            <w:shd w:val="clear" w:color="000000" w:fill="FFFFFF"/>
            <w:noWrap/>
            <w:vAlign w:val="center"/>
            <w:hideMark/>
          </w:tcPr>
          <w:p w14:paraId="6CB34506" w14:textId="13EA854B"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34,550</w:t>
            </w:r>
          </w:p>
        </w:tc>
        <w:tc>
          <w:tcPr>
            <w:tcW w:w="0" w:type="auto"/>
            <w:tcBorders>
              <w:top w:val="nil"/>
              <w:left w:val="nil"/>
              <w:bottom w:val="single" w:sz="4" w:space="0" w:color="293F5B"/>
              <w:right w:val="nil"/>
            </w:tcBorders>
            <w:shd w:val="clear" w:color="000000" w:fill="FFFFFF"/>
            <w:noWrap/>
            <w:vAlign w:val="center"/>
            <w:hideMark/>
          </w:tcPr>
          <w:p w14:paraId="346BE94C" w14:textId="06ED186C"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17,526</w:t>
            </w:r>
          </w:p>
        </w:tc>
        <w:tc>
          <w:tcPr>
            <w:tcW w:w="0" w:type="auto"/>
            <w:tcBorders>
              <w:top w:val="nil"/>
              <w:left w:val="nil"/>
              <w:bottom w:val="single" w:sz="4" w:space="0" w:color="293F5B"/>
              <w:right w:val="nil"/>
            </w:tcBorders>
            <w:shd w:val="clear" w:color="000000" w:fill="FFFFFF"/>
            <w:noWrap/>
            <w:vAlign w:val="center"/>
            <w:hideMark/>
          </w:tcPr>
          <w:p w14:paraId="2AE1D4AA" w14:textId="1E9106A2"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10,127</w:t>
            </w:r>
          </w:p>
        </w:tc>
      </w:tr>
      <w:tr w:rsidR="00883934" w:rsidRPr="00D12F91" w14:paraId="21610BF3" w14:textId="77777777" w:rsidTr="00883934">
        <w:trPr>
          <w:trHeight w:val="225"/>
        </w:trPr>
        <w:tc>
          <w:tcPr>
            <w:tcW w:w="0" w:type="auto"/>
            <w:tcBorders>
              <w:top w:val="nil"/>
              <w:left w:val="nil"/>
              <w:bottom w:val="nil"/>
              <w:right w:val="nil"/>
            </w:tcBorders>
            <w:shd w:val="clear" w:color="000000" w:fill="FFFFFF"/>
            <w:noWrap/>
            <w:vAlign w:val="center"/>
            <w:hideMark/>
          </w:tcPr>
          <w:p w14:paraId="358F2449" w14:textId="77777777" w:rsidR="00883934" w:rsidRPr="00D12F91" w:rsidRDefault="00883934" w:rsidP="00883934">
            <w:pPr>
              <w:spacing w:before="0" w:after="0" w:line="240" w:lineRule="auto"/>
              <w:rPr>
                <w:rFonts w:ascii="Arial" w:hAnsi="Arial" w:cs="Arial"/>
                <w:i/>
                <w:iCs/>
                <w:sz w:val="16"/>
                <w:szCs w:val="16"/>
              </w:rPr>
            </w:pPr>
            <w:r w:rsidRPr="00D12F91">
              <w:rPr>
                <w:rFonts w:ascii="Arial" w:hAnsi="Arial" w:cs="Arial"/>
                <w:i/>
                <w:iCs/>
                <w:sz w:val="16"/>
                <w:szCs w:val="16"/>
              </w:rPr>
              <w:t>less</w:t>
            </w:r>
            <w:r w:rsidRPr="00D12F91">
              <w:rPr>
                <w:rFonts w:ascii="Arial" w:hAnsi="Arial" w:cs="Arial"/>
                <w:sz w:val="16"/>
                <w:szCs w:val="16"/>
              </w:rPr>
              <w:t xml:space="preserve">  </w:t>
            </w:r>
            <w:r w:rsidRPr="00D12F91">
              <w:rPr>
                <w:rFonts w:ascii="Arial" w:hAnsi="Arial" w:cs="Arial"/>
                <w:b/>
                <w:bCs/>
                <w:sz w:val="16"/>
                <w:szCs w:val="16"/>
              </w:rPr>
              <w:t xml:space="preserve">Revenues not providing cash  </w:t>
            </w:r>
          </w:p>
        </w:tc>
        <w:tc>
          <w:tcPr>
            <w:tcW w:w="0" w:type="auto"/>
            <w:tcBorders>
              <w:top w:val="nil"/>
              <w:left w:val="nil"/>
              <w:bottom w:val="nil"/>
              <w:right w:val="nil"/>
            </w:tcBorders>
            <w:shd w:val="clear" w:color="000000" w:fill="FFFFFF"/>
            <w:noWrap/>
            <w:vAlign w:val="center"/>
            <w:hideMark/>
          </w:tcPr>
          <w:p w14:paraId="4F6FDA89"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111FA7B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0670F6B0"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 </w:t>
            </w:r>
          </w:p>
        </w:tc>
        <w:tc>
          <w:tcPr>
            <w:tcW w:w="0" w:type="auto"/>
            <w:tcBorders>
              <w:top w:val="nil"/>
              <w:left w:val="nil"/>
              <w:bottom w:val="nil"/>
              <w:right w:val="nil"/>
            </w:tcBorders>
            <w:shd w:val="clear" w:color="000000" w:fill="FFFFFF"/>
            <w:noWrap/>
            <w:vAlign w:val="center"/>
            <w:hideMark/>
          </w:tcPr>
          <w:p w14:paraId="36B4790F"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4494F3FD"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r>
      <w:tr w:rsidR="00883934" w:rsidRPr="00D12F91" w14:paraId="5A321DED" w14:textId="77777777" w:rsidTr="00883934">
        <w:trPr>
          <w:trHeight w:val="225"/>
        </w:trPr>
        <w:tc>
          <w:tcPr>
            <w:tcW w:w="0" w:type="auto"/>
            <w:tcBorders>
              <w:top w:val="nil"/>
              <w:left w:val="nil"/>
              <w:bottom w:val="nil"/>
              <w:right w:val="nil"/>
            </w:tcBorders>
            <w:shd w:val="clear" w:color="000000" w:fill="FFFFFF"/>
            <w:noWrap/>
            <w:vAlign w:val="center"/>
            <w:hideMark/>
          </w:tcPr>
          <w:p w14:paraId="2314375B"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Other</w:t>
            </w:r>
          </w:p>
        </w:tc>
        <w:tc>
          <w:tcPr>
            <w:tcW w:w="0" w:type="auto"/>
            <w:tcBorders>
              <w:top w:val="nil"/>
              <w:left w:val="nil"/>
              <w:bottom w:val="single" w:sz="4" w:space="0" w:color="293F5B"/>
              <w:right w:val="nil"/>
            </w:tcBorders>
            <w:shd w:val="clear" w:color="000000" w:fill="FFFFFF"/>
            <w:noWrap/>
            <w:vAlign w:val="center"/>
            <w:hideMark/>
          </w:tcPr>
          <w:p w14:paraId="599C5BE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3,004</w:t>
            </w:r>
          </w:p>
        </w:tc>
        <w:tc>
          <w:tcPr>
            <w:tcW w:w="0" w:type="auto"/>
            <w:tcBorders>
              <w:top w:val="nil"/>
              <w:left w:val="nil"/>
              <w:bottom w:val="single" w:sz="4" w:space="0" w:color="293F5B"/>
              <w:right w:val="nil"/>
            </w:tcBorders>
            <w:shd w:val="clear" w:color="000000" w:fill="E6F2FF"/>
            <w:noWrap/>
            <w:vAlign w:val="center"/>
            <w:hideMark/>
          </w:tcPr>
          <w:p w14:paraId="5E7D7498"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2,884</w:t>
            </w:r>
          </w:p>
        </w:tc>
        <w:tc>
          <w:tcPr>
            <w:tcW w:w="0" w:type="auto"/>
            <w:tcBorders>
              <w:top w:val="nil"/>
              <w:left w:val="nil"/>
              <w:bottom w:val="single" w:sz="4" w:space="0" w:color="293F5B"/>
              <w:right w:val="nil"/>
            </w:tcBorders>
            <w:shd w:val="clear" w:color="000000" w:fill="FFFFFF"/>
            <w:noWrap/>
            <w:vAlign w:val="center"/>
            <w:hideMark/>
          </w:tcPr>
          <w:p w14:paraId="0DEECB5B"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3,180</w:t>
            </w:r>
          </w:p>
        </w:tc>
        <w:tc>
          <w:tcPr>
            <w:tcW w:w="0" w:type="auto"/>
            <w:tcBorders>
              <w:top w:val="nil"/>
              <w:left w:val="nil"/>
              <w:bottom w:val="single" w:sz="4" w:space="0" w:color="293F5B"/>
              <w:right w:val="nil"/>
            </w:tcBorders>
            <w:shd w:val="clear" w:color="000000" w:fill="FFFFFF"/>
            <w:noWrap/>
            <w:vAlign w:val="center"/>
            <w:hideMark/>
          </w:tcPr>
          <w:p w14:paraId="1CFC1743"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3,286</w:t>
            </w:r>
          </w:p>
        </w:tc>
        <w:tc>
          <w:tcPr>
            <w:tcW w:w="0" w:type="auto"/>
            <w:tcBorders>
              <w:top w:val="nil"/>
              <w:left w:val="nil"/>
              <w:bottom w:val="single" w:sz="4" w:space="0" w:color="293F5B"/>
              <w:right w:val="nil"/>
            </w:tcBorders>
            <w:shd w:val="clear" w:color="000000" w:fill="FFFFFF"/>
            <w:noWrap/>
            <w:vAlign w:val="center"/>
            <w:hideMark/>
          </w:tcPr>
          <w:p w14:paraId="0E151778"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3,478</w:t>
            </w:r>
          </w:p>
        </w:tc>
      </w:tr>
      <w:tr w:rsidR="00883934" w:rsidRPr="00D12F91" w14:paraId="4F608FA7" w14:textId="77777777" w:rsidTr="00883934">
        <w:trPr>
          <w:trHeight w:val="225"/>
        </w:trPr>
        <w:tc>
          <w:tcPr>
            <w:tcW w:w="0" w:type="auto"/>
            <w:tcBorders>
              <w:top w:val="nil"/>
              <w:left w:val="nil"/>
              <w:bottom w:val="nil"/>
              <w:right w:val="nil"/>
            </w:tcBorders>
            <w:shd w:val="clear" w:color="000000" w:fill="FFFFFF"/>
            <w:noWrap/>
            <w:vAlign w:val="center"/>
            <w:hideMark/>
          </w:tcPr>
          <w:p w14:paraId="4FB2E3F0" w14:textId="77777777" w:rsidR="00883934" w:rsidRPr="00D12F91" w:rsidRDefault="00883934" w:rsidP="00883934">
            <w:pPr>
              <w:spacing w:before="0" w:after="0" w:line="240" w:lineRule="auto"/>
              <w:rPr>
                <w:rFonts w:ascii="Arial" w:hAnsi="Arial" w:cs="Arial"/>
                <w:b/>
                <w:bCs/>
                <w:sz w:val="16"/>
                <w:szCs w:val="16"/>
              </w:rPr>
            </w:pPr>
            <w:r w:rsidRPr="00D12F91">
              <w:rPr>
                <w:rFonts w:ascii="Arial" w:hAnsi="Arial" w:cs="Arial"/>
                <w:b/>
                <w:bCs/>
                <w:sz w:val="16"/>
                <w:szCs w:val="16"/>
              </w:rPr>
              <w:t>Total revenues not providing cash</w:t>
            </w:r>
          </w:p>
        </w:tc>
        <w:tc>
          <w:tcPr>
            <w:tcW w:w="0" w:type="auto"/>
            <w:tcBorders>
              <w:top w:val="nil"/>
              <w:left w:val="nil"/>
              <w:bottom w:val="single" w:sz="4" w:space="0" w:color="293F5B"/>
              <w:right w:val="nil"/>
            </w:tcBorders>
            <w:shd w:val="clear" w:color="000000" w:fill="FFFFFF"/>
            <w:noWrap/>
            <w:vAlign w:val="center"/>
            <w:hideMark/>
          </w:tcPr>
          <w:p w14:paraId="1CDF5C09"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3,004</w:t>
            </w:r>
          </w:p>
        </w:tc>
        <w:tc>
          <w:tcPr>
            <w:tcW w:w="0" w:type="auto"/>
            <w:tcBorders>
              <w:top w:val="nil"/>
              <w:left w:val="nil"/>
              <w:bottom w:val="single" w:sz="4" w:space="0" w:color="293F5B"/>
              <w:right w:val="nil"/>
            </w:tcBorders>
            <w:shd w:val="clear" w:color="000000" w:fill="E6F2FF"/>
            <w:noWrap/>
            <w:vAlign w:val="center"/>
            <w:hideMark/>
          </w:tcPr>
          <w:p w14:paraId="3FDA83AF"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2,884</w:t>
            </w:r>
          </w:p>
        </w:tc>
        <w:tc>
          <w:tcPr>
            <w:tcW w:w="0" w:type="auto"/>
            <w:tcBorders>
              <w:top w:val="nil"/>
              <w:left w:val="nil"/>
              <w:bottom w:val="single" w:sz="4" w:space="0" w:color="293F5B"/>
              <w:right w:val="nil"/>
            </w:tcBorders>
            <w:shd w:val="clear" w:color="000000" w:fill="FFFFFF"/>
            <w:noWrap/>
            <w:vAlign w:val="center"/>
            <w:hideMark/>
          </w:tcPr>
          <w:p w14:paraId="3CFAB62D"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3,180</w:t>
            </w:r>
          </w:p>
        </w:tc>
        <w:tc>
          <w:tcPr>
            <w:tcW w:w="0" w:type="auto"/>
            <w:tcBorders>
              <w:top w:val="nil"/>
              <w:left w:val="nil"/>
              <w:bottom w:val="single" w:sz="4" w:space="0" w:color="293F5B"/>
              <w:right w:val="nil"/>
            </w:tcBorders>
            <w:shd w:val="clear" w:color="000000" w:fill="FFFFFF"/>
            <w:noWrap/>
            <w:vAlign w:val="center"/>
            <w:hideMark/>
          </w:tcPr>
          <w:p w14:paraId="792BC1DF"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3,286</w:t>
            </w:r>
          </w:p>
        </w:tc>
        <w:tc>
          <w:tcPr>
            <w:tcW w:w="0" w:type="auto"/>
            <w:tcBorders>
              <w:top w:val="nil"/>
              <w:left w:val="nil"/>
              <w:bottom w:val="single" w:sz="4" w:space="0" w:color="293F5B"/>
              <w:right w:val="nil"/>
            </w:tcBorders>
            <w:shd w:val="clear" w:color="000000" w:fill="FFFFFF"/>
            <w:noWrap/>
            <w:vAlign w:val="center"/>
            <w:hideMark/>
          </w:tcPr>
          <w:p w14:paraId="1EB98CF0"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3,478</w:t>
            </w:r>
          </w:p>
        </w:tc>
      </w:tr>
      <w:tr w:rsidR="00883934" w:rsidRPr="00D12F91" w14:paraId="64C87DDD" w14:textId="77777777" w:rsidTr="00883934">
        <w:trPr>
          <w:trHeight w:val="225"/>
        </w:trPr>
        <w:tc>
          <w:tcPr>
            <w:tcW w:w="0" w:type="auto"/>
            <w:tcBorders>
              <w:top w:val="nil"/>
              <w:left w:val="nil"/>
              <w:bottom w:val="nil"/>
              <w:right w:val="nil"/>
            </w:tcBorders>
            <w:shd w:val="clear" w:color="000000" w:fill="FFFFFF"/>
            <w:noWrap/>
            <w:vAlign w:val="center"/>
            <w:hideMark/>
          </w:tcPr>
          <w:p w14:paraId="4673E9E9" w14:textId="77777777" w:rsidR="00883934" w:rsidRPr="00D12F91" w:rsidRDefault="00883934" w:rsidP="00883934">
            <w:pPr>
              <w:spacing w:before="0" w:after="0" w:line="240" w:lineRule="auto"/>
              <w:rPr>
                <w:rFonts w:ascii="Arial" w:hAnsi="Arial" w:cs="Arial"/>
                <w:i/>
                <w:iCs/>
                <w:sz w:val="16"/>
                <w:szCs w:val="16"/>
              </w:rPr>
            </w:pPr>
            <w:r w:rsidRPr="00D12F91">
              <w:rPr>
                <w:rFonts w:ascii="Arial" w:hAnsi="Arial" w:cs="Arial"/>
                <w:i/>
                <w:iCs/>
                <w:sz w:val="16"/>
                <w:szCs w:val="16"/>
              </w:rPr>
              <w:t>plus</w:t>
            </w:r>
            <w:r w:rsidRPr="00D12F91">
              <w:rPr>
                <w:rFonts w:ascii="Arial" w:hAnsi="Arial" w:cs="Arial"/>
                <w:sz w:val="16"/>
                <w:szCs w:val="16"/>
              </w:rPr>
              <w:t xml:space="preserve">  </w:t>
            </w:r>
            <w:r w:rsidRPr="00D12F91">
              <w:rPr>
                <w:rFonts w:ascii="Arial" w:hAnsi="Arial" w:cs="Arial"/>
                <w:b/>
                <w:bCs/>
                <w:sz w:val="16"/>
                <w:szCs w:val="16"/>
              </w:rPr>
              <w:t>Expenses not requiring cash</w:t>
            </w:r>
          </w:p>
        </w:tc>
        <w:tc>
          <w:tcPr>
            <w:tcW w:w="0" w:type="auto"/>
            <w:tcBorders>
              <w:top w:val="nil"/>
              <w:left w:val="nil"/>
              <w:bottom w:val="nil"/>
              <w:right w:val="nil"/>
            </w:tcBorders>
            <w:shd w:val="clear" w:color="000000" w:fill="FFFFFF"/>
            <w:noWrap/>
            <w:vAlign w:val="center"/>
            <w:hideMark/>
          </w:tcPr>
          <w:p w14:paraId="67E16D3A"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4E28454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79F599C3"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5E18D529"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79B66187"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r>
      <w:tr w:rsidR="00883934" w:rsidRPr="00D12F91" w14:paraId="330053DB" w14:textId="77777777" w:rsidTr="00883934">
        <w:trPr>
          <w:trHeight w:val="225"/>
        </w:trPr>
        <w:tc>
          <w:tcPr>
            <w:tcW w:w="0" w:type="auto"/>
            <w:tcBorders>
              <w:top w:val="nil"/>
              <w:left w:val="nil"/>
              <w:bottom w:val="nil"/>
              <w:right w:val="nil"/>
            </w:tcBorders>
            <w:shd w:val="clear" w:color="000000" w:fill="FFFFFF"/>
            <w:noWrap/>
            <w:vAlign w:val="center"/>
            <w:hideMark/>
          </w:tcPr>
          <w:p w14:paraId="7A917101"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Increase/(decrease) in employee entitlements</w:t>
            </w:r>
          </w:p>
        </w:tc>
        <w:tc>
          <w:tcPr>
            <w:tcW w:w="0" w:type="auto"/>
            <w:tcBorders>
              <w:top w:val="nil"/>
              <w:left w:val="nil"/>
              <w:bottom w:val="nil"/>
              <w:right w:val="nil"/>
            </w:tcBorders>
            <w:shd w:val="clear" w:color="000000" w:fill="FFFFFF"/>
            <w:noWrap/>
            <w:vAlign w:val="center"/>
            <w:hideMark/>
          </w:tcPr>
          <w:p w14:paraId="38A93EE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9,100</w:t>
            </w:r>
          </w:p>
        </w:tc>
        <w:tc>
          <w:tcPr>
            <w:tcW w:w="0" w:type="auto"/>
            <w:tcBorders>
              <w:top w:val="nil"/>
              <w:left w:val="nil"/>
              <w:bottom w:val="nil"/>
              <w:right w:val="nil"/>
            </w:tcBorders>
            <w:shd w:val="clear" w:color="000000" w:fill="E6F2FF"/>
            <w:noWrap/>
            <w:vAlign w:val="center"/>
            <w:hideMark/>
          </w:tcPr>
          <w:p w14:paraId="4FDE1FF8"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9,103</w:t>
            </w:r>
          </w:p>
        </w:tc>
        <w:tc>
          <w:tcPr>
            <w:tcW w:w="0" w:type="auto"/>
            <w:tcBorders>
              <w:top w:val="nil"/>
              <w:left w:val="nil"/>
              <w:bottom w:val="nil"/>
              <w:right w:val="nil"/>
            </w:tcBorders>
            <w:shd w:val="clear" w:color="000000" w:fill="FFFFFF"/>
            <w:noWrap/>
            <w:vAlign w:val="center"/>
            <w:hideMark/>
          </w:tcPr>
          <w:p w14:paraId="177D4BF5"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11,376</w:t>
            </w:r>
          </w:p>
        </w:tc>
        <w:tc>
          <w:tcPr>
            <w:tcW w:w="0" w:type="auto"/>
            <w:tcBorders>
              <w:top w:val="nil"/>
              <w:left w:val="nil"/>
              <w:bottom w:val="nil"/>
              <w:right w:val="nil"/>
            </w:tcBorders>
            <w:shd w:val="clear" w:color="000000" w:fill="FFFFFF"/>
            <w:noWrap/>
            <w:vAlign w:val="center"/>
            <w:hideMark/>
          </w:tcPr>
          <w:p w14:paraId="3CD7A7D5"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9,826</w:t>
            </w:r>
          </w:p>
        </w:tc>
        <w:tc>
          <w:tcPr>
            <w:tcW w:w="0" w:type="auto"/>
            <w:tcBorders>
              <w:top w:val="nil"/>
              <w:left w:val="nil"/>
              <w:bottom w:val="nil"/>
              <w:right w:val="nil"/>
            </w:tcBorders>
            <w:shd w:val="clear" w:color="000000" w:fill="FFFFFF"/>
            <w:noWrap/>
            <w:vAlign w:val="center"/>
            <w:hideMark/>
          </w:tcPr>
          <w:p w14:paraId="384E6834"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9,567</w:t>
            </w:r>
          </w:p>
        </w:tc>
      </w:tr>
      <w:tr w:rsidR="00883934" w:rsidRPr="00D12F91" w14:paraId="22B28B47" w14:textId="77777777" w:rsidTr="00883934">
        <w:trPr>
          <w:trHeight w:val="225"/>
        </w:trPr>
        <w:tc>
          <w:tcPr>
            <w:tcW w:w="0" w:type="auto"/>
            <w:tcBorders>
              <w:top w:val="nil"/>
              <w:left w:val="nil"/>
              <w:bottom w:val="nil"/>
              <w:right w:val="nil"/>
            </w:tcBorders>
            <w:shd w:val="clear" w:color="000000" w:fill="FFFFFF"/>
            <w:noWrap/>
            <w:vAlign w:val="center"/>
            <w:hideMark/>
          </w:tcPr>
          <w:p w14:paraId="2E9DBE8B"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Depreciation/amortisation expense</w:t>
            </w:r>
          </w:p>
        </w:tc>
        <w:tc>
          <w:tcPr>
            <w:tcW w:w="0" w:type="auto"/>
            <w:tcBorders>
              <w:top w:val="nil"/>
              <w:left w:val="nil"/>
              <w:bottom w:val="nil"/>
              <w:right w:val="nil"/>
            </w:tcBorders>
            <w:shd w:val="clear" w:color="000000" w:fill="FFFFFF"/>
            <w:noWrap/>
            <w:vAlign w:val="center"/>
            <w:hideMark/>
          </w:tcPr>
          <w:p w14:paraId="74A3A6FF"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12,889</w:t>
            </w:r>
          </w:p>
        </w:tc>
        <w:tc>
          <w:tcPr>
            <w:tcW w:w="0" w:type="auto"/>
            <w:tcBorders>
              <w:top w:val="nil"/>
              <w:left w:val="nil"/>
              <w:bottom w:val="nil"/>
              <w:right w:val="nil"/>
            </w:tcBorders>
            <w:shd w:val="clear" w:color="000000" w:fill="E6F2FF"/>
            <w:noWrap/>
            <w:vAlign w:val="center"/>
            <w:hideMark/>
          </w:tcPr>
          <w:p w14:paraId="454A6FEF"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13,003</w:t>
            </w:r>
          </w:p>
        </w:tc>
        <w:tc>
          <w:tcPr>
            <w:tcW w:w="0" w:type="auto"/>
            <w:tcBorders>
              <w:top w:val="nil"/>
              <w:left w:val="nil"/>
              <w:bottom w:val="nil"/>
              <w:right w:val="nil"/>
            </w:tcBorders>
            <w:shd w:val="clear" w:color="000000" w:fill="FFFFFF"/>
            <w:noWrap/>
            <w:vAlign w:val="center"/>
            <w:hideMark/>
          </w:tcPr>
          <w:p w14:paraId="53B501DC"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13,200</w:t>
            </w:r>
          </w:p>
        </w:tc>
        <w:tc>
          <w:tcPr>
            <w:tcW w:w="0" w:type="auto"/>
            <w:tcBorders>
              <w:top w:val="nil"/>
              <w:left w:val="nil"/>
              <w:bottom w:val="nil"/>
              <w:right w:val="nil"/>
            </w:tcBorders>
            <w:shd w:val="clear" w:color="000000" w:fill="FFFFFF"/>
            <w:noWrap/>
            <w:vAlign w:val="center"/>
            <w:hideMark/>
          </w:tcPr>
          <w:p w14:paraId="62152D3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13,380</w:t>
            </w:r>
          </w:p>
        </w:tc>
        <w:tc>
          <w:tcPr>
            <w:tcW w:w="0" w:type="auto"/>
            <w:tcBorders>
              <w:top w:val="nil"/>
              <w:left w:val="nil"/>
              <w:bottom w:val="nil"/>
              <w:right w:val="nil"/>
            </w:tcBorders>
            <w:shd w:val="clear" w:color="000000" w:fill="FFFFFF"/>
            <w:noWrap/>
            <w:vAlign w:val="center"/>
            <w:hideMark/>
          </w:tcPr>
          <w:p w14:paraId="6173633A"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13,501</w:t>
            </w:r>
          </w:p>
        </w:tc>
      </w:tr>
      <w:tr w:rsidR="00883934" w:rsidRPr="00D12F91" w14:paraId="34D32BE8" w14:textId="77777777" w:rsidTr="00883934">
        <w:trPr>
          <w:trHeight w:val="225"/>
        </w:trPr>
        <w:tc>
          <w:tcPr>
            <w:tcW w:w="0" w:type="auto"/>
            <w:tcBorders>
              <w:top w:val="nil"/>
              <w:left w:val="nil"/>
              <w:bottom w:val="nil"/>
              <w:right w:val="nil"/>
            </w:tcBorders>
            <w:shd w:val="clear" w:color="000000" w:fill="FFFFFF"/>
            <w:noWrap/>
            <w:vAlign w:val="center"/>
            <w:hideMark/>
          </w:tcPr>
          <w:p w14:paraId="3695E927" w14:textId="7F9C93EF"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Mutually agreed write</w:t>
            </w:r>
            <w:r w:rsidR="00325E1E">
              <w:rPr>
                <w:rFonts w:ascii="Arial" w:hAnsi="Arial" w:cs="Arial"/>
                <w:sz w:val="16"/>
                <w:szCs w:val="16"/>
              </w:rPr>
              <w:noBreakHyphen/>
            </w:r>
            <w:r w:rsidRPr="00D12F91">
              <w:rPr>
                <w:rFonts w:ascii="Arial" w:hAnsi="Arial" w:cs="Arial"/>
                <w:sz w:val="16"/>
                <w:szCs w:val="16"/>
              </w:rPr>
              <w:t>downs</w:t>
            </w:r>
          </w:p>
        </w:tc>
        <w:tc>
          <w:tcPr>
            <w:tcW w:w="0" w:type="auto"/>
            <w:tcBorders>
              <w:top w:val="nil"/>
              <w:left w:val="nil"/>
              <w:bottom w:val="nil"/>
              <w:right w:val="nil"/>
            </w:tcBorders>
            <w:shd w:val="clear" w:color="000000" w:fill="FFFFFF"/>
            <w:noWrap/>
            <w:vAlign w:val="center"/>
            <w:hideMark/>
          </w:tcPr>
          <w:p w14:paraId="301E4626"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3,039</w:t>
            </w:r>
          </w:p>
        </w:tc>
        <w:tc>
          <w:tcPr>
            <w:tcW w:w="0" w:type="auto"/>
            <w:tcBorders>
              <w:top w:val="nil"/>
              <w:left w:val="nil"/>
              <w:bottom w:val="nil"/>
              <w:right w:val="nil"/>
            </w:tcBorders>
            <w:shd w:val="clear" w:color="000000" w:fill="E6F2FF"/>
            <w:noWrap/>
            <w:vAlign w:val="center"/>
            <w:hideMark/>
          </w:tcPr>
          <w:p w14:paraId="1475F68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5,137</w:t>
            </w:r>
          </w:p>
        </w:tc>
        <w:tc>
          <w:tcPr>
            <w:tcW w:w="0" w:type="auto"/>
            <w:tcBorders>
              <w:top w:val="nil"/>
              <w:left w:val="nil"/>
              <w:bottom w:val="nil"/>
              <w:right w:val="nil"/>
            </w:tcBorders>
            <w:shd w:val="clear" w:color="000000" w:fill="FFFFFF"/>
            <w:noWrap/>
            <w:vAlign w:val="center"/>
            <w:hideMark/>
          </w:tcPr>
          <w:p w14:paraId="0C7E460C"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3,318</w:t>
            </w:r>
          </w:p>
        </w:tc>
        <w:tc>
          <w:tcPr>
            <w:tcW w:w="0" w:type="auto"/>
            <w:tcBorders>
              <w:top w:val="nil"/>
              <w:left w:val="nil"/>
              <w:bottom w:val="nil"/>
              <w:right w:val="nil"/>
            </w:tcBorders>
            <w:shd w:val="clear" w:color="000000" w:fill="FFFFFF"/>
            <w:noWrap/>
            <w:vAlign w:val="center"/>
            <w:hideMark/>
          </w:tcPr>
          <w:p w14:paraId="63520104"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3,510</w:t>
            </w:r>
          </w:p>
        </w:tc>
        <w:tc>
          <w:tcPr>
            <w:tcW w:w="0" w:type="auto"/>
            <w:tcBorders>
              <w:top w:val="nil"/>
              <w:left w:val="nil"/>
              <w:bottom w:val="nil"/>
              <w:right w:val="nil"/>
            </w:tcBorders>
            <w:shd w:val="clear" w:color="000000" w:fill="FFFFFF"/>
            <w:noWrap/>
            <w:vAlign w:val="center"/>
            <w:hideMark/>
          </w:tcPr>
          <w:p w14:paraId="5BFDDB4E"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3,726</w:t>
            </w:r>
          </w:p>
        </w:tc>
      </w:tr>
      <w:tr w:rsidR="00883934" w:rsidRPr="00D12F91" w14:paraId="6CD4FFDF" w14:textId="77777777" w:rsidTr="00883934">
        <w:trPr>
          <w:trHeight w:val="225"/>
        </w:trPr>
        <w:tc>
          <w:tcPr>
            <w:tcW w:w="0" w:type="auto"/>
            <w:tcBorders>
              <w:top w:val="nil"/>
              <w:left w:val="nil"/>
              <w:bottom w:val="nil"/>
              <w:right w:val="nil"/>
            </w:tcBorders>
            <w:shd w:val="clear" w:color="000000" w:fill="FFFFFF"/>
            <w:noWrap/>
            <w:vAlign w:val="center"/>
            <w:hideMark/>
          </w:tcPr>
          <w:p w14:paraId="244844B1"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Other </w:t>
            </w:r>
          </w:p>
        </w:tc>
        <w:tc>
          <w:tcPr>
            <w:tcW w:w="0" w:type="auto"/>
            <w:tcBorders>
              <w:top w:val="nil"/>
              <w:left w:val="nil"/>
              <w:bottom w:val="single" w:sz="4" w:space="0" w:color="293F5B"/>
              <w:right w:val="nil"/>
            </w:tcBorders>
            <w:shd w:val="clear" w:color="000000" w:fill="FFFFFF"/>
            <w:noWrap/>
            <w:vAlign w:val="center"/>
            <w:hideMark/>
          </w:tcPr>
          <w:p w14:paraId="037FF2E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4,057</w:t>
            </w:r>
          </w:p>
        </w:tc>
        <w:tc>
          <w:tcPr>
            <w:tcW w:w="0" w:type="auto"/>
            <w:tcBorders>
              <w:top w:val="nil"/>
              <w:left w:val="nil"/>
              <w:bottom w:val="single" w:sz="4" w:space="0" w:color="293F5B"/>
              <w:right w:val="nil"/>
            </w:tcBorders>
            <w:shd w:val="clear" w:color="000000" w:fill="E6F2FF"/>
            <w:noWrap/>
            <w:vAlign w:val="center"/>
            <w:hideMark/>
          </w:tcPr>
          <w:p w14:paraId="5E95342B"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8,112</w:t>
            </w:r>
          </w:p>
        </w:tc>
        <w:tc>
          <w:tcPr>
            <w:tcW w:w="0" w:type="auto"/>
            <w:tcBorders>
              <w:top w:val="nil"/>
              <w:left w:val="nil"/>
              <w:bottom w:val="single" w:sz="4" w:space="0" w:color="293F5B"/>
              <w:right w:val="nil"/>
            </w:tcBorders>
            <w:shd w:val="clear" w:color="000000" w:fill="FFFFFF"/>
            <w:noWrap/>
            <w:vAlign w:val="center"/>
            <w:hideMark/>
          </w:tcPr>
          <w:p w14:paraId="1CFF49B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5,400</w:t>
            </w:r>
          </w:p>
        </w:tc>
        <w:tc>
          <w:tcPr>
            <w:tcW w:w="0" w:type="auto"/>
            <w:tcBorders>
              <w:top w:val="nil"/>
              <w:left w:val="nil"/>
              <w:bottom w:val="single" w:sz="4" w:space="0" w:color="293F5B"/>
              <w:right w:val="nil"/>
            </w:tcBorders>
            <w:shd w:val="clear" w:color="000000" w:fill="FFFFFF"/>
            <w:noWrap/>
            <w:vAlign w:val="center"/>
            <w:hideMark/>
          </w:tcPr>
          <w:p w14:paraId="08BAA647"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7,839</w:t>
            </w:r>
          </w:p>
        </w:tc>
        <w:tc>
          <w:tcPr>
            <w:tcW w:w="0" w:type="auto"/>
            <w:tcBorders>
              <w:top w:val="nil"/>
              <w:left w:val="nil"/>
              <w:bottom w:val="single" w:sz="4" w:space="0" w:color="293F5B"/>
              <w:right w:val="nil"/>
            </w:tcBorders>
            <w:shd w:val="clear" w:color="000000" w:fill="FFFFFF"/>
            <w:noWrap/>
            <w:vAlign w:val="center"/>
            <w:hideMark/>
          </w:tcPr>
          <w:p w14:paraId="7B89B44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4,238</w:t>
            </w:r>
          </w:p>
        </w:tc>
      </w:tr>
      <w:tr w:rsidR="00883934" w:rsidRPr="00D12F91" w14:paraId="5A2E3799" w14:textId="77777777" w:rsidTr="00883934">
        <w:trPr>
          <w:trHeight w:val="225"/>
        </w:trPr>
        <w:tc>
          <w:tcPr>
            <w:tcW w:w="0" w:type="auto"/>
            <w:tcBorders>
              <w:top w:val="nil"/>
              <w:left w:val="nil"/>
              <w:bottom w:val="nil"/>
              <w:right w:val="nil"/>
            </w:tcBorders>
            <w:shd w:val="clear" w:color="000000" w:fill="FFFFFF"/>
            <w:noWrap/>
            <w:vAlign w:val="center"/>
            <w:hideMark/>
          </w:tcPr>
          <w:p w14:paraId="4268FB55" w14:textId="77777777" w:rsidR="00883934" w:rsidRPr="00D12F91" w:rsidRDefault="00883934" w:rsidP="00883934">
            <w:pPr>
              <w:spacing w:before="0" w:after="0" w:line="240" w:lineRule="auto"/>
              <w:rPr>
                <w:rFonts w:ascii="Arial" w:hAnsi="Arial" w:cs="Arial"/>
                <w:b/>
                <w:bCs/>
                <w:color w:val="000000"/>
                <w:sz w:val="16"/>
                <w:szCs w:val="16"/>
              </w:rPr>
            </w:pPr>
            <w:r w:rsidRPr="00D12F91">
              <w:rPr>
                <w:rFonts w:ascii="Arial" w:hAnsi="Arial" w:cs="Arial"/>
                <w:b/>
                <w:bCs/>
                <w:color w:val="000000"/>
                <w:sz w:val="16"/>
                <w:szCs w:val="16"/>
              </w:rPr>
              <w:t>Total expenses not requiring cash</w:t>
            </w:r>
          </w:p>
        </w:tc>
        <w:tc>
          <w:tcPr>
            <w:tcW w:w="0" w:type="auto"/>
            <w:tcBorders>
              <w:top w:val="nil"/>
              <w:left w:val="nil"/>
              <w:bottom w:val="single" w:sz="4" w:space="0" w:color="293F5B"/>
              <w:right w:val="nil"/>
            </w:tcBorders>
            <w:shd w:val="clear" w:color="000000" w:fill="FFFFFF"/>
            <w:noWrap/>
            <w:vAlign w:val="center"/>
            <w:hideMark/>
          </w:tcPr>
          <w:p w14:paraId="507EC651"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29,085</w:t>
            </w:r>
          </w:p>
        </w:tc>
        <w:tc>
          <w:tcPr>
            <w:tcW w:w="0" w:type="auto"/>
            <w:tcBorders>
              <w:top w:val="nil"/>
              <w:left w:val="nil"/>
              <w:bottom w:val="single" w:sz="4" w:space="0" w:color="293F5B"/>
              <w:right w:val="nil"/>
            </w:tcBorders>
            <w:shd w:val="clear" w:color="000000" w:fill="E6F2FF"/>
            <w:noWrap/>
            <w:vAlign w:val="center"/>
            <w:hideMark/>
          </w:tcPr>
          <w:p w14:paraId="2A8AF47C"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35,355</w:t>
            </w:r>
          </w:p>
        </w:tc>
        <w:tc>
          <w:tcPr>
            <w:tcW w:w="0" w:type="auto"/>
            <w:tcBorders>
              <w:top w:val="nil"/>
              <w:left w:val="nil"/>
              <w:bottom w:val="single" w:sz="4" w:space="0" w:color="293F5B"/>
              <w:right w:val="nil"/>
            </w:tcBorders>
            <w:shd w:val="clear" w:color="000000" w:fill="FFFFFF"/>
            <w:noWrap/>
            <w:vAlign w:val="center"/>
            <w:hideMark/>
          </w:tcPr>
          <w:p w14:paraId="2FD1F178"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33,294</w:t>
            </w:r>
          </w:p>
        </w:tc>
        <w:tc>
          <w:tcPr>
            <w:tcW w:w="0" w:type="auto"/>
            <w:tcBorders>
              <w:top w:val="nil"/>
              <w:left w:val="nil"/>
              <w:bottom w:val="single" w:sz="4" w:space="0" w:color="293F5B"/>
              <w:right w:val="nil"/>
            </w:tcBorders>
            <w:shd w:val="clear" w:color="000000" w:fill="FFFFFF"/>
            <w:noWrap/>
            <w:vAlign w:val="center"/>
            <w:hideMark/>
          </w:tcPr>
          <w:p w14:paraId="242959D1"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34,555</w:t>
            </w:r>
          </w:p>
        </w:tc>
        <w:tc>
          <w:tcPr>
            <w:tcW w:w="0" w:type="auto"/>
            <w:tcBorders>
              <w:top w:val="nil"/>
              <w:left w:val="nil"/>
              <w:bottom w:val="single" w:sz="4" w:space="0" w:color="293F5B"/>
              <w:right w:val="nil"/>
            </w:tcBorders>
            <w:shd w:val="clear" w:color="000000" w:fill="FFFFFF"/>
            <w:noWrap/>
            <w:vAlign w:val="center"/>
            <w:hideMark/>
          </w:tcPr>
          <w:p w14:paraId="61677CDE"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31,032</w:t>
            </w:r>
          </w:p>
        </w:tc>
      </w:tr>
      <w:tr w:rsidR="00883934" w:rsidRPr="00D12F91" w14:paraId="120D7235" w14:textId="77777777" w:rsidTr="00883934">
        <w:trPr>
          <w:trHeight w:val="225"/>
        </w:trPr>
        <w:tc>
          <w:tcPr>
            <w:tcW w:w="0" w:type="auto"/>
            <w:tcBorders>
              <w:top w:val="nil"/>
              <w:left w:val="nil"/>
              <w:bottom w:val="nil"/>
              <w:right w:val="nil"/>
            </w:tcBorders>
            <w:shd w:val="clear" w:color="000000" w:fill="FFFFFF"/>
            <w:noWrap/>
            <w:vAlign w:val="center"/>
            <w:hideMark/>
          </w:tcPr>
          <w:p w14:paraId="3A17D873" w14:textId="77777777" w:rsidR="00883934" w:rsidRPr="00D12F91" w:rsidRDefault="00883934" w:rsidP="00883934">
            <w:pPr>
              <w:spacing w:before="0" w:after="0" w:line="240" w:lineRule="auto"/>
              <w:rPr>
                <w:rFonts w:ascii="Arial" w:hAnsi="Arial" w:cs="Arial"/>
                <w:i/>
                <w:iCs/>
                <w:color w:val="000000"/>
                <w:sz w:val="16"/>
                <w:szCs w:val="16"/>
              </w:rPr>
            </w:pPr>
            <w:r w:rsidRPr="00D12F91">
              <w:rPr>
                <w:rFonts w:ascii="Arial" w:hAnsi="Arial" w:cs="Arial"/>
                <w:i/>
                <w:iCs/>
                <w:color w:val="000000"/>
                <w:sz w:val="16"/>
                <w:szCs w:val="16"/>
              </w:rPr>
              <w:t>plus</w:t>
            </w:r>
            <w:r w:rsidRPr="00D12F91">
              <w:rPr>
                <w:rFonts w:ascii="Arial" w:hAnsi="Arial" w:cs="Arial"/>
                <w:color w:val="000000"/>
                <w:sz w:val="16"/>
                <w:szCs w:val="16"/>
              </w:rPr>
              <w:t xml:space="preserve">  </w:t>
            </w:r>
            <w:r w:rsidRPr="00D12F91">
              <w:rPr>
                <w:rFonts w:ascii="Arial" w:hAnsi="Arial" w:cs="Arial"/>
                <w:b/>
                <w:bCs/>
                <w:color w:val="000000"/>
                <w:sz w:val="16"/>
                <w:szCs w:val="16"/>
              </w:rPr>
              <w:t>Cash provided/(used) by working</w:t>
            </w:r>
          </w:p>
        </w:tc>
        <w:tc>
          <w:tcPr>
            <w:tcW w:w="0" w:type="auto"/>
            <w:tcBorders>
              <w:top w:val="nil"/>
              <w:left w:val="nil"/>
              <w:bottom w:val="nil"/>
              <w:right w:val="nil"/>
            </w:tcBorders>
            <w:shd w:val="clear" w:color="000000" w:fill="FFFFFF"/>
            <w:noWrap/>
            <w:vAlign w:val="center"/>
            <w:hideMark/>
          </w:tcPr>
          <w:p w14:paraId="3FD794E2"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4C778B86"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21308353"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5D2AD35A"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4EFB197B"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r>
      <w:tr w:rsidR="00883934" w:rsidRPr="00D12F91" w14:paraId="1ACBA22D" w14:textId="77777777" w:rsidTr="00883934">
        <w:trPr>
          <w:trHeight w:val="225"/>
        </w:trPr>
        <w:tc>
          <w:tcPr>
            <w:tcW w:w="0" w:type="auto"/>
            <w:tcBorders>
              <w:top w:val="nil"/>
              <w:left w:val="nil"/>
              <w:bottom w:val="nil"/>
              <w:right w:val="nil"/>
            </w:tcBorders>
            <w:shd w:val="clear" w:color="000000" w:fill="FFFFFF"/>
            <w:noWrap/>
            <w:vAlign w:val="center"/>
            <w:hideMark/>
          </w:tcPr>
          <w:p w14:paraId="28E30BA9" w14:textId="77777777" w:rsidR="00883934" w:rsidRPr="00D12F91" w:rsidRDefault="00883934" w:rsidP="00883934">
            <w:pPr>
              <w:spacing w:before="0" w:after="0" w:line="240" w:lineRule="auto"/>
              <w:ind w:firstLineChars="200" w:firstLine="321"/>
              <w:rPr>
                <w:rFonts w:ascii="Arial" w:hAnsi="Arial" w:cs="Arial"/>
                <w:b/>
                <w:bCs/>
                <w:color w:val="000000"/>
                <w:sz w:val="16"/>
                <w:szCs w:val="16"/>
              </w:rPr>
            </w:pPr>
            <w:r w:rsidRPr="00D12F91">
              <w:rPr>
                <w:rFonts w:ascii="Arial" w:hAnsi="Arial" w:cs="Arial"/>
                <w:b/>
                <w:bCs/>
                <w:color w:val="000000"/>
                <w:sz w:val="16"/>
                <w:szCs w:val="16"/>
              </w:rPr>
              <w:t xml:space="preserve"> capital items</w:t>
            </w:r>
          </w:p>
        </w:tc>
        <w:tc>
          <w:tcPr>
            <w:tcW w:w="0" w:type="auto"/>
            <w:tcBorders>
              <w:top w:val="nil"/>
              <w:left w:val="nil"/>
              <w:bottom w:val="nil"/>
              <w:right w:val="nil"/>
            </w:tcBorders>
            <w:shd w:val="clear" w:color="000000" w:fill="FFFFFF"/>
            <w:noWrap/>
            <w:vAlign w:val="center"/>
            <w:hideMark/>
          </w:tcPr>
          <w:p w14:paraId="294312E9"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E6F2FF"/>
            <w:noWrap/>
            <w:vAlign w:val="center"/>
            <w:hideMark/>
          </w:tcPr>
          <w:p w14:paraId="0D39372F"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6706C4F0"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09BE143E"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c>
          <w:tcPr>
            <w:tcW w:w="0" w:type="auto"/>
            <w:tcBorders>
              <w:top w:val="nil"/>
              <w:left w:val="nil"/>
              <w:bottom w:val="nil"/>
              <w:right w:val="nil"/>
            </w:tcBorders>
            <w:shd w:val="clear" w:color="000000" w:fill="FFFFFF"/>
            <w:noWrap/>
            <w:vAlign w:val="center"/>
            <w:hideMark/>
          </w:tcPr>
          <w:p w14:paraId="5C1B34F6"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 </w:t>
            </w:r>
          </w:p>
        </w:tc>
      </w:tr>
      <w:tr w:rsidR="00883934" w:rsidRPr="00D12F91" w14:paraId="3DBB15C1" w14:textId="77777777" w:rsidTr="00883934">
        <w:trPr>
          <w:trHeight w:val="225"/>
        </w:trPr>
        <w:tc>
          <w:tcPr>
            <w:tcW w:w="0" w:type="auto"/>
            <w:tcBorders>
              <w:top w:val="nil"/>
              <w:left w:val="nil"/>
              <w:bottom w:val="nil"/>
              <w:right w:val="nil"/>
            </w:tcBorders>
            <w:shd w:val="clear" w:color="000000" w:fill="FFFFFF"/>
            <w:noWrap/>
            <w:vAlign w:val="center"/>
            <w:hideMark/>
          </w:tcPr>
          <w:p w14:paraId="111965E7"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Decrease/(increase) in inventories</w:t>
            </w:r>
          </w:p>
        </w:tc>
        <w:tc>
          <w:tcPr>
            <w:tcW w:w="0" w:type="auto"/>
            <w:tcBorders>
              <w:top w:val="nil"/>
              <w:left w:val="nil"/>
              <w:bottom w:val="nil"/>
              <w:right w:val="nil"/>
            </w:tcBorders>
            <w:shd w:val="clear" w:color="000000" w:fill="FFFFFF"/>
            <w:noWrap/>
            <w:vAlign w:val="center"/>
            <w:hideMark/>
          </w:tcPr>
          <w:p w14:paraId="16670252" w14:textId="32DE8F5D"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563</w:t>
            </w:r>
          </w:p>
        </w:tc>
        <w:tc>
          <w:tcPr>
            <w:tcW w:w="0" w:type="auto"/>
            <w:tcBorders>
              <w:top w:val="nil"/>
              <w:left w:val="nil"/>
              <w:bottom w:val="nil"/>
              <w:right w:val="nil"/>
            </w:tcBorders>
            <w:shd w:val="clear" w:color="000000" w:fill="E6F2FF"/>
            <w:noWrap/>
            <w:vAlign w:val="center"/>
            <w:hideMark/>
          </w:tcPr>
          <w:p w14:paraId="08D0CE7F" w14:textId="5AF9667B"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717</w:t>
            </w:r>
          </w:p>
        </w:tc>
        <w:tc>
          <w:tcPr>
            <w:tcW w:w="0" w:type="auto"/>
            <w:tcBorders>
              <w:top w:val="nil"/>
              <w:left w:val="nil"/>
              <w:bottom w:val="nil"/>
              <w:right w:val="nil"/>
            </w:tcBorders>
            <w:shd w:val="clear" w:color="000000" w:fill="FFFFFF"/>
            <w:noWrap/>
            <w:vAlign w:val="center"/>
            <w:hideMark/>
          </w:tcPr>
          <w:p w14:paraId="4D8E9549" w14:textId="46B6D187"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1,098</w:t>
            </w:r>
          </w:p>
        </w:tc>
        <w:tc>
          <w:tcPr>
            <w:tcW w:w="0" w:type="auto"/>
            <w:tcBorders>
              <w:top w:val="nil"/>
              <w:left w:val="nil"/>
              <w:bottom w:val="nil"/>
              <w:right w:val="nil"/>
            </w:tcBorders>
            <w:shd w:val="clear" w:color="000000" w:fill="FFFFFF"/>
            <w:noWrap/>
            <w:vAlign w:val="center"/>
            <w:hideMark/>
          </w:tcPr>
          <w:p w14:paraId="7201DF5E" w14:textId="4AB1BBE7"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1,017</w:t>
            </w:r>
          </w:p>
        </w:tc>
        <w:tc>
          <w:tcPr>
            <w:tcW w:w="0" w:type="auto"/>
            <w:tcBorders>
              <w:top w:val="nil"/>
              <w:left w:val="nil"/>
              <w:bottom w:val="nil"/>
              <w:right w:val="nil"/>
            </w:tcBorders>
            <w:shd w:val="clear" w:color="000000" w:fill="FFFFFF"/>
            <w:noWrap/>
            <w:vAlign w:val="center"/>
            <w:hideMark/>
          </w:tcPr>
          <w:p w14:paraId="4CE30EC9" w14:textId="6BE30D29"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878</w:t>
            </w:r>
          </w:p>
        </w:tc>
      </w:tr>
      <w:tr w:rsidR="00883934" w:rsidRPr="00D12F91" w14:paraId="35C6D845" w14:textId="77777777" w:rsidTr="00883934">
        <w:trPr>
          <w:trHeight w:val="225"/>
        </w:trPr>
        <w:tc>
          <w:tcPr>
            <w:tcW w:w="0" w:type="auto"/>
            <w:tcBorders>
              <w:top w:val="nil"/>
              <w:left w:val="nil"/>
              <w:bottom w:val="nil"/>
              <w:right w:val="nil"/>
            </w:tcBorders>
            <w:shd w:val="clear" w:color="000000" w:fill="FFFFFF"/>
            <w:noWrap/>
            <w:vAlign w:val="center"/>
            <w:hideMark/>
          </w:tcPr>
          <w:p w14:paraId="4D3E53B2"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Decrease/(increase) in receivables</w:t>
            </w:r>
          </w:p>
        </w:tc>
        <w:tc>
          <w:tcPr>
            <w:tcW w:w="0" w:type="auto"/>
            <w:tcBorders>
              <w:top w:val="nil"/>
              <w:left w:val="nil"/>
              <w:bottom w:val="nil"/>
              <w:right w:val="nil"/>
            </w:tcBorders>
            <w:shd w:val="clear" w:color="000000" w:fill="FFFFFF"/>
            <w:noWrap/>
            <w:vAlign w:val="center"/>
            <w:hideMark/>
          </w:tcPr>
          <w:p w14:paraId="6B1DB18C" w14:textId="4D286774"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13,654</w:t>
            </w:r>
          </w:p>
        </w:tc>
        <w:tc>
          <w:tcPr>
            <w:tcW w:w="0" w:type="auto"/>
            <w:tcBorders>
              <w:top w:val="nil"/>
              <w:left w:val="nil"/>
              <w:bottom w:val="nil"/>
              <w:right w:val="nil"/>
            </w:tcBorders>
            <w:shd w:val="clear" w:color="000000" w:fill="E6F2FF"/>
            <w:noWrap/>
            <w:vAlign w:val="center"/>
            <w:hideMark/>
          </w:tcPr>
          <w:p w14:paraId="6D31388D" w14:textId="36ECC334"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14,538</w:t>
            </w:r>
          </w:p>
        </w:tc>
        <w:tc>
          <w:tcPr>
            <w:tcW w:w="0" w:type="auto"/>
            <w:tcBorders>
              <w:top w:val="nil"/>
              <w:left w:val="nil"/>
              <w:bottom w:val="nil"/>
              <w:right w:val="nil"/>
            </w:tcBorders>
            <w:shd w:val="clear" w:color="000000" w:fill="FFFFFF"/>
            <w:noWrap/>
            <w:vAlign w:val="center"/>
            <w:hideMark/>
          </w:tcPr>
          <w:p w14:paraId="14535A42" w14:textId="6A91C9F7"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15,130</w:t>
            </w:r>
          </w:p>
        </w:tc>
        <w:tc>
          <w:tcPr>
            <w:tcW w:w="0" w:type="auto"/>
            <w:tcBorders>
              <w:top w:val="nil"/>
              <w:left w:val="nil"/>
              <w:bottom w:val="nil"/>
              <w:right w:val="nil"/>
            </w:tcBorders>
            <w:shd w:val="clear" w:color="000000" w:fill="FFFFFF"/>
            <w:noWrap/>
            <w:vAlign w:val="center"/>
            <w:hideMark/>
          </w:tcPr>
          <w:p w14:paraId="5CBA5224" w14:textId="2C6798FB"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16,190</w:t>
            </w:r>
          </w:p>
        </w:tc>
        <w:tc>
          <w:tcPr>
            <w:tcW w:w="0" w:type="auto"/>
            <w:tcBorders>
              <w:top w:val="nil"/>
              <w:left w:val="nil"/>
              <w:bottom w:val="nil"/>
              <w:right w:val="nil"/>
            </w:tcBorders>
            <w:shd w:val="clear" w:color="000000" w:fill="FFFFFF"/>
            <w:noWrap/>
            <w:vAlign w:val="center"/>
            <w:hideMark/>
          </w:tcPr>
          <w:p w14:paraId="72EE29CF" w14:textId="3ABDC94D"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17,537</w:t>
            </w:r>
          </w:p>
        </w:tc>
      </w:tr>
      <w:tr w:rsidR="00883934" w:rsidRPr="00D12F91" w14:paraId="5E5D597D" w14:textId="77777777" w:rsidTr="00883934">
        <w:trPr>
          <w:trHeight w:val="225"/>
        </w:trPr>
        <w:tc>
          <w:tcPr>
            <w:tcW w:w="0" w:type="auto"/>
            <w:tcBorders>
              <w:top w:val="nil"/>
              <w:left w:val="nil"/>
              <w:bottom w:val="nil"/>
              <w:right w:val="nil"/>
            </w:tcBorders>
            <w:shd w:val="clear" w:color="000000" w:fill="FFFFFF"/>
            <w:noWrap/>
            <w:vAlign w:val="center"/>
            <w:hideMark/>
          </w:tcPr>
          <w:p w14:paraId="2863A277"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Decrease/(increase) in other financial assets</w:t>
            </w:r>
          </w:p>
        </w:tc>
        <w:tc>
          <w:tcPr>
            <w:tcW w:w="0" w:type="auto"/>
            <w:tcBorders>
              <w:top w:val="nil"/>
              <w:left w:val="nil"/>
              <w:bottom w:val="nil"/>
              <w:right w:val="nil"/>
            </w:tcBorders>
            <w:shd w:val="clear" w:color="000000" w:fill="FFFFFF"/>
            <w:noWrap/>
            <w:vAlign w:val="center"/>
            <w:hideMark/>
          </w:tcPr>
          <w:p w14:paraId="115C6914" w14:textId="43671927"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587</w:t>
            </w:r>
          </w:p>
        </w:tc>
        <w:tc>
          <w:tcPr>
            <w:tcW w:w="0" w:type="auto"/>
            <w:tcBorders>
              <w:top w:val="nil"/>
              <w:left w:val="nil"/>
              <w:bottom w:val="nil"/>
              <w:right w:val="nil"/>
            </w:tcBorders>
            <w:shd w:val="clear" w:color="000000" w:fill="E6F2FF"/>
            <w:noWrap/>
            <w:vAlign w:val="center"/>
            <w:hideMark/>
          </w:tcPr>
          <w:p w14:paraId="2137E06F"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373</w:t>
            </w:r>
          </w:p>
        </w:tc>
        <w:tc>
          <w:tcPr>
            <w:tcW w:w="0" w:type="auto"/>
            <w:tcBorders>
              <w:top w:val="nil"/>
              <w:left w:val="nil"/>
              <w:bottom w:val="nil"/>
              <w:right w:val="nil"/>
            </w:tcBorders>
            <w:shd w:val="clear" w:color="000000" w:fill="FFFFFF"/>
            <w:noWrap/>
            <w:vAlign w:val="center"/>
            <w:hideMark/>
          </w:tcPr>
          <w:p w14:paraId="77A9D6B1" w14:textId="64F9886F"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707</w:t>
            </w:r>
          </w:p>
        </w:tc>
        <w:tc>
          <w:tcPr>
            <w:tcW w:w="0" w:type="auto"/>
            <w:tcBorders>
              <w:top w:val="nil"/>
              <w:left w:val="nil"/>
              <w:bottom w:val="nil"/>
              <w:right w:val="nil"/>
            </w:tcBorders>
            <w:shd w:val="clear" w:color="000000" w:fill="FFFFFF"/>
            <w:noWrap/>
            <w:vAlign w:val="center"/>
            <w:hideMark/>
          </w:tcPr>
          <w:p w14:paraId="499E325F" w14:textId="52F17DF9"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585</w:t>
            </w:r>
          </w:p>
        </w:tc>
        <w:tc>
          <w:tcPr>
            <w:tcW w:w="0" w:type="auto"/>
            <w:tcBorders>
              <w:top w:val="nil"/>
              <w:left w:val="nil"/>
              <w:bottom w:val="nil"/>
              <w:right w:val="nil"/>
            </w:tcBorders>
            <w:shd w:val="clear" w:color="000000" w:fill="FFFFFF"/>
            <w:noWrap/>
            <w:vAlign w:val="center"/>
            <w:hideMark/>
          </w:tcPr>
          <w:p w14:paraId="54FF39E8" w14:textId="1E42F050"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858</w:t>
            </w:r>
          </w:p>
        </w:tc>
      </w:tr>
      <w:tr w:rsidR="00883934" w:rsidRPr="00D12F91" w14:paraId="56F2FA69" w14:textId="77777777" w:rsidTr="00883934">
        <w:trPr>
          <w:trHeight w:val="225"/>
        </w:trPr>
        <w:tc>
          <w:tcPr>
            <w:tcW w:w="0" w:type="auto"/>
            <w:tcBorders>
              <w:top w:val="nil"/>
              <w:left w:val="nil"/>
              <w:bottom w:val="nil"/>
              <w:right w:val="nil"/>
            </w:tcBorders>
            <w:shd w:val="clear" w:color="000000" w:fill="FFFFFF"/>
            <w:noWrap/>
            <w:vAlign w:val="center"/>
            <w:hideMark/>
          </w:tcPr>
          <w:p w14:paraId="3E3EF2F1" w14:textId="5DA40106"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Decrease/(increase) in other non</w:t>
            </w:r>
            <w:r w:rsidR="00325E1E">
              <w:rPr>
                <w:rFonts w:ascii="Arial" w:hAnsi="Arial" w:cs="Arial"/>
                <w:sz w:val="16"/>
                <w:szCs w:val="16"/>
              </w:rPr>
              <w:noBreakHyphen/>
            </w:r>
            <w:r w:rsidRPr="00D12F91">
              <w:rPr>
                <w:rFonts w:ascii="Arial" w:hAnsi="Arial" w:cs="Arial"/>
                <w:sz w:val="16"/>
                <w:szCs w:val="16"/>
              </w:rPr>
              <w:t>financial</w:t>
            </w:r>
          </w:p>
        </w:tc>
        <w:tc>
          <w:tcPr>
            <w:tcW w:w="0" w:type="auto"/>
            <w:tcBorders>
              <w:top w:val="nil"/>
              <w:left w:val="nil"/>
              <w:bottom w:val="nil"/>
              <w:right w:val="nil"/>
            </w:tcBorders>
            <w:shd w:val="clear" w:color="000000" w:fill="FFFFFF"/>
            <w:noWrap/>
            <w:vAlign w:val="bottom"/>
            <w:hideMark/>
          </w:tcPr>
          <w:p w14:paraId="0FFADBEC" w14:textId="77777777" w:rsidR="00883934" w:rsidRPr="00D12F91" w:rsidRDefault="00883934" w:rsidP="00883934">
            <w:pPr>
              <w:spacing w:before="0" w:after="0" w:line="240" w:lineRule="auto"/>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25D3B47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45BE265F"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2AD2E3C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77782366"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r>
      <w:tr w:rsidR="00883934" w:rsidRPr="00D12F91" w14:paraId="4841A0F9" w14:textId="77777777" w:rsidTr="00883934">
        <w:trPr>
          <w:trHeight w:val="225"/>
        </w:trPr>
        <w:tc>
          <w:tcPr>
            <w:tcW w:w="0" w:type="auto"/>
            <w:tcBorders>
              <w:top w:val="nil"/>
              <w:left w:val="nil"/>
              <w:bottom w:val="nil"/>
              <w:right w:val="nil"/>
            </w:tcBorders>
            <w:shd w:val="clear" w:color="000000" w:fill="FFFFFF"/>
            <w:noWrap/>
            <w:vAlign w:val="center"/>
            <w:hideMark/>
          </w:tcPr>
          <w:p w14:paraId="427D7FD0" w14:textId="77777777" w:rsidR="00883934" w:rsidRPr="00D12F91" w:rsidRDefault="00883934" w:rsidP="00883934">
            <w:pPr>
              <w:spacing w:before="0" w:after="0" w:line="240" w:lineRule="auto"/>
              <w:ind w:firstLineChars="300" w:firstLine="480"/>
              <w:rPr>
                <w:rFonts w:ascii="Arial" w:hAnsi="Arial" w:cs="Arial"/>
                <w:sz w:val="16"/>
                <w:szCs w:val="16"/>
              </w:rPr>
            </w:pPr>
            <w:r w:rsidRPr="00D12F91">
              <w:rPr>
                <w:rFonts w:ascii="Arial" w:hAnsi="Arial" w:cs="Arial"/>
                <w:sz w:val="16"/>
                <w:szCs w:val="16"/>
              </w:rPr>
              <w:t xml:space="preserve"> assets</w:t>
            </w:r>
          </w:p>
        </w:tc>
        <w:tc>
          <w:tcPr>
            <w:tcW w:w="0" w:type="auto"/>
            <w:tcBorders>
              <w:top w:val="nil"/>
              <w:left w:val="nil"/>
              <w:bottom w:val="nil"/>
              <w:right w:val="nil"/>
            </w:tcBorders>
            <w:shd w:val="clear" w:color="000000" w:fill="FFFFFF"/>
            <w:noWrap/>
            <w:vAlign w:val="center"/>
            <w:hideMark/>
          </w:tcPr>
          <w:p w14:paraId="639D1717"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596</w:t>
            </w:r>
          </w:p>
        </w:tc>
        <w:tc>
          <w:tcPr>
            <w:tcW w:w="0" w:type="auto"/>
            <w:tcBorders>
              <w:top w:val="nil"/>
              <w:left w:val="nil"/>
              <w:bottom w:val="nil"/>
              <w:right w:val="nil"/>
            </w:tcBorders>
            <w:shd w:val="clear" w:color="000000" w:fill="E6F2FF"/>
            <w:noWrap/>
            <w:vAlign w:val="center"/>
            <w:hideMark/>
          </w:tcPr>
          <w:p w14:paraId="1C8BC6F7"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969</w:t>
            </w:r>
          </w:p>
        </w:tc>
        <w:tc>
          <w:tcPr>
            <w:tcW w:w="0" w:type="auto"/>
            <w:tcBorders>
              <w:top w:val="nil"/>
              <w:left w:val="nil"/>
              <w:bottom w:val="nil"/>
              <w:right w:val="nil"/>
            </w:tcBorders>
            <w:shd w:val="clear" w:color="000000" w:fill="FFFFFF"/>
            <w:noWrap/>
            <w:vAlign w:val="center"/>
            <w:hideMark/>
          </w:tcPr>
          <w:p w14:paraId="395CC40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w:t>
            </w:r>
          </w:p>
        </w:tc>
        <w:tc>
          <w:tcPr>
            <w:tcW w:w="0" w:type="auto"/>
            <w:tcBorders>
              <w:top w:val="nil"/>
              <w:left w:val="nil"/>
              <w:bottom w:val="nil"/>
              <w:right w:val="nil"/>
            </w:tcBorders>
            <w:shd w:val="clear" w:color="000000" w:fill="FFFFFF"/>
            <w:noWrap/>
            <w:vAlign w:val="center"/>
            <w:hideMark/>
          </w:tcPr>
          <w:p w14:paraId="36D81EC6"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184</w:t>
            </w:r>
          </w:p>
        </w:tc>
        <w:tc>
          <w:tcPr>
            <w:tcW w:w="0" w:type="auto"/>
            <w:tcBorders>
              <w:top w:val="nil"/>
              <w:left w:val="nil"/>
              <w:bottom w:val="nil"/>
              <w:right w:val="nil"/>
            </w:tcBorders>
            <w:shd w:val="clear" w:color="000000" w:fill="FFFFFF"/>
            <w:noWrap/>
            <w:vAlign w:val="center"/>
            <w:hideMark/>
          </w:tcPr>
          <w:p w14:paraId="1C21658D" w14:textId="557AFE8E"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78</w:t>
            </w:r>
          </w:p>
        </w:tc>
      </w:tr>
      <w:tr w:rsidR="00883934" w:rsidRPr="00D12F91" w14:paraId="3E5C4219" w14:textId="77777777" w:rsidTr="00883934">
        <w:trPr>
          <w:trHeight w:val="225"/>
        </w:trPr>
        <w:tc>
          <w:tcPr>
            <w:tcW w:w="0" w:type="auto"/>
            <w:tcBorders>
              <w:top w:val="nil"/>
              <w:left w:val="nil"/>
              <w:bottom w:val="nil"/>
              <w:right w:val="nil"/>
            </w:tcBorders>
            <w:shd w:val="clear" w:color="000000" w:fill="FFFFFF"/>
            <w:noWrap/>
            <w:vAlign w:val="center"/>
            <w:hideMark/>
          </w:tcPr>
          <w:p w14:paraId="18C946A1"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Increase/(decrease) in benefits, subsidies and</w:t>
            </w:r>
          </w:p>
        </w:tc>
        <w:tc>
          <w:tcPr>
            <w:tcW w:w="0" w:type="auto"/>
            <w:tcBorders>
              <w:top w:val="nil"/>
              <w:left w:val="nil"/>
              <w:bottom w:val="nil"/>
              <w:right w:val="nil"/>
            </w:tcBorders>
            <w:shd w:val="clear" w:color="000000" w:fill="FFFFFF"/>
            <w:noWrap/>
            <w:vAlign w:val="center"/>
            <w:hideMark/>
          </w:tcPr>
          <w:p w14:paraId="7CA73D9D"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36F3B9E7"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3F2FB526"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244551AA"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125ABEF4"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r>
      <w:tr w:rsidR="00883934" w:rsidRPr="00D12F91" w14:paraId="7D15EBD4" w14:textId="77777777" w:rsidTr="00883934">
        <w:trPr>
          <w:trHeight w:val="225"/>
        </w:trPr>
        <w:tc>
          <w:tcPr>
            <w:tcW w:w="0" w:type="auto"/>
            <w:tcBorders>
              <w:top w:val="nil"/>
              <w:left w:val="nil"/>
              <w:bottom w:val="nil"/>
              <w:right w:val="nil"/>
            </w:tcBorders>
            <w:shd w:val="clear" w:color="000000" w:fill="FFFFFF"/>
            <w:noWrap/>
            <w:vAlign w:val="center"/>
            <w:hideMark/>
          </w:tcPr>
          <w:p w14:paraId="7460A068" w14:textId="77777777" w:rsidR="00883934" w:rsidRPr="00D12F91" w:rsidRDefault="00883934" w:rsidP="00883934">
            <w:pPr>
              <w:spacing w:before="0" w:after="0" w:line="240" w:lineRule="auto"/>
              <w:ind w:firstLineChars="300" w:firstLine="480"/>
              <w:rPr>
                <w:rFonts w:ascii="Arial" w:hAnsi="Arial" w:cs="Arial"/>
                <w:sz w:val="16"/>
                <w:szCs w:val="16"/>
              </w:rPr>
            </w:pPr>
            <w:r w:rsidRPr="00D12F91">
              <w:rPr>
                <w:rFonts w:ascii="Arial" w:hAnsi="Arial" w:cs="Arial"/>
                <w:sz w:val="16"/>
                <w:szCs w:val="16"/>
              </w:rPr>
              <w:t>grants payable</w:t>
            </w:r>
          </w:p>
        </w:tc>
        <w:tc>
          <w:tcPr>
            <w:tcW w:w="0" w:type="auto"/>
            <w:tcBorders>
              <w:top w:val="nil"/>
              <w:left w:val="nil"/>
              <w:bottom w:val="nil"/>
              <w:right w:val="nil"/>
            </w:tcBorders>
            <w:shd w:val="clear" w:color="000000" w:fill="FFFFFF"/>
            <w:noWrap/>
            <w:vAlign w:val="center"/>
            <w:hideMark/>
          </w:tcPr>
          <w:p w14:paraId="39F6A221"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2,017</w:t>
            </w:r>
          </w:p>
        </w:tc>
        <w:tc>
          <w:tcPr>
            <w:tcW w:w="0" w:type="auto"/>
            <w:tcBorders>
              <w:top w:val="nil"/>
              <w:left w:val="nil"/>
              <w:bottom w:val="nil"/>
              <w:right w:val="nil"/>
            </w:tcBorders>
            <w:shd w:val="clear" w:color="000000" w:fill="E6F2FF"/>
            <w:noWrap/>
            <w:vAlign w:val="center"/>
            <w:hideMark/>
          </w:tcPr>
          <w:p w14:paraId="45B698A4" w14:textId="734A203C"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2,591</w:t>
            </w:r>
          </w:p>
        </w:tc>
        <w:tc>
          <w:tcPr>
            <w:tcW w:w="0" w:type="auto"/>
            <w:tcBorders>
              <w:top w:val="nil"/>
              <w:left w:val="nil"/>
              <w:bottom w:val="nil"/>
              <w:right w:val="nil"/>
            </w:tcBorders>
            <w:shd w:val="clear" w:color="000000" w:fill="FFFFFF"/>
            <w:noWrap/>
            <w:vAlign w:val="center"/>
            <w:hideMark/>
          </w:tcPr>
          <w:p w14:paraId="090A9E74" w14:textId="523592E8"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1,786</w:t>
            </w:r>
          </w:p>
        </w:tc>
        <w:tc>
          <w:tcPr>
            <w:tcW w:w="0" w:type="auto"/>
            <w:tcBorders>
              <w:top w:val="nil"/>
              <w:left w:val="nil"/>
              <w:bottom w:val="nil"/>
              <w:right w:val="nil"/>
            </w:tcBorders>
            <w:shd w:val="clear" w:color="000000" w:fill="FFFFFF"/>
            <w:noWrap/>
            <w:vAlign w:val="center"/>
            <w:hideMark/>
          </w:tcPr>
          <w:p w14:paraId="776D7791" w14:textId="121ED0C9"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2,159</w:t>
            </w:r>
          </w:p>
        </w:tc>
        <w:tc>
          <w:tcPr>
            <w:tcW w:w="0" w:type="auto"/>
            <w:tcBorders>
              <w:top w:val="nil"/>
              <w:left w:val="nil"/>
              <w:bottom w:val="nil"/>
              <w:right w:val="nil"/>
            </w:tcBorders>
            <w:shd w:val="clear" w:color="000000" w:fill="FFFFFF"/>
            <w:noWrap/>
            <w:vAlign w:val="center"/>
            <w:hideMark/>
          </w:tcPr>
          <w:p w14:paraId="3D90F50E"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515</w:t>
            </w:r>
          </w:p>
        </w:tc>
      </w:tr>
      <w:tr w:rsidR="00883934" w:rsidRPr="00D12F91" w14:paraId="34B2E4F7" w14:textId="77777777" w:rsidTr="00883934">
        <w:trPr>
          <w:trHeight w:val="225"/>
        </w:trPr>
        <w:tc>
          <w:tcPr>
            <w:tcW w:w="0" w:type="auto"/>
            <w:tcBorders>
              <w:top w:val="nil"/>
              <w:left w:val="nil"/>
              <w:bottom w:val="nil"/>
              <w:right w:val="nil"/>
            </w:tcBorders>
            <w:shd w:val="clear" w:color="000000" w:fill="FFFFFF"/>
            <w:noWrap/>
            <w:vAlign w:val="center"/>
            <w:hideMark/>
          </w:tcPr>
          <w:p w14:paraId="4D052ABC" w14:textId="570C8B61"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Increase/(decrease) in suppliers</w:t>
            </w:r>
            <w:r w:rsidR="00325E1E">
              <w:rPr>
                <w:rFonts w:ascii="Arial" w:hAnsi="Arial" w:cs="Arial"/>
                <w:sz w:val="16"/>
                <w:szCs w:val="16"/>
              </w:rPr>
              <w:t>’</w:t>
            </w:r>
            <w:r w:rsidRPr="00D12F91">
              <w:rPr>
                <w:rFonts w:ascii="Arial" w:hAnsi="Arial" w:cs="Arial"/>
                <w:sz w:val="16"/>
                <w:szCs w:val="16"/>
              </w:rPr>
              <w:t xml:space="preserve"> liabilities</w:t>
            </w:r>
          </w:p>
        </w:tc>
        <w:tc>
          <w:tcPr>
            <w:tcW w:w="0" w:type="auto"/>
            <w:tcBorders>
              <w:top w:val="nil"/>
              <w:left w:val="nil"/>
              <w:bottom w:val="nil"/>
              <w:right w:val="nil"/>
            </w:tcBorders>
            <w:shd w:val="clear" w:color="000000" w:fill="FFFFFF"/>
            <w:noWrap/>
            <w:vAlign w:val="center"/>
            <w:hideMark/>
          </w:tcPr>
          <w:p w14:paraId="5A455EEA"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146</w:t>
            </w:r>
          </w:p>
        </w:tc>
        <w:tc>
          <w:tcPr>
            <w:tcW w:w="0" w:type="auto"/>
            <w:tcBorders>
              <w:top w:val="nil"/>
              <w:left w:val="nil"/>
              <w:bottom w:val="nil"/>
              <w:right w:val="nil"/>
            </w:tcBorders>
            <w:shd w:val="clear" w:color="000000" w:fill="E6F2FF"/>
            <w:noWrap/>
            <w:vAlign w:val="center"/>
            <w:hideMark/>
          </w:tcPr>
          <w:p w14:paraId="32571113" w14:textId="7D878038"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425</w:t>
            </w:r>
          </w:p>
        </w:tc>
        <w:tc>
          <w:tcPr>
            <w:tcW w:w="0" w:type="auto"/>
            <w:tcBorders>
              <w:top w:val="nil"/>
              <w:left w:val="nil"/>
              <w:bottom w:val="nil"/>
              <w:right w:val="nil"/>
            </w:tcBorders>
            <w:shd w:val="clear" w:color="000000" w:fill="FFFFFF"/>
            <w:noWrap/>
            <w:vAlign w:val="center"/>
            <w:hideMark/>
          </w:tcPr>
          <w:p w14:paraId="5136C61D"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8</w:t>
            </w:r>
          </w:p>
        </w:tc>
        <w:tc>
          <w:tcPr>
            <w:tcW w:w="0" w:type="auto"/>
            <w:tcBorders>
              <w:top w:val="nil"/>
              <w:left w:val="nil"/>
              <w:bottom w:val="nil"/>
              <w:right w:val="nil"/>
            </w:tcBorders>
            <w:shd w:val="clear" w:color="000000" w:fill="FFFFFF"/>
            <w:noWrap/>
            <w:vAlign w:val="center"/>
            <w:hideMark/>
          </w:tcPr>
          <w:p w14:paraId="3D5B39ED"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145</w:t>
            </w:r>
          </w:p>
        </w:tc>
        <w:tc>
          <w:tcPr>
            <w:tcW w:w="0" w:type="auto"/>
            <w:tcBorders>
              <w:top w:val="nil"/>
              <w:left w:val="nil"/>
              <w:bottom w:val="nil"/>
              <w:right w:val="nil"/>
            </w:tcBorders>
            <w:shd w:val="clear" w:color="000000" w:fill="FFFFFF"/>
            <w:noWrap/>
            <w:vAlign w:val="center"/>
            <w:hideMark/>
          </w:tcPr>
          <w:p w14:paraId="6FCA0872"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119</w:t>
            </w:r>
          </w:p>
        </w:tc>
      </w:tr>
      <w:tr w:rsidR="00883934" w:rsidRPr="00D12F91" w14:paraId="0833522E" w14:textId="77777777" w:rsidTr="00883934">
        <w:trPr>
          <w:trHeight w:val="225"/>
        </w:trPr>
        <w:tc>
          <w:tcPr>
            <w:tcW w:w="0" w:type="auto"/>
            <w:tcBorders>
              <w:top w:val="nil"/>
              <w:left w:val="nil"/>
              <w:bottom w:val="nil"/>
              <w:right w:val="nil"/>
            </w:tcBorders>
            <w:shd w:val="clear" w:color="000000" w:fill="FFFFFF"/>
            <w:noWrap/>
            <w:vAlign w:val="center"/>
            <w:hideMark/>
          </w:tcPr>
          <w:p w14:paraId="4E06B2C5" w14:textId="77777777" w:rsidR="00883934" w:rsidRPr="00D12F91" w:rsidRDefault="00883934" w:rsidP="00883934">
            <w:pPr>
              <w:spacing w:before="0" w:after="0" w:line="240" w:lineRule="auto"/>
              <w:ind w:firstLineChars="200" w:firstLine="320"/>
              <w:rPr>
                <w:rFonts w:ascii="Arial" w:hAnsi="Arial" w:cs="Arial"/>
                <w:sz w:val="16"/>
                <w:szCs w:val="16"/>
              </w:rPr>
            </w:pPr>
            <w:r w:rsidRPr="00D12F91">
              <w:rPr>
                <w:rFonts w:ascii="Arial" w:hAnsi="Arial" w:cs="Arial"/>
                <w:sz w:val="16"/>
                <w:szCs w:val="16"/>
              </w:rPr>
              <w:t xml:space="preserve"> Increase/(decrease) in other provisions and</w:t>
            </w:r>
          </w:p>
        </w:tc>
        <w:tc>
          <w:tcPr>
            <w:tcW w:w="0" w:type="auto"/>
            <w:tcBorders>
              <w:top w:val="nil"/>
              <w:left w:val="nil"/>
              <w:bottom w:val="nil"/>
              <w:right w:val="nil"/>
            </w:tcBorders>
            <w:shd w:val="clear" w:color="000000" w:fill="FFFFFF"/>
            <w:noWrap/>
            <w:vAlign w:val="center"/>
            <w:hideMark/>
          </w:tcPr>
          <w:p w14:paraId="7204FDA4"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E6F2FF"/>
            <w:noWrap/>
            <w:vAlign w:val="center"/>
            <w:hideMark/>
          </w:tcPr>
          <w:p w14:paraId="448360C2"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7F23C6C4"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1A8D5AAC"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c>
          <w:tcPr>
            <w:tcW w:w="0" w:type="auto"/>
            <w:tcBorders>
              <w:top w:val="nil"/>
              <w:left w:val="nil"/>
              <w:bottom w:val="nil"/>
              <w:right w:val="nil"/>
            </w:tcBorders>
            <w:shd w:val="clear" w:color="000000" w:fill="FFFFFF"/>
            <w:noWrap/>
            <w:vAlign w:val="center"/>
            <w:hideMark/>
          </w:tcPr>
          <w:p w14:paraId="3BDC2990"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 </w:t>
            </w:r>
          </w:p>
        </w:tc>
      </w:tr>
      <w:tr w:rsidR="00883934" w:rsidRPr="00D12F91" w14:paraId="5F83409A" w14:textId="77777777" w:rsidTr="00883934">
        <w:trPr>
          <w:trHeight w:val="225"/>
        </w:trPr>
        <w:tc>
          <w:tcPr>
            <w:tcW w:w="0" w:type="auto"/>
            <w:tcBorders>
              <w:top w:val="nil"/>
              <w:left w:val="nil"/>
              <w:bottom w:val="nil"/>
              <w:right w:val="nil"/>
            </w:tcBorders>
            <w:shd w:val="clear" w:color="000000" w:fill="FFFFFF"/>
            <w:noWrap/>
            <w:vAlign w:val="center"/>
            <w:hideMark/>
          </w:tcPr>
          <w:p w14:paraId="33E47286" w14:textId="77777777" w:rsidR="00883934" w:rsidRPr="00D12F91" w:rsidRDefault="00883934" w:rsidP="00883934">
            <w:pPr>
              <w:spacing w:before="0" w:after="0" w:line="240" w:lineRule="auto"/>
              <w:ind w:firstLineChars="300" w:firstLine="480"/>
              <w:rPr>
                <w:rFonts w:ascii="Arial" w:hAnsi="Arial" w:cs="Arial"/>
                <w:sz w:val="16"/>
                <w:szCs w:val="16"/>
              </w:rPr>
            </w:pPr>
            <w:r w:rsidRPr="00D12F91">
              <w:rPr>
                <w:rFonts w:ascii="Arial" w:hAnsi="Arial" w:cs="Arial"/>
                <w:sz w:val="16"/>
                <w:szCs w:val="16"/>
              </w:rPr>
              <w:t>payables</w:t>
            </w:r>
          </w:p>
        </w:tc>
        <w:tc>
          <w:tcPr>
            <w:tcW w:w="0" w:type="auto"/>
            <w:tcBorders>
              <w:top w:val="nil"/>
              <w:left w:val="nil"/>
              <w:bottom w:val="single" w:sz="4" w:space="0" w:color="293F5B"/>
              <w:right w:val="nil"/>
            </w:tcBorders>
            <w:shd w:val="clear" w:color="000000" w:fill="FFFFFF"/>
            <w:noWrap/>
            <w:vAlign w:val="center"/>
            <w:hideMark/>
          </w:tcPr>
          <w:p w14:paraId="5E0A40EA" w14:textId="395D4CB1" w:rsidR="00883934" w:rsidRPr="00D12F91" w:rsidRDefault="00325E1E" w:rsidP="00883934">
            <w:pPr>
              <w:spacing w:before="0" w:after="0" w:line="240" w:lineRule="auto"/>
              <w:jc w:val="right"/>
              <w:rPr>
                <w:rFonts w:ascii="Arial" w:hAnsi="Arial" w:cs="Arial"/>
                <w:sz w:val="16"/>
                <w:szCs w:val="16"/>
              </w:rPr>
            </w:pPr>
            <w:r>
              <w:rPr>
                <w:rFonts w:ascii="Arial" w:hAnsi="Arial" w:cs="Arial"/>
                <w:sz w:val="16"/>
                <w:szCs w:val="16"/>
              </w:rPr>
              <w:noBreakHyphen/>
            </w:r>
            <w:r w:rsidR="00883934" w:rsidRPr="00D12F91">
              <w:rPr>
                <w:rFonts w:ascii="Arial" w:hAnsi="Arial" w:cs="Arial"/>
                <w:sz w:val="16"/>
                <w:szCs w:val="16"/>
              </w:rPr>
              <w:t>1,532</w:t>
            </w:r>
          </w:p>
        </w:tc>
        <w:tc>
          <w:tcPr>
            <w:tcW w:w="0" w:type="auto"/>
            <w:tcBorders>
              <w:top w:val="nil"/>
              <w:left w:val="nil"/>
              <w:bottom w:val="single" w:sz="4" w:space="0" w:color="293F5B"/>
              <w:right w:val="nil"/>
            </w:tcBorders>
            <w:shd w:val="clear" w:color="000000" w:fill="E6F2FF"/>
            <w:noWrap/>
            <w:vAlign w:val="center"/>
            <w:hideMark/>
          </w:tcPr>
          <w:p w14:paraId="4A6940BA"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1,064</w:t>
            </w:r>
          </w:p>
        </w:tc>
        <w:tc>
          <w:tcPr>
            <w:tcW w:w="0" w:type="auto"/>
            <w:tcBorders>
              <w:top w:val="nil"/>
              <w:left w:val="nil"/>
              <w:bottom w:val="single" w:sz="4" w:space="0" w:color="293F5B"/>
              <w:right w:val="nil"/>
            </w:tcBorders>
            <w:shd w:val="clear" w:color="000000" w:fill="FFFFFF"/>
            <w:noWrap/>
            <w:vAlign w:val="center"/>
            <w:hideMark/>
          </w:tcPr>
          <w:p w14:paraId="42E4F2BE"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1,371</w:t>
            </w:r>
          </w:p>
        </w:tc>
        <w:tc>
          <w:tcPr>
            <w:tcW w:w="0" w:type="auto"/>
            <w:tcBorders>
              <w:top w:val="nil"/>
              <w:left w:val="nil"/>
              <w:bottom w:val="single" w:sz="4" w:space="0" w:color="293F5B"/>
              <w:right w:val="nil"/>
            </w:tcBorders>
            <w:shd w:val="clear" w:color="000000" w:fill="FFFFFF"/>
            <w:noWrap/>
            <w:vAlign w:val="center"/>
            <w:hideMark/>
          </w:tcPr>
          <w:p w14:paraId="64412E53"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1,672</w:t>
            </w:r>
          </w:p>
        </w:tc>
        <w:tc>
          <w:tcPr>
            <w:tcW w:w="0" w:type="auto"/>
            <w:tcBorders>
              <w:top w:val="nil"/>
              <w:left w:val="nil"/>
              <w:bottom w:val="single" w:sz="4" w:space="0" w:color="293F5B"/>
              <w:right w:val="nil"/>
            </w:tcBorders>
            <w:shd w:val="clear" w:color="000000" w:fill="FFFFFF"/>
            <w:noWrap/>
            <w:vAlign w:val="center"/>
            <w:hideMark/>
          </w:tcPr>
          <w:p w14:paraId="339B150C" w14:textId="77777777" w:rsidR="00883934" w:rsidRPr="00D12F91" w:rsidRDefault="00883934" w:rsidP="00883934">
            <w:pPr>
              <w:spacing w:before="0" w:after="0" w:line="240" w:lineRule="auto"/>
              <w:jc w:val="right"/>
              <w:rPr>
                <w:rFonts w:ascii="Arial" w:hAnsi="Arial" w:cs="Arial"/>
                <w:sz w:val="16"/>
                <w:szCs w:val="16"/>
              </w:rPr>
            </w:pPr>
            <w:r w:rsidRPr="00D12F91">
              <w:rPr>
                <w:rFonts w:ascii="Arial" w:hAnsi="Arial" w:cs="Arial"/>
                <w:sz w:val="16"/>
                <w:szCs w:val="16"/>
              </w:rPr>
              <w:t>2,017</w:t>
            </w:r>
          </w:p>
        </w:tc>
      </w:tr>
      <w:tr w:rsidR="00883934" w:rsidRPr="00D12F91" w14:paraId="29D01019" w14:textId="77777777" w:rsidTr="00883934">
        <w:trPr>
          <w:trHeight w:val="225"/>
        </w:trPr>
        <w:tc>
          <w:tcPr>
            <w:tcW w:w="0" w:type="auto"/>
            <w:tcBorders>
              <w:top w:val="nil"/>
              <w:left w:val="nil"/>
              <w:bottom w:val="nil"/>
              <w:right w:val="nil"/>
            </w:tcBorders>
            <w:shd w:val="clear" w:color="000000" w:fill="FFFFFF"/>
            <w:noWrap/>
            <w:vAlign w:val="center"/>
            <w:hideMark/>
          </w:tcPr>
          <w:p w14:paraId="49524C94" w14:textId="77777777" w:rsidR="00883934" w:rsidRPr="00D12F91" w:rsidRDefault="00883934" w:rsidP="00883934">
            <w:pPr>
              <w:spacing w:before="0" w:after="0" w:line="240" w:lineRule="auto"/>
              <w:rPr>
                <w:rFonts w:ascii="Arial" w:hAnsi="Arial" w:cs="Arial"/>
                <w:b/>
                <w:bCs/>
                <w:color w:val="000000"/>
                <w:sz w:val="16"/>
                <w:szCs w:val="16"/>
              </w:rPr>
            </w:pPr>
            <w:r w:rsidRPr="00D12F91">
              <w:rPr>
                <w:rFonts w:ascii="Arial" w:hAnsi="Arial" w:cs="Arial"/>
                <w:b/>
                <w:bCs/>
                <w:color w:val="000000"/>
                <w:sz w:val="16"/>
                <w:szCs w:val="16"/>
              </w:rPr>
              <w:t>Net cash provided/(used) by working capital</w:t>
            </w:r>
          </w:p>
        </w:tc>
        <w:tc>
          <w:tcPr>
            <w:tcW w:w="0" w:type="auto"/>
            <w:tcBorders>
              <w:top w:val="nil"/>
              <w:left w:val="nil"/>
              <w:bottom w:val="single" w:sz="4" w:space="0" w:color="293F5B"/>
              <w:right w:val="nil"/>
            </w:tcBorders>
            <w:shd w:val="clear" w:color="000000" w:fill="FFFFFF"/>
            <w:noWrap/>
            <w:vAlign w:val="bottom"/>
            <w:hideMark/>
          </w:tcPr>
          <w:p w14:paraId="7550B489" w14:textId="6DD7BB73"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13,577</w:t>
            </w:r>
          </w:p>
        </w:tc>
        <w:tc>
          <w:tcPr>
            <w:tcW w:w="0" w:type="auto"/>
            <w:tcBorders>
              <w:top w:val="nil"/>
              <w:left w:val="nil"/>
              <w:bottom w:val="single" w:sz="4" w:space="0" w:color="293F5B"/>
              <w:right w:val="nil"/>
            </w:tcBorders>
            <w:shd w:val="clear" w:color="000000" w:fill="E6F2FF"/>
            <w:noWrap/>
            <w:vAlign w:val="bottom"/>
            <w:hideMark/>
          </w:tcPr>
          <w:p w14:paraId="342AE5C1" w14:textId="778971B9" w:rsidR="00883934" w:rsidRPr="00D12F91" w:rsidRDefault="00325E1E" w:rsidP="00883934">
            <w:pPr>
              <w:spacing w:before="0" w:after="0" w:line="240" w:lineRule="auto"/>
              <w:jc w:val="right"/>
              <w:rPr>
                <w:rFonts w:ascii="Arial" w:hAnsi="Arial" w:cs="Arial"/>
                <w:b/>
                <w:bCs/>
                <w:sz w:val="16"/>
                <w:szCs w:val="16"/>
              </w:rPr>
            </w:pPr>
            <w:r>
              <w:rPr>
                <w:rFonts w:ascii="Arial" w:hAnsi="Arial" w:cs="Arial"/>
                <w:b/>
                <w:bCs/>
                <w:sz w:val="16"/>
                <w:szCs w:val="16"/>
              </w:rPr>
              <w:noBreakHyphen/>
            </w:r>
            <w:r w:rsidR="00883934" w:rsidRPr="00D12F91">
              <w:rPr>
                <w:rFonts w:ascii="Arial" w:hAnsi="Arial" w:cs="Arial"/>
                <w:b/>
                <w:bCs/>
                <w:sz w:val="16"/>
                <w:szCs w:val="16"/>
              </w:rPr>
              <w:t>15,865</w:t>
            </w:r>
          </w:p>
        </w:tc>
        <w:tc>
          <w:tcPr>
            <w:tcW w:w="0" w:type="auto"/>
            <w:tcBorders>
              <w:top w:val="nil"/>
              <w:left w:val="nil"/>
              <w:bottom w:val="single" w:sz="4" w:space="0" w:color="293F5B"/>
              <w:right w:val="nil"/>
            </w:tcBorders>
            <w:shd w:val="clear" w:color="000000" w:fill="FFFFFF"/>
            <w:noWrap/>
            <w:vAlign w:val="bottom"/>
            <w:hideMark/>
          </w:tcPr>
          <w:p w14:paraId="6CBCEBDC" w14:textId="23FFBB23"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17,340</w:t>
            </w:r>
          </w:p>
        </w:tc>
        <w:tc>
          <w:tcPr>
            <w:tcW w:w="0" w:type="auto"/>
            <w:tcBorders>
              <w:top w:val="nil"/>
              <w:left w:val="nil"/>
              <w:bottom w:val="single" w:sz="4" w:space="0" w:color="293F5B"/>
              <w:right w:val="nil"/>
            </w:tcBorders>
            <w:shd w:val="clear" w:color="000000" w:fill="FFFFFF"/>
            <w:noWrap/>
            <w:vAlign w:val="bottom"/>
            <w:hideMark/>
          </w:tcPr>
          <w:p w14:paraId="26B15374" w14:textId="31C25670"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17,950</w:t>
            </w:r>
          </w:p>
        </w:tc>
        <w:tc>
          <w:tcPr>
            <w:tcW w:w="0" w:type="auto"/>
            <w:tcBorders>
              <w:top w:val="nil"/>
              <w:left w:val="nil"/>
              <w:bottom w:val="single" w:sz="4" w:space="0" w:color="293F5B"/>
              <w:right w:val="nil"/>
            </w:tcBorders>
            <w:shd w:val="clear" w:color="000000" w:fill="FFFFFF"/>
            <w:noWrap/>
            <w:vAlign w:val="bottom"/>
            <w:hideMark/>
          </w:tcPr>
          <w:p w14:paraId="7BDB5EC8" w14:textId="0E1BC2B4"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16,700</w:t>
            </w:r>
          </w:p>
        </w:tc>
      </w:tr>
      <w:tr w:rsidR="00883934" w:rsidRPr="00D12F91" w14:paraId="5EA207E9" w14:textId="77777777" w:rsidTr="00883934">
        <w:trPr>
          <w:trHeight w:val="225"/>
        </w:trPr>
        <w:tc>
          <w:tcPr>
            <w:tcW w:w="0" w:type="auto"/>
            <w:tcBorders>
              <w:top w:val="nil"/>
              <w:left w:val="nil"/>
              <w:bottom w:val="nil"/>
              <w:right w:val="nil"/>
            </w:tcBorders>
            <w:shd w:val="clear" w:color="000000" w:fill="FFFFFF"/>
            <w:noWrap/>
            <w:vAlign w:val="center"/>
            <w:hideMark/>
          </w:tcPr>
          <w:p w14:paraId="2E066939" w14:textId="77777777" w:rsidR="00883934" w:rsidRPr="00D12F91" w:rsidRDefault="00883934" w:rsidP="00883934">
            <w:pPr>
              <w:spacing w:before="0" w:after="0" w:line="240" w:lineRule="auto"/>
              <w:rPr>
                <w:rFonts w:ascii="Arial" w:hAnsi="Arial" w:cs="Arial"/>
                <w:i/>
                <w:iCs/>
                <w:sz w:val="16"/>
                <w:szCs w:val="16"/>
              </w:rPr>
            </w:pPr>
            <w:r w:rsidRPr="00D12F91">
              <w:rPr>
                <w:rFonts w:ascii="Arial" w:hAnsi="Arial" w:cs="Arial"/>
                <w:i/>
                <w:iCs/>
                <w:sz w:val="16"/>
                <w:szCs w:val="16"/>
              </w:rPr>
              <w:t xml:space="preserve">equals  </w:t>
            </w:r>
            <w:r w:rsidRPr="00D12F91">
              <w:rPr>
                <w:rFonts w:ascii="Arial" w:hAnsi="Arial" w:cs="Arial"/>
                <w:sz w:val="16"/>
                <w:szCs w:val="16"/>
              </w:rPr>
              <w:t>(Net cash from/(to) operating activities)</w:t>
            </w:r>
          </w:p>
        </w:tc>
        <w:tc>
          <w:tcPr>
            <w:tcW w:w="0" w:type="auto"/>
            <w:tcBorders>
              <w:top w:val="nil"/>
              <w:left w:val="nil"/>
              <w:bottom w:val="nil"/>
              <w:right w:val="nil"/>
            </w:tcBorders>
            <w:shd w:val="clear" w:color="000000" w:fill="FFFFFF"/>
            <w:noWrap/>
            <w:vAlign w:val="center"/>
            <w:hideMark/>
          </w:tcPr>
          <w:p w14:paraId="46FF76E4"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28,312</w:t>
            </w:r>
          </w:p>
        </w:tc>
        <w:tc>
          <w:tcPr>
            <w:tcW w:w="0" w:type="auto"/>
            <w:tcBorders>
              <w:top w:val="nil"/>
              <w:left w:val="nil"/>
              <w:bottom w:val="nil"/>
              <w:right w:val="nil"/>
            </w:tcBorders>
            <w:shd w:val="clear" w:color="000000" w:fill="E6F2FF"/>
            <w:noWrap/>
            <w:vAlign w:val="center"/>
            <w:hideMark/>
          </w:tcPr>
          <w:p w14:paraId="5180D1BC" w14:textId="2D94D3C5"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6,408</w:t>
            </w:r>
          </w:p>
        </w:tc>
        <w:tc>
          <w:tcPr>
            <w:tcW w:w="0" w:type="auto"/>
            <w:tcBorders>
              <w:top w:val="nil"/>
              <w:left w:val="nil"/>
              <w:bottom w:val="nil"/>
              <w:right w:val="nil"/>
            </w:tcBorders>
            <w:shd w:val="clear" w:color="000000" w:fill="FFFFFF"/>
            <w:noWrap/>
            <w:vAlign w:val="center"/>
            <w:hideMark/>
          </w:tcPr>
          <w:p w14:paraId="55FAE905" w14:textId="55DA87E4"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21,777</w:t>
            </w:r>
          </w:p>
        </w:tc>
        <w:tc>
          <w:tcPr>
            <w:tcW w:w="0" w:type="auto"/>
            <w:tcBorders>
              <w:top w:val="nil"/>
              <w:left w:val="nil"/>
              <w:bottom w:val="nil"/>
              <w:right w:val="nil"/>
            </w:tcBorders>
            <w:shd w:val="clear" w:color="000000" w:fill="FFFFFF"/>
            <w:noWrap/>
            <w:vAlign w:val="center"/>
            <w:hideMark/>
          </w:tcPr>
          <w:p w14:paraId="15CA48D9" w14:textId="6C656C8D"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4,207</w:t>
            </w:r>
          </w:p>
        </w:tc>
        <w:tc>
          <w:tcPr>
            <w:tcW w:w="0" w:type="auto"/>
            <w:tcBorders>
              <w:top w:val="nil"/>
              <w:left w:val="nil"/>
              <w:bottom w:val="nil"/>
              <w:right w:val="nil"/>
            </w:tcBorders>
            <w:shd w:val="clear" w:color="000000" w:fill="FFFFFF"/>
            <w:noWrap/>
            <w:vAlign w:val="center"/>
            <w:hideMark/>
          </w:tcPr>
          <w:p w14:paraId="0C59731E"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725</w:t>
            </w:r>
          </w:p>
        </w:tc>
      </w:tr>
      <w:tr w:rsidR="00883934" w:rsidRPr="00D12F91" w14:paraId="0B0F4D5E" w14:textId="77777777" w:rsidTr="00883934">
        <w:trPr>
          <w:trHeight w:val="225"/>
        </w:trPr>
        <w:tc>
          <w:tcPr>
            <w:tcW w:w="0" w:type="auto"/>
            <w:tcBorders>
              <w:top w:val="nil"/>
              <w:left w:val="nil"/>
              <w:bottom w:val="nil"/>
              <w:right w:val="nil"/>
            </w:tcBorders>
            <w:shd w:val="clear" w:color="000000" w:fill="FFFFFF"/>
            <w:noWrap/>
            <w:vAlign w:val="center"/>
            <w:hideMark/>
          </w:tcPr>
          <w:p w14:paraId="09165076" w14:textId="77777777" w:rsidR="00883934" w:rsidRPr="00D12F91" w:rsidRDefault="00883934" w:rsidP="00883934">
            <w:pPr>
              <w:spacing w:before="0" w:after="0" w:line="240" w:lineRule="auto"/>
              <w:rPr>
                <w:rFonts w:ascii="Arial" w:hAnsi="Arial" w:cs="Arial"/>
                <w:i/>
                <w:iCs/>
                <w:color w:val="000000"/>
                <w:sz w:val="16"/>
                <w:szCs w:val="16"/>
              </w:rPr>
            </w:pPr>
            <w:r w:rsidRPr="00D12F91">
              <w:rPr>
                <w:rFonts w:ascii="Arial" w:hAnsi="Arial" w:cs="Arial"/>
                <w:i/>
                <w:iCs/>
                <w:color w:val="000000"/>
                <w:sz w:val="16"/>
                <w:szCs w:val="16"/>
              </w:rPr>
              <w:t xml:space="preserve">plus  </w:t>
            </w:r>
            <w:r w:rsidRPr="00D12F91">
              <w:rPr>
                <w:rFonts w:ascii="Arial" w:hAnsi="Arial" w:cs="Arial"/>
                <w:color w:val="000000"/>
                <w:sz w:val="16"/>
                <w:szCs w:val="16"/>
              </w:rPr>
              <w:t>(Net cash from/(to) investing activities)</w:t>
            </w:r>
          </w:p>
        </w:tc>
        <w:tc>
          <w:tcPr>
            <w:tcW w:w="0" w:type="auto"/>
            <w:tcBorders>
              <w:top w:val="nil"/>
              <w:left w:val="nil"/>
              <w:bottom w:val="nil"/>
              <w:right w:val="nil"/>
            </w:tcBorders>
            <w:shd w:val="clear" w:color="000000" w:fill="FFFFFF"/>
            <w:noWrap/>
            <w:vAlign w:val="center"/>
            <w:hideMark/>
          </w:tcPr>
          <w:p w14:paraId="3819780A" w14:textId="148555DA"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36,014</w:t>
            </w:r>
          </w:p>
        </w:tc>
        <w:tc>
          <w:tcPr>
            <w:tcW w:w="0" w:type="auto"/>
            <w:tcBorders>
              <w:top w:val="nil"/>
              <w:left w:val="nil"/>
              <w:bottom w:val="nil"/>
              <w:right w:val="nil"/>
            </w:tcBorders>
            <w:shd w:val="clear" w:color="000000" w:fill="E6F2FF"/>
            <w:noWrap/>
            <w:vAlign w:val="center"/>
            <w:hideMark/>
          </w:tcPr>
          <w:p w14:paraId="441EE1D0" w14:textId="2FE0C5D2"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42,253</w:t>
            </w:r>
          </w:p>
        </w:tc>
        <w:tc>
          <w:tcPr>
            <w:tcW w:w="0" w:type="auto"/>
            <w:tcBorders>
              <w:top w:val="nil"/>
              <w:left w:val="nil"/>
              <w:bottom w:val="nil"/>
              <w:right w:val="nil"/>
            </w:tcBorders>
            <w:shd w:val="clear" w:color="000000" w:fill="FFFFFF"/>
            <w:noWrap/>
            <w:vAlign w:val="center"/>
            <w:hideMark/>
          </w:tcPr>
          <w:p w14:paraId="6FC9BBA8" w14:textId="0E078B6B"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44,036</w:t>
            </w:r>
          </w:p>
        </w:tc>
        <w:tc>
          <w:tcPr>
            <w:tcW w:w="0" w:type="auto"/>
            <w:tcBorders>
              <w:top w:val="nil"/>
              <w:left w:val="nil"/>
              <w:bottom w:val="nil"/>
              <w:right w:val="nil"/>
            </w:tcBorders>
            <w:shd w:val="clear" w:color="000000" w:fill="FFFFFF"/>
            <w:noWrap/>
            <w:vAlign w:val="center"/>
            <w:hideMark/>
          </w:tcPr>
          <w:p w14:paraId="293106BB" w14:textId="05C956CE"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45,720</w:t>
            </w:r>
          </w:p>
        </w:tc>
        <w:tc>
          <w:tcPr>
            <w:tcW w:w="0" w:type="auto"/>
            <w:tcBorders>
              <w:top w:val="nil"/>
              <w:left w:val="nil"/>
              <w:bottom w:val="nil"/>
              <w:right w:val="nil"/>
            </w:tcBorders>
            <w:shd w:val="clear" w:color="000000" w:fill="FFFFFF"/>
            <w:noWrap/>
            <w:vAlign w:val="center"/>
            <w:hideMark/>
          </w:tcPr>
          <w:p w14:paraId="58DC0096" w14:textId="4C8CEED4"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46,151</w:t>
            </w:r>
          </w:p>
        </w:tc>
      </w:tr>
      <w:tr w:rsidR="00883934" w:rsidRPr="00D12F91" w14:paraId="00068189" w14:textId="77777777" w:rsidTr="00883934">
        <w:trPr>
          <w:trHeight w:val="225"/>
        </w:trPr>
        <w:tc>
          <w:tcPr>
            <w:tcW w:w="0" w:type="auto"/>
            <w:tcBorders>
              <w:top w:val="nil"/>
              <w:left w:val="nil"/>
              <w:bottom w:val="nil"/>
              <w:right w:val="nil"/>
            </w:tcBorders>
            <w:shd w:val="clear" w:color="000000" w:fill="FFFFFF"/>
            <w:noWrap/>
            <w:vAlign w:val="center"/>
            <w:hideMark/>
          </w:tcPr>
          <w:p w14:paraId="6517BE93" w14:textId="77777777" w:rsidR="00883934" w:rsidRPr="00D12F91" w:rsidRDefault="00883934" w:rsidP="00883934">
            <w:pPr>
              <w:spacing w:before="0" w:after="0" w:line="240" w:lineRule="auto"/>
              <w:rPr>
                <w:rFonts w:ascii="Arial" w:hAnsi="Arial" w:cs="Arial"/>
                <w:b/>
                <w:bCs/>
                <w:color w:val="000000"/>
                <w:sz w:val="16"/>
                <w:szCs w:val="16"/>
              </w:rPr>
            </w:pPr>
            <w:r w:rsidRPr="00D12F91">
              <w:rPr>
                <w:rFonts w:ascii="Arial" w:hAnsi="Arial" w:cs="Arial"/>
                <w:b/>
                <w:bCs/>
                <w:color w:val="000000"/>
                <w:sz w:val="16"/>
                <w:szCs w:val="16"/>
              </w:rPr>
              <w:t>Net cash from operating activities and</w:t>
            </w:r>
          </w:p>
        </w:tc>
        <w:tc>
          <w:tcPr>
            <w:tcW w:w="0" w:type="auto"/>
            <w:tcBorders>
              <w:top w:val="nil"/>
              <w:left w:val="nil"/>
              <w:bottom w:val="nil"/>
              <w:right w:val="nil"/>
            </w:tcBorders>
            <w:shd w:val="clear" w:color="000000" w:fill="FFFFFF"/>
            <w:noWrap/>
            <w:vAlign w:val="center"/>
            <w:hideMark/>
          </w:tcPr>
          <w:p w14:paraId="5AF70CC7"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 </w:t>
            </w:r>
          </w:p>
        </w:tc>
        <w:tc>
          <w:tcPr>
            <w:tcW w:w="0" w:type="auto"/>
            <w:tcBorders>
              <w:top w:val="nil"/>
              <w:left w:val="nil"/>
              <w:bottom w:val="nil"/>
              <w:right w:val="nil"/>
            </w:tcBorders>
            <w:shd w:val="clear" w:color="000000" w:fill="E6F2FF"/>
            <w:noWrap/>
            <w:vAlign w:val="center"/>
            <w:hideMark/>
          </w:tcPr>
          <w:p w14:paraId="52B22667"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14:paraId="17781DC7"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14:paraId="761B2565"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 </w:t>
            </w:r>
          </w:p>
        </w:tc>
        <w:tc>
          <w:tcPr>
            <w:tcW w:w="0" w:type="auto"/>
            <w:tcBorders>
              <w:top w:val="nil"/>
              <w:left w:val="nil"/>
              <w:bottom w:val="nil"/>
              <w:right w:val="nil"/>
            </w:tcBorders>
            <w:shd w:val="clear" w:color="000000" w:fill="FFFFFF"/>
            <w:noWrap/>
            <w:vAlign w:val="center"/>
            <w:hideMark/>
          </w:tcPr>
          <w:p w14:paraId="0A76862F"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 </w:t>
            </w:r>
          </w:p>
        </w:tc>
      </w:tr>
      <w:tr w:rsidR="00883934" w:rsidRPr="00D12F91" w14:paraId="25164998" w14:textId="77777777" w:rsidTr="00883934">
        <w:trPr>
          <w:trHeight w:val="225"/>
        </w:trPr>
        <w:tc>
          <w:tcPr>
            <w:tcW w:w="0" w:type="auto"/>
            <w:tcBorders>
              <w:top w:val="nil"/>
              <w:left w:val="nil"/>
              <w:bottom w:val="nil"/>
              <w:right w:val="nil"/>
            </w:tcBorders>
            <w:shd w:val="clear" w:color="000000" w:fill="FFFFFF"/>
            <w:noWrap/>
            <w:vAlign w:val="center"/>
            <w:hideMark/>
          </w:tcPr>
          <w:p w14:paraId="14A40AB0" w14:textId="77777777" w:rsidR="00883934" w:rsidRPr="00D12F91" w:rsidRDefault="00883934" w:rsidP="00883934">
            <w:pPr>
              <w:spacing w:before="0" w:after="0" w:line="240" w:lineRule="auto"/>
              <w:ind w:firstLineChars="100" w:firstLine="161"/>
              <w:rPr>
                <w:rFonts w:ascii="Arial" w:hAnsi="Arial" w:cs="Arial"/>
                <w:b/>
                <w:bCs/>
                <w:color w:val="000000"/>
                <w:sz w:val="16"/>
                <w:szCs w:val="16"/>
              </w:rPr>
            </w:pPr>
            <w:r w:rsidRPr="00D12F91">
              <w:rPr>
                <w:rFonts w:ascii="Arial" w:hAnsi="Arial" w:cs="Arial"/>
                <w:b/>
                <w:bCs/>
                <w:color w:val="000000"/>
                <w:sz w:val="16"/>
                <w:szCs w:val="16"/>
              </w:rPr>
              <w:t>investment</w:t>
            </w:r>
          </w:p>
        </w:tc>
        <w:tc>
          <w:tcPr>
            <w:tcW w:w="0" w:type="auto"/>
            <w:tcBorders>
              <w:top w:val="nil"/>
              <w:left w:val="nil"/>
              <w:bottom w:val="single" w:sz="4" w:space="0" w:color="293F5B"/>
              <w:right w:val="nil"/>
            </w:tcBorders>
            <w:shd w:val="clear" w:color="000000" w:fill="FFFFFF"/>
            <w:noWrap/>
            <w:vAlign w:val="center"/>
            <w:hideMark/>
          </w:tcPr>
          <w:p w14:paraId="743AB1F7" w14:textId="50E9561A"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7,702</w:t>
            </w:r>
          </w:p>
        </w:tc>
        <w:tc>
          <w:tcPr>
            <w:tcW w:w="0" w:type="auto"/>
            <w:tcBorders>
              <w:top w:val="nil"/>
              <w:left w:val="nil"/>
              <w:bottom w:val="single" w:sz="4" w:space="0" w:color="293F5B"/>
              <w:right w:val="nil"/>
            </w:tcBorders>
            <w:shd w:val="clear" w:color="000000" w:fill="E6F2FF"/>
            <w:noWrap/>
            <w:vAlign w:val="center"/>
            <w:hideMark/>
          </w:tcPr>
          <w:p w14:paraId="0ACA48CA" w14:textId="6430B48F"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48,662</w:t>
            </w:r>
          </w:p>
        </w:tc>
        <w:tc>
          <w:tcPr>
            <w:tcW w:w="0" w:type="auto"/>
            <w:tcBorders>
              <w:top w:val="nil"/>
              <w:left w:val="nil"/>
              <w:bottom w:val="single" w:sz="4" w:space="0" w:color="293F5B"/>
              <w:right w:val="nil"/>
            </w:tcBorders>
            <w:shd w:val="clear" w:color="000000" w:fill="FFFFFF"/>
            <w:noWrap/>
            <w:vAlign w:val="center"/>
            <w:hideMark/>
          </w:tcPr>
          <w:p w14:paraId="0D57189F" w14:textId="79610982"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65,813</w:t>
            </w:r>
          </w:p>
        </w:tc>
        <w:tc>
          <w:tcPr>
            <w:tcW w:w="0" w:type="auto"/>
            <w:tcBorders>
              <w:top w:val="nil"/>
              <w:left w:val="nil"/>
              <w:bottom w:val="single" w:sz="4" w:space="0" w:color="293F5B"/>
              <w:right w:val="nil"/>
            </w:tcBorders>
            <w:shd w:val="clear" w:color="000000" w:fill="FFFFFF"/>
            <w:noWrap/>
            <w:vAlign w:val="center"/>
            <w:hideMark/>
          </w:tcPr>
          <w:p w14:paraId="615837D1" w14:textId="6D85CA5C"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49,927</w:t>
            </w:r>
          </w:p>
        </w:tc>
        <w:tc>
          <w:tcPr>
            <w:tcW w:w="0" w:type="auto"/>
            <w:tcBorders>
              <w:top w:val="nil"/>
              <w:left w:val="nil"/>
              <w:bottom w:val="single" w:sz="4" w:space="0" w:color="293F5B"/>
              <w:right w:val="nil"/>
            </w:tcBorders>
            <w:shd w:val="clear" w:color="000000" w:fill="FFFFFF"/>
            <w:noWrap/>
            <w:vAlign w:val="center"/>
            <w:hideMark/>
          </w:tcPr>
          <w:p w14:paraId="106245A3" w14:textId="686A84DE"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45,425</w:t>
            </w:r>
          </w:p>
        </w:tc>
      </w:tr>
      <w:tr w:rsidR="00883934" w:rsidRPr="00D12F91" w14:paraId="78205A64" w14:textId="77777777" w:rsidTr="00883934">
        <w:trPr>
          <w:trHeight w:val="225"/>
        </w:trPr>
        <w:tc>
          <w:tcPr>
            <w:tcW w:w="0" w:type="auto"/>
            <w:tcBorders>
              <w:top w:val="nil"/>
              <w:left w:val="nil"/>
              <w:bottom w:val="nil"/>
              <w:right w:val="nil"/>
            </w:tcBorders>
            <w:shd w:val="clear" w:color="000000" w:fill="FFFFFF"/>
            <w:noWrap/>
            <w:vAlign w:val="center"/>
            <w:hideMark/>
          </w:tcPr>
          <w:p w14:paraId="63121BB7" w14:textId="77777777" w:rsidR="00883934" w:rsidRPr="00D12F91" w:rsidRDefault="00883934" w:rsidP="00883934">
            <w:pPr>
              <w:spacing w:before="0" w:after="0" w:line="240" w:lineRule="auto"/>
              <w:rPr>
                <w:rFonts w:ascii="Arial" w:hAnsi="Arial" w:cs="Arial"/>
                <w:i/>
                <w:iCs/>
                <w:color w:val="000000"/>
                <w:sz w:val="16"/>
                <w:szCs w:val="16"/>
              </w:rPr>
            </w:pPr>
            <w:r w:rsidRPr="00D12F91">
              <w:rPr>
                <w:rFonts w:ascii="Arial" w:hAnsi="Arial" w:cs="Arial"/>
                <w:i/>
                <w:iCs/>
                <w:color w:val="000000"/>
                <w:sz w:val="16"/>
                <w:szCs w:val="16"/>
              </w:rPr>
              <w:t xml:space="preserve">plus </w:t>
            </w:r>
            <w:r w:rsidRPr="00D12F91">
              <w:rPr>
                <w:rFonts w:ascii="Arial" w:hAnsi="Arial" w:cs="Arial"/>
                <w:color w:val="000000"/>
                <w:sz w:val="16"/>
                <w:szCs w:val="16"/>
              </w:rPr>
              <w:t>(Net cash from/(to) financing activities)</w:t>
            </w:r>
          </w:p>
        </w:tc>
        <w:tc>
          <w:tcPr>
            <w:tcW w:w="0" w:type="auto"/>
            <w:tcBorders>
              <w:top w:val="single" w:sz="4" w:space="0" w:color="293F5B"/>
              <w:left w:val="nil"/>
              <w:bottom w:val="single" w:sz="4" w:space="0" w:color="auto"/>
              <w:right w:val="nil"/>
            </w:tcBorders>
            <w:shd w:val="clear" w:color="000000" w:fill="FFFFFF"/>
            <w:noWrap/>
            <w:vAlign w:val="center"/>
            <w:hideMark/>
          </w:tcPr>
          <w:p w14:paraId="48BE30F8"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7,300</w:t>
            </w:r>
          </w:p>
        </w:tc>
        <w:tc>
          <w:tcPr>
            <w:tcW w:w="0" w:type="auto"/>
            <w:tcBorders>
              <w:top w:val="single" w:sz="4" w:space="0" w:color="293F5B"/>
              <w:left w:val="nil"/>
              <w:bottom w:val="single" w:sz="4" w:space="0" w:color="auto"/>
              <w:right w:val="nil"/>
            </w:tcBorders>
            <w:shd w:val="clear" w:color="000000" w:fill="E6F2FF"/>
            <w:noWrap/>
            <w:vAlign w:val="center"/>
            <w:hideMark/>
          </w:tcPr>
          <w:p w14:paraId="43696CBD"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21,348</w:t>
            </w:r>
          </w:p>
        </w:tc>
        <w:tc>
          <w:tcPr>
            <w:tcW w:w="0" w:type="auto"/>
            <w:tcBorders>
              <w:top w:val="single" w:sz="4" w:space="0" w:color="293F5B"/>
              <w:left w:val="nil"/>
              <w:bottom w:val="single" w:sz="4" w:space="0" w:color="auto"/>
              <w:right w:val="nil"/>
            </w:tcBorders>
            <w:shd w:val="clear" w:color="000000" w:fill="FFFFFF"/>
            <w:noWrap/>
            <w:vAlign w:val="center"/>
            <w:hideMark/>
          </w:tcPr>
          <w:p w14:paraId="3E7D75E9"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61,348</w:t>
            </w:r>
          </w:p>
        </w:tc>
        <w:tc>
          <w:tcPr>
            <w:tcW w:w="0" w:type="auto"/>
            <w:tcBorders>
              <w:top w:val="single" w:sz="4" w:space="0" w:color="293F5B"/>
              <w:left w:val="nil"/>
              <w:bottom w:val="single" w:sz="4" w:space="0" w:color="auto"/>
              <w:right w:val="nil"/>
            </w:tcBorders>
            <w:shd w:val="clear" w:color="000000" w:fill="FFFFFF"/>
            <w:noWrap/>
            <w:vAlign w:val="center"/>
            <w:hideMark/>
          </w:tcPr>
          <w:p w14:paraId="6E215105"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47,029</w:t>
            </w:r>
          </w:p>
        </w:tc>
        <w:tc>
          <w:tcPr>
            <w:tcW w:w="0" w:type="auto"/>
            <w:tcBorders>
              <w:top w:val="single" w:sz="4" w:space="0" w:color="293F5B"/>
              <w:left w:val="nil"/>
              <w:bottom w:val="single" w:sz="4" w:space="0" w:color="auto"/>
              <w:right w:val="nil"/>
            </w:tcBorders>
            <w:shd w:val="clear" w:color="000000" w:fill="FFFFFF"/>
            <w:noWrap/>
            <w:vAlign w:val="center"/>
            <w:hideMark/>
          </w:tcPr>
          <w:p w14:paraId="0F2E23CE" w14:textId="77777777" w:rsidR="00883934" w:rsidRPr="00D12F91" w:rsidRDefault="00883934" w:rsidP="00883934">
            <w:pPr>
              <w:spacing w:before="0" w:after="0" w:line="240" w:lineRule="auto"/>
              <w:jc w:val="right"/>
              <w:rPr>
                <w:rFonts w:ascii="Arial" w:hAnsi="Arial" w:cs="Arial"/>
                <w:color w:val="000000"/>
                <w:sz w:val="16"/>
                <w:szCs w:val="16"/>
              </w:rPr>
            </w:pPr>
            <w:r w:rsidRPr="00D12F91">
              <w:rPr>
                <w:rFonts w:ascii="Arial" w:hAnsi="Arial" w:cs="Arial"/>
                <w:color w:val="000000"/>
                <w:sz w:val="16"/>
                <w:szCs w:val="16"/>
              </w:rPr>
              <w:t>40,524</w:t>
            </w:r>
          </w:p>
        </w:tc>
      </w:tr>
      <w:tr w:rsidR="00883934" w:rsidRPr="00D12F91" w14:paraId="149109BB" w14:textId="77777777" w:rsidTr="00883934">
        <w:trPr>
          <w:trHeight w:val="225"/>
        </w:trPr>
        <w:tc>
          <w:tcPr>
            <w:tcW w:w="0" w:type="auto"/>
            <w:tcBorders>
              <w:top w:val="nil"/>
              <w:left w:val="nil"/>
              <w:bottom w:val="single" w:sz="4" w:space="0" w:color="293F5B"/>
              <w:right w:val="nil"/>
            </w:tcBorders>
            <w:shd w:val="clear" w:color="000000" w:fill="FFFFFF"/>
            <w:noWrap/>
            <w:vAlign w:val="center"/>
            <w:hideMark/>
          </w:tcPr>
          <w:p w14:paraId="0C38B640" w14:textId="77777777" w:rsidR="00883934" w:rsidRPr="00D12F91" w:rsidRDefault="00883934" w:rsidP="00883934">
            <w:pPr>
              <w:spacing w:before="0" w:after="0" w:line="240" w:lineRule="auto"/>
              <w:rPr>
                <w:rFonts w:ascii="Arial" w:hAnsi="Arial" w:cs="Arial"/>
                <w:b/>
                <w:bCs/>
                <w:i/>
                <w:iCs/>
                <w:color w:val="000000"/>
                <w:sz w:val="16"/>
                <w:szCs w:val="16"/>
              </w:rPr>
            </w:pPr>
            <w:r w:rsidRPr="00D12F91">
              <w:rPr>
                <w:rFonts w:ascii="Arial" w:hAnsi="Arial" w:cs="Arial"/>
                <w:b/>
                <w:bCs/>
                <w:i/>
                <w:iCs/>
                <w:color w:val="000000"/>
                <w:sz w:val="16"/>
                <w:szCs w:val="16"/>
              </w:rPr>
              <w:t xml:space="preserve">equals </w:t>
            </w:r>
            <w:r w:rsidRPr="00D12F91">
              <w:rPr>
                <w:rFonts w:ascii="Arial" w:hAnsi="Arial" w:cs="Arial"/>
                <w:b/>
                <w:bCs/>
                <w:color w:val="000000"/>
                <w:sz w:val="16"/>
                <w:szCs w:val="16"/>
              </w:rPr>
              <w:t>Net increase/(decrease) in cash</w:t>
            </w:r>
          </w:p>
        </w:tc>
        <w:tc>
          <w:tcPr>
            <w:tcW w:w="0" w:type="auto"/>
            <w:tcBorders>
              <w:top w:val="single" w:sz="4" w:space="0" w:color="auto"/>
              <w:left w:val="nil"/>
              <w:bottom w:val="single" w:sz="4" w:space="0" w:color="293F5B"/>
              <w:right w:val="nil"/>
            </w:tcBorders>
            <w:shd w:val="clear" w:color="000000" w:fill="FFFFFF"/>
            <w:noWrap/>
            <w:vAlign w:val="center"/>
            <w:hideMark/>
          </w:tcPr>
          <w:p w14:paraId="76B47BE8" w14:textId="7027A309"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402</w:t>
            </w:r>
          </w:p>
        </w:tc>
        <w:tc>
          <w:tcPr>
            <w:tcW w:w="0" w:type="auto"/>
            <w:tcBorders>
              <w:top w:val="single" w:sz="4" w:space="0" w:color="auto"/>
              <w:left w:val="nil"/>
              <w:bottom w:val="single" w:sz="4" w:space="0" w:color="293F5B"/>
              <w:right w:val="nil"/>
            </w:tcBorders>
            <w:shd w:val="clear" w:color="000000" w:fill="E6F2FF"/>
            <w:noWrap/>
            <w:vAlign w:val="center"/>
            <w:hideMark/>
          </w:tcPr>
          <w:p w14:paraId="05025823" w14:textId="7C32CF78"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27,314</w:t>
            </w:r>
          </w:p>
        </w:tc>
        <w:tc>
          <w:tcPr>
            <w:tcW w:w="0" w:type="auto"/>
            <w:tcBorders>
              <w:top w:val="single" w:sz="4" w:space="0" w:color="auto"/>
              <w:left w:val="nil"/>
              <w:bottom w:val="single" w:sz="4" w:space="0" w:color="293F5B"/>
              <w:right w:val="nil"/>
            </w:tcBorders>
            <w:shd w:val="clear" w:color="000000" w:fill="FFFFFF"/>
            <w:noWrap/>
            <w:vAlign w:val="center"/>
            <w:hideMark/>
          </w:tcPr>
          <w:p w14:paraId="45FBFD13" w14:textId="02F96161"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4,465</w:t>
            </w:r>
          </w:p>
        </w:tc>
        <w:tc>
          <w:tcPr>
            <w:tcW w:w="0" w:type="auto"/>
            <w:tcBorders>
              <w:top w:val="single" w:sz="4" w:space="0" w:color="auto"/>
              <w:left w:val="nil"/>
              <w:bottom w:val="single" w:sz="4" w:space="0" w:color="293F5B"/>
              <w:right w:val="nil"/>
            </w:tcBorders>
            <w:shd w:val="clear" w:color="000000" w:fill="FFFFFF"/>
            <w:noWrap/>
            <w:vAlign w:val="center"/>
            <w:hideMark/>
          </w:tcPr>
          <w:p w14:paraId="6F288AE1" w14:textId="5108CB86"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2,899</w:t>
            </w:r>
          </w:p>
        </w:tc>
        <w:tc>
          <w:tcPr>
            <w:tcW w:w="0" w:type="auto"/>
            <w:tcBorders>
              <w:top w:val="single" w:sz="4" w:space="0" w:color="auto"/>
              <w:left w:val="nil"/>
              <w:bottom w:val="single" w:sz="4" w:space="0" w:color="293F5B"/>
              <w:right w:val="nil"/>
            </w:tcBorders>
            <w:shd w:val="clear" w:color="000000" w:fill="FFFFFF"/>
            <w:noWrap/>
            <w:vAlign w:val="center"/>
            <w:hideMark/>
          </w:tcPr>
          <w:p w14:paraId="0164D6CC" w14:textId="6DA1886F" w:rsidR="00883934" w:rsidRPr="00D12F91" w:rsidRDefault="00325E1E" w:rsidP="0088393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83934" w:rsidRPr="00D12F91">
              <w:rPr>
                <w:rFonts w:ascii="Arial" w:hAnsi="Arial" w:cs="Arial"/>
                <w:b/>
                <w:bCs/>
                <w:color w:val="000000"/>
                <w:sz w:val="16"/>
                <w:szCs w:val="16"/>
              </w:rPr>
              <w:t>4,902</w:t>
            </w:r>
          </w:p>
        </w:tc>
      </w:tr>
      <w:tr w:rsidR="00883934" w:rsidRPr="00D12F91" w14:paraId="50ED6CA5" w14:textId="77777777" w:rsidTr="00883934">
        <w:trPr>
          <w:trHeight w:val="225"/>
        </w:trPr>
        <w:tc>
          <w:tcPr>
            <w:tcW w:w="0" w:type="auto"/>
            <w:tcBorders>
              <w:top w:val="nil"/>
              <w:left w:val="nil"/>
              <w:bottom w:val="nil"/>
              <w:right w:val="nil"/>
            </w:tcBorders>
            <w:shd w:val="clear" w:color="000000" w:fill="FFFFFF"/>
            <w:noWrap/>
            <w:vAlign w:val="bottom"/>
            <w:hideMark/>
          </w:tcPr>
          <w:p w14:paraId="1B2F1890" w14:textId="77777777" w:rsidR="00883934" w:rsidRPr="00D12F91" w:rsidRDefault="00883934" w:rsidP="00883934">
            <w:pPr>
              <w:spacing w:before="0" w:after="0" w:line="240" w:lineRule="auto"/>
              <w:rPr>
                <w:rFonts w:ascii="Arial" w:hAnsi="Arial" w:cs="Arial"/>
                <w:b/>
                <w:bCs/>
                <w:sz w:val="16"/>
                <w:szCs w:val="16"/>
              </w:rPr>
            </w:pPr>
            <w:r w:rsidRPr="00D12F91">
              <w:rPr>
                <w:rFonts w:ascii="Arial" w:hAnsi="Arial" w:cs="Arial"/>
                <w:b/>
                <w:bCs/>
                <w:sz w:val="16"/>
                <w:szCs w:val="16"/>
              </w:rPr>
              <w:t>Cash at the beginning of the year</w:t>
            </w:r>
          </w:p>
        </w:tc>
        <w:tc>
          <w:tcPr>
            <w:tcW w:w="0" w:type="auto"/>
            <w:tcBorders>
              <w:top w:val="nil"/>
              <w:left w:val="nil"/>
              <w:bottom w:val="nil"/>
              <w:right w:val="nil"/>
            </w:tcBorders>
            <w:shd w:val="clear" w:color="000000" w:fill="FFFFFF"/>
            <w:noWrap/>
            <w:vAlign w:val="center"/>
            <w:hideMark/>
          </w:tcPr>
          <w:p w14:paraId="78CE122E"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89,713</w:t>
            </w:r>
          </w:p>
        </w:tc>
        <w:tc>
          <w:tcPr>
            <w:tcW w:w="0" w:type="auto"/>
            <w:tcBorders>
              <w:top w:val="nil"/>
              <w:left w:val="nil"/>
              <w:bottom w:val="nil"/>
              <w:right w:val="nil"/>
            </w:tcBorders>
            <w:shd w:val="clear" w:color="000000" w:fill="E6F2FF"/>
            <w:noWrap/>
            <w:vAlign w:val="center"/>
            <w:hideMark/>
          </w:tcPr>
          <w:p w14:paraId="149C6A4F"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89,311</w:t>
            </w:r>
          </w:p>
        </w:tc>
        <w:tc>
          <w:tcPr>
            <w:tcW w:w="0" w:type="auto"/>
            <w:tcBorders>
              <w:top w:val="nil"/>
              <w:left w:val="nil"/>
              <w:bottom w:val="nil"/>
              <w:right w:val="nil"/>
            </w:tcBorders>
            <w:shd w:val="clear" w:color="000000" w:fill="FFFFFF"/>
            <w:noWrap/>
            <w:vAlign w:val="center"/>
            <w:hideMark/>
          </w:tcPr>
          <w:p w14:paraId="4FA710AC"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61,997</w:t>
            </w:r>
          </w:p>
        </w:tc>
        <w:tc>
          <w:tcPr>
            <w:tcW w:w="0" w:type="auto"/>
            <w:tcBorders>
              <w:top w:val="nil"/>
              <w:left w:val="nil"/>
              <w:bottom w:val="nil"/>
              <w:right w:val="nil"/>
            </w:tcBorders>
            <w:shd w:val="clear" w:color="000000" w:fill="FFFFFF"/>
            <w:noWrap/>
            <w:vAlign w:val="center"/>
            <w:hideMark/>
          </w:tcPr>
          <w:p w14:paraId="57376442"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57,532</w:t>
            </w:r>
          </w:p>
        </w:tc>
        <w:tc>
          <w:tcPr>
            <w:tcW w:w="0" w:type="auto"/>
            <w:tcBorders>
              <w:top w:val="nil"/>
              <w:left w:val="nil"/>
              <w:bottom w:val="nil"/>
              <w:right w:val="nil"/>
            </w:tcBorders>
            <w:shd w:val="clear" w:color="000000" w:fill="FFFFFF"/>
            <w:noWrap/>
            <w:vAlign w:val="center"/>
            <w:hideMark/>
          </w:tcPr>
          <w:p w14:paraId="030E26A6" w14:textId="77777777" w:rsidR="00883934" w:rsidRPr="00D12F91" w:rsidRDefault="00883934" w:rsidP="00883934">
            <w:pPr>
              <w:spacing w:before="0" w:after="0" w:line="240" w:lineRule="auto"/>
              <w:jc w:val="right"/>
              <w:rPr>
                <w:rFonts w:ascii="Arial" w:hAnsi="Arial" w:cs="Arial"/>
                <w:b/>
                <w:bCs/>
                <w:sz w:val="16"/>
                <w:szCs w:val="16"/>
              </w:rPr>
            </w:pPr>
            <w:r w:rsidRPr="00D12F91">
              <w:rPr>
                <w:rFonts w:ascii="Arial" w:hAnsi="Arial" w:cs="Arial"/>
                <w:b/>
                <w:bCs/>
                <w:sz w:val="16"/>
                <w:szCs w:val="16"/>
              </w:rPr>
              <w:t>54,634</w:t>
            </w:r>
          </w:p>
        </w:tc>
      </w:tr>
      <w:tr w:rsidR="00883934" w:rsidRPr="00D12F91" w14:paraId="011918F2" w14:textId="77777777" w:rsidTr="00883934">
        <w:trPr>
          <w:trHeight w:val="225"/>
        </w:trPr>
        <w:tc>
          <w:tcPr>
            <w:tcW w:w="0" w:type="auto"/>
            <w:tcBorders>
              <w:top w:val="nil"/>
              <w:left w:val="nil"/>
              <w:bottom w:val="nil"/>
              <w:right w:val="nil"/>
            </w:tcBorders>
            <w:shd w:val="clear" w:color="000000" w:fill="FFFFFF"/>
            <w:noWrap/>
            <w:vAlign w:val="center"/>
            <w:hideMark/>
          </w:tcPr>
          <w:p w14:paraId="3F6DD494" w14:textId="77777777" w:rsidR="00883934" w:rsidRPr="00D12F91" w:rsidRDefault="00883934" w:rsidP="00883934">
            <w:pPr>
              <w:spacing w:before="0" w:after="0" w:line="240" w:lineRule="auto"/>
              <w:rPr>
                <w:rFonts w:ascii="Arial" w:hAnsi="Arial" w:cs="Arial"/>
                <w:color w:val="000000"/>
                <w:sz w:val="16"/>
                <w:szCs w:val="16"/>
              </w:rPr>
            </w:pPr>
            <w:r w:rsidRPr="00D12F91">
              <w:rPr>
                <w:rFonts w:ascii="Arial" w:hAnsi="Arial" w:cs="Arial"/>
                <w:color w:val="000000"/>
                <w:sz w:val="16"/>
                <w:szCs w:val="16"/>
              </w:rPr>
              <w:t>Net increase/(decrease) in cash</w:t>
            </w:r>
          </w:p>
        </w:tc>
        <w:tc>
          <w:tcPr>
            <w:tcW w:w="0" w:type="auto"/>
            <w:tcBorders>
              <w:top w:val="nil"/>
              <w:left w:val="nil"/>
              <w:bottom w:val="single" w:sz="4" w:space="0" w:color="293F5B"/>
              <w:right w:val="nil"/>
            </w:tcBorders>
            <w:shd w:val="clear" w:color="000000" w:fill="FFFFFF"/>
            <w:noWrap/>
            <w:vAlign w:val="center"/>
            <w:hideMark/>
          </w:tcPr>
          <w:p w14:paraId="73810C0D" w14:textId="23CBA13B"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402</w:t>
            </w:r>
          </w:p>
        </w:tc>
        <w:tc>
          <w:tcPr>
            <w:tcW w:w="0" w:type="auto"/>
            <w:tcBorders>
              <w:top w:val="nil"/>
              <w:left w:val="nil"/>
              <w:bottom w:val="single" w:sz="4" w:space="0" w:color="293F5B"/>
              <w:right w:val="nil"/>
            </w:tcBorders>
            <w:shd w:val="clear" w:color="000000" w:fill="E6F2FF"/>
            <w:noWrap/>
            <w:vAlign w:val="center"/>
            <w:hideMark/>
          </w:tcPr>
          <w:p w14:paraId="38B84A35" w14:textId="349C230D"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27,314</w:t>
            </w:r>
          </w:p>
        </w:tc>
        <w:tc>
          <w:tcPr>
            <w:tcW w:w="0" w:type="auto"/>
            <w:tcBorders>
              <w:top w:val="nil"/>
              <w:left w:val="nil"/>
              <w:bottom w:val="single" w:sz="4" w:space="0" w:color="293F5B"/>
              <w:right w:val="nil"/>
            </w:tcBorders>
            <w:shd w:val="clear" w:color="000000" w:fill="FFFFFF"/>
            <w:noWrap/>
            <w:vAlign w:val="center"/>
            <w:hideMark/>
          </w:tcPr>
          <w:p w14:paraId="110393EC" w14:textId="5005C1D7"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4,465</w:t>
            </w:r>
          </w:p>
        </w:tc>
        <w:tc>
          <w:tcPr>
            <w:tcW w:w="0" w:type="auto"/>
            <w:tcBorders>
              <w:top w:val="nil"/>
              <w:left w:val="nil"/>
              <w:bottom w:val="single" w:sz="4" w:space="0" w:color="293F5B"/>
              <w:right w:val="nil"/>
            </w:tcBorders>
            <w:shd w:val="clear" w:color="000000" w:fill="FFFFFF"/>
            <w:noWrap/>
            <w:vAlign w:val="center"/>
            <w:hideMark/>
          </w:tcPr>
          <w:p w14:paraId="514E6ED8" w14:textId="419003A0"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2,899</w:t>
            </w:r>
          </w:p>
        </w:tc>
        <w:tc>
          <w:tcPr>
            <w:tcW w:w="0" w:type="auto"/>
            <w:tcBorders>
              <w:top w:val="nil"/>
              <w:left w:val="nil"/>
              <w:bottom w:val="single" w:sz="4" w:space="0" w:color="293F5B"/>
              <w:right w:val="nil"/>
            </w:tcBorders>
            <w:shd w:val="clear" w:color="000000" w:fill="FFFFFF"/>
            <w:noWrap/>
            <w:vAlign w:val="center"/>
            <w:hideMark/>
          </w:tcPr>
          <w:p w14:paraId="48FF3174" w14:textId="770004FA" w:rsidR="00883934" w:rsidRPr="00D12F91" w:rsidRDefault="00325E1E" w:rsidP="0088393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83934" w:rsidRPr="00D12F91">
              <w:rPr>
                <w:rFonts w:ascii="Arial" w:hAnsi="Arial" w:cs="Arial"/>
                <w:color w:val="000000"/>
                <w:sz w:val="16"/>
                <w:szCs w:val="16"/>
              </w:rPr>
              <w:t>4,902</w:t>
            </w:r>
          </w:p>
        </w:tc>
      </w:tr>
      <w:tr w:rsidR="00883934" w:rsidRPr="00D12F91" w14:paraId="456EF713" w14:textId="77777777" w:rsidTr="00883934">
        <w:trPr>
          <w:trHeight w:val="225"/>
        </w:trPr>
        <w:tc>
          <w:tcPr>
            <w:tcW w:w="0" w:type="auto"/>
            <w:tcBorders>
              <w:top w:val="nil"/>
              <w:left w:val="nil"/>
              <w:bottom w:val="single" w:sz="4" w:space="0" w:color="293F5B"/>
              <w:right w:val="nil"/>
            </w:tcBorders>
            <w:shd w:val="clear" w:color="auto" w:fill="auto"/>
            <w:noWrap/>
            <w:vAlign w:val="bottom"/>
            <w:hideMark/>
          </w:tcPr>
          <w:p w14:paraId="3ADE9B4F" w14:textId="77777777" w:rsidR="00883934" w:rsidRPr="00D12F91" w:rsidRDefault="00883934" w:rsidP="00883934">
            <w:pPr>
              <w:spacing w:before="0" w:after="0" w:line="240" w:lineRule="auto"/>
              <w:rPr>
                <w:rFonts w:ascii="Arial" w:hAnsi="Arial" w:cs="Arial"/>
                <w:b/>
                <w:bCs/>
                <w:sz w:val="16"/>
                <w:szCs w:val="16"/>
              </w:rPr>
            </w:pPr>
            <w:r w:rsidRPr="00D12F91">
              <w:rPr>
                <w:rFonts w:ascii="Arial" w:hAnsi="Arial" w:cs="Arial"/>
                <w:b/>
                <w:bCs/>
                <w:sz w:val="16"/>
                <w:szCs w:val="16"/>
              </w:rPr>
              <w:t>Cash at the end of the year</w:t>
            </w:r>
          </w:p>
        </w:tc>
        <w:tc>
          <w:tcPr>
            <w:tcW w:w="0" w:type="auto"/>
            <w:tcBorders>
              <w:top w:val="nil"/>
              <w:left w:val="nil"/>
              <w:bottom w:val="single" w:sz="4" w:space="0" w:color="293F5B"/>
              <w:right w:val="nil"/>
            </w:tcBorders>
            <w:shd w:val="clear" w:color="000000" w:fill="FFFFFF"/>
            <w:noWrap/>
            <w:vAlign w:val="center"/>
            <w:hideMark/>
          </w:tcPr>
          <w:p w14:paraId="08F903AA"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89,311</w:t>
            </w:r>
          </w:p>
        </w:tc>
        <w:tc>
          <w:tcPr>
            <w:tcW w:w="0" w:type="auto"/>
            <w:tcBorders>
              <w:top w:val="nil"/>
              <w:left w:val="nil"/>
              <w:bottom w:val="single" w:sz="4" w:space="0" w:color="293F5B"/>
              <w:right w:val="nil"/>
            </w:tcBorders>
            <w:shd w:val="clear" w:color="000000" w:fill="E6F2FF"/>
            <w:noWrap/>
            <w:vAlign w:val="center"/>
            <w:hideMark/>
          </w:tcPr>
          <w:p w14:paraId="540E4728"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61,997</w:t>
            </w:r>
          </w:p>
        </w:tc>
        <w:tc>
          <w:tcPr>
            <w:tcW w:w="0" w:type="auto"/>
            <w:tcBorders>
              <w:top w:val="nil"/>
              <w:left w:val="nil"/>
              <w:bottom w:val="single" w:sz="4" w:space="0" w:color="293F5B"/>
              <w:right w:val="nil"/>
            </w:tcBorders>
            <w:shd w:val="clear" w:color="000000" w:fill="FFFFFF"/>
            <w:noWrap/>
            <w:vAlign w:val="center"/>
            <w:hideMark/>
          </w:tcPr>
          <w:p w14:paraId="42CC9E6D"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57,532</w:t>
            </w:r>
          </w:p>
        </w:tc>
        <w:tc>
          <w:tcPr>
            <w:tcW w:w="0" w:type="auto"/>
            <w:tcBorders>
              <w:top w:val="nil"/>
              <w:left w:val="nil"/>
              <w:bottom w:val="single" w:sz="4" w:space="0" w:color="293F5B"/>
              <w:right w:val="nil"/>
            </w:tcBorders>
            <w:shd w:val="clear" w:color="000000" w:fill="FFFFFF"/>
            <w:noWrap/>
            <w:vAlign w:val="center"/>
            <w:hideMark/>
          </w:tcPr>
          <w:p w14:paraId="3EE68DB8"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54,634</w:t>
            </w:r>
          </w:p>
        </w:tc>
        <w:tc>
          <w:tcPr>
            <w:tcW w:w="0" w:type="auto"/>
            <w:tcBorders>
              <w:top w:val="nil"/>
              <w:left w:val="nil"/>
              <w:bottom w:val="single" w:sz="4" w:space="0" w:color="293F5B"/>
              <w:right w:val="nil"/>
            </w:tcBorders>
            <w:shd w:val="clear" w:color="000000" w:fill="FFFFFF"/>
            <w:noWrap/>
            <w:vAlign w:val="center"/>
            <w:hideMark/>
          </w:tcPr>
          <w:p w14:paraId="2DD7A8AE" w14:textId="77777777" w:rsidR="00883934" w:rsidRPr="00D12F91" w:rsidRDefault="00883934" w:rsidP="00883934">
            <w:pPr>
              <w:spacing w:before="0" w:after="0" w:line="240" w:lineRule="auto"/>
              <w:jc w:val="right"/>
              <w:rPr>
                <w:rFonts w:ascii="Arial" w:hAnsi="Arial" w:cs="Arial"/>
                <w:b/>
                <w:bCs/>
                <w:color w:val="000000"/>
                <w:sz w:val="16"/>
                <w:szCs w:val="16"/>
              </w:rPr>
            </w:pPr>
            <w:r w:rsidRPr="00D12F91">
              <w:rPr>
                <w:rFonts w:ascii="Arial" w:hAnsi="Arial" w:cs="Arial"/>
                <w:b/>
                <w:bCs/>
                <w:color w:val="000000"/>
                <w:sz w:val="16"/>
                <w:szCs w:val="16"/>
              </w:rPr>
              <w:t>49,732</w:t>
            </w:r>
          </w:p>
        </w:tc>
      </w:tr>
    </w:tbl>
    <w:p w14:paraId="145B9013" w14:textId="35FA3FBE" w:rsidR="00843F5C" w:rsidRDefault="000D0B7D" w:rsidP="00F13AD0">
      <w:pPr>
        <w:pStyle w:val="NoteTableHeading"/>
        <w:rPr>
          <w:rFonts w:ascii="Arial Bold" w:hAnsi="Arial Bold"/>
          <w:b w:val="0"/>
          <w:kern w:val="34"/>
          <w:sz w:val="36"/>
        </w:rPr>
      </w:pPr>
      <w:r>
        <w:t>Note </w:t>
      </w:r>
      <w:r w:rsidR="00D8138E" w:rsidRPr="006F23B1">
        <w:t>19: Reconciliation of cash</w:t>
      </w:r>
      <w:bookmarkStart w:id="24" w:name="_Toc52705475"/>
      <w:bookmarkStart w:id="25" w:name="_Toc52705646"/>
      <w:bookmarkStart w:id="26" w:name="_Toc99020931"/>
      <w:bookmarkStart w:id="27" w:name="_Toc117278212"/>
      <w:bookmarkStart w:id="28" w:name="_Toc166082638"/>
    </w:p>
    <w:p w14:paraId="4423CF68" w14:textId="77777777" w:rsidR="007D4853" w:rsidRDefault="007D4853">
      <w:pPr>
        <w:spacing w:before="0" w:after="160" w:line="259" w:lineRule="auto"/>
        <w:rPr>
          <w:rFonts w:ascii="Arial Bold" w:hAnsi="Arial Bold"/>
          <w:b/>
          <w:kern w:val="34"/>
          <w:sz w:val="36"/>
        </w:rPr>
      </w:pPr>
      <w:r>
        <w:br w:type="page"/>
      </w:r>
    </w:p>
    <w:p w14:paraId="1BF22682" w14:textId="618EF397" w:rsidR="00D8138E" w:rsidRPr="00EA746C" w:rsidRDefault="00D8138E" w:rsidP="00D8138E">
      <w:pPr>
        <w:pStyle w:val="Heading1"/>
      </w:pPr>
      <w:r w:rsidRPr="00EA746C">
        <w:lastRenderedPageBreak/>
        <w:t>Appendix A: Financial reporting standards and budget concepts</w:t>
      </w:r>
      <w:bookmarkEnd w:id="24"/>
      <w:bookmarkEnd w:id="25"/>
      <w:bookmarkEnd w:id="26"/>
      <w:bookmarkEnd w:id="27"/>
      <w:bookmarkEnd w:id="28"/>
    </w:p>
    <w:p w14:paraId="33BC17AD" w14:textId="698DE522" w:rsidR="00D8138E" w:rsidRPr="00EA746C" w:rsidRDefault="00D8138E" w:rsidP="00D8138E">
      <w:r w:rsidRPr="00EA746C">
        <w:t>The Budget primarily focuses on the financial performance and position of the general government sector (GGS). The GGS provides public services that are mainly non</w:t>
      </w:r>
      <w:r w:rsidR="00325E1E">
        <w:noBreakHyphen/>
      </w:r>
      <w:r w:rsidRPr="00EA746C">
        <w:t xml:space="preserve">market in nature and for the collective consumption of the community, or involve the transfer or redistribution of income. These services are largely financed through taxes and other compulsory levies. </w:t>
      </w:r>
      <w:r w:rsidR="00A96E0D">
        <w:t>AASB </w:t>
      </w:r>
      <w:r w:rsidRPr="00EA746C">
        <w:t>1049 recognises the GGS as a reporting entity.</w:t>
      </w:r>
    </w:p>
    <w:p w14:paraId="51E52881" w14:textId="0854BA69" w:rsidR="00D8138E" w:rsidRPr="00EA746C" w:rsidRDefault="00A96E0D" w:rsidP="00D8138E">
      <w:pPr>
        <w:pStyle w:val="Heading2"/>
      </w:pPr>
      <w:bookmarkStart w:id="29" w:name="_Toc479157651"/>
      <w:bookmarkStart w:id="30" w:name="_Toc480448587"/>
      <w:bookmarkStart w:id="31" w:name="_Toc481404346"/>
      <w:bookmarkStart w:id="32" w:name="_Toc481433397"/>
      <w:bookmarkStart w:id="33" w:name="_Toc512865312"/>
      <w:bookmarkStart w:id="34" w:name="_Toc50460130"/>
      <w:bookmarkStart w:id="35" w:name="_Toc52705263"/>
      <w:bookmarkStart w:id="36" w:name="_Toc52705476"/>
      <w:bookmarkStart w:id="37" w:name="_Toc52705647"/>
      <w:bookmarkStart w:id="38" w:name="_Toc99020932"/>
      <w:bookmarkStart w:id="39" w:name="_Toc117278213"/>
      <w:bookmarkStart w:id="40" w:name="_Toc129181801"/>
      <w:bookmarkStart w:id="41" w:name="_Toc166082639"/>
      <w:r>
        <w:t>AASB </w:t>
      </w:r>
      <w:r w:rsidR="00D8138E" w:rsidRPr="00EA746C">
        <w:t xml:space="preserve">1049 Conceptual </w:t>
      </w:r>
      <w:bookmarkEnd w:id="29"/>
      <w:bookmarkEnd w:id="30"/>
      <w:bookmarkEnd w:id="31"/>
      <w:bookmarkEnd w:id="32"/>
      <w:bookmarkEnd w:id="33"/>
      <w:bookmarkEnd w:id="34"/>
      <w:r w:rsidR="00D8138E" w:rsidRPr="00EA746C">
        <w:t>framework</w:t>
      </w:r>
      <w:bookmarkEnd w:id="35"/>
      <w:bookmarkEnd w:id="36"/>
      <w:bookmarkEnd w:id="37"/>
      <w:bookmarkEnd w:id="38"/>
      <w:bookmarkEnd w:id="39"/>
      <w:bookmarkEnd w:id="40"/>
      <w:bookmarkEnd w:id="41"/>
    </w:p>
    <w:p w14:paraId="5F4FC2D7" w14:textId="1F7BD97F" w:rsidR="00D8138E" w:rsidRPr="00EA746C" w:rsidRDefault="00A96E0D" w:rsidP="00D8138E">
      <w:r>
        <w:t>AASB </w:t>
      </w:r>
      <w:r w:rsidR="00D8138E" w:rsidRPr="00EA746C">
        <w:t xml:space="preserve">1049 seeks to </w:t>
      </w:r>
      <w:r w:rsidR="00325E1E">
        <w:t>‘</w:t>
      </w:r>
      <w:r w:rsidR="00D8138E" w:rsidRPr="00EA746C">
        <w:t>harmonise</w:t>
      </w:r>
      <w:r w:rsidR="00325E1E">
        <w:t>’</w:t>
      </w:r>
      <w:r w:rsidR="00D8138E" w:rsidRPr="00EA746C">
        <w:t xml:space="preserve"> the ABS GFS and AAS.</w:t>
      </w:r>
    </w:p>
    <w:p w14:paraId="11F2941D" w14:textId="3BB153C2" w:rsidR="00D8138E" w:rsidRPr="00EA746C" w:rsidRDefault="00D8138E" w:rsidP="00D8138E">
      <w:pPr>
        <w:spacing w:line="240" w:lineRule="auto"/>
      </w:pPr>
      <w:r w:rsidRPr="00EA746C">
        <w:t xml:space="preserve">The reporting framework for </w:t>
      </w:r>
      <w:r w:rsidR="00A96E0D">
        <w:t>AASB </w:t>
      </w:r>
      <w:r w:rsidRPr="00EA746C">
        <w:t>1049 requires the preparation of accrual</w:t>
      </w:r>
      <w:r w:rsidR="00325E1E">
        <w:noBreakHyphen/>
      </w:r>
      <w:r w:rsidRPr="00EA746C">
        <w:t xml:space="preserve">based general purpose financial reports, showing government assets, liabilities, revenue, expenses and cash flows. GGS reporting under </w:t>
      </w:r>
      <w:r w:rsidR="00A96E0D">
        <w:t>AASB </w:t>
      </w:r>
      <w:r w:rsidRPr="00EA746C">
        <w:t>1049 aims to provide users with information about the stewardship of each government in relation to its GGS and accountability for the resources entrusted to it; information about the financial position, performance and cash flows of each government</w:t>
      </w:r>
      <w:r w:rsidR="00325E1E">
        <w:t>’</w:t>
      </w:r>
      <w:r w:rsidRPr="00EA746C">
        <w:t xml:space="preserve">s GGS; and information that facilitates assessments of the macroeconomic impact. </w:t>
      </w:r>
      <w:r w:rsidR="00A96E0D">
        <w:t>AASB </w:t>
      </w:r>
      <w:r w:rsidRPr="00EA746C">
        <w:t>1049 also provides a basis for whole</w:t>
      </w:r>
      <w:r w:rsidR="00325E1E">
        <w:noBreakHyphen/>
      </w:r>
      <w:r w:rsidRPr="00EA746C">
        <w:t>of</w:t>
      </w:r>
      <w:r w:rsidR="00325E1E">
        <w:noBreakHyphen/>
      </w:r>
      <w:r w:rsidRPr="00EA746C">
        <w:t>government reporting, including for the PNFC and PFC sectors.</w:t>
      </w:r>
    </w:p>
    <w:p w14:paraId="2228E67E" w14:textId="0ED6EAD5" w:rsidR="00D8138E" w:rsidRPr="00EA746C" w:rsidRDefault="00A96E0D" w:rsidP="00D8138E">
      <w:r>
        <w:t>AASB </w:t>
      </w:r>
      <w:r w:rsidR="00D8138E" w:rsidRPr="00EA746C">
        <w:t xml:space="preserve">1049 has adopted the AAS conceptual framework and principles for the recognition of assets, liabilities, revenues and expenses and their presentation, measurement and disclosure. In addition, </w:t>
      </w:r>
      <w:r>
        <w:t>AASB </w:t>
      </w:r>
      <w:r w:rsidR="00D8138E" w:rsidRPr="00EA746C">
        <w:t xml:space="preserve">1049 has broadly adopted the ABS GFS conceptual framework for presenting government financial statements. In particular, </w:t>
      </w:r>
      <w:r>
        <w:t>AASB </w:t>
      </w:r>
      <w:r w:rsidR="00D8138E" w:rsidRPr="00EA746C">
        <w:t xml:space="preserve">1049 requires the GGS to prepare a separate set of financial statements, overriding </w:t>
      </w:r>
      <w:r>
        <w:t>AASB </w:t>
      </w:r>
      <w:r w:rsidR="00D8138E" w:rsidRPr="00EA746C">
        <w:t xml:space="preserve">10 </w:t>
      </w:r>
      <w:r w:rsidR="00D8138E" w:rsidRPr="00C733AD">
        <w:rPr>
          <w:rStyle w:val="Emphasis"/>
        </w:rPr>
        <w:t>Consolidated Financial Statements</w:t>
      </w:r>
      <w:r w:rsidR="00D8138E" w:rsidRPr="00EA746C">
        <w:rPr>
          <w:i/>
        </w:rPr>
        <w:t>.</w:t>
      </w:r>
      <w:r w:rsidR="00D8138E" w:rsidRPr="00EA746C">
        <w:t xml:space="preserve"> </w:t>
      </w:r>
      <w:r>
        <w:t>AASB </w:t>
      </w:r>
      <w:r w:rsidR="00D8138E" w:rsidRPr="00EA746C">
        <w:t xml:space="preserve">1049 also follows the ABS GFS by requiring changes in net worth to be split into either transactions or </w:t>
      </w:r>
      <w:r w:rsidR="00325E1E">
        <w:t>‘</w:t>
      </w:r>
      <w:r w:rsidR="00D8138E" w:rsidRPr="00EA746C">
        <w:t>other economic flows</w:t>
      </w:r>
      <w:r w:rsidR="00325E1E">
        <w:t>’</w:t>
      </w:r>
      <w:r w:rsidR="00D8138E" w:rsidRPr="00EA746C">
        <w:t xml:space="preserve"> and for this to be presented in a single operating statement. </w:t>
      </w:r>
      <w:r>
        <w:t>AASB </w:t>
      </w:r>
      <w:r w:rsidR="00D8138E" w:rsidRPr="00EA746C">
        <w:t>1049 is therefore broadly consistent with international statistical standards and the International Monetary Fund</w:t>
      </w:r>
      <w:r w:rsidR="00325E1E">
        <w:t>’</w:t>
      </w:r>
      <w:r w:rsidR="00D8138E" w:rsidRPr="00EA746C">
        <w:t xml:space="preserve">s (IMF) </w:t>
      </w:r>
      <w:r w:rsidR="00D8138E" w:rsidRPr="00C733AD">
        <w:rPr>
          <w:rStyle w:val="Emphasis"/>
        </w:rPr>
        <w:t>Government Finance Statistics Manual 2014</w:t>
      </w:r>
      <w:r w:rsidR="00D8138E" w:rsidRPr="00EA746C">
        <w:t>.</w:t>
      </w:r>
      <w:r w:rsidR="00D8138E" w:rsidRPr="00EA746C">
        <w:rPr>
          <w:rStyle w:val="FootnoteReference"/>
        </w:rPr>
        <w:footnoteReference w:id="2"/>
      </w:r>
    </w:p>
    <w:p w14:paraId="6C098AAF" w14:textId="77777777" w:rsidR="00BD02CF" w:rsidRDefault="00D8138E" w:rsidP="00D8138E">
      <w:r w:rsidRPr="00EA746C">
        <w:br w:type="page"/>
      </w:r>
    </w:p>
    <w:p w14:paraId="161F2DF8" w14:textId="26A08671" w:rsidR="00D8138E" w:rsidRPr="00EA746C" w:rsidRDefault="00D8138E" w:rsidP="00D8138E">
      <w:r w:rsidRPr="00EA746C">
        <w:lastRenderedPageBreak/>
        <w:t>All financial data presented in the financial statements are recorded as either stocks (assets</w:t>
      </w:r>
      <w:r w:rsidR="00663990">
        <w:t> </w:t>
      </w:r>
      <w:r w:rsidRPr="00EA746C">
        <w:t xml:space="preserve">and liabilities) or flows (classified as either transactions or </w:t>
      </w:r>
      <w:r w:rsidR="00325E1E">
        <w:t>‘</w:t>
      </w:r>
      <w:r w:rsidRPr="00EA746C">
        <w:t>other economic flows</w:t>
      </w:r>
      <w:r w:rsidR="00325E1E">
        <w:t>’</w:t>
      </w:r>
      <w:r w:rsidRPr="00EA746C">
        <w:t>). Transactions result from a mutually agreed interaction between economic entities. Despite their compulsory nature, taxes are transactions deemed to occur by mutual agreement between the government and the taxpayer. Transactions that increase or decrease net worth (assets less liabilities) are reported as revenues and expenses respectively in the operating statement.</w:t>
      </w:r>
      <w:r w:rsidRPr="00EA746C">
        <w:rPr>
          <w:rStyle w:val="FootnoteReference"/>
        </w:rPr>
        <w:footnoteReference w:id="3"/>
      </w:r>
    </w:p>
    <w:p w14:paraId="45332D6E" w14:textId="63548407" w:rsidR="00D8138E" w:rsidRPr="00EA746C" w:rsidRDefault="00D8138E" w:rsidP="00D8138E">
      <w:r w:rsidRPr="00EA746C">
        <w:t xml:space="preserve">A change to the value or volume of an asset or liability that does not result from a transaction is an </w:t>
      </w:r>
      <w:r w:rsidR="00325E1E">
        <w:t>‘</w:t>
      </w:r>
      <w:r w:rsidRPr="00EA746C">
        <w:t>other economic flow</w:t>
      </w:r>
      <w:r w:rsidR="00325E1E">
        <w:t>’</w:t>
      </w:r>
      <w:r w:rsidRPr="00EA746C">
        <w:t xml:space="preserve">. This can include changes in values from market prices, most actuarial valuations and exchange rates, and changes in volumes from discoveries, depletion and destruction. All </w:t>
      </w:r>
      <w:r w:rsidR="00325E1E">
        <w:t>‘</w:t>
      </w:r>
      <w:r w:rsidRPr="00EA746C">
        <w:t>other economic flows</w:t>
      </w:r>
      <w:r w:rsidR="00325E1E">
        <w:t>’</w:t>
      </w:r>
      <w:r w:rsidRPr="00EA746C">
        <w:t xml:space="preserve"> are reported in the operating statement.</w:t>
      </w:r>
    </w:p>
    <w:p w14:paraId="5762A07D" w14:textId="77777777" w:rsidR="00D8138E" w:rsidRPr="00EA746C" w:rsidRDefault="00D8138E" w:rsidP="00D8138E">
      <w:r w:rsidRPr="00EA746C">
        <w:t>Consistent with the ABS GFS framework, and in general AAS, the financial statements record flows in the period in which they occur.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7DB3B8D8" w14:textId="77777777" w:rsidR="00D8138E" w:rsidRPr="00EA746C" w:rsidRDefault="00D8138E" w:rsidP="00BD02CF">
      <w:pPr>
        <w:pStyle w:val="Heading3"/>
      </w:pPr>
      <w:bookmarkStart w:id="42" w:name="_Toc481404347"/>
      <w:bookmarkStart w:id="43" w:name="_Toc52705264"/>
      <w:bookmarkStart w:id="44" w:name="_Toc52705351"/>
      <w:bookmarkStart w:id="45" w:name="_Toc52705477"/>
      <w:r w:rsidRPr="00EA746C">
        <w:t>Operating statement</w:t>
      </w:r>
      <w:bookmarkEnd w:id="42"/>
      <w:bookmarkEnd w:id="43"/>
      <w:bookmarkEnd w:id="44"/>
      <w:bookmarkEnd w:id="45"/>
    </w:p>
    <w:p w14:paraId="72C723B6" w14:textId="642AE784" w:rsidR="00D8138E" w:rsidRPr="00EA746C" w:rsidRDefault="00D8138E" w:rsidP="00D8138E">
      <w:r w:rsidRPr="00EA746C">
        <w:t>The operating statement presents details of transactions in revenues, expenses, the net acquisition of non</w:t>
      </w:r>
      <w:r w:rsidR="00325E1E">
        <w:noBreakHyphen/>
      </w:r>
      <w:r w:rsidRPr="00EA746C">
        <w:t>financial assets (net capital investment) and other economic flows for an accounting period.</w:t>
      </w:r>
    </w:p>
    <w:p w14:paraId="5CB1F706" w14:textId="77777777" w:rsidR="00D8138E" w:rsidRPr="00EA746C" w:rsidRDefault="00D8138E" w:rsidP="00D8138E">
      <w:r w:rsidRPr="00EA746C">
        <w:t>Revenues arise from transactions that increase net worth and expenses arise from transactions that decrease net worth. Revenues less expenses gives the net operating balance. The net operating balance is similar to the National Accounts concept of government saving plus capital transfers.</w:t>
      </w:r>
    </w:p>
    <w:p w14:paraId="325E8F66" w14:textId="39FEE3FE" w:rsidR="00D8138E" w:rsidRPr="00EA746C" w:rsidRDefault="00D8138E" w:rsidP="00D8138E">
      <w:r w:rsidRPr="00EA746C">
        <w:t>The net acquisition of non</w:t>
      </w:r>
      <w:r w:rsidR="00325E1E">
        <w:noBreakHyphen/>
      </w:r>
      <w:r w:rsidRPr="00EA746C">
        <w:t>financial assets (net capital investment) equals gross fixed capital formation, less depreciation, plus changes (investment) in inventories, plus other transactions in non</w:t>
      </w:r>
      <w:r w:rsidR="00325E1E">
        <w:noBreakHyphen/>
      </w:r>
      <w:r w:rsidRPr="00EA746C">
        <w:t>financial assets.</w:t>
      </w:r>
    </w:p>
    <w:p w14:paraId="70B01D4F" w14:textId="32F994BA" w:rsidR="00D8138E" w:rsidRPr="00EA746C" w:rsidRDefault="00325E1E" w:rsidP="00D8138E">
      <w:r>
        <w:t>‘</w:t>
      </w:r>
      <w:r w:rsidR="00D8138E" w:rsidRPr="00EA746C">
        <w:t>Other economic flows</w:t>
      </w:r>
      <w:r>
        <w:t>’</w:t>
      </w:r>
      <w:r w:rsidR="00D8138E" w:rsidRPr="00EA746C">
        <w:t xml:space="preserve"> are presented in the operating statement and outline changes in net worth that are driven by economic flows other than revenues and expenses. Revenues, expenses and </w:t>
      </w:r>
      <w:r>
        <w:t>‘</w:t>
      </w:r>
      <w:r w:rsidR="00D8138E" w:rsidRPr="00EA746C">
        <w:t>other economic flows</w:t>
      </w:r>
      <w:r>
        <w:t>’</w:t>
      </w:r>
      <w:r w:rsidR="00D8138E" w:rsidRPr="00EA746C">
        <w:t xml:space="preserve"> sum to the total change in net worth during a period. The majority of </w:t>
      </w:r>
      <w:r>
        <w:t>‘</w:t>
      </w:r>
      <w:r w:rsidR="00D8138E" w:rsidRPr="00EA746C">
        <w:t>other economic flows</w:t>
      </w:r>
      <w:r>
        <w:t>’</w:t>
      </w:r>
      <w:r w:rsidR="00D8138E" w:rsidRPr="00EA746C">
        <w:t xml:space="preserve"> for the Australian Government GGS arise from price movements in its assets and liabilities.</w:t>
      </w:r>
    </w:p>
    <w:p w14:paraId="2F615710" w14:textId="77777777" w:rsidR="00D8138E" w:rsidRPr="00EA746C" w:rsidRDefault="00D8138E" w:rsidP="00D8138E">
      <w:pPr>
        <w:pStyle w:val="Heading4"/>
        <w:rPr>
          <w:color w:val="000000"/>
        </w:rPr>
      </w:pPr>
      <w:r w:rsidRPr="00EA746C">
        <w:rPr>
          <w:color w:val="000000"/>
        </w:rPr>
        <w:lastRenderedPageBreak/>
        <w:t>Net operating balance</w:t>
      </w:r>
    </w:p>
    <w:p w14:paraId="4455C1ED" w14:textId="386BD8C2" w:rsidR="00D8138E" w:rsidRPr="00EA746C" w:rsidRDefault="00D8138E" w:rsidP="00D8138E">
      <w:r w:rsidRPr="00EA746C">
        <w:t>The net operating balance is the excess of revenue from transactions over expenses from transactions. The net operating balance excludes expenditure on the acquisition of capital assets but includes non</w:t>
      </w:r>
      <w:r w:rsidR="00325E1E">
        <w:noBreakHyphen/>
      </w:r>
      <w:r w:rsidRPr="00EA746C">
        <w:t>cash costs such as accruing superannuation entitlements and the consumption of capital (depreciation). By including all accruing costs, including depreciation, the net operating balance encompasses the full current cost of providing government services. This makes it a measure of the sustainability of the government</w:t>
      </w:r>
      <w:r w:rsidR="00325E1E">
        <w:t>’</w:t>
      </w:r>
      <w:r w:rsidRPr="00EA746C">
        <w:t>s fiscal position over time and provides an indication of the sustainability of the existing level of government services.</w:t>
      </w:r>
    </w:p>
    <w:p w14:paraId="28FD7505" w14:textId="77777777" w:rsidR="00D8138E" w:rsidRPr="00EA746C" w:rsidRDefault="00D8138E" w:rsidP="00D8138E">
      <w:pPr>
        <w:pStyle w:val="Heading4"/>
      </w:pPr>
      <w:r w:rsidRPr="00EA746C">
        <w:t>Fiscal balance</w:t>
      </w:r>
    </w:p>
    <w:p w14:paraId="1E7F0514" w14:textId="5EBB4B3E" w:rsidR="00D8138E" w:rsidRPr="00EA746C" w:rsidRDefault="00D8138E" w:rsidP="00D8138E">
      <w:r w:rsidRPr="00EA746C">
        <w:t>The fiscal balance (or net lending/borrowing) is the net operating balance less net capital investment. The fiscal balance includes the impact of net expenditure (effectively purchases less sales) on non</w:t>
      </w:r>
      <w:r w:rsidR="00325E1E">
        <w:noBreakHyphen/>
      </w:r>
      <w:r w:rsidRPr="00EA746C">
        <w:t>financial assets rather than consumption (depreciation) of non</w:t>
      </w:r>
      <w:r w:rsidR="00325E1E">
        <w:noBreakHyphen/>
      </w:r>
      <w:r w:rsidRPr="00EA746C">
        <w:t>financial assets.</w:t>
      </w:r>
      <w:r w:rsidRPr="00EA746C">
        <w:rPr>
          <w:rStyle w:val="FootnoteReference"/>
        </w:rPr>
        <w:footnoteReference w:id="4"/>
      </w:r>
    </w:p>
    <w:p w14:paraId="09F295F4" w14:textId="4333039C" w:rsidR="00D8138E" w:rsidRPr="00EA746C" w:rsidRDefault="00D8138E" w:rsidP="00D8138E">
      <w:r w:rsidRPr="00EA746C">
        <w:t>The fiscal balance measures the Australian Government</w:t>
      </w:r>
      <w:r w:rsidR="00325E1E">
        <w:t>’</w:t>
      </w:r>
      <w:r w:rsidRPr="00EA746C">
        <w:t>s investment</w:t>
      </w:r>
      <w:r w:rsidR="00325E1E">
        <w:noBreakHyphen/>
      </w:r>
      <w:r w:rsidRPr="00EA746C">
        <w:t>saving balance. It measures in accrual terms the gap between government savings plus net capital transfers and investment in non</w:t>
      </w:r>
      <w:r w:rsidR="00325E1E">
        <w:noBreakHyphen/>
      </w:r>
      <w:r w:rsidRPr="00EA746C">
        <w:t>financial assets. As such, it approximates the contribution of the Australian Government GGS to the balance on the current account in the balance of payments.</w:t>
      </w:r>
    </w:p>
    <w:p w14:paraId="3A6F6245" w14:textId="77777777" w:rsidR="00D8138E" w:rsidRPr="00EA746C" w:rsidRDefault="00D8138E" w:rsidP="00BD02CF">
      <w:pPr>
        <w:pStyle w:val="Heading3"/>
      </w:pPr>
      <w:bookmarkStart w:id="46" w:name="_Toc481404348"/>
      <w:bookmarkStart w:id="47" w:name="_Toc52705265"/>
      <w:bookmarkStart w:id="48" w:name="_Toc52705352"/>
      <w:bookmarkStart w:id="49" w:name="_Toc52705478"/>
      <w:r w:rsidRPr="00EA746C">
        <w:t>Balance sheet</w:t>
      </w:r>
      <w:bookmarkEnd w:id="46"/>
      <w:bookmarkEnd w:id="47"/>
      <w:bookmarkEnd w:id="48"/>
      <w:bookmarkEnd w:id="49"/>
    </w:p>
    <w:p w14:paraId="5E19C67C" w14:textId="77777777" w:rsidR="00D8138E" w:rsidRPr="00EA746C" w:rsidRDefault="00D8138E" w:rsidP="00D8138E">
      <w:r w:rsidRPr="00EA746C">
        <w:t>The balance sheet shows stocks of assets, liabilities and net worth. In accordance with the UPF, net debt, net financial worth and net financial liabilities are also reported in the balance sheet.</w:t>
      </w:r>
    </w:p>
    <w:p w14:paraId="1DE05F96" w14:textId="77777777" w:rsidR="00D8138E" w:rsidRPr="00EA746C" w:rsidRDefault="00D8138E" w:rsidP="00D8138E">
      <w:pPr>
        <w:pStyle w:val="Heading4"/>
      </w:pPr>
      <w:r w:rsidRPr="00EA746C">
        <w:t>Net worth</w:t>
      </w:r>
    </w:p>
    <w:p w14:paraId="43BFBD7B" w14:textId="01383F9F" w:rsidR="00D8138E" w:rsidRPr="00EA746C" w:rsidRDefault="00D8138E" w:rsidP="00D8138E">
      <w:r w:rsidRPr="00EA746C">
        <w:t>The net worth of the GGS, PNFC and PFC sectors is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w:t>
      </w:r>
      <w:r w:rsidR="00325E1E">
        <w:t>’</w:t>
      </w:r>
      <w:r w:rsidRPr="00EA746C">
        <w:t>s contribution to the wealth of Australia.</w:t>
      </w:r>
    </w:p>
    <w:p w14:paraId="2DD4F62B" w14:textId="77777777" w:rsidR="00D8138E" w:rsidRPr="00EA746C" w:rsidRDefault="00D8138E" w:rsidP="00D8138E">
      <w:r w:rsidRPr="00EA746C">
        <w:br w:type="page"/>
      </w:r>
    </w:p>
    <w:p w14:paraId="5DF4AB55" w14:textId="77777777" w:rsidR="00D8138E" w:rsidRPr="00EA746C" w:rsidRDefault="00D8138E" w:rsidP="00D8138E">
      <w:pPr>
        <w:pStyle w:val="Heading4"/>
      </w:pPr>
      <w:r w:rsidRPr="00EA746C">
        <w:lastRenderedPageBreak/>
        <w:t>Net financial worth</w:t>
      </w:r>
    </w:p>
    <w:p w14:paraId="0E5DC24F" w14:textId="5CE9BC2C" w:rsidR="00D8138E" w:rsidRPr="00EA746C" w:rsidRDefault="00D8138E" w:rsidP="00D8138E">
      <w:r w:rsidRPr="00EA746C">
        <w:t>Net financial worth measures a government</w:t>
      </w:r>
      <w:r w:rsidR="00325E1E">
        <w:t>’</w:t>
      </w:r>
      <w:r w:rsidRPr="00EA746C">
        <w:t>s net holdings of financial assets. It is calculated from the balance sheet as financial assets minus liabilities. This differs from the ABS GFS definition of net financial worth for the PNFC and PFC sectors, defined as financial assets, less liabilities, less shares and other contributed capital. Net financial worth is a broader measure than net debt, in that it incorporates provisions made (such as superannuation) as well as equity holdings. Net financial worth includes all classes of financial assets and all liabilities, only some of which are included in net debt. As non</w:t>
      </w:r>
      <w:r w:rsidR="00325E1E">
        <w:noBreakHyphen/>
      </w:r>
      <w:r w:rsidRPr="00EA746C">
        <w:t>financial assets are excluded from net financial worth, this is a narrower measure than net worth. However, it avoids the concerns inherent with the net worth measure relating to the valuation of non</w:t>
      </w:r>
      <w:r w:rsidR="00325E1E">
        <w:noBreakHyphen/>
      </w:r>
      <w:r w:rsidRPr="00EA746C">
        <w:t>financial assets and their availability to offset liabilities.</w:t>
      </w:r>
    </w:p>
    <w:p w14:paraId="3DF40FCA" w14:textId="77777777" w:rsidR="00D8138E" w:rsidRPr="00EA746C" w:rsidRDefault="00D8138E" w:rsidP="00D8138E">
      <w:pPr>
        <w:pStyle w:val="Heading4"/>
      </w:pPr>
      <w:r w:rsidRPr="00EA746C">
        <w:t>Net financial liabilities</w:t>
      </w:r>
    </w:p>
    <w:p w14:paraId="570E8FF9" w14:textId="1E0ABA08" w:rsidR="00D8138E" w:rsidRPr="00EA746C" w:rsidRDefault="00D8138E" w:rsidP="00D8138E">
      <w:r w:rsidRPr="00EA746C">
        <w:t>Net financial liabilities comprises total liabilities less financial assets but excludes equity investments in the other sectors of the jurisdiction. Net financial liabilities is a more accurate indicator than net debt of a jurisdiction</w:t>
      </w:r>
      <w:r w:rsidR="00325E1E">
        <w:t>’</w:t>
      </w:r>
      <w:r w:rsidRPr="00EA746C">
        <w:t>s fiscal position as it includes substantial non</w:t>
      </w:r>
      <w:r w:rsidR="00325E1E">
        <w:noBreakHyphen/>
      </w:r>
      <w:r w:rsidRPr="00EA746C">
        <w:t>debt liabilities such as accrued superannuation and long service leave entitlements. Excluding the net worth of other sectors of government results in a purer measure of financial worth than net financial worth as, in general, the net worth of other sectors of government, in particular the PNFC sector, is backed by physical assets.</w:t>
      </w:r>
    </w:p>
    <w:p w14:paraId="64B62A42" w14:textId="77777777" w:rsidR="00D8138E" w:rsidRPr="00EA746C" w:rsidRDefault="00D8138E" w:rsidP="00D8138E">
      <w:pPr>
        <w:pStyle w:val="Heading4"/>
      </w:pPr>
      <w:r w:rsidRPr="00EA746C">
        <w:t>Net debt</w:t>
      </w:r>
    </w:p>
    <w:p w14:paraId="3B8007E9" w14:textId="3E9BE4B4" w:rsidR="00D8138E" w:rsidRPr="00EA746C" w:rsidRDefault="00D8138E" w:rsidP="00D8138E">
      <w:r w:rsidRPr="00EA746C">
        <w:t xml:space="preserve">Net debt is the sum of interest bearing liabilities less the sum of selected financial assets (cash and deposits, advances paid and investments, loans and placements). </w:t>
      </w:r>
      <w:r w:rsidRPr="00EA746C">
        <w:rPr>
          <w:color w:val="000000"/>
        </w:rPr>
        <w:t>Financial assets include the Future Fund</w:t>
      </w:r>
      <w:r w:rsidR="00325E1E">
        <w:rPr>
          <w:color w:val="000000"/>
        </w:rPr>
        <w:t>’</w:t>
      </w:r>
      <w:r w:rsidRPr="00EA746C">
        <w:rPr>
          <w:color w:val="000000"/>
        </w:rPr>
        <w:t>s investments in interest bearing securities and collective investment vehicles (CIVs). CIVs enable investors to pool their money and invest the pooled funds, rather than buying securities directly.</w:t>
      </w:r>
      <w:r w:rsidRPr="00EA746C">
        <w:t xml:space="preserve"> Net debt does not include superannuation related liabilities. Net debt is a common measure of the strength of a government</w:t>
      </w:r>
      <w:r w:rsidR="00325E1E">
        <w:t>’</w:t>
      </w:r>
      <w:r w:rsidRPr="00EA746C">
        <w:t>s financial position. High levels of net debt impose a call on future revenue flows to service that debt.</w:t>
      </w:r>
    </w:p>
    <w:p w14:paraId="39BC38A2" w14:textId="77777777" w:rsidR="00D8138E" w:rsidRPr="00EA746C" w:rsidRDefault="00D8138E" w:rsidP="00D8138E">
      <w:r w:rsidRPr="00EA746C">
        <w:t>The 2015 ABS GFS Manual presents debt in a matrix format, with no single net debt aggregate identified. The Australian Government continues to report net debt in accordance with the UPF as described above.</w:t>
      </w:r>
    </w:p>
    <w:p w14:paraId="04D5612B" w14:textId="77777777" w:rsidR="00D8138E" w:rsidRPr="00EA746C" w:rsidRDefault="00D8138E" w:rsidP="00D8138E">
      <w:r w:rsidRPr="00EA746C">
        <w:br w:type="page"/>
      </w:r>
    </w:p>
    <w:p w14:paraId="08FD5896" w14:textId="77777777" w:rsidR="00D8138E" w:rsidRPr="00EA746C" w:rsidRDefault="00D8138E" w:rsidP="00BD02CF">
      <w:pPr>
        <w:pStyle w:val="Heading3"/>
      </w:pPr>
      <w:r w:rsidRPr="00EA746C">
        <w:lastRenderedPageBreak/>
        <w:t>Cash flow statement</w:t>
      </w:r>
    </w:p>
    <w:p w14:paraId="7A3C1B2D" w14:textId="77777777" w:rsidR="00D8138E" w:rsidRPr="00EA746C" w:rsidRDefault="00D8138E" w:rsidP="00D8138E">
      <w:r w:rsidRPr="00EA746C">
        <w:t>The cash flow statement identifies how cash is generated and applied in a single accounting period. The cash flow statement reflects a cash basis of recording (rather than an accrual basis) where information is derived indirectly from underlying accrual transactions and movements in balances. This, in effect, means that transactions are captured when cash is received or when cash payments are made. Cash transactions are specifically identified because cash management is considered an integral function of accrual budgeting.</w:t>
      </w:r>
    </w:p>
    <w:p w14:paraId="6EEB7F63" w14:textId="77777777" w:rsidR="00D8138E" w:rsidRPr="00EA746C" w:rsidRDefault="00D8138E" w:rsidP="00D8138E">
      <w:pPr>
        <w:pStyle w:val="Heading4"/>
      </w:pPr>
      <w:r w:rsidRPr="00EA746C">
        <w:t>Underlying cash balance</w:t>
      </w:r>
    </w:p>
    <w:p w14:paraId="5B82E47C" w14:textId="3D99541B" w:rsidR="00D8138E" w:rsidRPr="00EA746C" w:rsidRDefault="00D8138E" w:rsidP="00D8138E">
      <w:r w:rsidRPr="00EA746C">
        <w:t>The underlying cash balance is the cash counterpart of the fiscal balance, reflecting the Australian Government</w:t>
      </w:r>
      <w:r w:rsidR="00325E1E">
        <w:t>’</w:t>
      </w:r>
      <w:r w:rsidRPr="00EA746C">
        <w:t>s cash investment</w:t>
      </w:r>
      <w:r w:rsidR="00325E1E">
        <w:noBreakHyphen/>
      </w:r>
      <w:r w:rsidRPr="00EA746C">
        <w:t>saving balance.</w:t>
      </w:r>
    </w:p>
    <w:p w14:paraId="47845C10" w14:textId="77777777" w:rsidR="00D8138E" w:rsidRPr="00EA746C" w:rsidRDefault="00D8138E" w:rsidP="00D8138E">
      <w:r w:rsidRPr="00EA746C">
        <w:t>For the GGS, the underlying cash balance is calculated as shown below:</w:t>
      </w:r>
    </w:p>
    <w:p w14:paraId="3BCCA4AF" w14:textId="77777777" w:rsidR="00D8138E" w:rsidRPr="00E86D73" w:rsidRDefault="00D8138E" w:rsidP="00D8138E">
      <w:pPr>
        <w:pStyle w:val="NormalIndent"/>
        <w:spacing w:before="120" w:after="120" w:line="200" w:lineRule="exact"/>
        <w:rPr>
          <w:rFonts w:asciiTheme="minorHAnsi" w:hAnsiTheme="minorHAnsi"/>
        </w:rPr>
      </w:pPr>
      <w:r w:rsidRPr="00E86D73">
        <w:rPr>
          <w:rFonts w:asciiTheme="minorHAnsi" w:hAnsiTheme="minorHAnsi"/>
        </w:rPr>
        <w:t>Net cash flows from operating activities</w:t>
      </w:r>
    </w:p>
    <w:p w14:paraId="34D6A35E" w14:textId="77777777" w:rsidR="00D8138E" w:rsidRPr="0007268A" w:rsidRDefault="00D8138E" w:rsidP="00D8138E">
      <w:pPr>
        <w:pStyle w:val="NormalIndent"/>
        <w:spacing w:before="120" w:after="120" w:line="200" w:lineRule="exact"/>
        <w:rPr>
          <w:rStyle w:val="Emphasis"/>
        </w:rPr>
      </w:pPr>
      <w:r w:rsidRPr="0007268A">
        <w:rPr>
          <w:rStyle w:val="Emphasis"/>
        </w:rPr>
        <w:t>plus</w:t>
      </w:r>
    </w:p>
    <w:p w14:paraId="2946262A" w14:textId="5E2822FE" w:rsidR="00D8138E" w:rsidRPr="00E86D73" w:rsidRDefault="00D8138E" w:rsidP="00D8138E">
      <w:pPr>
        <w:pStyle w:val="NormalIndent"/>
        <w:spacing w:before="120" w:after="120" w:line="200" w:lineRule="exact"/>
        <w:rPr>
          <w:rFonts w:asciiTheme="minorHAnsi" w:hAnsiTheme="minorHAnsi"/>
        </w:rPr>
      </w:pPr>
      <w:r w:rsidRPr="00E86D73">
        <w:rPr>
          <w:rFonts w:asciiTheme="minorHAnsi" w:hAnsiTheme="minorHAnsi"/>
        </w:rPr>
        <w:t>Net cash flows from investments in non</w:t>
      </w:r>
      <w:r w:rsidR="00325E1E">
        <w:rPr>
          <w:rFonts w:asciiTheme="minorHAnsi" w:hAnsiTheme="minorHAnsi"/>
        </w:rPr>
        <w:noBreakHyphen/>
      </w:r>
      <w:r w:rsidRPr="00E86D73">
        <w:rPr>
          <w:rFonts w:asciiTheme="minorHAnsi" w:hAnsiTheme="minorHAnsi"/>
        </w:rPr>
        <w:t>financial assets</w:t>
      </w:r>
    </w:p>
    <w:p w14:paraId="0332EB02" w14:textId="77777777" w:rsidR="00D8138E" w:rsidRPr="0007268A" w:rsidRDefault="00D8138E" w:rsidP="00D8138E">
      <w:pPr>
        <w:pStyle w:val="NormalIndent"/>
        <w:spacing w:before="120" w:after="120" w:line="200" w:lineRule="exact"/>
        <w:rPr>
          <w:rStyle w:val="Emphasis"/>
        </w:rPr>
      </w:pPr>
      <w:r w:rsidRPr="0007268A">
        <w:rPr>
          <w:rStyle w:val="Emphasis"/>
        </w:rPr>
        <w:t>equals</w:t>
      </w:r>
    </w:p>
    <w:p w14:paraId="536E65B8" w14:textId="77777777" w:rsidR="00D8138E" w:rsidRPr="00E86D73" w:rsidRDefault="00D8138E" w:rsidP="00D8138E">
      <w:pPr>
        <w:pStyle w:val="NormalIndent"/>
        <w:spacing w:before="120" w:after="120" w:line="200" w:lineRule="exact"/>
        <w:rPr>
          <w:rFonts w:asciiTheme="minorHAnsi" w:hAnsiTheme="minorHAnsi"/>
        </w:rPr>
      </w:pPr>
      <w:r w:rsidRPr="00E86D73">
        <w:rPr>
          <w:rFonts w:asciiTheme="minorHAnsi" w:hAnsiTheme="minorHAnsi"/>
        </w:rPr>
        <w:t>ABS GFS cash surplus/deficit</w:t>
      </w:r>
    </w:p>
    <w:p w14:paraId="4D413450" w14:textId="77777777" w:rsidR="00D8138E" w:rsidRPr="0007268A" w:rsidRDefault="00D8138E" w:rsidP="00D8138E">
      <w:pPr>
        <w:pStyle w:val="NormalIndent"/>
        <w:spacing w:before="120" w:after="120" w:line="200" w:lineRule="exact"/>
        <w:rPr>
          <w:rStyle w:val="Emphasis"/>
        </w:rPr>
      </w:pPr>
      <w:r w:rsidRPr="0007268A">
        <w:rPr>
          <w:rStyle w:val="Emphasis"/>
        </w:rPr>
        <w:t>plus</w:t>
      </w:r>
    </w:p>
    <w:p w14:paraId="5980C431" w14:textId="61E30E7D" w:rsidR="00D8138E" w:rsidRPr="00E86D73" w:rsidRDefault="00D8138E" w:rsidP="00D8138E">
      <w:pPr>
        <w:pStyle w:val="NormalIndent"/>
        <w:spacing w:before="120" w:after="120" w:line="200" w:lineRule="exact"/>
        <w:rPr>
          <w:rFonts w:asciiTheme="minorHAnsi" w:hAnsiTheme="minorHAnsi"/>
        </w:rPr>
      </w:pPr>
      <w:r w:rsidRPr="00E86D73">
        <w:rPr>
          <w:rFonts w:asciiTheme="minorHAnsi" w:hAnsiTheme="minorHAnsi"/>
        </w:rPr>
        <w:t>Principal payments of lease liabilities</w:t>
      </w:r>
    </w:p>
    <w:p w14:paraId="3BF3718E" w14:textId="77777777" w:rsidR="00D8138E" w:rsidRPr="0007268A" w:rsidRDefault="00D8138E" w:rsidP="00D8138E">
      <w:pPr>
        <w:pStyle w:val="NormalIndent"/>
        <w:spacing w:before="120" w:after="120" w:line="200" w:lineRule="exact"/>
        <w:rPr>
          <w:rStyle w:val="Emphasis"/>
        </w:rPr>
      </w:pPr>
      <w:r w:rsidRPr="0007268A">
        <w:rPr>
          <w:rStyle w:val="Emphasis"/>
        </w:rPr>
        <w:t>equals</w:t>
      </w:r>
    </w:p>
    <w:p w14:paraId="055821B1" w14:textId="77777777" w:rsidR="00D8138E" w:rsidRPr="00E86D73" w:rsidRDefault="00D8138E" w:rsidP="00D8138E">
      <w:pPr>
        <w:pStyle w:val="NormalIndent"/>
        <w:spacing w:before="120" w:after="120" w:line="200" w:lineRule="exact"/>
        <w:rPr>
          <w:rFonts w:asciiTheme="minorHAnsi" w:hAnsiTheme="minorHAnsi"/>
        </w:rPr>
      </w:pPr>
      <w:r w:rsidRPr="00E86D73">
        <w:rPr>
          <w:rFonts w:asciiTheme="minorHAnsi" w:hAnsiTheme="minorHAnsi"/>
        </w:rPr>
        <w:t>Underlying cash balance</w:t>
      </w:r>
    </w:p>
    <w:p w14:paraId="21113342" w14:textId="0E85BB09" w:rsidR="00D8138E" w:rsidRPr="00EA746C" w:rsidRDefault="00D8138E" w:rsidP="00D8138E">
      <w:r w:rsidRPr="00EA746C">
        <w:t xml:space="preserve">Under the </w:t>
      </w:r>
      <w:r w:rsidRPr="0007268A">
        <w:rPr>
          <w:rStyle w:val="Emphasis"/>
        </w:rPr>
        <w:t>Future Fund Act 2006,</w:t>
      </w:r>
      <w:r w:rsidRPr="00EA746C">
        <w:t xml:space="preserve"> earnings are required to be reinvested to meet the Government</w:t>
      </w:r>
      <w:r w:rsidR="00325E1E">
        <w:t>’</w:t>
      </w:r>
      <w:r w:rsidRPr="00EA746C">
        <w:t>s future public sector superannuation liabilities.</w:t>
      </w:r>
      <w:r w:rsidRPr="00EA746C">
        <w:rPr>
          <w:color w:val="1F497D"/>
        </w:rPr>
        <w:t xml:space="preserve"> </w:t>
      </w:r>
      <w:r w:rsidRPr="00EA746C">
        <w:t>The Government excluded net Future Fund cash earnings from the calculation of the underlying cash balance between 2005</w:t>
      </w:r>
      <w:r w:rsidR="00B63272">
        <w:t>–</w:t>
      </w:r>
      <w:r w:rsidRPr="00EA746C">
        <w:t>06 and 2019</w:t>
      </w:r>
      <w:r w:rsidR="00B63272">
        <w:t>–</w:t>
      </w:r>
      <w:r w:rsidRPr="00EA746C">
        <w:t>20. From 2020</w:t>
      </w:r>
      <w:r w:rsidR="00B63272">
        <w:t>–</w:t>
      </w:r>
      <w:r w:rsidRPr="00EA746C">
        <w:t>21 onwards, net Future Fund cash earnings have been included in the calculation of the underlying cash balance because the Future Fund became available to meet the Government</w:t>
      </w:r>
      <w:r w:rsidR="00325E1E">
        <w:t>’</w:t>
      </w:r>
      <w:r w:rsidRPr="00EA746C">
        <w:t>s superannuation liabilities from this year.</w:t>
      </w:r>
    </w:p>
    <w:p w14:paraId="2BE8280B" w14:textId="77777777" w:rsidR="00D8138E" w:rsidRPr="00EA746C" w:rsidRDefault="00D8138E" w:rsidP="00D8138E">
      <w:r w:rsidRPr="00EA746C">
        <w:t>In contrast, net Future Fund earnings have been included in the net operating balance and fiscal balance for all years because superannuation expenses relating to future cash payments are recorded in the net operating balance and fiscal balance.</w:t>
      </w:r>
    </w:p>
    <w:p w14:paraId="04550943" w14:textId="6392DA89" w:rsidR="00D8138E" w:rsidRPr="005E4926" w:rsidRDefault="00D8138E" w:rsidP="00D8138E">
      <w:pPr>
        <w:rPr>
          <w:rStyle w:val="Emphasis"/>
        </w:rPr>
      </w:pPr>
      <w:r w:rsidRPr="00EA746C">
        <w:t xml:space="preserve">Net Future Fund earnings are separately identified in the historical tables in </w:t>
      </w:r>
      <w:r w:rsidRPr="005E4926">
        <w:rPr>
          <w:rStyle w:val="Emphasis"/>
        </w:rPr>
        <w:t>Statement </w:t>
      </w:r>
      <w:r w:rsidRPr="005E4926" w:rsidDel="00477FC6">
        <w:rPr>
          <w:rStyle w:val="Emphasis"/>
        </w:rPr>
        <w:t>1</w:t>
      </w:r>
      <w:r w:rsidR="00ED0416" w:rsidRPr="005E4926">
        <w:rPr>
          <w:rStyle w:val="Emphasis"/>
        </w:rPr>
        <w:t>1</w:t>
      </w:r>
      <w:r w:rsidRPr="005E4926">
        <w:rPr>
          <w:rStyle w:val="Emphasis"/>
        </w:rPr>
        <w:t>: Historical Australian Government Data.</w:t>
      </w:r>
    </w:p>
    <w:p w14:paraId="4D510BF5" w14:textId="77777777" w:rsidR="00D8138E" w:rsidRPr="00EA746C" w:rsidRDefault="00D8138E" w:rsidP="00D8138E">
      <w:pPr>
        <w:pStyle w:val="Heading4"/>
      </w:pPr>
      <w:r w:rsidRPr="00EA746C">
        <w:lastRenderedPageBreak/>
        <w:t>Headline cash balance</w:t>
      </w:r>
    </w:p>
    <w:p w14:paraId="39448DD2" w14:textId="77777777" w:rsidR="00D8138E" w:rsidRPr="00EA746C" w:rsidRDefault="00D8138E" w:rsidP="00D8138E">
      <w:pPr>
        <w:keepNext/>
        <w:spacing w:after="200"/>
      </w:pPr>
      <w:r w:rsidRPr="00EA746C">
        <w:t>The headline cash balance is calculated by adding net cash flows from investments in financial assets for policy purposes to the underlying cash balance.</w:t>
      </w:r>
    </w:p>
    <w:p w14:paraId="160186A3" w14:textId="77777777" w:rsidR="00D8138E" w:rsidRPr="00EA746C" w:rsidRDefault="00D8138E" w:rsidP="00D8138E">
      <w:pPr>
        <w:spacing w:after="200"/>
      </w:pPr>
      <w:r w:rsidRPr="00EA746C">
        <w:t>Net cash flows from investments in financial assets for policy purposes include equity transactions and advances paid. Equity transactions include equity injections into controlled businesses and privatisations of government businesses. Advances paid include net loans to the states and net loans to students.</w:t>
      </w:r>
    </w:p>
    <w:p w14:paraId="5396CA6B" w14:textId="77777777" w:rsidR="00D8138E" w:rsidRPr="00EA746C" w:rsidRDefault="00D8138E" w:rsidP="00D8138E">
      <w:pPr>
        <w:pStyle w:val="Heading4"/>
      </w:pPr>
      <w:r w:rsidRPr="00EA746C">
        <w:t>Sectoral classifications</w:t>
      </w:r>
    </w:p>
    <w:p w14:paraId="5AE05558" w14:textId="6FD0A179" w:rsidR="00D8138E" w:rsidRPr="00EA746C" w:rsidRDefault="00D8138E" w:rsidP="00D8138E">
      <w:r w:rsidRPr="00EA746C">
        <w:t xml:space="preserve">To assist in analysing the public sector, data are presented by institutional sector as shown in </w:t>
      </w:r>
      <w:r w:rsidR="00A96E0D">
        <w:t>Figure </w:t>
      </w:r>
      <w:r w:rsidRPr="00EA746C">
        <w:t>A</w:t>
      </w:r>
      <w:r w:rsidR="009A548A">
        <w:t>10.</w:t>
      </w:r>
      <w:r w:rsidRPr="00EA746C">
        <w:t xml:space="preserve">1. The ABS GFS defines the GGS, PNFC and PFC sectors. </w:t>
      </w:r>
      <w:r w:rsidR="00A96E0D">
        <w:t>AASB </w:t>
      </w:r>
      <w:r w:rsidRPr="00EA746C">
        <w:t>1049 has also adopted this sectoral reporting.</w:t>
      </w:r>
    </w:p>
    <w:p w14:paraId="6B36EF14" w14:textId="03538E14" w:rsidR="00D8138E" w:rsidRPr="00EA746C" w:rsidRDefault="00A96E0D" w:rsidP="00D8138E">
      <w:pPr>
        <w:pStyle w:val="FigureHeading"/>
        <w:spacing w:after="120"/>
      </w:pPr>
      <w:r>
        <w:t>Figure </w:t>
      </w:r>
      <w:r w:rsidR="00D8138E" w:rsidRPr="00EA746C">
        <w:t>A</w:t>
      </w:r>
      <w:r w:rsidR="009A548A">
        <w:t>10.</w:t>
      </w:r>
      <w:r w:rsidR="00D8138E" w:rsidRPr="00EA746C">
        <w:t>1: Institutional structure of the public sector</w:t>
      </w:r>
    </w:p>
    <w:tbl>
      <w:tblPr>
        <w:tblW w:w="5000" w:type="pct"/>
        <w:tblLook w:val="04A0" w:firstRow="1" w:lastRow="0" w:firstColumn="1" w:lastColumn="0" w:noHBand="0" w:noVBand="1"/>
        <w:tblCaption w:val="Figure"/>
      </w:tblPr>
      <w:tblGrid>
        <w:gridCol w:w="1277"/>
        <w:gridCol w:w="460"/>
        <w:gridCol w:w="817"/>
        <w:gridCol w:w="454"/>
        <w:gridCol w:w="454"/>
        <w:gridCol w:w="841"/>
        <w:gridCol w:w="427"/>
        <w:gridCol w:w="457"/>
        <w:gridCol w:w="812"/>
        <w:gridCol w:w="449"/>
        <w:gridCol w:w="1262"/>
      </w:tblGrid>
      <w:tr w:rsidR="00D8138E" w:rsidRPr="00EA746C" w14:paraId="5219A89E" w14:textId="77777777">
        <w:trPr>
          <w:trHeight w:val="567"/>
        </w:trPr>
        <w:tc>
          <w:tcPr>
            <w:tcW w:w="1736" w:type="dxa"/>
            <w:gridSpan w:val="2"/>
            <w:shd w:val="clear" w:color="auto" w:fill="auto"/>
            <w:vAlign w:val="center"/>
          </w:tcPr>
          <w:p w14:paraId="357EB180" w14:textId="77777777" w:rsidR="00D8138E" w:rsidRPr="00EA746C" w:rsidRDefault="00D8138E">
            <w:pPr>
              <w:pStyle w:val="TableTextBase"/>
            </w:pPr>
          </w:p>
        </w:tc>
        <w:tc>
          <w:tcPr>
            <w:tcW w:w="2562" w:type="dxa"/>
            <w:gridSpan w:val="4"/>
            <w:shd w:val="clear" w:color="auto" w:fill="E6F2FF"/>
            <w:vAlign w:val="center"/>
          </w:tcPr>
          <w:p w14:paraId="586C503E" w14:textId="77777777" w:rsidR="00D8138E" w:rsidRPr="00EA746C" w:rsidRDefault="00D8138E">
            <w:pPr>
              <w:pStyle w:val="TableColumnHeadingCentred"/>
              <w:rPr>
                <w:color w:val="000000" w:themeColor="text1"/>
              </w:rPr>
            </w:pPr>
            <w:r w:rsidRPr="00EA746C">
              <w:t>Total public sector</w:t>
            </w:r>
          </w:p>
        </w:tc>
        <w:tc>
          <w:tcPr>
            <w:tcW w:w="3401" w:type="dxa"/>
            <w:gridSpan w:val="5"/>
            <w:shd w:val="clear" w:color="auto" w:fill="auto"/>
            <w:vAlign w:val="center"/>
          </w:tcPr>
          <w:p w14:paraId="4E4F4512" w14:textId="77777777" w:rsidR="00D8138E" w:rsidRPr="00EA746C" w:rsidRDefault="00D8138E">
            <w:pPr>
              <w:pStyle w:val="TableTextBase"/>
            </w:pPr>
          </w:p>
        </w:tc>
      </w:tr>
      <w:tr w:rsidR="00D8138E" w:rsidRPr="00EA746C" w14:paraId="2DBFCDE3" w14:textId="77777777">
        <w:trPr>
          <w:trHeight w:val="567"/>
        </w:trPr>
        <w:tc>
          <w:tcPr>
            <w:tcW w:w="1276" w:type="dxa"/>
            <w:shd w:val="clear" w:color="auto" w:fill="auto"/>
          </w:tcPr>
          <w:p w14:paraId="3D669083" w14:textId="77777777" w:rsidR="00D8138E" w:rsidRPr="00EA746C" w:rsidRDefault="00D8138E">
            <w:pPr>
              <w:pStyle w:val="TableTextBase"/>
            </w:pPr>
          </w:p>
        </w:tc>
        <w:tc>
          <w:tcPr>
            <w:tcW w:w="1729" w:type="dxa"/>
            <w:gridSpan w:val="3"/>
            <w:tcBorders>
              <w:tr2bl w:val="single" w:sz="4" w:space="0" w:color="auto"/>
            </w:tcBorders>
            <w:shd w:val="clear" w:color="auto" w:fill="auto"/>
          </w:tcPr>
          <w:p w14:paraId="22C2C6A3" w14:textId="77777777" w:rsidR="00D8138E" w:rsidRPr="00EA746C" w:rsidRDefault="00D8138E">
            <w:pPr>
              <w:pStyle w:val="TableTextBase"/>
            </w:pPr>
          </w:p>
        </w:tc>
        <w:tc>
          <w:tcPr>
            <w:tcW w:w="1719" w:type="dxa"/>
            <w:gridSpan w:val="3"/>
            <w:tcBorders>
              <w:tl2br w:val="single" w:sz="4" w:space="0" w:color="auto"/>
            </w:tcBorders>
            <w:shd w:val="clear" w:color="auto" w:fill="auto"/>
          </w:tcPr>
          <w:p w14:paraId="254B14E9" w14:textId="77777777" w:rsidR="00D8138E" w:rsidRPr="00EA746C" w:rsidRDefault="00D8138E">
            <w:pPr>
              <w:pStyle w:val="TableTextBase"/>
            </w:pPr>
          </w:p>
        </w:tc>
        <w:tc>
          <w:tcPr>
            <w:tcW w:w="1267" w:type="dxa"/>
            <w:gridSpan w:val="2"/>
            <w:shd w:val="clear" w:color="auto" w:fill="auto"/>
          </w:tcPr>
          <w:p w14:paraId="4C6E033D" w14:textId="77777777" w:rsidR="00D8138E" w:rsidRPr="00EA746C" w:rsidRDefault="00D8138E">
            <w:pPr>
              <w:pStyle w:val="TableTextBase"/>
            </w:pPr>
          </w:p>
        </w:tc>
        <w:tc>
          <w:tcPr>
            <w:tcW w:w="1708" w:type="dxa"/>
            <w:gridSpan w:val="2"/>
            <w:shd w:val="clear" w:color="auto" w:fill="auto"/>
          </w:tcPr>
          <w:p w14:paraId="337F17C6" w14:textId="77777777" w:rsidR="00D8138E" w:rsidRPr="00EA746C" w:rsidRDefault="00D8138E">
            <w:pPr>
              <w:pStyle w:val="TableTextBase"/>
            </w:pPr>
          </w:p>
        </w:tc>
      </w:tr>
      <w:tr w:rsidR="00D8138E" w:rsidRPr="00EA746C" w14:paraId="274BDAF6" w14:textId="77777777">
        <w:trPr>
          <w:trHeight w:val="567"/>
        </w:trPr>
        <w:tc>
          <w:tcPr>
            <w:tcW w:w="2552" w:type="dxa"/>
            <w:gridSpan w:val="3"/>
            <w:shd w:val="clear" w:color="auto" w:fill="E6F2FF"/>
            <w:vAlign w:val="center"/>
          </w:tcPr>
          <w:p w14:paraId="324A57D4" w14:textId="77777777" w:rsidR="00D8138E" w:rsidRPr="00EA746C" w:rsidRDefault="00D8138E">
            <w:pPr>
              <w:pStyle w:val="TableColumnHeadingCentred"/>
              <w:rPr>
                <w:color w:val="000000" w:themeColor="text1"/>
              </w:rPr>
            </w:pPr>
            <w:r w:rsidRPr="00EA746C">
              <w:t>Public financial corporations sector</w:t>
            </w:r>
          </w:p>
        </w:tc>
        <w:tc>
          <w:tcPr>
            <w:tcW w:w="906" w:type="dxa"/>
            <w:gridSpan w:val="2"/>
            <w:shd w:val="clear" w:color="auto" w:fill="auto"/>
            <w:vAlign w:val="center"/>
          </w:tcPr>
          <w:p w14:paraId="69183C1A" w14:textId="77777777" w:rsidR="00D8138E" w:rsidRPr="00EA746C" w:rsidRDefault="00D8138E">
            <w:pPr>
              <w:pStyle w:val="TableTextBase"/>
            </w:pPr>
          </w:p>
        </w:tc>
        <w:tc>
          <w:tcPr>
            <w:tcW w:w="2533" w:type="dxa"/>
            <w:gridSpan w:val="4"/>
            <w:shd w:val="clear" w:color="auto" w:fill="E6F2FF"/>
            <w:vAlign w:val="center"/>
          </w:tcPr>
          <w:p w14:paraId="61C69459" w14:textId="793C0EF2" w:rsidR="00D8138E" w:rsidRPr="00EA746C" w:rsidRDefault="00D8138E">
            <w:pPr>
              <w:pStyle w:val="TableColumnHeadingCentred"/>
              <w:rPr>
                <w:color w:val="000000" w:themeColor="text1"/>
              </w:rPr>
            </w:pPr>
            <w:r w:rsidRPr="00EA746C">
              <w:t>Total non</w:t>
            </w:r>
            <w:r w:rsidR="00325E1E">
              <w:noBreakHyphen/>
            </w:r>
            <w:r w:rsidRPr="00EA746C">
              <w:t>financial public sector</w:t>
            </w:r>
          </w:p>
        </w:tc>
        <w:tc>
          <w:tcPr>
            <w:tcW w:w="1708" w:type="dxa"/>
            <w:gridSpan w:val="2"/>
            <w:shd w:val="clear" w:color="auto" w:fill="auto"/>
            <w:vAlign w:val="center"/>
          </w:tcPr>
          <w:p w14:paraId="1A36118C" w14:textId="77777777" w:rsidR="00D8138E" w:rsidRPr="00EA746C" w:rsidRDefault="00D8138E">
            <w:pPr>
              <w:pStyle w:val="TableTextBase"/>
            </w:pPr>
          </w:p>
        </w:tc>
      </w:tr>
      <w:tr w:rsidR="00D8138E" w:rsidRPr="00EA746C" w14:paraId="38B792DF" w14:textId="77777777">
        <w:trPr>
          <w:trHeight w:val="567"/>
        </w:trPr>
        <w:tc>
          <w:tcPr>
            <w:tcW w:w="2552" w:type="dxa"/>
            <w:gridSpan w:val="3"/>
            <w:shd w:val="clear" w:color="auto" w:fill="auto"/>
          </w:tcPr>
          <w:p w14:paraId="241BE490" w14:textId="77777777" w:rsidR="00D8138E" w:rsidRPr="00EA746C" w:rsidRDefault="00D8138E">
            <w:pPr>
              <w:pStyle w:val="TableTextLeft"/>
            </w:pPr>
            <w:r w:rsidRPr="00EA746C">
              <w:t>(Includes Reserve Bank of Australia and other borrowing authorities)</w:t>
            </w:r>
          </w:p>
        </w:tc>
        <w:tc>
          <w:tcPr>
            <w:tcW w:w="453" w:type="dxa"/>
            <w:shd w:val="clear" w:color="auto" w:fill="auto"/>
          </w:tcPr>
          <w:p w14:paraId="5D1C2FF1" w14:textId="77777777" w:rsidR="00D8138E" w:rsidRPr="00EA746C" w:rsidRDefault="00D8138E">
            <w:pPr>
              <w:pStyle w:val="TableTextBase"/>
            </w:pPr>
          </w:p>
        </w:tc>
        <w:tc>
          <w:tcPr>
            <w:tcW w:w="1719" w:type="dxa"/>
            <w:gridSpan w:val="3"/>
            <w:tcBorders>
              <w:tr2bl w:val="single" w:sz="4" w:space="0" w:color="auto"/>
            </w:tcBorders>
            <w:shd w:val="clear" w:color="auto" w:fill="auto"/>
          </w:tcPr>
          <w:p w14:paraId="1D682345" w14:textId="77777777" w:rsidR="00D8138E" w:rsidRPr="00EA746C" w:rsidRDefault="00D8138E">
            <w:pPr>
              <w:pStyle w:val="TableTextBase"/>
            </w:pPr>
          </w:p>
        </w:tc>
        <w:tc>
          <w:tcPr>
            <w:tcW w:w="1715" w:type="dxa"/>
            <w:gridSpan w:val="3"/>
            <w:tcBorders>
              <w:tl2br w:val="single" w:sz="4" w:space="0" w:color="auto"/>
            </w:tcBorders>
            <w:shd w:val="clear" w:color="auto" w:fill="auto"/>
          </w:tcPr>
          <w:p w14:paraId="3F1DC510" w14:textId="77777777" w:rsidR="00D8138E" w:rsidRPr="00EA746C" w:rsidRDefault="00D8138E">
            <w:pPr>
              <w:pStyle w:val="TableTextBase"/>
            </w:pPr>
          </w:p>
        </w:tc>
        <w:tc>
          <w:tcPr>
            <w:tcW w:w="1260" w:type="dxa"/>
            <w:shd w:val="clear" w:color="auto" w:fill="auto"/>
          </w:tcPr>
          <w:p w14:paraId="741DDD16" w14:textId="77777777" w:rsidR="00D8138E" w:rsidRPr="00EA746C" w:rsidRDefault="00D8138E">
            <w:pPr>
              <w:pStyle w:val="TableTextBase"/>
            </w:pPr>
          </w:p>
        </w:tc>
      </w:tr>
      <w:tr w:rsidR="00D8138E" w:rsidRPr="00EA746C" w14:paraId="630885F9" w14:textId="77777777">
        <w:trPr>
          <w:trHeight w:val="567"/>
        </w:trPr>
        <w:tc>
          <w:tcPr>
            <w:tcW w:w="1736" w:type="dxa"/>
            <w:gridSpan w:val="2"/>
            <w:shd w:val="clear" w:color="auto" w:fill="auto"/>
            <w:vAlign w:val="center"/>
          </w:tcPr>
          <w:p w14:paraId="758A54D8" w14:textId="77777777" w:rsidR="00D8138E" w:rsidRPr="00EA746C" w:rsidRDefault="00D8138E">
            <w:pPr>
              <w:pStyle w:val="TableTextBase"/>
            </w:pPr>
          </w:p>
        </w:tc>
        <w:tc>
          <w:tcPr>
            <w:tcW w:w="2562" w:type="dxa"/>
            <w:gridSpan w:val="4"/>
            <w:shd w:val="clear" w:color="auto" w:fill="E6F2FF"/>
            <w:vAlign w:val="center"/>
          </w:tcPr>
          <w:p w14:paraId="56E5C885" w14:textId="77777777" w:rsidR="00D8138E" w:rsidRPr="00EA746C" w:rsidRDefault="00D8138E">
            <w:pPr>
              <w:pStyle w:val="TableColumnHeadingCentred"/>
              <w:rPr>
                <w:color w:val="000000" w:themeColor="text1"/>
              </w:rPr>
            </w:pPr>
            <w:r w:rsidRPr="00EA746C">
              <w:t>General government sector</w:t>
            </w:r>
          </w:p>
        </w:tc>
        <w:tc>
          <w:tcPr>
            <w:tcW w:w="882" w:type="dxa"/>
            <w:gridSpan w:val="2"/>
            <w:shd w:val="clear" w:color="auto" w:fill="auto"/>
            <w:vAlign w:val="center"/>
          </w:tcPr>
          <w:p w14:paraId="484A7F71" w14:textId="77777777" w:rsidR="00D8138E" w:rsidRPr="00EA746C" w:rsidRDefault="00D8138E">
            <w:pPr>
              <w:pStyle w:val="TableTextBase"/>
            </w:pPr>
          </w:p>
        </w:tc>
        <w:tc>
          <w:tcPr>
            <w:tcW w:w="2519" w:type="dxa"/>
            <w:gridSpan w:val="3"/>
            <w:shd w:val="clear" w:color="auto" w:fill="E6F2FF"/>
            <w:vAlign w:val="center"/>
          </w:tcPr>
          <w:p w14:paraId="6D07E5D1" w14:textId="4098302B" w:rsidR="00D8138E" w:rsidRPr="00EA746C" w:rsidRDefault="00D8138E">
            <w:pPr>
              <w:pStyle w:val="TableColumnHeadingCentred"/>
              <w:rPr>
                <w:color w:val="000000" w:themeColor="text1"/>
              </w:rPr>
            </w:pPr>
            <w:r w:rsidRPr="00EA746C">
              <w:t>Public non</w:t>
            </w:r>
            <w:r w:rsidR="00325E1E">
              <w:noBreakHyphen/>
            </w:r>
            <w:r w:rsidRPr="00EA746C">
              <w:t>financial corporations sector</w:t>
            </w:r>
          </w:p>
        </w:tc>
      </w:tr>
      <w:tr w:rsidR="00D8138E" w:rsidRPr="00EA746C" w14:paraId="13C65C86" w14:textId="77777777">
        <w:trPr>
          <w:trHeight w:val="567"/>
        </w:trPr>
        <w:tc>
          <w:tcPr>
            <w:tcW w:w="1736" w:type="dxa"/>
            <w:gridSpan w:val="2"/>
            <w:shd w:val="clear" w:color="auto" w:fill="auto"/>
          </w:tcPr>
          <w:p w14:paraId="590895D2" w14:textId="77777777" w:rsidR="00D8138E" w:rsidRPr="00EA746C" w:rsidRDefault="00D8138E">
            <w:pPr>
              <w:pStyle w:val="TableTextBase"/>
            </w:pPr>
          </w:p>
        </w:tc>
        <w:tc>
          <w:tcPr>
            <w:tcW w:w="2562" w:type="dxa"/>
            <w:gridSpan w:val="4"/>
            <w:shd w:val="clear" w:color="auto" w:fill="auto"/>
          </w:tcPr>
          <w:p w14:paraId="39687680" w14:textId="311690B4" w:rsidR="00D8138E" w:rsidRPr="00EA746C" w:rsidRDefault="00D8138E">
            <w:pPr>
              <w:pStyle w:val="TableTextLeft"/>
            </w:pPr>
            <w:r w:rsidRPr="00EA746C">
              <w:t>(Government departments and agencies that provide non</w:t>
            </w:r>
            <w:r w:rsidR="00325E1E">
              <w:noBreakHyphen/>
            </w:r>
            <w:r w:rsidRPr="00EA746C">
              <w:t>market public services, or involve the transfer or redistribution of income, and are funded mainly through taxes)</w:t>
            </w:r>
          </w:p>
        </w:tc>
        <w:tc>
          <w:tcPr>
            <w:tcW w:w="882" w:type="dxa"/>
            <w:gridSpan w:val="2"/>
            <w:shd w:val="clear" w:color="auto" w:fill="auto"/>
          </w:tcPr>
          <w:p w14:paraId="7796E4D6" w14:textId="77777777" w:rsidR="00D8138E" w:rsidRPr="00EA746C" w:rsidRDefault="00D8138E">
            <w:pPr>
              <w:pStyle w:val="TableTextBase"/>
            </w:pPr>
          </w:p>
        </w:tc>
        <w:tc>
          <w:tcPr>
            <w:tcW w:w="2519" w:type="dxa"/>
            <w:gridSpan w:val="3"/>
            <w:shd w:val="clear" w:color="auto" w:fill="auto"/>
          </w:tcPr>
          <w:p w14:paraId="72D5EBDC" w14:textId="77777777" w:rsidR="00D8138E" w:rsidRPr="00EA746C" w:rsidRDefault="00D8138E">
            <w:pPr>
              <w:pStyle w:val="TableTextLeft"/>
            </w:pPr>
            <w:r w:rsidRPr="00EA746C">
              <w:t>(Provide goods and services to consumers on a commercial basis, are funded largely by the sale of these goods and services and are generally legally distinguishable from the governments that own them)</w:t>
            </w:r>
          </w:p>
        </w:tc>
      </w:tr>
    </w:tbl>
    <w:p w14:paraId="3BD82F10" w14:textId="038B4943" w:rsidR="00D8138E" w:rsidRPr="00EA746C" w:rsidRDefault="00D8138E" w:rsidP="00D8138E">
      <w:pPr>
        <w:spacing w:after="200"/>
      </w:pPr>
      <w:r w:rsidRPr="00EA746C">
        <w:t>All entities are classified as GGS entities except for the following list of portfolio entities that are classified as PFC or PNFC (</w:t>
      </w:r>
      <w:r w:rsidR="00A96E0D">
        <w:t>Table </w:t>
      </w:r>
      <w:r w:rsidRPr="00EA746C">
        <w:t>A</w:t>
      </w:r>
      <w:r w:rsidR="009A548A">
        <w:t>10.</w:t>
      </w:r>
      <w:r w:rsidRPr="00EA746C">
        <w:t>1).</w:t>
      </w:r>
    </w:p>
    <w:p w14:paraId="0E933F19" w14:textId="22A02369" w:rsidR="00D8138E" w:rsidRPr="00EA746C" w:rsidRDefault="00D8138E" w:rsidP="00D8138E">
      <w:pPr>
        <w:rPr>
          <w:rStyle w:val="Hyperlink"/>
        </w:rPr>
      </w:pPr>
      <w:r w:rsidRPr="00EA746C">
        <w:t xml:space="preserve">A table which provides a full list of public sector principal entities under the current portfolio </w:t>
      </w:r>
      <w:r w:rsidRPr="00152CF3">
        <w:rPr>
          <w:color w:val="000000" w:themeColor="text1"/>
        </w:rPr>
        <w:t xml:space="preserve">structure is available on the Department of Finance website at </w:t>
      </w:r>
      <w:hyperlink r:id="rId20" w:history="1">
        <w:r w:rsidRPr="00D5053E">
          <w:rPr>
            <w:rStyle w:val="Hyperlink"/>
          </w:rPr>
          <w:t>https://www.finance.gov.au/government/managing</w:t>
        </w:r>
        <w:r w:rsidR="00325E1E">
          <w:rPr>
            <w:rStyle w:val="Hyperlink"/>
          </w:rPr>
          <w:noBreakHyphen/>
        </w:r>
        <w:r w:rsidRPr="00D5053E">
          <w:rPr>
            <w:rStyle w:val="Hyperlink"/>
          </w:rPr>
          <w:t>commonwealth</w:t>
        </w:r>
        <w:r w:rsidR="00325E1E">
          <w:rPr>
            <w:rStyle w:val="Hyperlink"/>
          </w:rPr>
          <w:noBreakHyphen/>
        </w:r>
        <w:r w:rsidRPr="00D5053E">
          <w:rPr>
            <w:rStyle w:val="Hyperlink"/>
          </w:rPr>
          <w:t>resources/structure</w:t>
        </w:r>
        <w:r w:rsidR="00325E1E">
          <w:rPr>
            <w:rStyle w:val="Hyperlink"/>
          </w:rPr>
          <w:noBreakHyphen/>
        </w:r>
        <w:r w:rsidRPr="00D5053E">
          <w:rPr>
            <w:rStyle w:val="Hyperlink"/>
          </w:rPr>
          <w:t>australian</w:t>
        </w:r>
        <w:r w:rsidR="00325E1E">
          <w:rPr>
            <w:rStyle w:val="Hyperlink"/>
          </w:rPr>
          <w:noBreakHyphen/>
        </w:r>
        <w:r w:rsidRPr="00D5053E">
          <w:rPr>
            <w:rStyle w:val="Hyperlink"/>
          </w:rPr>
          <w:t>government</w:t>
        </w:r>
        <w:r w:rsidR="00325E1E">
          <w:rPr>
            <w:rStyle w:val="Hyperlink"/>
          </w:rPr>
          <w:noBreakHyphen/>
        </w:r>
        <w:r w:rsidRPr="00D5053E">
          <w:rPr>
            <w:rStyle w:val="Hyperlink"/>
          </w:rPr>
          <w:t>public</w:t>
        </w:r>
        <w:r w:rsidR="00325E1E">
          <w:rPr>
            <w:rStyle w:val="Hyperlink"/>
          </w:rPr>
          <w:noBreakHyphen/>
        </w:r>
        <w:r w:rsidRPr="00D5053E">
          <w:rPr>
            <w:rStyle w:val="Hyperlink"/>
          </w:rPr>
          <w:t>sector/pgpa</w:t>
        </w:r>
        <w:r w:rsidR="00325E1E">
          <w:rPr>
            <w:rStyle w:val="Hyperlink"/>
          </w:rPr>
          <w:noBreakHyphen/>
        </w:r>
        <w:r w:rsidRPr="00D5053E">
          <w:rPr>
            <w:rStyle w:val="Hyperlink"/>
          </w:rPr>
          <w:t>act</w:t>
        </w:r>
        <w:r w:rsidR="00325E1E">
          <w:rPr>
            <w:rStyle w:val="Hyperlink"/>
          </w:rPr>
          <w:noBreakHyphen/>
        </w:r>
        <w:r w:rsidRPr="00D5053E">
          <w:rPr>
            <w:rStyle w:val="Hyperlink"/>
          </w:rPr>
          <w:t>flipchart</w:t>
        </w:r>
        <w:r w:rsidR="00325E1E">
          <w:rPr>
            <w:rStyle w:val="Hyperlink"/>
          </w:rPr>
          <w:noBreakHyphen/>
        </w:r>
        <w:r w:rsidRPr="00D5053E">
          <w:rPr>
            <w:rStyle w:val="Hyperlink"/>
          </w:rPr>
          <w:t>and</w:t>
        </w:r>
        <w:r w:rsidR="00325E1E">
          <w:rPr>
            <w:rStyle w:val="Hyperlink"/>
          </w:rPr>
          <w:noBreakHyphen/>
        </w:r>
        <w:r w:rsidRPr="00D5053E">
          <w:rPr>
            <w:rStyle w:val="Hyperlink"/>
          </w:rPr>
          <w:t>list</w:t>
        </w:r>
      </w:hyperlink>
      <w:r w:rsidRPr="00C32FD8">
        <w:rPr>
          <w:rStyle w:val="Hyperlink"/>
        </w:rPr>
        <w:t>.</w:t>
      </w:r>
    </w:p>
    <w:p w14:paraId="583AE7B7" w14:textId="4EEDA9AD" w:rsidR="00D8138E" w:rsidRPr="00EA746C" w:rsidRDefault="00D8138E" w:rsidP="00D8138E">
      <w:r w:rsidRPr="00EA746C">
        <w:br w:type="page"/>
      </w:r>
    </w:p>
    <w:p w14:paraId="66D832AB" w14:textId="65486E68" w:rsidR="00D8138E" w:rsidRPr="00EA746C" w:rsidRDefault="00A96E0D" w:rsidP="00D8138E">
      <w:pPr>
        <w:pStyle w:val="TableHeading"/>
        <w:keepNext w:val="0"/>
      </w:pPr>
      <w:r>
        <w:lastRenderedPageBreak/>
        <w:t>Table </w:t>
      </w:r>
      <w:r w:rsidR="00D8138E" w:rsidRPr="00EA746C">
        <w:t>A</w:t>
      </w:r>
      <w:r w:rsidR="009A548A">
        <w:t>10.</w:t>
      </w:r>
      <w:r w:rsidR="00D8138E" w:rsidRPr="00EA746C">
        <w:t>1: Entities outside of the general government sector – 202</w:t>
      </w:r>
      <w:r w:rsidR="0011655C">
        <w:t>3</w:t>
      </w:r>
      <w:r w:rsidR="00663990">
        <w:t>–</w:t>
      </w:r>
      <w:r w:rsidR="00D8138E" w:rsidRPr="00EA746C">
        <w:t>2</w:t>
      </w:r>
      <w:r w:rsidR="0011655C">
        <w:t>4</w:t>
      </w:r>
    </w:p>
    <w:tbl>
      <w:tblPr>
        <w:tblW w:w="7819" w:type="dxa"/>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BFBFBF"/>
        <w:tblLook w:val="01E0" w:firstRow="1" w:lastRow="1" w:firstColumn="1" w:lastColumn="1" w:noHBand="0" w:noVBand="0"/>
        <w:tblCaption w:val="Table"/>
      </w:tblPr>
      <w:tblGrid>
        <w:gridCol w:w="7819"/>
      </w:tblGrid>
      <w:tr w:rsidR="00D8138E" w:rsidRPr="00EA746C" w14:paraId="591E424A" w14:textId="77777777">
        <w:trPr>
          <w:trHeight w:val="454"/>
        </w:trPr>
        <w:tc>
          <w:tcPr>
            <w:tcW w:w="5000" w:type="pct"/>
            <w:shd w:val="clear" w:color="auto" w:fill="E6F2FF"/>
          </w:tcPr>
          <w:p w14:paraId="0F1CA623" w14:textId="77777777" w:rsidR="00D8138E" w:rsidRPr="00EA746C" w:rsidRDefault="00D8138E">
            <w:pPr>
              <w:pStyle w:val="BoxHeading"/>
            </w:pPr>
            <w:r w:rsidRPr="00EA746C">
              <w:t>Public financial corporations</w:t>
            </w:r>
          </w:p>
        </w:tc>
      </w:tr>
      <w:tr w:rsidR="00D8138E" w:rsidRPr="00EA746C" w14:paraId="25BA3143" w14:textId="77777777">
        <w:trPr>
          <w:trHeight w:val="454"/>
        </w:trPr>
        <w:tc>
          <w:tcPr>
            <w:tcW w:w="5000" w:type="pct"/>
            <w:shd w:val="clear" w:color="auto" w:fill="auto"/>
          </w:tcPr>
          <w:p w14:paraId="78E1E5D9" w14:textId="77777777" w:rsidR="00D8138E" w:rsidRPr="00EA746C" w:rsidRDefault="00D8138E" w:rsidP="003343FC">
            <w:pPr>
              <w:pStyle w:val="BoxHeading2"/>
            </w:pPr>
            <w:r w:rsidRPr="00EA746C">
              <w:t>Employment and Workplace Relations Portfolio</w:t>
            </w:r>
          </w:p>
          <w:p w14:paraId="0D3BB54A" w14:textId="77777777" w:rsidR="00D8138E" w:rsidRPr="00EA746C" w:rsidRDefault="00D8138E" w:rsidP="003D638A">
            <w:pPr>
              <w:pStyle w:val="BoxBullet"/>
            </w:pPr>
            <w:r w:rsidRPr="00EA746C">
              <w:t>Coal Mining Industry (Long Service Leave Funding) Corporation</w:t>
            </w:r>
          </w:p>
          <w:p w14:paraId="46A68A4F" w14:textId="77777777" w:rsidR="00D8138E" w:rsidRPr="00EA746C" w:rsidRDefault="00D8138E" w:rsidP="003343FC">
            <w:pPr>
              <w:pStyle w:val="BoxHeading2"/>
            </w:pPr>
            <w:r w:rsidRPr="00EA746C">
              <w:t>Foreign Affairs and Trade Portfolio</w:t>
            </w:r>
          </w:p>
          <w:p w14:paraId="7E14DBE7" w14:textId="5F246388" w:rsidR="00D8138E" w:rsidRPr="00EA746C" w:rsidRDefault="00D8138E" w:rsidP="003D638A">
            <w:pPr>
              <w:pStyle w:val="BoxBullet"/>
            </w:pPr>
            <w:r w:rsidRPr="00EA746C">
              <w:t>Export Finance and Insurance Corporation (Export Finance Australia)</w:t>
            </w:r>
          </w:p>
          <w:p w14:paraId="014519A5" w14:textId="77777777" w:rsidR="00D8138E" w:rsidRPr="00EA746C" w:rsidRDefault="00D8138E" w:rsidP="003343FC">
            <w:pPr>
              <w:pStyle w:val="BoxHeading2"/>
            </w:pPr>
            <w:r w:rsidRPr="00EA746C">
              <w:t>Industry, Science and Resources Portfolio</w:t>
            </w:r>
          </w:p>
          <w:p w14:paraId="52F571A2" w14:textId="77777777" w:rsidR="00D8138E" w:rsidRPr="00EA746C" w:rsidRDefault="00D8138E" w:rsidP="003D638A">
            <w:pPr>
              <w:pStyle w:val="BoxBullet"/>
            </w:pPr>
            <w:r w:rsidRPr="00EA746C">
              <w:t>CSIRO Coinvestment Fund Pty Ltd</w:t>
            </w:r>
          </w:p>
          <w:p w14:paraId="2D153184" w14:textId="77777777" w:rsidR="00D8138E" w:rsidRPr="00EA746C" w:rsidRDefault="00D8138E" w:rsidP="003D638A">
            <w:pPr>
              <w:pStyle w:val="BoxBullet"/>
            </w:pPr>
            <w:r w:rsidRPr="00EA746C">
              <w:t>CSIRO FollowOn Services Pty Ltd</w:t>
            </w:r>
          </w:p>
          <w:p w14:paraId="211955D8" w14:textId="77777777" w:rsidR="00D8138E" w:rsidRPr="00EA746C" w:rsidRDefault="00D8138E" w:rsidP="003D638A">
            <w:pPr>
              <w:pStyle w:val="BoxBullet"/>
            </w:pPr>
            <w:r w:rsidRPr="00EA746C">
              <w:t>CSIRO FollowOn Services 2 Pty Ltd</w:t>
            </w:r>
          </w:p>
          <w:p w14:paraId="63FEFE7B" w14:textId="77777777" w:rsidR="00D8138E" w:rsidRPr="00EA746C" w:rsidRDefault="00D8138E" w:rsidP="003D638A">
            <w:pPr>
              <w:pStyle w:val="BoxBullet"/>
            </w:pPr>
            <w:r w:rsidRPr="00EA746C">
              <w:t>CSIRO General Partner Pty Ltd</w:t>
            </w:r>
          </w:p>
          <w:p w14:paraId="4875ABAB" w14:textId="77777777" w:rsidR="00D8138E" w:rsidRPr="00EA746C" w:rsidRDefault="00D8138E" w:rsidP="003D638A">
            <w:pPr>
              <w:pStyle w:val="BoxBullet"/>
            </w:pPr>
            <w:r w:rsidRPr="00EA746C">
              <w:t>CSIRO General Partner 2 Pty Ltd</w:t>
            </w:r>
          </w:p>
          <w:p w14:paraId="6547AA0B" w14:textId="77777777" w:rsidR="00D8138E" w:rsidRDefault="00D8138E" w:rsidP="003D638A">
            <w:pPr>
              <w:pStyle w:val="BoxBullet"/>
            </w:pPr>
            <w:r w:rsidRPr="00EA746C">
              <w:t>CSIROGP Fund 2 Pty Ltd</w:t>
            </w:r>
          </w:p>
          <w:p w14:paraId="0953498E" w14:textId="77777777" w:rsidR="00D8138E" w:rsidRDefault="00D8138E" w:rsidP="003D638A">
            <w:pPr>
              <w:pStyle w:val="BoxBullet"/>
            </w:pPr>
            <w:r>
              <w:t>MS GP Fund 3 Pty Ltd</w:t>
            </w:r>
          </w:p>
          <w:p w14:paraId="5B399318" w14:textId="77777777" w:rsidR="00D8138E" w:rsidRDefault="00D8138E" w:rsidP="003D638A">
            <w:pPr>
              <w:pStyle w:val="BoxBullet"/>
            </w:pPr>
            <w:r>
              <w:t>MS NGS Pty Ltd</w:t>
            </w:r>
          </w:p>
          <w:p w14:paraId="4ACCD6A3" w14:textId="77777777" w:rsidR="00D8138E" w:rsidRDefault="00D8138E" w:rsidP="003D638A">
            <w:pPr>
              <w:pStyle w:val="BoxBullet"/>
            </w:pPr>
            <w:r>
              <w:t>MS Opportunity Fund Pty Ltd</w:t>
            </w:r>
          </w:p>
          <w:p w14:paraId="2F52F9AB" w14:textId="77777777" w:rsidR="00D8138E" w:rsidRPr="00EA746C" w:rsidRDefault="00D8138E" w:rsidP="003D638A">
            <w:pPr>
              <w:pStyle w:val="BoxBullet"/>
            </w:pPr>
            <w:r>
              <w:t>MS Parallel Fund Pty Ltd</w:t>
            </w:r>
          </w:p>
          <w:p w14:paraId="1D40CF6B" w14:textId="77777777" w:rsidR="00D8138E" w:rsidRPr="00EA746C" w:rsidRDefault="00D8138E" w:rsidP="003343FC">
            <w:pPr>
              <w:pStyle w:val="BoxHeading2"/>
            </w:pPr>
            <w:r w:rsidRPr="00EA746C">
              <w:t>Treasury Portfolio</w:t>
            </w:r>
          </w:p>
          <w:p w14:paraId="5A61FB7C" w14:textId="77777777" w:rsidR="00D8138E" w:rsidRPr="00EA746C" w:rsidRDefault="00D8138E" w:rsidP="003D638A">
            <w:pPr>
              <w:pStyle w:val="BoxBullet"/>
            </w:pPr>
            <w:r>
              <w:t>Australian Reinsurance Pool Corporation</w:t>
            </w:r>
          </w:p>
          <w:p w14:paraId="12B5D216" w14:textId="77777777" w:rsidR="003D638A" w:rsidRDefault="003D638A" w:rsidP="003D638A">
            <w:pPr>
              <w:pStyle w:val="BoxBullet"/>
            </w:pPr>
            <w:r>
              <w:t>Housing Australia*</w:t>
            </w:r>
          </w:p>
          <w:p w14:paraId="3364310B" w14:textId="77777777" w:rsidR="00D8138E" w:rsidRPr="00EA746C" w:rsidRDefault="00D8138E" w:rsidP="003D638A">
            <w:pPr>
              <w:pStyle w:val="BoxBullet"/>
            </w:pPr>
            <w:r>
              <w:t>Reserve Bank of Australia</w:t>
            </w:r>
          </w:p>
        </w:tc>
      </w:tr>
    </w:tbl>
    <w:p w14:paraId="7300AF01" w14:textId="77777777" w:rsidR="00D8138E" w:rsidRPr="00EA746C" w:rsidRDefault="00D8138E" w:rsidP="00D8138E">
      <w:pPr>
        <w:spacing w:before="0" w:after="160" w:line="259" w:lineRule="auto"/>
      </w:pPr>
      <w:r w:rsidRPr="00EA746C">
        <w:br w:type="page"/>
      </w:r>
    </w:p>
    <w:p w14:paraId="7C46A721" w14:textId="43821753" w:rsidR="00D8138E" w:rsidRPr="00043FDB" w:rsidRDefault="00A96E0D" w:rsidP="00D8138E">
      <w:pPr>
        <w:pStyle w:val="TableHeadingcontinued"/>
        <w:rPr>
          <w:rFonts w:ascii="Arial" w:hAnsi="Arial" w:cs="Arial"/>
        </w:rPr>
      </w:pPr>
      <w:r>
        <w:rPr>
          <w:rFonts w:ascii="Arial" w:hAnsi="Arial" w:cs="Arial"/>
        </w:rPr>
        <w:lastRenderedPageBreak/>
        <w:t>Table </w:t>
      </w:r>
      <w:r w:rsidR="00D8138E" w:rsidRPr="00043FDB">
        <w:rPr>
          <w:rFonts w:ascii="Arial" w:hAnsi="Arial" w:cs="Arial"/>
        </w:rPr>
        <w:t>A</w:t>
      </w:r>
      <w:r w:rsidR="009A548A">
        <w:rPr>
          <w:rFonts w:ascii="Arial" w:hAnsi="Arial" w:cs="Arial"/>
        </w:rPr>
        <w:t>10.</w:t>
      </w:r>
      <w:r w:rsidR="00D8138E" w:rsidRPr="00043FDB">
        <w:rPr>
          <w:rFonts w:ascii="Arial" w:hAnsi="Arial" w:cs="Arial"/>
        </w:rPr>
        <w:t>1: Entities outside of the general government sector – 202</w:t>
      </w:r>
      <w:r w:rsidR="009758C2">
        <w:rPr>
          <w:rFonts w:ascii="Arial" w:hAnsi="Arial" w:cs="Arial"/>
        </w:rPr>
        <w:t>3</w:t>
      </w:r>
      <w:r w:rsidR="00663990">
        <w:rPr>
          <w:rFonts w:ascii="Arial" w:hAnsi="Arial" w:cs="Arial"/>
        </w:rPr>
        <w:t>–</w:t>
      </w:r>
      <w:r w:rsidR="00D8138E" w:rsidRPr="00043FDB">
        <w:rPr>
          <w:rFonts w:ascii="Arial" w:hAnsi="Arial" w:cs="Arial"/>
        </w:rPr>
        <w:t>2</w:t>
      </w:r>
      <w:r w:rsidR="009758C2">
        <w:rPr>
          <w:rFonts w:ascii="Arial" w:hAnsi="Arial" w:cs="Arial"/>
        </w:rPr>
        <w:t xml:space="preserve">4 </w:t>
      </w:r>
      <w:r w:rsidR="00D8138E" w:rsidRPr="00043FDB">
        <w:rPr>
          <w:rFonts w:ascii="Arial" w:hAnsi="Arial" w:cs="Arial"/>
        </w:rPr>
        <w:t>(continued)</w:t>
      </w:r>
    </w:p>
    <w:tbl>
      <w:tblPr>
        <w:tblW w:w="7819" w:type="dxa"/>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BFBFBF"/>
        <w:tblLook w:val="01E0" w:firstRow="1" w:lastRow="1" w:firstColumn="1" w:lastColumn="1" w:noHBand="0" w:noVBand="0"/>
        <w:tblCaption w:val="Table"/>
      </w:tblPr>
      <w:tblGrid>
        <w:gridCol w:w="7819"/>
      </w:tblGrid>
      <w:tr w:rsidR="00D8138E" w:rsidRPr="00EA746C" w14:paraId="70E46B90" w14:textId="77777777">
        <w:trPr>
          <w:trHeight w:val="454"/>
        </w:trPr>
        <w:tc>
          <w:tcPr>
            <w:tcW w:w="5000" w:type="pct"/>
            <w:shd w:val="clear" w:color="auto" w:fill="E6F2FF"/>
          </w:tcPr>
          <w:p w14:paraId="3D86A13D" w14:textId="33F58E64" w:rsidR="00D8138E" w:rsidRPr="00EA746C" w:rsidRDefault="00D8138E">
            <w:pPr>
              <w:pStyle w:val="BoxHeading"/>
            </w:pPr>
            <w:r w:rsidRPr="00EA746C">
              <w:t>Public non</w:t>
            </w:r>
            <w:r w:rsidR="00325E1E">
              <w:noBreakHyphen/>
            </w:r>
            <w:r w:rsidRPr="00EA746C">
              <w:t>financial corporations</w:t>
            </w:r>
          </w:p>
        </w:tc>
      </w:tr>
      <w:tr w:rsidR="00D8138E" w:rsidRPr="00EA746C" w14:paraId="2D11F722" w14:textId="77777777">
        <w:trPr>
          <w:trHeight w:val="454"/>
        </w:trPr>
        <w:tc>
          <w:tcPr>
            <w:tcW w:w="5000" w:type="pct"/>
            <w:shd w:val="clear" w:color="auto" w:fill="auto"/>
          </w:tcPr>
          <w:p w14:paraId="05FF5B51" w14:textId="77777777" w:rsidR="00D8138E" w:rsidRPr="00EA746C" w:rsidRDefault="00D8138E" w:rsidP="003343FC">
            <w:pPr>
              <w:pStyle w:val="BoxHeading2"/>
            </w:pPr>
            <w:r w:rsidRPr="00EA746C">
              <w:t>Climate Change, Energy, the Environment and Water Portfolio</w:t>
            </w:r>
          </w:p>
          <w:p w14:paraId="305EEA66" w14:textId="77777777" w:rsidR="00D8138E" w:rsidRPr="00EA746C" w:rsidRDefault="00D8138E">
            <w:pPr>
              <w:pStyle w:val="BoxBullet"/>
            </w:pPr>
            <w:r>
              <w:t>Snowy Hydro Limited</w:t>
            </w:r>
          </w:p>
          <w:p w14:paraId="33C20147" w14:textId="686C4088" w:rsidR="00B3389A" w:rsidRPr="00EA746C" w:rsidRDefault="00D8138E" w:rsidP="00F958EE">
            <w:pPr>
              <w:pStyle w:val="BoxBullet"/>
              <w:numPr>
                <w:ilvl w:val="0"/>
                <w:numId w:val="0"/>
              </w:numPr>
            </w:pPr>
            <w:r w:rsidRPr="00F958EE">
              <w:rPr>
                <w:rFonts w:ascii="Arial" w:hAnsi="Arial"/>
                <w:bCs/>
                <w:sz w:val="20"/>
                <w:szCs w:val="14"/>
              </w:rPr>
              <w:t>Finance Portfolio</w:t>
            </w:r>
            <w:r w:rsidR="00FF6915" w:rsidRPr="0003371A">
              <w:rPr>
                <w:rFonts w:asciiTheme="majorHAnsi" w:hAnsiTheme="majorHAnsi" w:cstheme="majorHAnsi"/>
                <w:shd w:val="clear" w:color="auto" w:fill="FFFFFF"/>
                <w:vertAlign w:val="superscript"/>
              </w:rPr>
              <w:t>†</w:t>
            </w:r>
          </w:p>
          <w:p w14:paraId="42EC6BAF" w14:textId="77777777" w:rsidR="00D8138E" w:rsidRPr="00EA746C" w:rsidRDefault="00D8138E">
            <w:pPr>
              <w:pStyle w:val="BoxBullet"/>
            </w:pPr>
            <w:r>
              <w:t>ASC Pty Ltd</w:t>
            </w:r>
          </w:p>
          <w:p w14:paraId="02EBFD48" w14:textId="77777777" w:rsidR="00D8138E" w:rsidRPr="00EA746C" w:rsidRDefault="00D8138E">
            <w:pPr>
              <w:pStyle w:val="BoxBullet"/>
            </w:pPr>
            <w:r>
              <w:t>Australian Naval Infrastructure Pty Ltd</w:t>
            </w:r>
          </w:p>
          <w:p w14:paraId="32606B6E" w14:textId="77777777" w:rsidR="00D8138E" w:rsidRPr="00EA746C" w:rsidRDefault="00D8138E" w:rsidP="003343FC">
            <w:pPr>
              <w:pStyle w:val="BoxHeading2"/>
            </w:pPr>
            <w:r w:rsidRPr="00EA746C">
              <w:t>Industry, Science and Resources Portfolio</w:t>
            </w:r>
          </w:p>
          <w:p w14:paraId="38061E40" w14:textId="07277C12" w:rsidR="00D8138E" w:rsidRPr="00EA746C" w:rsidRDefault="00D8138E">
            <w:pPr>
              <w:pStyle w:val="BoxBullet"/>
            </w:pPr>
            <w:r>
              <w:t>ANSTO Nuclear Medicine Pty Lt</w:t>
            </w:r>
            <w:r w:rsidR="00182F99">
              <w:t>d</w:t>
            </w:r>
            <w:r w:rsidR="001068AD" w:rsidRPr="0003371A">
              <w:rPr>
                <w:rFonts w:asciiTheme="minorHAnsi" w:hAnsiTheme="minorHAnsi" w:cs="Segoe UI"/>
                <w:shd w:val="clear" w:color="auto" w:fill="FFFFFF"/>
                <w:vertAlign w:val="superscript"/>
              </w:rPr>
              <w:t>‡</w:t>
            </w:r>
          </w:p>
          <w:p w14:paraId="5DC34C13" w14:textId="77777777" w:rsidR="00D8138E" w:rsidRPr="00EA746C" w:rsidRDefault="00D8138E" w:rsidP="003343FC">
            <w:pPr>
              <w:pStyle w:val="BoxHeading2"/>
            </w:pPr>
            <w:r w:rsidRPr="00EA746C">
              <w:t>Infrastructure, Transport, Regional Development, Communications and the Arts Portfolio</w:t>
            </w:r>
          </w:p>
          <w:p w14:paraId="284A520A" w14:textId="77777777" w:rsidR="00D8138E" w:rsidRPr="00EA746C" w:rsidRDefault="00D8138E">
            <w:pPr>
              <w:pStyle w:val="BoxBullet"/>
            </w:pPr>
            <w:r>
              <w:t>Airservices Australia</w:t>
            </w:r>
          </w:p>
          <w:p w14:paraId="463A1B01" w14:textId="77777777" w:rsidR="00D8138E" w:rsidRPr="00EA746C" w:rsidRDefault="00D8138E">
            <w:pPr>
              <w:pStyle w:val="BoxBullet"/>
            </w:pPr>
            <w:r>
              <w:t>Australian Postal Corporation (Australia Post)</w:t>
            </w:r>
          </w:p>
          <w:p w14:paraId="3E2AD93E" w14:textId="77777777" w:rsidR="00D8138E" w:rsidRPr="00EA746C" w:rsidRDefault="00D8138E">
            <w:pPr>
              <w:pStyle w:val="BoxBullet"/>
            </w:pPr>
            <w:r>
              <w:t>Australian Rail Track Corporation Limited</w:t>
            </w:r>
          </w:p>
          <w:p w14:paraId="0CDCFE3C" w14:textId="77777777" w:rsidR="00D8138E" w:rsidRPr="00EA746C" w:rsidRDefault="00D8138E">
            <w:pPr>
              <w:pStyle w:val="BoxBullet"/>
            </w:pPr>
            <w:r>
              <w:t>National Intermodal Corporation Limited</w:t>
            </w:r>
          </w:p>
          <w:p w14:paraId="15120E0E" w14:textId="52CEC78A" w:rsidR="00D8138E" w:rsidRPr="00EA746C" w:rsidRDefault="00D8138E">
            <w:pPr>
              <w:pStyle w:val="BoxBullet"/>
            </w:pPr>
            <w:r>
              <w:t>NBN Co L</w:t>
            </w:r>
            <w:r w:rsidR="00B433F7">
              <w:t>imited</w:t>
            </w:r>
          </w:p>
          <w:p w14:paraId="70B1E2C9" w14:textId="77777777" w:rsidR="00D8138E" w:rsidRPr="00EA746C" w:rsidRDefault="00D8138E">
            <w:pPr>
              <w:pStyle w:val="BoxBullet"/>
              <w:rPr>
                <w:rFonts w:ascii="Arial" w:hAnsi="Arial"/>
                <w:bCs/>
                <w:szCs w:val="22"/>
              </w:rPr>
            </w:pPr>
            <w:r>
              <w:t>WSA Co Ltd</w:t>
            </w:r>
          </w:p>
          <w:p w14:paraId="73561F98" w14:textId="77777777" w:rsidR="00D8138E" w:rsidRPr="00EA746C" w:rsidRDefault="00D8138E" w:rsidP="003343FC">
            <w:pPr>
              <w:pStyle w:val="BoxHeading2"/>
            </w:pPr>
            <w:r w:rsidRPr="00EA746C">
              <w:t>Prime Minister and Cabinet Portfolio</w:t>
            </w:r>
          </w:p>
          <w:p w14:paraId="4A06FDAF" w14:textId="77777777" w:rsidR="00D8138E" w:rsidRPr="00EA746C" w:rsidRDefault="00D8138E">
            <w:pPr>
              <w:pStyle w:val="BoxBullet"/>
            </w:pPr>
            <w:r>
              <w:t>Voyages Indigenous Tourism Australia Pty Ltd</w:t>
            </w:r>
          </w:p>
          <w:p w14:paraId="093EF8F8" w14:textId="77777777" w:rsidR="00D8138E" w:rsidRPr="00EA746C" w:rsidRDefault="00D8138E" w:rsidP="003343FC">
            <w:pPr>
              <w:pStyle w:val="BoxHeading2"/>
            </w:pPr>
            <w:r w:rsidRPr="00EA746C">
              <w:t>Social Services Portfolio</w:t>
            </w:r>
          </w:p>
          <w:p w14:paraId="4FE20621" w14:textId="77777777" w:rsidR="00D8138E" w:rsidRPr="00EA746C" w:rsidRDefault="00D8138E">
            <w:pPr>
              <w:pStyle w:val="BoxBullet"/>
              <w:rPr>
                <w:rFonts w:ascii="Arial" w:hAnsi="Arial"/>
                <w:bCs/>
                <w:szCs w:val="22"/>
              </w:rPr>
            </w:pPr>
            <w:r>
              <w:t>Australian Hearing Services (Hearing Australia)</w:t>
            </w:r>
          </w:p>
        </w:tc>
      </w:tr>
    </w:tbl>
    <w:p w14:paraId="5BD823CE" w14:textId="5BEBE69C" w:rsidR="00AD232F" w:rsidRPr="001703FB" w:rsidRDefault="00D8138E" w:rsidP="004D5358">
      <w:pPr>
        <w:pStyle w:val="ChartandTableFootnote"/>
        <w:tabs>
          <w:tab w:val="clear" w:pos="709"/>
        </w:tabs>
        <w:ind w:left="284" w:hanging="284"/>
        <w:rPr>
          <w:rFonts w:cs="Arial"/>
          <w:szCs w:val="16"/>
        </w:rPr>
      </w:pPr>
      <w:r w:rsidRPr="001703FB">
        <w:rPr>
          <w:rFonts w:cs="Arial"/>
          <w:szCs w:val="16"/>
        </w:rPr>
        <w:t xml:space="preserve">* </w:t>
      </w:r>
      <w:r w:rsidRPr="001703FB">
        <w:rPr>
          <w:rFonts w:cs="Arial"/>
          <w:szCs w:val="16"/>
        </w:rPr>
        <w:tab/>
      </w:r>
      <w:r w:rsidR="008235F2" w:rsidRPr="001703FB">
        <w:rPr>
          <w:rFonts w:cs="Arial"/>
          <w:szCs w:val="16"/>
        </w:rPr>
        <w:t>In October 2023, the National Housing Finance and Investment Corporation was renamed Housing Australia. Housing Australia, a corporate Commonwealth entity, operates an affordable housing bond aggregator to encourage greater private and institutional investment and provide cheaper and longer term finance to registered providers of affordable housing. The Housing Australia Bond Aggregator is a PFC. Housing Australia also administers the National Housing Infrastructure Facility (the Facility). The Facility is included in the GGS.</w:t>
      </w:r>
      <w:r w:rsidR="004D5358" w:rsidRPr="001703FB" w:rsidDel="004D5358">
        <w:rPr>
          <w:rFonts w:cs="Arial"/>
          <w:szCs w:val="16"/>
        </w:rPr>
        <w:t xml:space="preserve"> </w:t>
      </w:r>
    </w:p>
    <w:p w14:paraId="4293DBE8" w14:textId="2C1AA00F" w:rsidR="00895143" w:rsidRPr="001703FB" w:rsidRDefault="001068AD" w:rsidP="009C3420">
      <w:pPr>
        <w:pStyle w:val="ChartandTableFootnote"/>
        <w:tabs>
          <w:tab w:val="clear" w:pos="709"/>
        </w:tabs>
        <w:spacing w:before="0"/>
        <w:ind w:left="284" w:hanging="284"/>
        <w:rPr>
          <w:rFonts w:cs="Arial"/>
          <w:szCs w:val="16"/>
        </w:rPr>
      </w:pPr>
      <w:r w:rsidRPr="001703FB">
        <w:rPr>
          <w:rFonts w:cs="Arial"/>
          <w:color w:val="auto"/>
          <w:szCs w:val="16"/>
          <w:shd w:val="clear" w:color="auto" w:fill="FFFFFF"/>
          <w:vertAlign w:val="superscript"/>
        </w:rPr>
        <w:t>†</w:t>
      </w:r>
      <w:r w:rsidR="00F93FF4" w:rsidRPr="001703FB">
        <w:rPr>
          <w:rFonts w:cs="Arial"/>
          <w:color w:val="FF0000"/>
          <w:szCs w:val="16"/>
          <w:vertAlign w:val="superscript"/>
        </w:rPr>
        <w:tab/>
      </w:r>
      <w:r w:rsidR="008F3993" w:rsidRPr="001703FB">
        <w:rPr>
          <w:rFonts w:cs="Arial"/>
          <w:szCs w:val="16"/>
        </w:rPr>
        <w:t>On 28 July 2023, the Australian Government acquired a non</w:t>
      </w:r>
      <w:r w:rsidR="00325E1E">
        <w:rPr>
          <w:rFonts w:cs="Arial"/>
          <w:szCs w:val="16"/>
        </w:rPr>
        <w:noBreakHyphen/>
      </w:r>
      <w:r w:rsidR="00290DEF" w:rsidRPr="001703FB">
        <w:rPr>
          <w:rFonts w:cs="Arial"/>
          <w:szCs w:val="16"/>
        </w:rPr>
        <w:t>controlling</w:t>
      </w:r>
      <w:r w:rsidR="00C8623E" w:rsidRPr="001703FB">
        <w:rPr>
          <w:rFonts w:cs="Arial"/>
          <w:szCs w:val="16"/>
        </w:rPr>
        <w:t xml:space="preserve"> (minority) ownership </w:t>
      </w:r>
      <w:r w:rsidR="00072E54" w:rsidRPr="001703FB">
        <w:rPr>
          <w:rFonts w:cs="Arial"/>
          <w:szCs w:val="16"/>
        </w:rPr>
        <w:t>interest in</w:t>
      </w:r>
      <w:r w:rsidR="00E729CC" w:rsidRPr="001703FB">
        <w:rPr>
          <w:rFonts w:cs="Arial"/>
          <w:szCs w:val="16"/>
        </w:rPr>
        <w:t xml:space="preserve"> </w:t>
      </w:r>
      <w:r w:rsidR="00072E54" w:rsidRPr="001703FB">
        <w:rPr>
          <w:rFonts w:cs="Arial"/>
          <w:szCs w:val="16"/>
        </w:rPr>
        <w:t>CEA Technologies Pty Limited (CEA). The Australian Government</w:t>
      </w:r>
      <w:r w:rsidR="00325E1E">
        <w:rPr>
          <w:rFonts w:cs="Arial"/>
          <w:szCs w:val="16"/>
        </w:rPr>
        <w:t>’</w:t>
      </w:r>
      <w:r w:rsidR="00072E54" w:rsidRPr="001703FB">
        <w:rPr>
          <w:rFonts w:cs="Arial"/>
          <w:szCs w:val="16"/>
        </w:rPr>
        <w:t>s ownership interest in CEA will increase in 2024</w:t>
      </w:r>
      <w:r w:rsidR="00325E1E">
        <w:rPr>
          <w:rFonts w:cs="Arial"/>
          <w:szCs w:val="16"/>
        </w:rPr>
        <w:noBreakHyphen/>
      </w:r>
      <w:r w:rsidR="00072E54" w:rsidRPr="001703FB">
        <w:rPr>
          <w:rFonts w:cs="Arial"/>
          <w:szCs w:val="16"/>
        </w:rPr>
        <w:t xml:space="preserve">25, and CEA will become majority owned Commonwealth </w:t>
      </w:r>
      <w:r w:rsidR="00AD232F" w:rsidRPr="001703FB">
        <w:rPr>
          <w:rFonts w:cs="Arial"/>
          <w:szCs w:val="16"/>
        </w:rPr>
        <w:t>company from 2024</w:t>
      </w:r>
      <w:r w:rsidR="00325E1E">
        <w:rPr>
          <w:rFonts w:cs="Arial"/>
          <w:szCs w:val="16"/>
        </w:rPr>
        <w:noBreakHyphen/>
      </w:r>
      <w:r w:rsidR="00AD232F" w:rsidRPr="001703FB">
        <w:rPr>
          <w:rFonts w:cs="Arial"/>
          <w:szCs w:val="16"/>
        </w:rPr>
        <w:t xml:space="preserve">25. </w:t>
      </w:r>
    </w:p>
    <w:p w14:paraId="2B9136B8" w14:textId="6C9F88DD" w:rsidR="007F3977" w:rsidRPr="001703FB" w:rsidRDefault="001068AD" w:rsidP="009C3420">
      <w:pPr>
        <w:spacing w:before="0" w:after="0"/>
        <w:ind w:left="284" w:hanging="284"/>
        <w:rPr>
          <w:rFonts w:ascii="Arial" w:hAnsi="Arial" w:cs="Arial"/>
          <w:sz w:val="16"/>
          <w:szCs w:val="16"/>
        </w:rPr>
      </w:pPr>
      <w:r w:rsidRPr="001703FB">
        <w:rPr>
          <w:rFonts w:ascii="Arial" w:hAnsi="Arial" w:cs="Arial"/>
          <w:sz w:val="16"/>
          <w:szCs w:val="16"/>
          <w:shd w:val="clear" w:color="auto" w:fill="FFFFFF"/>
          <w:vertAlign w:val="superscript"/>
        </w:rPr>
        <w:t>‡</w:t>
      </w:r>
      <w:r w:rsidR="009C3420" w:rsidRPr="001703FB">
        <w:rPr>
          <w:rFonts w:ascii="Arial" w:hAnsi="Arial" w:cs="Arial"/>
          <w:color w:val="414141"/>
          <w:sz w:val="16"/>
          <w:szCs w:val="16"/>
          <w:shd w:val="clear" w:color="auto" w:fill="FFFFFF"/>
        </w:rPr>
        <w:tab/>
      </w:r>
      <w:r w:rsidR="007F3977" w:rsidRPr="001703FB">
        <w:rPr>
          <w:rFonts w:ascii="Arial" w:hAnsi="Arial" w:cs="Arial"/>
          <w:color w:val="000000"/>
          <w:sz w:val="16"/>
          <w:szCs w:val="16"/>
        </w:rPr>
        <w:t>ANSTO Nuclear Medicine Pty Ltd is scheduled to cease before 30 June 2024.</w:t>
      </w:r>
    </w:p>
    <w:p w14:paraId="43000BFE" w14:textId="77777777" w:rsidR="00D8138E" w:rsidRPr="003C3505" w:rsidRDefault="00D8138E" w:rsidP="00E03D71">
      <w:pPr>
        <w:pBdr>
          <w:bottom w:val="single" w:sz="4" w:space="2" w:color="626A77" w:themeColor="background2" w:themeShade="E6"/>
        </w:pBdr>
        <w:spacing w:before="0" w:line="240" w:lineRule="auto"/>
        <w:rPr>
          <w:sz w:val="4"/>
          <w:szCs w:val="4"/>
        </w:rPr>
      </w:pPr>
    </w:p>
    <w:p w14:paraId="2871395E" w14:textId="4D62DC43" w:rsidR="00A11F5D" w:rsidRPr="00BA3723" w:rsidRDefault="00A11F5D" w:rsidP="00BA3723"/>
    <w:sectPr w:rsidR="00A11F5D" w:rsidRPr="00BA3723" w:rsidSect="00876738">
      <w:headerReference w:type="even" r:id="rId21"/>
      <w:headerReference w:type="default" r:id="rId22"/>
      <w:footerReference w:type="even" r:id="rId23"/>
      <w:footerReference w:type="default" r:id="rId24"/>
      <w:headerReference w:type="first" r:id="rId25"/>
      <w:footerReference w:type="first" r:id="rId26"/>
      <w:footnotePr>
        <w:numStart w:val="41"/>
      </w:footnotePr>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717E" w14:textId="77777777" w:rsidR="00943542" w:rsidRDefault="00943542" w:rsidP="00E40261">
      <w:pPr>
        <w:spacing w:after="0" w:line="240" w:lineRule="auto"/>
      </w:pPr>
      <w:r>
        <w:separator/>
      </w:r>
    </w:p>
  </w:endnote>
  <w:endnote w:type="continuationSeparator" w:id="0">
    <w:p w14:paraId="26A3B3EC" w14:textId="77777777" w:rsidR="00943542" w:rsidRDefault="00943542" w:rsidP="00E40261">
      <w:pPr>
        <w:spacing w:after="0" w:line="240" w:lineRule="auto"/>
      </w:pPr>
      <w:r>
        <w:continuationSeparator/>
      </w:r>
    </w:p>
  </w:endnote>
  <w:endnote w:type="continuationNotice" w:id="1">
    <w:p w14:paraId="5FC7BE5F" w14:textId="77777777" w:rsidR="00943542" w:rsidRDefault="009435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05D" w14:textId="77777777" w:rsidR="00D8138E" w:rsidRDefault="00D8138E">
    <w:pPr>
      <w:pStyle w:val="Footer"/>
    </w:pPr>
    <w:r w:rsidRPr="00DD14C0">
      <w:rPr>
        <w:noProof/>
        <w:sz w:val="32"/>
        <w:szCs w:val="32"/>
      </w:rPr>
      <mc:AlternateContent>
        <mc:Choice Requires="wps">
          <w:drawing>
            <wp:anchor distT="0" distB="0" distL="0" distR="0" simplePos="0" relativeHeight="251658243" behindDoc="0" locked="1" layoutInCell="0" allowOverlap="1" wp14:anchorId="1A051AF5" wp14:editId="50E7EF36">
              <wp:simplePos x="0" y="0"/>
              <wp:positionH relativeFrom="page">
                <wp:posOffset>1323975</wp:posOffset>
              </wp:positionH>
              <wp:positionV relativeFrom="page">
                <wp:posOffset>9906000</wp:posOffset>
              </wp:positionV>
              <wp:extent cx="4910455" cy="695325"/>
              <wp:effectExtent l="0" t="0" r="4445" b="9525"/>
              <wp:wrapSquare wrapText="bothSides"/>
              <wp:docPr id="65" name="Text Box 65"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7A92" w14:textId="2C7A17E8" w:rsidR="00D8138E" w:rsidRDefault="00E93018">
                          <w:pPr>
                            <w:pStyle w:val="FileProperties"/>
                            <w:tabs>
                              <w:tab w:val="right" w:pos="7711"/>
                            </w:tabs>
                          </w:pPr>
                          <w:r>
                            <w:fldChar w:fldCharType="begin"/>
                          </w:r>
                          <w:r>
                            <w:instrText>FILENAME  \* MERGEFORMAT</w:instrText>
                          </w:r>
                          <w:r>
                            <w:fldChar w:fldCharType="separate"/>
                          </w:r>
                          <w:r w:rsidR="00407E5F">
                            <w:rPr>
                              <w:noProof/>
                            </w:rPr>
                            <w:t>10_BP1_BS10.docx</w:t>
                          </w:r>
                          <w:r>
                            <w:rPr>
                              <w:noProof/>
                            </w:rPr>
                            <w:fldChar w:fldCharType="end"/>
                          </w:r>
                          <w:r w:rsidR="00D8138E">
                            <w:tab/>
                            <w:t xml:space="preserve">Printed:  </w:t>
                          </w:r>
                          <w:r w:rsidR="00D8138E">
                            <w:fldChar w:fldCharType="begin"/>
                          </w:r>
                          <w:r w:rsidR="00D8138E">
                            <w:instrText xml:space="preserve"> PRINTDATE \@ “d/MM/yy HH:mm:ss” \* MERGEFORMAT </w:instrText>
                          </w:r>
                          <w:r w:rsidR="00D8138E">
                            <w:fldChar w:fldCharType="separate"/>
                          </w:r>
                          <w:r w:rsidR="00407E5F">
                            <w:rPr>
                              <w:noProof/>
                            </w:rPr>
                            <w:t>12/05/24 12:33:00</w:t>
                          </w:r>
                          <w:r w:rsidR="00D8138E">
                            <w:rPr>
                              <w:noProof/>
                            </w:rPr>
                            <w:fldChar w:fldCharType="end"/>
                          </w:r>
                        </w:p>
                        <w:p w14:paraId="5740FB92" w14:textId="77777777" w:rsidR="00D8138E" w:rsidRDefault="00D8138E">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051AF5" id="_x0000_t202" coordsize="21600,21600" o:spt="202" path="m,l,21600r21600,l21600,xe">
              <v:stroke joinstyle="miter"/>
              <v:path gradientshapeok="t" o:connecttype="rect"/>
            </v:shapetype>
            <v:shape id="Text Box 65" o:spid="_x0000_s1027" type="#_x0000_t202" alt="Portrait Classification Footer" style="position:absolute;left:0;text-align:left;margin-left:104.25pt;margin-top:780pt;width:386.65pt;height:54.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" o:allowincell="f" filled="f" stroked="f">
              <v:textbox inset="0,0,0,0">
                <w:txbxContent>
                  <w:p w14:paraId="47CE7A92" w14:textId="2C7A17E8" w:rsidR="00D8138E" w:rsidRDefault="00000000">
                    <w:pPr>
                      <w:pStyle w:val="FileProperties"/>
                      <w:tabs>
                        <w:tab w:val="right" w:pos="7711"/>
                      </w:tabs>
                    </w:pPr>
                    <w:fldSimple w:instr="FILENAME  \* MERGEFORMAT">
                      <w:r w:rsidR="00407E5F">
                        <w:rPr>
                          <w:noProof/>
                        </w:rPr>
                        <w:t>10_BP1_BS10.docx</w:t>
                      </w:r>
                    </w:fldSimple>
                    <w:r w:rsidR="00D8138E">
                      <w:tab/>
                      <w:t xml:space="preserve">Printed:  </w:t>
                    </w:r>
                    <w:r w:rsidR="00D8138E">
                      <w:fldChar w:fldCharType="begin"/>
                    </w:r>
                    <w:r w:rsidR="00D8138E">
                      <w:instrText xml:space="preserve"> PRINTDATE \@ “d/MM/yy HH:mm:ss” \* MERGEFORMAT </w:instrText>
                    </w:r>
                    <w:r w:rsidR="00D8138E">
                      <w:fldChar w:fldCharType="separate"/>
                    </w:r>
                    <w:r w:rsidR="00407E5F">
                      <w:rPr>
                        <w:noProof/>
                      </w:rPr>
                      <w:t>12/05/24 12:33:00</w:t>
                    </w:r>
                    <w:r w:rsidR="00D8138E">
                      <w:rPr>
                        <w:noProof/>
                      </w:rPr>
                      <w:fldChar w:fldCharType="end"/>
                    </w:r>
                  </w:p>
                  <w:p w14:paraId="5740FB92" w14:textId="77777777" w:rsidR="00D8138E" w:rsidRDefault="00D8138E">
                    <w:pPr>
                      <w:pStyle w:val="Classification"/>
                    </w:pPr>
                    <w:r>
                      <w:t xml:space="preserve">: </w:t>
                    </w:r>
                    <w:r>
                      <w:br/>
                      <w:t>Sensitive: Cabinet</w:t>
                    </w:r>
                  </w:p>
                </w:txbxContent>
              </v:textbox>
              <w10:wrap type="square" anchorx="page" anchory="page"/>
              <w10:anchorlock/>
            </v:shape>
          </w:pict>
        </mc:Fallback>
      </mc:AlternateContent>
    </w:r>
    <w:r w:rsidRPr="00DD14C0">
      <w:rPr>
        <w:noProof/>
        <w:sz w:val="32"/>
        <w:szCs w:val="32"/>
      </w:rPr>
      <mc:AlternateContent>
        <mc:Choice Requires="wps">
          <w:drawing>
            <wp:anchor distT="0" distB="0" distL="0" distR="0" simplePos="0" relativeHeight="251658242" behindDoc="0" locked="1" layoutInCell="0" allowOverlap="1" wp14:anchorId="6CD0CC06" wp14:editId="212FE11E">
              <wp:simplePos x="0" y="0"/>
              <wp:positionH relativeFrom="page">
                <wp:posOffset>1323975</wp:posOffset>
              </wp:positionH>
              <wp:positionV relativeFrom="page">
                <wp:posOffset>9906000</wp:posOffset>
              </wp:positionV>
              <wp:extent cx="4910455" cy="695325"/>
              <wp:effectExtent l="0" t="0" r="4445" b="9525"/>
              <wp:wrapSquare wrapText="bothSides"/>
              <wp:docPr id="11" name="Text Box 11"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E348" w14:textId="668D7510" w:rsidR="00D8138E" w:rsidRDefault="00E93018">
                          <w:pPr>
                            <w:pStyle w:val="FileProperties"/>
                            <w:tabs>
                              <w:tab w:val="right" w:pos="7711"/>
                            </w:tabs>
                          </w:pPr>
                          <w:r>
                            <w:fldChar w:fldCharType="begin"/>
                          </w:r>
                          <w:r>
                            <w:instrText>FILENAME  \* MERGEFORMAT</w:instrText>
                          </w:r>
                          <w:r>
                            <w:fldChar w:fldCharType="separate"/>
                          </w:r>
                          <w:r w:rsidR="00407E5F">
                            <w:rPr>
                              <w:noProof/>
                            </w:rPr>
                            <w:t>10_BP1_BS10.docx</w:t>
                          </w:r>
                          <w:r>
                            <w:rPr>
                              <w:noProof/>
                            </w:rPr>
                            <w:fldChar w:fldCharType="end"/>
                          </w:r>
                          <w:r w:rsidR="00D8138E">
                            <w:tab/>
                            <w:t xml:space="preserve">Printed:  </w:t>
                          </w:r>
                          <w:r w:rsidR="00D8138E">
                            <w:fldChar w:fldCharType="begin"/>
                          </w:r>
                          <w:r w:rsidR="00D8138E">
                            <w:instrText xml:space="preserve"> PRINTDATE \@ “d/MM/yy HH:mm:ss” \* MERGEFORMAT </w:instrText>
                          </w:r>
                          <w:r w:rsidR="00D8138E">
                            <w:fldChar w:fldCharType="separate"/>
                          </w:r>
                          <w:r w:rsidR="00407E5F">
                            <w:rPr>
                              <w:noProof/>
                            </w:rPr>
                            <w:t>12/05/24 12:33:00</w:t>
                          </w:r>
                          <w:r w:rsidR="00D8138E">
                            <w:rPr>
                              <w:noProof/>
                            </w:rPr>
                            <w:fldChar w:fldCharType="end"/>
                          </w:r>
                        </w:p>
                        <w:p w14:paraId="5DBF39CA" w14:textId="77777777" w:rsidR="00D8138E" w:rsidRDefault="00D8138E">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D0CC06" id="Text Box 11" o:spid="_x0000_s1028" type="#_x0000_t202" alt="Portrait Classification Footer" style="position:absolute;left:0;text-align:left;margin-left:104.25pt;margin-top:780pt;width:386.65pt;height:54.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" o:allowincell="f" filled="f" stroked="f">
              <v:textbox inset="0,0,0,0">
                <w:txbxContent>
                  <w:p w14:paraId="72FFE348" w14:textId="668D7510" w:rsidR="00D8138E" w:rsidRDefault="00000000">
                    <w:pPr>
                      <w:pStyle w:val="FileProperties"/>
                      <w:tabs>
                        <w:tab w:val="right" w:pos="7711"/>
                      </w:tabs>
                    </w:pPr>
                    <w:fldSimple w:instr="FILENAME  \* MERGEFORMAT">
                      <w:r w:rsidR="00407E5F">
                        <w:rPr>
                          <w:noProof/>
                        </w:rPr>
                        <w:t>10_BP1_BS10.docx</w:t>
                      </w:r>
                    </w:fldSimple>
                    <w:r w:rsidR="00D8138E">
                      <w:tab/>
                      <w:t xml:space="preserve">Printed:  </w:t>
                    </w:r>
                    <w:r w:rsidR="00D8138E">
                      <w:fldChar w:fldCharType="begin"/>
                    </w:r>
                    <w:r w:rsidR="00D8138E">
                      <w:instrText xml:space="preserve"> PRINTDATE \@ “d/MM/yy HH:mm:ss” \* MERGEFORMAT </w:instrText>
                    </w:r>
                    <w:r w:rsidR="00D8138E">
                      <w:fldChar w:fldCharType="separate"/>
                    </w:r>
                    <w:r w:rsidR="00407E5F">
                      <w:rPr>
                        <w:noProof/>
                      </w:rPr>
                      <w:t>12/05/24 12:33:00</w:t>
                    </w:r>
                    <w:r w:rsidR="00D8138E">
                      <w:rPr>
                        <w:noProof/>
                      </w:rPr>
                      <w:fldChar w:fldCharType="end"/>
                    </w:r>
                  </w:p>
                  <w:p w14:paraId="5DBF39CA" w14:textId="77777777" w:rsidR="00D8138E" w:rsidRDefault="00D8138E">
                    <w:pPr>
                      <w:pStyle w:val="Classification"/>
                    </w:pPr>
                    <w:r>
                      <w:t xml:space="preserve">: </w:t>
                    </w:r>
                    <w:r>
                      <w:br/>
                      <w:t>Sensitive: Cabinet</w:t>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62C9" w14:textId="38594DBD" w:rsidR="004D1ACD" w:rsidRDefault="00E93018" w:rsidP="004D1ACD">
    <w:pPr>
      <w:pStyle w:val="FooterOdd"/>
    </w:pPr>
    <w:r>
      <w:fldChar w:fldCharType="begin"/>
    </w:r>
    <w:r>
      <w:instrText xml:space="preserve"> SUBJECT   \* MERGEFORMAT </w:instrText>
    </w:r>
    <w:r>
      <w:fldChar w:fldCharType="separate"/>
    </w:r>
    <w:r w:rsidR="00407E5F">
      <w:t>Statement 10: Australian Government Budget Financial Statements</w:t>
    </w:r>
    <w:r>
      <w:fldChar w:fldCharType="end"/>
    </w:r>
    <w:r w:rsidR="004D1ACD" w:rsidRPr="00B3705D">
      <w:t xml:space="preserve">  |  </w:t>
    </w:r>
    <w:r w:rsidR="004D1ACD" w:rsidRPr="00B3705D">
      <w:rPr>
        <w:b/>
        <w:bCs/>
      </w:rPr>
      <w:t xml:space="preserve">Page </w:t>
    </w:r>
    <w:r w:rsidR="004D1ACD" w:rsidRPr="00B3705D">
      <w:rPr>
        <w:b/>
        <w:bCs/>
      </w:rPr>
      <w:fldChar w:fldCharType="begin"/>
    </w:r>
    <w:r w:rsidR="004D1ACD" w:rsidRPr="00B3705D">
      <w:rPr>
        <w:b/>
        <w:bCs/>
      </w:rPr>
      <w:instrText xml:space="preserve"> PAGE  \* Arabic  \* MERGEFORMAT </w:instrText>
    </w:r>
    <w:r w:rsidR="004D1ACD" w:rsidRPr="00B3705D">
      <w:rPr>
        <w:b/>
        <w:bCs/>
      </w:rPr>
      <w:fldChar w:fldCharType="separate"/>
    </w:r>
    <w:r w:rsidR="004D1ACD">
      <w:rPr>
        <w:b/>
        <w:bCs/>
      </w:rPr>
      <w:t>351</w:t>
    </w:r>
    <w:r w:rsidR="004D1AC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9F37" w14:textId="2397E9CF" w:rsidR="007C2213" w:rsidRPr="007C2213" w:rsidRDefault="007C2213" w:rsidP="007C22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C1F" w14:textId="34D58E33" w:rsidR="00984C5F" w:rsidRPr="00E44992" w:rsidRDefault="00E93018" w:rsidP="0091568F">
    <w:pPr>
      <w:pStyle w:val="FooterOdd"/>
    </w:pPr>
    <w:r>
      <w:fldChar w:fldCharType="begin"/>
    </w:r>
    <w:r>
      <w:instrText xml:space="preserve"> SUBJECT   \* MERGEFORMAT </w:instrText>
    </w:r>
    <w:r>
      <w:fldChar w:fldCharType="separate"/>
    </w:r>
    <w:r w:rsidR="00407E5F">
      <w:t>Statement 10: Australian Government Budget Financial Statements</w:t>
    </w:r>
    <w:r>
      <w:fldChar w:fldCharType="end"/>
    </w:r>
    <w:r w:rsidR="00984C5F" w:rsidRPr="00B3705D">
      <w:t xml:space="preserve">  |  </w:t>
    </w:r>
    <w:r w:rsidR="00984C5F" w:rsidRPr="00B3705D">
      <w:rPr>
        <w:b/>
        <w:bCs/>
      </w:rPr>
      <w:t xml:space="preserve">Page </w:t>
    </w:r>
    <w:r w:rsidR="00984C5F" w:rsidRPr="00B3705D">
      <w:rPr>
        <w:b/>
        <w:bCs/>
      </w:rPr>
      <w:fldChar w:fldCharType="begin"/>
    </w:r>
    <w:r w:rsidR="00984C5F" w:rsidRPr="00B3705D">
      <w:rPr>
        <w:b/>
        <w:bCs/>
      </w:rPr>
      <w:instrText xml:space="preserve"> PAGE  \* Arabic  \* MERGEFORMAT </w:instrText>
    </w:r>
    <w:r w:rsidR="00984C5F" w:rsidRPr="00B3705D">
      <w:rPr>
        <w:b/>
        <w:bCs/>
      </w:rPr>
      <w:fldChar w:fldCharType="separate"/>
    </w:r>
    <w:r w:rsidR="00984C5F">
      <w:rPr>
        <w:b/>
        <w:bCs/>
      </w:rPr>
      <w:t>1</w:t>
    </w:r>
    <w:r w:rsidR="00984C5F"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E350" w14:textId="58E29A57" w:rsidR="00FB5DDD" w:rsidRDefault="006C38D1" w:rsidP="004F26D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93018">
      <w:fldChar w:fldCharType="begin"/>
    </w:r>
    <w:r w:rsidR="00E93018">
      <w:instrText xml:space="preserve"> SUBJECT   \* MERGEFORMAT </w:instrText>
    </w:r>
    <w:r w:rsidR="00E93018">
      <w:fldChar w:fldCharType="separate"/>
    </w:r>
    <w:r w:rsidR="00407E5F">
      <w:t>Statement 10: Australian Government Budget Financial Statements</w:t>
    </w:r>
    <w:r w:rsidR="00E9301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00D0" w14:textId="47024604" w:rsidR="009972AB" w:rsidRPr="004F26D7" w:rsidRDefault="00E93018" w:rsidP="009972AB">
    <w:pPr>
      <w:pStyle w:val="FooterOdd"/>
    </w:pPr>
    <w:r>
      <w:fldChar w:fldCharType="begin"/>
    </w:r>
    <w:r>
      <w:instrText xml:space="preserve"> SUBJECT   \* MERGEFORMAT </w:instrText>
    </w:r>
    <w:r>
      <w:fldChar w:fldCharType="separate"/>
    </w:r>
    <w:r w:rsidR="00407E5F">
      <w:t>Statement 10: Australian Government Budget Financial Statements</w:t>
    </w:r>
    <w:r>
      <w:fldChar w:fldCharType="end"/>
    </w:r>
    <w:r w:rsidR="00094377" w:rsidRPr="00B3705D">
      <w:t xml:space="preserve">  |  </w:t>
    </w:r>
    <w:r w:rsidR="00094377" w:rsidRPr="00B3705D">
      <w:rPr>
        <w:b/>
        <w:bCs/>
      </w:rPr>
      <w:t xml:space="preserve">Page </w:t>
    </w:r>
    <w:r w:rsidR="00094377" w:rsidRPr="00B3705D">
      <w:rPr>
        <w:b/>
        <w:bCs/>
      </w:rPr>
      <w:fldChar w:fldCharType="begin"/>
    </w:r>
    <w:r w:rsidR="00094377" w:rsidRPr="00B3705D">
      <w:rPr>
        <w:b/>
        <w:bCs/>
      </w:rPr>
      <w:instrText xml:space="preserve"> PAGE  \* Arabic  \* MERGEFORMAT </w:instrText>
    </w:r>
    <w:r w:rsidR="00094377" w:rsidRPr="00B3705D">
      <w:rPr>
        <w:b/>
        <w:bCs/>
      </w:rPr>
      <w:fldChar w:fldCharType="separate"/>
    </w:r>
    <w:r w:rsidR="00094377">
      <w:rPr>
        <w:b/>
        <w:bCs/>
      </w:rPr>
      <w:t>1</w:t>
    </w:r>
    <w:r w:rsidR="00094377" w:rsidRPr="00B3705D">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373" w14:textId="18107A13" w:rsidR="00AC18B0" w:rsidRPr="001611E4" w:rsidRDefault="00E93018" w:rsidP="00AC18B0">
    <w:pPr>
      <w:pStyle w:val="FooterOdd"/>
    </w:pPr>
    <w:r>
      <w:fldChar w:fldCharType="begin"/>
    </w:r>
    <w:r>
      <w:instrText xml:space="preserve"> SUBJECT   \* MERGEFORMAT </w:instrText>
    </w:r>
    <w:r>
      <w:fldChar w:fldCharType="separate"/>
    </w:r>
    <w:r w:rsidR="00407E5F">
      <w:t>Statement 10: Australian Government Budget Financial Statements</w:t>
    </w:r>
    <w:r>
      <w:fldChar w:fldCharType="end"/>
    </w:r>
    <w:r w:rsidR="00FB5DDD" w:rsidRPr="00B3705D">
      <w:t xml:space="preserve">  |  </w:t>
    </w:r>
    <w:r w:rsidR="00FB5DDD" w:rsidRPr="00B3705D">
      <w:rPr>
        <w:b/>
        <w:bCs/>
      </w:rPr>
      <w:t xml:space="preserve">Page </w:t>
    </w:r>
    <w:r w:rsidR="001611E4" w:rsidRPr="00B3705D">
      <w:rPr>
        <w:b/>
        <w:bCs/>
      </w:rPr>
      <w:fldChar w:fldCharType="begin"/>
    </w:r>
    <w:r w:rsidR="001611E4" w:rsidRPr="00B3705D">
      <w:rPr>
        <w:b/>
        <w:bCs/>
      </w:rPr>
      <w:instrText xml:space="preserve"> PAGE  \* Arabic  \* MERGEFORMAT </w:instrText>
    </w:r>
    <w:r w:rsidR="001611E4" w:rsidRPr="00B3705D">
      <w:rPr>
        <w:b/>
        <w:bCs/>
      </w:rPr>
      <w:fldChar w:fldCharType="separate"/>
    </w:r>
    <w:r w:rsidR="001611E4">
      <w:rPr>
        <w:b/>
        <w:bCs/>
      </w:rPr>
      <w:t>1</w:t>
    </w:r>
    <w:r w:rsidR="001611E4"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49D8" w14:textId="77777777" w:rsidR="00943542" w:rsidRPr="003C1CA4" w:rsidRDefault="00943542"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445843D" w14:textId="77777777" w:rsidR="00943542" w:rsidRDefault="00943542" w:rsidP="00E40261">
      <w:pPr>
        <w:spacing w:after="0" w:line="240" w:lineRule="auto"/>
      </w:pPr>
      <w:r>
        <w:continuationSeparator/>
      </w:r>
    </w:p>
  </w:footnote>
  <w:footnote w:type="continuationNotice" w:id="1">
    <w:p w14:paraId="7BE3FCE8" w14:textId="77777777" w:rsidR="00943542" w:rsidRDefault="00943542">
      <w:pPr>
        <w:spacing w:before="0" w:after="0" w:line="240" w:lineRule="auto"/>
      </w:pPr>
    </w:p>
  </w:footnote>
  <w:footnote w:id="2">
    <w:p w14:paraId="3E2E85A4" w14:textId="62BEF007" w:rsidR="00D8138E" w:rsidRPr="00690841" w:rsidRDefault="00D8138E" w:rsidP="00D8138E">
      <w:pPr>
        <w:pStyle w:val="FootnoteText"/>
      </w:pPr>
      <w:r w:rsidRPr="00DC4B0B">
        <w:rPr>
          <w:rStyle w:val="FootnoteReference"/>
          <w:vertAlign w:val="baseline"/>
        </w:rPr>
        <w:footnoteRef/>
      </w:r>
      <w:r w:rsidRPr="00690841">
        <w:t xml:space="preserve"> </w:t>
      </w:r>
      <w:r w:rsidRPr="00A05119">
        <w:tab/>
        <w:t xml:space="preserve">Additional information on the Australian accrual GFS framework is available in the ABS publication </w:t>
      </w:r>
      <w:r w:rsidRPr="00C733AD">
        <w:rPr>
          <w:rStyle w:val="Emphasis"/>
        </w:rPr>
        <w:t>Australian System of Government Finance Statistics: Concepts, Sources and Methods, 2015</w:t>
      </w:r>
      <w:r w:rsidRPr="00A05119">
        <w:t xml:space="preserve"> (cat. no. 5514.0).</w:t>
      </w:r>
    </w:p>
  </w:footnote>
  <w:footnote w:id="3">
    <w:p w14:paraId="19C9A864" w14:textId="53E8D581" w:rsidR="00D8138E" w:rsidRPr="00D259AE" w:rsidRDefault="00D8138E" w:rsidP="00D8138E">
      <w:pPr>
        <w:pStyle w:val="FootnoteText"/>
      </w:pPr>
      <w:r w:rsidRPr="00DC4B0B">
        <w:rPr>
          <w:rStyle w:val="FootnoteReference"/>
          <w:vertAlign w:val="baseline"/>
        </w:rPr>
        <w:footnoteRef/>
      </w:r>
      <w:r w:rsidRPr="00A05119">
        <w:tab/>
        <w:t>Not all transactions impact net worth. For example, transactions in financial assets and liabilities do not impact net worth as they represent the swapping of assets and liabilities on</w:t>
      </w:r>
      <w:r w:rsidR="00663990">
        <w:t> </w:t>
      </w:r>
      <w:r w:rsidRPr="00A05119">
        <w:t>the</w:t>
      </w:r>
      <w:r w:rsidR="00663990">
        <w:t> </w:t>
      </w:r>
      <w:r w:rsidRPr="00A05119">
        <w:t>balance sheet.</w:t>
      </w:r>
    </w:p>
  </w:footnote>
  <w:footnote w:id="4">
    <w:p w14:paraId="684DC690" w14:textId="44EBF4FF" w:rsidR="00D8138E" w:rsidRPr="00D259AE" w:rsidRDefault="00D8138E" w:rsidP="00F93FF4">
      <w:pPr>
        <w:pStyle w:val="FootnoteText"/>
      </w:pPr>
      <w:r w:rsidRPr="00F93FF4">
        <w:footnoteRef/>
      </w:r>
      <w:r w:rsidRPr="00F93FF4">
        <w:t xml:space="preserve"> </w:t>
      </w:r>
      <w:r w:rsidRPr="00F93FF4">
        <w:tab/>
      </w:r>
      <w:r w:rsidRPr="00A05119">
        <w:t xml:space="preserve">The net </w:t>
      </w:r>
      <w:r w:rsidRPr="008721A6">
        <w:t>operating</w:t>
      </w:r>
      <w:r w:rsidRPr="00A05119">
        <w:t xml:space="preserve"> balance includes consumption of non</w:t>
      </w:r>
      <w:r w:rsidR="00325E1E">
        <w:noBreakHyphen/>
      </w:r>
      <w:r w:rsidRPr="00A05119">
        <w:t xml:space="preserve">financial assets because depreciation is an expense. </w:t>
      </w:r>
      <w:r w:rsidRPr="00F93FF4">
        <w:t>Depreciation</w:t>
      </w:r>
      <w:r w:rsidRPr="00A05119">
        <w:t xml:space="preserve"> is deducted in the </w:t>
      </w:r>
      <w:r w:rsidRPr="00F16D8D">
        <w:t>calculation</w:t>
      </w:r>
      <w:r w:rsidRPr="00A05119">
        <w:t xml:space="preserve"> of net capital investment as the full investment in non</w:t>
      </w:r>
      <w:r w:rsidR="00325E1E">
        <w:noBreakHyphen/>
      </w:r>
      <w:r w:rsidRPr="00A05119">
        <w:t>financial assets is included in the calculation of fiscal balance.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E54F" w14:textId="77777777" w:rsidR="00D8138E" w:rsidRDefault="00D8138E" w:rsidP="001C5E21">
    <w:pPr>
      <w:pStyle w:val="Header"/>
      <w:tabs>
        <w:tab w:val="clear" w:pos="4153"/>
        <w:tab w:val="clear" w:pos="8306"/>
        <w:tab w:val="left" w:pos="5086"/>
      </w:tabs>
    </w:pPr>
    <w:r>
      <w:rPr>
        <w:noProof/>
        <w:sz w:val="32"/>
        <w:szCs w:val="32"/>
      </w:rPr>
      <w:drawing>
        <wp:anchor distT="0" distB="0" distL="114300" distR="114300" simplePos="0" relativeHeight="251658240" behindDoc="1" locked="0" layoutInCell="1" allowOverlap="1" wp14:anchorId="27336D76" wp14:editId="0C3725D9">
          <wp:simplePos x="0" y="0"/>
          <wp:positionH relativeFrom="page">
            <wp:posOffset>0</wp:posOffset>
          </wp:positionH>
          <wp:positionV relativeFrom="page">
            <wp:align>top</wp:align>
          </wp:positionV>
          <wp:extent cx="7559776" cy="10691586"/>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91B3" w14:textId="77777777" w:rsidR="00D8138E" w:rsidRDefault="00D8138E">
    <w:pPr>
      <w:pStyle w:val="Header"/>
    </w:pPr>
    <w:r>
      <w:rPr>
        <w:noProof/>
      </w:rPr>
      <mc:AlternateContent>
        <mc:Choice Requires="wps">
          <w:drawing>
            <wp:anchor distT="0" distB="0" distL="0" distR="0" simplePos="0" relativeHeight="251658241" behindDoc="0" locked="1" layoutInCell="0" allowOverlap="1" wp14:anchorId="0D746382" wp14:editId="451A38E2">
              <wp:simplePos x="0" y="0"/>
              <wp:positionH relativeFrom="page">
                <wp:posOffset>1321435</wp:posOffset>
              </wp:positionH>
              <wp:positionV relativeFrom="page">
                <wp:posOffset>360045</wp:posOffset>
              </wp:positionV>
              <wp:extent cx="4910455" cy="615315"/>
              <wp:effectExtent l="0" t="0" r="0" b="0"/>
              <wp:wrapSquare wrapText="bothSides"/>
              <wp:docPr id="10" name="Text Box 1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7014" w14:textId="77777777" w:rsidR="00D8138E" w:rsidRDefault="00D8138E">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D746382" id="_x0000_t202" coordsize="21600,21600" o:spt="202" path="m,l,21600r21600,l21600,xe">
              <v:stroke joinstyle="miter"/>
              <v:path gradientshapeok="t" o:connecttype="rect"/>
            </v:shapetype>
            <v:shape id="Text Box 10" o:spid="_x0000_s1026" type="#_x0000_t202" alt="Portrait Classification Header" style="position:absolute;margin-left:104.05pt;margin-top:28.35pt;width:386.65pt;height:48.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" o:allowincell="f" filled="f" stroked="f">
              <v:textbox inset="0,0,0,0">
                <w:txbxContent>
                  <w:p w14:paraId="206E7014" w14:textId="77777777" w:rsidR="00D8138E" w:rsidRDefault="00D8138E">
                    <w:pPr>
                      <w:pStyle w:val="Classification"/>
                    </w:pPr>
                    <w:r>
                      <w:t xml:space="preserve">: </w:t>
                    </w:r>
                    <w:r>
                      <w:br/>
                      <w:t>Sensitive: Cabinet</w:t>
                    </w:r>
                  </w:p>
                </w:txbxContent>
              </v:textbox>
              <w10:wrap type="square"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14E6" w14:textId="77777777" w:rsidR="00D8138E" w:rsidRPr="000004EA" w:rsidRDefault="00D8138E" w:rsidP="000004EA">
    <w:pPr>
      <w:pStyle w:val="Header"/>
    </w:pPr>
    <w:r>
      <w:rPr>
        <w:noProof/>
        <w:sz w:val="32"/>
        <w:szCs w:val="32"/>
      </w:rPr>
      <w:drawing>
        <wp:anchor distT="0" distB="0" distL="114300" distR="114300" simplePos="0" relativeHeight="251658244" behindDoc="1" locked="0" layoutInCell="1" allowOverlap="1" wp14:anchorId="44DBF4C5" wp14:editId="69CAE7F2">
          <wp:simplePos x="0" y="0"/>
          <wp:positionH relativeFrom="page">
            <wp:align>center</wp:align>
          </wp:positionH>
          <wp:positionV relativeFrom="page">
            <wp:align>center</wp:align>
          </wp:positionV>
          <wp:extent cx="7559776" cy="10691586"/>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99ED" w14:textId="0E905C5B" w:rsidR="00D8138E" w:rsidRPr="000004EA" w:rsidRDefault="00BA14E4" w:rsidP="000004EA">
    <w:pPr>
      <w:pStyle w:val="Header"/>
    </w:pPr>
    <w:r>
      <w:rPr>
        <w:noProof/>
        <w:sz w:val="32"/>
        <w:szCs w:val="32"/>
      </w:rPr>
      <w:drawing>
        <wp:anchor distT="0" distB="0" distL="114300" distR="114300" simplePos="0" relativeHeight="251658249" behindDoc="1" locked="1" layoutInCell="1" allowOverlap="1" wp14:anchorId="5333D8DD" wp14:editId="1CAB05BB">
          <wp:simplePos x="0" y="0"/>
          <wp:positionH relativeFrom="page">
            <wp:align>center</wp:align>
          </wp:positionH>
          <wp:positionV relativeFrom="page">
            <wp:align>center</wp:align>
          </wp:positionV>
          <wp:extent cx="7560000" cy="10692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D8138E">
      <w:rPr>
        <w:noProof/>
      </w:rPr>
      <w:drawing>
        <wp:anchor distT="0" distB="0" distL="114300" distR="114300" simplePos="0" relativeHeight="251658245" behindDoc="1" locked="0" layoutInCell="1" allowOverlap="1" wp14:anchorId="42AB2760" wp14:editId="46418A0A">
          <wp:simplePos x="0" y="0"/>
          <wp:positionH relativeFrom="page">
            <wp:posOffset>0</wp:posOffset>
          </wp:positionH>
          <wp:positionV relativeFrom="page">
            <wp:posOffset>0</wp:posOffset>
          </wp:positionV>
          <wp:extent cx="7559776" cy="10691586"/>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CB26" w14:textId="77777777" w:rsidR="00BA14E4" w:rsidRPr="000004EA" w:rsidRDefault="00BA14E4" w:rsidP="000004EA">
    <w:pPr>
      <w:pStyle w:val="Header"/>
    </w:pPr>
    <w:r>
      <w:rPr>
        <w:noProof/>
      </w:rPr>
      <w:drawing>
        <wp:anchor distT="0" distB="0" distL="114300" distR="114300" simplePos="0" relativeHeight="251658248" behindDoc="1" locked="0" layoutInCell="1" allowOverlap="1" wp14:anchorId="00F83D50" wp14:editId="098D6575">
          <wp:simplePos x="0" y="0"/>
          <wp:positionH relativeFrom="page">
            <wp:posOffset>0</wp:posOffset>
          </wp:positionH>
          <wp:positionV relativeFrom="page">
            <wp:posOffset>0</wp:posOffset>
          </wp:positionV>
          <wp:extent cx="7559776" cy="10691586"/>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5E48" w14:textId="1E5369C3" w:rsidR="00FB5DDD" w:rsidRPr="00AA5439" w:rsidRDefault="00D8138E" w:rsidP="00AA5439">
    <w:pPr>
      <w:pStyle w:val="HeaderEven"/>
      <w:rPr>
        <w:sz w:val="2"/>
        <w:szCs w:val="2"/>
      </w:rPr>
    </w:pPr>
    <w:r>
      <w:rPr>
        <w:noProof/>
      </w:rPr>
      <w:drawing>
        <wp:anchor distT="0" distB="0" distL="114300" distR="114300" simplePos="0" relativeHeight="251658246" behindDoc="1" locked="0" layoutInCell="1" allowOverlap="1" wp14:anchorId="58AE4D5F" wp14:editId="21EA7FDD">
          <wp:simplePos x="0" y="0"/>
          <wp:positionH relativeFrom="page">
            <wp:align>left</wp:align>
          </wp:positionH>
          <wp:positionV relativeFrom="page">
            <wp:align>top</wp:align>
          </wp:positionV>
          <wp:extent cx="7559776" cy="10691586"/>
          <wp:effectExtent l="0" t="0" r="3175" b="0"/>
          <wp:wrapNone/>
          <wp:docPr id="582605665" name="Picture 582605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50215F36" w14:textId="77777777">
      <w:trPr>
        <w:trHeight w:hRule="exact" w:val="340"/>
      </w:trPr>
      <w:tc>
        <w:tcPr>
          <w:tcW w:w="7797" w:type="dxa"/>
        </w:tcPr>
        <w:p w14:paraId="268ED22A" w14:textId="10FD2BC4" w:rsidR="00FB5DDD" w:rsidRPr="008C56E1" w:rsidRDefault="00FB5DDD" w:rsidP="00F60EA1">
          <w:pPr>
            <w:pStyle w:val="HeaderEven"/>
          </w:pPr>
          <w:r w:rsidRPr="008C56E1">
            <w:rPr>
              <w:noProof/>
              <w:position w:val="-8"/>
            </w:rPr>
            <w:drawing>
              <wp:inline distT="0" distB="0" distL="0" distR="0" wp14:anchorId="71F26525" wp14:editId="232DD997">
                <wp:extent cx="874979" cy="198000"/>
                <wp:effectExtent l="0" t="0" r="1905" b="0"/>
                <wp:docPr id="322237899" name="Picture 322237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93018">
            <w:fldChar w:fldCharType="begin"/>
          </w:r>
          <w:r w:rsidR="00E93018">
            <w:instrText xml:space="preserve"> TITLE   \* MERGEFORMAT </w:instrText>
          </w:r>
          <w:r w:rsidR="00E93018">
            <w:fldChar w:fldCharType="separate"/>
          </w:r>
          <w:r w:rsidR="00407E5F">
            <w:t>Budget Paper No. 1</w:t>
          </w:r>
          <w:r w:rsidR="00E93018">
            <w:fldChar w:fldCharType="end"/>
          </w:r>
        </w:p>
      </w:tc>
    </w:tr>
  </w:tbl>
  <w:p w14:paraId="2B4E7F2C" w14:textId="77777777" w:rsidR="00FB5DDD" w:rsidRPr="00AA5439" w:rsidRDefault="00FB5DDD" w:rsidP="00AA5439">
    <w:pPr>
      <w:pStyle w:val="HeaderEven"/>
      <w:rPr>
        <w:sz w:val="2"/>
        <w:szCs w:val="4"/>
      </w:rPr>
    </w:pPr>
  </w:p>
  <w:p w14:paraId="7D718BAE" w14:textId="77777777" w:rsidR="00FB5DDD" w:rsidRPr="007703C7" w:rsidRDefault="00FB5DDD" w:rsidP="007703C7">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B6E1" w14:textId="1F798505" w:rsidR="00FB5DDD" w:rsidRPr="000635BE" w:rsidRDefault="00D8138E" w:rsidP="000635BE">
    <w:pPr>
      <w:pStyle w:val="HeaderOdd"/>
      <w:rPr>
        <w:sz w:val="2"/>
        <w:szCs w:val="4"/>
      </w:rPr>
    </w:pPr>
    <w:r>
      <w:rPr>
        <w:noProof/>
      </w:rPr>
      <w:drawing>
        <wp:anchor distT="0" distB="0" distL="114300" distR="114300" simplePos="0" relativeHeight="251658247" behindDoc="1" locked="0" layoutInCell="1" allowOverlap="1" wp14:anchorId="381C7CED" wp14:editId="4B9B78A8">
          <wp:simplePos x="0" y="0"/>
          <wp:positionH relativeFrom="page">
            <wp:align>center</wp:align>
          </wp:positionH>
          <wp:positionV relativeFrom="page">
            <wp:align>top</wp:align>
          </wp:positionV>
          <wp:extent cx="7559776" cy="10691586"/>
          <wp:effectExtent l="0" t="0" r="3175" b="0"/>
          <wp:wrapNone/>
          <wp:docPr id="2138001025" name="Picture 21380010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776" cy="1069158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95CF3" w14:paraId="0E611F14" w14:textId="77777777">
      <w:trPr>
        <w:trHeight w:hRule="exact" w:val="340"/>
      </w:trPr>
      <w:tc>
        <w:tcPr>
          <w:tcW w:w="7797" w:type="dxa"/>
          <w:tcMar>
            <w:left w:w="108" w:type="dxa"/>
            <w:right w:w="108" w:type="dxa"/>
          </w:tcMar>
        </w:tcPr>
        <w:p w14:paraId="57B9CFAE" w14:textId="0FA38F3A" w:rsidR="00695CF3" w:rsidRPr="00D13BF9" w:rsidRDefault="00E93018" w:rsidP="00D13BF9">
          <w:pPr>
            <w:pStyle w:val="HeaderOdd"/>
          </w:pPr>
          <w:r>
            <w:fldChar w:fldCharType="begin"/>
          </w:r>
          <w:r>
            <w:instrText xml:space="preserve"> TITLE   \* MERGEFORMAT </w:instrText>
          </w:r>
          <w:r>
            <w:fldChar w:fldCharType="separate"/>
          </w:r>
          <w:r w:rsidR="00407E5F">
            <w:t>Budget Paper No. 1</w:t>
          </w:r>
          <w:r>
            <w:fldChar w:fldCharType="end"/>
          </w:r>
          <w:r w:rsidR="00695CF3" w:rsidRPr="00D13BF9">
            <w:t xml:space="preserve">  |  </w:t>
          </w:r>
          <w:r w:rsidR="00695CF3" w:rsidRPr="00C9389A">
            <w:rPr>
              <w:noProof/>
              <w:position w:val="-8"/>
            </w:rPr>
            <w:drawing>
              <wp:inline distT="0" distB="0" distL="0" distR="0" wp14:anchorId="3EF20613" wp14:editId="5696B698">
                <wp:extent cx="878400" cy="198000"/>
                <wp:effectExtent l="0" t="0" r="0" b="0"/>
                <wp:docPr id="1112179343" name="Picture 1112179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27BCDC3" w14:textId="77777777" w:rsidR="00FB5DDD" w:rsidRPr="00AA5439" w:rsidRDefault="00FB5DDD" w:rsidP="00AA5439">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8742" w14:textId="687BA6DD" w:rsidR="00FB5DDD" w:rsidRDefault="00505C2F">
    <w:pPr>
      <w:pStyle w:val="Header"/>
      <w:rPr>
        <w:sz w:val="2"/>
        <w:szCs w:val="2"/>
      </w:rPr>
    </w:pPr>
    <w:r>
      <w:rPr>
        <w:noProof/>
      </w:rPr>
      <w:drawing>
        <wp:anchor distT="0" distB="0" distL="114300" distR="114300" simplePos="0" relativeHeight="251658250" behindDoc="1" locked="0" layoutInCell="1" allowOverlap="1" wp14:anchorId="6ABD5781" wp14:editId="35592A4D">
          <wp:simplePos x="0" y="0"/>
          <wp:positionH relativeFrom="page">
            <wp:align>left</wp:align>
          </wp:positionH>
          <wp:positionV relativeFrom="page">
            <wp:align>top</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6BED4F5" w14:textId="77777777" w:rsidR="00FB5DDD" w:rsidRDefault="00FB5DDD">
    <w:pPr>
      <w:pStyle w:val="Header"/>
      <w:rPr>
        <w:sz w:val="2"/>
        <w:szCs w:val="2"/>
      </w:rPr>
    </w:pPr>
  </w:p>
  <w:p w14:paraId="6B583087" w14:textId="6318C008" w:rsidR="00FB5DDD" w:rsidRPr="005155E6" w:rsidRDefault="00FB5DDD" w:rsidP="00515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8149E"/>
    <w:multiLevelType w:val="hybridMultilevel"/>
    <w:tmpl w:val="6E0AE6A2"/>
    <w:lvl w:ilvl="0" w:tplc="58E27250">
      <w:start w:val="1"/>
      <w:numFmt w:val="decimal"/>
      <w:lvlText w:val="%1."/>
      <w:lvlJc w:val="left"/>
      <w:pPr>
        <w:ind w:left="720" w:hanging="360"/>
      </w:pPr>
    </w:lvl>
    <w:lvl w:ilvl="1" w:tplc="E13EC970">
      <w:start w:val="1"/>
      <w:numFmt w:val="decimal"/>
      <w:lvlText w:val="%2."/>
      <w:lvlJc w:val="left"/>
      <w:pPr>
        <w:ind w:left="720" w:hanging="360"/>
      </w:pPr>
    </w:lvl>
    <w:lvl w:ilvl="2" w:tplc="652CDFC2">
      <w:start w:val="1"/>
      <w:numFmt w:val="decimal"/>
      <w:lvlText w:val="%3."/>
      <w:lvlJc w:val="left"/>
      <w:pPr>
        <w:ind w:left="720" w:hanging="360"/>
      </w:pPr>
    </w:lvl>
    <w:lvl w:ilvl="3" w:tplc="CAA6F7FE">
      <w:start w:val="1"/>
      <w:numFmt w:val="decimal"/>
      <w:lvlText w:val="%4."/>
      <w:lvlJc w:val="left"/>
      <w:pPr>
        <w:ind w:left="720" w:hanging="360"/>
      </w:pPr>
    </w:lvl>
    <w:lvl w:ilvl="4" w:tplc="955EBE1E">
      <w:start w:val="1"/>
      <w:numFmt w:val="decimal"/>
      <w:lvlText w:val="%5."/>
      <w:lvlJc w:val="left"/>
      <w:pPr>
        <w:ind w:left="720" w:hanging="360"/>
      </w:pPr>
    </w:lvl>
    <w:lvl w:ilvl="5" w:tplc="FF4493DC">
      <w:start w:val="1"/>
      <w:numFmt w:val="decimal"/>
      <w:lvlText w:val="%6."/>
      <w:lvlJc w:val="left"/>
      <w:pPr>
        <w:ind w:left="720" w:hanging="360"/>
      </w:pPr>
    </w:lvl>
    <w:lvl w:ilvl="6" w:tplc="D8EC6D74">
      <w:start w:val="1"/>
      <w:numFmt w:val="decimal"/>
      <w:lvlText w:val="%7."/>
      <w:lvlJc w:val="left"/>
      <w:pPr>
        <w:ind w:left="720" w:hanging="360"/>
      </w:pPr>
    </w:lvl>
    <w:lvl w:ilvl="7" w:tplc="5ACA6662">
      <w:start w:val="1"/>
      <w:numFmt w:val="decimal"/>
      <w:lvlText w:val="%8."/>
      <w:lvlJc w:val="left"/>
      <w:pPr>
        <w:ind w:left="720" w:hanging="360"/>
      </w:pPr>
    </w:lvl>
    <w:lvl w:ilvl="8" w:tplc="3FA28E6E">
      <w:start w:val="1"/>
      <w:numFmt w:val="decimal"/>
      <w:lvlText w:val="%9."/>
      <w:lvlJc w:val="left"/>
      <w:pPr>
        <w:ind w:left="720" w:hanging="360"/>
      </w:pPr>
    </w:lvl>
  </w:abstractNum>
  <w:abstractNum w:abstractNumId="11" w15:restartNumberingAfterBreak="0">
    <w:nsid w:val="085F567F"/>
    <w:multiLevelType w:val="hybridMultilevel"/>
    <w:tmpl w:val="3D08C1F2"/>
    <w:lvl w:ilvl="0" w:tplc="FAA051FE">
      <w:start w:val="1"/>
      <w:numFmt w:val="decimal"/>
      <w:lvlText w:val="%1."/>
      <w:lvlJc w:val="left"/>
      <w:pPr>
        <w:ind w:left="720" w:hanging="360"/>
      </w:pPr>
    </w:lvl>
    <w:lvl w:ilvl="1" w:tplc="F6BC4B52">
      <w:start w:val="1"/>
      <w:numFmt w:val="decimal"/>
      <w:lvlText w:val="%2."/>
      <w:lvlJc w:val="left"/>
      <w:pPr>
        <w:ind w:left="720" w:hanging="360"/>
      </w:pPr>
    </w:lvl>
    <w:lvl w:ilvl="2" w:tplc="083C63FE">
      <w:start w:val="1"/>
      <w:numFmt w:val="decimal"/>
      <w:lvlText w:val="%3."/>
      <w:lvlJc w:val="left"/>
      <w:pPr>
        <w:ind w:left="720" w:hanging="360"/>
      </w:pPr>
    </w:lvl>
    <w:lvl w:ilvl="3" w:tplc="7E5AB580">
      <w:start w:val="1"/>
      <w:numFmt w:val="decimal"/>
      <w:lvlText w:val="%4."/>
      <w:lvlJc w:val="left"/>
      <w:pPr>
        <w:ind w:left="720" w:hanging="360"/>
      </w:pPr>
    </w:lvl>
    <w:lvl w:ilvl="4" w:tplc="908E21F0">
      <w:start w:val="1"/>
      <w:numFmt w:val="decimal"/>
      <w:lvlText w:val="%5."/>
      <w:lvlJc w:val="left"/>
      <w:pPr>
        <w:ind w:left="720" w:hanging="360"/>
      </w:pPr>
    </w:lvl>
    <w:lvl w:ilvl="5" w:tplc="6ADCE206">
      <w:start w:val="1"/>
      <w:numFmt w:val="decimal"/>
      <w:lvlText w:val="%6."/>
      <w:lvlJc w:val="left"/>
      <w:pPr>
        <w:ind w:left="720" w:hanging="360"/>
      </w:pPr>
    </w:lvl>
    <w:lvl w:ilvl="6" w:tplc="7A4E8BDE">
      <w:start w:val="1"/>
      <w:numFmt w:val="decimal"/>
      <w:lvlText w:val="%7."/>
      <w:lvlJc w:val="left"/>
      <w:pPr>
        <w:ind w:left="720" w:hanging="360"/>
      </w:pPr>
    </w:lvl>
    <w:lvl w:ilvl="7" w:tplc="46163C2A">
      <w:start w:val="1"/>
      <w:numFmt w:val="decimal"/>
      <w:lvlText w:val="%8."/>
      <w:lvlJc w:val="left"/>
      <w:pPr>
        <w:ind w:left="720" w:hanging="360"/>
      </w:pPr>
    </w:lvl>
    <w:lvl w:ilvl="8" w:tplc="8CC01E76">
      <w:start w:val="1"/>
      <w:numFmt w:val="decimal"/>
      <w:lvlText w:val="%9."/>
      <w:lvlJc w:val="left"/>
      <w:pPr>
        <w:ind w:left="720" w:hanging="360"/>
      </w:pPr>
    </w:lvl>
  </w:abstractNum>
  <w:abstractNum w:abstractNumId="12" w15:restartNumberingAfterBreak="0">
    <w:nsid w:val="0AB91923"/>
    <w:multiLevelType w:val="hybridMultilevel"/>
    <w:tmpl w:val="17161900"/>
    <w:lvl w:ilvl="0" w:tplc="8CE6C8FC">
      <w:start w:val="1"/>
      <w:numFmt w:val="decimal"/>
      <w:lvlText w:val="%1."/>
      <w:lvlJc w:val="left"/>
      <w:pPr>
        <w:ind w:left="1020" w:hanging="360"/>
      </w:pPr>
    </w:lvl>
    <w:lvl w:ilvl="1" w:tplc="1CD43E0A">
      <w:start w:val="1"/>
      <w:numFmt w:val="decimal"/>
      <w:lvlText w:val="%2."/>
      <w:lvlJc w:val="left"/>
      <w:pPr>
        <w:ind w:left="1020" w:hanging="360"/>
      </w:pPr>
    </w:lvl>
    <w:lvl w:ilvl="2" w:tplc="7B54DA82">
      <w:start w:val="1"/>
      <w:numFmt w:val="decimal"/>
      <w:lvlText w:val="%3."/>
      <w:lvlJc w:val="left"/>
      <w:pPr>
        <w:ind w:left="1020" w:hanging="360"/>
      </w:pPr>
    </w:lvl>
    <w:lvl w:ilvl="3" w:tplc="39BC45CE">
      <w:start w:val="1"/>
      <w:numFmt w:val="decimal"/>
      <w:lvlText w:val="%4."/>
      <w:lvlJc w:val="left"/>
      <w:pPr>
        <w:ind w:left="1020" w:hanging="360"/>
      </w:pPr>
    </w:lvl>
    <w:lvl w:ilvl="4" w:tplc="77544A56">
      <w:start w:val="1"/>
      <w:numFmt w:val="decimal"/>
      <w:lvlText w:val="%5."/>
      <w:lvlJc w:val="left"/>
      <w:pPr>
        <w:ind w:left="1020" w:hanging="360"/>
      </w:pPr>
    </w:lvl>
    <w:lvl w:ilvl="5" w:tplc="3A146A02">
      <w:start w:val="1"/>
      <w:numFmt w:val="decimal"/>
      <w:lvlText w:val="%6."/>
      <w:lvlJc w:val="left"/>
      <w:pPr>
        <w:ind w:left="1020" w:hanging="360"/>
      </w:pPr>
    </w:lvl>
    <w:lvl w:ilvl="6" w:tplc="4EF213B4">
      <w:start w:val="1"/>
      <w:numFmt w:val="decimal"/>
      <w:lvlText w:val="%7."/>
      <w:lvlJc w:val="left"/>
      <w:pPr>
        <w:ind w:left="1020" w:hanging="360"/>
      </w:pPr>
    </w:lvl>
    <w:lvl w:ilvl="7" w:tplc="25A6D400">
      <w:start w:val="1"/>
      <w:numFmt w:val="decimal"/>
      <w:lvlText w:val="%8."/>
      <w:lvlJc w:val="left"/>
      <w:pPr>
        <w:ind w:left="1020" w:hanging="360"/>
      </w:pPr>
    </w:lvl>
    <w:lvl w:ilvl="8" w:tplc="7A128890">
      <w:start w:val="1"/>
      <w:numFmt w:val="decimal"/>
      <w:lvlText w:val="%9."/>
      <w:lvlJc w:val="left"/>
      <w:pPr>
        <w:ind w:left="1020" w:hanging="360"/>
      </w:p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1905838"/>
    <w:multiLevelType w:val="multilevel"/>
    <w:tmpl w:val="BE983D5E"/>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49E222DB"/>
    <w:multiLevelType w:val="hybridMultilevel"/>
    <w:tmpl w:val="CBF2BF3E"/>
    <w:lvl w:ilvl="0" w:tplc="3FD42800">
      <w:start w:val="1"/>
      <w:numFmt w:val="decimal"/>
      <w:lvlText w:val="%1."/>
      <w:lvlJc w:val="left"/>
      <w:pPr>
        <w:ind w:left="1020" w:hanging="360"/>
      </w:pPr>
    </w:lvl>
    <w:lvl w:ilvl="1" w:tplc="14B82DAC">
      <w:start w:val="1"/>
      <w:numFmt w:val="decimal"/>
      <w:lvlText w:val="%2."/>
      <w:lvlJc w:val="left"/>
      <w:pPr>
        <w:ind w:left="1020" w:hanging="360"/>
      </w:pPr>
    </w:lvl>
    <w:lvl w:ilvl="2" w:tplc="99FA989A">
      <w:start w:val="1"/>
      <w:numFmt w:val="decimal"/>
      <w:lvlText w:val="%3."/>
      <w:lvlJc w:val="left"/>
      <w:pPr>
        <w:ind w:left="1020" w:hanging="360"/>
      </w:pPr>
    </w:lvl>
    <w:lvl w:ilvl="3" w:tplc="DC2C3A00">
      <w:start w:val="1"/>
      <w:numFmt w:val="decimal"/>
      <w:lvlText w:val="%4."/>
      <w:lvlJc w:val="left"/>
      <w:pPr>
        <w:ind w:left="1020" w:hanging="360"/>
      </w:pPr>
    </w:lvl>
    <w:lvl w:ilvl="4" w:tplc="5D74BA56">
      <w:start w:val="1"/>
      <w:numFmt w:val="decimal"/>
      <w:lvlText w:val="%5."/>
      <w:lvlJc w:val="left"/>
      <w:pPr>
        <w:ind w:left="1020" w:hanging="360"/>
      </w:pPr>
    </w:lvl>
    <w:lvl w:ilvl="5" w:tplc="2ECA46FC">
      <w:start w:val="1"/>
      <w:numFmt w:val="decimal"/>
      <w:lvlText w:val="%6."/>
      <w:lvlJc w:val="left"/>
      <w:pPr>
        <w:ind w:left="1020" w:hanging="360"/>
      </w:pPr>
    </w:lvl>
    <w:lvl w:ilvl="6" w:tplc="C826E66E">
      <w:start w:val="1"/>
      <w:numFmt w:val="decimal"/>
      <w:lvlText w:val="%7."/>
      <w:lvlJc w:val="left"/>
      <w:pPr>
        <w:ind w:left="1020" w:hanging="360"/>
      </w:pPr>
    </w:lvl>
    <w:lvl w:ilvl="7" w:tplc="86D05C3C">
      <w:start w:val="1"/>
      <w:numFmt w:val="decimal"/>
      <w:lvlText w:val="%8."/>
      <w:lvlJc w:val="left"/>
      <w:pPr>
        <w:ind w:left="1020" w:hanging="360"/>
      </w:pPr>
    </w:lvl>
    <w:lvl w:ilvl="8" w:tplc="DB807D12">
      <w:start w:val="1"/>
      <w:numFmt w:val="decimal"/>
      <w:lvlText w:val="%9."/>
      <w:lvlJc w:val="left"/>
      <w:pPr>
        <w:ind w:left="1020" w:hanging="360"/>
      </w:pPr>
    </w:lvl>
  </w:abstractNum>
  <w:abstractNum w:abstractNumId="19" w15:restartNumberingAfterBreak="0">
    <w:nsid w:val="598D2DA9"/>
    <w:multiLevelType w:val="hybridMultilevel"/>
    <w:tmpl w:val="F2D68C7C"/>
    <w:lvl w:ilvl="0" w:tplc="DA360CFC">
      <w:start w:val="1"/>
      <w:numFmt w:val="decimal"/>
      <w:lvlText w:val="%1."/>
      <w:lvlJc w:val="left"/>
      <w:pPr>
        <w:ind w:left="720" w:hanging="360"/>
      </w:pPr>
    </w:lvl>
    <w:lvl w:ilvl="1" w:tplc="954AAFEA">
      <w:start w:val="1"/>
      <w:numFmt w:val="decimal"/>
      <w:lvlText w:val="%2."/>
      <w:lvlJc w:val="left"/>
      <w:pPr>
        <w:ind w:left="720" w:hanging="360"/>
      </w:pPr>
    </w:lvl>
    <w:lvl w:ilvl="2" w:tplc="34029054">
      <w:start w:val="1"/>
      <w:numFmt w:val="decimal"/>
      <w:lvlText w:val="%3."/>
      <w:lvlJc w:val="left"/>
      <w:pPr>
        <w:ind w:left="720" w:hanging="360"/>
      </w:pPr>
    </w:lvl>
    <w:lvl w:ilvl="3" w:tplc="881AD69C">
      <w:start w:val="1"/>
      <w:numFmt w:val="decimal"/>
      <w:lvlText w:val="%4."/>
      <w:lvlJc w:val="left"/>
      <w:pPr>
        <w:ind w:left="720" w:hanging="360"/>
      </w:pPr>
    </w:lvl>
    <w:lvl w:ilvl="4" w:tplc="A18ABF7E">
      <w:start w:val="1"/>
      <w:numFmt w:val="decimal"/>
      <w:lvlText w:val="%5."/>
      <w:lvlJc w:val="left"/>
      <w:pPr>
        <w:ind w:left="720" w:hanging="360"/>
      </w:pPr>
    </w:lvl>
    <w:lvl w:ilvl="5" w:tplc="D03C2854">
      <w:start w:val="1"/>
      <w:numFmt w:val="decimal"/>
      <w:lvlText w:val="%6."/>
      <w:lvlJc w:val="left"/>
      <w:pPr>
        <w:ind w:left="720" w:hanging="360"/>
      </w:pPr>
    </w:lvl>
    <w:lvl w:ilvl="6" w:tplc="7B4441CE">
      <w:start w:val="1"/>
      <w:numFmt w:val="decimal"/>
      <w:lvlText w:val="%7."/>
      <w:lvlJc w:val="left"/>
      <w:pPr>
        <w:ind w:left="720" w:hanging="360"/>
      </w:pPr>
    </w:lvl>
    <w:lvl w:ilvl="7" w:tplc="11C40776">
      <w:start w:val="1"/>
      <w:numFmt w:val="decimal"/>
      <w:lvlText w:val="%8."/>
      <w:lvlJc w:val="left"/>
      <w:pPr>
        <w:ind w:left="720" w:hanging="360"/>
      </w:pPr>
    </w:lvl>
    <w:lvl w:ilvl="8" w:tplc="B2FAD144">
      <w:start w:val="1"/>
      <w:numFmt w:val="decimal"/>
      <w:lvlText w:val="%9."/>
      <w:lvlJc w:val="left"/>
      <w:pPr>
        <w:ind w:left="720" w:hanging="360"/>
      </w:pPr>
    </w:lvl>
  </w:abstractNum>
  <w:abstractNum w:abstractNumId="20" w15:restartNumberingAfterBreak="0">
    <w:nsid w:val="67A86B31"/>
    <w:multiLevelType w:val="hybridMultilevel"/>
    <w:tmpl w:val="15E67C78"/>
    <w:lvl w:ilvl="0" w:tplc="90D4984E">
      <w:start w:val="1"/>
      <w:numFmt w:val="decimal"/>
      <w:lvlText w:val="%1."/>
      <w:lvlJc w:val="left"/>
      <w:pPr>
        <w:ind w:left="720" w:hanging="360"/>
      </w:pPr>
    </w:lvl>
    <w:lvl w:ilvl="1" w:tplc="5302EAC2">
      <w:start w:val="1"/>
      <w:numFmt w:val="decimal"/>
      <w:lvlText w:val="%2."/>
      <w:lvlJc w:val="left"/>
      <w:pPr>
        <w:ind w:left="720" w:hanging="360"/>
      </w:pPr>
    </w:lvl>
    <w:lvl w:ilvl="2" w:tplc="D504B6EA">
      <w:start w:val="1"/>
      <w:numFmt w:val="decimal"/>
      <w:lvlText w:val="%3."/>
      <w:lvlJc w:val="left"/>
      <w:pPr>
        <w:ind w:left="720" w:hanging="360"/>
      </w:pPr>
    </w:lvl>
    <w:lvl w:ilvl="3" w:tplc="DE3A112E">
      <w:start w:val="1"/>
      <w:numFmt w:val="decimal"/>
      <w:lvlText w:val="%4."/>
      <w:lvlJc w:val="left"/>
      <w:pPr>
        <w:ind w:left="720" w:hanging="360"/>
      </w:pPr>
    </w:lvl>
    <w:lvl w:ilvl="4" w:tplc="7AAA2E12">
      <w:start w:val="1"/>
      <w:numFmt w:val="decimal"/>
      <w:lvlText w:val="%5."/>
      <w:lvlJc w:val="left"/>
      <w:pPr>
        <w:ind w:left="720" w:hanging="360"/>
      </w:pPr>
    </w:lvl>
    <w:lvl w:ilvl="5" w:tplc="E0FA6064">
      <w:start w:val="1"/>
      <w:numFmt w:val="decimal"/>
      <w:lvlText w:val="%6."/>
      <w:lvlJc w:val="left"/>
      <w:pPr>
        <w:ind w:left="720" w:hanging="360"/>
      </w:pPr>
    </w:lvl>
    <w:lvl w:ilvl="6" w:tplc="507C192C">
      <w:start w:val="1"/>
      <w:numFmt w:val="decimal"/>
      <w:lvlText w:val="%7."/>
      <w:lvlJc w:val="left"/>
      <w:pPr>
        <w:ind w:left="720" w:hanging="360"/>
      </w:pPr>
    </w:lvl>
    <w:lvl w:ilvl="7" w:tplc="13F037BC">
      <w:start w:val="1"/>
      <w:numFmt w:val="decimal"/>
      <w:lvlText w:val="%8."/>
      <w:lvlJc w:val="left"/>
      <w:pPr>
        <w:ind w:left="720" w:hanging="360"/>
      </w:pPr>
    </w:lvl>
    <w:lvl w:ilvl="8" w:tplc="A3B87804">
      <w:start w:val="1"/>
      <w:numFmt w:val="decimal"/>
      <w:lvlText w:val="%9."/>
      <w:lvlJc w:val="left"/>
      <w:pPr>
        <w:ind w:left="720" w:hanging="360"/>
      </w:pPr>
    </w:lvl>
  </w:abstractNum>
  <w:abstractNum w:abstractNumId="21"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723F392D"/>
    <w:multiLevelType w:val="hybridMultilevel"/>
    <w:tmpl w:val="57F6F93E"/>
    <w:lvl w:ilvl="0" w:tplc="79701BCC">
      <w:start w:val="1"/>
      <w:numFmt w:val="decimal"/>
      <w:lvlText w:val="%1."/>
      <w:lvlJc w:val="left"/>
      <w:pPr>
        <w:ind w:left="720" w:hanging="360"/>
      </w:pPr>
    </w:lvl>
    <w:lvl w:ilvl="1" w:tplc="A8184310">
      <w:start w:val="1"/>
      <w:numFmt w:val="decimal"/>
      <w:lvlText w:val="%2."/>
      <w:lvlJc w:val="left"/>
      <w:pPr>
        <w:ind w:left="720" w:hanging="360"/>
      </w:pPr>
    </w:lvl>
    <w:lvl w:ilvl="2" w:tplc="3A068284">
      <w:start w:val="1"/>
      <w:numFmt w:val="decimal"/>
      <w:lvlText w:val="%3."/>
      <w:lvlJc w:val="left"/>
      <w:pPr>
        <w:ind w:left="720" w:hanging="360"/>
      </w:pPr>
    </w:lvl>
    <w:lvl w:ilvl="3" w:tplc="8B2EC4E0">
      <w:start w:val="1"/>
      <w:numFmt w:val="decimal"/>
      <w:lvlText w:val="%4."/>
      <w:lvlJc w:val="left"/>
      <w:pPr>
        <w:ind w:left="720" w:hanging="360"/>
      </w:pPr>
    </w:lvl>
    <w:lvl w:ilvl="4" w:tplc="55EA7FBA">
      <w:start w:val="1"/>
      <w:numFmt w:val="decimal"/>
      <w:lvlText w:val="%5."/>
      <w:lvlJc w:val="left"/>
      <w:pPr>
        <w:ind w:left="720" w:hanging="360"/>
      </w:pPr>
    </w:lvl>
    <w:lvl w:ilvl="5" w:tplc="A3B026A4">
      <w:start w:val="1"/>
      <w:numFmt w:val="decimal"/>
      <w:lvlText w:val="%6."/>
      <w:lvlJc w:val="left"/>
      <w:pPr>
        <w:ind w:left="720" w:hanging="360"/>
      </w:pPr>
    </w:lvl>
    <w:lvl w:ilvl="6" w:tplc="C0FAB922">
      <w:start w:val="1"/>
      <w:numFmt w:val="decimal"/>
      <w:lvlText w:val="%7."/>
      <w:lvlJc w:val="left"/>
      <w:pPr>
        <w:ind w:left="720" w:hanging="360"/>
      </w:pPr>
    </w:lvl>
    <w:lvl w:ilvl="7" w:tplc="02F82678">
      <w:start w:val="1"/>
      <w:numFmt w:val="decimal"/>
      <w:lvlText w:val="%8."/>
      <w:lvlJc w:val="left"/>
      <w:pPr>
        <w:ind w:left="720" w:hanging="360"/>
      </w:pPr>
    </w:lvl>
    <w:lvl w:ilvl="8" w:tplc="3A789090">
      <w:start w:val="1"/>
      <w:numFmt w:val="decimal"/>
      <w:lvlText w:val="%9."/>
      <w:lvlJc w:val="left"/>
      <w:pPr>
        <w:ind w:left="720" w:hanging="360"/>
      </w:pPr>
    </w:lvl>
  </w:abstractNum>
  <w:abstractNum w:abstractNumId="23" w15:restartNumberingAfterBreak="0">
    <w:nsid w:val="7D557DA7"/>
    <w:multiLevelType w:val="hybridMultilevel"/>
    <w:tmpl w:val="6B94A8C0"/>
    <w:lvl w:ilvl="0" w:tplc="6380A8CA">
      <w:start w:val="1"/>
      <w:numFmt w:val="decimal"/>
      <w:lvlText w:val="%1."/>
      <w:lvlJc w:val="left"/>
      <w:pPr>
        <w:ind w:left="720" w:hanging="360"/>
      </w:pPr>
    </w:lvl>
    <w:lvl w:ilvl="1" w:tplc="EE2CADE0">
      <w:start w:val="1"/>
      <w:numFmt w:val="decimal"/>
      <w:lvlText w:val="%2."/>
      <w:lvlJc w:val="left"/>
      <w:pPr>
        <w:ind w:left="720" w:hanging="360"/>
      </w:pPr>
    </w:lvl>
    <w:lvl w:ilvl="2" w:tplc="2048DC84">
      <w:start w:val="1"/>
      <w:numFmt w:val="decimal"/>
      <w:lvlText w:val="%3."/>
      <w:lvlJc w:val="left"/>
      <w:pPr>
        <w:ind w:left="720" w:hanging="360"/>
      </w:pPr>
    </w:lvl>
    <w:lvl w:ilvl="3" w:tplc="32EE1D7A">
      <w:start w:val="1"/>
      <w:numFmt w:val="decimal"/>
      <w:lvlText w:val="%4."/>
      <w:lvlJc w:val="left"/>
      <w:pPr>
        <w:ind w:left="720" w:hanging="360"/>
      </w:pPr>
    </w:lvl>
    <w:lvl w:ilvl="4" w:tplc="5C1033F6">
      <w:start w:val="1"/>
      <w:numFmt w:val="decimal"/>
      <w:lvlText w:val="%5."/>
      <w:lvlJc w:val="left"/>
      <w:pPr>
        <w:ind w:left="720" w:hanging="360"/>
      </w:pPr>
    </w:lvl>
    <w:lvl w:ilvl="5" w:tplc="B2889A7C">
      <w:start w:val="1"/>
      <w:numFmt w:val="decimal"/>
      <w:lvlText w:val="%6."/>
      <w:lvlJc w:val="left"/>
      <w:pPr>
        <w:ind w:left="720" w:hanging="360"/>
      </w:pPr>
    </w:lvl>
    <w:lvl w:ilvl="6" w:tplc="2A22CDDC">
      <w:start w:val="1"/>
      <w:numFmt w:val="decimal"/>
      <w:lvlText w:val="%7."/>
      <w:lvlJc w:val="left"/>
      <w:pPr>
        <w:ind w:left="720" w:hanging="360"/>
      </w:pPr>
    </w:lvl>
    <w:lvl w:ilvl="7" w:tplc="04C0B748">
      <w:start w:val="1"/>
      <w:numFmt w:val="decimal"/>
      <w:lvlText w:val="%8."/>
      <w:lvlJc w:val="left"/>
      <w:pPr>
        <w:ind w:left="720" w:hanging="360"/>
      </w:pPr>
    </w:lvl>
    <w:lvl w:ilvl="8" w:tplc="F7286694">
      <w:start w:val="1"/>
      <w:numFmt w:val="decimal"/>
      <w:lvlText w:val="%9."/>
      <w:lvlJc w:val="left"/>
      <w:pPr>
        <w:ind w:left="720" w:hanging="360"/>
      </w:pPr>
    </w:lvl>
  </w:abstractNum>
  <w:num w:numId="1">
    <w:abstractNumId w:val="17"/>
  </w:num>
  <w:num w:numId="2">
    <w:abstractNumId w:val="14"/>
  </w:num>
  <w:num w:numId="3">
    <w:abstractNumId w:val="13"/>
  </w:num>
  <w:num w:numId="4">
    <w:abstractNumId w:val="13"/>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2"/>
  </w:num>
  <w:num w:numId="44">
    <w:abstractNumId w:val="11"/>
  </w:num>
  <w:num w:numId="45">
    <w:abstractNumId w:val="23"/>
  </w:num>
  <w:num w:numId="46">
    <w:abstractNumId w:val="19"/>
  </w:num>
  <w:num w:numId="47">
    <w:abstractNumId w:val="12"/>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numStart w:val="41"/>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8138E"/>
    <w:rsid w:val="000004EA"/>
    <w:rsid w:val="00003688"/>
    <w:rsid w:val="00006E1D"/>
    <w:rsid w:val="00010F4D"/>
    <w:rsid w:val="00011DBB"/>
    <w:rsid w:val="00012ACD"/>
    <w:rsid w:val="00013E78"/>
    <w:rsid w:val="00013EA8"/>
    <w:rsid w:val="000153A7"/>
    <w:rsid w:val="00016BAF"/>
    <w:rsid w:val="000225FE"/>
    <w:rsid w:val="00024BA4"/>
    <w:rsid w:val="000254C5"/>
    <w:rsid w:val="000320E7"/>
    <w:rsid w:val="0003371A"/>
    <w:rsid w:val="00035D8D"/>
    <w:rsid w:val="000371C8"/>
    <w:rsid w:val="00037859"/>
    <w:rsid w:val="000379D2"/>
    <w:rsid w:val="000379D8"/>
    <w:rsid w:val="00037A3F"/>
    <w:rsid w:val="000458B3"/>
    <w:rsid w:val="00050FA2"/>
    <w:rsid w:val="0005205C"/>
    <w:rsid w:val="00052EB0"/>
    <w:rsid w:val="00052F72"/>
    <w:rsid w:val="000541BE"/>
    <w:rsid w:val="000546EB"/>
    <w:rsid w:val="0005496E"/>
    <w:rsid w:val="00054FD5"/>
    <w:rsid w:val="000622DA"/>
    <w:rsid w:val="000629BF"/>
    <w:rsid w:val="000635BE"/>
    <w:rsid w:val="000639CA"/>
    <w:rsid w:val="000650EF"/>
    <w:rsid w:val="000662CF"/>
    <w:rsid w:val="00072353"/>
    <w:rsid w:val="0007268A"/>
    <w:rsid w:val="00072E54"/>
    <w:rsid w:val="000734A9"/>
    <w:rsid w:val="00073D0A"/>
    <w:rsid w:val="00073D81"/>
    <w:rsid w:val="00073D8C"/>
    <w:rsid w:val="00074803"/>
    <w:rsid w:val="0007637F"/>
    <w:rsid w:val="000764FB"/>
    <w:rsid w:val="0007713E"/>
    <w:rsid w:val="000773ED"/>
    <w:rsid w:val="00077ED7"/>
    <w:rsid w:val="00082584"/>
    <w:rsid w:val="000834EA"/>
    <w:rsid w:val="0008399A"/>
    <w:rsid w:val="0008597F"/>
    <w:rsid w:val="00086242"/>
    <w:rsid w:val="0008725B"/>
    <w:rsid w:val="0008742B"/>
    <w:rsid w:val="00090B73"/>
    <w:rsid w:val="00091534"/>
    <w:rsid w:val="0009270B"/>
    <w:rsid w:val="00092857"/>
    <w:rsid w:val="00093367"/>
    <w:rsid w:val="000936D2"/>
    <w:rsid w:val="00094377"/>
    <w:rsid w:val="000A35BC"/>
    <w:rsid w:val="000A3EBF"/>
    <w:rsid w:val="000A448C"/>
    <w:rsid w:val="000A5E1B"/>
    <w:rsid w:val="000A7A08"/>
    <w:rsid w:val="000B08CE"/>
    <w:rsid w:val="000B1A9E"/>
    <w:rsid w:val="000B1B7F"/>
    <w:rsid w:val="000B38A8"/>
    <w:rsid w:val="000B6732"/>
    <w:rsid w:val="000B6D6A"/>
    <w:rsid w:val="000B705E"/>
    <w:rsid w:val="000B72BF"/>
    <w:rsid w:val="000C0EBF"/>
    <w:rsid w:val="000C117D"/>
    <w:rsid w:val="000C153B"/>
    <w:rsid w:val="000C433B"/>
    <w:rsid w:val="000C555A"/>
    <w:rsid w:val="000C560B"/>
    <w:rsid w:val="000D0B7D"/>
    <w:rsid w:val="000D11CB"/>
    <w:rsid w:val="000D500F"/>
    <w:rsid w:val="000D78F4"/>
    <w:rsid w:val="000E104A"/>
    <w:rsid w:val="000E105B"/>
    <w:rsid w:val="000E1427"/>
    <w:rsid w:val="000E149B"/>
    <w:rsid w:val="000E2990"/>
    <w:rsid w:val="000E443D"/>
    <w:rsid w:val="000E4BA4"/>
    <w:rsid w:val="000E53B9"/>
    <w:rsid w:val="000E77D7"/>
    <w:rsid w:val="000F00AB"/>
    <w:rsid w:val="000F153B"/>
    <w:rsid w:val="000F3487"/>
    <w:rsid w:val="000F7311"/>
    <w:rsid w:val="000F7CEC"/>
    <w:rsid w:val="0010279D"/>
    <w:rsid w:val="00102842"/>
    <w:rsid w:val="00103F65"/>
    <w:rsid w:val="00103FFA"/>
    <w:rsid w:val="0010486A"/>
    <w:rsid w:val="00105D24"/>
    <w:rsid w:val="001068AD"/>
    <w:rsid w:val="00107CA0"/>
    <w:rsid w:val="00107E4F"/>
    <w:rsid w:val="0011175D"/>
    <w:rsid w:val="00112031"/>
    <w:rsid w:val="00113AA4"/>
    <w:rsid w:val="00114AD8"/>
    <w:rsid w:val="001156C2"/>
    <w:rsid w:val="001157D2"/>
    <w:rsid w:val="0011655C"/>
    <w:rsid w:val="00117663"/>
    <w:rsid w:val="001231EE"/>
    <w:rsid w:val="001238B3"/>
    <w:rsid w:val="00123C44"/>
    <w:rsid w:val="00123D8B"/>
    <w:rsid w:val="00125C81"/>
    <w:rsid w:val="001274EE"/>
    <w:rsid w:val="00131057"/>
    <w:rsid w:val="00131329"/>
    <w:rsid w:val="00131DDF"/>
    <w:rsid w:val="001337C5"/>
    <w:rsid w:val="0013395D"/>
    <w:rsid w:val="00133CBD"/>
    <w:rsid w:val="00134852"/>
    <w:rsid w:val="00134883"/>
    <w:rsid w:val="001359CF"/>
    <w:rsid w:val="00136D67"/>
    <w:rsid w:val="00141B90"/>
    <w:rsid w:val="00144E88"/>
    <w:rsid w:val="001464F4"/>
    <w:rsid w:val="00147231"/>
    <w:rsid w:val="001472CA"/>
    <w:rsid w:val="001473F8"/>
    <w:rsid w:val="00151DD4"/>
    <w:rsid w:val="001523F6"/>
    <w:rsid w:val="00152CF3"/>
    <w:rsid w:val="00153129"/>
    <w:rsid w:val="00157658"/>
    <w:rsid w:val="00160928"/>
    <w:rsid w:val="001611E4"/>
    <w:rsid w:val="0016336E"/>
    <w:rsid w:val="00163B77"/>
    <w:rsid w:val="00163CE9"/>
    <w:rsid w:val="00163F84"/>
    <w:rsid w:val="0016404C"/>
    <w:rsid w:val="0017008B"/>
    <w:rsid w:val="001703FB"/>
    <w:rsid w:val="00170877"/>
    <w:rsid w:val="00172129"/>
    <w:rsid w:val="00172CFE"/>
    <w:rsid w:val="0017305C"/>
    <w:rsid w:val="00175AB5"/>
    <w:rsid w:val="00177C24"/>
    <w:rsid w:val="00181432"/>
    <w:rsid w:val="00182F99"/>
    <w:rsid w:val="00186079"/>
    <w:rsid w:val="00187136"/>
    <w:rsid w:val="00187244"/>
    <w:rsid w:val="00190F5C"/>
    <w:rsid w:val="0019115B"/>
    <w:rsid w:val="00192530"/>
    <w:rsid w:val="00196336"/>
    <w:rsid w:val="001970E6"/>
    <w:rsid w:val="001A11FA"/>
    <w:rsid w:val="001A258B"/>
    <w:rsid w:val="001A4488"/>
    <w:rsid w:val="001A5A92"/>
    <w:rsid w:val="001A7712"/>
    <w:rsid w:val="001B74E8"/>
    <w:rsid w:val="001C29BA"/>
    <w:rsid w:val="001C2F7D"/>
    <w:rsid w:val="001C4CBC"/>
    <w:rsid w:val="001C5E21"/>
    <w:rsid w:val="001C67AE"/>
    <w:rsid w:val="001C6885"/>
    <w:rsid w:val="001D2C8E"/>
    <w:rsid w:val="001D2E4E"/>
    <w:rsid w:val="001D33D6"/>
    <w:rsid w:val="001D39C8"/>
    <w:rsid w:val="001D4095"/>
    <w:rsid w:val="001D4C3A"/>
    <w:rsid w:val="001D6F21"/>
    <w:rsid w:val="001E00CA"/>
    <w:rsid w:val="001E1F7B"/>
    <w:rsid w:val="001E4733"/>
    <w:rsid w:val="001E6FD3"/>
    <w:rsid w:val="001F011F"/>
    <w:rsid w:val="001F08E1"/>
    <w:rsid w:val="001F1D8F"/>
    <w:rsid w:val="001F2723"/>
    <w:rsid w:val="001F35C5"/>
    <w:rsid w:val="002014DA"/>
    <w:rsid w:val="002018B1"/>
    <w:rsid w:val="00201A77"/>
    <w:rsid w:val="00206801"/>
    <w:rsid w:val="00206A05"/>
    <w:rsid w:val="00207CBC"/>
    <w:rsid w:val="0021368A"/>
    <w:rsid w:val="0021506B"/>
    <w:rsid w:val="002175AE"/>
    <w:rsid w:val="00220C6B"/>
    <w:rsid w:val="0022358A"/>
    <w:rsid w:val="00223969"/>
    <w:rsid w:val="00225000"/>
    <w:rsid w:val="00227446"/>
    <w:rsid w:val="00230B72"/>
    <w:rsid w:val="00231416"/>
    <w:rsid w:val="0023502D"/>
    <w:rsid w:val="00235FD3"/>
    <w:rsid w:val="00237F04"/>
    <w:rsid w:val="002409F3"/>
    <w:rsid w:val="00240C12"/>
    <w:rsid w:val="00242462"/>
    <w:rsid w:val="00242479"/>
    <w:rsid w:val="00243205"/>
    <w:rsid w:val="00243F30"/>
    <w:rsid w:val="0024521A"/>
    <w:rsid w:val="002465BF"/>
    <w:rsid w:val="00247568"/>
    <w:rsid w:val="00250208"/>
    <w:rsid w:val="00251D6D"/>
    <w:rsid w:val="002539F4"/>
    <w:rsid w:val="002541E7"/>
    <w:rsid w:val="0025487F"/>
    <w:rsid w:val="0025550A"/>
    <w:rsid w:val="002569A1"/>
    <w:rsid w:val="00256FF9"/>
    <w:rsid w:val="00260AF4"/>
    <w:rsid w:val="00260D30"/>
    <w:rsid w:val="00261F2B"/>
    <w:rsid w:val="0026229C"/>
    <w:rsid w:val="00262F6A"/>
    <w:rsid w:val="002647F6"/>
    <w:rsid w:val="0026549F"/>
    <w:rsid w:val="00267200"/>
    <w:rsid w:val="00267660"/>
    <w:rsid w:val="002704D4"/>
    <w:rsid w:val="0027092A"/>
    <w:rsid w:val="00272255"/>
    <w:rsid w:val="00274924"/>
    <w:rsid w:val="002764DA"/>
    <w:rsid w:val="00276FDF"/>
    <w:rsid w:val="0027752E"/>
    <w:rsid w:val="0027782A"/>
    <w:rsid w:val="002800A9"/>
    <w:rsid w:val="00281716"/>
    <w:rsid w:val="002843E7"/>
    <w:rsid w:val="00285BD6"/>
    <w:rsid w:val="00285CD7"/>
    <w:rsid w:val="00286AF9"/>
    <w:rsid w:val="00287FD8"/>
    <w:rsid w:val="002904B2"/>
    <w:rsid w:val="00290AB1"/>
    <w:rsid w:val="00290DEF"/>
    <w:rsid w:val="00293B94"/>
    <w:rsid w:val="002952E2"/>
    <w:rsid w:val="002974DA"/>
    <w:rsid w:val="002A0611"/>
    <w:rsid w:val="002A06AB"/>
    <w:rsid w:val="002A0AE2"/>
    <w:rsid w:val="002A11AF"/>
    <w:rsid w:val="002A11CB"/>
    <w:rsid w:val="002A4312"/>
    <w:rsid w:val="002A55B4"/>
    <w:rsid w:val="002A6A16"/>
    <w:rsid w:val="002B09B3"/>
    <w:rsid w:val="002B1C9E"/>
    <w:rsid w:val="002B5BE9"/>
    <w:rsid w:val="002B6106"/>
    <w:rsid w:val="002B6F30"/>
    <w:rsid w:val="002C2097"/>
    <w:rsid w:val="002C3DEB"/>
    <w:rsid w:val="002C4989"/>
    <w:rsid w:val="002C596C"/>
    <w:rsid w:val="002C5CD8"/>
    <w:rsid w:val="002C6B2C"/>
    <w:rsid w:val="002C6E6E"/>
    <w:rsid w:val="002D56CF"/>
    <w:rsid w:val="002D6267"/>
    <w:rsid w:val="002D63CE"/>
    <w:rsid w:val="002D6E82"/>
    <w:rsid w:val="002D789E"/>
    <w:rsid w:val="002D7D49"/>
    <w:rsid w:val="002E1DEE"/>
    <w:rsid w:val="002E3835"/>
    <w:rsid w:val="002E638A"/>
    <w:rsid w:val="002E785C"/>
    <w:rsid w:val="002E7B71"/>
    <w:rsid w:val="002F15B9"/>
    <w:rsid w:val="002F3474"/>
    <w:rsid w:val="002F40F3"/>
    <w:rsid w:val="002F4E32"/>
    <w:rsid w:val="002F65DD"/>
    <w:rsid w:val="003000BD"/>
    <w:rsid w:val="00300173"/>
    <w:rsid w:val="003027E7"/>
    <w:rsid w:val="00303D1F"/>
    <w:rsid w:val="00305105"/>
    <w:rsid w:val="003055F0"/>
    <w:rsid w:val="003079F2"/>
    <w:rsid w:val="003113AE"/>
    <w:rsid w:val="00312688"/>
    <w:rsid w:val="00312F0D"/>
    <w:rsid w:val="0031408E"/>
    <w:rsid w:val="00314711"/>
    <w:rsid w:val="00315504"/>
    <w:rsid w:val="00315A72"/>
    <w:rsid w:val="00316315"/>
    <w:rsid w:val="003175FD"/>
    <w:rsid w:val="003236A0"/>
    <w:rsid w:val="003256B6"/>
    <w:rsid w:val="00325E1E"/>
    <w:rsid w:val="00327594"/>
    <w:rsid w:val="003303B0"/>
    <w:rsid w:val="0033102D"/>
    <w:rsid w:val="0033240A"/>
    <w:rsid w:val="0033401F"/>
    <w:rsid w:val="003340DD"/>
    <w:rsid w:val="003342C1"/>
    <w:rsid w:val="003343FC"/>
    <w:rsid w:val="003366D4"/>
    <w:rsid w:val="0033673B"/>
    <w:rsid w:val="00337E17"/>
    <w:rsid w:val="003401D7"/>
    <w:rsid w:val="00340CDE"/>
    <w:rsid w:val="00340DCF"/>
    <w:rsid w:val="0034190E"/>
    <w:rsid w:val="003421CD"/>
    <w:rsid w:val="003448CA"/>
    <w:rsid w:val="00344AA8"/>
    <w:rsid w:val="003451F5"/>
    <w:rsid w:val="003453FA"/>
    <w:rsid w:val="003474A6"/>
    <w:rsid w:val="003478ED"/>
    <w:rsid w:val="003506C0"/>
    <w:rsid w:val="0035093C"/>
    <w:rsid w:val="00350DF5"/>
    <w:rsid w:val="00351EBA"/>
    <w:rsid w:val="00360947"/>
    <w:rsid w:val="0036099C"/>
    <w:rsid w:val="003609BA"/>
    <w:rsid w:val="003644C5"/>
    <w:rsid w:val="00364C10"/>
    <w:rsid w:val="0036630F"/>
    <w:rsid w:val="00370BE1"/>
    <w:rsid w:val="003714DF"/>
    <w:rsid w:val="00376330"/>
    <w:rsid w:val="00376CF2"/>
    <w:rsid w:val="0037703B"/>
    <w:rsid w:val="00377927"/>
    <w:rsid w:val="00381D29"/>
    <w:rsid w:val="0038230A"/>
    <w:rsid w:val="00382B84"/>
    <w:rsid w:val="00382E3D"/>
    <w:rsid w:val="003835A0"/>
    <w:rsid w:val="003840F6"/>
    <w:rsid w:val="00384F17"/>
    <w:rsid w:val="003852D8"/>
    <w:rsid w:val="00387692"/>
    <w:rsid w:val="003902AD"/>
    <w:rsid w:val="00394C8E"/>
    <w:rsid w:val="00396AF5"/>
    <w:rsid w:val="003A2BE8"/>
    <w:rsid w:val="003A306D"/>
    <w:rsid w:val="003A3AC2"/>
    <w:rsid w:val="003A4162"/>
    <w:rsid w:val="003A6D19"/>
    <w:rsid w:val="003B3670"/>
    <w:rsid w:val="003B40B8"/>
    <w:rsid w:val="003B41A7"/>
    <w:rsid w:val="003B5764"/>
    <w:rsid w:val="003B5B14"/>
    <w:rsid w:val="003B6E28"/>
    <w:rsid w:val="003C1276"/>
    <w:rsid w:val="003C1580"/>
    <w:rsid w:val="003C1CA4"/>
    <w:rsid w:val="003C2D4E"/>
    <w:rsid w:val="003C4A63"/>
    <w:rsid w:val="003C62EE"/>
    <w:rsid w:val="003C6532"/>
    <w:rsid w:val="003C73F8"/>
    <w:rsid w:val="003C7523"/>
    <w:rsid w:val="003C7BDE"/>
    <w:rsid w:val="003C7F9D"/>
    <w:rsid w:val="003D2160"/>
    <w:rsid w:val="003D2322"/>
    <w:rsid w:val="003D3CA9"/>
    <w:rsid w:val="003D5C17"/>
    <w:rsid w:val="003D638A"/>
    <w:rsid w:val="003E28F9"/>
    <w:rsid w:val="003E4560"/>
    <w:rsid w:val="003F1ECF"/>
    <w:rsid w:val="003F2CBE"/>
    <w:rsid w:val="003F2F00"/>
    <w:rsid w:val="003F42F4"/>
    <w:rsid w:val="003F4A72"/>
    <w:rsid w:val="003F657B"/>
    <w:rsid w:val="003F7049"/>
    <w:rsid w:val="003F78A8"/>
    <w:rsid w:val="0040049A"/>
    <w:rsid w:val="00401555"/>
    <w:rsid w:val="0040293E"/>
    <w:rsid w:val="00404D7B"/>
    <w:rsid w:val="00405DBE"/>
    <w:rsid w:val="00407E5F"/>
    <w:rsid w:val="00410AC2"/>
    <w:rsid w:val="00412976"/>
    <w:rsid w:val="00412B03"/>
    <w:rsid w:val="00412D91"/>
    <w:rsid w:val="00414589"/>
    <w:rsid w:val="00414D61"/>
    <w:rsid w:val="00416207"/>
    <w:rsid w:val="00421A25"/>
    <w:rsid w:val="00421FA2"/>
    <w:rsid w:val="004233DE"/>
    <w:rsid w:val="00423AC5"/>
    <w:rsid w:val="00426E52"/>
    <w:rsid w:val="00427ADC"/>
    <w:rsid w:val="00433CC1"/>
    <w:rsid w:val="0043618E"/>
    <w:rsid w:val="004363F3"/>
    <w:rsid w:val="00436CE5"/>
    <w:rsid w:val="0044032A"/>
    <w:rsid w:val="00441C7C"/>
    <w:rsid w:val="004422B1"/>
    <w:rsid w:val="00442F04"/>
    <w:rsid w:val="00443398"/>
    <w:rsid w:val="00443B3B"/>
    <w:rsid w:val="0044577A"/>
    <w:rsid w:val="00446BD0"/>
    <w:rsid w:val="00446C5E"/>
    <w:rsid w:val="00446D71"/>
    <w:rsid w:val="004476ED"/>
    <w:rsid w:val="00447E2C"/>
    <w:rsid w:val="004534A0"/>
    <w:rsid w:val="00453DB9"/>
    <w:rsid w:val="004545FD"/>
    <w:rsid w:val="00454D5E"/>
    <w:rsid w:val="00454DB8"/>
    <w:rsid w:val="0045580D"/>
    <w:rsid w:val="004560F9"/>
    <w:rsid w:val="004579F9"/>
    <w:rsid w:val="0046391C"/>
    <w:rsid w:val="00463EDB"/>
    <w:rsid w:val="00467050"/>
    <w:rsid w:val="0046741F"/>
    <w:rsid w:val="004727CA"/>
    <w:rsid w:val="00474C5B"/>
    <w:rsid w:val="004759DD"/>
    <w:rsid w:val="00476158"/>
    <w:rsid w:val="0047688C"/>
    <w:rsid w:val="00477FC6"/>
    <w:rsid w:val="00480091"/>
    <w:rsid w:val="00480BA5"/>
    <w:rsid w:val="00481872"/>
    <w:rsid w:val="00481A1C"/>
    <w:rsid w:val="004822C4"/>
    <w:rsid w:val="00482BF5"/>
    <w:rsid w:val="0048563A"/>
    <w:rsid w:val="004869AF"/>
    <w:rsid w:val="00486E72"/>
    <w:rsid w:val="0049073F"/>
    <w:rsid w:val="00491482"/>
    <w:rsid w:val="00491704"/>
    <w:rsid w:val="004918E7"/>
    <w:rsid w:val="00494689"/>
    <w:rsid w:val="00495F51"/>
    <w:rsid w:val="004A00B7"/>
    <w:rsid w:val="004A2765"/>
    <w:rsid w:val="004A2E9A"/>
    <w:rsid w:val="004A5EC4"/>
    <w:rsid w:val="004A7154"/>
    <w:rsid w:val="004A7F7F"/>
    <w:rsid w:val="004B0DDC"/>
    <w:rsid w:val="004B129D"/>
    <w:rsid w:val="004B274E"/>
    <w:rsid w:val="004B52EE"/>
    <w:rsid w:val="004B553D"/>
    <w:rsid w:val="004B559A"/>
    <w:rsid w:val="004B6ABC"/>
    <w:rsid w:val="004B70C8"/>
    <w:rsid w:val="004B714E"/>
    <w:rsid w:val="004B7341"/>
    <w:rsid w:val="004B76A5"/>
    <w:rsid w:val="004B7B76"/>
    <w:rsid w:val="004C1866"/>
    <w:rsid w:val="004C1E24"/>
    <w:rsid w:val="004C272C"/>
    <w:rsid w:val="004C314A"/>
    <w:rsid w:val="004C3F27"/>
    <w:rsid w:val="004D1ACD"/>
    <w:rsid w:val="004D1BA5"/>
    <w:rsid w:val="004D20C4"/>
    <w:rsid w:val="004D44B4"/>
    <w:rsid w:val="004D5358"/>
    <w:rsid w:val="004D635E"/>
    <w:rsid w:val="004D7375"/>
    <w:rsid w:val="004D7789"/>
    <w:rsid w:val="004E0400"/>
    <w:rsid w:val="004E1FEC"/>
    <w:rsid w:val="004E21E9"/>
    <w:rsid w:val="004E3665"/>
    <w:rsid w:val="004E3F39"/>
    <w:rsid w:val="004E71E9"/>
    <w:rsid w:val="004F07D2"/>
    <w:rsid w:val="004F1CE8"/>
    <w:rsid w:val="004F26D7"/>
    <w:rsid w:val="004F3C57"/>
    <w:rsid w:val="004F3FD9"/>
    <w:rsid w:val="004F60DD"/>
    <w:rsid w:val="004F667D"/>
    <w:rsid w:val="004F66CC"/>
    <w:rsid w:val="0050046B"/>
    <w:rsid w:val="0050048C"/>
    <w:rsid w:val="005013C2"/>
    <w:rsid w:val="00501D7B"/>
    <w:rsid w:val="005027D5"/>
    <w:rsid w:val="0050287A"/>
    <w:rsid w:val="0050354A"/>
    <w:rsid w:val="00505B33"/>
    <w:rsid w:val="00505C2F"/>
    <w:rsid w:val="00510497"/>
    <w:rsid w:val="005136A4"/>
    <w:rsid w:val="00513FCE"/>
    <w:rsid w:val="00514771"/>
    <w:rsid w:val="005151D9"/>
    <w:rsid w:val="005151E6"/>
    <w:rsid w:val="005155E6"/>
    <w:rsid w:val="00515B61"/>
    <w:rsid w:val="00515E60"/>
    <w:rsid w:val="00517256"/>
    <w:rsid w:val="00520831"/>
    <w:rsid w:val="00524D2F"/>
    <w:rsid w:val="00526ED0"/>
    <w:rsid w:val="00532259"/>
    <w:rsid w:val="00533D13"/>
    <w:rsid w:val="005340C4"/>
    <w:rsid w:val="005341B3"/>
    <w:rsid w:val="005345F1"/>
    <w:rsid w:val="00536864"/>
    <w:rsid w:val="0054149E"/>
    <w:rsid w:val="0054173B"/>
    <w:rsid w:val="0054355B"/>
    <w:rsid w:val="0054390B"/>
    <w:rsid w:val="00545AA7"/>
    <w:rsid w:val="005476BD"/>
    <w:rsid w:val="00547B0E"/>
    <w:rsid w:val="005505EA"/>
    <w:rsid w:val="00551508"/>
    <w:rsid w:val="00551E91"/>
    <w:rsid w:val="00553321"/>
    <w:rsid w:val="005543D1"/>
    <w:rsid w:val="00554845"/>
    <w:rsid w:val="00555B62"/>
    <w:rsid w:val="0056137A"/>
    <w:rsid w:val="005642C7"/>
    <w:rsid w:val="0057031D"/>
    <w:rsid w:val="00571D97"/>
    <w:rsid w:val="00572B8D"/>
    <w:rsid w:val="00574C37"/>
    <w:rsid w:val="00577F23"/>
    <w:rsid w:val="00580067"/>
    <w:rsid w:val="00580760"/>
    <w:rsid w:val="005814CF"/>
    <w:rsid w:val="005820BF"/>
    <w:rsid w:val="00582533"/>
    <w:rsid w:val="0058309A"/>
    <w:rsid w:val="00583931"/>
    <w:rsid w:val="00583C0A"/>
    <w:rsid w:val="0058792A"/>
    <w:rsid w:val="00592B66"/>
    <w:rsid w:val="00593709"/>
    <w:rsid w:val="00593940"/>
    <w:rsid w:val="00596315"/>
    <w:rsid w:val="00597C93"/>
    <w:rsid w:val="005A190B"/>
    <w:rsid w:val="005A2475"/>
    <w:rsid w:val="005A3823"/>
    <w:rsid w:val="005A41C4"/>
    <w:rsid w:val="005A4270"/>
    <w:rsid w:val="005A43A4"/>
    <w:rsid w:val="005A4C5E"/>
    <w:rsid w:val="005A5380"/>
    <w:rsid w:val="005A6F5F"/>
    <w:rsid w:val="005B03D6"/>
    <w:rsid w:val="005B1182"/>
    <w:rsid w:val="005B2F30"/>
    <w:rsid w:val="005B3010"/>
    <w:rsid w:val="005B32B5"/>
    <w:rsid w:val="005B43BF"/>
    <w:rsid w:val="005B4B2F"/>
    <w:rsid w:val="005B5C40"/>
    <w:rsid w:val="005B6CBF"/>
    <w:rsid w:val="005C272A"/>
    <w:rsid w:val="005C47FB"/>
    <w:rsid w:val="005C5467"/>
    <w:rsid w:val="005C7C7B"/>
    <w:rsid w:val="005D104D"/>
    <w:rsid w:val="005D1227"/>
    <w:rsid w:val="005D23CB"/>
    <w:rsid w:val="005D2629"/>
    <w:rsid w:val="005D426B"/>
    <w:rsid w:val="005D55FC"/>
    <w:rsid w:val="005D6ADA"/>
    <w:rsid w:val="005E026F"/>
    <w:rsid w:val="005E2CD7"/>
    <w:rsid w:val="005E3009"/>
    <w:rsid w:val="005E3047"/>
    <w:rsid w:val="005E4926"/>
    <w:rsid w:val="005E4F85"/>
    <w:rsid w:val="005E69D5"/>
    <w:rsid w:val="005E792C"/>
    <w:rsid w:val="005F0B8C"/>
    <w:rsid w:val="005F0D8A"/>
    <w:rsid w:val="005F3A6C"/>
    <w:rsid w:val="005F463F"/>
    <w:rsid w:val="005F7EE8"/>
    <w:rsid w:val="00600386"/>
    <w:rsid w:val="0060159B"/>
    <w:rsid w:val="00602409"/>
    <w:rsid w:val="0060305C"/>
    <w:rsid w:val="006031D4"/>
    <w:rsid w:val="00603DAA"/>
    <w:rsid w:val="006049E3"/>
    <w:rsid w:val="00606B98"/>
    <w:rsid w:val="00606E52"/>
    <w:rsid w:val="00607B22"/>
    <w:rsid w:val="006113A8"/>
    <w:rsid w:val="00614554"/>
    <w:rsid w:val="00614648"/>
    <w:rsid w:val="00614FC4"/>
    <w:rsid w:val="0061525C"/>
    <w:rsid w:val="00615F38"/>
    <w:rsid w:val="006164F5"/>
    <w:rsid w:val="006170FC"/>
    <w:rsid w:val="006178FC"/>
    <w:rsid w:val="00622CDB"/>
    <w:rsid w:val="0062402C"/>
    <w:rsid w:val="006264FA"/>
    <w:rsid w:val="00630993"/>
    <w:rsid w:val="006324BA"/>
    <w:rsid w:val="00634A91"/>
    <w:rsid w:val="00636EFD"/>
    <w:rsid w:val="00637558"/>
    <w:rsid w:val="006377C7"/>
    <w:rsid w:val="00637B11"/>
    <w:rsid w:val="006425E3"/>
    <w:rsid w:val="00642943"/>
    <w:rsid w:val="00642B08"/>
    <w:rsid w:val="00642BAB"/>
    <w:rsid w:val="0064368B"/>
    <w:rsid w:val="006440EA"/>
    <w:rsid w:val="00645E36"/>
    <w:rsid w:val="00646714"/>
    <w:rsid w:val="006474F6"/>
    <w:rsid w:val="0064773D"/>
    <w:rsid w:val="006523C8"/>
    <w:rsid w:val="006537F9"/>
    <w:rsid w:val="00653C9C"/>
    <w:rsid w:val="00653D2B"/>
    <w:rsid w:val="00654D36"/>
    <w:rsid w:val="006568AA"/>
    <w:rsid w:val="00660E13"/>
    <w:rsid w:val="00663990"/>
    <w:rsid w:val="00664F1B"/>
    <w:rsid w:val="00666EE2"/>
    <w:rsid w:val="00667D83"/>
    <w:rsid w:val="00667FE2"/>
    <w:rsid w:val="00670538"/>
    <w:rsid w:val="00670AFB"/>
    <w:rsid w:val="00670E5F"/>
    <w:rsid w:val="00672D6C"/>
    <w:rsid w:val="00672F85"/>
    <w:rsid w:val="00673936"/>
    <w:rsid w:val="00673B1D"/>
    <w:rsid w:val="00673E14"/>
    <w:rsid w:val="00674B8F"/>
    <w:rsid w:val="00677EBB"/>
    <w:rsid w:val="00680768"/>
    <w:rsid w:val="00681870"/>
    <w:rsid w:val="006824C4"/>
    <w:rsid w:val="00682D05"/>
    <w:rsid w:val="00683936"/>
    <w:rsid w:val="006839E4"/>
    <w:rsid w:val="00684DD3"/>
    <w:rsid w:val="0068550A"/>
    <w:rsid w:val="00686701"/>
    <w:rsid w:val="00692105"/>
    <w:rsid w:val="00692148"/>
    <w:rsid w:val="0069262F"/>
    <w:rsid w:val="00692BED"/>
    <w:rsid w:val="00694045"/>
    <w:rsid w:val="00694E07"/>
    <w:rsid w:val="006951D1"/>
    <w:rsid w:val="00695BFB"/>
    <w:rsid w:val="00695C86"/>
    <w:rsid w:val="00695CF3"/>
    <w:rsid w:val="00697375"/>
    <w:rsid w:val="006A0993"/>
    <w:rsid w:val="006A12BB"/>
    <w:rsid w:val="006A14AA"/>
    <w:rsid w:val="006A2729"/>
    <w:rsid w:val="006A3868"/>
    <w:rsid w:val="006A5BA8"/>
    <w:rsid w:val="006B4293"/>
    <w:rsid w:val="006B46E6"/>
    <w:rsid w:val="006B6811"/>
    <w:rsid w:val="006C08A4"/>
    <w:rsid w:val="006C1120"/>
    <w:rsid w:val="006C1494"/>
    <w:rsid w:val="006C2FC7"/>
    <w:rsid w:val="006C38D1"/>
    <w:rsid w:val="006C3E1F"/>
    <w:rsid w:val="006C4809"/>
    <w:rsid w:val="006C49AB"/>
    <w:rsid w:val="006C4A90"/>
    <w:rsid w:val="006C4AC8"/>
    <w:rsid w:val="006C5387"/>
    <w:rsid w:val="006C7A8B"/>
    <w:rsid w:val="006D3958"/>
    <w:rsid w:val="006D42A5"/>
    <w:rsid w:val="006D4A4D"/>
    <w:rsid w:val="006D546C"/>
    <w:rsid w:val="006D6DC2"/>
    <w:rsid w:val="006D6F7B"/>
    <w:rsid w:val="006E0557"/>
    <w:rsid w:val="006E2099"/>
    <w:rsid w:val="006E4614"/>
    <w:rsid w:val="006E64A5"/>
    <w:rsid w:val="006E6993"/>
    <w:rsid w:val="006E7F46"/>
    <w:rsid w:val="006F0C9E"/>
    <w:rsid w:val="006F1DBA"/>
    <w:rsid w:val="006F2C0F"/>
    <w:rsid w:val="006F2C89"/>
    <w:rsid w:val="006F3CBF"/>
    <w:rsid w:val="006F403D"/>
    <w:rsid w:val="006F695F"/>
    <w:rsid w:val="006F759F"/>
    <w:rsid w:val="00700A65"/>
    <w:rsid w:val="0070208B"/>
    <w:rsid w:val="00702304"/>
    <w:rsid w:val="007034E2"/>
    <w:rsid w:val="00703D91"/>
    <w:rsid w:val="0070586C"/>
    <w:rsid w:val="0070597D"/>
    <w:rsid w:val="00705A23"/>
    <w:rsid w:val="00707AD7"/>
    <w:rsid w:val="00711F7D"/>
    <w:rsid w:val="007169F1"/>
    <w:rsid w:val="0072042D"/>
    <w:rsid w:val="007218B8"/>
    <w:rsid w:val="007226FC"/>
    <w:rsid w:val="0072449F"/>
    <w:rsid w:val="00724953"/>
    <w:rsid w:val="00727FA3"/>
    <w:rsid w:val="00730D64"/>
    <w:rsid w:val="00730DFE"/>
    <w:rsid w:val="00731590"/>
    <w:rsid w:val="007330F4"/>
    <w:rsid w:val="00742099"/>
    <w:rsid w:val="0074216F"/>
    <w:rsid w:val="00742DDA"/>
    <w:rsid w:val="00743547"/>
    <w:rsid w:val="00744177"/>
    <w:rsid w:val="0074527D"/>
    <w:rsid w:val="00753673"/>
    <w:rsid w:val="007545A8"/>
    <w:rsid w:val="00754CF2"/>
    <w:rsid w:val="00755F34"/>
    <w:rsid w:val="00763A88"/>
    <w:rsid w:val="00765635"/>
    <w:rsid w:val="007656D8"/>
    <w:rsid w:val="00767883"/>
    <w:rsid w:val="0076799A"/>
    <w:rsid w:val="00767A19"/>
    <w:rsid w:val="007703C7"/>
    <w:rsid w:val="007729B2"/>
    <w:rsid w:val="0077471E"/>
    <w:rsid w:val="00774B05"/>
    <w:rsid w:val="00777090"/>
    <w:rsid w:val="00782067"/>
    <w:rsid w:val="0078284D"/>
    <w:rsid w:val="00783332"/>
    <w:rsid w:val="00783625"/>
    <w:rsid w:val="00787DEE"/>
    <w:rsid w:val="0079061B"/>
    <w:rsid w:val="00791275"/>
    <w:rsid w:val="007913DD"/>
    <w:rsid w:val="00792F0C"/>
    <w:rsid w:val="00795632"/>
    <w:rsid w:val="0079697A"/>
    <w:rsid w:val="00797D72"/>
    <w:rsid w:val="007A0AAF"/>
    <w:rsid w:val="007A6050"/>
    <w:rsid w:val="007B2839"/>
    <w:rsid w:val="007B28C7"/>
    <w:rsid w:val="007B2CBA"/>
    <w:rsid w:val="007B7492"/>
    <w:rsid w:val="007B793F"/>
    <w:rsid w:val="007C0931"/>
    <w:rsid w:val="007C2213"/>
    <w:rsid w:val="007C45FA"/>
    <w:rsid w:val="007C5D98"/>
    <w:rsid w:val="007C5E60"/>
    <w:rsid w:val="007D014C"/>
    <w:rsid w:val="007D0EF7"/>
    <w:rsid w:val="007D11F4"/>
    <w:rsid w:val="007D15FB"/>
    <w:rsid w:val="007D4853"/>
    <w:rsid w:val="007D50F6"/>
    <w:rsid w:val="007D5AEF"/>
    <w:rsid w:val="007D7356"/>
    <w:rsid w:val="007D738F"/>
    <w:rsid w:val="007D7862"/>
    <w:rsid w:val="007E2255"/>
    <w:rsid w:val="007E4058"/>
    <w:rsid w:val="007E4A61"/>
    <w:rsid w:val="007E79C0"/>
    <w:rsid w:val="007F1662"/>
    <w:rsid w:val="007F279C"/>
    <w:rsid w:val="007F3977"/>
    <w:rsid w:val="007F4BB2"/>
    <w:rsid w:val="007F5396"/>
    <w:rsid w:val="007F62E9"/>
    <w:rsid w:val="008023B5"/>
    <w:rsid w:val="00802A7A"/>
    <w:rsid w:val="00803E09"/>
    <w:rsid w:val="00803F11"/>
    <w:rsid w:val="00807173"/>
    <w:rsid w:val="00807F9E"/>
    <w:rsid w:val="008110A6"/>
    <w:rsid w:val="00812DFA"/>
    <w:rsid w:val="00814B59"/>
    <w:rsid w:val="0081569B"/>
    <w:rsid w:val="00816CB7"/>
    <w:rsid w:val="008211E8"/>
    <w:rsid w:val="00821E6B"/>
    <w:rsid w:val="0082247B"/>
    <w:rsid w:val="00822EBA"/>
    <w:rsid w:val="008235F2"/>
    <w:rsid w:val="00824E07"/>
    <w:rsid w:val="008253FB"/>
    <w:rsid w:val="008256AD"/>
    <w:rsid w:val="008279EB"/>
    <w:rsid w:val="00827DD4"/>
    <w:rsid w:val="0083197F"/>
    <w:rsid w:val="00834316"/>
    <w:rsid w:val="00834739"/>
    <w:rsid w:val="0083498F"/>
    <w:rsid w:val="00834FD5"/>
    <w:rsid w:val="0083500C"/>
    <w:rsid w:val="008356B8"/>
    <w:rsid w:val="00836C68"/>
    <w:rsid w:val="00836FCD"/>
    <w:rsid w:val="008428FA"/>
    <w:rsid w:val="00842D7F"/>
    <w:rsid w:val="00843F5C"/>
    <w:rsid w:val="00845B96"/>
    <w:rsid w:val="008464D2"/>
    <w:rsid w:val="00850CBC"/>
    <w:rsid w:val="00851395"/>
    <w:rsid w:val="00852EC5"/>
    <w:rsid w:val="00854182"/>
    <w:rsid w:val="00854E9F"/>
    <w:rsid w:val="008561BE"/>
    <w:rsid w:val="008568DA"/>
    <w:rsid w:val="008569B3"/>
    <w:rsid w:val="00856D6E"/>
    <w:rsid w:val="00861AAB"/>
    <w:rsid w:val="00862858"/>
    <w:rsid w:val="00863FD4"/>
    <w:rsid w:val="00865976"/>
    <w:rsid w:val="00866E5A"/>
    <w:rsid w:val="008679DE"/>
    <w:rsid w:val="00867B93"/>
    <w:rsid w:val="00870467"/>
    <w:rsid w:val="00871375"/>
    <w:rsid w:val="00872A01"/>
    <w:rsid w:val="00872F10"/>
    <w:rsid w:val="00875172"/>
    <w:rsid w:val="008753F7"/>
    <w:rsid w:val="00875C2A"/>
    <w:rsid w:val="008760D0"/>
    <w:rsid w:val="00876738"/>
    <w:rsid w:val="008779B2"/>
    <w:rsid w:val="008801A9"/>
    <w:rsid w:val="00881D59"/>
    <w:rsid w:val="00883934"/>
    <w:rsid w:val="0088477F"/>
    <w:rsid w:val="00885620"/>
    <w:rsid w:val="00885C34"/>
    <w:rsid w:val="008864AC"/>
    <w:rsid w:val="0089162A"/>
    <w:rsid w:val="008922FA"/>
    <w:rsid w:val="00894D4A"/>
    <w:rsid w:val="00895143"/>
    <w:rsid w:val="008952B3"/>
    <w:rsid w:val="0089565F"/>
    <w:rsid w:val="0089791C"/>
    <w:rsid w:val="00897AC8"/>
    <w:rsid w:val="00897CEF"/>
    <w:rsid w:val="008A51DA"/>
    <w:rsid w:val="008A66B4"/>
    <w:rsid w:val="008B2F0D"/>
    <w:rsid w:val="008B378C"/>
    <w:rsid w:val="008B505A"/>
    <w:rsid w:val="008B5E5A"/>
    <w:rsid w:val="008B6489"/>
    <w:rsid w:val="008B7060"/>
    <w:rsid w:val="008B7154"/>
    <w:rsid w:val="008B7D30"/>
    <w:rsid w:val="008C10C5"/>
    <w:rsid w:val="008C24C8"/>
    <w:rsid w:val="008C25B0"/>
    <w:rsid w:val="008C2AAD"/>
    <w:rsid w:val="008C4E6F"/>
    <w:rsid w:val="008C4F93"/>
    <w:rsid w:val="008C56E1"/>
    <w:rsid w:val="008C6B7C"/>
    <w:rsid w:val="008C7F46"/>
    <w:rsid w:val="008C7F58"/>
    <w:rsid w:val="008D22FD"/>
    <w:rsid w:val="008D2C07"/>
    <w:rsid w:val="008D3CA1"/>
    <w:rsid w:val="008D3EF8"/>
    <w:rsid w:val="008D45DE"/>
    <w:rsid w:val="008D46D9"/>
    <w:rsid w:val="008D591B"/>
    <w:rsid w:val="008D71E5"/>
    <w:rsid w:val="008E0793"/>
    <w:rsid w:val="008E31E4"/>
    <w:rsid w:val="008E5314"/>
    <w:rsid w:val="008E6C17"/>
    <w:rsid w:val="008E6CD6"/>
    <w:rsid w:val="008E7225"/>
    <w:rsid w:val="008F3993"/>
    <w:rsid w:val="008F55F8"/>
    <w:rsid w:val="008F6363"/>
    <w:rsid w:val="008F65A7"/>
    <w:rsid w:val="0090285F"/>
    <w:rsid w:val="009043AA"/>
    <w:rsid w:val="009046E7"/>
    <w:rsid w:val="0091142B"/>
    <w:rsid w:val="0091568F"/>
    <w:rsid w:val="00916A0D"/>
    <w:rsid w:val="00917094"/>
    <w:rsid w:val="0091721E"/>
    <w:rsid w:val="009219F5"/>
    <w:rsid w:val="00921A9E"/>
    <w:rsid w:val="0092443C"/>
    <w:rsid w:val="00924CFE"/>
    <w:rsid w:val="0092533D"/>
    <w:rsid w:val="0092595F"/>
    <w:rsid w:val="009261CA"/>
    <w:rsid w:val="009305A1"/>
    <w:rsid w:val="009311D7"/>
    <w:rsid w:val="009317A8"/>
    <w:rsid w:val="00932782"/>
    <w:rsid w:val="0093363A"/>
    <w:rsid w:val="009345C5"/>
    <w:rsid w:val="009366D6"/>
    <w:rsid w:val="00937C5C"/>
    <w:rsid w:val="00941EA4"/>
    <w:rsid w:val="0094345F"/>
    <w:rsid w:val="00943542"/>
    <w:rsid w:val="00943C8B"/>
    <w:rsid w:val="00945C29"/>
    <w:rsid w:val="00946720"/>
    <w:rsid w:val="009471C9"/>
    <w:rsid w:val="0095269D"/>
    <w:rsid w:val="009526DA"/>
    <w:rsid w:val="00952C16"/>
    <w:rsid w:val="00953378"/>
    <w:rsid w:val="00955B6D"/>
    <w:rsid w:val="00955CAD"/>
    <w:rsid w:val="009579CB"/>
    <w:rsid w:val="00961037"/>
    <w:rsid w:val="009625FA"/>
    <w:rsid w:val="00962823"/>
    <w:rsid w:val="0096428F"/>
    <w:rsid w:val="00970977"/>
    <w:rsid w:val="009709A4"/>
    <w:rsid w:val="009741BA"/>
    <w:rsid w:val="00974636"/>
    <w:rsid w:val="00974E57"/>
    <w:rsid w:val="009758C2"/>
    <w:rsid w:val="00975D59"/>
    <w:rsid w:val="00976490"/>
    <w:rsid w:val="009766E9"/>
    <w:rsid w:val="009804F5"/>
    <w:rsid w:val="00984B57"/>
    <w:rsid w:val="00984C5F"/>
    <w:rsid w:val="0098629D"/>
    <w:rsid w:val="00986616"/>
    <w:rsid w:val="0098695B"/>
    <w:rsid w:val="00986B2C"/>
    <w:rsid w:val="00987AB4"/>
    <w:rsid w:val="00987FCF"/>
    <w:rsid w:val="00991F59"/>
    <w:rsid w:val="00991F5C"/>
    <w:rsid w:val="0099234B"/>
    <w:rsid w:val="00996306"/>
    <w:rsid w:val="0099661A"/>
    <w:rsid w:val="00996FF3"/>
    <w:rsid w:val="00997029"/>
    <w:rsid w:val="009972AB"/>
    <w:rsid w:val="009975F7"/>
    <w:rsid w:val="009A02AB"/>
    <w:rsid w:val="009A27FB"/>
    <w:rsid w:val="009A392B"/>
    <w:rsid w:val="009A548A"/>
    <w:rsid w:val="009A553C"/>
    <w:rsid w:val="009A73E6"/>
    <w:rsid w:val="009A7DCC"/>
    <w:rsid w:val="009B02E6"/>
    <w:rsid w:val="009B2CFA"/>
    <w:rsid w:val="009B35BC"/>
    <w:rsid w:val="009B3D60"/>
    <w:rsid w:val="009B3EE0"/>
    <w:rsid w:val="009B4B89"/>
    <w:rsid w:val="009B5514"/>
    <w:rsid w:val="009B6367"/>
    <w:rsid w:val="009B70B6"/>
    <w:rsid w:val="009C0AA7"/>
    <w:rsid w:val="009C3420"/>
    <w:rsid w:val="009C37E9"/>
    <w:rsid w:val="009C3A40"/>
    <w:rsid w:val="009C4905"/>
    <w:rsid w:val="009C7FD3"/>
    <w:rsid w:val="009D0205"/>
    <w:rsid w:val="009D1ED5"/>
    <w:rsid w:val="009D336B"/>
    <w:rsid w:val="009D44CF"/>
    <w:rsid w:val="009D52D8"/>
    <w:rsid w:val="009D6DE0"/>
    <w:rsid w:val="009D7098"/>
    <w:rsid w:val="009D7662"/>
    <w:rsid w:val="009E008E"/>
    <w:rsid w:val="009E1179"/>
    <w:rsid w:val="009E5E4F"/>
    <w:rsid w:val="009E73B0"/>
    <w:rsid w:val="009E766A"/>
    <w:rsid w:val="009F0CCA"/>
    <w:rsid w:val="009F1092"/>
    <w:rsid w:val="009F2168"/>
    <w:rsid w:val="009F24E3"/>
    <w:rsid w:val="009F4778"/>
    <w:rsid w:val="009F4CF5"/>
    <w:rsid w:val="009F4D67"/>
    <w:rsid w:val="009F6177"/>
    <w:rsid w:val="00A0143C"/>
    <w:rsid w:val="00A04190"/>
    <w:rsid w:val="00A04475"/>
    <w:rsid w:val="00A071F4"/>
    <w:rsid w:val="00A11F5D"/>
    <w:rsid w:val="00A13373"/>
    <w:rsid w:val="00A1343E"/>
    <w:rsid w:val="00A16052"/>
    <w:rsid w:val="00A22DA1"/>
    <w:rsid w:val="00A235AC"/>
    <w:rsid w:val="00A24F55"/>
    <w:rsid w:val="00A26245"/>
    <w:rsid w:val="00A267BA"/>
    <w:rsid w:val="00A268AC"/>
    <w:rsid w:val="00A27919"/>
    <w:rsid w:val="00A3596A"/>
    <w:rsid w:val="00A35D75"/>
    <w:rsid w:val="00A36880"/>
    <w:rsid w:val="00A36932"/>
    <w:rsid w:val="00A41166"/>
    <w:rsid w:val="00A45364"/>
    <w:rsid w:val="00A52AFA"/>
    <w:rsid w:val="00A5337F"/>
    <w:rsid w:val="00A53B0E"/>
    <w:rsid w:val="00A54C6F"/>
    <w:rsid w:val="00A55BEB"/>
    <w:rsid w:val="00A565CE"/>
    <w:rsid w:val="00A5786A"/>
    <w:rsid w:val="00A62E7E"/>
    <w:rsid w:val="00A637A4"/>
    <w:rsid w:val="00A64253"/>
    <w:rsid w:val="00A64A5C"/>
    <w:rsid w:val="00A65976"/>
    <w:rsid w:val="00A66498"/>
    <w:rsid w:val="00A66E55"/>
    <w:rsid w:val="00A7342F"/>
    <w:rsid w:val="00A748AB"/>
    <w:rsid w:val="00A7498F"/>
    <w:rsid w:val="00A749C5"/>
    <w:rsid w:val="00A774B1"/>
    <w:rsid w:val="00A819BF"/>
    <w:rsid w:val="00A830AF"/>
    <w:rsid w:val="00A85845"/>
    <w:rsid w:val="00A85A33"/>
    <w:rsid w:val="00A85B4A"/>
    <w:rsid w:val="00A85FFC"/>
    <w:rsid w:val="00A863AA"/>
    <w:rsid w:val="00A86C67"/>
    <w:rsid w:val="00A86EC4"/>
    <w:rsid w:val="00A87063"/>
    <w:rsid w:val="00A8770C"/>
    <w:rsid w:val="00A91C63"/>
    <w:rsid w:val="00A92CB6"/>
    <w:rsid w:val="00A96E0D"/>
    <w:rsid w:val="00AA218E"/>
    <w:rsid w:val="00AA2A93"/>
    <w:rsid w:val="00AA5439"/>
    <w:rsid w:val="00AA543A"/>
    <w:rsid w:val="00AA71F1"/>
    <w:rsid w:val="00AB071D"/>
    <w:rsid w:val="00AB5682"/>
    <w:rsid w:val="00AB5E51"/>
    <w:rsid w:val="00AB63E5"/>
    <w:rsid w:val="00AB6BB2"/>
    <w:rsid w:val="00AB7F8C"/>
    <w:rsid w:val="00AC18B0"/>
    <w:rsid w:val="00AC2FED"/>
    <w:rsid w:val="00AC31CF"/>
    <w:rsid w:val="00AC3389"/>
    <w:rsid w:val="00AC392A"/>
    <w:rsid w:val="00AC3D43"/>
    <w:rsid w:val="00AC3E1C"/>
    <w:rsid w:val="00AC3F8A"/>
    <w:rsid w:val="00AC4DA3"/>
    <w:rsid w:val="00AC50AB"/>
    <w:rsid w:val="00AC6379"/>
    <w:rsid w:val="00AD1B84"/>
    <w:rsid w:val="00AD232F"/>
    <w:rsid w:val="00AD3280"/>
    <w:rsid w:val="00AD3776"/>
    <w:rsid w:val="00AD3954"/>
    <w:rsid w:val="00AD68DA"/>
    <w:rsid w:val="00AD6AEE"/>
    <w:rsid w:val="00AE0014"/>
    <w:rsid w:val="00AE0E58"/>
    <w:rsid w:val="00AE12E8"/>
    <w:rsid w:val="00AE25CE"/>
    <w:rsid w:val="00AE3337"/>
    <w:rsid w:val="00AE4983"/>
    <w:rsid w:val="00AE5C64"/>
    <w:rsid w:val="00AF00D8"/>
    <w:rsid w:val="00AF0E50"/>
    <w:rsid w:val="00AF56E5"/>
    <w:rsid w:val="00AF5EAB"/>
    <w:rsid w:val="00AF69B5"/>
    <w:rsid w:val="00AF7E72"/>
    <w:rsid w:val="00B00047"/>
    <w:rsid w:val="00B01184"/>
    <w:rsid w:val="00B01685"/>
    <w:rsid w:val="00B02A5F"/>
    <w:rsid w:val="00B02D6E"/>
    <w:rsid w:val="00B041B1"/>
    <w:rsid w:val="00B045A7"/>
    <w:rsid w:val="00B051A6"/>
    <w:rsid w:val="00B0783F"/>
    <w:rsid w:val="00B07CCF"/>
    <w:rsid w:val="00B10C16"/>
    <w:rsid w:val="00B13227"/>
    <w:rsid w:val="00B20C45"/>
    <w:rsid w:val="00B21030"/>
    <w:rsid w:val="00B241B7"/>
    <w:rsid w:val="00B253F5"/>
    <w:rsid w:val="00B264B8"/>
    <w:rsid w:val="00B26C0C"/>
    <w:rsid w:val="00B2733E"/>
    <w:rsid w:val="00B3389A"/>
    <w:rsid w:val="00B33DA7"/>
    <w:rsid w:val="00B35065"/>
    <w:rsid w:val="00B36E43"/>
    <w:rsid w:val="00B37879"/>
    <w:rsid w:val="00B4115E"/>
    <w:rsid w:val="00B42DD5"/>
    <w:rsid w:val="00B433F7"/>
    <w:rsid w:val="00B45315"/>
    <w:rsid w:val="00B46AEA"/>
    <w:rsid w:val="00B46BD5"/>
    <w:rsid w:val="00B53028"/>
    <w:rsid w:val="00B5740D"/>
    <w:rsid w:val="00B60F98"/>
    <w:rsid w:val="00B61D58"/>
    <w:rsid w:val="00B626F3"/>
    <w:rsid w:val="00B62ED2"/>
    <w:rsid w:val="00B63272"/>
    <w:rsid w:val="00B63400"/>
    <w:rsid w:val="00B63D0A"/>
    <w:rsid w:val="00B664A0"/>
    <w:rsid w:val="00B7238D"/>
    <w:rsid w:val="00B73360"/>
    <w:rsid w:val="00B742E3"/>
    <w:rsid w:val="00B747E6"/>
    <w:rsid w:val="00B75873"/>
    <w:rsid w:val="00B76F7B"/>
    <w:rsid w:val="00B779A1"/>
    <w:rsid w:val="00B80D97"/>
    <w:rsid w:val="00B815B4"/>
    <w:rsid w:val="00B8248A"/>
    <w:rsid w:val="00B843FA"/>
    <w:rsid w:val="00B87789"/>
    <w:rsid w:val="00B91AED"/>
    <w:rsid w:val="00B93519"/>
    <w:rsid w:val="00B94E35"/>
    <w:rsid w:val="00B95D94"/>
    <w:rsid w:val="00B96A23"/>
    <w:rsid w:val="00B97819"/>
    <w:rsid w:val="00BA0D27"/>
    <w:rsid w:val="00BA14E4"/>
    <w:rsid w:val="00BA15A3"/>
    <w:rsid w:val="00BA160A"/>
    <w:rsid w:val="00BA20C4"/>
    <w:rsid w:val="00BA3723"/>
    <w:rsid w:val="00BA51B2"/>
    <w:rsid w:val="00BA7246"/>
    <w:rsid w:val="00BB02A7"/>
    <w:rsid w:val="00BB0A2E"/>
    <w:rsid w:val="00BB16E3"/>
    <w:rsid w:val="00BB207D"/>
    <w:rsid w:val="00BB274D"/>
    <w:rsid w:val="00BB2C1A"/>
    <w:rsid w:val="00BB52EC"/>
    <w:rsid w:val="00BB5735"/>
    <w:rsid w:val="00BC4BEE"/>
    <w:rsid w:val="00BC4E72"/>
    <w:rsid w:val="00BC53EA"/>
    <w:rsid w:val="00BC5846"/>
    <w:rsid w:val="00BC7C8C"/>
    <w:rsid w:val="00BD00D0"/>
    <w:rsid w:val="00BD0246"/>
    <w:rsid w:val="00BD02CF"/>
    <w:rsid w:val="00BD1C69"/>
    <w:rsid w:val="00BD3AA1"/>
    <w:rsid w:val="00BD7FA7"/>
    <w:rsid w:val="00BE1613"/>
    <w:rsid w:val="00BE2420"/>
    <w:rsid w:val="00BE4617"/>
    <w:rsid w:val="00BE712B"/>
    <w:rsid w:val="00BE741F"/>
    <w:rsid w:val="00BF0023"/>
    <w:rsid w:val="00BF0203"/>
    <w:rsid w:val="00BF135E"/>
    <w:rsid w:val="00BF1905"/>
    <w:rsid w:val="00BF24C6"/>
    <w:rsid w:val="00BF3228"/>
    <w:rsid w:val="00BF4C77"/>
    <w:rsid w:val="00BF4D11"/>
    <w:rsid w:val="00BF5DD1"/>
    <w:rsid w:val="00BF5E88"/>
    <w:rsid w:val="00BF6E7F"/>
    <w:rsid w:val="00C0028F"/>
    <w:rsid w:val="00C02124"/>
    <w:rsid w:val="00C037B8"/>
    <w:rsid w:val="00C060D7"/>
    <w:rsid w:val="00C063C0"/>
    <w:rsid w:val="00C10B74"/>
    <w:rsid w:val="00C139CA"/>
    <w:rsid w:val="00C14831"/>
    <w:rsid w:val="00C21110"/>
    <w:rsid w:val="00C23063"/>
    <w:rsid w:val="00C230B1"/>
    <w:rsid w:val="00C237FA"/>
    <w:rsid w:val="00C26683"/>
    <w:rsid w:val="00C266C2"/>
    <w:rsid w:val="00C271F9"/>
    <w:rsid w:val="00C30B14"/>
    <w:rsid w:val="00C32FD8"/>
    <w:rsid w:val="00C33129"/>
    <w:rsid w:val="00C341A4"/>
    <w:rsid w:val="00C37C7B"/>
    <w:rsid w:val="00C4293F"/>
    <w:rsid w:val="00C43600"/>
    <w:rsid w:val="00C44195"/>
    <w:rsid w:val="00C44486"/>
    <w:rsid w:val="00C44B3E"/>
    <w:rsid w:val="00C461BE"/>
    <w:rsid w:val="00C47CF0"/>
    <w:rsid w:val="00C513E6"/>
    <w:rsid w:val="00C518FB"/>
    <w:rsid w:val="00C51BD0"/>
    <w:rsid w:val="00C53EF3"/>
    <w:rsid w:val="00C54538"/>
    <w:rsid w:val="00C573CC"/>
    <w:rsid w:val="00C601D0"/>
    <w:rsid w:val="00C60F67"/>
    <w:rsid w:val="00C61135"/>
    <w:rsid w:val="00C63879"/>
    <w:rsid w:val="00C63A3A"/>
    <w:rsid w:val="00C64CC1"/>
    <w:rsid w:val="00C66651"/>
    <w:rsid w:val="00C70207"/>
    <w:rsid w:val="00C7128E"/>
    <w:rsid w:val="00C72F64"/>
    <w:rsid w:val="00C73026"/>
    <w:rsid w:val="00C733AD"/>
    <w:rsid w:val="00C73FEA"/>
    <w:rsid w:val="00C74A02"/>
    <w:rsid w:val="00C75ABC"/>
    <w:rsid w:val="00C77669"/>
    <w:rsid w:val="00C77D2F"/>
    <w:rsid w:val="00C77E2D"/>
    <w:rsid w:val="00C808B7"/>
    <w:rsid w:val="00C80B94"/>
    <w:rsid w:val="00C812B5"/>
    <w:rsid w:val="00C81401"/>
    <w:rsid w:val="00C8623E"/>
    <w:rsid w:val="00C91195"/>
    <w:rsid w:val="00C9166E"/>
    <w:rsid w:val="00C918E0"/>
    <w:rsid w:val="00C9288E"/>
    <w:rsid w:val="00C93398"/>
    <w:rsid w:val="00C9389A"/>
    <w:rsid w:val="00C94AB7"/>
    <w:rsid w:val="00CA23F0"/>
    <w:rsid w:val="00CA2CDA"/>
    <w:rsid w:val="00CA4509"/>
    <w:rsid w:val="00CA63A8"/>
    <w:rsid w:val="00CA7F8F"/>
    <w:rsid w:val="00CB1758"/>
    <w:rsid w:val="00CB21F8"/>
    <w:rsid w:val="00CB2313"/>
    <w:rsid w:val="00CB334A"/>
    <w:rsid w:val="00CB345F"/>
    <w:rsid w:val="00CB355E"/>
    <w:rsid w:val="00CB4F9A"/>
    <w:rsid w:val="00CB5F5C"/>
    <w:rsid w:val="00CC0322"/>
    <w:rsid w:val="00CC15AE"/>
    <w:rsid w:val="00CC2E29"/>
    <w:rsid w:val="00CC334D"/>
    <w:rsid w:val="00CC4301"/>
    <w:rsid w:val="00CC4953"/>
    <w:rsid w:val="00CC4CDD"/>
    <w:rsid w:val="00CC6004"/>
    <w:rsid w:val="00CC6024"/>
    <w:rsid w:val="00CC65D6"/>
    <w:rsid w:val="00CC69A0"/>
    <w:rsid w:val="00CD0DFD"/>
    <w:rsid w:val="00CD1932"/>
    <w:rsid w:val="00CD1BFC"/>
    <w:rsid w:val="00CD1CC7"/>
    <w:rsid w:val="00CD20B1"/>
    <w:rsid w:val="00CD25E9"/>
    <w:rsid w:val="00CD2D24"/>
    <w:rsid w:val="00CD57D8"/>
    <w:rsid w:val="00CD6B61"/>
    <w:rsid w:val="00CD6FE7"/>
    <w:rsid w:val="00CE03E4"/>
    <w:rsid w:val="00CE12FE"/>
    <w:rsid w:val="00CE15B9"/>
    <w:rsid w:val="00CE2293"/>
    <w:rsid w:val="00CE22EC"/>
    <w:rsid w:val="00CE3771"/>
    <w:rsid w:val="00CE3D7B"/>
    <w:rsid w:val="00CE443B"/>
    <w:rsid w:val="00CE5A1A"/>
    <w:rsid w:val="00CE77E3"/>
    <w:rsid w:val="00CF3C75"/>
    <w:rsid w:val="00CF3F2B"/>
    <w:rsid w:val="00D0002B"/>
    <w:rsid w:val="00D013A8"/>
    <w:rsid w:val="00D03734"/>
    <w:rsid w:val="00D037FC"/>
    <w:rsid w:val="00D0609A"/>
    <w:rsid w:val="00D06C27"/>
    <w:rsid w:val="00D07806"/>
    <w:rsid w:val="00D126F5"/>
    <w:rsid w:val="00D129FF"/>
    <w:rsid w:val="00D12F91"/>
    <w:rsid w:val="00D13BF9"/>
    <w:rsid w:val="00D1559E"/>
    <w:rsid w:val="00D1656D"/>
    <w:rsid w:val="00D1685E"/>
    <w:rsid w:val="00D17BD4"/>
    <w:rsid w:val="00D17D8B"/>
    <w:rsid w:val="00D20851"/>
    <w:rsid w:val="00D215B3"/>
    <w:rsid w:val="00D22F57"/>
    <w:rsid w:val="00D24B69"/>
    <w:rsid w:val="00D250A1"/>
    <w:rsid w:val="00D253AD"/>
    <w:rsid w:val="00D26E1D"/>
    <w:rsid w:val="00D27078"/>
    <w:rsid w:val="00D270F4"/>
    <w:rsid w:val="00D3191C"/>
    <w:rsid w:val="00D32902"/>
    <w:rsid w:val="00D32C74"/>
    <w:rsid w:val="00D35613"/>
    <w:rsid w:val="00D35E76"/>
    <w:rsid w:val="00D37310"/>
    <w:rsid w:val="00D3761F"/>
    <w:rsid w:val="00D402B4"/>
    <w:rsid w:val="00D41175"/>
    <w:rsid w:val="00D44FC7"/>
    <w:rsid w:val="00D452FD"/>
    <w:rsid w:val="00D47C6E"/>
    <w:rsid w:val="00D47F34"/>
    <w:rsid w:val="00D53E08"/>
    <w:rsid w:val="00D54716"/>
    <w:rsid w:val="00D5569F"/>
    <w:rsid w:val="00D55DA2"/>
    <w:rsid w:val="00D57BA9"/>
    <w:rsid w:val="00D57EE6"/>
    <w:rsid w:val="00D61529"/>
    <w:rsid w:val="00D61844"/>
    <w:rsid w:val="00D63C9D"/>
    <w:rsid w:val="00D642E2"/>
    <w:rsid w:val="00D65B51"/>
    <w:rsid w:val="00D679ED"/>
    <w:rsid w:val="00D67E46"/>
    <w:rsid w:val="00D72194"/>
    <w:rsid w:val="00D7240C"/>
    <w:rsid w:val="00D7310F"/>
    <w:rsid w:val="00D732D1"/>
    <w:rsid w:val="00D736F4"/>
    <w:rsid w:val="00D754C2"/>
    <w:rsid w:val="00D75B01"/>
    <w:rsid w:val="00D81102"/>
    <w:rsid w:val="00D8138E"/>
    <w:rsid w:val="00D81A31"/>
    <w:rsid w:val="00D82B0F"/>
    <w:rsid w:val="00D84EA9"/>
    <w:rsid w:val="00D854EA"/>
    <w:rsid w:val="00D86293"/>
    <w:rsid w:val="00D90519"/>
    <w:rsid w:val="00D93796"/>
    <w:rsid w:val="00D948C8"/>
    <w:rsid w:val="00D94B8A"/>
    <w:rsid w:val="00D9582F"/>
    <w:rsid w:val="00D95D48"/>
    <w:rsid w:val="00D962CA"/>
    <w:rsid w:val="00D97675"/>
    <w:rsid w:val="00D97EF6"/>
    <w:rsid w:val="00DA0A8A"/>
    <w:rsid w:val="00DA1DFB"/>
    <w:rsid w:val="00DA3A10"/>
    <w:rsid w:val="00DA42A3"/>
    <w:rsid w:val="00DA4A13"/>
    <w:rsid w:val="00DA58C6"/>
    <w:rsid w:val="00DA5CAD"/>
    <w:rsid w:val="00DA63F5"/>
    <w:rsid w:val="00DA76DD"/>
    <w:rsid w:val="00DB013B"/>
    <w:rsid w:val="00DB0A37"/>
    <w:rsid w:val="00DB136E"/>
    <w:rsid w:val="00DB513A"/>
    <w:rsid w:val="00DB562F"/>
    <w:rsid w:val="00DB59D3"/>
    <w:rsid w:val="00DC0395"/>
    <w:rsid w:val="00DC1724"/>
    <w:rsid w:val="00DC1FE8"/>
    <w:rsid w:val="00DC2690"/>
    <w:rsid w:val="00DC2CF2"/>
    <w:rsid w:val="00DC307C"/>
    <w:rsid w:val="00DC431F"/>
    <w:rsid w:val="00DC4772"/>
    <w:rsid w:val="00DC605F"/>
    <w:rsid w:val="00DC61C1"/>
    <w:rsid w:val="00DC6B7B"/>
    <w:rsid w:val="00DC7194"/>
    <w:rsid w:val="00DC7BE9"/>
    <w:rsid w:val="00DD2618"/>
    <w:rsid w:val="00DD3FD2"/>
    <w:rsid w:val="00DD42BB"/>
    <w:rsid w:val="00DD4C48"/>
    <w:rsid w:val="00DE0EE4"/>
    <w:rsid w:val="00DE1BD4"/>
    <w:rsid w:val="00DE253A"/>
    <w:rsid w:val="00DE3030"/>
    <w:rsid w:val="00DE3B82"/>
    <w:rsid w:val="00DE4A36"/>
    <w:rsid w:val="00DE504B"/>
    <w:rsid w:val="00DE71D2"/>
    <w:rsid w:val="00DF1927"/>
    <w:rsid w:val="00DF1ED4"/>
    <w:rsid w:val="00DF30CA"/>
    <w:rsid w:val="00DF3CF0"/>
    <w:rsid w:val="00DF45D7"/>
    <w:rsid w:val="00DF5237"/>
    <w:rsid w:val="00DF5A91"/>
    <w:rsid w:val="00DF7C3A"/>
    <w:rsid w:val="00DF7E3C"/>
    <w:rsid w:val="00E00308"/>
    <w:rsid w:val="00E01193"/>
    <w:rsid w:val="00E01488"/>
    <w:rsid w:val="00E02CA5"/>
    <w:rsid w:val="00E03D71"/>
    <w:rsid w:val="00E0409A"/>
    <w:rsid w:val="00E042DA"/>
    <w:rsid w:val="00E04748"/>
    <w:rsid w:val="00E0488E"/>
    <w:rsid w:val="00E05B10"/>
    <w:rsid w:val="00E0613A"/>
    <w:rsid w:val="00E07EF1"/>
    <w:rsid w:val="00E115BF"/>
    <w:rsid w:val="00E11FAE"/>
    <w:rsid w:val="00E123AE"/>
    <w:rsid w:val="00E12C73"/>
    <w:rsid w:val="00E16746"/>
    <w:rsid w:val="00E20C91"/>
    <w:rsid w:val="00E23FFB"/>
    <w:rsid w:val="00E26C11"/>
    <w:rsid w:val="00E26EE5"/>
    <w:rsid w:val="00E3187F"/>
    <w:rsid w:val="00E32720"/>
    <w:rsid w:val="00E33F78"/>
    <w:rsid w:val="00E34776"/>
    <w:rsid w:val="00E35A1F"/>
    <w:rsid w:val="00E37969"/>
    <w:rsid w:val="00E40261"/>
    <w:rsid w:val="00E404C5"/>
    <w:rsid w:val="00E4102F"/>
    <w:rsid w:val="00E42EE5"/>
    <w:rsid w:val="00E4340C"/>
    <w:rsid w:val="00E43CE2"/>
    <w:rsid w:val="00E44992"/>
    <w:rsid w:val="00E44A4B"/>
    <w:rsid w:val="00E4655B"/>
    <w:rsid w:val="00E46575"/>
    <w:rsid w:val="00E466E7"/>
    <w:rsid w:val="00E46706"/>
    <w:rsid w:val="00E4685E"/>
    <w:rsid w:val="00E47746"/>
    <w:rsid w:val="00E477D7"/>
    <w:rsid w:val="00E50C35"/>
    <w:rsid w:val="00E51C3B"/>
    <w:rsid w:val="00E5219F"/>
    <w:rsid w:val="00E52F0B"/>
    <w:rsid w:val="00E53FAF"/>
    <w:rsid w:val="00E54D34"/>
    <w:rsid w:val="00E553F7"/>
    <w:rsid w:val="00E563F2"/>
    <w:rsid w:val="00E61083"/>
    <w:rsid w:val="00E61C43"/>
    <w:rsid w:val="00E6335B"/>
    <w:rsid w:val="00E648A4"/>
    <w:rsid w:val="00E64B7D"/>
    <w:rsid w:val="00E65E58"/>
    <w:rsid w:val="00E66821"/>
    <w:rsid w:val="00E70282"/>
    <w:rsid w:val="00E70C89"/>
    <w:rsid w:val="00E70D23"/>
    <w:rsid w:val="00E70F3E"/>
    <w:rsid w:val="00E71044"/>
    <w:rsid w:val="00E71045"/>
    <w:rsid w:val="00E729CC"/>
    <w:rsid w:val="00E73D46"/>
    <w:rsid w:val="00E771DC"/>
    <w:rsid w:val="00E80210"/>
    <w:rsid w:val="00E80814"/>
    <w:rsid w:val="00E82AB1"/>
    <w:rsid w:val="00E85029"/>
    <w:rsid w:val="00E85222"/>
    <w:rsid w:val="00E85A50"/>
    <w:rsid w:val="00E86F4B"/>
    <w:rsid w:val="00E91759"/>
    <w:rsid w:val="00E9216E"/>
    <w:rsid w:val="00E922E2"/>
    <w:rsid w:val="00E93018"/>
    <w:rsid w:val="00E966C8"/>
    <w:rsid w:val="00E9713C"/>
    <w:rsid w:val="00EA1239"/>
    <w:rsid w:val="00EA52E4"/>
    <w:rsid w:val="00EB2BBF"/>
    <w:rsid w:val="00EB32C0"/>
    <w:rsid w:val="00EB34A2"/>
    <w:rsid w:val="00EB6597"/>
    <w:rsid w:val="00EB7338"/>
    <w:rsid w:val="00EC11AD"/>
    <w:rsid w:val="00EC1992"/>
    <w:rsid w:val="00EC6741"/>
    <w:rsid w:val="00EC6F45"/>
    <w:rsid w:val="00ED0416"/>
    <w:rsid w:val="00ED0EB0"/>
    <w:rsid w:val="00ED113B"/>
    <w:rsid w:val="00ED2312"/>
    <w:rsid w:val="00ED534C"/>
    <w:rsid w:val="00ED5A67"/>
    <w:rsid w:val="00ED6941"/>
    <w:rsid w:val="00EE0422"/>
    <w:rsid w:val="00EE0511"/>
    <w:rsid w:val="00EE2475"/>
    <w:rsid w:val="00EE3B6B"/>
    <w:rsid w:val="00EE4527"/>
    <w:rsid w:val="00EE488E"/>
    <w:rsid w:val="00EE5DC4"/>
    <w:rsid w:val="00EE6F1E"/>
    <w:rsid w:val="00EF0F82"/>
    <w:rsid w:val="00EF1035"/>
    <w:rsid w:val="00EF1B7E"/>
    <w:rsid w:val="00EF338C"/>
    <w:rsid w:val="00EF4C8A"/>
    <w:rsid w:val="00EF7A01"/>
    <w:rsid w:val="00F0158C"/>
    <w:rsid w:val="00F01FDB"/>
    <w:rsid w:val="00F11365"/>
    <w:rsid w:val="00F12203"/>
    <w:rsid w:val="00F12C0E"/>
    <w:rsid w:val="00F13AD0"/>
    <w:rsid w:val="00F13EE4"/>
    <w:rsid w:val="00F150C4"/>
    <w:rsid w:val="00F157DA"/>
    <w:rsid w:val="00F201AC"/>
    <w:rsid w:val="00F21D93"/>
    <w:rsid w:val="00F2563B"/>
    <w:rsid w:val="00F25755"/>
    <w:rsid w:val="00F25B19"/>
    <w:rsid w:val="00F26A5A"/>
    <w:rsid w:val="00F30201"/>
    <w:rsid w:val="00F31434"/>
    <w:rsid w:val="00F3152A"/>
    <w:rsid w:val="00F33426"/>
    <w:rsid w:val="00F33B06"/>
    <w:rsid w:val="00F34F8B"/>
    <w:rsid w:val="00F350E1"/>
    <w:rsid w:val="00F362DE"/>
    <w:rsid w:val="00F36C0F"/>
    <w:rsid w:val="00F36C2B"/>
    <w:rsid w:val="00F4098D"/>
    <w:rsid w:val="00F40D96"/>
    <w:rsid w:val="00F410C6"/>
    <w:rsid w:val="00F42A2D"/>
    <w:rsid w:val="00F464F2"/>
    <w:rsid w:val="00F46FA8"/>
    <w:rsid w:val="00F47171"/>
    <w:rsid w:val="00F47643"/>
    <w:rsid w:val="00F511D4"/>
    <w:rsid w:val="00F51DA2"/>
    <w:rsid w:val="00F52564"/>
    <w:rsid w:val="00F55F5F"/>
    <w:rsid w:val="00F570F8"/>
    <w:rsid w:val="00F6035F"/>
    <w:rsid w:val="00F60EA1"/>
    <w:rsid w:val="00F61343"/>
    <w:rsid w:val="00F61D29"/>
    <w:rsid w:val="00F6292A"/>
    <w:rsid w:val="00F62FC1"/>
    <w:rsid w:val="00F64316"/>
    <w:rsid w:val="00F70E4B"/>
    <w:rsid w:val="00F73597"/>
    <w:rsid w:val="00F739CD"/>
    <w:rsid w:val="00F7421B"/>
    <w:rsid w:val="00F746CA"/>
    <w:rsid w:val="00F7580B"/>
    <w:rsid w:val="00F75A79"/>
    <w:rsid w:val="00F773F5"/>
    <w:rsid w:val="00F776CD"/>
    <w:rsid w:val="00F80C21"/>
    <w:rsid w:val="00F82DFE"/>
    <w:rsid w:val="00F8345B"/>
    <w:rsid w:val="00F8395A"/>
    <w:rsid w:val="00F83C32"/>
    <w:rsid w:val="00F843FC"/>
    <w:rsid w:val="00F84F40"/>
    <w:rsid w:val="00F8599C"/>
    <w:rsid w:val="00F86B2F"/>
    <w:rsid w:val="00F871A6"/>
    <w:rsid w:val="00F90FC6"/>
    <w:rsid w:val="00F92114"/>
    <w:rsid w:val="00F925B1"/>
    <w:rsid w:val="00F92F8B"/>
    <w:rsid w:val="00F9316D"/>
    <w:rsid w:val="00F93FF4"/>
    <w:rsid w:val="00F950DE"/>
    <w:rsid w:val="00F958EE"/>
    <w:rsid w:val="00F975AA"/>
    <w:rsid w:val="00FA2E40"/>
    <w:rsid w:val="00FA31CC"/>
    <w:rsid w:val="00FA3289"/>
    <w:rsid w:val="00FA7D31"/>
    <w:rsid w:val="00FB11BA"/>
    <w:rsid w:val="00FB17DB"/>
    <w:rsid w:val="00FB3059"/>
    <w:rsid w:val="00FB5A59"/>
    <w:rsid w:val="00FB5DDD"/>
    <w:rsid w:val="00FC05C0"/>
    <w:rsid w:val="00FC193A"/>
    <w:rsid w:val="00FC23F9"/>
    <w:rsid w:val="00FC2B60"/>
    <w:rsid w:val="00FC2BA5"/>
    <w:rsid w:val="00FC5C54"/>
    <w:rsid w:val="00FC724F"/>
    <w:rsid w:val="00FC7371"/>
    <w:rsid w:val="00FC7558"/>
    <w:rsid w:val="00FC7EC9"/>
    <w:rsid w:val="00FD00FA"/>
    <w:rsid w:val="00FD171E"/>
    <w:rsid w:val="00FD1C3A"/>
    <w:rsid w:val="00FD79DA"/>
    <w:rsid w:val="00FE2922"/>
    <w:rsid w:val="00FE46DB"/>
    <w:rsid w:val="00FE48A3"/>
    <w:rsid w:val="00FE4D1B"/>
    <w:rsid w:val="00FE6117"/>
    <w:rsid w:val="00FF0F0B"/>
    <w:rsid w:val="00FF1E07"/>
    <w:rsid w:val="00FF1FCD"/>
    <w:rsid w:val="00FF205F"/>
    <w:rsid w:val="00FF4375"/>
    <w:rsid w:val="00FF52CC"/>
    <w:rsid w:val="00FF59CB"/>
    <w:rsid w:val="00FF5ED3"/>
    <w:rsid w:val="00FF6915"/>
    <w:rsid w:val="00FF795E"/>
    <w:rsid w:val="00FF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14CA"/>
  <w15:chartTrackingRefBased/>
  <w15:docId w15:val="{FC0834FA-50DB-414C-8A13-500C0424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9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6399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63990"/>
    <w:pPr>
      <w:spacing w:before="240" w:after="240"/>
      <w:outlineLvl w:val="1"/>
    </w:pPr>
    <w:rPr>
      <w:rFonts w:ascii="Arial Bold" w:hAnsi="Arial Bold"/>
      <w:b/>
      <w:sz w:val="26"/>
    </w:rPr>
  </w:style>
  <w:style w:type="paragraph" w:styleId="Heading3">
    <w:name w:val="heading 3"/>
    <w:basedOn w:val="HeadingBase"/>
    <w:next w:val="Normal"/>
    <w:link w:val="Heading3Char"/>
    <w:qFormat/>
    <w:rsid w:val="00663990"/>
    <w:pPr>
      <w:spacing w:before="120" w:after="120"/>
      <w:outlineLvl w:val="2"/>
    </w:pPr>
    <w:rPr>
      <w:rFonts w:ascii="Arial Bold" w:hAnsi="Arial Bold"/>
      <w:b/>
      <w:sz w:val="22"/>
    </w:rPr>
  </w:style>
  <w:style w:type="paragraph" w:styleId="Heading4">
    <w:name w:val="heading 4"/>
    <w:basedOn w:val="HeadingBase"/>
    <w:next w:val="Normal"/>
    <w:link w:val="Heading4Char"/>
    <w:qFormat/>
    <w:rsid w:val="00663990"/>
    <w:pPr>
      <w:spacing w:after="120"/>
      <w:outlineLvl w:val="3"/>
    </w:pPr>
    <w:rPr>
      <w:rFonts w:ascii="Arial Bold" w:hAnsi="Arial Bold"/>
      <w:b/>
      <w:sz w:val="20"/>
    </w:rPr>
  </w:style>
  <w:style w:type="paragraph" w:styleId="Heading5">
    <w:name w:val="heading 5"/>
    <w:basedOn w:val="HeadingBase"/>
    <w:next w:val="Normal"/>
    <w:link w:val="Heading5Char"/>
    <w:qFormat/>
    <w:rsid w:val="00663990"/>
    <w:pPr>
      <w:spacing w:after="120"/>
      <w:outlineLvl w:val="4"/>
    </w:pPr>
    <w:rPr>
      <w:bCs/>
      <w:i/>
      <w:iCs/>
      <w:sz w:val="20"/>
      <w:szCs w:val="26"/>
    </w:rPr>
  </w:style>
  <w:style w:type="paragraph" w:styleId="Heading6">
    <w:name w:val="heading 6"/>
    <w:basedOn w:val="HeadingBase"/>
    <w:next w:val="Normal"/>
    <w:link w:val="Heading6Char"/>
    <w:rsid w:val="00663990"/>
    <w:pPr>
      <w:spacing w:after="120"/>
      <w:outlineLvl w:val="5"/>
    </w:pPr>
    <w:rPr>
      <w:bCs/>
      <w:sz w:val="20"/>
      <w:szCs w:val="22"/>
    </w:rPr>
  </w:style>
  <w:style w:type="paragraph" w:styleId="Heading7">
    <w:name w:val="heading 7"/>
    <w:basedOn w:val="HeadingBase"/>
    <w:next w:val="Normal"/>
    <w:link w:val="Heading7Char"/>
    <w:rsid w:val="00663990"/>
    <w:pPr>
      <w:spacing w:before="120"/>
      <w:outlineLvl w:val="6"/>
    </w:pPr>
    <w:rPr>
      <w:sz w:val="20"/>
      <w:szCs w:val="24"/>
    </w:rPr>
  </w:style>
  <w:style w:type="paragraph" w:styleId="Heading8">
    <w:name w:val="heading 8"/>
    <w:basedOn w:val="HeadingBase"/>
    <w:next w:val="Normal"/>
    <w:link w:val="Heading8Char"/>
    <w:rsid w:val="0066399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6399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63990"/>
    <w:pPr>
      <w:tabs>
        <w:tab w:val="center" w:pos="4153"/>
        <w:tab w:val="right" w:pos="8306"/>
      </w:tabs>
    </w:pPr>
  </w:style>
  <w:style w:type="character" w:customStyle="1" w:styleId="HeaderChar">
    <w:name w:val="Header Char"/>
    <w:basedOn w:val="DefaultParagraphFont"/>
    <w:link w:val="Header"/>
    <w:rsid w:val="00663990"/>
    <w:rPr>
      <w:rFonts w:ascii="Arial" w:eastAsia="Times New Roman" w:hAnsi="Arial" w:cs="Times New Roman"/>
      <w:color w:val="002A54" w:themeColor="text2"/>
      <w:sz w:val="18"/>
      <w:szCs w:val="20"/>
      <w:lang w:eastAsia="en-AU"/>
    </w:rPr>
  </w:style>
  <w:style w:type="paragraph" w:styleId="Footer">
    <w:name w:val="footer"/>
    <w:basedOn w:val="FooterBase"/>
    <w:link w:val="FooterChar"/>
    <w:uiPriority w:val="99"/>
    <w:rsid w:val="00663990"/>
    <w:pPr>
      <w:tabs>
        <w:tab w:val="center" w:pos="4153"/>
        <w:tab w:val="right" w:pos="8306"/>
      </w:tabs>
    </w:pPr>
  </w:style>
  <w:style w:type="character" w:customStyle="1" w:styleId="FooterChar">
    <w:name w:val="Footer Char"/>
    <w:basedOn w:val="DefaultParagraphFont"/>
    <w:link w:val="Footer"/>
    <w:uiPriority w:val="99"/>
    <w:rsid w:val="0066399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6399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6399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6399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6399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6399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6399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6399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6399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63990"/>
    <w:pPr>
      <w:jc w:val="center"/>
    </w:pPr>
    <w:rPr>
      <w:rFonts w:ascii="Arial Bold" w:hAnsi="Arial Bold"/>
      <w:b/>
      <w:caps/>
      <w:sz w:val="22"/>
    </w:rPr>
  </w:style>
  <w:style w:type="paragraph" w:customStyle="1" w:styleId="FileProperties">
    <w:name w:val="File Properties"/>
    <w:basedOn w:val="Normal"/>
    <w:rsid w:val="00663990"/>
    <w:pPr>
      <w:spacing w:before="0"/>
    </w:pPr>
    <w:rPr>
      <w:i/>
    </w:rPr>
  </w:style>
  <w:style w:type="paragraph" w:customStyle="1" w:styleId="AlphaParagraph">
    <w:name w:val="Alpha Paragraph"/>
    <w:basedOn w:val="Normal"/>
    <w:rsid w:val="00663990"/>
    <w:pPr>
      <w:numPr>
        <w:numId w:val="1"/>
      </w:numPr>
      <w:tabs>
        <w:tab w:val="clear" w:pos="567"/>
        <w:tab w:val="num" w:pos="360"/>
      </w:tabs>
      <w:ind w:left="0" w:firstLine="0"/>
    </w:pPr>
  </w:style>
  <w:style w:type="paragraph" w:customStyle="1" w:styleId="HeadingBase">
    <w:name w:val="Heading Base"/>
    <w:rsid w:val="0066399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2E3835"/>
    <w:rPr>
      <w:bCs/>
      <w:color w:val="002A54" w:themeColor="text2"/>
      <w:szCs w:val="52"/>
    </w:rPr>
  </w:style>
  <w:style w:type="paragraph" w:customStyle="1" w:styleId="BoxText">
    <w:name w:val="Box Text"/>
    <w:basedOn w:val="Normal"/>
    <w:qFormat/>
    <w:rsid w:val="00663990"/>
    <w:pPr>
      <w:spacing w:before="120" w:after="120" w:line="240" w:lineRule="auto"/>
    </w:pPr>
  </w:style>
  <w:style w:type="paragraph" w:customStyle="1" w:styleId="BoxBullet">
    <w:name w:val="Box Bullet"/>
    <w:basedOn w:val="BoxText"/>
    <w:rsid w:val="00663990"/>
    <w:pPr>
      <w:numPr>
        <w:numId w:val="2"/>
      </w:numPr>
    </w:pPr>
  </w:style>
  <w:style w:type="paragraph" w:customStyle="1" w:styleId="BoxHeading">
    <w:name w:val="Box Heading"/>
    <w:basedOn w:val="HeadingBase"/>
    <w:next w:val="BoxText"/>
    <w:rsid w:val="00663990"/>
    <w:pPr>
      <w:spacing w:before="120" w:after="120"/>
    </w:pPr>
    <w:rPr>
      <w:b/>
      <w:sz w:val="20"/>
    </w:rPr>
  </w:style>
  <w:style w:type="character" w:customStyle="1" w:styleId="Heading6Char">
    <w:name w:val="Heading 6 Char"/>
    <w:basedOn w:val="DefaultParagraphFont"/>
    <w:link w:val="Heading6"/>
    <w:rsid w:val="00663990"/>
    <w:rPr>
      <w:rFonts w:ascii="Arial" w:eastAsia="Times New Roman" w:hAnsi="Arial" w:cs="Times New Roman"/>
      <w:bCs/>
      <w:sz w:val="20"/>
      <w:lang w:eastAsia="en-AU"/>
    </w:rPr>
  </w:style>
  <w:style w:type="paragraph" w:customStyle="1" w:styleId="Bullet">
    <w:name w:val="Bullet"/>
    <w:basedOn w:val="Normal"/>
    <w:qFormat/>
    <w:rsid w:val="00663990"/>
    <w:pPr>
      <w:numPr>
        <w:numId w:val="3"/>
      </w:numPr>
      <w:spacing w:after="160"/>
      <w:ind w:left="284" w:hanging="284"/>
    </w:pPr>
  </w:style>
  <w:style w:type="paragraph" w:styleId="Caption">
    <w:name w:val="caption"/>
    <w:basedOn w:val="Normal"/>
    <w:next w:val="Normal"/>
    <w:rsid w:val="00663990"/>
    <w:rPr>
      <w:b/>
      <w:bCs/>
    </w:rPr>
  </w:style>
  <w:style w:type="paragraph" w:customStyle="1" w:styleId="ChartandTableFootnote">
    <w:name w:val="Chart and Table Footnote"/>
    <w:basedOn w:val="HeadingBase"/>
    <w:next w:val="Normal"/>
    <w:rsid w:val="0066399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663990"/>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663990"/>
    <w:pPr>
      <w:keepNext w:val="0"/>
      <w:tabs>
        <w:tab w:val="left" w:pos="284"/>
      </w:tabs>
      <w:jc w:val="both"/>
    </w:pPr>
    <w:rPr>
      <w:color w:val="000000"/>
      <w:sz w:val="15"/>
    </w:rPr>
  </w:style>
  <w:style w:type="paragraph" w:customStyle="1" w:styleId="ChartGraphic">
    <w:name w:val="Chart Graphic"/>
    <w:basedOn w:val="HeadingBase"/>
    <w:rsid w:val="00663990"/>
    <w:rPr>
      <w:sz w:val="20"/>
    </w:rPr>
  </w:style>
  <w:style w:type="paragraph" w:customStyle="1" w:styleId="TableLine">
    <w:name w:val="Table Line"/>
    <w:basedOn w:val="Normal"/>
    <w:next w:val="Normal"/>
    <w:autoRedefine/>
    <w:rsid w:val="0066399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663990"/>
    <w:pPr>
      <w:spacing w:after="60"/>
    </w:pPr>
    <w:rPr>
      <w:sz w:val="19"/>
    </w:rPr>
  </w:style>
  <w:style w:type="character" w:styleId="CommentReference">
    <w:name w:val="annotation reference"/>
    <w:basedOn w:val="DefaultParagraphFont"/>
    <w:semiHidden/>
    <w:rsid w:val="00663990"/>
    <w:rPr>
      <w:sz w:val="16"/>
      <w:szCs w:val="16"/>
    </w:rPr>
  </w:style>
  <w:style w:type="paragraph" w:styleId="CommentText">
    <w:name w:val="annotation text"/>
    <w:basedOn w:val="Normal"/>
    <w:link w:val="CommentTextChar"/>
    <w:semiHidden/>
    <w:rsid w:val="00663990"/>
  </w:style>
  <w:style w:type="character" w:customStyle="1" w:styleId="CommentTextChar">
    <w:name w:val="Comment Text Char"/>
    <w:basedOn w:val="DefaultParagraphFont"/>
    <w:link w:val="CommentText"/>
    <w:semiHidden/>
    <w:rsid w:val="0066399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63990"/>
    <w:rPr>
      <w:b/>
      <w:bCs/>
    </w:rPr>
  </w:style>
  <w:style w:type="character" w:customStyle="1" w:styleId="CommentSubjectChar">
    <w:name w:val="Comment Subject Char"/>
    <w:basedOn w:val="CommentTextChar"/>
    <w:link w:val="CommentSubject"/>
    <w:semiHidden/>
    <w:rsid w:val="0066399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63990"/>
    <w:pPr>
      <w:spacing w:after="720"/>
      <w:outlineLvl w:val="9"/>
    </w:pPr>
  </w:style>
  <w:style w:type="character" w:styleId="Strong">
    <w:name w:val="Strong"/>
    <w:basedOn w:val="DefaultParagraphFont"/>
    <w:uiPriority w:val="22"/>
    <w:qFormat/>
    <w:rsid w:val="00663990"/>
    <w:rPr>
      <w:b/>
      <w:bCs/>
      <w:color w:val="002A54" w:themeColor="text2"/>
    </w:rPr>
  </w:style>
  <w:style w:type="paragraph" w:customStyle="1" w:styleId="Dash">
    <w:name w:val="Dash"/>
    <w:basedOn w:val="Normal"/>
    <w:qFormat/>
    <w:rsid w:val="00663990"/>
    <w:pPr>
      <w:numPr>
        <w:ilvl w:val="1"/>
        <w:numId w:val="3"/>
      </w:numPr>
      <w:tabs>
        <w:tab w:val="left" w:pos="567"/>
      </w:tabs>
    </w:pPr>
  </w:style>
  <w:style w:type="paragraph" w:styleId="DocumentMap">
    <w:name w:val="Document Map"/>
    <w:basedOn w:val="Normal"/>
    <w:link w:val="DocumentMapChar"/>
    <w:semiHidden/>
    <w:rsid w:val="006639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663990"/>
    <w:rPr>
      <w:rFonts w:ascii="Tahoma" w:eastAsia="Times New Roman" w:hAnsi="Tahoma" w:cs="Tahoma"/>
      <w:sz w:val="19"/>
      <w:szCs w:val="20"/>
      <w:shd w:val="clear" w:color="auto" w:fill="000080"/>
      <w:lang w:eastAsia="en-AU"/>
    </w:rPr>
  </w:style>
  <w:style w:type="paragraph" w:customStyle="1" w:styleId="DoubleDot">
    <w:name w:val="Double Dot"/>
    <w:basedOn w:val="Normal"/>
    <w:rsid w:val="00663990"/>
    <w:pPr>
      <w:numPr>
        <w:ilvl w:val="2"/>
        <w:numId w:val="3"/>
      </w:numPr>
      <w:tabs>
        <w:tab w:val="clear" w:pos="850"/>
        <w:tab w:val="num" w:pos="360"/>
        <w:tab w:val="left" w:pos="851"/>
      </w:tabs>
    </w:pPr>
  </w:style>
  <w:style w:type="paragraph" w:customStyle="1" w:styleId="FigureHeading">
    <w:name w:val="Figure Heading"/>
    <w:basedOn w:val="HeadingBase"/>
    <w:next w:val="ChartGraphic"/>
    <w:rsid w:val="00663990"/>
    <w:pPr>
      <w:spacing w:before="120" w:after="20"/>
    </w:pPr>
    <w:rPr>
      <w:b/>
      <w:sz w:val="20"/>
    </w:rPr>
  </w:style>
  <w:style w:type="paragraph" w:customStyle="1" w:styleId="FooterBase">
    <w:name w:val="Footer Base"/>
    <w:rsid w:val="0066399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63990"/>
    <w:pPr>
      <w:pBdr>
        <w:top w:val="single" w:sz="4" w:space="10" w:color="002A54" w:themeColor="text2"/>
      </w:pBdr>
      <w:jc w:val="left"/>
    </w:pPr>
    <w:rPr>
      <w:sz w:val="18"/>
    </w:rPr>
  </w:style>
  <w:style w:type="paragraph" w:customStyle="1" w:styleId="FooterOdd">
    <w:name w:val="Footer Odd"/>
    <w:basedOn w:val="Footer"/>
    <w:qFormat/>
    <w:rsid w:val="00663990"/>
    <w:pPr>
      <w:pBdr>
        <w:top w:val="single" w:sz="4" w:space="10" w:color="002A54" w:themeColor="text2"/>
      </w:pBdr>
      <w:jc w:val="right"/>
    </w:pPr>
    <w:rPr>
      <w:sz w:val="18"/>
    </w:rPr>
  </w:style>
  <w:style w:type="character" w:styleId="FootnoteReference">
    <w:name w:val="footnote reference"/>
    <w:basedOn w:val="DefaultParagraphFont"/>
    <w:rsid w:val="00663990"/>
    <w:rPr>
      <w:vertAlign w:val="superscript"/>
    </w:rPr>
  </w:style>
  <w:style w:type="paragraph" w:styleId="FootnoteText">
    <w:name w:val="footnote text"/>
    <w:basedOn w:val="Normal"/>
    <w:link w:val="FootnoteTextChar"/>
    <w:rsid w:val="0066399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63990"/>
    <w:rPr>
      <w:rFonts w:ascii="Book Antiqua" w:eastAsia="Times New Roman" w:hAnsi="Book Antiqua" w:cs="Times New Roman"/>
      <w:sz w:val="18"/>
      <w:szCs w:val="20"/>
      <w:lang w:eastAsia="en-AU"/>
    </w:rPr>
  </w:style>
  <w:style w:type="paragraph" w:customStyle="1" w:styleId="HeaderBase">
    <w:name w:val="Header Base"/>
    <w:rsid w:val="0066399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63990"/>
  </w:style>
  <w:style w:type="paragraph" w:customStyle="1" w:styleId="HeaderOdd">
    <w:name w:val="Header Odd"/>
    <w:basedOn w:val="HeaderBase"/>
    <w:rsid w:val="00663990"/>
    <w:pPr>
      <w:jc w:val="right"/>
    </w:pPr>
  </w:style>
  <w:style w:type="character" w:customStyle="1" w:styleId="Heading1Char">
    <w:name w:val="Heading 1 Char"/>
    <w:basedOn w:val="DefaultParagraphFont"/>
    <w:link w:val="Heading1"/>
    <w:rsid w:val="0066399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6399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63990"/>
    <w:rPr>
      <w:rFonts w:ascii="Arial Bold" w:eastAsia="Times New Roman" w:hAnsi="Arial Bold" w:cs="Times New Roman"/>
      <w:b/>
      <w:szCs w:val="20"/>
      <w:lang w:eastAsia="en-AU"/>
    </w:rPr>
  </w:style>
  <w:style w:type="paragraph" w:customStyle="1" w:styleId="Heading3noTOC">
    <w:name w:val="Heading 3 no TOC"/>
    <w:basedOn w:val="Heading3"/>
    <w:rsid w:val="00663990"/>
    <w:pPr>
      <w:outlineLvl w:val="9"/>
    </w:pPr>
  </w:style>
  <w:style w:type="character" w:customStyle="1" w:styleId="Heading4Char">
    <w:name w:val="Heading 4 Char"/>
    <w:basedOn w:val="DefaultParagraphFont"/>
    <w:link w:val="Heading4"/>
    <w:rsid w:val="0066399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6399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66399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63990"/>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663990"/>
    <w:rPr>
      <w:color w:val="auto"/>
      <w:u w:val="single"/>
    </w:rPr>
  </w:style>
  <w:style w:type="paragraph" w:styleId="Index4">
    <w:name w:val="index 4"/>
    <w:basedOn w:val="Normal"/>
    <w:next w:val="Normal"/>
    <w:autoRedefine/>
    <w:semiHidden/>
    <w:rsid w:val="00663990"/>
    <w:pPr>
      <w:ind w:left="800" w:hanging="200"/>
    </w:pPr>
  </w:style>
  <w:style w:type="paragraph" w:styleId="Index5">
    <w:name w:val="index 5"/>
    <w:basedOn w:val="Normal"/>
    <w:next w:val="Normal"/>
    <w:autoRedefine/>
    <w:semiHidden/>
    <w:rsid w:val="00663990"/>
    <w:pPr>
      <w:ind w:left="1000" w:hanging="200"/>
    </w:pPr>
  </w:style>
  <w:style w:type="paragraph" w:styleId="Index6">
    <w:name w:val="index 6"/>
    <w:basedOn w:val="Normal"/>
    <w:next w:val="Normal"/>
    <w:autoRedefine/>
    <w:semiHidden/>
    <w:rsid w:val="00663990"/>
    <w:pPr>
      <w:ind w:left="1200" w:hanging="200"/>
    </w:pPr>
  </w:style>
  <w:style w:type="paragraph" w:styleId="Index7">
    <w:name w:val="index 7"/>
    <w:basedOn w:val="Normal"/>
    <w:next w:val="Normal"/>
    <w:autoRedefine/>
    <w:semiHidden/>
    <w:rsid w:val="00663990"/>
    <w:pPr>
      <w:ind w:left="1400" w:hanging="200"/>
    </w:pPr>
  </w:style>
  <w:style w:type="paragraph" w:styleId="Index8">
    <w:name w:val="index 8"/>
    <w:basedOn w:val="Normal"/>
    <w:next w:val="Normal"/>
    <w:autoRedefine/>
    <w:semiHidden/>
    <w:rsid w:val="00663990"/>
    <w:pPr>
      <w:ind w:left="1600" w:hanging="200"/>
    </w:pPr>
  </w:style>
  <w:style w:type="paragraph" w:styleId="Index9">
    <w:name w:val="index 9"/>
    <w:basedOn w:val="Normal"/>
    <w:next w:val="Normal"/>
    <w:autoRedefine/>
    <w:semiHidden/>
    <w:rsid w:val="00663990"/>
    <w:pPr>
      <w:ind w:left="1800" w:hanging="200"/>
    </w:pPr>
  </w:style>
  <w:style w:type="paragraph" w:styleId="MacroText">
    <w:name w:val="macro"/>
    <w:link w:val="MacroTextChar"/>
    <w:unhideWhenUsed/>
    <w:rsid w:val="0066399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63990"/>
    <w:rPr>
      <w:rFonts w:ascii="Courier New" w:eastAsia="Times New Roman" w:hAnsi="Courier New" w:cs="Courier New"/>
      <w:sz w:val="20"/>
      <w:szCs w:val="20"/>
      <w:lang w:eastAsia="en-AU"/>
    </w:rPr>
  </w:style>
  <w:style w:type="paragraph" w:styleId="NormalIndent">
    <w:name w:val="Normal Indent"/>
    <w:basedOn w:val="Normal"/>
    <w:rsid w:val="00663990"/>
    <w:pPr>
      <w:ind w:left="567"/>
    </w:pPr>
  </w:style>
  <w:style w:type="paragraph" w:customStyle="1" w:styleId="NoteTableHeading">
    <w:name w:val="Note Table Heading"/>
    <w:basedOn w:val="HeadingBase"/>
    <w:next w:val="Normal"/>
    <w:rsid w:val="00663990"/>
    <w:pPr>
      <w:spacing w:before="240"/>
    </w:pPr>
    <w:rPr>
      <w:b/>
      <w:sz w:val="20"/>
    </w:rPr>
  </w:style>
  <w:style w:type="paragraph" w:customStyle="1" w:styleId="OverviewParagraph">
    <w:name w:val="Overview Paragraph"/>
    <w:basedOn w:val="Normal"/>
    <w:rsid w:val="00663990"/>
    <w:pPr>
      <w:spacing w:before="120" w:after="120" w:line="240" w:lineRule="auto"/>
    </w:pPr>
  </w:style>
  <w:style w:type="character" w:styleId="PageNumber">
    <w:name w:val="page number"/>
    <w:basedOn w:val="DefaultParagraphFont"/>
    <w:rsid w:val="00663990"/>
    <w:rPr>
      <w:rFonts w:ascii="Arial" w:hAnsi="Arial" w:cs="Arial"/>
    </w:rPr>
  </w:style>
  <w:style w:type="paragraph" w:customStyle="1" w:styleId="SingleParagraph">
    <w:name w:val="Single Paragraph"/>
    <w:basedOn w:val="Normal"/>
    <w:rsid w:val="00663990"/>
    <w:pPr>
      <w:spacing w:before="0" w:after="0"/>
    </w:pPr>
  </w:style>
  <w:style w:type="paragraph" w:customStyle="1" w:styleId="Source">
    <w:name w:val="Source"/>
    <w:basedOn w:val="Normal"/>
    <w:rsid w:val="0066399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6399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63990"/>
    <w:pPr>
      <w:jc w:val="center"/>
    </w:pPr>
  </w:style>
  <w:style w:type="paragraph" w:customStyle="1" w:styleId="TableColumnHeadingLeft">
    <w:name w:val="Table Column Heading Left"/>
    <w:basedOn w:val="TableColumnHeadingBase"/>
    <w:next w:val="Normal"/>
    <w:rsid w:val="00663990"/>
  </w:style>
  <w:style w:type="paragraph" w:customStyle="1" w:styleId="TableColumnHeadingRight">
    <w:name w:val="Table Column Heading Right"/>
    <w:basedOn w:val="TableColumnHeadingBase"/>
    <w:next w:val="Normal"/>
    <w:rsid w:val="00663990"/>
    <w:pPr>
      <w:jc w:val="right"/>
    </w:pPr>
  </w:style>
  <w:style w:type="paragraph" w:customStyle="1" w:styleId="TableGraphic">
    <w:name w:val="Table Graphic"/>
    <w:basedOn w:val="Normal"/>
    <w:next w:val="Normal"/>
    <w:rsid w:val="00663990"/>
    <w:pPr>
      <w:spacing w:after="0" w:line="240" w:lineRule="auto"/>
      <w:ind w:right="-113"/>
    </w:pPr>
  </w:style>
  <w:style w:type="table" w:styleId="TableGrid">
    <w:name w:val="Table Grid"/>
    <w:basedOn w:val="TableNormal"/>
    <w:rsid w:val="0066399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663990"/>
    <w:pPr>
      <w:spacing w:before="120" w:after="20"/>
    </w:pPr>
    <w:rPr>
      <w:b/>
      <w:sz w:val="20"/>
    </w:rPr>
  </w:style>
  <w:style w:type="paragraph" w:customStyle="1" w:styleId="TableHeadingcontinued">
    <w:name w:val="Table Heading continued"/>
    <w:basedOn w:val="HeadingBase"/>
    <w:next w:val="TableGraphic"/>
    <w:rsid w:val="00663990"/>
    <w:pPr>
      <w:spacing w:before="120" w:after="20"/>
    </w:pPr>
    <w:rPr>
      <w:rFonts w:ascii="Arial Bold" w:hAnsi="Arial Bold"/>
      <w:b/>
      <w:sz w:val="20"/>
    </w:rPr>
  </w:style>
  <w:style w:type="paragraph" w:styleId="TableofFigures">
    <w:name w:val="table of figures"/>
    <w:basedOn w:val="Normal"/>
    <w:next w:val="Normal"/>
    <w:rsid w:val="00663990"/>
  </w:style>
  <w:style w:type="paragraph" w:customStyle="1" w:styleId="TableTextBase">
    <w:name w:val="Table Text Base"/>
    <w:basedOn w:val="Normal"/>
    <w:rsid w:val="00663990"/>
    <w:pPr>
      <w:spacing w:before="20" w:after="20" w:line="240" w:lineRule="auto"/>
    </w:pPr>
    <w:rPr>
      <w:rFonts w:ascii="Arial" w:hAnsi="Arial"/>
      <w:sz w:val="16"/>
    </w:rPr>
  </w:style>
  <w:style w:type="paragraph" w:customStyle="1" w:styleId="TableTextCentred">
    <w:name w:val="Table Text Centred"/>
    <w:basedOn w:val="TableTextBase"/>
    <w:rsid w:val="00663990"/>
    <w:pPr>
      <w:jc w:val="center"/>
    </w:pPr>
  </w:style>
  <w:style w:type="paragraph" w:customStyle="1" w:styleId="TableTextIndented">
    <w:name w:val="Table Text Indented"/>
    <w:basedOn w:val="TableTextBase"/>
    <w:rsid w:val="00663990"/>
    <w:pPr>
      <w:ind w:left="284"/>
    </w:pPr>
  </w:style>
  <w:style w:type="paragraph" w:customStyle="1" w:styleId="TableTextLeft">
    <w:name w:val="Table Text Left"/>
    <w:basedOn w:val="TableTextBase"/>
    <w:rsid w:val="00663990"/>
  </w:style>
  <w:style w:type="paragraph" w:customStyle="1" w:styleId="TableTextRight">
    <w:name w:val="Table Text Right"/>
    <w:basedOn w:val="TableTextBase"/>
    <w:rsid w:val="00663990"/>
    <w:pPr>
      <w:jc w:val="right"/>
    </w:pPr>
  </w:style>
  <w:style w:type="paragraph" w:styleId="TOAHeading">
    <w:name w:val="toa heading"/>
    <w:basedOn w:val="Normal"/>
    <w:next w:val="Normal"/>
    <w:rsid w:val="00663990"/>
    <w:pPr>
      <w:spacing w:before="120"/>
    </w:pPr>
    <w:rPr>
      <w:rFonts w:ascii="Arial" w:hAnsi="Arial" w:cs="Arial"/>
      <w:b/>
      <w:bCs/>
      <w:sz w:val="24"/>
      <w:szCs w:val="24"/>
    </w:rPr>
  </w:style>
  <w:style w:type="paragraph" w:styleId="TOC1">
    <w:name w:val="toc 1"/>
    <w:basedOn w:val="HeaderBase"/>
    <w:next w:val="Normal"/>
    <w:uiPriority w:val="39"/>
    <w:rsid w:val="0066399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66399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63990"/>
    <w:pPr>
      <w:tabs>
        <w:tab w:val="right" w:leader="dot" w:pos="7700"/>
      </w:tabs>
      <w:spacing w:before="40"/>
      <w:ind w:right="851"/>
    </w:pPr>
    <w:rPr>
      <w:sz w:val="20"/>
    </w:rPr>
  </w:style>
  <w:style w:type="paragraph" w:styleId="TOC4">
    <w:name w:val="toc 4"/>
    <w:basedOn w:val="HeadingBase"/>
    <w:next w:val="Normal"/>
    <w:uiPriority w:val="2"/>
    <w:unhideWhenUsed/>
    <w:rsid w:val="00663990"/>
    <w:pPr>
      <w:tabs>
        <w:tab w:val="right" w:leader="dot" w:pos="7700"/>
      </w:tabs>
      <w:spacing w:before="40"/>
      <w:ind w:right="851"/>
    </w:pPr>
    <w:rPr>
      <w:sz w:val="20"/>
    </w:rPr>
  </w:style>
  <w:style w:type="paragraph" w:styleId="TOC5">
    <w:name w:val="toc 5"/>
    <w:basedOn w:val="Normal"/>
    <w:next w:val="Normal"/>
    <w:autoRedefine/>
    <w:uiPriority w:val="2"/>
    <w:semiHidden/>
    <w:rsid w:val="0066399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63990"/>
    <w:pPr>
      <w:tabs>
        <w:tab w:val="left" w:pos="851"/>
      </w:tabs>
      <w:ind w:left="851" w:hanging="851"/>
    </w:pPr>
    <w:rPr>
      <w:color w:val="000000"/>
    </w:rPr>
  </w:style>
  <w:style w:type="paragraph" w:styleId="TOC7">
    <w:name w:val="toc 7"/>
    <w:basedOn w:val="Normal"/>
    <w:next w:val="Normal"/>
    <w:autoRedefine/>
    <w:uiPriority w:val="2"/>
    <w:semiHidden/>
    <w:rsid w:val="00663990"/>
    <w:pPr>
      <w:ind w:left="1200"/>
    </w:pPr>
  </w:style>
  <w:style w:type="paragraph" w:styleId="TOC8">
    <w:name w:val="toc 8"/>
    <w:basedOn w:val="Normal"/>
    <w:next w:val="Normal"/>
    <w:autoRedefine/>
    <w:uiPriority w:val="2"/>
    <w:semiHidden/>
    <w:rsid w:val="00663990"/>
    <w:pPr>
      <w:ind w:left="1400"/>
    </w:pPr>
  </w:style>
  <w:style w:type="paragraph" w:styleId="TOC9">
    <w:name w:val="toc 9"/>
    <w:basedOn w:val="Normal"/>
    <w:next w:val="Normal"/>
    <w:autoRedefine/>
    <w:uiPriority w:val="2"/>
    <w:semiHidden/>
    <w:rsid w:val="00663990"/>
    <w:pPr>
      <w:ind w:left="1600"/>
    </w:pPr>
  </w:style>
  <w:style w:type="paragraph" w:customStyle="1" w:styleId="TPHeading1">
    <w:name w:val="TP Heading 1"/>
    <w:basedOn w:val="HeadingBase"/>
    <w:semiHidden/>
    <w:rsid w:val="00663990"/>
    <w:pPr>
      <w:spacing w:before="60" w:after="60"/>
      <w:ind w:left="1134"/>
    </w:pPr>
    <w:rPr>
      <w:rFonts w:ascii="Arial Bold" w:hAnsi="Arial Bold"/>
      <w:b/>
      <w:caps/>
      <w:spacing w:val="-10"/>
      <w:sz w:val="28"/>
    </w:rPr>
  </w:style>
  <w:style w:type="paragraph" w:customStyle="1" w:styleId="TPHeading2">
    <w:name w:val="TP Heading 2"/>
    <w:basedOn w:val="HeadingBase"/>
    <w:semiHidden/>
    <w:rsid w:val="00663990"/>
    <w:pPr>
      <w:ind w:left="1134"/>
    </w:pPr>
    <w:rPr>
      <w:caps/>
      <w:spacing w:val="-10"/>
      <w:sz w:val="28"/>
    </w:rPr>
  </w:style>
  <w:style w:type="paragraph" w:customStyle="1" w:styleId="TPHeading3">
    <w:name w:val="TP Heading 3"/>
    <w:basedOn w:val="HeadingBase"/>
    <w:semiHidden/>
    <w:rsid w:val="00663990"/>
    <w:pPr>
      <w:ind w:left="1134"/>
    </w:pPr>
    <w:rPr>
      <w:caps/>
      <w:spacing w:val="-10"/>
    </w:rPr>
  </w:style>
  <w:style w:type="paragraph" w:customStyle="1" w:styleId="TPHeading3bold">
    <w:name w:val="TP Heading 3 bold"/>
    <w:basedOn w:val="TPHeading3"/>
    <w:semiHidden/>
    <w:rsid w:val="00663990"/>
    <w:rPr>
      <w:rFonts w:cs="Arial"/>
      <w:b/>
      <w:sz w:val="22"/>
      <w:szCs w:val="22"/>
    </w:rPr>
  </w:style>
  <w:style w:type="paragraph" w:customStyle="1" w:styleId="TPHEADING3boldspace">
    <w:name w:val="TP HEADING 3 bold space"/>
    <w:basedOn w:val="TPHeading3bold"/>
    <w:semiHidden/>
    <w:rsid w:val="00663990"/>
    <w:pPr>
      <w:spacing w:after="120"/>
    </w:pPr>
  </w:style>
  <w:style w:type="paragraph" w:customStyle="1" w:styleId="TPHEADING3space">
    <w:name w:val="TP HEADING 3 space"/>
    <w:basedOn w:val="TPHeading3"/>
    <w:semiHidden/>
    <w:rsid w:val="00663990"/>
    <w:pPr>
      <w:spacing w:before="120" w:after="120"/>
    </w:pPr>
    <w:rPr>
      <w:rFonts w:cs="Arial"/>
      <w:sz w:val="22"/>
      <w:szCs w:val="22"/>
    </w:rPr>
  </w:style>
  <w:style w:type="paragraph" w:customStyle="1" w:styleId="TPHeading4">
    <w:name w:val="TP Heading 4"/>
    <w:basedOn w:val="TPHeading3"/>
    <w:semiHidden/>
    <w:rsid w:val="00663990"/>
    <w:rPr>
      <w:sz w:val="20"/>
    </w:rPr>
  </w:style>
  <w:style w:type="paragraph" w:customStyle="1" w:styleId="TPHEADING4space">
    <w:name w:val="TP HEADING 4 space"/>
    <w:basedOn w:val="TPHEADING3space"/>
    <w:semiHidden/>
    <w:rsid w:val="00663990"/>
  </w:style>
  <w:style w:type="paragraph" w:customStyle="1" w:styleId="ChartLine">
    <w:name w:val="Chart Line"/>
    <w:basedOn w:val="Normal"/>
    <w:autoRedefine/>
    <w:qFormat/>
    <w:rsid w:val="0057031D"/>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66399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63990"/>
    <w:rPr>
      <w:sz w:val="16"/>
    </w:rPr>
  </w:style>
  <w:style w:type="paragraph" w:customStyle="1" w:styleId="Box-continuedon">
    <w:name w:val="Box - continued on"/>
    <w:basedOn w:val="Normal"/>
    <w:qFormat/>
    <w:rsid w:val="00663990"/>
    <w:pPr>
      <w:jc w:val="right"/>
    </w:pPr>
    <w:rPr>
      <w:rFonts w:asciiTheme="majorHAnsi" w:hAnsiTheme="majorHAnsi" w:cstheme="majorHAnsi"/>
      <w:i/>
      <w:iCs/>
      <w:sz w:val="18"/>
      <w:szCs w:val="24"/>
    </w:rPr>
  </w:style>
  <w:style w:type="paragraph" w:customStyle="1" w:styleId="BoxHeading2">
    <w:name w:val="Box Heading 2"/>
    <w:basedOn w:val="BoxHeading"/>
    <w:autoRedefine/>
    <w:rsid w:val="00663990"/>
    <w:pPr>
      <w:spacing w:after="0"/>
    </w:pPr>
    <w:rPr>
      <w:b w:val="0"/>
      <w:bCs/>
      <w:szCs w:val="14"/>
    </w:rPr>
  </w:style>
  <w:style w:type="character" w:customStyle="1" w:styleId="Heading9Char">
    <w:name w:val="Heading 9 Char"/>
    <w:basedOn w:val="DefaultParagraphFont"/>
    <w:link w:val="Heading9"/>
    <w:uiPriority w:val="9"/>
    <w:rsid w:val="00663990"/>
    <w:rPr>
      <w:rFonts w:ascii="Cambria" w:eastAsia="Times New Roman" w:hAnsi="Cambria" w:cs="Times New Roman"/>
      <w:lang w:eastAsia="en-AU"/>
    </w:rPr>
  </w:style>
  <w:style w:type="paragraph" w:customStyle="1" w:styleId="GhostLine">
    <w:name w:val="Ghost Line"/>
    <w:basedOn w:val="NoSpacing"/>
    <w:qFormat/>
    <w:rsid w:val="00663990"/>
    <w:pPr>
      <w:jc w:val="both"/>
    </w:pPr>
    <w:rPr>
      <w:rFonts w:ascii="Book Antiqua" w:hAnsi="Book Antiqua"/>
      <w:sz w:val="2"/>
    </w:rPr>
  </w:style>
  <w:style w:type="paragraph" w:styleId="NoSpacing">
    <w:name w:val="No Spacing"/>
    <w:uiPriority w:val="1"/>
    <w:qFormat/>
    <w:rsid w:val="00663990"/>
    <w:pPr>
      <w:spacing w:after="0" w:line="240" w:lineRule="auto"/>
    </w:pPr>
    <w:rPr>
      <w:rFonts w:eastAsia="Times New Roman" w:cs="Times New Roman"/>
      <w:sz w:val="19"/>
      <w:szCs w:val="20"/>
      <w:lang w:eastAsia="en-AU"/>
    </w:rPr>
  </w:style>
  <w:style w:type="paragraph" w:customStyle="1" w:styleId="StatementWhite">
    <w:name w:val="Statement White"/>
    <w:basedOn w:val="Normal"/>
    <w:autoRedefine/>
    <w:qFormat/>
    <w:rsid w:val="00D8138E"/>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D8138E"/>
    <w:pPr>
      <w:pBdr>
        <w:top w:val="single" w:sz="4" w:space="10" w:color="FFFFFF" w:themeColor="background1"/>
      </w:pBdr>
    </w:pPr>
    <w:rPr>
      <w:color w:val="FFFFFF" w:themeColor="background1"/>
    </w:rPr>
  </w:style>
  <w:style w:type="paragraph" w:customStyle="1" w:styleId="BoxSubHeading">
    <w:name w:val="Box Sub Heading"/>
    <w:basedOn w:val="Heading6"/>
    <w:rsid w:val="00D8138E"/>
    <w:pPr>
      <w:spacing w:before="120" w:after="40"/>
    </w:pPr>
  </w:style>
  <w:style w:type="paragraph" w:customStyle="1" w:styleId="ChartHeading">
    <w:name w:val="Chart Heading"/>
    <w:basedOn w:val="HeadingBase"/>
    <w:next w:val="ChartGraphic"/>
    <w:qFormat/>
    <w:rsid w:val="00D8138E"/>
    <w:pPr>
      <w:spacing w:before="120" w:after="20"/>
    </w:pPr>
    <w:rPr>
      <w:b/>
      <w:sz w:val="20"/>
    </w:rPr>
  </w:style>
  <w:style w:type="character" w:styleId="EndnoteReference">
    <w:name w:val="endnote reference"/>
    <w:basedOn w:val="DefaultParagraphFont"/>
    <w:unhideWhenUsed/>
    <w:rsid w:val="00D8138E"/>
    <w:rPr>
      <w:vertAlign w:val="superscript"/>
    </w:rPr>
  </w:style>
  <w:style w:type="paragraph" w:styleId="EndnoteText">
    <w:name w:val="endnote text"/>
    <w:basedOn w:val="Normal"/>
    <w:link w:val="EndnoteTextChar"/>
    <w:unhideWhenUsed/>
    <w:rsid w:val="00D8138E"/>
    <w:rPr>
      <w:rFonts w:asciiTheme="minorHAnsi" w:hAnsiTheme="minorHAnsi"/>
    </w:rPr>
  </w:style>
  <w:style w:type="character" w:customStyle="1" w:styleId="EndnoteTextChar">
    <w:name w:val="Endnote Text Char"/>
    <w:basedOn w:val="DefaultParagraphFont"/>
    <w:link w:val="EndnoteText"/>
    <w:rsid w:val="00D8138E"/>
    <w:rPr>
      <w:rFonts w:eastAsia="Times New Roman" w:cs="Times New Roman"/>
      <w:sz w:val="19"/>
      <w:szCs w:val="20"/>
      <w:lang w:eastAsia="en-AU"/>
    </w:rPr>
  </w:style>
  <w:style w:type="paragraph" w:styleId="Index1">
    <w:name w:val="index 1"/>
    <w:basedOn w:val="Normal"/>
    <w:next w:val="Normal"/>
    <w:rsid w:val="00D8138E"/>
    <w:pPr>
      <w:ind w:left="200" w:hanging="200"/>
    </w:pPr>
    <w:rPr>
      <w:rFonts w:asciiTheme="minorHAnsi" w:hAnsiTheme="minorHAnsi"/>
    </w:rPr>
  </w:style>
  <w:style w:type="paragraph" w:styleId="Index2">
    <w:name w:val="index 2"/>
    <w:basedOn w:val="Normal"/>
    <w:next w:val="Normal"/>
    <w:rsid w:val="00D8138E"/>
    <w:pPr>
      <w:ind w:left="400" w:hanging="200"/>
    </w:pPr>
    <w:rPr>
      <w:rFonts w:asciiTheme="minorHAnsi" w:hAnsiTheme="minorHAnsi"/>
    </w:rPr>
  </w:style>
  <w:style w:type="paragraph" w:styleId="Index3">
    <w:name w:val="index 3"/>
    <w:basedOn w:val="Normal"/>
    <w:next w:val="Normal"/>
    <w:rsid w:val="00D8138E"/>
    <w:pPr>
      <w:ind w:left="600" w:hanging="200"/>
    </w:pPr>
    <w:rPr>
      <w:rFonts w:asciiTheme="minorHAnsi" w:hAnsiTheme="minorHAnsi"/>
    </w:rPr>
  </w:style>
  <w:style w:type="paragraph" w:styleId="IndexHeading">
    <w:name w:val="index heading"/>
    <w:basedOn w:val="Normal"/>
    <w:next w:val="Index1"/>
    <w:rsid w:val="00D8138E"/>
    <w:rPr>
      <w:rFonts w:ascii="Arial Bold" w:hAnsi="Arial Bold" w:cs="Arial"/>
      <w:b/>
      <w:bCs/>
      <w:color w:val="002B54"/>
    </w:rPr>
  </w:style>
  <w:style w:type="paragraph" w:styleId="TableofAuthorities">
    <w:name w:val="table of authorities"/>
    <w:basedOn w:val="Normal"/>
    <w:next w:val="Normal"/>
    <w:rsid w:val="00D8138E"/>
    <w:pPr>
      <w:ind w:left="200" w:hanging="200"/>
    </w:pPr>
    <w:rPr>
      <w:rFonts w:asciiTheme="minorHAnsi" w:hAnsiTheme="minorHAnsi"/>
    </w:rPr>
  </w:style>
  <w:style w:type="paragraph" w:customStyle="1" w:styleId="StatementWhite-Bullet">
    <w:name w:val="Statement White - Bullet"/>
    <w:basedOn w:val="Bullet"/>
    <w:qFormat/>
    <w:rsid w:val="00D8138E"/>
    <w:pPr>
      <w:numPr>
        <w:numId w:val="0"/>
      </w:numPr>
      <w:tabs>
        <w:tab w:val="num" w:pos="283"/>
      </w:tabs>
      <w:ind w:left="284" w:hanging="284"/>
    </w:pPr>
    <w:rPr>
      <w:rFonts w:asciiTheme="minorHAnsi" w:hAnsiTheme="minorHAnsi"/>
      <w:color w:val="FFFFFF" w:themeColor="background1"/>
      <w:sz w:val="18"/>
    </w:rPr>
  </w:style>
  <w:style w:type="character" w:customStyle="1" w:styleId="TableHeadingChar">
    <w:name w:val="Table Heading Char"/>
    <w:link w:val="TableHeading"/>
    <w:rsid w:val="00D8138E"/>
    <w:rPr>
      <w:rFonts w:ascii="Arial" w:eastAsia="Times New Roman" w:hAnsi="Arial" w:cs="Times New Roman"/>
      <w:b/>
      <w:sz w:val="20"/>
      <w:szCs w:val="20"/>
      <w:lang w:eastAsia="en-AU"/>
    </w:rPr>
  </w:style>
  <w:style w:type="character" w:customStyle="1" w:styleId="ChartandTableFootnoteAlphaChar">
    <w:name w:val="Chart and Table Footnote Alpha Char"/>
    <w:link w:val="ChartandTableFootnoteAlpha"/>
    <w:rsid w:val="00D8138E"/>
    <w:rPr>
      <w:rFonts w:ascii="Arial" w:eastAsia="Times New Roman" w:hAnsi="Arial" w:cs="Times New Roman"/>
      <w:color w:val="000000"/>
      <w:sz w:val="16"/>
      <w:szCs w:val="20"/>
      <w:lang w:eastAsia="en-AU"/>
    </w:rPr>
  </w:style>
  <w:style w:type="paragraph" w:customStyle="1" w:styleId="AppendixHeading">
    <w:name w:val="Appendix Heading"/>
    <w:basedOn w:val="HeadingBase"/>
    <w:rsid w:val="00D8138E"/>
    <w:pPr>
      <w:spacing w:after="240"/>
      <w:jc w:val="center"/>
      <w:outlineLvl w:val="3"/>
    </w:pPr>
    <w:rPr>
      <w:b/>
      <w:smallCaps/>
      <w:sz w:val="30"/>
    </w:rPr>
  </w:style>
  <w:style w:type="paragraph" w:customStyle="1" w:styleId="ContentsnoToC">
    <w:name w:val="Contents no ToC"/>
    <w:basedOn w:val="ContentsHeading"/>
    <w:rsid w:val="00D8138E"/>
    <w:pPr>
      <w:jc w:val="center"/>
    </w:pPr>
    <w:rPr>
      <w:kern w:val="0"/>
    </w:rPr>
  </w:style>
  <w:style w:type="paragraph" w:customStyle="1" w:styleId="SourceBox">
    <w:name w:val="Source Box"/>
    <w:basedOn w:val="Source"/>
    <w:rsid w:val="00D8138E"/>
    <w:pPr>
      <w:spacing w:before="0" w:after="120"/>
      <w:jc w:val="both"/>
    </w:pPr>
  </w:style>
  <w:style w:type="paragraph" w:customStyle="1" w:styleId="Boxcontinuedover">
    <w:name w:val="Box continued over"/>
    <w:basedOn w:val="BoxText"/>
    <w:qFormat/>
    <w:rsid w:val="00D8138E"/>
    <w:pPr>
      <w:spacing w:before="240" w:after="0"/>
      <w:jc w:val="right"/>
    </w:pPr>
    <w:rPr>
      <w:rFonts w:ascii="Arial" w:hAnsi="Arial"/>
      <w:b/>
      <w:bCs/>
      <w:sz w:val="18"/>
      <w:szCs w:val="16"/>
    </w:rPr>
  </w:style>
  <w:style w:type="paragraph" w:customStyle="1" w:styleId="TableColumnHeading">
    <w:name w:val="Table Column Heading"/>
    <w:basedOn w:val="TableTextBase"/>
    <w:rsid w:val="00D8138E"/>
    <w:rPr>
      <w:b/>
      <w:color w:val="002B54"/>
    </w:rPr>
  </w:style>
  <w:style w:type="paragraph" w:customStyle="1" w:styleId="Default">
    <w:name w:val="Default"/>
    <w:rsid w:val="00D8138E"/>
    <w:pPr>
      <w:autoSpaceDE w:val="0"/>
      <w:autoSpaceDN w:val="0"/>
      <w:adjustRightInd w:val="0"/>
      <w:spacing w:after="0" w:line="240" w:lineRule="auto"/>
    </w:pPr>
    <w:rPr>
      <w:rFonts w:ascii="Arial" w:eastAsia="Calibri" w:hAnsi="Arial" w:cs="Arial"/>
      <w:color w:val="000000"/>
      <w:sz w:val="24"/>
      <w:szCs w:val="24"/>
      <w:lang w:eastAsia="en-AU"/>
    </w:rPr>
  </w:style>
  <w:style w:type="paragraph" w:styleId="ListParagraph">
    <w:name w:val="List Paragraph"/>
    <w:basedOn w:val="Normal"/>
    <w:uiPriority w:val="34"/>
    <w:qFormat/>
    <w:rsid w:val="00D8138E"/>
    <w:pPr>
      <w:spacing w:before="0" w:line="260" w:lineRule="exact"/>
      <w:ind w:left="720"/>
      <w:contextualSpacing/>
      <w:jc w:val="both"/>
    </w:pPr>
    <w:rPr>
      <w:sz w:val="20"/>
    </w:rPr>
  </w:style>
  <w:style w:type="paragraph" w:styleId="NormalWeb">
    <w:name w:val="Normal (Web)"/>
    <w:basedOn w:val="Normal"/>
    <w:uiPriority w:val="99"/>
    <w:semiHidden/>
    <w:unhideWhenUsed/>
    <w:rsid w:val="00D8138E"/>
    <w:pPr>
      <w:spacing w:before="0" w:line="260" w:lineRule="exact"/>
      <w:jc w:val="both"/>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D8138E"/>
    <w:rPr>
      <w:color w:val="605E5C"/>
      <w:shd w:val="clear" w:color="auto" w:fill="E1DFDD"/>
    </w:rPr>
  </w:style>
  <w:style w:type="paragraph" w:styleId="Revision">
    <w:name w:val="Revision"/>
    <w:hidden/>
    <w:uiPriority w:val="99"/>
    <w:semiHidden/>
    <w:rsid w:val="00D8138E"/>
    <w:pPr>
      <w:spacing w:after="0" w:line="240" w:lineRule="auto"/>
    </w:pPr>
    <w:rPr>
      <w:rFonts w:ascii="Book Antiqua" w:eastAsia="Times New Roman" w:hAnsi="Book Antiqua" w:cs="Times New Roman"/>
      <w:sz w:val="20"/>
      <w:szCs w:val="20"/>
      <w:lang w:eastAsia="en-AU"/>
    </w:rPr>
  </w:style>
  <w:style w:type="paragraph" w:customStyle="1" w:styleId="OutlineNumbered1">
    <w:name w:val="Outline Numbered 1"/>
    <w:basedOn w:val="Normal"/>
    <w:link w:val="OutlineNumbered1Char"/>
    <w:rsid w:val="00D8138E"/>
    <w:pPr>
      <w:numPr>
        <w:numId w:val="7"/>
      </w:numPr>
      <w:spacing w:before="0" w:line="260" w:lineRule="exact"/>
      <w:jc w:val="both"/>
    </w:pPr>
    <w:rPr>
      <w:rFonts w:cs="Arial"/>
      <w:color w:val="000000"/>
      <w:sz w:val="20"/>
    </w:rPr>
  </w:style>
  <w:style w:type="character" w:customStyle="1" w:styleId="OutlineNumbered1Char">
    <w:name w:val="Outline Numbered 1 Char"/>
    <w:basedOn w:val="ChartandTableFootnoteAlphaChar"/>
    <w:link w:val="OutlineNumbered1"/>
    <w:rsid w:val="00D8138E"/>
    <w:rPr>
      <w:rFonts w:ascii="Book Antiqua" w:eastAsia="Times New Roman" w:hAnsi="Book Antiqua" w:cs="Arial"/>
      <w:color w:val="000000"/>
      <w:sz w:val="20"/>
      <w:szCs w:val="20"/>
      <w:lang w:eastAsia="en-AU"/>
    </w:rPr>
  </w:style>
  <w:style w:type="paragraph" w:customStyle="1" w:styleId="OutlineNumbered2">
    <w:name w:val="Outline Numbered 2"/>
    <w:basedOn w:val="Normal"/>
    <w:link w:val="OutlineNumbered2Char"/>
    <w:rsid w:val="00D8138E"/>
    <w:pPr>
      <w:numPr>
        <w:ilvl w:val="1"/>
        <w:numId w:val="7"/>
      </w:numPr>
      <w:spacing w:before="0" w:line="260" w:lineRule="exact"/>
      <w:jc w:val="both"/>
    </w:pPr>
    <w:rPr>
      <w:rFonts w:cs="Arial"/>
      <w:color w:val="000000"/>
      <w:sz w:val="20"/>
    </w:rPr>
  </w:style>
  <w:style w:type="character" w:customStyle="1" w:styleId="OutlineNumbered2Char">
    <w:name w:val="Outline Numbered 2 Char"/>
    <w:basedOn w:val="ChartandTableFootnoteAlphaChar"/>
    <w:link w:val="OutlineNumbered2"/>
    <w:rsid w:val="00D8138E"/>
    <w:rPr>
      <w:rFonts w:ascii="Book Antiqua" w:eastAsia="Times New Roman" w:hAnsi="Book Antiqua" w:cs="Arial"/>
      <w:color w:val="000000"/>
      <w:sz w:val="20"/>
      <w:szCs w:val="20"/>
      <w:lang w:eastAsia="en-AU"/>
    </w:rPr>
  </w:style>
  <w:style w:type="paragraph" w:customStyle="1" w:styleId="OutlineNumbered3">
    <w:name w:val="Outline Numbered 3"/>
    <w:basedOn w:val="Normal"/>
    <w:link w:val="OutlineNumbered3Char"/>
    <w:rsid w:val="00D8138E"/>
    <w:pPr>
      <w:numPr>
        <w:ilvl w:val="2"/>
        <w:numId w:val="7"/>
      </w:numPr>
      <w:spacing w:before="0" w:line="260" w:lineRule="exact"/>
      <w:jc w:val="both"/>
    </w:pPr>
    <w:rPr>
      <w:rFonts w:cs="Arial"/>
      <w:color w:val="000000"/>
      <w:sz w:val="20"/>
    </w:rPr>
  </w:style>
  <w:style w:type="character" w:customStyle="1" w:styleId="OutlineNumbered3Char">
    <w:name w:val="Outline Numbered 3 Char"/>
    <w:basedOn w:val="ChartandTableFootnoteAlphaChar"/>
    <w:link w:val="OutlineNumbered3"/>
    <w:rsid w:val="00D8138E"/>
    <w:rPr>
      <w:rFonts w:ascii="Book Antiqua" w:eastAsia="Times New Roman" w:hAnsi="Book Antiqua" w:cs="Arial"/>
      <w:color w:val="000000"/>
      <w:sz w:val="20"/>
      <w:szCs w:val="20"/>
      <w:lang w:eastAsia="en-AU"/>
    </w:rPr>
  </w:style>
  <w:style w:type="character" w:customStyle="1" w:styleId="UnresolvedMention2">
    <w:name w:val="Unresolved Mention2"/>
    <w:basedOn w:val="DefaultParagraphFont"/>
    <w:uiPriority w:val="99"/>
    <w:semiHidden/>
    <w:unhideWhenUsed/>
    <w:rsid w:val="00D8138E"/>
    <w:rPr>
      <w:color w:val="605E5C"/>
      <w:shd w:val="clear" w:color="auto" w:fill="E1DFDD"/>
    </w:rPr>
  </w:style>
  <w:style w:type="character" w:styleId="FollowedHyperlink">
    <w:name w:val="FollowedHyperlink"/>
    <w:basedOn w:val="DefaultParagraphFont"/>
    <w:uiPriority w:val="99"/>
    <w:semiHidden/>
    <w:unhideWhenUsed/>
    <w:rsid w:val="00D8138E"/>
    <w:rPr>
      <w:color w:val="E61E26" w:themeColor="followedHyperlink"/>
      <w:u w:val="single"/>
    </w:rPr>
  </w:style>
  <w:style w:type="paragraph" w:styleId="TOCHeading">
    <w:name w:val="TOC Heading"/>
    <w:basedOn w:val="Heading1"/>
    <w:next w:val="Normal"/>
    <w:uiPriority w:val="39"/>
    <w:unhideWhenUsed/>
    <w:qFormat/>
    <w:rsid w:val="00D8138E"/>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styleId="UnresolvedMention">
    <w:name w:val="Unresolved Mention"/>
    <w:basedOn w:val="DefaultParagraphFont"/>
    <w:uiPriority w:val="99"/>
    <w:semiHidden/>
    <w:unhideWhenUsed/>
    <w:rsid w:val="00D8138E"/>
    <w:rPr>
      <w:color w:val="605E5C"/>
      <w:shd w:val="clear" w:color="auto" w:fill="E1DFDD"/>
    </w:rPr>
  </w:style>
  <w:style w:type="character" w:customStyle="1" w:styleId="FramedHeader">
    <w:name w:val="Framed Header"/>
    <w:basedOn w:val="DefaultParagraphFont"/>
    <w:rsid w:val="00663990"/>
    <w:rPr>
      <w:rFonts w:ascii="Book Antiqua" w:hAnsi="Book Antiqua"/>
      <w:i/>
      <w:dstrike w:val="0"/>
      <w:color w:val="auto"/>
      <w:sz w:val="20"/>
      <w:vertAlign w:val="baseline"/>
    </w:rPr>
  </w:style>
  <w:style w:type="character" w:customStyle="1" w:styleId="HiddenSequenceCode">
    <w:name w:val="Hidden Sequence Code"/>
    <w:basedOn w:val="DefaultParagraphFont"/>
    <w:rsid w:val="00663990"/>
    <w:rPr>
      <w:rFonts w:ascii="Times New Roman" w:hAnsi="Times New Roman"/>
      <w:vanish/>
      <w:sz w:val="16"/>
    </w:rPr>
  </w:style>
  <w:style w:type="character" w:styleId="Emphasis">
    <w:name w:val="Emphasis"/>
    <w:basedOn w:val="DefaultParagraphFont"/>
    <w:uiPriority w:val="20"/>
    <w:rsid w:val="00BB16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882">
      <w:bodyDiv w:val="1"/>
      <w:marLeft w:val="0"/>
      <w:marRight w:val="0"/>
      <w:marTop w:val="0"/>
      <w:marBottom w:val="0"/>
      <w:divBdr>
        <w:top w:val="none" w:sz="0" w:space="0" w:color="auto"/>
        <w:left w:val="none" w:sz="0" w:space="0" w:color="auto"/>
        <w:bottom w:val="none" w:sz="0" w:space="0" w:color="auto"/>
        <w:right w:val="none" w:sz="0" w:space="0" w:color="auto"/>
      </w:divBdr>
    </w:div>
    <w:div w:id="36125151">
      <w:bodyDiv w:val="1"/>
      <w:marLeft w:val="0"/>
      <w:marRight w:val="0"/>
      <w:marTop w:val="0"/>
      <w:marBottom w:val="0"/>
      <w:divBdr>
        <w:top w:val="none" w:sz="0" w:space="0" w:color="auto"/>
        <w:left w:val="none" w:sz="0" w:space="0" w:color="auto"/>
        <w:bottom w:val="none" w:sz="0" w:space="0" w:color="auto"/>
        <w:right w:val="none" w:sz="0" w:space="0" w:color="auto"/>
      </w:divBdr>
    </w:div>
    <w:div w:id="92240883">
      <w:bodyDiv w:val="1"/>
      <w:marLeft w:val="0"/>
      <w:marRight w:val="0"/>
      <w:marTop w:val="0"/>
      <w:marBottom w:val="0"/>
      <w:divBdr>
        <w:top w:val="none" w:sz="0" w:space="0" w:color="auto"/>
        <w:left w:val="none" w:sz="0" w:space="0" w:color="auto"/>
        <w:bottom w:val="none" w:sz="0" w:space="0" w:color="auto"/>
        <w:right w:val="none" w:sz="0" w:space="0" w:color="auto"/>
      </w:divBdr>
    </w:div>
    <w:div w:id="130098330">
      <w:bodyDiv w:val="1"/>
      <w:marLeft w:val="0"/>
      <w:marRight w:val="0"/>
      <w:marTop w:val="0"/>
      <w:marBottom w:val="0"/>
      <w:divBdr>
        <w:top w:val="none" w:sz="0" w:space="0" w:color="auto"/>
        <w:left w:val="none" w:sz="0" w:space="0" w:color="auto"/>
        <w:bottom w:val="none" w:sz="0" w:space="0" w:color="auto"/>
        <w:right w:val="none" w:sz="0" w:space="0" w:color="auto"/>
      </w:divBdr>
    </w:div>
    <w:div w:id="135414254">
      <w:bodyDiv w:val="1"/>
      <w:marLeft w:val="0"/>
      <w:marRight w:val="0"/>
      <w:marTop w:val="0"/>
      <w:marBottom w:val="0"/>
      <w:divBdr>
        <w:top w:val="none" w:sz="0" w:space="0" w:color="auto"/>
        <w:left w:val="none" w:sz="0" w:space="0" w:color="auto"/>
        <w:bottom w:val="none" w:sz="0" w:space="0" w:color="auto"/>
        <w:right w:val="none" w:sz="0" w:space="0" w:color="auto"/>
      </w:divBdr>
    </w:div>
    <w:div w:id="151533935">
      <w:bodyDiv w:val="1"/>
      <w:marLeft w:val="0"/>
      <w:marRight w:val="0"/>
      <w:marTop w:val="0"/>
      <w:marBottom w:val="0"/>
      <w:divBdr>
        <w:top w:val="none" w:sz="0" w:space="0" w:color="auto"/>
        <w:left w:val="none" w:sz="0" w:space="0" w:color="auto"/>
        <w:bottom w:val="none" w:sz="0" w:space="0" w:color="auto"/>
        <w:right w:val="none" w:sz="0" w:space="0" w:color="auto"/>
      </w:divBdr>
    </w:div>
    <w:div w:id="197204230">
      <w:bodyDiv w:val="1"/>
      <w:marLeft w:val="0"/>
      <w:marRight w:val="0"/>
      <w:marTop w:val="0"/>
      <w:marBottom w:val="0"/>
      <w:divBdr>
        <w:top w:val="none" w:sz="0" w:space="0" w:color="auto"/>
        <w:left w:val="none" w:sz="0" w:space="0" w:color="auto"/>
        <w:bottom w:val="none" w:sz="0" w:space="0" w:color="auto"/>
        <w:right w:val="none" w:sz="0" w:space="0" w:color="auto"/>
      </w:divBdr>
    </w:div>
    <w:div w:id="217399085">
      <w:bodyDiv w:val="1"/>
      <w:marLeft w:val="0"/>
      <w:marRight w:val="0"/>
      <w:marTop w:val="0"/>
      <w:marBottom w:val="0"/>
      <w:divBdr>
        <w:top w:val="none" w:sz="0" w:space="0" w:color="auto"/>
        <w:left w:val="none" w:sz="0" w:space="0" w:color="auto"/>
        <w:bottom w:val="none" w:sz="0" w:space="0" w:color="auto"/>
        <w:right w:val="none" w:sz="0" w:space="0" w:color="auto"/>
      </w:divBdr>
    </w:div>
    <w:div w:id="221868416">
      <w:bodyDiv w:val="1"/>
      <w:marLeft w:val="0"/>
      <w:marRight w:val="0"/>
      <w:marTop w:val="0"/>
      <w:marBottom w:val="0"/>
      <w:divBdr>
        <w:top w:val="none" w:sz="0" w:space="0" w:color="auto"/>
        <w:left w:val="none" w:sz="0" w:space="0" w:color="auto"/>
        <w:bottom w:val="none" w:sz="0" w:space="0" w:color="auto"/>
        <w:right w:val="none" w:sz="0" w:space="0" w:color="auto"/>
      </w:divBdr>
    </w:div>
    <w:div w:id="234971915">
      <w:bodyDiv w:val="1"/>
      <w:marLeft w:val="0"/>
      <w:marRight w:val="0"/>
      <w:marTop w:val="0"/>
      <w:marBottom w:val="0"/>
      <w:divBdr>
        <w:top w:val="none" w:sz="0" w:space="0" w:color="auto"/>
        <w:left w:val="none" w:sz="0" w:space="0" w:color="auto"/>
        <w:bottom w:val="none" w:sz="0" w:space="0" w:color="auto"/>
        <w:right w:val="none" w:sz="0" w:space="0" w:color="auto"/>
      </w:divBdr>
    </w:div>
    <w:div w:id="241647127">
      <w:bodyDiv w:val="1"/>
      <w:marLeft w:val="0"/>
      <w:marRight w:val="0"/>
      <w:marTop w:val="0"/>
      <w:marBottom w:val="0"/>
      <w:divBdr>
        <w:top w:val="none" w:sz="0" w:space="0" w:color="auto"/>
        <w:left w:val="none" w:sz="0" w:space="0" w:color="auto"/>
        <w:bottom w:val="none" w:sz="0" w:space="0" w:color="auto"/>
        <w:right w:val="none" w:sz="0" w:space="0" w:color="auto"/>
      </w:divBdr>
    </w:div>
    <w:div w:id="243804188">
      <w:bodyDiv w:val="1"/>
      <w:marLeft w:val="0"/>
      <w:marRight w:val="0"/>
      <w:marTop w:val="0"/>
      <w:marBottom w:val="0"/>
      <w:divBdr>
        <w:top w:val="none" w:sz="0" w:space="0" w:color="auto"/>
        <w:left w:val="none" w:sz="0" w:space="0" w:color="auto"/>
        <w:bottom w:val="none" w:sz="0" w:space="0" w:color="auto"/>
        <w:right w:val="none" w:sz="0" w:space="0" w:color="auto"/>
      </w:divBdr>
    </w:div>
    <w:div w:id="267781698">
      <w:bodyDiv w:val="1"/>
      <w:marLeft w:val="0"/>
      <w:marRight w:val="0"/>
      <w:marTop w:val="0"/>
      <w:marBottom w:val="0"/>
      <w:divBdr>
        <w:top w:val="none" w:sz="0" w:space="0" w:color="auto"/>
        <w:left w:val="none" w:sz="0" w:space="0" w:color="auto"/>
        <w:bottom w:val="none" w:sz="0" w:space="0" w:color="auto"/>
        <w:right w:val="none" w:sz="0" w:space="0" w:color="auto"/>
      </w:divBdr>
    </w:div>
    <w:div w:id="291788259">
      <w:bodyDiv w:val="1"/>
      <w:marLeft w:val="0"/>
      <w:marRight w:val="0"/>
      <w:marTop w:val="0"/>
      <w:marBottom w:val="0"/>
      <w:divBdr>
        <w:top w:val="none" w:sz="0" w:space="0" w:color="auto"/>
        <w:left w:val="none" w:sz="0" w:space="0" w:color="auto"/>
        <w:bottom w:val="none" w:sz="0" w:space="0" w:color="auto"/>
        <w:right w:val="none" w:sz="0" w:space="0" w:color="auto"/>
      </w:divBdr>
    </w:div>
    <w:div w:id="304774907">
      <w:bodyDiv w:val="1"/>
      <w:marLeft w:val="0"/>
      <w:marRight w:val="0"/>
      <w:marTop w:val="0"/>
      <w:marBottom w:val="0"/>
      <w:divBdr>
        <w:top w:val="none" w:sz="0" w:space="0" w:color="auto"/>
        <w:left w:val="none" w:sz="0" w:space="0" w:color="auto"/>
        <w:bottom w:val="none" w:sz="0" w:space="0" w:color="auto"/>
        <w:right w:val="none" w:sz="0" w:space="0" w:color="auto"/>
      </w:divBdr>
    </w:div>
    <w:div w:id="338043267">
      <w:bodyDiv w:val="1"/>
      <w:marLeft w:val="0"/>
      <w:marRight w:val="0"/>
      <w:marTop w:val="0"/>
      <w:marBottom w:val="0"/>
      <w:divBdr>
        <w:top w:val="none" w:sz="0" w:space="0" w:color="auto"/>
        <w:left w:val="none" w:sz="0" w:space="0" w:color="auto"/>
        <w:bottom w:val="none" w:sz="0" w:space="0" w:color="auto"/>
        <w:right w:val="none" w:sz="0" w:space="0" w:color="auto"/>
      </w:divBdr>
    </w:div>
    <w:div w:id="353114508">
      <w:bodyDiv w:val="1"/>
      <w:marLeft w:val="0"/>
      <w:marRight w:val="0"/>
      <w:marTop w:val="0"/>
      <w:marBottom w:val="0"/>
      <w:divBdr>
        <w:top w:val="none" w:sz="0" w:space="0" w:color="auto"/>
        <w:left w:val="none" w:sz="0" w:space="0" w:color="auto"/>
        <w:bottom w:val="none" w:sz="0" w:space="0" w:color="auto"/>
        <w:right w:val="none" w:sz="0" w:space="0" w:color="auto"/>
      </w:divBdr>
    </w:div>
    <w:div w:id="356195222">
      <w:bodyDiv w:val="1"/>
      <w:marLeft w:val="0"/>
      <w:marRight w:val="0"/>
      <w:marTop w:val="0"/>
      <w:marBottom w:val="0"/>
      <w:divBdr>
        <w:top w:val="none" w:sz="0" w:space="0" w:color="auto"/>
        <w:left w:val="none" w:sz="0" w:space="0" w:color="auto"/>
        <w:bottom w:val="none" w:sz="0" w:space="0" w:color="auto"/>
        <w:right w:val="none" w:sz="0" w:space="0" w:color="auto"/>
      </w:divBdr>
    </w:div>
    <w:div w:id="369569941">
      <w:bodyDiv w:val="1"/>
      <w:marLeft w:val="0"/>
      <w:marRight w:val="0"/>
      <w:marTop w:val="0"/>
      <w:marBottom w:val="0"/>
      <w:divBdr>
        <w:top w:val="none" w:sz="0" w:space="0" w:color="auto"/>
        <w:left w:val="none" w:sz="0" w:space="0" w:color="auto"/>
        <w:bottom w:val="none" w:sz="0" w:space="0" w:color="auto"/>
        <w:right w:val="none" w:sz="0" w:space="0" w:color="auto"/>
      </w:divBdr>
    </w:div>
    <w:div w:id="403263285">
      <w:bodyDiv w:val="1"/>
      <w:marLeft w:val="0"/>
      <w:marRight w:val="0"/>
      <w:marTop w:val="0"/>
      <w:marBottom w:val="0"/>
      <w:divBdr>
        <w:top w:val="none" w:sz="0" w:space="0" w:color="auto"/>
        <w:left w:val="none" w:sz="0" w:space="0" w:color="auto"/>
        <w:bottom w:val="none" w:sz="0" w:space="0" w:color="auto"/>
        <w:right w:val="none" w:sz="0" w:space="0" w:color="auto"/>
      </w:divBdr>
    </w:div>
    <w:div w:id="408813964">
      <w:bodyDiv w:val="1"/>
      <w:marLeft w:val="0"/>
      <w:marRight w:val="0"/>
      <w:marTop w:val="0"/>
      <w:marBottom w:val="0"/>
      <w:divBdr>
        <w:top w:val="none" w:sz="0" w:space="0" w:color="auto"/>
        <w:left w:val="none" w:sz="0" w:space="0" w:color="auto"/>
        <w:bottom w:val="none" w:sz="0" w:space="0" w:color="auto"/>
        <w:right w:val="none" w:sz="0" w:space="0" w:color="auto"/>
      </w:divBdr>
    </w:div>
    <w:div w:id="445933074">
      <w:bodyDiv w:val="1"/>
      <w:marLeft w:val="0"/>
      <w:marRight w:val="0"/>
      <w:marTop w:val="0"/>
      <w:marBottom w:val="0"/>
      <w:divBdr>
        <w:top w:val="none" w:sz="0" w:space="0" w:color="auto"/>
        <w:left w:val="none" w:sz="0" w:space="0" w:color="auto"/>
        <w:bottom w:val="none" w:sz="0" w:space="0" w:color="auto"/>
        <w:right w:val="none" w:sz="0" w:space="0" w:color="auto"/>
      </w:divBdr>
    </w:div>
    <w:div w:id="454720704">
      <w:bodyDiv w:val="1"/>
      <w:marLeft w:val="0"/>
      <w:marRight w:val="0"/>
      <w:marTop w:val="0"/>
      <w:marBottom w:val="0"/>
      <w:divBdr>
        <w:top w:val="none" w:sz="0" w:space="0" w:color="auto"/>
        <w:left w:val="none" w:sz="0" w:space="0" w:color="auto"/>
        <w:bottom w:val="none" w:sz="0" w:space="0" w:color="auto"/>
        <w:right w:val="none" w:sz="0" w:space="0" w:color="auto"/>
      </w:divBdr>
    </w:div>
    <w:div w:id="468672777">
      <w:bodyDiv w:val="1"/>
      <w:marLeft w:val="0"/>
      <w:marRight w:val="0"/>
      <w:marTop w:val="0"/>
      <w:marBottom w:val="0"/>
      <w:divBdr>
        <w:top w:val="none" w:sz="0" w:space="0" w:color="auto"/>
        <w:left w:val="none" w:sz="0" w:space="0" w:color="auto"/>
        <w:bottom w:val="none" w:sz="0" w:space="0" w:color="auto"/>
        <w:right w:val="none" w:sz="0" w:space="0" w:color="auto"/>
      </w:divBdr>
    </w:div>
    <w:div w:id="494613963">
      <w:bodyDiv w:val="1"/>
      <w:marLeft w:val="0"/>
      <w:marRight w:val="0"/>
      <w:marTop w:val="0"/>
      <w:marBottom w:val="0"/>
      <w:divBdr>
        <w:top w:val="none" w:sz="0" w:space="0" w:color="auto"/>
        <w:left w:val="none" w:sz="0" w:space="0" w:color="auto"/>
        <w:bottom w:val="none" w:sz="0" w:space="0" w:color="auto"/>
        <w:right w:val="none" w:sz="0" w:space="0" w:color="auto"/>
      </w:divBdr>
    </w:div>
    <w:div w:id="578827938">
      <w:bodyDiv w:val="1"/>
      <w:marLeft w:val="0"/>
      <w:marRight w:val="0"/>
      <w:marTop w:val="0"/>
      <w:marBottom w:val="0"/>
      <w:divBdr>
        <w:top w:val="none" w:sz="0" w:space="0" w:color="auto"/>
        <w:left w:val="none" w:sz="0" w:space="0" w:color="auto"/>
        <w:bottom w:val="none" w:sz="0" w:space="0" w:color="auto"/>
        <w:right w:val="none" w:sz="0" w:space="0" w:color="auto"/>
      </w:divBdr>
    </w:div>
    <w:div w:id="590698099">
      <w:bodyDiv w:val="1"/>
      <w:marLeft w:val="0"/>
      <w:marRight w:val="0"/>
      <w:marTop w:val="0"/>
      <w:marBottom w:val="0"/>
      <w:divBdr>
        <w:top w:val="none" w:sz="0" w:space="0" w:color="auto"/>
        <w:left w:val="none" w:sz="0" w:space="0" w:color="auto"/>
        <w:bottom w:val="none" w:sz="0" w:space="0" w:color="auto"/>
        <w:right w:val="none" w:sz="0" w:space="0" w:color="auto"/>
      </w:divBdr>
    </w:div>
    <w:div w:id="603195130">
      <w:bodyDiv w:val="1"/>
      <w:marLeft w:val="0"/>
      <w:marRight w:val="0"/>
      <w:marTop w:val="0"/>
      <w:marBottom w:val="0"/>
      <w:divBdr>
        <w:top w:val="none" w:sz="0" w:space="0" w:color="auto"/>
        <w:left w:val="none" w:sz="0" w:space="0" w:color="auto"/>
        <w:bottom w:val="none" w:sz="0" w:space="0" w:color="auto"/>
        <w:right w:val="none" w:sz="0" w:space="0" w:color="auto"/>
      </w:divBdr>
    </w:div>
    <w:div w:id="608465664">
      <w:bodyDiv w:val="1"/>
      <w:marLeft w:val="0"/>
      <w:marRight w:val="0"/>
      <w:marTop w:val="0"/>
      <w:marBottom w:val="0"/>
      <w:divBdr>
        <w:top w:val="none" w:sz="0" w:space="0" w:color="auto"/>
        <w:left w:val="none" w:sz="0" w:space="0" w:color="auto"/>
        <w:bottom w:val="none" w:sz="0" w:space="0" w:color="auto"/>
        <w:right w:val="none" w:sz="0" w:space="0" w:color="auto"/>
      </w:divBdr>
    </w:div>
    <w:div w:id="621880897">
      <w:bodyDiv w:val="1"/>
      <w:marLeft w:val="0"/>
      <w:marRight w:val="0"/>
      <w:marTop w:val="0"/>
      <w:marBottom w:val="0"/>
      <w:divBdr>
        <w:top w:val="none" w:sz="0" w:space="0" w:color="auto"/>
        <w:left w:val="none" w:sz="0" w:space="0" w:color="auto"/>
        <w:bottom w:val="none" w:sz="0" w:space="0" w:color="auto"/>
        <w:right w:val="none" w:sz="0" w:space="0" w:color="auto"/>
      </w:divBdr>
    </w:div>
    <w:div w:id="625045143">
      <w:bodyDiv w:val="1"/>
      <w:marLeft w:val="0"/>
      <w:marRight w:val="0"/>
      <w:marTop w:val="0"/>
      <w:marBottom w:val="0"/>
      <w:divBdr>
        <w:top w:val="none" w:sz="0" w:space="0" w:color="auto"/>
        <w:left w:val="none" w:sz="0" w:space="0" w:color="auto"/>
        <w:bottom w:val="none" w:sz="0" w:space="0" w:color="auto"/>
        <w:right w:val="none" w:sz="0" w:space="0" w:color="auto"/>
      </w:divBdr>
    </w:div>
    <w:div w:id="647593122">
      <w:bodyDiv w:val="1"/>
      <w:marLeft w:val="0"/>
      <w:marRight w:val="0"/>
      <w:marTop w:val="0"/>
      <w:marBottom w:val="0"/>
      <w:divBdr>
        <w:top w:val="none" w:sz="0" w:space="0" w:color="auto"/>
        <w:left w:val="none" w:sz="0" w:space="0" w:color="auto"/>
        <w:bottom w:val="none" w:sz="0" w:space="0" w:color="auto"/>
        <w:right w:val="none" w:sz="0" w:space="0" w:color="auto"/>
      </w:divBdr>
    </w:div>
    <w:div w:id="649134768">
      <w:bodyDiv w:val="1"/>
      <w:marLeft w:val="0"/>
      <w:marRight w:val="0"/>
      <w:marTop w:val="0"/>
      <w:marBottom w:val="0"/>
      <w:divBdr>
        <w:top w:val="none" w:sz="0" w:space="0" w:color="auto"/>
        <w:left w:val="none" w:sz="0" w:space="0" w:color="auto"/>
        <w:bottom w:val="none" w:sz="0" w:space="0" w:color="auto"/>
        <w:right w:val="none" w:sz="0" w:space="0" w:color="auto"/>
      </w:divBdr>
    </w:div>
    <w:div w:id="656307911">
      <w:bodyDiv w:val="1"/>
      <w:marLeft w:val="0"/>
      <w:marRight w:val="0"/>
      <w:marTop w:val="0"/>
      <w:marBottom w:val="0"/>
      <w:divBdr>
        <w:top w:val="none" w:sz="0" w:space="0" w:color="auto"/>
        <w:left w:val="none" w:sz="0" w:space="0" w:color="auto"/>
        <w:bottom w:val="none" w:sz="0" w:space="0" w:color="auto"/>
        <w:right w:val="none" w:sz="0" w:space="0" w:color="auto"/>
      </w:divBdr>
    </w:div>
    <w:div w:id="729883482">
      <w:bodyDiv w:val="1"/>
      <w:marLeft w:val="0"/>
      <w:marRight w:val="0"/>
      <w:marTop w:val="0"/>
      <w:marBottom w:val="0"/>
      <w:divBdr>
        <w:top w:val="none" w:sz="0" w:space="0" w:color="auto"/>
        <w:left w:val="none" w:sz="0" w:space="0" w:color="auto"/>
        <w:bottom w:val="none" w:sz="0" w:space="0" w:color="auto"/>
        <w:right w:val="none" w:sz="0" w:space="0" w:color="auto"/>
      </w:divBdr>
    </w:div>
    <w:div w:id="742675993">
      <w:bodyDiv w:val="1"/>
      <w:marLeft w:val="0"/>
      <w:marRight w:val="0"/>
      <w:marTop w:val="0"/>
      <w:marBottom w:val="0"/>
      <w:divBdr>
        <w:top w:val="none" w:sz="0" w:space="0" w:color="auto"/>
        <w:left w:val="none" w:sz="0" w:space="0" w:color="auto"/>
        <w:bottom w:val="none" w:sz="0" w:space="0" w:color="auto"/>
        <w:right w:val="none" w:sz="0" w:space="0" w:color="auto"/>
      </w:divBdr>
    </w:div>
    <w:div w:id="745883741">
      <w:bodyDiv w:val="1"/>
      <w:marLeft w:val="0"/>
      <w:marRight w:val="0"/>
      <w:marTop w:val="0"/>
      <w:marBottom w:val="0"/>
      <w:divBdr>
        <w:top w:val="none" w:sz="0" w:space="0" w:color="auto"/>
        <w:left w:val="none" w:sz="0" w:space="0" w:color="auto"/>
        <w:bottom w:val="none" w:sz="0" w:space="0" w:color="auto"/>
        <w:right w:val="none" w:sz="0" w:space="0" w:color="auto"/>
      </w:divBdr>
    </w:div>
    <w:div w:id="792559481">
      <w:bodyDiv w:val="1"/>
      <w:marLeft w:val="0"/>
      <w:marRight w:val="0"/>
      <w:marTop w:val="0"/>
      <w:marBottom w:val="0"/>
      <w:divBdr>
        <w:top w:val="none" w:sz="0" w:space="0" w:color="auto"/>
        <w:left w:val="none" w:sz="0" w:space="0" w:color="auto"/>
        <w:bottom w:val="none" w:sz="0" w:space="0" w:color="auto"/>
        <w:right w:val="none" w:sz="0" w:space="0" w:color="auto"/>
      </w:divBdr>
    </w:div>
    <w:div w:id="799886247">
      <w:bodyDiv w:val="1"/>
      <w:marLeft w:val="0"/>
      <w:marRight w:val="0"/>
      <w:marTop w:val="0"/>
      <w:marBottom w:val="0"/>
      <w:divBdr>
        <w:top w:val="none" w:sz="0" w:space="0" w:color="auto"/>
        <w:left w:val="none" w:sz="0" w:space="0" w:color="auto"/>
        <w:bottom w:val="none" w:sz="0" w:space="0" w:color="auto"/>
        <w:right w:val="none" w:sz="0" w:space="0" w:color="auto"/>
      </w:divBdr>
    </w:div>
    <w:div w:id="825509300">
      <w:bodyDiv w:val="1"/>
      <w:marLeft w:val="0"/>
      <w:marRight w:val="0"/>
      <w:marTop w:val="0"/>
      <w:marBottom w:val="0"/>
      <w:divBdr>
        <w:top w:val="none" w:sz="0" w:space="0" w:color="auto"/>
        <w:left w:val="none" w:sz="0" w:space="0" w:color="auto"/>
        <w:bottom w:val="none" w:sz="0" w:space="0" w:color="auto"/>
        <w:right w:val="none" w:sz="0" w:space="0" w:color="auto"/>
      </w:divBdr>
    </w:div>
    <w:div w:id="830483114">
      <w:bodyDiv w:val="1"/>
      <w:marLeft w:val="0"/>
      <w:marRight w:val="0"/>
      <w:marTop w:val="0"/>
      <w:marBottom w:val="0"/>
      <w:divBdr>
        <w:top w:val="none" w:sz="0" w:space="0" w:color="auto"/>
        <w:left w:val="none" w:sz="0" w:space="0" w:color="auto"/>
        <w:bottom w:val="none" w:sz="0" w:space="0" w:color="auto"/>
        <w:right w:val="none" w:sz="0" w:space="0" w:color="auto"/>
      </w:divBdr>
    </w:div>
    <w:div w:id="845367626">
      <w:bodyDiv w:val="1"/>
      <w:marLeft w:val="0"/>
      <w:marRight w:val="0"/>
      <w:marTop w:val="0"/>
      <w:marBottom w:val="0"/>
      <w:divBdr>
        <w:top w:val="none" w:sz="0" w:space="0" w:color="auto"/>
        <w:left w:val="none" w:sz="0" w:space="0" w:color="auto"/>
        <w:bottom w:val="none" w:sz="0" w:space="0" w:color="auto"/>
        <w:right w:val="none" w:sz="0" w:space="0" w:color="auto"/>
      </w:divBdr>
    </w:div>
    <w:div w:id="852572671">
      <w:bodyDiv w:val="1"/>
      <w:marLeft w:val="0"/>
      <w:marRight w:val="0"/>
      <w:marTop w:val="0"/>
      <w:marBottom w:val="0"/>
      <w:divBdr>
        <w:top w:val="none" w:sz="0" w:space="0" w:color="auto"/>
        <w:left w:val="none" w:sz="0" w:space="0" w:color="auto"/>
        <w:bottom w:val="none" w:sz="0" w:space="0" w:color="auto"/>
        <w:right w:val="none" w:sz="0" w:space="0" w:color="auto"/>
      </w:divBdr>
    </w:div>
    <w:div w:id="866066867">
      <w:bodyDiv w:val="1"/>
      <w:marLeft w:val="0"/>
      <w:marRight w:val="0"/>
      <w:marTop w:val="0"/>
      <w:marBottom w:val="0"/>
      <w:divBdr>
        <w:top w:val="none" w:sz="0" w:space="0" w:color="auto"/>
        <w:left w:val="none" w:sz="0" w:space="0" w:color="auto"/>
        <w:bottom w:val="none" w:sz="0" w:space="0" w:color="auto"/>
        <w:right w:val="none" w:sz="0" w:space="0" w:color="auto"/>
      </w:divBdr>
    </w:div>
    <w:div w:id="880748497">
      <w:bodyDiv w:val="1"/>
      <w:marLeft w:val="0"/>
      <w:marRight w:val="0"/>
      <w:marTop w:val="0"/>
      <w:marBottom w:val="0"/>
      <w:divBdr>
        <w:top w:val="none" w:sz="0" w:space="0" w:color="auto"/>
        <w:left w:val="none" w:sz="0" w:space="0" w:color="auto"/>
        <w:bottom w:val="none" w:sz="0" w:space="0" w:color="auto"/>
        <w:right w:val="none" w:sz="0" w:space="0" w:color="auto"/>
      </w:divBdr>
    </w:div>
    <w:div w:id="930891010">
      <w:bodyDiv w:val="1"/>
      <w:marLeft w:val="0"/>
      <w:marRight w:val="0"/>
      <w:marTop w:val="0"/>
      <w:marBottom w:val="0"/>
      <w:divBdr>
        <w:top w:val="none" w:sz="0" w:space="0" w:color="auto"/>
        <w:left w:val="none" w:sz="0" w:space="0" w:color="auto"/>
        <w:bottom w:val="none" w:sz="0" w:space="0" w:color="auto"/>
        <w:right w:val="none" w:sz="0" w:space="0" w:color="auto"/>
      </w:divBdr>
    </w:div>
    <w:div w:id="945234423">
      <w:bodyDiv w:val="1"/>
      <w:marLeft w:val="0"/>
      <w:marRight w:val="0"/>
      <w:marTop w:val="0"/>
      <w:marBottom w:val="0"/>
      <w:divBdr>
        <w:top w:val="none" w:sz="0" w:space="0" w:color="auto"/>
        <w:left w:val="none" w:sz="0" w:space="0" w:color="auto"/>
        <w:bottom w:val="none" w:sz="0" w:space="0" w:color="auto"/>
        <w:right w:val="none" w:sz="0" w:space="0" w:color="auto"/>
      </w:divBdr>
    </w:div>
    <w:div w:id="955715069">
      <w:bodyDiv w:val="1"/>
      <w:marLeft w:val="0"/>
      <w:marRight w:val="0"/>
      <w:marTop w:val="0"/>
      <w:marBottom w:val="0"/>
      <w:divBdr>
        <w:top w:val="none" w:sz="0" w:space="0" w:color="auto"/>
        <w:left w:val="none" w:sz="0" w:space="0" w:color="auto"/>
        <w:bottom w:val="none" w:sz="0" w:space="0" w:color="auto"/>
        <w:right w:val="none" w:sz="0" w:space="0" w:color="auto"/>
      </w:divBdr>
    </w:div>
    <w:div w:id="980576300">
      <w:bodyDiv w:val="1"/>
      <w:marLeft w:val="0"/>
      <w:marRight w:val="0"/>
      <w:marTop w:val="0"/>
      <w:marBottom w:val="0"/>
      <w:divBdr>
        <w:top w:val="none" w:sz="0" w:space="0" w:color="auto"/>
        <w:left w:val="none" w:sz="0" w:space="0" w:color="auto"/>
        <w:bottom w:val="none" w:sz="0" w:space="0" w:color="auto"/>
        <w:right w:val="none" w:sz="0" w:space="0" w:color="auto"/>
      </w:divBdr>
    </w:div>
    <w:div w:id="1041900397">
      <w:bodyDiv w:val="1"/>
      <w:marLeft w:val="0"/>
      <w:marRight w:val="0"/>
      <w:marTop w:val="0"/>
      <w:marBottom w:val="0"/>
      <w:divBdr>
        <w:top w:val="none" w:sz="0" w:space="0" w:color="auto"/>
        <w:left w:val="none" w:sz="0" w:space="0" w:color="auto"/>
        <w:bottom w:val="none" w:sz="0" w:space="0" w:color="auto"/>
        <w:right w:val="none" w:sz="0" w:space="0" w:color="auto"/>
      </w:divBdr>
    </w:div>
    <w:div w:id="1065950500">
      <w:bodyDiv w:val="1"/>
      <w:marLeft w:val="0"/>
      <w:marRight w:val="0"/>
      <w:marTop w:val="0"/>
      <w:marBottom w:val="0"/>
      <w:divBdr>
        <w:top w:val="none" w:sz="0" w:space="0" w:color="auto"/>
        <w:left w:val="none" w:sz="0" w:space="0" w:color="auto"/>
        <w:bottom w:val="none" w:sz="0" w:space="0" w:color="auto"/>
        <w:right w:val="none" w:sz="0" w:space="0" w:color="auto"/>
      </w:divBdr>
    </w:div>
    <w:div w:id="1072853854">
      <w:bodyDiv w:val="1"/>
      <w:marLeft w:val="0"/>
      <w:marRight w:val="0"/>
      <w:marTop w:val="0"/>
      <w:marBottom w:val="0"/>
      <w:divBdr>
        <w:top w:val="none" w:sz="0" w:space="0" w:color="auto"/>
        <w:left w:val="none" w:sz="0" w:space="0" w:color="auto"/>
        <w:bottom w:val="none" w:sz="0" w:space="0" w:color="auto"/>
        <w:right w:val="none" w:sz="0" w:space="0" w:color="auto"/>
      </w:divBdr>
    </w:div>
    <w:div w:id="1092312252">
      <w:bodyDiv w:val="1"/>
      <w:marLeft w:val="0"/>
      <w:marRight w:val="0"/>
      <w:marTop w:val="0"/>
      <w:marBottom w:val="0"/>
      <w:divBdr>
        <w:top w:val="none" w:sz="0" w:space="0" w:color="auto"/>
        <w:left w:val="none" w:sz="0" w:space="0" w:color="auto"/>
        <w:bottom w:val="none" w:sz="0" w:space="0" w:color="auto"/>
        <w:right w:val="none" w:sz="0" w:space="0" w:color="auto"/>
      </w:divBdr>
    </w:div>
    <w:div w:id="1146630065">
      <w:bodyDiv w:val="1"/>
      <w:marLeft w:val="0"/>
      <w:marRight w:val="0"/>
      <w:marTop w:val="0"/>
      <w:marBottom w:val="0"/>
      <w:divBdr>
        <w:top w:val="none" w:sz="0" w:space="0" w:color="auto"/>
        <w:left w:val="none" w:sz="0" w:space="0" w:color="auto"/>
        <w:bottom w:val="none" w:sz="0" w:space="0" w:color="auto"/>
        <w:right w:val="none" w:sz="0" w:space="0" w:color="auto"/>
      </w:divBdr>
    </w:div>
    <w:div w:id="1152260202">
      <w:bodyDiv w:val="1"/>
      <w:marLeft w:val="0"/>
      <w:marRight w:val="0"/>
      <w:marTop w:val="0"/>
      <w:marBottom w:val="0"/>
      <w:divBdr>
        <w:top w:val="none" w:sz="0" w:space="0" w:color="auto"/>
        <w:left w:val="none" w:sz="0" w:space="0" w:color="auto"/>
        <w:bottom w:val="none" w:sz="0" w:space="0" w:color="auto"/>
        <w:right w:val="none" w:sz="0" w:space="0" w:color="auto"/>
      </w:divBdr>
    </w:div>
    <w:div w:id="1165173334">
      <w:bodyDiv w:val="1"/>
      <w:marLeft w:val="0"/>
      <w:marRight w:val="0"/>
      <w:marTop w:val="0"/>
      <w:marBottom w:val="0"/>
      <w:divBdr>
        <w:top w:val="none" w:sz="0" w:space="0" w:color="auto"/>
        <w:left w:val="none" w:sz="0" w:space="0" w:color="auto"/>
        <w:bottom w:val="none" w:sz="0" w:space="0" w:color="auto"/>
        <w:right w:val="none" w:sz="0" w:space="0" w:color="auto"/>
      </w:divBdr>
    </w:div>
    <w:div w:id="1179805684">
      <w:bodyDiv w:val="1"/>
      <w:marLeft w:val="0"/>
      <w:marRight w:val="0"/>
      <w:marTop w:val="0"/>
      <w:marBottom w:val="0"/>
      <w:divBdr>
        <w:top w:val="none" w:sz="0" w:space="0" w:color="auto"/>
        <w:left w:val="none" w:sz="0" w:space="0" w:color="auto"/>
        <w:bottom w:val="none" w:sz="0" w:space="0" w:color="auto"/>
        <w:right w:val="none" w:sz="0" w:space="0" w:color="auto"/>
      </w:divBdr>
    </w:div>
    <w:div w:id="1216157340">
      <w:bodyDiv w:val="1"/>
      <w:marLeft w:val="0"/>
      <w:marRight w:val="0"/>
      <w:marTop w:val="0"/>
      <w:marBottom w:val="0"/>
      <w:divBdr>
        <w:top w:val="none" w:sz="0" w:space="0" w:color="auto"/>
        <w:left w:val="none" w:sz="0" w:space="0" w:color="auto"/>
        <w:bottom w:val="none" w:sz="0" w:space="0" w:color="auto"/>
        <w:right w:val="none" w:sz="0" w:space="0" w:color="auto"/>
      </w:divBdr>
    </w:div>
    <w:div w:id="1246500631">
      <w:bodyDiv w:val="1"/>
      <w:marLeft w:val="0"/>
      <w:marRight w:val="0"/>
      <w:marTop w:val="0"/>
      <w:marBottom w:val="0"/>
      <w:divBdr>
        <w:top w:val="none" w:sz="0" w:space="0" w:color="auto"/>
        <w:left w:val="none" w:sz="0" w:space="0" w:color="auto"/>
        <w:bottom w:val="none" w:sz="0" w:space="0" w:color="auto"/>
        <w:right w:val="none" w:sz="0" w:space="0" w:color="auto"/>
      </w:divBdr>
    </w:div>
    <w:div w:id="1272594543">
      <w:bodyDiv w:val="1"/>
      <w:marLeft w:val="0"/>
      <w:marRight w:val="0"/>
      <w:marTop w:val="0"/>
      <w:marBottom w:val="0"/>
      <w:divBdr>
        <w:top w:val="none" w:sz="0" w:space="0" w:color="auto"/>
        <w:left w:val="none" w:sz="0" w:space="0" w:color="auto"/>
        <w:bottom w:val="none" w:sz="0" w:space="0" w:color="auto"/>
        <w:right w:val="none" w:sz="0" w:space="0" w:color="auto"/>
      </w:divBdr>
    </w:div>
    <w:div w:id="1284309663">
      <w:bodyDiv w:val="1"/>
      <w:marLeft w:val="0"/>
      <w:marRight w:val="0"/>
      <w:marTop w:val="0"/>
      <w:marBottom w:val="0"/>
      <w:divBdr>
        <w:top w:val="none" w:sz="0" w:space="0" w:color="auto"/>
        <w:left w:val="none" w:sz="0" w:space="0" w:color="auto"/>
        <w:bottom w:val="none" w:sz="0" w:space="0" w:color="auto"/>
        <w:right w:val="none" w:sz="0" w:space="0" w:color="auto"/>
      </w:divBdr>
    </w:div>
    <w:div w:id="1305503236">
      <w:bodyDiv w:val="1"/>
      <w:marLeft w:val="0"/>
      <w:marRight w:val="0"/>
      <w:marTop w:val="0"/>
      <w:marBottom w:val="0"/>
      <w:divBdr>
        <w:top w:val="none" w:sz="0" w:space="0" w:color="auto"/>
        <w:left w:val="none" w:sz="0" w:space="0" w:color="auto"/>
        <w:bottom w:val="none" w:sz="0" w:space="0" w:color="auto"/>
        <w:right w:val="none" w:sz="0" w:space="0" w:color="auto"/>
      </w:divBdr>
    </w:div>
    <w:div w:id="1321427994">
      <w:bodyDiv w:val="1"/>
      <w:marLeft w:val="0"/>
      <w:marRight w:val="0"/>
      <w:marTop w:val="0"/>
      <w:marBottom w:val="0"/>
      <w:divBdr>
        <w:top w:val="none" w:sz="0" w:space="0" w:color="auto"/>
        <w:left w:val="none" w:sz="0" w:space="0" w:color="auto"/>
        <w:bottom w:val="none" w:sz="0" w:space="0" w:color="auto"/>
        <w:right w:val="none" w:sz="0" w:space="0" w:color="auto"/>
      </w:divBdr>
    </w:div>
    <w:div w:id="1390423131">
      <w:bodyDiv w:val="1"/>
      <w:marLeft w:val="0"/>
      <w:marRight w:val="0"/>
      <w:marTop w:val="0"/>
      <w:marBottom w:val="0"/>
      <w:divBdr>
        <w:top w:val="none" w:sz="0" w:space="0" w:color="auto"/>
        <w:left w:val="none" w:sz="0" w:space="0" w:color="auto"/>
        <w:bottom w:val="none" w:sz="0" w:space="0" w:color="auto"/>
        <w:right w:val="none" w:sz="0" w:space="0" w:color="auto"/>
      </w:divBdr>
    </w:div>
    <w:div w:id="1410082103">
      <w:bodyDiv w:val="1"/>
      <w:marLeft w:val="0"/>
      <w:marRight w:val="0"/>
      <w:marTop w:val="0"/>
      <w:marBottom w:val="0"/>
      <w:divBdr>
        <w:top w:val="none" w:sz="0" w:space="0" w:color="auto"/>
        <w:left w:val="none" w:sz="0" w:space="0" w:color="auto"/>
        <w:bottom w:val="none" w:sz="0" w:space="0" w:color="auto"/>
        <w:right w:val="none" w:sz="0" w:space="0" w:color="auto"/>
      </w:divBdr>
    </w:div>
    <w:div w:id="1426225505">
      <w:bodyDiv w:val="1"/>
      <w:marLeft w:val="0"/>
      <w:marRight w:val="0"/>
      <w:marTop w:val="0"/>
      <w:marBottom w:val="0"/>
      <w:divBdr>
        <w:top w:val="none" w:sz="0" w:space="0" w:color="auto"/>
        <w:left w:val="none" w:sz="0" w:space="0" w:color="auto"/>
        <w:bottom w:val="none" w:sz="0" w:space="0" w:color="auto"/>
        <w:right w:val="none" w:sz="0" w:space="0" w:color="auto"/>
      </w:divBdr>
    </w:div>
    <w:div w:id="1441030214">
      <w:bodyDiv w:val="1"/>
      <w:marLeft w:val="0"/>
      <w:marRight w:val="0"/>
      <w:marTop w:val="0"/>
      <w:marBottom w:val="0"/>
      <w:divBdr>
        <w:top w:val="none" w:sz="0" w:space="0" w:color="auto"/>
        <w:left w:val="none" w:sz="0" w:space="0" w:color="auto"/>
        <w:bottom w:val="none" w:sz="0" w:space="0" w:color="auto"/>
        <w:right w:val="none" w:sz="0" w:space="0" w:color="auto"/>
      </w:divBdr>
    </w:div>
    <w:div w:id="1455096234">
      <w:bodyDiv w:val="1"/>
      <w:marLeft w:val="0"/>
      <w:marRight w:val="0"/>
      <w:marTop w:val="0"/>
      <w:marBottom w:val="0"/>
      <w:divBdr>
        <w:top w:val="none" w:sz="0" w:space="0" w:color="auto"/>
        <w:left w:val="none" w:sz="0" w:space="0" w:color="auto"/>
        <w:bottom w:val="none" w:sz="0" w:space="0" w:color="auto"/>
        <w:right w:val="none" w:sz="0" w:space="0" w:color="auto"/>
      </w:divBdr>
    </w:div>
    <w:div w:id="1474520882">
      <w:bodyDiv w:val="1"/>
      <w:marLeft w:val="0"/>
      <w:marRight w:val="0"/>
      <w:marTop w:val="0"/>
      <w:marBottom w:val="0"/>
      <w:divBdr>
        <w:top w:val="none" w:sz="0" w:space="0" w:color="auto"/>
        <w:left w:val="none" w:sz="0" w:space="0" w:color="auto"/>
        <w:bottom w:val="none" w:sz="0" w:space="0" w:color="auto"/>
        <w:right w:val="none" w:sz="0" w:space="0" w:color="auto"/>
      </w:divBdr>
    </w:div>
    <w:div w:id="1483347267">
      <w:bodyDiv w:val="1"/>
      <w:marLeft w:val="0"/>
      <w:marRight w:val="0"/>
      <w:marTop w:val="0"/>
      <w:marBottom w:val="0"/>
      <w:divBdr>
        <w:top w:val="none" w:sz="0" w:space="0" w:color="auto"/>
        <w:left w:val="none" w:sz="0" w:space="0" w:color="auto"/>
        <w:bottom w:val="none" w:sz="0" w:space="0" w:color="auto"/>
        <w:right w:val="none" w:sz="0" w:space="0" w:color="auto"/>
      </w:divBdr>
    </w:div>
    <w:div w:id="1541554639">
      <w:bodyDiv w:val="1"/>
      <w:marLeft w:val="0"/>
      <w:marRight w:val="0"/>
      <w:marTop w:val="0"/>
      <w:marBottom w:val="0"/>
      <w:divBdr>
        <w:top w:val="none" w:sz="0" w:space="0" w:color="auto"/>
        <w:left w:val="none" w:sz="0" w:space="0" w:color="auto"/>
        <w:bottom w:val="none" w:sz="0" w:space="0" w:color="auto"/>
        <w:right w:val="none" w:sz="0" w:space="0" w:color="auto"/>
      </w:divBdr>
    </w:div>
    <w:div w:id="1546717332">
      <w:bodyDiv w:val="1"/>
      <w:marLeft w:val="0"/>
      <w:marRight w:val="0"/>
      <w:marTop w:val="0"/>
      <w:marBottom w:val="0"/>
      <w:divBdr>
        <w:top w:val="none" w:sz="0" w:space="0" w:color="auto"/>
        <w:left w:val="none" w:sz="0" w:space="0" w:color="auto"/>
        <w:bottom w:val="none" w:sz="0" w:space="0" w:color="auto"/>
        <w:right w:val="none" w:sz="0" w:space="0" w:color="auto"/>
      </w:divBdr>
    </w:div>
    <w:div w:id="1657492482">
      <w:bodyDiv w:val="1"/>
      <w:marLeft w:val="0"/>
      <w:marRight w:val="0"/>
      <w:marTop w:val="0"/>
      <w:marBottom w:val="0"/>
      <w:divBdr>
        <w:top w:val="none" w:sz="0" w:space="0" w:color="auto"/>
        <w:left w:val="none" w:sz="0" w:space="0" w:color="auto"/>
        <w:bottom w:val="none" w:sz="0" w:space="0" w:color="auto"/>
        <w:right w:val="none" w:sz="0" w:space="0" w:color="auto"/>
      </w:divBdr>
    </w:div>
    <w:div w:id="1675107130">
      <w:bodyDiv w:val="1"/>
      <w:marLeft w:val="0"/>
      <w:marRight w:val="0"/>
      <w:marTop w:val="0"/>
      <w:marBottom w:val="0"/>
      <w:divBdr>
        <w:top w:val="none" w:sz="0" w:space="0" w:color="auto"/>
        <w:left w:val="none" w:sz="0" w:space="0" w:color="auto"/>
        <w:bottom w:val="none" w:sz="0" w:space="0" w:color="auto"/>
        <w:right w:val="none" w:sz="0" w:space="0" w:color="auto"/>
      </w:divBdr>
    </w:div>
    <w:div w:id="1756587450">
      <w:bodyDiv w:val="1"/>
      <w:marLeft w:val="0"/>
      <w:marRight w:val="0"/>
      <w:marTop w:val="0"/>
      <w:marBottom w:val="0"/>
      <w:divBdr>
        <w:top w:val="none" w:sz="0" w:space="0" w:color="auto"/>
        <w:left w:val="none" w:sz="0" w:space="0" w:color="auto"/>
        <w:bottom w:val="none" w:sz="0" w:space="0" w:color="auto"/>
        <w:right w:val="none" w:sz="0" w:space="0" w:color="auto"/>
      </w:divBdr>
    </w:div>
    <w:div w:id="1779987589">
      <w:bodyDiv w:val="1"/>
      <w:marLeft w:val="0"/>
      <w:marRight w:val="0"/>
      <w:marTop w:val="0"/>
      <w:marBottom w:val="0"/>
      <w:divBdr>
        <w:top w:val="none" w:sz="0" w:space="0" w:color="auto"/>
        <w:left w:val="none" w:sz="0" w:space="0" w:color="auto"/>
        <w:bottom w:val="none" w:sz="0" w:space="0" w:color="auto"/>
        <w:right w:val="none" w:sz="0" w:space="0" w:color="auto"/>
      </w:divBdr>
    </w:div>
    <w:div w:id="1820490315">
      <w:bodyDiv w:val="1"/>
      <w:marLeft w:val="0"/>
      <w:marRight w:val="0"/>
      <w:marTop w:val="0"/>
      <w:marBottom w:val="0"/>
      <w:divBdr>
        <w:top w:val="none" w:sz="0" w:space="0" w:color="auto"/>
        <w:left w:val="none" w:sz="0" w:space="0" w:color="auto"/>
        <w:bottom w:val="none" w:sz="0" w:space="0" w:color="auto"/>
        <w:right w:val="none" w:sz="0" w:space="0" w:color="auto"/>
      </w:divBdr>
    </w:div>
    <w:div w:id="1852455360">
      <w:bodyDiv w:val="1"/>
      <w:marLeft w:val="0"/>
      <w:marRight w:val="0"/>
      <w:marTop w:val="0"/>
      <w:marBottom w:val="0"/>
      <w:divBdr>
        <w:top w:val="none" w:sz="0" w:space="0" w:color="auto"/>
        <w:left w:val="none" w:sz="0" w:space="0" w:color="auto"/>
        <w:bottom w:val="none" w:sz="0" w:space="0" w:color="auto"/>
        <w:right w:val="none" w:sz="0" w:space="0" w:color="auto"/>
      </w:divBdr>
    </w:div>
    <w:div w:id="1858930055">
      <w:bodyDiv w:val="1"/>
      <w:marLeft w:val="0"/>
      <w:marRight w:val="0"/>
      <w:marTop w:val="0"/>
      <w:marBottom w:val="0"/>
      <w:divBdr>
        <w:top w:val="none" w:sz="0" w:space="0" w:color="auto"/>
        <w:left w:val="none" w:sz="0" w:space="0" w:color="auto"/>
        <w:bottom w:val="none" w:sz="0" w:space="0" w:color="auto"/>
        <w:right w:val="none" w:sz="0" w:space="0" w:color="auto"/>
      </w:divBdr>
    </w:div>
    <w:div w:id="1876307490">
      <w:bodyDiv w:val="1"/>
      <w:marLeft w:val="0"/>
      <w:marRight w:val="0"/>
      <w:marTop w:val="0"/>
      <w:marBottom w:val="0"/>
      <w:divBdr>
        <w:top w:val="none" w:sz="0" w:space="0" w:color="auto"/>
        <w:left w:val="none" w:sz="0" w:space="0" w:color="auto"/>
        <w:bottom w:val="none" w:sz="0" w:space="0" w:color="auto"/>
        <w:right w:val="none" w:sz="0" w:space="0" w:color="auto"/>
      </w:divBdr>
    </w:div>
    <w:div w:id="1880430470">
      <w:bodyDiv w:val="1"/>
      <w:marLeft w:val="0"/>
      <w:marRight w:val="0"/>
      <w:marTop w:val="0"/>
      <w:marBottom w:val="0"/>
      <w:divBdr>
        <w:top w:val="none" w:sz="0" w:space="0" w:color="auto"/>
        <w:left w:val="none" w:sz="0" w:space="0" w:color="auto"/>
        <w:bottom w:val="none" w:sz="0" w:space="0" w:color="auto"/>
        <w:right w:val="none" w:sz="0" w:space="0" w:color="auto"/>
      </w:divBdr>
    </w:div>
    <w:div w:id="1921788600">
      <w:bodyDiv w:val="1"/>
      <w:marLeft w:val="0"/>
      <w:marRight w:val="0"/>
      <w:marTop w:val="0"/>
      <w:marBottom w:val="0"/>
      <w:divBdr>
        <w:top w:val="none" w:sz="0" w:space="0" w:color="auto"/>
        <w:left w:val="none" w:sz="0" w:space="0" w:color="auto"/>
        <w:bottom w:val="none" w:sz="0" w:space="0" w:color="auto"/>
        <w:right w:val="none" w:sz="0" w:space="0" w:color="auto"/>
      </w:divBdr>
    </w:div>
    <w:div w:id="1932817704">
      <w:bodyDiv w:val="1"/>
      <w:marLeft w:val="0"/>
      <w:marRight w:val="0"/>
      <w:marTop w:val="0"/>
      <w:marBottom w:val="0"/>
      <w:divBdr>
        <w:top w:val="none" w:sz="0" w:space="0" w:color="auto"/>
        <w:left w:val="none" w:sz="0" w:space="0" w:color="auto"/>
        <w:bottom w:val="none" w:sz="0" w:space="0" w:color="auto"/>
        <w:right w:val="none" w:sz="0" w:space="0" w:color="auto"/>
      </w:divBdr>
    </w:div>
    <w:div w:id="1961455082">
      <w:bodyDiv w:val="1"/>
      <w:marLeft w:val="0"/>
      <w:marRight w:val="0"/>
      <w:marTop w:val="0"/>
      <w:marBottom w:val="0"/>
      <w:divBdr>
        <w:top w:val="none" w:sz="0" w:space="0" w:color="auto"/>
        <w:left w:val="none" w:sz="0" w:space="0" w:color="auto"/>
        <w:bottom w:val="none" w:sz="0" w:space="0" w:color="auto"/>
        <w:right w:val="none" w:sz="0" w:space="0" w:color="auto"/>
      </w:divBdr>
    </w:div>
    <w:div w:id="1963730785">
      <w:bodyDiv w:val="1"/>
      <w:marLeft w:val="0"/>
      <w:marRight w:val="0"/>
      <w:marTop w:val="0"/>
      <w:marBottom w:val="0"/>
      <w:divBdr>
        <w:top w:val="none" w:sz="0" w:space="0" w:color="auto"/>
        <w:left w:val="none" w:sz="0" w:space="0" w:color="auto"/>
        <w:bottom w:val="none" w:sz="0" w:space="0" w:color="auto"/>
        <w:right w:val="none" w:sz="0" w:space="0" w:color="auto"/>
      </w:divBdr>
    </w:div>
    <w:div w:id="1971746791">
      <w:bodyDiv w:val="1"/>
      <w:marLeft w:val="0"/>
      <w:marRight w:val="0"/>
      <w:marTop w:val="0"/>
      <w:marBottom w:val="0"/>
      <w:divBdr>
        <w:top w:val="none" w:sz="0" w:space="0" w:color="auto"/>
        <w:left w:val="none" w:sz="0" w:space="0" w:color="auto"/>
        <w:bottom w:val="none" w:sz="0" w:space="0" w:color="auto"/>
        <w:right w:val="none" w:sz="0" w:space="0" w:color="auto"/>
      </w:divBdr>
    </w:div>
    <w:div w:id="1977949233">
      <w:bodyDiv w:val="1"/>
      <w:marLeft w:val="0"/>
      <w:marRight w:val="0"/>
      <w:marTop w:val="0"/>
      <w:marBottom w:val="0"/>
      <w:divBdr>
        <w:top w:val="none" w:sz="0" w:space="0" w:color="auto"/>
        <w:left w:val="none" w:sz="0" w:space="0" w:color="auto"/>
        <w:bottom w:val="none" w:sz="0" w:space="0" w:color="auto"/>
        <w:right w:val="none" w:sz="0" w:space="0" w:color="auto"/>
      </w:divBdr>
    </w:div>
    <w:div w:id="2005550231">
      <w:bodyDiv w:val="1"/>
      <w:marLeft w:val="0"/>
      <w:marRight w:val="0"/>
      <w:marTop w:val="0"/>
      <w:marBottom w:val="0"/>
      <w:divBdr>
        <w:top w:val="none" w:sz="0" w:space="0" w:color="auto"/>
        <w:left w:val="none" w:sz="0" w:space="0" w:color="auto"/>
        <w:bottom w:val="none" w:sz="0" w:space="0" w:color="auto"/>
        <w:right w:val="none" w:sz="0" w:space="0" w:color="auto"/>
      </w:divBdr>
    </w:div>
    <w:div w:id="2005550972">
      <w:bodyDiv w:val="1"/>
      <w:marLeft w:val="0"/>
      <w:marRight w:val="0"/>
      <w:marTop w:val="0"/>
      <w:marBottom w:val="0"/>
      <w:divBdr>
        <w:top w:val="none" w:sz="0" w:space="0" w:color="auto"/>
        <w:left w:val="none" w:sz="0" w:space="0" w:color="auto"/>
        <w:bottom w:val="none" w:sz="0" w:space="0" w:color="auto"/>
        <w:right w:val="none" w:sz="0" w:space="0" w:color="auto"/>
      </w:divBdr>
    </w:div>
    <w:div w:id="2015299659">
      <w:bodyDiv w:val="1"/>
      <w:marLeft w:val="0"/>
      <w:marRight w:val="0"/>
      <w:marTop w:val="0"/>
      <w:marBottom w:val="0"/>
      <w:divBdr>
        <w:top w:val="none" w:sz="0" w:space="0" w:color="auto"/>
        <w:left w:val="none" w:sz="0" w:space="0" w:color="auto"/>
        <w:bottom w:val="none" w:sz="0" w:space="0" w:color="auto"/>
        <w:right w:val="none" w:sz="0" w:space="0" w:color="auto"/>
      </w:divBdr>
    </w:div>
    <w:div w:id="2027752051">
      <w:bodyDiv w:val="1"/>
      <w:marLeft w:val="0"/>
      <w:marRight w:val="0"/>
      <w:marTop w:val="0"/>
      <w:marBottom w:val="0"/>
      <w:divBdr>
        <w:top w:val="none" w:sz="0" w:space="0" w:color="auto"/>
        <w:left w:val="none" w:sz="0" w:space="0" w:color="auto"/>
        <w:bottom w:val="none" w:sz="0" w:space="0" w:color="auto"/>
        <w:right w:val="none" w:sz="0" w:space="0" w:color="auto"/>
      </w:divBdr>
    </w:div>
    <w:div w:id="2031301255">
      <w:bodyDiv w:val="1"/>
      <w:marLeft w:val="0"/>
      <w:marRight w:val="0"/>
      <w:marTop w:val="0"/>
      <w:marBottom w:val="0"/>
      <w:divBdr>
        <w:top w:val="none" w:sz="0" w:space="0" w:color="auto"/>
        <w:left w:val="none" w:sz="0" w:space="0" w:color="auto"/>
        <w:bottom w:val="none" w:sz="0" w:space="0" w:color="auto"/>
        <w:right w:val="none" w:sz="0" w:space="0" w:color="auto"/>
      </w:divBdr>
    </w:div>
    <w:div w:id="2065063909">
      <w:bodyDiv w:val="1"/>
      <w:marLeft w:val="0"/>
      <w:marRight w:val="0"/>
      <w:marTop w:val="0"/>
      <w:marBottom w:val="0"/>
      <w:divBdr>
        <w:top w:val="none" w:sz="0" w:space="0" w:color="auto"/>
        <w:left w:val="none" w:sz="0" w:space="0" w:color="auto"/>
        <w:bottom w:val="none" w:sz="0" w:space="0" w:color="auto"/>
        <w:right w:val="none" w:sz="0" w:space="0" w:color="auto"/>
      </w:divBdr>
    </w:div>
    <w:div w:id="2095274068">
      <w:bodyDiv w:val="1"/>
      <w:marLeft w:val="0"/>
      <w:marRight w:val="0"/>
      <w:marTop w:val="0"/>
      <w:marBottom w:val="0"/>
      <w:divBdr>
        <w:top w:val="none" w:sz="0" w:space="0" w:color="auto"/>
        <w:left w:val="none" w:sz="0" w:space="0" w:color="auto"/>
        <w:bottom w:val="none" w:sz="0" w:space="0" w:color="auto"/>
        <w:right w:val="none" w:sz="0" w:space="0" w:color="auto"/>
      </w:divBdr>
    </w:div>
    <w:div w:id="2102022105">
      <w:bodyDiv w:val="1"/>
      <w:marLeft w:val="0"/>
      <w:marRight w:val="0"/>
      <w:marTop w:val="0"/>
      <w:marBottom w:val="0"/>
      <w:divBdr>
        <w:top w:val="none" w:sz="0" w:space="0" w:color="auto"/>
        <w:left w:val="none" w:sz="0" w:space="0" w:color="auto"/>
        <w:bottom w:val="none" w:sz="0" w:space="0" w:color="auto"/>
        <w:right w:val="none" w:sz="0" w:space="0" w:color="auto"/>
      </w:divBdr>
    </w:div>
    <w:div w:id="2127701201">
      <w:bodyDiv w:val="1"/>
      <w:marLeft w:val="0"/>
      <w:marRight w:val="0"/>
      <w:marTop w:val="0"/>
      <w:marBottom w:val="0"/>
      <w:divBdr>
        <w:top w:val="none" w:sz="0" w:space="0" w:color="auto"/>
        <w:left w:val="none" w:sz="0" w:space="0" w:color="auto"/>
        <w:bottom w:val="none" w:sz="0" w:space="0" w:color="auto"/>
        <w:right w:val="none" w:sz="0" w:space="0" w:color="auto"/>
      </w:divBdr>
    </w:div>
    <w:div w:id="2139757166">
      <w:bodyDiv w:val="1"/>
      <w:marLeft w:val="0"/>
      <w:marRight w:val="0"/>
      <w:marTop w:val="0"/>
      <w:marBottom w:val="0"/>
      <w:divBdr>
        <w:top w:val="none" w:sz="0" w:space="0" w:color="auto"/>
        <w:left w:val="none" w:sz="0" w:space="0" w:color="auto"/>
        <w:bottom w:val="none" w:sz="0" w:space="0" w:color="auto"/>
        <w:right w:val="none" w:sz="0" w:space="0" w:color="auto"/>
      </w:divBdr>
    </w:div>
    <w:div w:id="21408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finance.gov.au/government/managing-commonwealth-resources/structure-australian-government-public-sector/pgpa-act-flipchart-and-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1BBFD-55D9-4FBF-A775-57A7CFD1594B}">
  <ds:schemaRefs>
    <ds:schemaRef ds:uri="244fe85f-b655-4145-9b20-543b75dc1c24"/>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115ddca-c623-419f-a3c0-6a1c58c4dac8"/>
    <ds:schemaRef ds:uri="http://www.w3.org/XML/1998/namespace"/>
    <ds:schemaRef ds:uri="http://purl.org/dc/elements/1.1/"/>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8653FC15-28BA-415C-9612-C3E928FC9690}">
  <ds:schemaRefs>
    <ds:schemaRef ds:uri="http://schemas.microsoft.com/sharepoint/v3/contenttype/forms"/>
  </ds:schemaRefs>
</ds:datastoreItem>
</file>

<file path=customXml/itemProps4.xml><?xml version="1.0" encoding="utf-8"?>
<ds:datastoreItem xmlns:ds="http://schemas.openxmlformats.org/officeDocument/2006/customXml" ds:itemID="{AAC6FA75-8F9A-4C7B-A8E3-F00BC81DF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5956</TotalTime>
  <Pages>44</Pages>
  <Words>10854</Words>
  <Characters>63502</Characters>
  <Application>Microsoft Office Word</Application>
  <DocSecurity>0</DocSecurity>
  <Lines>5291</Lines>
  <Paragraphs>4373</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69983</CharactersWithSpaces>
  <SharedDoc>false</SharedDoc>
  <HLinks>
    <vt:vector size="30" baseType="variant">
      <vt:variant>
        <vt:i4>4063287</vt:i4>
      </vt:variant>
      <vt:variant>
        <vt:i4>27</vt:i4>
      </vt:variant>
      <vt:variant>
        <vt:i4>0</vt:i4>
      </vt:variant>
      <vt:variant>
        <vt:i4>5</vt:i4>
      </vt:variant>
      <vt:variant>
        <vt:lpwstr>https://www.finance.gov.au/government/managing-commonwealth-resources/structure-australian-government-public-sector/pgpa-act-flipchart-and-list</vt:lpwstr>
      </vt:variant>
      <vt:variant>
        <vt:lpwstr/>
      </vt:variant>
      <vt:variant>
        <vt:i4>1048633</vt:i4>
      </vt:variant>
      <vt:variant>
        <vt:i4>20</vt:i4>
      </vt:variant>
      <vt:variant>
        <vt:i4>0</vt:i4>
      </vt:variant>
      <vt:variant>
        <vt:i4>5</vt:i4>
      </vt:variant>
      <vt:variant>
        <vt:lpwstr/>
      </vt:variant>
      <vt:variant>
        <vt:lpwstr>_Toc166082639</vt:lpwstr>
      </vt:variant>
      <vt:variant>
        <vt:i4>1048633</vt:i4>
      </vt:variant>
      <vt:variant>
        <vt:i4>14</vt:i4>
      </vt:variant>
      <vt:variant>
        <vt:i4>0</vt:i4>
      </vt:variant>
      <vt:variant>
        <vt:i4>5</vt:i4>
      </vt:variant>
      <vt:variant>
        <vt:lpwstr/>
      </vt:variant>
      <vt:variant>
        <vt:lpwstr>_Toc166082638</vt:lpwstr>
      </vt:variant>
      <vt:variant>
        <vt:i4>1048633</vt:i4>
      </vt:variant>
      <vt:variant>
        <vt:i4>8</vt:i4>
      </vt:variant>
      <vt:variant>
        <vt:i4>0</vt:i4>
      </vt:variant>
      <vt:variant>
        <vt:i4>5</vt:i4>
      </vt:variant>
      <vt:variant>
        <vt:lpwstr/>
      </vt:variant>
      <vt:variant>
        <vt:lpwstr>_Toc166082637</vt:lpwstr>
      </vt:variant>
      <vt:variant>
        <vt:i4>1048633</vt:i4>
      </vt:variant>
      <vt:variant>
        <vt:i4>2</vt:i4>
      </vt:variant>
      <vt:variant>
        <vt:i4>0</vt:i4>
      </vt:variant>
      <vt:variant>
        <vt:i4>5</vt:i4>
      </vt:variant>
      <vt:variant>
        <vt:lpwstr/>
      </vt:variant>
      <vt:variant>
        <vt:lpwstr>_Toc166082636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10: Australian Government Budget Financial Statements</dc:subject>
  <dc:creator>Australian Government</dc:creator>
  <cp:keywords/>
  <dc:description/>
  <cp:lastModifiedBy>Hill, Christine</cp:lastModifiedBy>
  <cp:revision>737</cp:revision>
  <cp:lastPrinted>2024-05-12T02:33:00Z</cp:lastPrinted>
  <dcterms:created xsi:type="dcterms:W3CDTF">2024-03-06T03:28:00Z</dcterms:created>
  <dcterms:modified xsi:type="dcterms:W3CDTF">2024-05-13T04:38:00Z</dcterms:modified>
</cp:coreProperties>
</file>